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716"/>
        <w:gridCol w:w="636"/>
        <w:gridCol w:w="3911"/>
        <w:gridCol w:w="17"/>
      </w:tblGrid>
      <w:tr w:rsidR="00D7153D" w:rsidTr="00D7153D">
        <w:trPr>
          <w:trHeight w:val="2103"/>
        </w:trPr>
        <w:tc>
          <w:tcPr>
            <w:tcW w:w="5000" w:type="pct"/>
            <w:gridSpan w:val="4"/>
            <w:hideMark/>
          </w:tcPr>
          <w:p w:rsidR="00D7153D" w:rsidRDefault="00D7153D">
            <w:pPr>
              <w:jc w:val="center"/>
            </w:pPr>
            <w:r>
              <w:rPr>
                <w:noProof/>
                <w:lang w:val="fr-CA" w:eastAsia="fr-CA"/>
              </w:rPr>
              <w:drawing>
                <wp:inline distT="0" distB="0" distL="0" distR="0">
                  <wp:extent cx="1188720" cy="1638300"/>
                  <wp:effectExtent l="0" t="0" r="0"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rsidR="00D7153D" w:rsidRDefault="00D7153D">
            <w:pPr>
              <w:spacing w:before="120" w:after="100" w:afterAutospacing="1"/>
              <w:jc w:val="center"/>
            </w:pPr>
            <w:r>
              <w:rPr>
                <w:b/>
              </w:rPr>
              <w:t>SUPREME COURT OF CANADA</w:t>
            </w:r>
          </w:p>
        </w:tc>
      </w:tr>
      <w:tr w:rsidR="00D7153D" w:rsidRPr="00D7153D" w:rsidTr="00D7153D">
        <w:trPr>
          <w:gridAfter w:val="1"/>
          <w:wAfter w:w="10" w:type="pct"/>
        </w:trPr>
        <w:tc>
          <w:tcPr>
            <w:tcW w:w="2244" w:type="pct"/>
            <w:tcMar>
              <w:top w:w="284" w:type="dxa"/>
              <w:left w:w="57" w:type="dxa"/>
              <w:bottom w:w="57" w:type="dxa"/>
              <w:right w:w="57" w:type="dxa"/>
            </w:tcMar>
            <w:hideMark/>
          </w:tcPr>
          <w:p w:rsidR="00D7153D" w:rsidRPr="00D7153D" w:rsidRDefault="00D7153D">
            <w:pPr>
              <w:spacing w:before="100" w:beforeAutospacing="1"/>
              <w:rPr>
                <w:lang w:val="fr-CA"/>
              </w:rPr>
            </w:pPr>
            <w:r w:rsidRPr="00D7153D">
              <w:rPr>
                <w:b/>
                <w:smallCaps/>
                <w:lang w:val="fr-CA"/>
              </w:rPr>
              <w:t>Citation:</w:t>
            </w:r>
            <w:r w:rsidRPr="00D7153D">
              <w:rPr>
                <w:lang w:val="fr-CA"/>
              </w:rPr>
              <w:t xml:space="preserve"> R. </w:t>
            </w:r>
            <w:r w:rsidRPr="00D7153D">
              <w:rPr>
                <w:i/>
                <w:lang w:val="fr-CA"/>
              </w:rPr>
              <w:t>v.</w:t>
            </w:r>
            <w:r w:rsidRPr="00D7153D">
              <w:rPr>
                <w:lang w:val="fr-CA"/>
              </w:rPr>
              <w:t xml:space="preserve"> </w:t>
            </w:r>
            <w:proofErr w:type="spellStart"/>
            <w:r w:rsidRPr="00D7153D">
              <w:rPr>
                <w:lang w:val="fr-CA"/>
              </w:rPr>
              <w:t>Desautel</w:t>
            </w:r>
            <w:proofErr w:type="spellEnd"/>
            <w:r w:rsidRPr="00D7153D">
              <w:rPr>
                <w:lang w:val="fr-CA"/>
              </w:rPr>
              <w:t xml:space="preserve">, 2021 </w:t>
            </w:r>
            <w:proofErr w:type="spellStart"/>
            <w:r w:rsidRPr="00D7153D">
              <w:rPr>
                <w:lang w:val="fr-CA"/>
              </w:rPr>
              <w:t>SCC</w:t>
            </w:r>
            <w:proofErr w:type="spellEnd"/>
            <w:r w:rsidRPr="00D7153D">
              <w:rPr>
                <w:lang w:val="fr-CA"/>
              </w:rPr>
              <w:t xml:space="preserve"> 17</w:t>
            </w:r>
            <w:r w:rsidRPr="00D7153D">
              <w:rPr>
                <w:lang w:val="fr-CA"/>
              </w:rPr>
              <w:t xml:space="preserve">, [2021] 1 </w:t>
            </w:r>
            <w:proofErr w:type="spellStart"/>
            <w:r w:rsidRPr="00D7153D">
              <w:rPr>
                <w:lang w:val="fr-CA"/>
              </w:rPr>
              <w:t>S.C.R</w:t>
            </w:r>
            <w:proofErr w:type="spellEnd"/>
            <w:r w:rsidRPr="00D7153D">
              <w:rPr>
                <w:lang w:val="fr-CA"/>
              </w:rPr>
              <w:t>.</w:t>
            </w:r>
            <w:r w:rsidRPr="00D7153D">
              <w:rPr>
                <w:lang w:val="fr-CA"/>
              </w:rPr>
              <w:t xml:space="preserve"> </w:t>
            </w:r>
            <w:r w:rsidRPr="00D7153D">
              <w:rPr>
                <w:lang w:val="fr-CA"/>
              </w:rPr>
              <w:t>533</w:t>
            </w:r>
          </w:p>
        </w:tc>
        <w:tc>
          <w:tcPr>
            <w:tcW w:w="384" w:type="pct"/>
          </w:tcPr>
          <w:p w:rsidR="00D7153D" w:rsidRPr="00D7153D" w:rsidRDefault="00D7153D">
            <w:pPr>
              <w:rPr>
                <w:b/>
                <w:smallCaps/>
                <w:lang w:val="fr-CA"/>
              </w:rPr>
            </w:pPr>
          </w:p>
        </w:tc>
        <w:tc>
          <w:tcPr>
            <w:tcW w:w="2362" w:type="pct"/>
            <w:tcMar>
              <w:top w:w="284" w:type="dxa"/>
              <w:left w:w="57" w:type="dxa"/>
              <w:bottom w:w="57" w:type="dxa"/>
              <w:right w:w="57" w:type="dxa"/>
            </w:tcMar>
            <w:hideMark/>
          </w:tcPr>
          <w:p w:rsidR="00D7153D" w:rsidRDefault="00D7153D">
            <w:r>
              <w:rPr>
                <w:b/>
                <w:smallCaps/>
              </w:rPr>
              <w:t>Appeal Heard:</w:t>
            </w:r>
            <w:r>
              <w:t xml:space="preserve"> October 8, 2020</w:t>
            </w:r>
          </w:p>
          <w:p w:rsidR="00D7153D" w:rsidRDefault="00D7153D">
            <w:r>
              <w:rPr>
                <w:b/>
                <w:smallCaps/>
              </w:rPr>
              <w:t>Judgment Rendered:</w:t>
            </w:r>
            <w:r>
              <w:t xml:space="preserve"> April 23, 2021</w:t>
            </w:r>
          </w:p>
          <w:p w:rsidR="00D7153D" w:rsidRDefault="00D7153D">
            <w:r>
              <w:rPr>
                <w:b/>
                <w:smallCaps/>
              </w:rPr>
              <w:t>Docket:</w:t>
            </w:r>
            <w:r>
              <w:t xml:space="preserve"> 38734</w:t>
            </w:r>
          </w:p>
        </w:tc>
      </w:tr>
    </w:tbl>
    <w:p w:rsidR="00D7153D" w:rsidRDefault="00D7153D" w:rsidP="00D7153D">
      <w:pPr>
        <w:rPr>
          <w:rFonts w:eastAsiaTheme="minorHAnsi" w:cstheme="minorBidi"/>
          <w:szCs w:val="24"/>
          <w:lang w:eastAsia="en-US"/>
        </w:rPr>
      </w:pPr>
    </w:p>
    <w:p w:rsidR="00D7153D" w:rsidRDefault="00D7153D" w:rsidP="00D7153D">
      <w:pPr>
        <w:rPr>
          <w:rFonts w:eastAsiaTheme="minorHAnsi" w:cstheme="minorBidi"/>
          <w:b/>
          <w:smallCaps/>
          <w:szCs w:val="24"/>
          <w:lang w:eastAsia="en-US"/>
        </w:rPr>
      </w:pPr>
      <w:r>
        <w:rPr>
          <w:rFonts w:eastAsiaTheme="minorHAnsi" w:cstheme="minorBidi"/>
          <w:b/>
          <w:smallCaps/>
          <w:szCs w:val="24"/>
          <w:lang w:eastAsia="en-US"/>
        </w:rPr>
        <w:t>Between:</w:t>
      </w:r>
    </w:p>
    <w:p w:rsidR="00D7153D" w:rsidRDefault="00D7153D" w:rsidP="00D7153D">
      <w:pPr>
        <w:jc w:val="center"/>
        <w:rPr>
          <w:rFonts w:eastAsiaTheme="minorHAnsi" w:cstheme="minorBidi"/>
          <w:b/>
          <w:szCs w:val="24"/>
          <w:lang w:eastAsia="en-US"/>
        </w:rPr>
      </w:pPr>
      <w:r>
        <w:rPr>
          <w:rFonts w:eastAsiaTheme="minorHAnsi" w:cstheme="minorBidi"/>
          <w:b/>
          <w:szCs w:val="24"/>
          <w:lang w:eastAsia="en-US"/>
        </w:rPr>
        <w:t xml:space="preserve">Her Majesty </w:t>
      </w:r>
      <w:proofErr w:type="gramStart"/>
      <w:r>
        <w:rPr>
          <w:rFonts w:eastAsiaTheme="minorHAnsi" w:cstheme="minorBidi"/>
          <w:b/>
          <w:szCs w:val="24"/>
          <w:lang w:eastAsia="en-US"/>
        </w:rPr>
        <w:t>The</w:t>
      </w:r>
      <w:proofErr w:type="gramEnd"/>
      <w:r>
        <w:rPr>
          <w:rFonts w:eastAsiaTheme="minorHAnsi" w:cstheme="minorBidi"/>
          <w:b/>
          <w:szCs w:val="24"/>
          <w:lang w:eastAsia="en-US"/>
        </w:rPr>
        <w:t xml:space="preserve"> Queen</w:t>
      </w:r>
    </w:p>
    <w:p w:rsidR="00D7153D" w:rsidRDefault="00D7153D" w:rsidP="00D7153D">
      <w:pPr>
        <w:jc w:val="center"/>
        <w:rPr>
          <w:rFonts w:eastAsiaTheme="minorHAnsi" w:cstheme="minorBidi"/>
          <w:szCs w:val="24"/>
          <w:lang w:eastAsia="en-US"/>
        </w:rPr>
      </w:pPr>
      <w:r>
        <w:rPr>
          <w:rFonts w:eastAsiaTheme="minorHAnsi" w:cstheme="minorBidi"/>
          <w:szCs w:val="24"/>
          <w:lang w:eastAsia="en-US"/>
        </w:rPr>
        <w:t>Appellant</w:t>
      </w:r>
    </w:p>
    <w:p w:rsidR="00D7153D" w:rsidRDefault="00D7153D" w:rsidP="00D7153D">
      <w:pPr>
        <w:rPr>
          <w:rFonts w:eastAsiaTheme="minorHAnsi" w:cstheme="minorBidi"/>
          <w:szCs w:val="24"/>
          <w:lang w:eastAsia="en-US"/>
        </w:rPr>
      </w:pPr>
    </w:p>
    <w:p w:rsidR="00D7153D" w:rsidRDefault="00D7153D" w:rsidP="00D7153D">
      <w:pPr>
        <w:jc w:val="center"/>
        <w:rPr>
          <w:rFonts w:eastAsiaTheme="minorHAnsi" w:cstheme="minorBidi"/>
          <w:szCs w:val="24"/>
          <w:lang w:eastAsia="en-US"/>
        </w:rPr>
      </w:pPr>
      <w:proofErr w:type="gramStart"/>
      <w:r>
        <w:rPr>
          <w:rFonts w:eastAsiaTheme="minorHAnsi" w:cstheme="minorBidi"/>
          <w:szCs w:val="24"/>
          <w:lang w:eastAsia="en-US"/>
        </w:rPr>
        <w:t>and</w:t>
      </w:r>
      <w:proofErr w:type="gramEnd"/>
      <w:r>
        <w:rPr>
          <w:rFonts w:eastAsiaTheme="minorHAnsi" w:cstheme="minorBidi"/>
          <w:szCs w:val="24"/>
          <w:lang w:eastAsia="en-US"/>
        </w:rPr>
        <w:t xml:space="preserve"> </w:t>
      </w:r>
    </w:p>
    <w:p w:rsidR="00D7153D" w:rsidRDefault="00D7153D" w:rsidP="00D7153D">
      <w:pPr>
        <w:jc w:val="center"/>
        <w:rPr>
          <w:rFonts w:eastAsiaTheme="minorHAnsi" w:cstheme="minorBidi"/>
          <w:b/>
          <w:szCs w:val="24"/>
          <w:lang w:eastAsia="en-US"/>
        </w:rPr>
      </w:pPr>
    </w:p>
    <w:p w:rsidR="00D7153D" w:rsidRDefault="00D7153D" w:rsidP="00D7153D">
      <w:pPr>
        <w:jc w:val="center"/>
        <w:rPr>
          <w:rFonts w:eastAsiaTheme="minorHAnsi" w:cstheme="minorBidi"/>
          <w:b/>
          <w:szCs w:val="24"/>
          <w:lang w:eastAsia="en-US"/>
        </w:rPr>
      </w:pPr>
      <w:r>
        <w:rPr>
          <w:rFonts w:eastAsiaTheme="minorHAnsi" w:cstheme="minorBidi"/>
          <w:b/>
          <w:szCs w:val="24"/>
          <w:lang w:eastAsia="en-US"/>
        </w:rPr>
        <w:t xml:space="preserve">Richard Lee </w:t>
      </w:r>
      <w:proofErr w:type="spellStart"/>
      <w:r>
        <w:rPr>
          <w:rFonts w:eastAsiaTheme="minorHAnsi" w:cstheme="minorBidi"/>
          <w:b/>
          <w:szCs w:val="24"/>
          <w:lang w:eastAsia="en-US"/>
        </w:rPr>
        <w:t>Desautel</w:t>
      </w:r>
      <w:proofErr w:type="spellEnd"/>
    </w:p>
    <w:p w:rsidR="00D7153D" w:rsidRDefault="00D7153D" w:rsidP="00D7153D">
      <w:pPr>
        <w:jc w:val="center"/>
        <w:rPr>
          <w:rFonts w:eastAsiaTheme="minorHAnsi" w:cstheme="minorBidi"/>
          <w:szCs w:val="24"/>
          <w:lang w:eastAsia="en-US"/>
        </w:rPr>
      </w:pPr>
      <w:r>
        <w:rPr>
          <w:rFonts w:eastAsiaTheme="minorHAnsi" w:cstheme="minorBidi"/>
          <w:szCs w:val="24"/>
          <w:lang w:eastAsia="en-US"/>
        </w:rPr>
        <w:t>Respondent</w:t>
      </w:r>
    </w:p>
    <w:p w:rsidR="00D7153D" w:rsidRDefault="00D7153D" w:rsidP="00D7153D">
      <w:pPr>
        <w:rPr>
          <w:rFonts w:eastAsiaTheme="minorHAnsi" w:cstheme="minorBidi"/>
          <w:szCs w:val="24"/>
          <w:lang w:eastAsia="en-US"/>
        </w:rPr>
      </w:pPr>
    </w:p>
    <w:p w:rsidR="00D7153D" w:rsidRDefault="00D7153D" w:rsidP="00D7153D">
      <w:pPr>
        <w:jc w:val="center"/>
        <w:rPr>
          <w:rFonts w:eastAsiaTheme="minorHAnsi" w:cstheme="minorBidi"/>
          <w:szCs w:val="24"/>
          <w:lang w:eastAsia="en-US"/>
        </w:rPr>
      </w:pPr>
      <w:r>
        <w:rPr>
          <w:rFonts w:eastAsiaTheme="minorHAnsi" w:cstheme="minorBidi"/>
          <w:szCs w:val="24"/>
          <w:lang w:eastAsia="en-US"/>
        </w:rPr>
        <w:t xml:space="preserve">- </w:t>
      </w:r>
      <w:proofErr w:type="gramStart"/>
      <w:r>
        <w:rPr>
          <w:rFonts w:eastAsiaTheme="minorHAnsi" w:cstheme="minorBidi"/>
          <w:szCs w:val="24"/>
          <w:lang w:eastAsia="en-US"/>
        </w:rPr>
        <w:t>and</w:t>
      </w:r>
      <w:proofErr w:type="gramEnd"/>
      <w:r>
        <w:rPr>
          <w:rFonts w:eastAsiaTheme="minorHAnsi" w:cstheme="minorBidi"/>
          <w:szCs w:val="24"/>
          <w:lang w:eastAsia="en-US"/>
        </w:rPr>
        <w:t xml:space="preserve"> -</w:t>
      </w:r>
    </w:p>
    <w:p w:rsidR="00D7153D" w:rsidRDefault="00D7153D" w:rsidP="00D7153D">
      <w:pPr>
        <w:rPr>
          <w:rFonts w:eastAsiaTheme="minorHAnsi" w:cstheme="minorBidi"/>
          <w:szCs w:val="24"/>
          <w:lang w:eastAsia="en-US"/>
        </w:rPr>
      </w:pPr>
    </w:p>
    <w:p w:rsidR="00D7153D" w:rsidRDefault="00D7153D" w:rsidP="00D7153D">
      <w:pPr>
        <w:jc w:val="center"/>
        <w:rPr>
          <w:rFonts w:eastAsiaTheme="minorHAnsi" w:cstheme="minorBidi"/>
          <w:b/>
          <w:szCs w:val="24"/>
          <w:lang w:eastAsia="en-US"/>
        </w:rPr>
      </w:pPr>
      <w:r>
        <w:rPr>
          <w:rFonts w:eastAsiaTheme="minorHAnsi" w:cstheme="minorBidi"/>
          <w:b/>
          <w:szCs w:val="24"/>
          <w:lang w:eastAsia="en-US"/>
        </w:rPr>
        <w:t xml:space="preserve">Attorney General of Canada, Attorney General of Ontario, Attorney General of Quebec, Attorney General of New Brunswick, Attorney General of Saskatchewan, Attorney General of Alberta, Attorney General of the Yukon Territory, </w:t>
      </w:r>
      <w:proofErr w:type="spellStart"/>
      <w:r>
        <w:rPr>
          <w:rFonts w:eastAsiaTheme="minorHAnsi" w:cstheme="minorBidi"/>
          <w:b/>
          <w:szCs w:val="24"/>
          <w:lang w:eastAsia="en-US"/>
        </w:rPr>
        <w:t>Peskotomuhkati</w:t>
      </w:r>
      <w:proofErr w:type="spellEnd"/>
      <w:r>
        <w:rPr>
          <w:rFonts w:eastAsiaTheme="minorHAnsi" w:cstheme="minorBidi"/>
          <w:b/>
          <w:szCs w:val="24"/>
          <w:lang w:eastAsia="en-US"/>
        </w:rPr>
        <w:t xml:space="preserve"> Nation, Indigenous Bar Association in Canada, Whitecap Dakota First Nation, Grand Council of the </w:t>
      </w:r>
      <w:proofErr w:type="spellStart"/>
      <w:r>
        <w:rPr>
          <w:rFonts w:eastAsiaTheme="minorHAnsi" w:cstheme="minorBidi"/>
          <w:b/>
          <w:szCs w:val="24"/>
          <w:lang w:eastAsia="en-US"/>
        </w:rPr>
        <w:t>Crees</w:t>
      </w:r>
      <w:proofErr w:type="spellEnd"/>
      <w:r>
        <w:rPr>
          <w:rFonts w:eastAsiaTheme="minorHAnsi" w:cstheme="minorBidi"/>
          <w:b/>
          <w:szCs w:val="24"/>
          <w:lang w:eastAsia="en-US"/>
        </w:rPr>
        <w:t xml:space="preserve"> (</w:t>
      </w:r>
      <w:proofErr w:type="spellStart"/>
      <w:r>
        <w:rPr>
          <w:rFonts w:eastAsiaTheme="minorHAnsi" w:cstheme="minorBidi"/>
          <w:b/>
          <w:szCs w:val="24"/>
          <w:lang w:eastAsia="en-US"/>
        </w:rPr>
        <w:t>Eeyou</w:t>
      </w:r>
      <w:proofErr w:type="spellEnd"/>
      <w:r>
        <w:rPr>
          <w:rFonts w:eastAsiaTheme="minorHAnsi" w:cstheme="minorBidi"/>
          <w:b/>
          <w:szCs w:val="24"/>
          <w:lang w:eastAsia="en-US"/>
        </w:rPr>
        <w:t xml:space="preserve"> </w:t>
      </w:r>
      <w:proofErr w:type="spellStart"/>
      <w:r>
        <w:rPr>
          <w:rFonts w:eastAsiaTheme="minorHAnsi" w:cstheme="minorBidi"/>
          <w:b/>
          <w:szCs w:val="24"/>
          <w:lang w:eastAsia="en-US"/>
        </w:rPr>
        <w:t>Istchee</w:t>
      </w:r>
      <w:proofErr w:type="spellEnd"/>
      <w:r>
        <w:rPr>
          <w:rFonts w:eastAsiaTheme="minorHAnsi" w:cstheme="minorBidi"/>
          <w:b/>
          <w:szCs w:val="24"/>
          <w:lang w:eastAsia="en-US"/>
        </w:rPr>
        <w:t xml:space="preserve">), Cree Nation Government, Okanagan Nation Alliance, Mohawk Council of </w:t>
      </w:r>
      <w:proofErr w:type="spellStart"/>
      <w:r>
        <w:rPr>
          <w:rFonts w:eastAsiaTheme="minorHAnsi" w:cstheme="minorBidi"/>
          <w:b/>
          <w:szCs w:val="24"/>
          <w:lang w:eastAsia="en-US"/>
        </w:rPr>
        <w:t>Kahnawà:ke</w:t>
      </w:r>
      <w:proofErr w:type="spellEnd"/>
      <w:r>
        <w:rPr>
          <w:rFonts w:eastAsiaTheme="minorHAnsi" w:cstheme="minorBidi"/>
          <w:b/>
          <w:szCs w:val="24"/>
          <w:lang w:eastAsia="en-US"/>
        </w:rPr>
        <w:t xml:space="preserve">, Assembly of First Nations, Métis National Council, Manitoba Metis Federation Inc., </w:t>
      </w:r>
      <w:proofErr w:type="spellStart"/>
      <w:r>
        <w:rPr>
          <w:rFonts w:eastAsiaTheme="minorHAnsi" w:cstheme="minorBidi"/>
          <w:b/>
          <w:szCs w:val="24"/>
          <w:lang w:eastAsia="en-US"/>
        </w:rPr>
        <w:t>Nuchatlaht</w:t>
      </w:r>
      <w:proofErr w:type="spellEnd"/>
      <w:r>
        <w:rPr>
          <w:rFonts w:eastAsiaTheme="minorHAnsi" w:cstheme="minorBidi"/>
          <w:b/>
          <w:szCs w:val="24"/>
          <w:lang w:eastAsia="en-US"/>
        </w:rPr>
        <w:t xml:space="preserve"> First Nation, Congress of Aboriginal Peoples, Lummi Nation and Métis Nation British Columbia</w:t>
      </w:r>
    </w:p>
    <w:p w:rsidR="00D7153D" w:rsidRDefault="00D7153D" w:rsidP="00D7153D">
      <w:pPr>
        <w:jc w:val="center"/>
        <w:rPr>
          <w:rFonts w:eastAsiaTheme="minorHAnsi" w:cstheme="minorBidi"/>
          <w:szCs w:val="24"/>
          <w:lang w:eastAsia="en-US"/>
        </w:rPr>
      </w:pPr>
      <w:r>
        <w:rPr>
          <w:rFonts w:eastAsiaTheme="minorHAnsi" w:cstheme="minorBidi"/>
          <w:szCs w:val="24"/>
          <w:lang w:eastAsia="en-US"/>
        </w:rPr>
        <w:t>Interveners</w:t>
      </w:r>
    </w:p>
    <w:p w:rsidR="00D7153D" w:rsidRDefault="00D7153D" w:rsidP="00D7153D">
      <w:pPr>
        <w:rPr>
          <w:rFonts w:eastAsiaTheme="minorHAnsi" w:cstheme="minorBidi"/>
          <w:szCs w:val="24"/>
          <w:lang w:eastAsia="en-US"/>
        </w:rPr>
      </w:pPr>
    </w:p>
    <w:p w:rsidR="00D7153D" w:rsidRDefault="00D7153D" w:rsidP="00D7153D">
      <w:pPr>
        <w:rPr>
          <w:rFonts w:eastAsiaTheme="minorHAnsi" w:cstheme="minorBidi"/>
          <w:szCs w:val="24"/>
          <w:lang w:eastAsia="en-US"/>
        </w:rPr>
      </w:pPr>
    </w:p>
    <w:p w:rsidR="00D7153D" w:rsidRDefault="00D7153D" w:rsidP="00D7153D">
      <w:pPr>
        <w:rPr>
          <w:rFonts w:eastAsiaTheme="minorHAnsi" w:cstheme="minorBidi"/>
          <w:szCs w:val="24"/>
          <w:lang w:eastAsia="en-US"/>
        </w:rPr>
      </w:pPr>
    </w:p>
    <w:p w:rsidR="00D7153D" w:rsidRDefault="00D7153D" w:rsidP="00D7153D">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w:t>
      </w:r>
      <w:proofErr w:type="spellStart"/>
      <w:r>
        <w:rPr>
          <w:rFonts w:eastAsiaTheme="minorHAnsi" w:cstheme="minorBidi"/>
          <w:szCs w:val="24"/>
          <w:lang w:eastAsia="en-US"/>
        </w:rPr>
        <w:t>C.J</w:t>
      </w:r>
      <w:proofErr w:type="spellEnd"/>
      <w:r>
        <w:rPr>
          <w:rFonts w:eastAsiaTheme="minorHAnsi" w:cstheme="minorBidi"/>
          <w:szCs w:val="24"/>
          <w:lang w:eastAsia="en-US"/>
        </w:rPr>
        <w:t xml:space="preserve">. and </w:t>
      </w:r>
      <w:proofErr w:type="spellStart"/>
      <w:r>
        <w:rPr>
          <w:rFonts w:eastAsiaTheme="minorHAnsi" w:cstheme="minorBidi"/>
          <w:szCs w:val="24"/>
          <w:lang w:eastAsia="en-US"/>
        </w:rPr>
        <w:t>Abella</w:t>
      </w:r>
      <w:proofErr w:type="spellEnd"/>
      <w:r>
        <w:rPr>
          <w:rFonts w:eastAsiaTheme="minorHAnsi" w:cstheme="minorBidi"/>
          <w:szCs w:val="24"/>
          <w:lang w:eastAsia="en-US"/>
        </w:rPr>
        <w:t xml:space="preserve">, </w:t>
      </w:r>
      <w:proofErr w:type="spellStart"/>
      <w:r>
        <w:rPr>
          <w:rFonts w:eastAsiaTheme="minorHAnsi" w:cstheme="minorBidi"/>
          <w:szCs w:val="24"/>
          <w:lang w:eastAsia="en-US"/>
        </w:rPr>
        <w:t>Moldaver</w:t>
      </w:r>
      <w:proofErr w:type="spellEnd"/>
      <w:r>
        <w:rPr>
          <w:rFonts w:eastAsiaTheme="minorHAnsi" w:cstheme="minorBidi"/>
          <w:szCs w:val="24"/>
          <w:lang w:eastAsia="en-US"/>
        </w:rPr>
        <w:t xml:space="preserve">, </w:t>
      </w:r>
      <w:proofErr w:type="spellStart"/>
      <w:r>
        <w:rPr>
          <w:rFonts w:eastAsiaTheme="minorHAnsi" w:cstheme="minorBidi"/>
          <w:szCs w:val="24"/>
          <w:lang w:eastAsia="en-US"/>
        </w:rPr>
        <w:t>Karakatsanis</w:t>
      </w:r>
      <w:proofErr w:type="spellEnd"/>
      <w:r>
        <w:rPr>
          <w:rFonts w:eastAsiaTheme="minorHAnsi" w:cstheme="minorBidi"/>
          <w:szCs w:val="24"/>
          <w:lang w:eastAsia="en-US"/>
        </w:rPr>
        <w:t xml:space="preserve">, Côté, Brown, Rowe, Martin and </w:t>
      </w:r>
      <w:proofErr w:type="spellStart"/>
      <w:r>
        <w:rPr>
          <w:rFonts w:eastAsiaTheme="minorHAnsi" w:cstheme="minorBidi"/>
          <w:szCs w:val="24"/>
          <w:lang w:eastAsia="en-US"/>
        </w:rPr>
        <w:t>Kasirer</w:t>
      </w:r>
      <w:proofErr w:type="spellEnd"/>
      <w:r>
        <w:rPr>
          <w:rFonts w:eastAsiaTheme="minorHAnsi" w:cstheme="minorBidi"/>
          <w:szCs w:val="24"/>
          <w:lang w:eastAsia="en-US"/>
        </w:rPr>
        <w:t xml:space="preserve"> </w:t>
      </w:r>
      <w:proofErr w:type="spellStart"/>
      <w:r>
        <w:rPr>
          <w:rFonts w:eastAsiaTheme="minorHAnsi" w:cstheme="minorBidi"/>
          <w:szCs w:val="24"/>
          <w:lang w:eastAsia="en-US"/>
        </w:rPr>
        <w:t>JJ</w:t>
      </w:r>
      <w:proofErr w:type="spellEnd"/>
      <w:r>
        <w:rPr>
          <w:rFonts w:eastAsiaTheme="minorHAnsi" w:cstheme="minorBidi"/>
          <w:szCs w:val="24"/>
          <w:lang w:eastAsia="en-US"/>
        </w:rPr>
        <w:t>.</w:t>
      </w:r>
    </w:p>
    <w:p w:rsidR="00D7153D" w:rsidRDefault="00D7153D" w:rsidP="00D7153D">
      <w:pPr>
        <w:rPr>
          <w:rFonts w:eastAsiaTheme="minorHAnsi" w:cstheme="minorBidi"/>
          <w:szCs w:val="24"/>
          <w:lang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7153D" w:rsidRPr="00D7153D" w:rsidTr="00D7153D">
        <w:trPr>
          <w:cantSplit/>
        </w:trPr>
        <w:tc>
          <w:tcPr>
            <w:tcW w:w="3618" w:type="dxa"/>
          </w:tcPr>
          <w:p w:rsidR="00D7153D" w:rsidRDefault="00D7153D">
            <w:pPr>
              <w:rPr>
                <w:b/>
                <w:smallCaps/>
              </w:rPr>
            </w:pPr>
            <w:r>
              <w:rPr>
                <w:b/>
                <w:smallCaps/>
              </w:rPr>
              <w:lastRenderedPageBreak/>
              <w:t>Reasons for Judgment:</w:t>
            </w:r>
          </w:p>
          <w:p w:rsidR="00D7153D" w:rsidRDefault="00D7153D">
            <w:r>
              <w:t>(paras. 1 to 93)</w:t>
            </w:r>
          </w:p>
          <w:p w:rsidR="00D7153D" w:rsidRDefault="00D7153D"/>
        </w:tc>
        <w:tc>
          <w:tcPr>
            <w:tcW w:w="5958" w:type="dxa"/>
          </w:tcPr>
          <w:p w:rsidR="00D7153D" w:rsidRDefault="00D7153D">
            <w:r>
              <w:t xml:space="preserve">Rowe J. (Wagner </w:t>
            </w:r>
            <w:proofErr w:type="spellStart"/>
            <w:r>
              <w:t>C.J</w:t>
            </w:r>
            <w:proofErr w:type="spellEnd"/>
            <w:r>
              <w:t xml:space="preserve">. and </w:t>
            </w:r>
            <w:proofErr w:type="spellStart"/>
            <w:r>
              <w:t>Abella</w:t>
            </w:r>
            <w:proofErr w:type="spellEnd"/>
            <w:r>
              <w:t xml:space="preserve">, </w:t>
            </w:r>
            <w:proofErr w:type="spellStart"/>
            <w:r>
              <w:t>Karakatsanis</w:t>
            </w:r>
            <w:proofErr w:type="spellEnd"/>
            <w:r>
              <w:t xml:space="preserve">, Brown, Martin and </w:t>
            </w:r>
            <w:proofErr w:type="spellStart"/>
            <w:r>
              <w:t>Kasirer</w:t>
            </w:r>
            <w:proofErr w:type="spellEnd"/>
            <w:r>
              <w:t xml:space="preserve"> </w:t>
            </w:r>
            <w:proofErr w:type="spellStart"/>
            <w:r>
              <w:t>JJ</w:t>
            </w:r>
            <w:proofErr w:type="spellEnd"/>
            <w:r>
              <w:t>. concurring)</w:t>
            </w:r>
          </w:p>
          <w:p w:rsidR="00D7153D" w:rsidRDefault="00D7153D"/>
        </w:tc>
      </w:tr>
      <w:tr w:rsidR="00D7153D" w:rsidTr="00D7153D">
        <w:trPr>
          <w:cantSplit/>
        </w:trPr>
        <w:tc>
          <w:tcPr>
            <w:tcW w:w="3618" w:type="dxa"/>
          </w:tcPr>
          <w:p w:rsidR="00D7153D" w:rsidRDefault="00D7153D">
            <w:pPr>
              <w:rPr>
                <w:b/>
                <w:smallCaps/>
              </w:rPr>
            </w:pPr>
            <w:r>
              <w:rPr>
                <w:b/>
                <w:smallCaps/>
              </w:rPr>
              <w:t xml:space="preserve">Dissenting Reasons: </w:t>
            </w:r>
          </w:p>
          <w:p w:rsidR="00D7153D" w:rsidRDefault="00D7153D">
            <w:r>
              <w:t>(paras. 94 to 142)</w:t>
            </w:r>
          </w:p>
          <w:p w:rsidR="00D7153D" w:rsidRDefault="00D7153D">
            <w:pPr>
              <w:rPr>
                <w:b/>
                <w:smallCaps/>
              </w:rPr>
            </w:pPr>
          </w:p>
        </w:tc>
        <w:tc>
          <w:tcPr>
            <w:tcW w:w="5958" w:type="dxa"/>
            <w:hideMark/>
          </w:tcPr>
          <w:p w:rsidR="00D7153D" w:rsidRDefault="00D7153D">
            <w:r>
              <w:rPr>
                <w:lang w:val="fr-CA"/>
              </w:rPr>
              <w:t>Côté J.</w:t>
            </w:r>
          </w:p>
        </w:tc>
      </w:tr>
      <w:tr w:rsidR="00D7153D" w:rsidTr="00D7153D">
        <w:trPr>
          <w:cantSplit/>
        </w:trPr>
        <w:tc>
          <w:tcPr>
            <w:tcW w:w="3618" w:type="dxa"/>
            <w:hideMark/>
          </w:tcPr>
          <w:p w:rsidR="00D7153D" w:rsidRDefault="00D7153D">
            <w:pPr>
              <w:rPr>
                <w:b/>
                <w:smallCaps/>
              </w:rPr>
            </w:pPr>
            <w:r>
              <w:rPr>
                <w:b/>
                <w:smallCaps/>
              </w:rPr>
              <w:t xml:space="preserve">Dissenting Reasons: </w:t>
            </w:r>
          </w:p>
          <w:p w:rsidR="00D7153D" w:rsidRDefault="00D7153D">
            <w:pPr>
              <w:rPr>
                <w:b/>
                <w:smallCaps/>
              </w:rPr>
            </w:pPr>
            <w:r>
              <w:t>(para. 143)</w:t>
            </w:r>
          </w:p>
        </w:tc>
        <w:tc>
          <w:tcPr>
            <w:tcW w:w="5958" w:type="dxa"/>
            <w:hideMark/>
          </w:tcPr>
          <w:p w:rsidR="00D7153D" w:rsidRDefault="00D7153D">
            <w:proofErr w:type="spellStart"/>
            <w:r>
              <w:t>Moldaver</w:t>
            </w:r>
            <w:proofErr w:type="spellEnd"/>
            <w:r>
              <w:t xml:space="preserve"> J.</w:t>
            </w:r>
          </w:p>
        </w:tc>
      </w:tr>
      <w:tr w:rsidR="00D7153D" w:rsidTr="00D7153D">
        <w:trPr>
          <w:cantSplit/>
        </w:trPr>
        <w:tc>
          <w:tcPr>
            <w:tcW w:w="3618" w:type="dxa"/>
          </w:tcPr>
          <w:p w:rsidR="00D7153D" w:rsidRDefault="00D7153D">
            <w:pPr>
              <w:rPr>
                <w:b/>
                <w:smallCaps/>
              </w:rPr>
            </w:pPr>
          </w:p>
        </w:tc>
        <w:tc>
          <w:tcPr>
            <w:tcW w:w="5958" w:type="dxa"/>
          </w:tcPr>
          <w:p w:rsidR="00D7153D" w:rsidRDefault="00D7153D"/>
        </w:tc>
      </w:tr>
    </w:tbl>
    <w:p w:rsidR="00D7153D" w:rsidRDefault="00D7153D" w:rsidP="00D7153D">
      <w:pPr>
        <w:rPr>
          <w:rFonts w:eastAsiaTheme="minorHAnsi" w:cstheme="minorBidi"/>
          <w:szCs w:val="24"/>
          <w:lang w:val="en-US" w:eastAsia="en-US"/>
        </w:rPr>
      </w:pPr>
    </w:p>
    <w:p w:rsidR="00D7153D" w:rsidRDefault="00D7153D" w:rsidP="00D7153D">
      <w:pPr>
        <w:rPr>
          <w:rFonts w:eastAsiaTheme="minorHAnsi" w:cstheme="minorBidi"/>
          <w:szCs w:val="24"/>
          <w:lang w:eastAsia="en-US"/>
        </w:rPr>
      </w:pPr>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0B616" id="_x0000_t32" coordsize="21600,21600" o:spt="32" o:oned="t" path="m,l21600,21600e" filled="f">
                <v:path arrowok="t" fillok="f" o:connecttype="none"/>
                <o:lock v:ext="edit" shapetype="t"/>
              </v:shapetype>
              <v:shape id="Straight Arrow Connector 4"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Kh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9k8nseP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JjL0qElAgAASgQAAA4AAAAAAAAAAAAAAAAALgIAAGRycy9lMm9Eb2Mu&#10;eG1sUEsBAi0AFAAGAAgAAAAhAKpvgi7dAAAACQEAAA8AAAAAAAAAAAAAAAAAfwQAAGRycy9kb3du&#10;cmV2LnhtbFBLBQYAAAAABAAEAPMAAACJBQAAAAA=&#10;"/>
            </w:pict>
          </mc:Fallback>
        </mc:AlternateContent>
      </w:r>
    </w:p>
    <w:p w:rsidR="00FF0AFA" w:rsidRDefault="00FF0AFA" w:rsidP="00FF0AFA">
      <w:pPr>
        <w:rPr>
          <w:rStyle w:val="SCCAppellantForRunningHeadChar"/>
          <w:rFonts w:eastAsiaTheme="majorEastAsia"/>
        </w:rPr>
      </w:pPr>
    </w:p>
    <w:p w:rsidR="00FF0AFA" w:rsidRDefault="00FF0AFA" w:rsidP="00FF0AFA">
      <w:pPr>
        <w:rPr>
          <w:rStyle w:val="SCCAppellantForRunningHeadChar"/>
          <w:rFonts w:eastAsiaTheme="majorEastAsia"/>
        </w:rPr>
      </w:pPr>
    </w:p>
    <w:p w:rsidR="00FF0AFA" w:rsidRDefault="00FF0AFA" w:rsidP="00FF0AFA">
      <w:pPr>
        <w:rPr>
          <w:rStyle w:val="SCCAppellantForRunningHeadChar"/>
          <w:rFonts w:eastAsiaTheme="majorEastAsia"/>
        </w:rPr>
      </w:pPr>
    </w:p>
    <w:p w:rsidR="00820901" w:rsidRPr="00454403" w:rsidRDefault="009B5FEB">
      <w:pPr>
        <w:pStyle w:val="SCCLsocLastPartyInRole"/>
      </w:pPr>
      <w:bookmarkStart w:id="0" w:name="_GoBack"/>
      <w:bookmarkEnd w:id="0"/>
      <w:r w:rsidRPr="00454403">
        <w:t>Her Majesty T</w:t>
      </w:r>
      <w:r w:rsidR="00FC68D5" w:rsidRPr="00454403">
        <w:t>he Queen</w:t>
      </w:r>
      <w:r w:rsidR="00FC68D5" w:rsidRPr="00454403">
        <w:rPr>
          <w:rStyle w:val="SCCLsocPartyRole"/>
        </w:rPr>
        <w:tab/>
        <w:t>Appellant</w:t>
      </w:r>
    </w:p>
    <w:p w:rsidR="00820901" w:rsidRPr="00454403" w:rsidRDefault="00FC68D5">
      <w:pPr>
        <w:pStyle w:val="SCCLsocVersus"/>
      </w:pPr>
      <w:proofErr w:type="gramStart"/>
      <w:r w:rsidRPr="00454403">
        <w:t>v</w:t>
      </w:r>
      <w:proofErr w:type="gramEnd"/>
      <w:r w:rsidRPr="00454403">
        <w:t>.</w:t>
      </w:r>
    </w:p>
    <w:p w:rsidR="00820901" w:rsidRPr="00454403" w:rsidRDefault="00FC68D5">
      <w:pPr>
        <w:pStyle w:val="SCCLsocLastPartyInRole"/>
      </w:pPr>
      <w:r w:rsidRPr="00454403">
        <w:t xml:space="preserve">Richard Lee </w:t>
      </w:r>
      <w:proofErr w:type="spellStart"/>
      <w:r w:rsidRPr="00454403">
        <w:t>Desautel</w:t>
      </w:r>
      <w:proofErr w:type="spellEnd"/>
      <w:r w:rsidRPr="00454403">
        <w:rPr>
          <w:rStyle w:val="SCCLsocPartyRole"/>
        </w:rPr>
        <w:tab/>
        <w:t>Respondent</w:t>
      </w:r>
    </w:p>
    <w:p w:rsidR="00820901" w:rsidRPr="00454403" w:rsidRDefault="00FC68D5">
      <w:pPr>
        <w:pStyle w:val="SCCLsocOtherPartySeparator"/>
      </w:pPr>
      <w:proofErr w:type="gramStart"/>
      <w:r w:rsidRPr="00454403">
        <w:t>and</w:t>
      </w:r>
      <w:proofErr w:type="gramEnd"/>
    </w:p>
    <w:p w:rsidR="00820901" w:rsidRPr="00454403" w:rsidRDefault="00FC68D5">
      <w:pPr>
        <w:pStyle w:val="SCCLsocParty"/>
      </w:pPr>
      <w:r w:rsidRPr="00454403">
        <w:t>Attorney General of Canada,</w:t>
      </w:r>
    </w:p>
    <w:p w:rsidR="00820901" w:rsidRPr="00454403" w:rsidRDefault="00FC68D5">
      <w:pPr>
        <w:pStyle w:val="SCCLsocParty"/>
      </w:pPr>
      <w:r w:rsidRPr="00454403">
        <w:t>Attorney General of Ontario,</w:t>
      </w:r>
    </w:p>
    <w:p w:rsidR="00820901" w:rsidRPr="00454403" w:rsidRDefault="00FC68D5">
      <w:pPr>
        <w:pStyle w:val="SCCLsocParty"/>
      </w:pPr>
      <w:r w:rsidRPr="00454403">
        <w:t>Attorney General of Quebec,</w:t>
      </w:r>
    </w:p>
    <w:p w:rsidR="00820901" w:rsidRPr="00454403" w:rsidRDefault="00FC68D5">
      <w:pPr>
        <w:pStyle w:val="SCCLsocParty"/>
      </w:pPr>
      <w:r w:rsidRPr="00454403">
        <w:t>Attorney General of New Brunswick,</w:t>
      </w:r>
    </w:p>
    <w:p w:rsidR="00820901" w:rsidRPr="00454403" w:rsidRDefault="00FC68D5">
      <w:pPr>
        <w:pStyle w:val="SCCLsocParty"/>
      </w:pPr>
      <w:r w:rsidRPr="00454403">
        <w:t xml:space="preserve">Attorney General </w:t>
      </w:r>
      <w:r w:rsidR="009D53EF" w:rsidRPr="00454403">
        <w:t>of</w:t>
      </w:r>
      <w:r w:rsidRPr="00454403">
        <w:t xml:space="preserve"> Saskatchewan,</w:t>
      </w:r>
    </w:p>
    <w:p w:rsidR="00820901" w:rsidRPr="00454403" w:rsidRDefault="00FC68D5">
      <w:pPr>
        <w:pStyle w:val="SCCLsocParty"/>
      </w:pPr>
      <w:r w:rsidRPr="00454403">
        <w:t>Attorney General of Alberta,</w:t>
      </w:r>
    </w:p>
    <w:p w:rsidR="00820901" w:rsidRPr="00454403" w:rsidRDefault="00FC68D5">
      <w:pPr>
        <w:pStyle w:val="SCCLsocParty"/>
      </w:pPr>
      <w:r w:rsidRPr="00454403">
        <w:t>Attorney General of the Yukon Territory,</w:t>
      </w:r>
    </w:p>
    <w:p w:rsidR="00820901" w:rsidRPr="00454403" w:rsidRDefault="00FC68D5">
      <w:pPr>
        <w:pStyle w:val="SCCLsocParty"/>
      </w:pPr>
      <w:proofErr w:type="spellStart"/>
      <w:r w:rsidRPr="00454403">
        <w:t>Peskotomuhkati</w:t>
      </w:r>
      <w:proofErr w:type="spellEnd"/>
      <w:r w:rsidRPr="00454403">
        <w:t xml:space="preserve"> Nation,</w:t>
      </w:r>
    </w:p>
    <w:p w:rsidR="00820901" w:rsidRPr="00454403" w:rsidRDefault="00FC68D5">
      <w:pPr>
        <w:pStyle w:val="SCCLsocParty"/>
      </w:pPr>
      <w:r w:rsidRPr="00454403">
        <w:t>Indigenous Bar Association in Canada,</w:t>
      </w:r>
    </w:p>
    <w:p w:rsidR="00820901" w:rsidRPr="00454403" w:rsidRDefault="00FC68D5">
      <w:pPr>
        <w:pStyle w:val="SCCLsocParty"/>
      </w:pPr>
      <w:r w:rsidRPr="00454403">
        <w:t>Whitecap Dakota First Nation,</w:t>
      </w:r>
    </w:p>
    <w:p w:rsidR="00F1607B" w:rsidRPr="00454403" w:rsidRDefault="00FC68D5">
      <w:pPr>
        <w:pStyle w:val="SCCLsocParty"/>
      </w:pPr>
      <w:r w:rsidRPr="00454403">
        <w:t>Grand Council o</w:t>
      </w:r>
      <w:r w:rsidR="00F1607B" w:rsidRPr="00454403">
        <w:t xml:space="preserve">f the </w:t>
      </w:r>
      <w:proofErr w:type="spellStart"/>
      <w:r w:rsidR="00F1607B" w:rsidRPr="00454403">
        <w:t>Crees</w:t>
      </w:r>
      <w:proofErr w:type="spellEnd"/>
      <w:r w:rsidR="00F1607B" w:rsidRPr="00454403">
        <w:t xml:space="preserve"> (</w:t>
      </w:r>
      <w:proofErr w:type="spellStart"/>
      <w:r w:rsidR="00F1607B" w:rsidRPr="00454403">
        <w:t>Eeyou</w:t>
      </w:r>
      <w:proofErr w:type="spellEnd"/>
      <w:r w:rsidR="00F1607B" w:rsidRPr="00454403">
        <w:t xml:space="preserve"> </w:t>
      </w:r>
      <w:proofErr w:type="spellStart"/>
      <w:r w:rsidR="00F1607B" w:rsidRPr="00454403">
        <w:t>Istchee</w:t>
      </w:r>
      <w:proofErr w:type="spellEnd"/>
      <w:r w:rsidR="00F1607B" w:rsidRPr="00454403">
        <w:t>),</w:t>
      </w:r>
    </w:p>
    <w:p w:rsidR="00820901" w:rsidRPr="00454403" w:rsidRDefault="00FC68D5">
      <w:pPr>
        <w:pStyle w:val="SCCLsocParty"/>
      </w:pPr>
      <w:r w:rsidRPr="00454403">
        <w:t>Cree Nation Government,</w:t>
      </w:r>
    </w:p>
    <w:p w:rsidR="00820901" w:rsidRPr="00454403" w:rsidRDefault="00FC68D5">
      <w:pPr>
        <w:pStyle w:val="SCCLsocParty"/>
      </w:pPr>
      <w:r w:rsidRPr="00454403">
        <w:t>Okanagan Nation Alliance,</w:t>
      </w:r>
    </w:p>
    <w:p w:rsidR="00820901" w:rsidRPr="00454403" w:rsidRDefault="00FC68D5">
      <w:pPr>
        <w:pStyle w:val="SCCLsocParty"/>
      </w:pPr>
      <w:r w:rsidRPr="00454403">
        <w:t xml:space="preserve">Mohawk Council of </w:t>
      </w:r>
      <w:proofErr w:type="spellStart"/>
      <w:r w:rsidRPr="00454403">
        <w:t>Kahnawà</w:t>
      </w:r>
      <w:proofErr w:type="gramStart"/>
      <w:r w:rsidRPr="00454403">
        <w:t>:ke</w:t>
      </w:r>
      <w:proofErr w:type="spellEnd"/>
      <w:proofErr w:type="gramEnd"/>
      <w:r w:rsidRPr="00454403">
        <w:t>,</w:t>
      </w:r>
    </w:p>
    <w:p w:rsidR="00820901" w:rsidRPr="00454403" w:rsidRDefault="00FC68D5">
      <w:pPr>
        <w:pStyle w:val="SCCLsocParty"/>
      </w:pPr>
      <w:r w:rsidRPr="00454403">
        <w:t>Assembly of First Nations,</w:t>
      </w:r>
    </w:p>
    <w:p w:rsidR="00F1607B" w:rsidRPr="00454403" w:rsidRDefault="00F1607B">
      <w:pPr>
        <w:pStyle w:val="SCCLsocParty"/>
      </w:pPr>
      <w:r w:rsidRPr="00454403">
        <w:t>Métis National Council,</w:t>
      </w:r>
    </w:p>
    <w:p w:rsidR="00820901" w:rsidRPr="00454403" w:rsidRDefault="00FC68D5">
      <w:pPr>
        <w:pStyle w:val="SCCLsocParty"/>
      </w:pPr>
      <w:r w:rsidRPr="00454403">
        <w:lastRenderedPageBreak/>
        <w:t>Manitoba Metis Federation Inc.,</w:t>
      </w:r>
    </w:p>
    <w:p w:rsidR="00820901" w:rsidRPr="00454403" w:rsidRDefault="00FC68D5">
      <w:pPr>
        <w:pStyle w:val="SCCLsocParty"/>
      </w:pPr>
      <w:proofErr w:type="spellStart"/>
      <w:r w:rsidRPr="00454403">
        <w:t>Nuchatlaht</w:t>
      </w:r>
      <w:proofErr w:type="spellEnd"/>
      <w:r w:rsidRPr="00454403">
        <w:t xml:space="preserve"> First Nation,</w:t>
      </w:r>
    </w:p>
    <w:p w:rsidR="00820901" w:rsidRPr="00454403" w:rsidRDefault="00FC68D5">
      <w:pPr>
        <w:pStyle w:val="SCCLsocParty"/>
      </w:pPr>
      <w:r w:rsidRPr="00454403">
        <w:t>Congress of Aboriginal Peoples,</w:t>
      </w:r>
    </w:p>
    <w:p w:rsidR="00820901" w:rsidRPr="00454403" w:rsidRDefault="00F1607B">
      <w:pPr>
        <w:pStyle w:val="SCCLsocParty"/>
      </w:pPr>
      <w:r w:rsidRPr="00454403">
        <w:t>Lummi Nation and</w:t>
      </w:r>
    </w:p>
    <w:p w:rsidR="00A149DF" w:rsidRPr="00454403" w:rsidRDefault="00FC68D5" w:rsidP="00AC1998">
      <w:pPr>
        <w:pStyle w:val="SCCLsocLastPartyInRole"/>
      </w:pPr>
      <w:r w:rsidRPr="00454403">
        <w:t>Métis Nation British Columbia</w:t>
      </w:r>
      <w:r w:rsidRPr="00454403">
        <w:rPr>
          <w:rStyle w:val="SCCLsocPartyRole"/>
        </w:rPr>
        <w:tab/>
        <w:t>Interveners</w:t>
      </w:r>
    </w:p>
    <w:p w:rsidR="00426659" w:rsidRPr="00454403" w:rsidRDefault="00426659" w:rsidP="00AC1998">
      <w:pPr>
        <w:spacing w:after="720"/>
        <w:jc w:val="both"/>
        <w:rPr>
          <w:b/>
        </w:rPr>
      </w:pPr>
      <w:r w:rsidRPr="00454403">
        <w:rPr>
          <w:b/>
        </w:rPr>
        <w:t xml:space="preserve">Indexed as: </w:t>
      </w:r>
      <w:r w:rsidRPr="00454403">
        <w:rPr>
          <w:rStyle w:val="SCCAppellantForIndexChar"/>
        </w:rPr>
        <w:t>R.</w:t>
      </w:r>
      <w:r w:rsidRPr="00454403">
        <w:rPr>
          <w:b/>
        </w:rPr>
        <w:t xml:space="preserve"> </w:t>
      </w:r>
      <w:r w:rsidRPr="00454403">
        <w:rPr>
          <w:b/>
          <w:i/>
        </w:rPr>
        <w:t>v.</w:t>
      </w:r>
      <w:r w:rsidRPr="00454403">
        <w:rPr>
          <w:b/>
        </w:rPr>
        <w:t xml:space="preserve"> </w:t>
      </w:r>
      <w:proofErr w:type="spellStart"/>
      <w:r w:rsidRPr="00454403">
        <w:rPr>
          <w:rStyle w:val="SCCRespondentForIndexChar"/>
        </w:rPr>
        <w:t>Desautel</w:t>
      </w:r>
      <w:proofErr w:type="spellEnd"/>
    </w:p>
    <w:p w:rsidR="00426659" w:rsidRPr="00454403" w:rsidRDefault="00AE4535" w:rsidP="00AC1998">
      <w:pPr>
        <w:pStyle w:val="SCCSystemYear"/>
        <w:spacing w:after="720"/>
        <w:jc w:val="both"/>
      </w:pPr>
      <w:r w:rsidRPr="00454403">
        <w:t>2021</w:t>
      </w:r>
      <w:r w:rsidR="003D0399" w:rsidRPr="00454403">
        <w:t xml:space="preserve"> </w:t>
      </w:r>
      <w:r w:rsidR="001E1B26" w:rsidRPr="00454403">
        <w:t>SCC 17</w:t>
      </w:r>
    </w:p>
    <w:p w:rsidR="008322BD" w:rsidRPr="00454403" w:rsidRDefault="009B57B3" w:rsidP="00AC1998">
      <w:pPr>
        <w:spacing w:after="720"/>
        <w:jc w:val="both"/>
      </w:pPr>
      <w:r w:rsidRPr="00454403">
        <w:t>File No.: 38734.</w:t>
      </w:r>
    </w:p>
    <w:p w:rsidR="008322BD" w:rsidRPr="00454403" w:rsidRDefault="00210C95" w:rsidP="00AC1998">
      <w:pPr>
        <w:spacing w:after="720"/>
        <w:jc w:val="both"/>
      </w:pPr>
      <w:r w:rsidRPr="00454403">
        <w:t>2020:</w:t>
      </w:r>
      <w:r w:rsidR="00EB7398" w:rsidRPr="00454403">
        <w:t xml:space="preserve"> October </w:t>
      </w:r>
      <w:r w:rsidR="00AE4535" w:rsidRPr="00454403">
        <w:t>8</w:t>
      </w:r>
      <w:r w:rsidR="009B57B3" w:rsidRPr="00454403">
        <w:t xml:space="preserve">; </w:t>
      </w:r>
      <w:r w:rsidR="00EB7398" w:rsidRPr="00454403">
        <w:t>2021: April </w:t>
      </w:r>
      <w:r w:rsidR="002A6986" w:rsidRPr="00454403">
        <w:t>23</w:t>
      </w:r>
      <w:r w:rsidR="009B57B3" w:rsidRPr="00454403">
        <w:t>.</w:t>
      </w:r>
    </w:p>
    <w:p w:rsidR="008322BD" w:rsidRPr="00454403" w:rsidRDefault="00210C95" w:rsidP="00AC1998">
      <w:pPr>
        <w:spacing w:after="720"/>
        <w:jc w:val="both"/>
      </w:pPr>
      <w:r w:rsidRPr="00454403">
        <w:t xml:space="preserve">Present: </w:t>
      </w:r>
      <w:r w:rsidR="009B57B3" w:rsidRPr="00454403">
        <w:t>Wagner </w:t>
      </w:r>
      <w:proofErr w:type="spellStart"/>
      <w:r w:rsidR="009B57B3" w:rsidRPr="00454403">
        <w:t>C.J</w:t>
      </w:r>
      <w:proofErr w:type="spellEnd"/>
      <w:r w:rsidR="009B57B3" w:rsidRPr="00454403">
        <w:t xml:space="preserve">. and </w:t>
      </w:r>
      <w:proofErr w:type="spellStart"/>
      <w:r w:rsidR="009B57B3" w:rsidRPr="00454403">
        <w:t>Abella</w:t>
      </w:r>
      <w:proofErr w:type="spellEnd"/>
      <w:r w:rsidR="009B57B3" w:rsidRPr="00454403">
        <w:t xml:space="preserve">, </w:t>
      </w:r>
      <w:proofErr w:type="spellStart"/>
      <w:r w:rsidR="009B57B3" w:rsidRPr="00454403">
        <w:t>Moldaver</w:t>
      </w:r>
      <w:proofErr w:type="spellEnd"/>
      <w:r w:rsidR="009B57B3" w:rsidRPr="00454403">
        <w:t xml:space="preserve">, </w:t>
      </w:r>
      <w:proofErr w:type="spellStart"/>
      <w:r w:rsidR="009B57B3" w:rsidRPr="00454403">
        <w:t>Karakatsanis</w:t>
      </w:r>
      <w:proofErr w:type="spellEnd"/>
      <w:r w:rsidR="009B57B3" w:rsidRPr="00454403">
        <w:t xml:space="preserve">, Côté, Brown, Rowe, Martin and </w:t>
      </w:r>
      <w:proofErr w:type="spellStart"/>
      <w:r w:rsidR="009B57B3" w:rsidRPr="00454403">
        <w:t>Kasirer</w:t>
      </w:r>
      <w:proofErr w:type="spellEnd"/>
      <w:r w:rsidR="009B57B3" w:rsidRPr="00454403">
        <w:t> </w:t>
      </w:r>
      <w:proofErr w:type="spellStart"/>
      <w:r w:rsidR="009B57B3" w:rsidRPr="00454403">
        <w:t>JJ</w:t>
      </w:r>
      <w:proofErr w:type="spellEnd"/>
      <w:r w:rsidR="009B57B3" w:rsidRPr="00454403">
        <w:t>.</w:t>
      </w:r>
    </w:p>
    <w:p w:rsidR="008322BD" w:rsidRPr="00454403" w:rsidRDefault="00656313" w:rsidP="0094217C">
      <w:pPr>
        <w:pStyle w:val="SCCLowerCourtNameLowercase"/>
        <w:spacing w:after="480"/>
      </w:pPr>
      <w:r w:rsidRPr="00454403">
        <w:t>o</w:t>
      </w:r>
      <w:r w:rsidR="00170592" w:rsidRPr="00454403">
        <w:t>n</w:t>
      </w:r>
      <w:r w:rsidR="00224FC0" w:rsidRPr="00454403">
        <w:t xml:space="preserve"> </w:t>
      </w:r>
      <w:r w:rsidRPr="00454403">
        <w:t>a</w:t>
      </w:r>
      <w:r w:rsidR="00170592" w:rsidRPr="00454403">
        <w:t>ppeal</w:t>
      </w:r>
      <w:r w:rsidR="00224FC0" w:rsidRPr="00454403">
        <w:t xml:space="preserve"> </w:t>
      </w:r>
      <w:r w:rsidR="00170592" w:rsidRPr="00454403">
        <w:t>from</w:t>
      </w:r>
      <w:r w:rsidR="009567AA" w:rsidRPr="00454403">
        <w:t xml:space="preserve"> the</w:t>
      </w:r>
      <w:r w:rsidR="00224FC0" w:rsidRPr="00454403">
        <w:t xml:space="preserve"> </w:t>
      </w:r>
      <w:r w:rsidR="009B57B3" w:rsidRPr="00454403">
        <w:t xml:space="preserve">court of appeal for </w:t>
      </w:r>
      <w:proofErr w:type="spellStart"/>
      <w:proofErr w:type="gramStart"/>
      <w:r w:rsidR="009B57B3" w:rsidRPr="00454403">
        <w:t>british</w:t>
      </w:r>
      <w:proofErr w:type="spellEnd"/>
      <w:r w:rsidR="009B57B3" w:rsidRPr="00454403">
        <w:t xml:space="preserve"> </w:t>
      </w:r>
      <w:proofErr w:type="spellStart"/>
      <w:r w:rsidR="009B57B3" w:rsidRPr="00454403">
        <w:t>columbia</w:t>
      </w:r>
      <w:proofErr w:type="spellEnd"/>
      <w:proofErr w:type="gramEnd"/>
    </w:p>
    <w:p w:rsidR="008322BD" w:rsidRPr="00454403" w:rsidRDefault="008B1E76" w:rsidP="0094217C">
      <w:pPr>
        <w:pStyle w:val="SCCNormalDoubleSpacing"/>
        <w:spacing w:after="480"/>
      </w:pPr>
      <w:r w:rsidRPr="00454403">
        <w:tab/>
      </w:r>
      <w:r w:rsidRPr="00454403">
        <w:rPr>
          <w:i/>
        </w:rPr>
        <w:t>Constitutional law — Aboriginal peoples — Aboriginal rights — Hunting — Citizen and resident of United States charged under provincial wildlife legislation with hunting in British Columbia without licence and while not being resident of province — Charges defended on basis of constitutionally</w:t>
      </w:r>
      <w:r w:rsidR="00EB7398" w:rsidRPr="00454403">
        <w:rPr>
          <w:i/>
        </w:rPr>
        <w:noBreakHyphen/>
      </w:r>
      <w:r w:rsidRPr="00454403">
        <w:rPr>
          <w:i/>
        </w:rPr>
        <w:t>protected Aboriginal right to hunt in traditional territory of ancestors — Whether Aboriginal people located outside Canada can assert Aboriginal rights under Canadian Constitution — If so, whether provincial wildlife legislation of no force or effect by reason of Aboriginal right</w:t>
      </w:r>
      <w:r w:rsidR="00EB7398" w:rsidRPr="00454403">
        <w:rPr>
          <w:i/>
        </w:rPr>
        <w:t xml:space="preserve"> — Constitutional Act, 1982, s. </w:t>
      </w:r>
      <w:r w:rsidRPr="00454403">
        <w:rPr>
          <w:i/>
        </w:rPr>
        <w:t>35(1).</w:t>
      </w:r>
    </w:p>
    <w:p w:rsidR="008B1E76" w:rsidRPr="00454403" w:rsidRDefault="008B1E76" w:rsidP="00AC1998">
      <w:pPr>
        <w:pStyle w:val="SCCNormalDoubleSpacing"/>
        <w:spacing w:after="480"/>
      </w:pPr>
      <w:r w:rsidRPr="00454403">
        <w:lastRenderedPageBreak/>
        <w:tab/>
        <w:t>In October 2010, D, a citizen and resident of the United States of America, shot a cow</w:t>
      </w:r>
      <w:r w:rsidR="00EB7398" w:rsidRPr="00454403">
        <w:noBreakHyphen/>
      </w:r>
      <w:r w:rsidRPr="00454403">
        <w:t>elk in British Columbia. He was charged with hunting w</w:t>
      </w:r>
      <w:r w:rsidR="00EB7398" w:rsidRPr="00454403">
        <w:t>ithout a licence contrary to s. </w:t>
      </w:r>
      <w:r w:rsidRPr="00454403">
        <w:t xml:space="preserve">11(1) of British Columbia’s </w:t>
      </w:r>
      <w:r w:rsidRPr="00454403">
        <w:rPr>
          <w:i/>
        </w:rPr>
        <w:t>Wildlife Act</w:t>
      </w:r>
      <w:r w:rsidRPr="00454403">
        <w:t xml:space="preserve"> and hunting big game while not being a resident of the province contrary to s. 47(a) of the </w:t>
      </w:r>
      <w:r w:rsidRPr="00454403">
        <w:rPr>
          <w:i/>
        </w:rPr>
        <w:t>Act</w:t>
      </w:r>
      <w:r w:rsidRPr="00454403">
        <w:t>. D defended the charges on the basis that he had an Aborigina</w:t>
      </w:r>
      <w:r w:rsidR="006B00CB">
        <w:t>l right to hunt protected by s. </w:t>
      </w:r>
      <w:r w:rsidRPr="00454403">
        <w:t xml:space="preserve">35(1) of the </w:t>
      </w:r>
      <w:r w:rsidRPr="00454403">
        <w:rPr>
          <w:i/>
        </w:rPr>
        <w:t>Constitution Act, 1982</w:t>
      </w:r>
      <w:r w:rsidRPr="00454403">
        <w:t>, as</w:t>
      </w:r>
      <w:r w:rsidRPr="00454403">
        <w:rPr>
          <w:i/>
        </w:rPr>
        <w:t xml:space="preserve"> </w:t>
      </w:r>
      <w:r w:rsidRPr="00454403">
        <w:t xml:space="preserve">he is a member of the Lakes Tribe of the Colville Confederated Tribes based in the State of Washington, a successor group of the </w:t>
      </w:r>
      <w:proofErr w:type="spellStart"/>
      <w:r w:rsidRPr="00454403">
        <w:t>Sinixt</w:t>
      </w:r>
      <w:proofErr w:type="spellEnd"/>
      <w:r w:rsidRPr="00454403">
        <w:t xml:space="preserve"> people, and he shot the elk within the ancestral territory of the </w:t>
      </w:r>
      <w:proofErr w:type="spellStart"/>
      <w:r w:rsidRPr="00454403">
        <w:t>Sinixt</w:t>
      </w:r>
      <w:proofErr w:type="spellEnd"/>
      <w:r w:rsidRPr="00454403">
        <w:t xml:space="preserve"> in British Columbia.</w:t>
      </w:r>
    </w:p>
    <w:p w:rsidR="008B1E76" w:rsidRPr="00454403" w:rsidRDefault="008B1E76" w:rsidP="00AC1998">
      <w:pPr>
        <w:pStyle w:val="SCCNormalDoubleSpacing"/>
        <w:spacing w:after="480"/>
        <w:rPr>
          <w:lang w:val="en-US"/>
        </w:rPr>
      </w:pPr>
      <w:r w:rsidRPr="00454403">
        <w:tab/>
        <w:t xml:space="preserve">At trial, it was accepted that the date of first contact between the </w:t>
      </w:r>
      <w:proofErr w:type="spellStart"/>
      <w:r w:rsidRPr="00454403">
        <w:t>Sinixt</w:t>
      </w:r>
      <w:proofErr w:type="spellEnd"/>
      <w:r w:rsidRPr="00454403">
        <w:t xml:space="preserve"> and Europeans was in 1811. At that time, the </w:t>
      </w:r>
      <w:proofErr w:type="spellStart"/>
      <w:r w:rsidRPr="00454403">
        <w:t>Sinixt</w:t>
      </w:r>
      <w:proofErr w:type="spellEnd"/>
      <w:r w:rsidRPr="00454403">
        <w:t xml:space="preserve"> were engaged in hunting, fishing, and gathering in their ancestral territory, which extended into what is now Washington State to the south, and into what is now British Columbia to the north. Until around 1870, the </w:t>
      </w:r>
      <w:proofErr w:type="spellStart"/>
      <w:r w:rsidRPr="00454403">
        <w:t>Sinixt</w:t>
      </w:r>
      <w:proofErr w:type="spellEnd"/>
      <w:r w:rsidRPr="00454403">
        <w:t xml:space="preserve"> continued their activities in the northern portion of their territory, located in Canada. In the course of time, a constellation of factors made the </w:t>
      </w:r>
      <w:proofErr w:type="spellStart"/>
      <w:r w:rsidRPr="00454403">
        <w:t>Sinixt</w:t>
      </w:r>
      <w:proofErr w:type="spellEnd"/>
      <w:r w:rsidRPr="00454403">
        <w:t xml:space="preserve"> people move to the United States. The trial judge did not find that the move was voluntary. Until 1930, members of the Lakes Tribe continued to hunt in British Columbia, despite living in Washington State. </w:t>
      </w:r>
      <w:r w:rsidRPr="00454403">
        <w:rPr>
          <w:lang w:bidi="en-US"/>
        </w:rPr>
        <w:t xml:space="preserve">After 1930, despite </w:t>
      </w:r>
      <w:r w:rsidRPr="00454403">
        <w:t xml:space="preserve">periods in which no hunting took place, the Lakes Tribe continued to have a connection to the land where their ancestors hunted in British Columbia. </w:t>
      </w:r>
    </w:p>
    <w:p w:rsidR="008322BD" w:rsidRPr="00454403" w:rsidRDefault="008B1E76" w:rsidP="00AC1998">
      <w:pPr>
        <w:pStyle w:val="SCCNormalDoubleSpacing"/>
        <w:spacing w:after="480"/>
      </w:pPr>
      <w:r w:rsidRPr="00454403">
        <w:lastRenderedPageBreak/>
        <w:tab/>
        <w:t xml:space="preserve">The trial judge held that D was a member of the Lakes Tribe, and that the rights of the </w:t>
      </w:r>
      <w:proofErr w:type="spellStart"/>
      <w:r w:rsidRPr="00454403">
        <w:t>Sinixt</w:t>
      </w:r>
      <w:proofErr w:type="spellEnd"/>
      <w:r w:rsidRPr="00454403">
        <w:t xml:space="preserve"> continued with the Lakes Tribe. She applied the test for Aboriginal rights set out in </w:t>
      </w:r>
      <w:r w:rsidRPr="00454403">
        <w:rPr>
          <w:i/>
        </w:rPr>
        <w:t xml:space="preserve">R. v. Van der </w:t>
      </w:r>
      <w:proofErr w:type="spellStart"/>
      <w:r w:rsidRPr="00454403">
        <w:rPr>
          <w:i/>
        </w:rPr>
        <w:t>Peet</w:t>
      </w:r>
      <w:proofErr w:type="spellEnd"/>
      <w:r w:rsidRPr="00454403">
        <w:t xml:space="preserve">, [1996] 2 </w:t>
      </w:r>
      <w:proofErr w:type="spellStart"/>
      <w:r w:rsidRPr="00454403">
        <w:t>S.C.R</w:t>
      </w:r>
      <w:proofErr w:type="spellEnd"/>
      <w:r w:rsidRPr="00454403">
        <w:t>. 507, and held that D was exercising an Aboriginal right to hunt for food, social and cerem</w:t>
      </w:r>
      <w:r w:rsidR="006B00CB">
        <w:t>onial purposes guaranteed by s. </w:t>
      </w:r>
      <w:r w:rsidRPr="00454403">
        <w:t xml:space="preserve">35(1) of the </w:t>
      </w:r>
      <w:r w:rsidRPr="00454403">
        <w:rPr>
          <w:i/>
        </w:rPr>
        <w:t>Constitution Act, 1982</w:t>
      </w:r>
      <w:r w:rsidRPr="00454403">
        <w:t>. D’s Aboriginal right remained in ex</w:t>
      </w:r>
      <w:r w:rsidR="006B00CB">
        <w:t>istence and was protected by s. </w:t>
      </w:r>
      <w:r w:rsidRPr="00454403">
        <w:t xml:space="preserve">35(1), despite the Lakes Tribe’s departure from the Canadian part of their traditional territory and </w:t>
      </w:r>
      <w:r w:rsidRPr="00454403">
        <w:rPr>
          <w:shd w:val="clear" w:color="auto" w:fill="FFFFFF"/>
        </w:rPr>
        <w:t>notwithstanding a period of dormancy</w:t>
      </w:r>
      <w:r w:rsidRPr="00454403">
        <w:t xml:space="preserve"> in the exercise of the right. The trial judge held that the right was infringed by the </w:t>
      </w:r>
      <w:r w:rsidRPr="00454403">
        <w:rPr>
          <w:i/>
        </w:rPr>
        <w:t>Wildlife Act</w:t>
      </w:r>
      <w:r w:rsidRPr="00454403">
        <w:t xml:space="preserve"> and the infringement was not justified. D was acquitted. The Crown’s two subsequent appeals were dismissed. It now appeals to the Court, raising, as a constitutional question, whether the relevant provisions of the </w:t>
      </w:r>
      <w:r w:rsidRPr="00454403">
        <w:rPr>
          <w:i/>
        </w:rPr>
        <w:t>Wildlife Act</w:t>
      </w:r>
      <w:r w:rsidRPr="00454403">
        <w:t xml:space="preserve"> are of no force or effect with respect to D, by reason of an Aboriginal right within the meaning of s. 35(1) of the </w:t>
      </w:r>
      <w:r w:rsidRPr="00454403">
        <w:rPr>
          <w:i/>
        </w:rPr>
        <w:t>Constitution Act, 1982</w:t>
      </w:r>
      <w:r w:rsidRPr="00454403">
        <w:t>.</w:t>
      </w:r>
    </w:p>
    <w:p w:rsidR="008322BD" w:rsidRPr="00454403" w:rsidRDefault="008B1E76" w:rsidP="00AC1998">
      <w:pPr>
        <w:pStyle w:val="SCCNormalDoubleSpacing"/>
        <w:spacing w:after="480"/>
      </w:pPr>
      <w:r w:rsidRPr="00454403">
        <w:tab/>
      </w:r>
      <w:r w:rsidRPr="00454403">
        <w:rPr>
          <w:rStyle w:val="QuoteChar"/>
          <w:color w:val="auto"/>
          <w:lang w:val="en-CA"/>
        </w:rPr>
        <w:t>Held</w:t>
      </w:r>
      <w:r w:rsidRPr="00454403">
        <w:rPr>
          <w:rStyle w:val="QuoteChar"/>
          <w:i w:val="0"/>
          <w:color w:val="auto"/>
          <w:lang w:val="en-CA"/>
        </w:rPr>
        <w:t xml:space="preserve"> </w:t>
      </w:r>
      <w:r w:rsidRPr="00454403">
        <w:rPr>
          <w:iCs/>
        </w:rPr>
        <w:t>(</w:t>
      </w:r>
      <w:proofErr w:type="spellStart"/>
      <w:r w:rsidR="00AC1998" w:rsidRPr="00454403">
        <w:rPr>
          <w:iCs/>
        </w:rPr>
        <w:t>Moldaver</w:t>
      </w:r>
      <w:proofErr w:type="spellEnd"/>
      <w:r w:rsidR="00AC1998" w:rsidRPr="00454403">
        <w:rPr>
          <w:iCs/>
        </w:rPr>
        <w:t xml:space="preserve"> and Côté </w:t>
      </w:r>
      <w:proofErr w:type="spellStart"/>
      <w:r w:rsidRPr="00454403">
        <w:rPr>
          <w:iCs/>
        </w:rPr>
        <w:t>JJ</w:t>
      </w:r>
      <w:proofErr w:type="spellEnd"/>
      <w:r w:rsidRPr="00454403">
        <w:rPr>
          <w:iCs/>
        </w:rPr>
        <w:t>. dissenting)</w:t>
      </w:r>
      <w:r w:rsidRPr="00454403">
        <w:rPr>
          <w:rStyle w:val="QuoteChar"/>
          <w:i w:val="0"/>
          <w:color w:val="auto"/>
          <w:lang w:val="en-CA"/>
        </w:rPr>
        <w:t>:</w:t>
      </w:r>
      <w:r w:rsidR="00EB7398" w:rsidRPr="00454403">
        <w:t xml:space="preserve"> </w:t>
      </w:r>
      <w:r w:rsidRPr="00454403">
        <w:t>The appeal should be dismissed and the constitutional question answered in the affirmative.</w:t>
      </w:r>
    </w:p>
    <w:p w:rsidR="008B1E76" w:rsidRPr="00454403" w:rsidRDefault="008B1E76" w:rsidP="00AC1998">
      <w:pPr>
        <w:pStyle w:val="SCCNormalDoubleSpacing"/>
        <w:spacing w:after="480"/>
        <w:rPr>
          <w:lang w:bidi="en-US"/>
        </w:rPr>
      </w:pPr>
      <w:r w:rsidRPr="00454403">
        <w:tab/>
      </w:r>
      <w:r w:rsidRPr="00454403">
        <w:rPr>
          <w:i/>
        </w:rPr>
        <w:t>Per</w:t>
      </w:r>
      <w:r w:rsidRPr="00454403">
        <w:t xml:space="preserve"> </w:t>
      </w:r>
      <w:r w:rsidR="00AC1998" w:rsidRPr="00454403">
        <w:t>Wagner </w:t>
      </w:r>
      <w:proofErr w:type="spellStart"/>
      <w:r w:rsidRPr="00454403">
        <w:t>C.J</w:t>
      </w:r>
      <w:proofErr w:type="spellEnd"/>
      <w:r w:rsidRPr="00454403">
        <w:t xml:space="preserve">. and </w:t>
      </w:r>
      <w:proofErr w:type="spellStart"/>
      <w:r w:rsidRPr="00454403">
        <w:t>Abella</w:t>
      </w:r>
      <w:proofErr w:type="spellEnd"/>
      <w:r w:rsidRPr="00454403">
        <w:t xml:space="preserve">, </w:t>
      </w:r>
      <w:proofErr w:type="spellStart"/>
      <w:r w:rsidRPr="00454403">
        <w:t>Karakatsanis</w:t>
      </w:r>
      <w:proofErr w:type="spellEnd"/>
      <w:r w:rsidRPr="00454403">
        <w:t xml:space="preserve">, Brown, </w:t>
      </w:r>
      <w:r w:rsidRPr="00DB0967">
        <w:t>Rowe</w:t>
      </w:r>
      <w:r w:rsidRPr="00454403">
        <w:t xml:space="preserve">, Martin and </w:t>
      </w:r>
      <w:proofErr w:type="spellStart"/>
      <w:r w:rsidRPr="00454403">
        <w:rPr>
          <w:lang w:bidi="en-US"/>
        </w:rPr>
        <w:t>Kasirer</w:t>
      </w:r>
      <w:proofErr w:type="spellEnd"/>
      <w:r w:rsidR="00AC1998" w:rsidRPr="00454403">
        <w:rPr>
          <w:lang w:bidi="en-US"/>
        </w:rPr>
        <w:t> </w:t>
      </w:r>
      <w:proofErr w:type="spellStart"/>
      <w:r w:rsidRPr="00454403">
        <w:rPr>
          <w:lang w:bidi="en-US"/>
        </w:rPr>
        <w:t>JJ</w:t>
      </w:r>
      <w:proofErr w:type="spellEnd"/>
      <w:r w:rsidRPr="00454403">
        <w:rPr>
          <w:lang w:bidi="en-US"/>
        </w:rPr>
        <w:t>.: Persons who are not Canadian citizens and who do not reside in Canada can exercise an Aborigina</w:t>
      </w:r>
      <w:r w:rsidR="00AC1998" w:rsidRPr="00454403">
        <w:rPr>
          <w:lang w:bidi="en-US"/>
        </w:rPr>
        <w:t>l right that is protected by s. </w:t>
      </w:r>
      <w:r w:rsidRPr="00454403">
        <w:rPr>
          <w:lang w:bidi="en-US"/>
        </w:rPr>
        <w:t xml:space="preserve">35(1) of the </w:t>
      </w:r>
      <w:r w:rsidRPr="00454403">
        <w:rPr>
          <w:i/>
          <w:lang w:bidi="en-US"/>
        </w:rPr>
        <w:t>Constitution Act, 1982</w:t>
      </w:r>
      <w:r w:rsidRPr="00454403">
        <w:rPr>
          <w:lang w:bidi="en-US"/>
        </w:rPr>
        <w:t>. On a</w:t>
      </w:r>
      <w:r w:rsidR="00AC1998" w:rsidRPr="00454403">
        <w:rPr>
          <w:lang w:bidi="en-US"/>
        </w:rPr>
        <w:t xml:space="preserve"> purposive interpretation of s. </w:t>
      </w:r>
      <w:r w:rsidRPr="00454403">
        <w:rPr>
          <w:lang w:bidi="en-US"/>
        </w:rPr>
        <w:t>35(1), the expression “aboriginal peoples of Canada” means the modern</w:t>
      </w:r>
      <w:r w:rsidR="00EB7398" w:rsidRPr="00454403">
        <w:rPr>
          <w:lang w:bidi="en-US"/>
        </w:rPr>
        <w:noBreakHyphen/>
      </w:r>
      <w:r w:rsidRPr="00454403">
        <w:rPr>
          <w:lang w:bidi="en-US"/>
        </w:rPr>
        <w:t xml:space="preserve">day successors of Aboriginal societies that occupied Canadian territory at the time of European contact, and this may include Aboriginal </w:t>
      </w:r>
      <w:r w:rsidRPr="00454403">
        <w:rPr>
          <w:lang w:bidi="en-US"/>
        </w:rPr>
        <w:lastRenderedPageBreak/>
        <w:t xml:space="preserve">groups that are now outside Canada. As D is a member of the Lakes Tribe, which is a modern successor of the </w:t>
      </w:r>
      <w:proofErr w:type="spellStart"/>
      <w:r w:rsidRPr="00454403">
        <w:rPr>
          <w:lang w:bidi="en-US"/>
        </w:rPr>
        <w:t>Sinixt</w:t>
      </w:r>
      <w:proofErr w:type="spellEnd"/>
      <w:r w:rsidRPr="00454403">
        <w:rPr>
          <w:lang w:bidi="en-US"/>
        </w:rPr>
        <w:t xml:space="preserve">, and as D’s claim satisfies the </w:t>
      </w:r>
      <w:r w:rsidRPr="00454403">
        <w:rPr>
          <w:i/>
          <w:lang w:bidi="en-US"/>
        </w:rPr>
        <w:t xml:space="preserve">Van der </w:t>
      </w:r>
      <w:proofErr w:type="spellStart"/>
      <w:r w:rsidRPr="00454403">
        <w:rPr>
          <w:i/>
          <w:lang w:bidi="en-US"/>
        </w:rPr>
        <w:t>Peet</w:t>
      </w:r>
      <w:proofErr w:type="spellEnd"/>
      <w:r w:rsidRPr="00454403">
        <w:rPr>
          <w:lang w:bidi="en-US"/>
        </w:rPr>
        <w:t xml:space="preserve"> test for </w:t>
      </w:r>
      <w:r w:rsidRPr="00454403">
        <w:t>an Aboriginal right</w:t>
      </w:r>
      <w:r w:rsidR="00AC1998" w:rsidRPr="00454403">
        <w:t xml:space="preserve"> under s. </w:t>
      </w:r>
      <w:r w:rsidRPr="00454403">
        <w:t>35(1)</w:t>
      </w:r>
      <w:r w:rsidRPr="00454403">
        <w:rPr>
          <w:lang w:bidi="en-US"/>
        </w:rPr>
        <w:t xml:space="preserve">, </w:t>
      </w:r>
      <w:r w:rsidR="00EB7398" w:rsidRPr="00454403">
        <w:rPr>
          <w:lang w:bidi="en-US"/>
        </w:rPr>
        <w:t>ss. </w:t>
      </w:r>
      <w:r w:rsidRPr="00454403">
        <w:rPr>
          <w:lang w:bidi="en-US"/>
        </w:rPr>
        <w:t xml:space="preserve">11(1) and 47(a) of the </w:t>
      </w:r>
      <w:r w:rsidRPr="00454403">
        <w:rPr>
          <w:i/>
          <w:lang w:bidi="en-US"/>
        </w:rPr>
        <w:t>Wildlife Act</w:t>
      </w:r>
      <w:r w:rsidRPr="00454403">
        <w:rPr>
          <w:lang w:bidi="en-US"/>
        </w:rPr>
        <w:t xml:space="preserve"> are of no force or effect with respect to him. </w:t>
      </w:r>
    </w:p>
    <w:p w:rsidR="008B1E76" w:rsidRPr="00454403" w:rsidRDefault="008B1E76" w:rsidP="00AC1998">
      <w:pPr>
        <w:pStyle w:val="SCCNormalDoubleSpacing"/>
        <w:spacing w:after="480"/>
      </w:pPr>
      <w:r w:rsidRPr="00454403">
        <w:rPr>
          <w:lang w:bidi="en-US"/>
        </w:rPr>
        <w:tab/>
        <w:t>In order to assert rights protected</w:t>
      </w:r>
      <w:r w:rsidR="00AC1998" w:rsidRPr="00454403">
        <w:rPr>
          <w:lang w:bidi="en-US"/>
        </w:rPr>
        <w:t xml:space="preserve"> under s. </w:t>
      </w:r>
      <w:r w:rsidRPr="00454403">
        <w:rPr>
          <w:lang w:bidi="en-US"/>
        </w:rPr>
        <w:t xml:space="preserve">35(1) of the </w:t>
      </w:r>
      <w:r w:rsidRPr="00454403">
        <w:rPr>
          <w:i/>
          <w:lang w:bidi="en-US"/>
        </w:rPr>
        <w:t>Constitution Act, 1982</w:t>
      </w:r>
      <w:r w:rsidRPr="00454403">
        <w:rPr>
          <w:lang w:bidi="en-US"/>
        </w:rPr>
        <w:t xml:space="preserve">, </w:t>
      </w:r>
      <w:r w:rsidRPr="00454403">
        <w:t>an Aboriginal group must be part of the “aboriginal peoples of Canada”.</w:t>
      </w:r>
      <w:r w:rsidRPr="00454403">
        <w:rPr>
          <w:lang w:bidi="en-US"/>
        </w:rPr>
        <w:t xml:space="preserve"> This is a threshold question,</w:t>
      </w:r>
      <w:r w:rsidRPr="00454403">
        <w:rPr>
          <w:lang w:val="en-US"/>
        </w:rPr>
        <w:t xml:space="preserve"> in the sense that if a group is not an Aboriginal people of Canada, there is no need to proceed to the test for Aboriginal rights set out in </w:t>
      </w:r>
      <w:r w:rsidRPr="00454403">
        <w:rPr>
          <w:i/>
          <w:lang w:val="en-US"/>
        </w:rPr>
        <w:t xml:space="preserve">Van der </w:t>
      </w:r>
      <w:proofErr w:type="spellStart"/>
      <w:r w:rsidRPr="00454403">
        <w:rPr>
          <w:i/>
          <w:lang w:val="en-US"/>
        </w:rPr>
        <w:t>Peet</w:t>
      </w:r>
      <w:proofErr w:type="spellEnd"/>
      <w:r w:rsidRPr="00454403">
        <w:rPr>
          <w:lang w:bidi="en-US"/>
        </w:rPr>
        <w:t xml:space="preserve">. Section 35(1) must be interpreted in a purposive way. </w:t>
      </w:r>
      <w:r w:rsidRPr="00454403">
        <w:t xml:space="preserve">A review of the jurisprudence shows that s. 35(1) serves to recognize the prior occupation of Canada by Aboriginal societies and to reconcile their contemporary existence with Crown sovereignty. These purposes are expressed in the doctrinal structure of Aboriginal law, which gives effect to rights and relationships that arise from the prior occupation of Canada by Aboriginal societies. Because the doctrine of Aboriginal rights arises from the simple fact of prior occupation, the Aboriginal peoples of Canada under s. 35(1) are the modern successors of those Aboriginal societies that occupied Canadian territory at the time of European contact, even if they are now outside Canada. </w:t>
      </w:r>
    </w:p>
    <w:p w:rsidR="008B1E76" w:rsidRPr="00454403" w:rsidRDefault="008B1E76" w:rsidP="00AC1998">
      <w:pPr>
        <w:pStyle w:val="SCCNormalDoubleSpacing"/>
        <w:spacing w:after="480"/>
      </w:pPr>
      <w:r w:rsidRPr="00454403">
        <w:tab/>
      </w:r>
      <w:r w:rsidRPr="00454403">
        <w:rPr>
          <w:lang w:val="en-GB"/>
        </w:rPr>
        <w:t>A</w:t>
      </w:r>
      <w:r w:rsidRPr="00454403">
        <w:t xml:space="preserve">n interpretation of the expression “aboriginal peoples of Canada” in s. 35(1) that includes Aboriginal peoples who were here when the Europeans arrived and later moved or were forced to move elsewhere, or on whom international boundaries were imposed, reflects the purpose of reconciliation. By contrast, an </w:t>
      </w:r>
      <w:r w:rsidRPr="00454403">
        <w:lastRenderedPageBreak/>
        <w:t xml:space="preserve">interpretation that excludes Aboriginal peoples who were forced to move out of Canada would risk perpetuating the historical injustice suffered by Aboriginal peoples at the hands of Europeans. As well, </w:t>
      </w:r>
      <w:r w:rsidRPr="00454403">
        <w:rPr>
          <w:lang w:val="en-GB"/>
        </w:rPr>
        <w:t>it bears emphasis that s.</w:t>
      </w:r>
      <w:r w:rsidR="00AC1998" w:rsidRPr="00454403">
        <w:rPr>
          <w:lang w:val="en-GB"/>
        </w:rPr>
        <w:t> </w:t>
      </w:r>
      <w:r w:rsidRPr="00454403">
        <w:rPr>
          <w:lang w:val="en-GB"/>
        </w:rPr>
        <w:t>35(1) did not create Aboriginal rights. T</w:t>
      </w:r>
      <w:r w:rsidRPr="00454403">
        <w:t xml:space="preserve">he practices, customs and traditions that underlie these rights existed before 1982. </w:t>
      </w:r>
      <w:r w:rsidRPr="00454403">
        <w:rPr>
          <w:lang w:val="en-GB"/>
        </w:rPr>
        <w:t>An interpretation of s. 35(1) that limits its scope to those Aboriginal peoples who were located in Canada in 1982 would fail to give effect to this point by treating s. 35(1) as the source of Aboriginal rights.</w:t>
      </w:r>
    </w:p>
    <w:p w:rsidR="008B1E76" w:rsidRPr="00454403" w:rsidRDefault="008B1E76" w:rsidP="00AC1998">
      <w:pPr>
        <w:pStyle w:val="SCCNormalDoubleSpacing"/>
        <w:spacing w:after="480"/>
        <w:rPr>
          <w:lang w:val="en-GB"/>
        </w:rPr>
      </w:pPr>
      <w:r w:rsidRPr="00454403">
        <w:rPr>
          <w:lang w:val="en-GB"/>
        </w:rPr>
        <w:tab/>
        <w:t xml:space="preserve">If the threshold question is met, the analysis then proceeds under </w:t>
      </w:r>
      <w:r w:rsidRPr="00454403">
        <w:rPr>
          <w:i/>
          <w:lang w:val="en-GB"/>
        </w:rPr>
        <w:t xml:space="preserve">Van der </w:t>
      </w:r>
      <w:proofErr w:type="spellStart"/>
      <w:r w:rsidRPr="00454403">
        <w:rPr>
          <w:i/>
          <w:lang w:val="en-GB"/>
        </w:rPr>
        <w:t>Peet</w:t>
      </w:r>
      <w:proofErr w:type="spellEnd"/>
      <w:r w:rsidRPr="00454403">
        <w:rPr>
          <w:lang w:val="en-GB"/>
        </w:rPr>
        <w:t xml:space="preserve">. The </w:t>
      </w:r>
      <w:r w:rsidRPr="00454403">
        <w:rPr>
          <w:i/>
          <w:lang w:val="en-GB"/>
        </w:rPr>
        <w:t xml:space="preserve">Van der </w:t>
      </w:r>
      <w:proofErr w:type="spellStart"/>
      <w:r w:rsidRPr="00454403">
        <w:rPr>
          <w:i/>
          <w:lang w:val="en-GB"/>
        </w:rPr>
        <w:t>Peet</w:t>
      </w:r>
      <w:proofErr w:type="spellEnd"/>
      <w:r w:rsidRPr="00454403">
        <w:rPr>
          <w:i/>
          <w:lang w:val="en-GB"/>
        </w:rPr>
        <w:t xml:space="preserve"> </w:t>
      </w:r>
      <w:r w:rsidRPr="00454403">
        <w:rPr>
          <w:lang w:val="en-GB"/>
        </w:rPr>
        <w:t>test is the same for groups outside Canada as for groups within Canada. That Aboriginal rights must be grounded in the existence of a historic and present</w:t>
      </w:r>
      <w:r w:rsidR="00EB7398" w:rsidRPr="00454403">
        <w:rPr>
          <w:lang w:val="en-GB"/>
        </w:rPr>
        <w:noBreakHyphen/>
      </w:r>
      <w:r w:rsidRPr="00454403">
        <w:rPr>
          <w:lang w:val="en-GB"/>
        </w:rPr>
        <w:t>day community, and that modern</w:t>
      </w:r>
      <w:r w:rsidR="00EB7398" w:rsidRPr="00454403">
        <w:rPr>
          <w:lang w:val="en-GB"/>
        </w:rPr>
        <w:noBreakHyphen/>
      </w:r>
      <w:r w:rsidRPr="00454403">
        <w:rPr>
          <w:lang w:val="en-GB"/>
        </w:rPr>
        <w:t>day claimants must establish a connection with the pre</w:t>
      </w:r>
      <w:r w:rsidR="00EB7398" w:rsidRPr="00454403">
        <w:rPr>
          <w:lang w:val="en-GB"/>
        </w:rPr>
        <w:noBreakHyphen/>
      </w:r>
      <w:r w:rsidRPr="00454403">
        <w:rPr>
          <w:lang w:val="en-GB"/>
        </w:rPr>
        <w:t xml:space="preserve">sovereignty group upon whose practices they rely, is so for Aboriginal groups inside or outside Canada. There is no additional requirement, for groups outside Canada, of recognition by a related Aboriginal collective residing in Canada. This requirement would place a higher burden on Aboriginal communities who seek to claim rights if the group moved, was forced to move, or was divided by the creation of an international border. It would risk defining Aboriginal rights in a manner that excludes some of those the provision was intended to protect. Moreover, it would raise myriad practical difficulties, such as which group within Canada has a say in the recognition of a claimant located outside Canada, where there are competing groups, which body can represent a collective residing in Canada, and what happens if there is no related modern collective residing in Canada. </w:t>
      </w:r>
    </w:p>
    <w:p w:rsidR="008B1E76" w:rsidRPr="00454403" w:rsidRDefault="008B1E76" w:rsidP="00AC1998">
      <w:pPr>
        <w:pStyle w:val="SCCNormalDoubleSpacing"/>
        <w:spacing w:after="480"/>
        <w:rPr>
          <w:lang w:val="en-GB"/>
        </w:rPr>
      </w:pPr>
      <w:r w:rsidRPr="00454403">
        <w:rPr>
          <w:lang w:val="en-GB"/>
        </w:rPr>
        <w:lastRenderedPageBreak/>
        <w:tab/>
        <w:t xml:space="preserve">Under the </w:t>
      </w:r>
      <w:r w:rsidRPr="00454403">
        <w:rPr>
          <w:i/>
          <w:lang w:val="en-GB"/>
        </w:rPr>
        <w:t xml:space="preserve">Van der </w:t>
      </w:r>
      <w:proofErr w:type="spellStart"/>
      <w:r w:rsidRPr="00454403">
        <w:rPr>
          <w:i/>
          <w:lang w:val="en-GB"/>
        </w:rPr>
        <w:t>Peet</w:t>
      </w:r>
      <w:proofErr w:type="spellEnd"/>
      <w:r w:rsidRPr="00454403">
        <w:rPr>
          <w:lang w:val="en-GB"/>
        </w:rPr>
        <w:t xml:space="preserve"> analysis, courts must characterize the right claimed in light of the pleadings and evidence; determine whether the claimant has proven that a relevant pre</w:t>
      </w:r>
      <w:r w:rsidR="00EB7398" w:rsidRPr="00454403">
        <w:rPr>
          <w:lang w:val="en-GB"/>
        </w:rPr>
        <w:noBreakHyphen/>
      </w:r>
      <w:r w:rsidRPr="00454403">
        <w:rPr>
          <w:lang w:val="en-GB"/>
        </w:rPr>
        <w:t>contact practice, tradition or custom existed and was integral to the distinctive culture of the pre</w:t>
      </w:r>
      <w:r w:rsidR="00EB7398" w:rsidRPr="00454403">
        <w:rPr>
          <w:lang w:val="en-GB"/>
        </w:rPr>
        <w:noBreakHyphen/>
      </w:r>
      <w:r w:rsidRPr="00454403">
        <w:rPr>
          <w:lang w:val="en-GB"/>
        </w:rPr>
        <w:t>contact society; and determine whether the claimed modern right is demonstrably connected to, and reasonably regarded as a continuation of, the pre</w:t>
      </w:r>
      <w:r w:rsidR="00EB7398" w:rsidRPr="00454403">
        <w:rPr>
          <w:lang w:val="en-GB"/>
        </w:rPr>
        <w:noBreakHyphen/>
      </w:r>
      <w:r w:rsidRPr="00454403">
        <w:rPr>
          <w:lang w:val="en-GB"/>
        </w:rPr>
        <w:t xml:space="preserve">contact practice. Continuity plays a role both at the second and the third stages of the </w:t>
      </w:r>
      <w:r w:rsidRPr="00454403">
        <w:rPr>
          <w:i/>
          <w:lang w:val="en-GB"/>
        </w:rPr>
        <w:t xml:space="preserve">Van der </w:t>
      </w:r>
      <w:proofErr w:type="spellStart"/>
      <w:r w:rsidRPr="00454403">
        <w:rPr>
          <w:i/>
          <w:lang w:val="en-GB"/>
        </w:rPr>
        <w:t>Peet</w:t>
      </w:r>
      <w:proofErr w:type="spellEnd"/>
      <w:r w:rsidRPr="00454403">
        <w:rPr>
          <w:lang w:val="en-GB"/>
        </w:rPr>
        <w:t xml:space="preserve"> analysis. </w:t>
      </w:r>
      <w:r w:rsidRPr="00454403">
        <w:t xml:space="preserve">At the second stage, </w:t>
      </w:r>
      <w:r w:rsidRPr="00454403">
        <w:rPr>
          <w:lang w:val="en-GB"/>
        </w:rPr>
        <w:t>showing that a practice is integral to the claimant’s culture today, and that it has continuity with pre</w:t>
      </w:r>
      <w:r w:rsidR="00EB7398" w:rsidRPr="00454403">
        <w:rPr>
          <w:lang w:val="en-GB"/>
        </w:rPr>
        <w:noBreakHyphen/>
      </w:r>
      <w:r w:rsidRPr="00454403">
        <w:rPr>
          <w:lang w:val="en-GB"/>
        </w:rPr>
        <w:t>contact times, can count as proof that the practice was integral to the claimant’s culture pre</w:t>
      </w:r>
      <w:r w:rsidR="00EB7398" w:rsidRPr="00454403">
        <w:rPr>
          <w:lang w:val="en-GB"/>
        </w:rPr>
        <w:noBreakHyphen/>
      </w:r>
      <w:r w:rsidRPr="00454403">
        <w:rPr>
          <w:lang w:val="en-GB"/>
        </w:rPr>
        <w:t>contact. At the third stage, the question is whether the modern practice which is claimed to be an exercise of an Aboriginal right is connected to, and reasonably seen as a continuation of, the pre</w:t>
      </w:r>
      <w:r w:rsidR="00EB7398" w:rsidRPr="00454403">
        <w:rPr>
          <w:lang w:val="en-GB"/>
        </w:rPr>
        <w:noBreakHyphen/>
      </w:r>
      <w:r w:rsidRPr="00454403">
        <w:rPr>
          <w:lang w:val="en-GB"/>
        </w:rPr>
        <w:t>contact practice. Continuity with the pre</w:t>
      </w:r>
      <w:r w:rsidR="00EB7398" w:rsidRPr="00454403">
        <w:rPr>
          <w:lang w:val="en-GB"/>
        </w:rPr>
        <w:noBreakHyphen/>
      </w:r>
      <w:r w:rsidRPr="00454403">
        <w:rPr>
          <w:lang w:val="en-GB"/>
        </w:rPr>
        <w:t>contact practice is required in order for the claimed activity to fall within the scope of the right. However, an unbroken chain of continuity is not required; it is not unusual for the exercise of a right to lapse for a period of time. The assessment of continuity, both at the second and third stages, is a highly fact</w:t>
      </w:r>
      <w:r w:rsidR="00EB7398" w:rsidRPr="00454403">
        <w:rPr>
          <w:lang w:val="en-GB"/>
        </w:rPr>
        <w:noBreakHyphen/>
      </w:r>
      <w:r w:rsidRPr="00454403">
        <w:rPr>
          <w:lang w:val="en-GB"/>
        </w:rPr>
        <w:t xml:space="preserve">specific exercise. </w:t>
      </w:r>
      <w:r w:rsidRPr="00454403">
        <w:t>The weighing of evidence in Aboriginal claims is generally the domain of the trial judge, who is best situated to assess the evidence, and is consequently accorded significant latitude in this regard.</w:t>
      </w:r>
    </w:p>
    <w:p w:rsidR="008B1E76" w:rsidRPr="00454403" w:rsidRDefault="008B1E76" w:rsidP="00AC1998">
      <w:pPr>
        <w:pStyle w:val="SCCNormalDoubleSpacing"/>
        <w:spacing w:after="480"/>
      </w:pPr>
      <w:r w:rsidRPr="00454403">
        <w:tab/>
      </w:r>
      <w:r w:rsidRPr="00454403">
        <w:rPr>
          <w:lang w:val="en-GB"/>
        </w:rPr>
        <w:t xml:space="preserve">In the present case, the threshold question is met. The trial judge found as a fact that the </w:t>
      </w:r>
      <w:proofErr w:type="spellStart"/>
      <w:r w:rsidRPr="00454403">
        <w:rPr>
          <w:lang w:val="en-GB"/>
        </w:rPr>
        <w:t>Sinixt</w:t>
      </w:r>
      <w:proofErr w:type="spellEnd"/>
      <w:r w:rsidRPr="00454403">
        <w:rPr>
          <w:lang w:val="en-GB"/>
        </w:rPr>
        <w:t xml:space="preserve"> occupied territory in what is now British Columbia at the time of European contact, </w:t>
      </w:r>
      <w:r w:rsidR="00F11E17">
        <w:rPr>
          <w:lang w:val="en-GB"/>
        </w:rPr>
        <w:t xml:space="preserve">and that </w:t>
      </w:r>
      <w:r w:rsidRPr="00454403">
        <w:rPr>
          <w:lang w:val="en-GB"/>
        </w:rPr>
        <w:t xml:space="preserve">the Lakes Tribe are a modern successor of the </w:t>
      </w:r>
      <w:proofErr w:type="spellStart"/>
      <w:r w:rsidRPr="00454403">
        <w:rPr>
          <w:lang w:val="en-GB"/>
        </w:rPr>
        <w:t>Sinixt</w:t>
      </w:r>
      <w:proofErr w:type="spellEnd"/>
      <w:r w:rsidRPr="00454403">
        <w:rPr>
          <w:lang w:val="en-GB"/>
        </w:rPr>
        <w:t xml:space="preserve">. The migration of the Lakes Tribe from British Columbia to a different part of their </w:t>
      </w:r>
      <w:r w:rsidRPr="00454403">
        <w:rPr>
          <w:lang w:val="en-GB"/>
        </w:rPr>
        <w:lastRenderedPageBreak/>
        <w:t xml:space="preserve">traditional territory in Washington State did not cause the group to lose its identity or its status as a successor to the </w:t>
      </w:r>
      <w:proofErr w:type="spellStart"/>
      <w:r w:rsidRPr="00454403">
        <w:rPr>
          <w:lang w:val="en-GB"/>
        </w:rPr>
        <w:t>Sinixt</w:t>
      </w:r>
      <w:proofErr w:type="spellEnd"/>
      <w:r w:rsidRPr="00454403">
        <w:rPr>
          <w:lang w:val="en-GB"/>
        </w:rPr>
        <w:t xml:space="preserve">. Accordingly, the Lakes Tribe is an Aboriginal people of Canada. Then, with respect to the </w:t>
      </w:r>
      <w:r w:rsidRPr="00454403">
        <w:rPr>
          <w:i/>
          <w:lang w:val="en-GB"/>
        </w:rPr>
        <w:t xml:space="preserve">Van der </w:t>
      </w:r>
      <w:proofErr w:type="spellStart"/>
      <w:r w:rsidRPr="00454403">
        <w:rPr>
          <w:i/>
          <w:lang w:val="en-GB"/>
        </w:rPr>
        <w:t>Peet</w:t>
      </w:r>
      <w:proofErr w:type="spellEnd"/>
      <w:r w:rsidRPr="00454403">
        <w:rPr>
          <w:lang w:val="en-GB"/>
        </w:rPr>
        <w:t xml:space="preserve"> test,</w:t>
      </w:r>
      <w:r w:rsidRPr="00454403">
        <w:t xml:space="preserve"> the trial judge found, based on the evidence, that hunting for food, social and ceremonial purposes within the traditional territory of the </w:t>
      </w:r>
      <w:proofErr w:type="spellStart"/>
      <w:r w:rsidRPr="00454403">
        <w:t>Sinixt</w:t>
      </w:r>
      <w:proofErr w:type="spellEnd"/>
      <w:r w:rsidRPr="00454403">
        <w:t xml:space="preserve"> in British Columbia at the time of contact was integral to the distinctive culture of the </w:t>
      </w:r>
      <w:proofErr w:type="spellStart"/>
      <w:r w:rsidRPr="00454403">
        <w:t>Sinixt</w:t>
      </w:r>
      <w:proofErr w:type="spellEnd"/>
      <w:r w:rsidRPr="00454403">
        <w:t>. The trial judge also found that the modern</w:t>
      </w:r>
      <w:r w:rsidR="00EB7398" w:rsidRPr="00454403">
        <w:noBreakHyphen/>
      </w:r>
      <w:r w:rsidRPr="00454403">
        <w:t>day practice of hunting in this territory, as D did, is a continuation of this pre</w:t>
      </w:r>
      <w:r w:rsidR="00EB7398" w:rsidRPr="00454403">
        <w:noBreakHyphen/>
      </w:r>
      <w:r w:rsidRPr="00454403">
        <w:t>contact practice. Setting aside the periods in which no hunting took place, there was no significant dissimilarity between the pre</w:t>
      </w:r>
      <w:r w:rsidR="00EB7398" w:rsidRPr="00454403">
        <w:noBreakHyphen/>
      </w:r>
      <w:r w:rsidRPr="00454403">
        <w:t>contact practice and the modern one. As a result, D was exercising an Aboriginal right protected by s.</w:t>
      </w:r>
      <w:r w:rsidR="00AC1998" w:rsidRPr="00454403">
        <w:t> </w:t>
      </w:r>
      <w:r w:rsidRPr="00454403">
        <w:t xml:space="preserve">35(1). </w:t>
      </w:r>
    </w:p>
    <w:p w:rsidR="008B1E76" w:rsidRPr="00454403" w:rsidRDefault="008B1E76" w:rsidP="00AC1998">
      <w:pPr>
        <w:pStyle w:val="SCCNormalDoubleSpacing"/>
        <w:spacing w:after="480"/>
        <w:rPr>
          <w:lang w:bidi="en-US"/>
        </w:rPr>
      </w:pPr>
      <w:r w:rsidRPr="00454403">
        <w:rPr>
          <w:lang w:bidi="en-US"/>
        </w:rPr>
        <w:tab/>
      </w:r>
      <w:r w:rsidRPr="00454403">
        <w:rPr>
          <w:i/>
          <w:lang w:bidi="en-US"/>
        </w:rPr>
        <w:t xml:space="preserve">Per </w:t>
      </w:r>
      <w:r w:rsidRPr="00DB0967">
        <w:rPr>
          <w:lang w:bidi="en-US"/>
        </w:rPr>
        <w:t>Côté</w:t>
      </w:r>
      <w:r w:rsidR="00AC1998" w:rsidRPr="00454403">
        <w:rPr>
          <w:lang w:bidi="en-US"/>
        </w:rPr>
        <w:t> </w:t>
      </w:r>
      <w:r w:rsidRPr="00454403">
        <w:rPr>
          <w:lang w:bidi="en-US"/>
        </w:rPr>
        <w:t>J. (dissenting): The appeal should be allowed and the constitutional question answered in the negative. The constitutional protection of Ab</w:t>
      </w:r>
      <w:r w:rsidR="00AC1998" w:rsidRPr="00454403">
        <w:rPr>
          <w:lang w:bidi="en-US"/>
        </w:rPr>
        <w:t>original rights contained in s. </w:t>
      </w:r>
      <w:r w:rsidRPr="00454403">
        <w:rPr>
          <w:lang w:bidi="en-US"/>
        </w:rPr>
        <w:t xml:space="preserve">35(1) of the </w:t>
      </w:r>
      <w:r w:rsidRPr="00454403">
        <w:rPr>
          <w:i/>
          <w:lang w:bidi="en-US"/>
        </w:rPr>
        <w:t>Constitution Act, 1982</w:t>
      </w:r>
      <w:r w:rsidRPr="00454403">
        <w:rPr>
          <w:lang w:bidi="en-US"/>
        </w:rPr>
        <w:t xml:space="preserve">, does not extend to an Aboriginal group located outside of Canada. And even if it did, D cannot establish that he was exercising an Aboriginal right to hunt in the </w:t>
      </w:r>
      <w:proofErr w:type="spellStart"/>
      <w:r w:rsidRPr="00454403">
        <w:rPr>
          <w:lang w:bidi="en-US"/>
        </w:rPr>
        <w:t>Sinixt</w:t>
      </w:r>
      <w:proofErr w:type="spellEnd"/>
      <w:r w:rsidRPr="00454403">
        <w:rPr>
          <w:lang w:bidi="en-US"/>
        </w:rPr>
        <w:t xml:space="preserve"> traditional territory in British Columbia, as the modern group’s claim lacks continuity with the pre</w:t>
      </w:r>
      <w:r w:rsidR="00EB7398" w:rsidRPr="00454403">
        <w:rPr>
          <w:lang w:bidi="en-US"/>
        </w:rPr>
        <w:noBreakHyphen/>
      </w:r>
      <w:r w:rsidRPr="00454403">
        <w:rPr>
          <w:lang w:bidi="en-US"/>
        </w:rPr>
        <w:t xml:space="preserve">contact group’s practices. Accordingly, D’s claim must fail and he should not be exempt from the </w:t>
      </w:r>
      <w:r w:rsidRPr="00454403">
        <w:rPr>
          <w:i/>
          <w:lang w:bidi="en-US"/>
        </w:rPr>
        <w:t>Wildlife Act</w:t>
      </w:r>
      <w:r w:rsidRPr="00454403">
        <w:rPr>
          <w:lang w:bidi="en-US"/>
        </w:rPr>
        <w:t xml:space="preserve"> provisions under which he was charged. A verdict of guilty should be entered on both counts of hunting without a licence and hunting big game while not being a resident, and the matter should be remitted to the trial court for sentencing.</w:t>
      </w:r>
    </w:p>
    <w:p w:rsidR="008B1E76" w:rsidRPr="00454403" w:rsidRDefault="008B1E76" w:rsidP="00AC1998">
      <w:pPr>
        <w:pStyle w:val="SCCNormalDoubleSpacing"/>
        <w:spacing w:after="480"/>
      </w:pPr>
      <w:r w:rsidRPr="00454403">
        <w:rPr>
          <w:lang w:bidi="en-US"/>
        </w:rPr>
        <w:lastRenderedPageBreak/>
        <w:tab/>
        <w:t>To be e</w:t>
      </w:r>
      <w:r w:rsidR="00AC1998" w:rsidRPr="00454403">
        <w:rPr>
          <w:lang w:bidi="en-US"/>
        </w:rPr>
        <w:t>ntitled to the protection of s. </w:t>
      </w:r>
      <w:r w:rsidRPr="00454403">
        <w:rPr>
          <w:lang w:bidi="en-US"/>
        </w:rPr>
        <w:t xml:space="preserve">35(1) of the </w:t>
      </w:r>
      <w:r w:rsidRPr="00454403">
        <w:rPr>
          <w:i/>
          <w:lang w:bidi="en-US"/>
        </w:rPr>
        <w:t>Constitution Act, 1982</w:t>
      </w:r>
      <w:r w:rsidRPr="00454403">
        <w:rPr>
          <w:lang w:bidi="en-US"/>
        </w:rPr>
        <w:t>, the modern</w:t>
      </w:r>
      <w:r w:rsidR="00EB7398" w:rsidRPr="00454403">
        <w:rPr>
          <w:lang w:bidi="en-US"/>
        </w:rPr>
        <w:noBreakHyphen/>
      </w:r>
      <w:r w:rsidRPr="00454403">
        <w:rPr>
          <w:lang w:bidi="en-US"/>
        </w:rPr>
        <w:t>day successors of Aboriginal societies that occupied Canadian territory at the time of European contact cannot be located anywhere other than Canada. The majority’s conclusion that the constitutional protec</w:t>
      </w:r>
      <w:r w:rsidR="00AC1998" w:rsidRPr="00454403">
        <w:rPr>
          <w:lang w:bidi="en-US"/>
        </w:rPr>
        <w:t>tion of Aboriginal rights in s. </w:t>
      </w:r>
      <w:r w:rsidRPr="00454403">
        <w:rPr>
          <w:lang w:bidi="en-US"/>
        </w:rPr>
        <w:t xml:space="preserve">35(1) extends to an Aboriginal group located outside of Canada is contrary to a purposive analysis of s. 35(1), </w:t>
      </w:r>
      <w:r w:rsidRPr="00454403">
        <w:t>having regard to its relevant linguistic, philosophic, and historical contexts. The framers’ intent was to protect the rights of Aboriginal groups that are members of, and participants in, Canadian society.</w:t>
      </w:r>
    </w:p>
    <w:p w:rsidR="008B1E76" w:rsidRPr="00454403" w:rsidRDefault="00EB7398" w:rsidP="00AC1998">
      <w:pPr>
        <w:pStyle w:val="SCCNormalDoubleSpacing"/>
        <w:spacing w:after="480"/>
      </w:pPr>
      <w:r w:rsidRPr="00454403">
        <w:tab/>
      </w:r>
      <w:r w:rsidR="008B1E76" w:rsidRPr="00454403">
        <w:t xml:space="preserve">First, a textual analysis </w:t>
      </w:r>
      <w:r w:rsidR="00AC1998" w:rsidRPr="00454403">
        <w:t>of s. </w:t>
      </w:r>
      <w:r w:rsidR="008B1E76" w:rsidRPr="00454403">
        <w:t xml:space="preserve">35(1) reveals the significance of the drafters’ choice to include the phrase “of Canada” rather than leaving the term “aboriginal peoples” without any qualifier. On the basis of the presumption against tautology, the words “of Canada” cannot be superfluous. In addition, similar limiting language is used repeatedly in the </w:t>
      </w:r>
      <w:r w:rsidR="008B1E76" w:rsidRPr="00454403">
        <w:rPr>
          <w:i/>
        </w:rPr>
        <w:t>Constitution Act, 1982</w:t>
      </w:r>
      <w:r w:rsidR="008B1E76" w:rsidRPr="00454403">
        <w:t>, as a geographical qualifier. Interpreting “aboriginal peoples of Canada” in a more expansive fashion would be incongruent with the presumption of consistent expression and contrary to the intention of the drafters. Second, the philosophic context helps explain why residence or citizenship is not referenced in s. 35(1), but is assumed.</w:t>
      </w:r>
      <w:r w:rsidR="00AC1998" w:rsidRPr="00454403">
        <w:t xml:space="preserve"> By framing s. </w:t>
      </w:r>
      <w:r w:rsidR="008B1E76" w:rsidRPr="00454403">
        <w:t>35(1) as a provision granting special constitutional protection to one part of Canadian society, the Court has consistently understood it to import a residency or citizenship requirement. Section 35(1)’s purpose should be understood in relation to the interests it was meant to protect, that is, Aboriginal peoples as full participants with non</w:t>
      </w:r>
      <w:r w:rsidRPr="00454403">
        <w:noBreakHyphen/>
      </w:r>
      <w:r w:rsidR="008B1E76" w:rsidRPr="00454403">
        <w:t xml:space="preserve">Aboriginal peoples in a shared Canadian sovereignty. The protections, therefore, do not and cannot apply to </w:t>
      </w:r>
      <w:r w:rsidR="008B1E76" w:rsidRPr="00454403">
        <w:lastRenderedPageBreak/>
        <w:t xml:space="preserve">Aboriginal groups in other countries; it cannot be said that they fully participate with other Canadians in their collective governance, nor do they contribute to Canada’s national diversity. Third, the historical record does not show that </w:t>
      </w:r>
      <w:r w:rsidR="00AC1998" w:rsidRPr="00454403">
        <w:t>expanding the protections of s. </w:t>
      </w:r>
      <w:r w:rsidR="008B1E76" w:rsidRPr="00454403">
        <w:t>35(1) to non</w:t>
      </w:r>
      <w:r w:rsidRPr="00454403">
        <w:noBreakHyphen/>
      </w:r>
      <w:r w:rsidR="008B1E76" w:rsidRPr="00454403">
        <w:t xml:space="preserve">Canadian Aboriginal groups was ever considered. The limited historical sources that provide guidance as to the meaning of the expression “aboriginal peoples of Canada” show an intention to limit the constitutional protection of Aboriginal rights to only those groups located within Canada. </w:t>
      </w:r>
    </w:p>
    <w:p w:rsidR="008B1E76" w:rsidRPr="00454403" w:rsidRDefault="008B1E76" w:rsidP="00AC1998">
      <w:pPr>
        <w:pStyle w:val="SCCNormalDoubleSpacing"/>
        <w:spacing w:after="480"/>
      </w:pPr>
      <w:r w:rsidRPr="00454403">
        <w:tab/>
        <w:t xml:space="preserve">The conclusion that the enactment of s. 35(1) did not constitutionalize Aboriginal rights held by collectives located outside of Canada is further bolstered by the deleterious consequences that would arise from the opposite conclusion. </w:t>
      </w:r>
      <w:r w:rsidR="00AC1998" w:rsidRPr="00454403">
        <w:t>First, s. </w:t>
      </w:r>
      <w:r w:rsidRPr="00454403">
        <w:t xml:space="preserve">35.1 of the </w:t>
      </w:r>
      <w:r w:rsidRPr="00454403">
        <w:rPr>
          <w:i/>
        </w:rPr>
        <w:t>Constitution Act, 1982</w:t>
      </w:r>
      <w:r w:rsidRPr="00454403">
        <w:t xml:space="preserve">, uses the phrase “aboriginal peoples of Canada” in setting out an obligation to invite representatives of these groups to constitutional conferences. It would be contrary to the organizing constitutional principle of democracy and inconsistent with the purpose of </w:t>
      </w:r>
      <w:proofErr w:type="spellStart"/>
      <w:r w:rsidRPr="00454403">
        <w:t>patriation</w:t>
      </w:r>
      <w:proofErr w:type="spellEnd"/>
      <w:r w:rsidRPr="00454403">
        <w:t xml:space="preserve"> to allow Aboriginal groups located outside of Canada to participate in Canad</w:t>
      </w:r>
      <w:r w:rsidR="00AC1998" w:rsidRPr="00454403">
        <w:t>ian democracy as required by s. </w:t>
      </w:r>
      <w:r w:rsidRPr="00454403">
        <w:t>35.1. Second, a multitude of challenges would arise with respect to the Crown’s duty to consult. The numbers of groups to consult and, where appropriate, accommodate, would dramatically increase, and it can be anticipated that in some cases ac</w:t>
      </w:r>
      <w:r w:rsidR="00AC1998" w:rsidRPr="00454403">
        <w:t>commodating the interests of s. </w:t>
      </w:r>
      <w:r w:rsidRPr="00454403">
        <w:t>35(1) rights holders outside of Canada would run counter to ac</w:t>
      </w:r>
      <w:r w:rsidR="00AC1998" w:rsidRPr="00454403">
        <w:t>commodating the interests of s. </w:t>
      </w:r>
      <w:r w:rsidRPr="00454403">
        <w:t xml:space="preserve">35(1) rights holders within Canada. Third, finding that Aboriginal groups outside of Canada are “aboriginal peoples of Canada” raises the possibility that these groups may, in principle, hold constitutionally protected </w:t>
      </w:r>
      <w:r w:rsidRPr="00454403">
        <w:lastRenderedPageBreak/>
        <w:t xml:space="preserve">Aboriginal title to Canadian lands. It would be a remarkable proposition that a foreign group could hold constitutionally protected title to Canadian territory. </w:t>
      </w:r>
      <w:r w:rsidR="00AC1998" w:rsidRPr="00454403">
        <w:t>The drafters of s. </w:t>
      </w:r>
      <w:r w:rsidRPr="00454403">
        <w:t xml:space="preserve">35(1) could not have intended these deleterious consequences to arise. </w:t>
      </w:r>
    </w:p>
    <w:p w:rsidR="008B1E76" w:rsidRPr="00454403" w:rsidRDefault="008B1E76" w:rsidP="00AC1998">
      <w:pPr>
        <w:pStyle w:val="SCCNormalDoubleSpacing"/>
        <w:spacing w:after="480"/>
        <w:rPr>
          <w:lang w:val="en-US"/>
        </w:rPr>
      </w:pPr>
      <w:r w:rsidRPr="00454403">
        <w:tab/>
        <w:t>In the present case, the Lakes Tribe is wholly located in the United States. As D is not a member of a collective that is part of the “aboriginal peoples of Canada”, he cannot exercise a constitutionally</w:t>
      </w:r>
      <w:r w:rsidR="00EB7398" w:rsidRPr="00454403">
        <w:noBreakHyphen/>
      </w:r>
      <w:r w:rsidRPr="00454403">
        <w:t>protected Aboriginal right to hunt in British Columbia.</w:t>
      </w:r>
      <w:r w:rsidRPr="00454403">
        <w:rPr>
          <w:lang w:bidi="en-US"/>
        </w:rPr>
        <w:t xml:space="preserve"> And even if there were agreement with the majority’s conclusion that the phrase “aboriginal peoples of Canada” includes groups located outside of Canada, there is disagreement with its application of the </w:t>
      </w:r>
      <w:r w:rsidRPr="00454403">
        <w:rPr>
          <w:i/>
          <w:lang w:bidi="en-US"/>
        </w:rPr>
        <w:t xml:space="preserve">Van der </w:t>
      </w:r>
      <w:proofErr w:type="spellStart"/>
      <w:r w:rsidRPr="00454403">
        <w:rPr>
          <w:i/>
          <w:lang w:bidi="en-US"/>
        </w:rPr>
        <w:t>Peet</w:t>
      </w:r>
      <w:proofErr w:type="spellEnd"/>
      <w:r w:rsidRPr="00454403">
        <w:rPr>
          <w:i/>
          <w:lang w:bidi="en-US"/>
        </w:rPr>
        <w:t xml:space="preserve"> </w:t>
      </w:r>
      <w:r w:rsidRPr="00454403">
        <w:rPr>
          <w:lang w:bidi="en-US"/>
        </w:rPr>
        <w:t xml:space="preserve">test to D’s claim. </w:t>
      </w:r>
      <w:r w:rsidRPr="00454403">
        <w:t>This test protects only those present</w:t>
      </w:r>
      <w:r w:rsidR="00EB7398" w:rsidRPr="00454403">
        <w:noBreakHyphen/>
      </w:r>
      <w:r w:rsidRPr="00454403">
        <w:t>day practices that have a reasonable degree of continuity with practices that existed prior to contact. While the test does not require an unbroken chain of continuity, and while continuity must be interpreted flexibly, such flexibility has its limits. While temporal gaps do not necessarily preclude the establishment of an Aboriginal right, failing to tender sufficient evidence that, at least, a connection to the historical practice was maintained during such gaps may be fat</w:t>
      </w:r>
      <w:r w:rsidR="00EB7398" w:rsidRPr="00454403">
        <w:t>al. </w:t>
      </w:r>
      <w:r w:rsidRPr="00454403">
        <w:rPr>
          <w:lang w:bidi="en-US"/>
        </w:rPr>
        <w:t>There is no direct evidence that the Lakes Tribe engaged in anything that could be considered a modern</w:t>
      </w:r>
      <w:r w:rsidR="00EB7398" w:rsidRPr="00454403">
        <w:rPr>
          <w:lang w:bidi="en-US"/>
        </w:rPr>
        <w:noBreakHyphen/>
      </w:r>
      <w:r w:rsidRPr="00454403">
        <w:rPr>
          <w:lang w:bidi="en-US"/>
        </w:rPr>
        <w:t xml:space="preserve">day practice of hunting in British Columbia after 1930. </w:t>
      </w:r>
      <w:r w:rsidRPr="00454403">
        <w:t>There was no basis upon which the trial judge could have drawn an inference of continuity; and</w:t>
      </w:r>
      <w:r w:rsidRPr="00454403">
        <w:rPr>
          <w:lang w:bidi="en-US"/>
        </w:rPr>
        <w:t xml:space="preserve"> </w:t>
      </w:r>
      <w:r w:rsidRPr="00454403">
        <w:t>given the Lakes Tribe’s lengthy and unaccounted</w:t>
      </w:r>
      <w:r w:rsidR="00EB7398" w:rsidRPr="00454403">
        <w:noBreakHyphen/>
      </w:r>
      <w:r w:rsidRPr="00454403">
        <w:t>for absence from British Columbia between 1930 and 2010, continuity is not made out.</w:t>
      </w:r>
      <w:r w:rsidRPr="00454403">
        <w:rPr>
          <w:lang w:bidi="en-US"/>
        </w:rPr>
        <w:t xml:space="preserve"> As there was nothing in existence in 1982 to which s. 35(1) protection could attach, D’s claim must fail.</w:t>
      </w:r>
      <w:r w:rsidRPr="00454403">
        <w:rPr>
          <w:lang w:val="en-US"/>
        </w:rPr>
        <w:t xml:space="preserve"> </w:t>
      </w:r>
    </w:p>
    <w:p w:rsidR="00610539" w:rsidRPr="00454403" w:rsidRDefault="008B1E76" w:rsidP="00AC1998">
      <w:pPr>
        <w:pStyle w:val="SCCNormalDoubleSpacing"/>
        <w:spacing w:after="480"/>
      </w:pPr>
      <w:r w:rsidRPr="00454403">
        <w:rPr>
          <w:i/>
          <w:lang w:bidi="en-US"/>
        </w:rPr>
        <w:lastRenderedPageBreak/>
        <w:tab/>
        <w:t>Per</w:t>
      </w:r>
      <w:r w:rsidRPr="00454403">
        <w:rPr>
          <w:lang w:bidi="en-US"/>
        </w:rPr>
        <w:t xml:space="preserve"> </w:t>
      </w:r>
      <w:proofErr w:type="spellStart"/>
      <w:r w:rsidRPr="00DA4245">
        <w:rPr>
          <w:lang w:bidi="en-US"/>
        </w:rPr>
        <w:t>Moldaver</w:t>
      </w:r>
      <w:proofErr w:type="spellEnd"/>
      <w:r w:rsidR="00AC1998" w:rsidRPr="00454403">
        <w:rPr>
          <w:lang w:bidi="en-US"/>
        </w:rPr>
        <w:t> </w:t>
      </w:r>
      <w:r w:rsidRPr="00454403">
        <w:rPr>
          <w:lang w:bidi="en-US"/>
        </w:rPr>
        <w:t>J. (dissenting): Even assuming that the majority is correct in holding that, as a member of an Aboriginal collective located outside Canada, D is entitled to claim the constitut</w:t>
      </w:r>
      <w:r w:rsidR="00AC1998" w:rsidRPr="00454403">
        <w:rPr>
          <w:lang w:bidi="en-US"/>
        </w:rPr>
        <w:t>ional protection provided by s. </w:t>
      </w:r>
      <w:r w:rsidRPr="00454403">
        <w:rPr>
          <w:lang w:bidi="en-US"/>
        </w:rPr>
        <w:t xml:space="preserve">35(1) of the </w:t>
      </w:r>
      <w:r w:rsidRPr="00454403">
        <w:rPr>
          <w:i/>
          <w:lang w:bidi="en-US"/>
        </w:rPr>
        <w:t>Constitution Act, 1982</w:t>
      </w:r>
      <w:r w:rsidR="00AC1998" w:rsidRPr="00454403">
        <w:rPr>
          <w:lang w:bidi="en-US"/>
        </w:rPr>
        <w:t>, there is agreement with Côté </w:t>
      </w:r>
      <w:r w:rsidRPr="00454403">
        <w:rPr>
          <w:lang w:bidi="en-US"/>
        </w:rPr>
        <w:t xml:space="preserve">J. that in this case, D has not met the onus of establishing the continuity element of his claim, under the test for Aboriginal rights pursuant to </w:t>
      </w:r>
      <w:r w:rsidRPr="00454403">
        <w:rPr>
          <w:i/>
          <w:lang w:bidi="en-US"/>
        </w:rPr>
        <w:t xml:space="preserve">Van der </w:t>
      </w:r>
      <w:proofErr w:type="spellStart"/>
      <w:r w:rsidRPr="00454403">
        <w:rPr>
          <w:i/>
          <w:lang w:bidi="en-US"/>
        </w:rPr>
        <w:t>Peet</w:t>
      </w:r>
      <w:proofErr w:type="spellEnd"/>
      <w:r w:rsidRPr="00454403">
        <w:rPr>
          <w:lang w:bidi="en-US"/>
        </w:rPr>
        <w:t>. The appeal should therefore be allowed on that basis</w:t>
      </w:r>
      <w:r w:rsidR="006B00CB">
        <w:rPr>
          <w:lang w:bidi="en-US"/>
        </w:rPr>
        <w:t xml:space="preserve"> and the remedy set out by Côté </w:t>
      </w:r>
      <w:r w:rsidRPr="00454403">
        <w:rPr>
          <w:lang w:bidi="en-US"/>
        </w:rPr>
        <w:t>J. should be imposed.</w:t>
      </w:r>
    </w:p>
    <w:p w:rsidR="007E1C47" w:rsidRPr="00454403" w:rsidRDefault="002E6705" w:rsidP="00EB7398">
      <w:pPr>
        <w:pStyle w:val="SCCNormalDoubleSpacing"/>
        <w:spacing w:after="480"/>
        <w:rPr>
          <w:b/>
        </w:rPr>
      </w:pPr>
      <w:r w:rsidRPr="00454403">
        <w:rPr>
          <w:b/>
        </w:rPr>
        <w:t>Cases Cited</w:t>
      </w:r>
    </w:p>
    <w:p w:rsidR="00A149DF" w:rsidRPr="00454403" w:rsidRDefault="00460244" w:rsidP="00EB7398">
      <w:pPr>
        <w:pStyle w:val="SCCNormalDoubleSpacing"/>
        <w:spacing w:after="480"/>
      </w:pPr>
      <w:r w:rsidRPr="00454403">
        <w:t>By Rowe </w:t>
      </w:r>
      <w:r w:rsidR="006C7C52" w:rsidRPr="00454403">
        <w:t>J.</w:t>
      </w:r>
    </w:p>
    <w:p w:rsidR="0005706E" w:rsidRPr="00454403" w:rsidRDefault="002E6705" w:rsidP="00AC1998">
      <w:pPr>
        <w:pStyle w:val="SCCNormalDoubleSpacing"/>
        <w:spacing w:after="480"/>
        <w:rPr>
          <w:iCs/>
        </w:rPr>
      </w:pPr>
      <w:r w:rsidRPr="00454403">
        <w:tab/>
      </w:r>
      <w:r w:rsidR="00DB0F8C" w:rsidRPr="00454403">
        <w:rPr>
          <w:b/>
        </w:rPr>
        <w:t xml:space="preserve">Applied: </w:t>
      </w:r>
      <w:r w:rsidR="00DB0F8C" w:rsidRPr="00454403">
        <w:rPr>
          <w:i/>
        </w:rPr>
        <w:t xml:space="preserve">R. v. Van der </w:t>
      </w:r>
      <w:proofErr w:type="spellStart"/>
      <w:r w:rsidR="00DB0F8C" w:rsidRPr="00454403">
        <w:rPr>
          <w:i/>
        </w:rPr>
        <w:t>Peet</w:t>
      </w:r>
      <w:proofErr w:type="spellEnd"/>
      <w:r w:rsidR="00DB0F8C" w:rsidRPr="00454403">
        <w:t xml:space="preserve">, [1996] 2 </w:t>
      </w:r>
      <w:proofErr w:type="spellStart"/>
      <w:r w:rsidR="00DB0F8C" w:rsidRPr="00454403">
        <w:t>S.C.R</w:t>
      </w:r>
      <w:proofErr w:type="spellEnd"/>
      <w:r w:rsidR="00DB0F8C" w:rsidRPr="00454403">
        <w:t xml:space="preserve">. 507; </w:t>
      </w:r>
      <w:r w:rsidR="00DB0F8C" w:rsidRPr="00454403">
        <w:rPr>
          <w:b/>
        </w:rPr>
        <w:t xml:space="preserve">distinguished: </w:t>
      </w:r>
      <w:r w:rsidR="00DB0F8C" w:rsidRPr="00454403">
        <w:rPr>
          <w:i/>
        </w:rPr>
        <w:t>R. v. Powley</w:t>
      </w:r>
      <w:r w:rsidR="00DB0F8C" w:rsidRPr="00454403">
        <w:t xml:space="preserve">, 2003 SCC 43, [2003] 2 </w:t>
      </w:r>
      <w:proofErr w:type="spellStart"/>
      <w:r w:rsidR="00DB0F8C" w:rsidRPr="00454403">
        <w:t>S.C.R</w:t>
      </w:r>
      <w:proofErr w:type="spellEnd"/>
      <w:r w:rsidR="00DB0F8C" w:rsidRPr="00454403">
        <w:t>. 207;</w:t>
      </w:r>
      <w:r w:rsidR="00DB0F8C" w:rsidRPr="00454403">
        <w:rPr>
          <w:b/>
        </w:rPr>
        <w:t xml:space="preserve"> r</w:t>
      </w:r>
      <w:r w:rsidRPr="00454403">
        <w:rPr>
          <w:b/>
        </w:rPr>
        <w:t>eferred to:</w:t>
      </w:r>
      <w:r w:rsidR="006C7C52" w:rsidRPr="00454403">
        <w:t xml:space="preserve"> </w:t>
      </w:r>
      <w:r w:rsidR="006C7C52" w:rsidRPr="00454403">
        <w:rPr>
          <w:i/>
        </w:rPr>
        <w:t xml:space="preserve">Mitchell v. </w:t>
      </w:r>
      <w:proofErr w:type="spellStart"/>
      <w:r w:rsidR="006C7C52" w:rsidRPr="00454403">
        <w:rPr>
          <w:i/>
        </w:rPr>
        <w:t>M.N.R</w:t>
      </w:r>
      <w:proofErr w:type="spellEnd"/>
      <w:r w:rsidR="006C7C52" w:rsidRPr="00454403">
        <w:rPr>
          <w:i/>
        </w:rPr>
        <w:t>.</w:t>
      </w:r>
      <w:r w:rsidR="006C7C52" w:rsidRPr="00454403">
        <w:t xml:space="preserve">, 2001 SCC 33, [2001] 1 </w:t>
      </w:r>
      <w:proofErr w:type="spellStart"/>
      <w:r w:rsidR="006C7C52" w:rsidRPr="00454403">
        <w:t>S.C.R</w:t>
      </w:r>
      <w:proofErr w:type="spellEnd"/>
      <w:r w:rsidR="006C7C52" w:rsidRPr="00454403">
        <w:t xml:space="preserve">. 911; </w:t>
      </w:r>
      <w:r w:rsidR="006C7C52" w:rsidRPr="00454403">
        <w:rPr>
          <w:i/>
        </w:rPr>
        <w:t>R. v. Sparrow</w:t>
      </w:r>
      <w:r w:rsidR="006C7C52" w:rsidRPr="00454403">
        <w:t xml:space="preserve">, [1990] 1 </w:t>
      </w:r>
      <w:proofErr w:type="spellStart"/>
      <w:r w:rsidR="006C7C52" w:rsidRPr="00454403">
        <w:t>S.C.R</w:t>
      </w:r>
      <w:proofErr w:type="spellEnd"/>
      <w:r w:rsidR="006C7C52" w:rsidRPr="00454403">
        <w:t xml:space="preserve">. 1075; </w:t>
      </w:r>
      <w:r w:rsidR="006C7C52" w:rsidRPr="00454403">
        <w:rPr>
          <w:i/>
          <w:lang w:bidi="en-US"/>
        </w:rPr>
        <w:t>Manitoba Metis Federation Inc. v. Canada (Attorney General)</w:t>
      </w:r>
      <w:r w:rsidR="006C7C52" w:rsidRPr="00454403">
        <w:rPr>
          <w:lang w:bidi="en-US"/>
        </w:rPr>
        <w:t xml:space="preserve">, 2013 SCC 14, [2013] 1 </w:t>
      </w:r>
      <w:proofErr w:type="spellStart"/>
      <w:r w:rsidR="006C7C52" w:rsidRPr="00454403">
        <w:rPr>
          <w:lang w:bidi="en-US"/>
        </w:rPr>
        <w:t>S.C.R</w:t>
      </w:r>
      <w:proofErr w:type="spellEnd"/>
      <w:r w:rsidR="006C7C52" w:rsidRPr="00454403">
        <w:rPr>
          <w:lang w:bidi="en-US"/>
        </w:rPr>
        <w:t xml:space="preserve">. 623; </w:t>
      </w:r>
      <w:r w:rsidR="006C7C52" w:rsidRPr="00454403">
        <w:rPr>
          <w:i/>
        </w:rPr>
        <w:t>Calder v. Attorney</w:t>
      </w:r>
      <w:r w:rsidR="00EB7398" w:rsidRPr="00454403">
        <w:rPr>
          <w:i/>
        </w:rPr>
        <w:noBreakHyphen/>
      </w:r>
      <w:r w:rsidR="006C7C52" w:rsidRPr="00454403">
        <w:rPr>
          <w:i/>
        </w:rPr>
        <w:t>General of British Columbia</w:t>
      </w:r>
      <w:r w:rsidR="006C7C52" w:rsidRPr="00454403">
        <w:t xml:space="preserve">, [1973] </w:t>
      </w:r>
      <w:proofErr w:type="spellStart"/>
      <w:r w:rsidR="006C7C52" w:rsidRPr="00454403">
        <w:t>S.C.R</w:t>
      </w:r>
      <w:proofErr w:type="spellEnd"/>
      <w:r w:rsidR="006C7C52" w:rsidRPr="00454403">
        <w:t xml:space="preserve">. 313; </w:t>
      </w:r>
      <w:r w:rsidR="006C7C52" w:rsidRPr="00454403">
        <w:rPr>
          <w:i/>
        </w:rPr>
        <w:t>Roberts v. Canada</w:t>
      </w:r>
      <w:r w:rsidR="006C7C52" w:rsidRPr="00454403">
        <w:t xml:space="preserve">, [1989] 1 </w:t>
      </w:r>
      <w:proofErr w:type="spellStart"/>
      <w:r w:rsidR="006C7C52" w:rsidRPr="00454403">
        <w:t>S.C.R</w:t>
      </w:r>
      <w:proofErr w:type="spellEnd"/>
      <w:r w:rsidR="006C7C52" w:rsidRPr="00454403">
        <w:t xml:space="preserve">. 322; </w:t>
      </w:r>
      <w:r w:rsidR="006C7C52" w:rsidRPr="00454403">
        <w:rPr>
          <w:i/>
        </w:rPr>
        <w:t>Guerin</w:t>
      </w:r>
      <w:r w:rsidR="006C7C52" w:rsidRPr="00454403">
        <w:t xml:space="preserve"> </w:t>
      </w:r>
      <w:r w:rsidR="006C7C52" w:rsidRPr="00454403">
        <w:rPr>
          <w:i/>
        </w:rPr>
        <w:t>v. The Queen</w:t>
      </w:r>
      <w:r w:rsidR="006C7C52" w:rsidRPr="00454403">
        <w:t xml:space="preserve">, [1984] 2 </w:t>
      </w:r>
      <w:proofErr w:type="spellStart"/>
      <w:r w:rsidR="006C7C52" w:rsidRPr="00454403">
        <w:t>S.C.R</w:t>
      </w:r>
      <w:proofErr w:type="spellEnd"/>
      <w:r w:rsidR="006C7C52" w:rsidRPr="00454403">
        <w:t xml:space="preserve">. 335; </w:t>
      </w:r>
      <w:r w:rsidR="006C7C52" w:rsidRPr="00454403">
        <w:rPr>
          <w:i/>
        </w:rPr>
        <w:t>R. v. Badger</w:t>
      </w:r>
      <w:r w:rsidR="006C7C52" w:rsidRPr="00454403">
        <w:t xml:space="preserve">, </w:t>
      </w:r>
      <w:r w:rsidR="006C7C52" w:rsidRPr="00454403">
        <w:rPr>
          <w:lang w:bidi="en-US"/>
        </w:rPr>
        <w:t xml:space="preserve">[1996] 1 </w:t>
      </w:r>
      <w:proofErr w:type="spellStart"/>
      <w:r w:rsidR="006C7C52" w:rsidRPr="00454403">
        <w:rPr>
          <w:lang w:bidi="en-US"/>
        </w:rPr>
        <w:t>S.C.R</w:t>
      </w:r>
      <w:proofErr w:type="spellEnd"/>
      <w:r w:rsidR="006C7C52" w:rsidRPr="00454403">
        <w:rPr>
          <w:lang w:bidi="en-US"/>
        </w:rPr>
        <w:t xml:space="preserve">. 771; </w:t>
      </w:r>
      <w:r w:rsidR="006C7C52" w:rsidRPr="00454403">
        <w:rPr>
          <w:i/>
        </w:rPr>
        <w:t>Province of Ontario v.</w:t>
      </w:r>
      <w:r w:rsidR="00643E14" w:rsidRPr="00454403">
        <w:rPr>
          <w:i/>
        </w:rPr>
        <w:t xml:space="preserve"> Dominion of Canada and Province of Quebec </w:t>
      </w:r>
      <w:r w:rsidR="006C7C52" w:rsidRPr="00454403">
        <w:rPr>
          <w:lang w:bidi="en-US"/>
        </w:rPr>
        <w:t xml:space="preserve">(1895), 25 </w:t>
      </w:r>
      <w:proofErr w:type="spellStart"/>
      <w:r w:rsidR="006C7C52" w:rsidRPr="00454403">
        <w:rPr>
          <w:lang w:bidi="en-US"/>
        </w:rPr>
        <w:t>S.C.R</w:t>
      </w:r>
      <w:proofErr w:type="spellEnd"/>
      <w:r w:rsidR="006C7C52" w:rsidRPr="00454403">
        <w:rPr>
          <w:lang w:bidi="en-US"/>
        </w:rPr>
        <w:t xml:space="preserve">. 434; </w:t>
      </w:r>
      <w:r w:rsidR="006C7C52" w:rsidRPr="00454403">
        <w:rPr>
          <w:i/>
          <w:iCs/>
          <w:lang w:bidi="en-US"/>
        </w:rPr>
        <w:t>Ontario Mining Co. v. Seybold</w:t>
      </w:r>
      <w:r w:rsidR="006C7C52" w:rsidRPr="00454403">
        <w:rPr>
          <w:lang w:bidi="en-US"/>
        </w:rPr>
        <w:t xml:space="preserve"> (1901), 32 </w:t>
      </w:r>
      <w:proofErr w:type="spellStart"/>
      <w:r w:rsidR="006C7C52" w:rsidRPr="00454403">
        <w:rPr>
          <w:lang w:bidi="en-US"/>
        </w:rPr>
        <w:t>S.C.R</w:t>
      </w:r>
      <w:proofErr w:type="spellEnd"/>
      <w:r w:rsidR="006C7C52" w:rsidRPr="00454403">
        <w:rPr>
          <w:lang w:bidi="en-US"/>
        </w:rPr>
        <w:t xml:space="preserve">. 1; </w:t>
      </w:r>
      <w:r w:rsidR="006C7C52" w:rsidRPr="00454403">
        <w:rPr>
          <w:i/>
        </w:rPr>
        <w:t>R. v. Gladstone</w:t>
      </w:r>
      <w:r w:rsidR="006C7C52" w:rsidRPr="00454403">
        <w:t xml:space="preserve">, </w:t>
      </w:r>
      <w:r w:rsidR="006C7C52" w:rsidRPr="00454403">
        <w:rPr>
          <w:bCs/>
        </w:rPr>
        <w:t xml:space="preserve">[1996] 2 </w:t>
      </w:r>
      <w:proofErr w:type="spellStart"/>
      <w:r w:rsidR="006C7C52" w:rsidRPr="00454403">
        <w:rPr>
          <w:bCs/>
        </w:rPr>
        <w:t>S.C.R</w:t>
      </w:r>
      <w:proofErr w:type="spellEnd"/>
      <w:r w:rsidR="006C7C52" w:rsidRPr="00454403">
        <w:rPr>
          <w:bCs/>
        </w:rPr>
        <w:t xml:space="preserve">. 723; </w:t>
      </w:r>
      <w:r w:rsidR="00CB3368" w:rsidRPr="00454403">
        <w:rPr>
          <w:i/>
        </w:rPr>
        <w:t xml:space="preserve">R. </w:t>
      </w:r>
      <w:r w:rsidR="006C7C52" w:rsidRPr="00454403">
        <w:rPr>
          <w:i/>
          <w:iCs/>
        </w:rPr>
        <w:t>v</w:t>
      </w:r>
      <w:r w:rsidR="006C7C52" w:rsidRPr="00454403">
        <w:rPr>
          <w:i/>
        </w:rPr>
        <w:t>. Sappier</w:t>
      </w:r>
      <w:r w:rsidR="006C7C52" w:rsidRPr="00454403">
        <w:t xml:space="preserve">, 2006 SCC 54, [2006] 2 </w:t>
      </w:r>
      <w:proofErr w:type="spellStart"/>
      <w:r w:rsidR="006C7C52" w:rsidRPr="00454403">
        <w:t>S.C.R</w:t>
      </w:r>
      <w:proofErr w:type="spellEnd"/>
      <w:r w:rsidR="006C7C52" w:rsidRPr="00454403">
        <w:t xml:space="preserve">. 686; </w:t>
      </w:r>
      <w:proofErr w:type="spellStart"/>
      <w:r w:rsidR="006C7C52" w:rsidRPr="00454403">
        <w:rPr>
          <w:i/>
        </w:rPr>
        <w:t>Delgamuukw</w:t>
      </w:r>
      <w:proofErr w:type="spellEnd"/>
      <w:r w:rsidR="006C7C52" w:rsidRPr="00454403">
        <w:rPr>
          <w:i/>
        </w:rPr>
        <w:t xml:space="preserve"> </w:t>
      </w:r>
      <w:r w:rsidR="006C7C52" w:rsidRPr="00454403">
        <w:rPr>
          <w:i/>
          <w:iCs/>
        </w:rPr>
        <w:t>v</w:t>
      </w:r>
      <w:r w:rsidR="006C7C52" w:rsidRPr="00454403">
        <w:rPr>
          <w:i/>
        </w:rPr>
        <w:t>. British Columbia</w:t>
      </w:r>
      <w:r w:rsidR="006C7C52" w:rsidRPr="00454403">
        <w:t xml:space="preserve">, [1997] 3 </w:t>
      </w:r>
      <w:proofErr w:type="spellStart"/>
      <w:r w:rsidR="006C7C52" w:rsidRPr="00454403">
        <w:t>S.C.R</w:t>
      </w:r>
      <w:proofErr w:type="spellEnd"/>
      <w:r w:rsidR="006C7C52" w:rsidRPr="00454403">
        <w:t xml:space="preserve">. 1010; </w:t>
      </w:r>
      <w:r w:rsidR="006C7C52" w:rsidRPr="00454403">
        <w:rPr>
          <w:bCs/>
          <w:i/>
          <w:lang w:bidi="en-US"/>
        </w:rPr>
        <w:t>R. v. Marshall</w:t>
      </w:r>
      <w:r w:rsidR="006C7C52" w:rsidRPr="00454403">
        <w:rPr>
          <w:bCs/>
          <w:lang w:bidi="en-US"/>
        </w:rPr>
        <w:t xml:space="preserve">, 2005 SCC 43, [2005] 2 </w:t>
      </w:r>
      <w:proofErr w:type="spellStart"/>
      <w:r w:rsidR="006C7C52" w:rsidRPr="00454403">
        <w:rPr>
          <w:bCs/>
          <w:lang w:bidi="en-US"/>
        </w:rPr>
        <w:t>S.C.R</w:t>
      </w:r>
      <w:proofErr w:type="spellEnd"/>
      <w:r w:rsidR="006C7C52" w:rsidRPr="00454403">
        <w:rPr>
          <w:bCs/>
          <w:lang w:bidi="en-US"/>
        </w:rPr>
        <w:t>. 220;</w:t>
      </w:r>
      <w:r w:rsidR="006C7C52" w:rsidRPr="00454403">
        <w:rPr>
          <w:i/>
        </w:rPr>
        <w:t xml:space="preserve"> Beckman v. Little Salmon/</w:t>
      </w:r>
      <w:proofErr w:type="spellStart"/>
      <w:r w:rsidR="006C7C52" w:rsidRPr="00454403">
        <w:rPr>
          <w:i/>
        </w:rPr>
        <w:t>Carmacks</w:t>
      </w:r>
      <w:proofErr w:type="spellEnd"/>
      <w:r w:rsidR="006C7C52" w:rsidRPr="00454403">
        <w:rPr>
          <w:i/>
        </w:rPr>
        <w:t xml:space="preserve"> First Nation</w:t>
      </w:r>
      <w:r w:rsidR="00D8159D" w:rsidRPr="00454403">
        <w:t>,</w:t>
      </w:r>
      <w:r w:rsidR="006C7C52" w:rsidRPr="00454403">
        <w:rPr>
          <w:i/>
        </w:rPr>
        <w:t xml:space="preserve"> </w:t>
      </w:r>
      <w:r w:rsidR="006C7C52" w:rsidRPr="00454403">
        <w:t xml:space="preserve">2010 SCC 53, [2010] 3 </w:t>
      </w:r>
      <w:proofErr w:type="spellStart"/>
      <w:r w:rsidR="006C7C52" w:rsidRPr="00454403">
        <w:t>S.C.R</w:t>
      </w:r>
      <w:proofErr w:type="spellEnd"/>
      <w:r w:rsidR="006C7C52" w:rsidRPr="00454403">
        <w:t>. 103;</w:t>
      </w:r>
      <w:r w:rsidR="006C7C52" w:rsidRPr="00454403">
        <w:rPr>
          <w:bCs/>
          <w:lang w:bidi="en-US"/>
        </w:rPr>
        <w:t xml:space="preserve"> </w:t>
      </w:r>
      <w:proofErr w:type="spellStart"/>
      <w:r w:rsidR="006C7C52" w:rsidRPr="00454403">
        <w:rPr>
          <w:i/>
        </w:rPr>
        <w:t>Mikisew</w:t>
      </w:r>
      <w:proofErr w:type="spellEnd"/>
      <w:r w:rsidR="006C7C52" w:rsidRPr="00454403">
        <w:rPr>
          <w:i/>
        </w:rPr>
        <w:t xml:space="preserve"> Cree First Nation</w:t>
      </w:r>
      <w:r w:rsidR="006C7C52" w:rsidRPr="00454403">
        <w:t xml:space="preserve"> </w:t>
      </w:r>
      <w:r w:rsidR="006C7C52" w:rsidRPr="00454403">
        <w:rPr>
          <w:i/>
          <w:iCs/>
        </w:rPr>
        <w:t>v.</w:t>
      </w:r>
      <w:r w:rsidR="006C7C52" w:rsidRPr="00454403">
        <w:rPr>
          <w:iCs/>
        </w:rPr>
        <w:t xml:space="preserve"> </w:t>
      </w:r>
      <w:r w:rsidR="006C7C52" w:rsidRPr="00454403">
        <w:rPr>
          <w:i/>
        </w:rPr>
        <w:t xml:space="preserve">Canada (Governor General in </w:t>
      </w:r>
      <w:r w:rsidR="006C7C52" w:rsidRPr="00454403">
        <w:rPr>
          <w:i/>
        </w:rPr>
        <w:lastRenderedPageBreak/>
        <w:t>Council)</w:t>
      </w:r>
      <w:r w:rsidR="00735694" w:rsidRPr="00454403">
        <w:t xml:space="preserve">, 2018 SCC </w:t>
      </w:r>
      <w:r w:rsidR="006C7C52" w:rsidRPr="00454403">
        <w:t xml:space="preserve">40, [2018] 2 </w:t>
      </w:r>
      <w:proofErr w:type="spellStart"/>
      <w:r w:rsidR="006C7C52" w:rsidRPr="00454403">
        <w:t>S.C.R</w:t>
      </w:r>
      <w:proofErr w:type="spellEnd"/>
      <w:r w:rsidR="006C7C52" w:rsidRPr="00454403">
        <w:t xml:space="preserve">. 765; </w:t>
      </w:r>
      <w:r w:rsidR="006C7C52" w:rsidRPr="00454403">
        <w:rPr>
          <w:i/>
        </w:rPr>
        <w:t xml:space="preserve">Newfoundland and Labrador (Attorney General) </w:t>
      </w:r>
      <w:r w:rsidR="006C7C52" w:rsidRPr="00454403">
        <w:rPr>
          <w:i/>
          <w:iCs/>
        </w:rPr>
        <w:t xml:space="preserve">v. </w:t>
      </w:r>
      <w:proofErr w:type="spellStart"/>
      <w:r w:rsidR="006C7C52" w:rsidRPr="00454403">
        <w:rPr>
          <w:i/>
        </w:rPr>
        <w:t>Uashaunnuat</w:t>
      </w:r>
      <w:proofErr w:type="spellEnd"/>
      <w:r w:rsidR="006C7C52" w:rsidRPr="00454403">
        <w:rPr>
          <w:i/>
        </w:rPr>
        <w:t xml:space="preserve"> (Innu of </w:t>
      </w:r>
      <w:proofErr w:type="spellStart"/>
      <w:r w:rsidR="006C7C52" w:rsidRPr="00454403">
        <w:rPr>
          <w:i/>
        </w:rPr>
        <w:t>Uashat</w:t>
      </w:r>
      <w:proofErr w:type="spellEnd"/>
      <w:r w:rsidR="006C7C52" w:rsidRPr="00454403">
        <w:rPr>
          <w:i/>
        </w:rPr>
        <w:t xml:space="preserve"> and of Mani</w:t>
      </w:r>
      <w:r w:rsidR="00EB7398" w:rsidRPr="00454403">
        <w:rPr>
          <w:i/>
        </w:rPr>
        <w:noBreakHyphen/>
      </w:r>
      <w:proofErr w:type="spellStart"/>
      <w:r w:rsidR="006C7C52" w:rsidRPr="00454403">
        <w:rPr>
          <w:i/>
        </w:rPr>
        <w:t>Utenam</w:t>
      </w:r>
      <w:proofErr w:type="spellEnd"/>
      <w:r w:rsidR="006C7C52" w:rsidRPr="00454403">
        <w:rPr>
          <w:i/>
        </w:rPr>
        <w:t>)</w:t>
      </w:r>
      <w:r w:rsidR="006C7C52" w:rsidRPr="00454403">
        <w:t>, 2020 SCC 4</w:t>
      </w:r>
      <w:r w:rsidR="00437F31">
        <w:t xml:space="preserve">, [2020] 1 </w:t>
      </w:r>
      <w:proofErr w:type="spellStart"/>
      <w:r w:rsidR="00437F31">
        <w:t>S.C.R</w:t>
      </w:r>
      <w:proofErr w:type="spellEnd"/>
      <w:r w:rsidR="00437F31">
        <w:t>.</w:t>
      </w:r>
      <w:r w:rsidR="00437F31" w:rsidRPr="00437F31">
        <w:t xml:space="preserve"> 15</w:t>
      </w:r>
      <w:r w:rsidR="006C7C52" w:rsidRPr="00454403">
        <w:t xml:space="preserve">; </w:t>
      </w:r>
      <w:proofErr w:type="spellStart"/>
      <w:r w:rsidR="00735694" w:rsidRPr="00454403">
        <w:rPr>
          <w:i/>
        </w:rPr>
        <w:t>Haida</w:t>
      </w:r>
      <w:proofErr w:type="spellEnd"/>
      <w:r w:rsidR="00735694" w:rsidRPr="00454403">
        <w:rPr>
          <w:i/>
        </w:rPr>
        <w:t xml:space="preserve"> Nation </w:t>
      </w:r>
      <w:r w:rsidR="006C7C52" w:rsidRPr="00454403">
        <w:rPr>
          <w:i/>
          <w:iCs/>
        </w:rPr>
        <w:t>v</w:t>
      </w:r>
      <w:r w:rsidR="006C7C52" w:rsidRPr="00454403">
        <w:rPr>
          <w:i/>
        </w:rPr>
        <w:t>.</w:t>
      </w:r>
      <w:r w:rsidR="006C7C52" w:rsidRPr="00454403">
        <w:t xml:space="preserve"> </w:t>
      </w:r>
      <w:r w:rsidR="006C7C52" w:rsidRPr="00454403">
        <w:rPr>
          <w:i/>
        </w:rPr>
        <w:t>British Columbia (Minister of Forests)</w:t>
      </w:r>
      <w:r w:rsidR="006C7C52" w:rsidRPr="00454403">
        <w:t xml:space="preserve">, 2004 SCC 73, </w:t>
      </w:r>
      <w:r w:rsidR="006C7C52" w:rsidRPr="00454403">
        <w:rPr>
          <w:lang w:val="en-GB"/>
        </w:rPr>
        <w:t xml:space="preserve">[2004] 3 </w:t>
      </w:r>
      <w:proofErr w:type="spellStart"/>
      <w:r w:rsidR="006C7C52" w:rsidRPr="00454403">
        <w:rPr>
          <w:lang w:val="en-GB"/>
        </w:rPr>
        <w:t>S.C.R</w:t>
      </w:r>
      <w:proofErr w:type="spellEnd"/>
      <w:r w:rsidR="006C7C52" w:rsidRPr="00454403">
        <w:rPr>
          <w:lang w:val="en-GB"/>
        </w:rPr>
        <w:t xml:space="preserve">. 511; </w:t>
      </w:r>
      <w:proofErr w:type="spellStart"/>
      <w:r w:rsidR="006C7C52" w:rsidRPr="00454403">
        <w:rPr>
          <w:i/>
          <w:iCs/>
          <w:lang w:val="en"/>
        </w:rPr>
        <w:t>Taku</w:t>
      </w:r>
      <w:proofErr w:type="spellEnd"/>
      <w:r w:rsidR="006C7C52" w:rsidRPr="00454403">
        <w:rPr>
          <w:i/>
          <w:iCs/>
          <w:lang w:val="en"/>
        </w:rPr>
        <w:t xml:space="preserve"> River Tlingit First Nation v. British Columbia (Project Assessment Director)</w:t>
      </w:r>
      <w:r w:rsidR="006C7C52" w:rsidRPr="00454403">
        <w:rPr>
          <w:lang w:val="en"/>
        </w:rPr>
        <w:t xml:space="preserve">, 2004 SCC 74, [2004] 3 </w:t>
      </w:r>
      <w:proofErr w:type="spellStart"/>
      <w:r w:rsidR="006C7C52" w:rsidRPr="00454403">
        <w:rPr>
          <w:lang w:val="en"/>
        </w:rPr>
        <w:t>S.C.R</w:t>
      </w:r>
      <w:proofErr w:type="spellEnd"/>
      <w:r w:rsidR="006C7C52" w:rsidRPr="00454403">
        <w:rPr>
          <w:lang w:val="en"/>
        </w:rPr>
        <w:t xml:space="preserve">. 550; </w:t>
      </w:r>
      <w:r w:rsidR="006C7C52" w:rsidRPr="00454403">
        <w:rPr>
          <w:i/>
        </w:rPr>
        <w:t>R. v. Côté</w:t>
      </w:r>
      <w:r w:rsidR="006C7C52" w:rsidRPr="00454403">
        <w:rPr>
          <w:lang w:val="en-GB"/>
        </w:rPr>
        <w:t xml:space="preserve">, </w:t>
      </w:r>
      <w:r w:rsidR="006C7C52" w:rsidRPr="00454403">
        <w:t xml:space="preserve">[1996] 3 </w:t>
      </w:r>
      <w:proofErr w:type="spellStart"/>
      <w:r w:rsidR="006C7C52" w:rsidRPr="00454403">
        <w:t>S.C.R</w:t>
      </w:r>
      <w:proofErr w:type="spellEnd"/>
      <w:r w:rsidR="006C7C52" w:rsidRPr="00454403">
        <w:t xml:space="preserve">. 139; </w:t>
      </w:r>
      <w:r w:rsidR="006C7C52" w:rsidRPr="00454403">
        <w:rPr>
          <w:i/>
        </w:rPr>
        <w:t>The Queen v. The Secretary of State for Foreign and Commonwealth Affairs</w:t>
      </w:r>
      <w:r w:rsidR="006C7C52" w:rsidRPr="00454403">
        <w:t xml:space="preserve">, [1981] 4 </w:t>
      </w:r>
      <w:proofErr w:type="spellStart"/>
      <w:r w:rsidR="006C7C52" w:rsidRPr="00454403">
        <w:t>C.N.L.R</w:t>
      </w:r>
      <w:proofErr w:type="spellEnd"/>
      <w:r w:rsidR="006C7C52" w:rsidRPr="00454403">
        <w:t>. 86</w:t>
      </w:r>
      <w:r w:rsidR="00B211F7" w:rsidRPr="00454403">
        <w:t>;</w:t>
      </w:r>
      <w:r w:rsidR="006C7C52" w:rsidRPr="00454403">
        <w:t xml:space="preserve"> </w:t>
      </w:r>
      <w:r w:rsidR="006C7C52" w:rsidRPr="00454403">
        <w:rPr>
          <w:i/>
          <w:lang w:val="en-GB"/>
        </w:rPr>
        <w:t xml:space="preserve">Native Women’s Assn. of Canada </w:t>
      </w:r>
      <w:r w:rsidR="006C7C52" w:rsidRPr="00454403">
        <w:rPr>
          <w:i/>
          <w:iCs/>
          <w:lang w:val="en-GB"/>
        </w:rPr>
        <w:t>v.</w:t>
      </w:r>
      <w:r w:rsidR="006C7C52" w:rsidRPr="00454403">
        <w:rPr>
          <w:i/>
          <w:lang w:val="en-GB"/>
        </w:rPr>
        <w:t xml:space="preserve"> Canada</w:t>
      </w:r>
      <w:r w:rsidR="006C7C52" w:rsidRPr="00454403">
        <w:rPr>
          <w:lang w:val="en-GB"/>
        </w:rPr>
        <w:t xml:space="preserve">, [1994] 3 </w:t>
      </w:r>
      <w:proofErr w:type="spellStart"/>
      <w:r w:rsidR="006C7C52" w:rsidRPr="00454403">
        <w:rPr>
          <w:lang w:val="en-GB"/>
        </w:rPr>
        <w:t>S.C.R</w:t>
      </w:r>
      <w:proofErr w:type="spellEnd"/>
      <w:r w:rsidR="006C7C52" w:rsidRPr="00454403">
        <w:rPr>
          <w:lang w:val="en-GB"/>
        </w:rPr>
        <w:t xml:space="preserve">. 627; </w:t>
      </w:r>
      <w:r w:rsidR="006C7C52" w:rsidRPr="00454403">
        <w:rPr>
          <w:i/>
        </w:rPr>
        <w:t xml:space="preserve">R. v. </w:t>
      </w:r>
      <w:proofErr w:type="spellStart"/>
      <w:r w:rsidR="006C7C52" w:rsidRPr="00454403">
        <w:rPr>
          <w:i/>
        </w:rPr>
        <w:t>Poulin</w:t>
      </w:r>
      <w:proofErr w:type="spellEnd"/>
      <w:r w:rsidR="006C7C52" w:rsidRPr="00454403">
        <w:t xml:space="preserve">, </w:t>
      </w:r>
      <w:r w:rsidR="006C7C52" w:rsidRPr="00454403">
        <w:rPr>
          <w:lang w:bidi="en-US"/>
        </w:rPr>
        <w:t>2019 SCC 47</w:t>
      </w:r>
      <w:r w:rsidR="00DA4245">
        <w:t xml:space="preserve">, [2019] 3 </w:t>
      </w:r>
      <w:proofErr w:type="spellStart"/>
      <w:r w:rsidR="00DA4245">
        <w:t>S.C.R</w:t>
      </w:r>
      <w:proofErr w:type="spellEnd"/>
      <w:r w:rsidR="00DA4245">
        <w:t>. 566,</w:t>
      </w:r>
      <w:r w:rsidR="006C7C52" w:rsidRPr="00454403">
        <w:rPr>
          <w:lang w:bidi="en-US"/>
        </w:rPr>
        <w:t xml:space="preserve"> </w:t>
      </w:r>
      <w:r w:rsidR="006C7C52" w:rsidRPr="00454403">
        <w:rPr>
          <w:i/>
        </w:rPr>
        <w:t>Frank v. The Queen</w:t>
      </w:r>
      <w:r w:rsidR="006C7C52" w:rsidRPr="00454403">
        <w:t>,</w:t>
      </w:r>
      <w:r w:rsidR="006C7C52" w:rsidRPr="00454403">
        <w:rPr>
          <w:i/>
        </w:rPr>
        <w:t xml:space="preserve"> </w:t>
      </w:r>
      <w:r w:rsidR="006C7C52" w:rsidRPr="00454403">
        <w:t xml:space="preserve">[1978] </w:t>
      </w:r>
      <w:r w:rsidR="00DA4245">
        <w:t xml:space="preserve">1 </w:t>
      </w:r>
      <w:proofErr w:type="spellStart"/>
      <w:r w:rsidR="006C7C52" w:rsidRPr="00454403">
        <w:t>S.C.R</w:t>
      </w:r>
      <w:proofErr w:type="spellEnd"/>
      <w:r w:rsidR="006C7C52" w:rsidRPr="00454403">
        <w:t xml:space="preserve">. 95; </w:t>
      </w:r>
      <w:r w:rsidR="006C7C52" w:rsidRPr="00454403">
        <w:rPr>
          <w:i/>
        </w:rPr>
        <w:t xml:space="preserve">Daniels </w:t>
      </w:r>
      <w:r w:rsidR="006C7C52" w:rsidRPr="00454403">
        <w:rPr>
          <w:i/>
          <w:iCs/>
        </w:rPr>
        <w:t>v.</w:t>
      </w:r>
      <w:r w:rsidR="006C7C52" w:rsidRPr="00454403">
        <w:rPr>
          <w:i/>
        </w:rPr>
        <w:t xml:space="preserve"> Canada (Indian Affairs and Northern Development)</w:t>
      </w:r>
      <w:r w:rsidR="006C7C52" w:rsidRPr="00454403">
        <w:t xml:space="preserve">, 2016 SCC 12, [2016] 1 </w:t>
      </w:r>
      <w:proofErr w:type="spellStart"/>
      <w:r w:rsidR="006C7C52" w:rsidRPr="00454403">
        <w:t>S.C.R</w:t>
      </w:r>
      <w:proofErr w:type="spellEnd"/>
      <w:r w:rsidR="006C7C52" w:rsidRPr="00454403">
        <w:t xml:space="preserve">. 99; </w:t>
      </w:r>
      <w:r w:rsidR="006C7C52" w:rsidRPr="00454403">
        <w:rPr>
          <w:i/>
          <w:lang w:bidi="en-US"/>
        </w:rPr>
        <w:t>Society of Composers, Authors and Music Publishers of Canada v. Canadian Assn. of Internet Providers</w:t>
      </w:r>
      <w:r w:rsidR="006C7C52" w:rsidRPr="00454403">
        <w:rPr>
          <w:lang w:bidi="en-US"/>
        </w:rPr>
        <w:t xml:space="preserve">, 2004 SCC 45, [2004] 2 </w:t>
      </w:r>
      <w:proofErr w:type="spellStart"/>
      <w:r w:rsidR="006C7C52" w:rsidRPr="00454403">
        <w:rPr>
          <w:lang w:bidi="en-US"/>
        </w:rPr>
        <w:t>S.C.R</w:t>
      </w:r>
      <w:proofErr w:type="spellEnd"/>
      <w:r w:rsidR="006C7C52" w:rsidRPr="00454403">
        <w:rPr>
          <w:lang w:bidi="en-US"/>
        </w:rPr>
        <w:t xml:space="preserve">. 427; </w:t>
      </w:r>
      <w:proofErr w:type="spellStart"/>
      <w:r w:rsidR="006C7C52" w:rsidRPr="00454403">
        <w:rPr>
          <w:i/>
        </w:rPr>
        <w:t>Nowegijick</w:t>
      </w:r>
      <w:proofErr w:type="spellEnd"/>
      <w:r w:rsidR="006C7C52" w:rsidRPr="00454403">
        <w:rPr>
          <w:i/>
        </w:rPr>
        <w:t xml:space="preserve"> v. The Queen</w:t>
      </w:r>
      <w:r w:rsidR="006C7C52" w:rsidRPr="00454403">
        <w:t>,</w:t>
      </w:r>
      <w:r w:rsidR="006C7C52" w:rsidRPr="00454403">
        <w:rPr>
          <w:i/>
        </w:rPr>
        <w:t xml:space="preserve"> </w:t>
      </w:r>
      <w:r w:rsidR="006C7C52" w:rsidRPr="00454403">
        <w:t xml:space="preserve">[1983] 1 </w:t>
      </w:r>
      <w:proofErr w:type="spellStart"/>
      <w:r w:rsidR="006C7C52" w:rsidRPr="00454403">
        <w:t>S.C.R</w:t>
      </w:r>
      <w:proofErr w:type="spellEnd"/>
      <w:r w:rsidR="006C7C52" w:rsidRPr="00454403">
        <w:t xml:space="preserve">. 29; </w:t>
      </w:r>
      <w:r w:rsidR="006C7C52" w:rsidRPr="00454403">
        <w:rPr>
          <w:i/>
          <w:lang w:bidi="en-US"/>
        </w:rPr>
        <w:t xml:space="preserve">Lax </w:t>
      </w:r>
      <w:proofErr w:type="spellStart"/>
      <w:r w:rsidR="006C7C52" w:rsidRPr="00454403">
        <w:rPr>
          <w:i/>
          <w:lang w:bidi="en-US"/>
        </w:rPr>
        <w:t>Kw’alaams</w:t>
      </w:r>
      <w:proofErr w:type="spellEnd"/>
      <w:r w:rsidR="006C7C52" w:rsidRPr="00454403">
        <w:rPr>
          <w:i/>
          <w:lang w:bidi="en-US"/>
        </w:rPr>
        <w:t xml:space="preserve"> Indian Band </w:t>
      </w:r>
      <w:r w:rsidR="006C7C52" w:rsidRPr="00454403">
        <w:rPr>
          <w:i/>
          <w:iCs/>
          <w:lang w:bidi="en-US"/>
        </w:rPr>
        <w:t>v.</w:t>
      </w:r>
      <w:r w:rsidR="006C7C52" w:rsidRPr="00454403">
        <w:rPr>
          <w:i/>
          <w:lang w:bidi="en-US"/>
        </w:rPr>
        <w:t xml:space="preserve"> Canada (Attorney General)</w:t>
      </w:r>
      <w:r w:rsidR="006C7C52" w:rsidRPr="00454403">
        <w:rPr>
          <w:lang w:bidi="en-US"/>
        </w:rPr>
        <w:t xml:space="preserve">, 2011 SCC 56, [2011] 3 </w:t>
      </w:r>
      <w:proofErr w:type="spellStart"/>
      <w:r w:rsidR="006C7C52" w:rsidRPr="00454403">
        <w:rPr>
          <w:lang w:bidi="en-US"/>
        </w:rPr>
        <w:t>S.C.R</w:t>
      </w:r>
      <w:proofErr w:type="spellEnd"/>
      <w:r w:rsidR="006C7C52" w:rsidRPr="00454403">
        <w:rPr>
          <w:lang w:bidi="en-US"/>
        </w:rPr>
        <w:t xml:space="preserve">. 535; </w:t>
      </w:r>
      <w:proofErr w:type="spellStart"/>
      <w:r w:rsidR="006C7C52" w:rsidRPr="00454403">
        <w:rPr>
          <w:i/>
        </w:rPr>
        <w:t>Tsilhqot’in</w:t>
      </w:r>
      <w:proofErr w:type="spellEnd"/>
      <w:r w:rsidR="006C7C52" w:rsidRPr="00454403">
        <w:rPr>
          <w:i/>
        </w:rPr>
        <w:t xml:space="preserve"> Nation v. British Columbia</w:t>
      </w:r>
      <w:r w:rsidR="006C7C52" w:rsidRPr="00454403">
        <w:t xml:space="preserve">, 2014 SCC 44, [2014] 2 </w:t>
      </w:r>
      <w:proofErr w:type="spellStart"/>
      <w:r w:rsidR="006C7C52" w:rsidRPr="00454403">
        <w:t>S.C.R</w:t>
      </w:r>
      <w:proofErr w:type="spellEnd"/>
      <w:r w:rsidR="006C7C52" w:rsidRPr="00454403">
        <w:t>. 25</w:t>
      </w:r>
      <w:r w:rsidR="004F1ADE" w:rsidRPr="00454403">
        <w:t>7</w:t>
      </w:r>
      <w:r w:rsidR="006C7C52" w:rsidRPr="00454403">
        <w:t xml:space="preserve">; </w:t>
      </w:r>
      <w:r w:rsidR="006C7C52" w:rsidRPr="00454403">
        <w:rPr>
          <w:i/>
        </w:rPr>
        <w:t>R. v. Shipman</w:t>
      </w:r>
      <w:r w:rsidR="006C7C52" w:rsidRPr="00454403">
        <w:t xml:space="preserve">, 2007 </w:t>
      </w:r>
      <w:proofErr w:type="spellStart"/>
      <w:r w:rsidR="006C7C52" w:rsidRPr="00454403">
        <w:t>ONCA</w:t>
      </w:r>
      <w:proofErr w:type="spellEnd"/>
      <w:r w:rsidR="006C7C52" w:rsidRPr="00454403">
        <w:t xml:space="preserve"> 338, 85 </w:t>
      </w:r>
      <w:proofErr w:type="spellStart"/>
      <w:r w:rsidR="006C7C52" w:rsidRPr="00454403">
        <w:t>O.R</w:t>
      </w:r>
      <w:proofErr w:type="spellEnd"/>
      <w:r w:rsidR="00DA4245">
        <w:t>.</w:t>
      </w:r>
      <w:r w:rsidR="006C7C52" w:rsidRPr="00454403">
        <w:t xml:space="preserve"> (</w:t>
      </w:r>
      <w:proofErr w:type="spellStart"/>
      <w:r w:rsidR="006C7C52" w:rsidRPr="00454403">
        <w:t>3d</w:t>
      </w:r>
      <w:proofErr w:type="spellEnd"/>
      <w:r w:rsidR="006C7C52" w:rsidRPr="00454403">
        <w:t xml:space="preserve">) 585; </w:t>
      </w:r>
      <w:r w:rsidR="006C7C52" w:rsidRPr="00454403">
        <w:rPr>
          <w:i/>
        </w:rPr>
        <w:t xml:space="preserve">R. v. </w:t>
      </w:r>
      <w:proofErr w:type="spellStart"/>
      <w:r w:rsidR="006C7C52" w:rsidRPr="00454403">
        <w:rPr>
          <w:i/>
        </w:rPr>
        <w:t>Meshake</w:t>
      </w:r>
      <w:proofErr w:type="spellEnd"/>
      <w:r w:rsidR="006C7C52" w:rsidRPr="00454403">
        <w:t xml:space="preserve">, 2007 </w:t>
      </w:r>
      <w:proofErr w:type="spellStart"/>
      <w:r w:rsidR="006C7C52" w:rsidRPr="00454403">
        <w:t>ONCA</w:t>
      </w:r>
      <w:proofErr w:type="spellEnd"/>
      <w:r w:rsidR="006C7C52" w:rsidRPr="00454403">
        <w:t xml:space="preserve"> 337, 85 </w:t>
      </w:r>
      <w:proofErr w:type="spellStart"/>
      <w:r w:rsidR="006C7C52" w:rsidRPr="00454403">
        <w:t>O.R</w:t>
      </w:r>
      <w:proofErr w:type="spellEnd"/>
      <w:r w:rsidR="006C7C52" w:rsidRPr="00454403">
        <w:t>.</w:t>
      </w:r>
      <w:r w:rsidR="00853F3C" w:rsidRPr="00454403">
        <w:t xml:space="preserve"> (</w:t>
      </w:r>
      <w:proofErr w:type="spellStart"/>
      <w:r w:rsidR="00853F3C" w:rsidRPr="00454403">
        <w:t>3d</w:t>
      </w:r>
      <w:proofErr w:type="spellEnd"/>
      <w:r w:rsidR="00853F3C" w:rsidRPr="00454403">
        <w:t>)</w:t>
      </w:r>
      <w:r w:rsidR="006C7C52" w:rsidRPr="00454403">
        <w:t xml:space="preserve"> 575;</w:t>
      </w:r>
      <w:r w:rsidR="006C7C52" w:rsidRPr="00454403">
        <w:rPr>
          <w:i/>
        </w:rPr>
        <w:t xml:space="preserve"> R. v. Adams</w:t>
      </w:r>
      <w:r w:rsidR="006C7C52" w:rsidRPr="00454403">
        <w:t>,</w:t>
      </w:r>
      <w:r w:rsidR="006C7C52" w:rsidRPr="00454403">
        <w:rPr>
          <w:i/>
        </w:rPr>
        <w:t xml:space="preserve"> </w:t>
      </w:r>
      <w:r w:rsidR="006C7C52" w:rsidRPr="00454403">
        <w:t xml:space="preserve">[1996] 3 </w:t>
      </w:r>
      <w:proofErr w:type="spellStart"/>
      <w:r w:rsidR="006C7C52" w:rsidRPr="00454403">
        <w:t>S.C.R</w:t>
      </w:r>
      <w:proofErr w:type="spellEnd"/>
      <w:r w:rsidR="006C7C52" w:rsidRPr="00454403">
        <w:t>. 101;</w:t>
      </w:r>
      <w:r w:rsidR="006C7C52" w:rsidRPr="00454403">
        <w:rPr>
          <w:i/>
        </w:rPr>
        <w:t xml:space="preserve"> </w:t>
      </w:r>
      <w:proofErr w:type="spellStart"/>
      <w:r w:rsidR="006C7C52" w:rsidRPr="00454403">
        <w:rPr>
          <w:i/>
        </w:rPr>
        <w:t>Hwlitsum</w:t>
      </w:r>
      <w:proofErr w:type="spellEnd"/>
      <w:r w:rsidR="006C7C52" w:rsidRPr="00454403">
        <w:rPr>
          <w:i/>
        </w:rPr>
        <w:t xml:space="preserve"> First Nation v. Canada (Attorney General)</w:t>
      </w:r>
      <w:r w:rsidR="006C7C52" w:rsidRPr="00454403">
        <w:t xml:space="preserve">, 2018 </w:t>
      </w:r>
      <w:proofErr w:type="spellStart"/>
      <w:r w:rsidR="006C7C52" w:rsidRPr="00454403">
        <w:t>BCCA</w:t>
      </w:r>
      <w:proofErr w:type="spellEnd"/>
      <w:r w:rsidR="006C7C52" w:rsidRPr="00454403">
        <w:t xml:space="preserve"> 276, 15 </w:t>
      </w:r>
      <w:proofErr w:type="spellStart"/>
      <w:r w:rsidR="006C7C52" w:rsidRPr="00454403">
        <w:t>B.C.L.R</w:t>
      </w:r>
      <w:proofErr w:type="spellEnd"/>
      <w:r w:rsidR="00DA4245">
        <w:t>.</w:t>
      </w:r>
      <w:r w:rsidR="006C7C52" w:rsidRPr="00454403">
        <w:t xml:space="preserve"> (6th) 91; </w:t>
      </w:r>
      <w:r w:rsidR="006C7C52" w:rsidRPr="00454403">
        <w:rPr>
          <w:i/>
        </w:rPr>
        <w:t>Campbell v. British Columbia (Minister of Forests and Range)</w:t>
      </w:r>
      <w:r w:rsidR="006C7C52" w:rsidRPr="00454403">
        <w:t xml:space="preserve">, 2011 </w:t>
      </w:r>
      <w:proofErr w:type="spellStart"/>
      <w:r w:rsidR="006C7C52" w:rsidRPr="00454403">
        <w:t>BCSC</w:t>
      </w:r>
      <w:proofErr w:type="spellEnd"/>
      <w:r w:rsidR="006C7C52" w:rsidRPr="00454403">
        <w:t xml:space="preserve"> 448, </w:t>
      </w:r>
      <w:r w:rsidR="002F3C77" w:rsidRPr="00454403">
        <w:t xml:space="preserve">[2011] </w:t>
      </w:r>
      <w:r w:rsidR="006C7C52" w:rsidRPr="00454403">
        <w:t xml:space="preserve">3 </w:t>
      </w:r>
      <w:proofErr w:type="spellStart"/>
      <w:r w:rsidR="006C7C52" w:rsidRPr="00454403">
        <w:t>C.N.L.R</w:t>
      </w:r>
      <w:proofErr w:type="spellEnd"/>
      <w:r w:rsidR="006C7C52" w:rsidRPr="00454403">
        <w:t xml:space="preserve">. 151; </w:t>
      </w:r>
      <w:r w:rsidR="006C7C52" w:rsidRPr="00454403">
        <w:rPr>
          <w:i/>
        </w:rPr>
        <w:t xml:space="preserve">Rio Tinto Alcan Inc. v. Carrier </w:t>
      </w:r>
      <w:proofErr w:type="spellStart"/>
      <w:r w:rsidR="006C7C52" w:rsidRPr="00454403">
        <w:rPr>
          <w:i/>
        </w:rPr>
        <w:t>Sekani</w:t>
      </w:r>
      <w:proofErr w:type="spellEnd"/>
      <w:r w:rsidR="006C7C52" w:rsidRPr="00454403">
        <w:rPr>
          <w:i/>
        </w:rPr>
        <w:t xml:space="preserve"> Tribal Council</w:t>
      </w:r>
      <w:r w:rsidR="006C7C52" w:rsidRPr="00454403">
        <w:t xml:space="preserve">, 2010 SCC 43, [2010] 2 </w:t>
      </w:r>
      <w:proofErr w:type="spellStart"/>
      <w:r w:rsidR="006C7C52" w:rsidRPr="00454403">
        <w:t>S.C.R</w:t>
      </w:r>
      <w:proofErr w:type="spellEnd"/>
      <w:r w:rsidR="006C7C52" w:rsidRPr="00454403">
        <w:t xml:space="preserve">. 650; </w:t>
      </w:r>
      <w:r w:rsidR="006C7C52" w:rsidRPr="00454403">
        <w:rPr>
          <w:i/>
        </w:rPr>
        <w:t>Native Council of Nova Scotia v. Canada (Attorney General)</w:t>
      </w:r>
      <w:r w:rsidR="006C7C52" w:rsidRPr="00454403">
        <w:t xml:space="preserve">, 2008 </w:t>
      </w:r>
      <w:proofErr w:type="spellStart"/>
      <w:r w:rsidR="006C7C52" w:rsidRPr="00454403">
        <w:t>FCA</w:t>
      </w:r>
      <w:proofErr w:type="spellEnd"/>
      <w:r w:rsidR="006C7C52" w:rsidRPr="00454403">
        <w:t xml:space="preserve"> 113, </w:t>
      </w:r>
      <w:r w:rsidR="00422E85" w:rsidRPr="00454403">
        <w:t>[</w:t>
      </w:r>
      <w:r w:rsidR="002F3C77" w:rsidRPr="00454403">
        <w:t>2008</w:t>
      </w:r>
      <w:r w:rsidR="00422E85" w:rsidRPr="00454403">
        <w:t xml:space="preserve">] </w:t>
      </w:r>
      <w:r w:rsidR="006C7C52" w:rsidRPr="00454403">
        <w:t xml:space="preserve">3 </w:t>
      </w:r>
      <w:proofErr w:type="spellStart"/>
      <w:r w:rsidR="006C7C52" w:rsidRPr="00454403">
        <w:t>C.N.L.R</w:t>
      </w:r>
      <w:proofErr w:type="spellEnd"/>
      <w:r w:rsidR="006C7C52" w:rsidRPr="00454403">
        <w:t xml:space="preserve">. 286; </w:t>
      </w:r>
      <w:proofErr w:type="spellStart"/>
      <w:r w:rsidR="006C7C52" w:rsidRPr="00454403">
        <w:rPr>
          <w:i/>
        </w:rPr>
        <w:t>Mississaugas</w:t>
      </w:r>
      <w:proofErr w:type="spellEnd"/>
      <w:r w:rsidR="006C7C52" w:rsidRPr="00454403">
        <w:rPr>
          <w:i/>
        </w:rPr>
        <w:t xml:space="preserve"> of </w:t>
      </w:r>
      <w:proofErr w:type="spellStart"/>
      <w:r w:rsidR="006C7C52" w:rsidRPr="00454403">
        <w:rPr>
          <w:i/>
        </w:rPr>
        <w:t>Scu</w:t>
      </w:r>
      <w:r w:rsidR="00EF364E">
        <w:rPr>
          <w:i/>
        </w:rPr>
        <w:t>g</w:t>
      </w:r>
      <w:r w:rsidR="006C7C52" w:rsidRPr="00454403">
        <w:rPr>
          <w:i/>
        </w:rPr>
        <w:t>og</w:t>
      </w:r>
      <w:proofErr w:type="spellEnd"/>
      <w:r w:rsidR="006C7C52" w:rsidRPr="00454403">
        <w:rPr>
          <w:i/>
        </w:rPr>
        <w:t xml:space="preserve"> Island First Nation v.</w:t>
      </w:r>
      <w:r w:rsidR="006C7C52" w:rsidRPr="00454403">
        <w:t xml:space="preserve"> </w:t>
      </w:r>
      <w:r w:rsidR="006C7C52" w:rsidRPr="00454403">
        <w:rPr>
          <w:i/>
        </w:rPr>
        <w:t>National Automobile, Aerospace, Transportation and General Workers Union of Canada (CAW</w:t>
      </w:r>
      <w:r w:rsidR="00EB7398" w:rsidRPr="00454403">
        <w:rPr>
          <w:i/>
        </w:rPr>
        <w:noBreakHyphen/>
      </w:r>
      <w:r w:rsidR="006C7C52" w:rsidRPr="00454403">
        <w:rPr>
          <w:i/>
        </w:rPr>
        <w:t>Canada)</w:t>
      </w:r>
      <w:r w:rsidR="00CF2414" w:rsidRPr="00454403">
        <w:rPr>
          <w:i/>
        </w:rPr>
        <w:t>, L</w:t>
      </w:r>
      <w:r w:rsidR="006C7C52" w:rsidRPr="00454403">
        <w:rPr>
          <w:i/>
        </w:rPr>
        <w:t>ocal 444</w:t>
      </w:r>
      <w:r w:rsidR="006C7C52" w:rsidRPr="00454403">
        <w:t xml:space="preserve">, 2007 </w:t>
      </w:r>
      <w:proofErr w:type="spellStart"/>
      <w:r w:rsidR="006C7C52" w:rsidRPr="00454403">
        <w:t>ONCA</w:t>
      </w:r>
      <w:proofErr w:type="spellEnd"/>
      <w:r w:rsidR="006C7C52" w:rsidRPr="00454403">
        <w:t xml:space="preserve"> 814, 88 </w:t>
      </w:r>
      <w:proofErr w:type="spellStart"/>
      <w:r w:rsidR="006C7C52" w:rsidRPr="00454403">
        <w:t>O.R</w:t>
      </w:r>
      <w:proofErr w:type="spellEnd"/>
      <w:r w:rsidR="006C7C52" w:rsidRPr="00454403">
        <w:t>. (</w:t>
      </w:r>
      <w:proofErr w:type="spellStart"/>
      <w:r w:rsidR="006C7C52" w:rsidRPr="00454403">
        <w:t>3d</w:t>
      </w:r>
      <w:proofErr w:type="spellEnd"/>
      <w:r w:rsidR="006C7C52" w:rsidRPr="00454403">
        <w:t xml:space="preserve">) 583; </w:t>
      </w:r>
      <w:r w:rsidR="006C7C52" w:rsidRPr="00454403">
        <w:rPr>
          <w:i/>
        </w:rPr>
        <w:t xml:space="preserve">R. v. </w:t>
      </w:r>
      <w:proofErr w:type="spellStart"/>
      <w:r w:rsidR="006C7C52" w:rsidRPr="00454403">
        <w:rPr>
          <w:i/>
        </w:rPr>
        <w:t>Nikal</w:t>
      </w:r>
      <w:proofErr w:type="spellEnd"/>
      <w:r w:rsidR="006C7C52" w:rsidRPr="00454403">
        <w:t xml:space="preserve">, [1996] 1 </w:t>
      </w:r>
      <w:proofErr w:type="spellStart"/>
      <w:r w:rsidR="006C7C52" w:rsidRPr="00454403">
        <w:t>S.C.R</w:t>
      </w:r>
      <w:proofErr w:type="spellEnd"/>
      <w:r w:rsidR="006C7C52" w:rsidRPr="00454403">
        <w:t xml:space="preserve">. 1013; </w:t>
      </w:r>
      <w:r w:rsidR="006C7C52" w:rsidRPr="00454403">
        <w:rPr>
          <w:i/>
        </w:rPr>
        <w:t xml:space="preserve">First Nation of Nacho </w:t>
      </w:r>
      <w:proofErr w:type="spellStart"/>
      <w:r w:rsidR="006C7C52" w:rsidRPr="00454403">
        <w:rPr>
          <w:i/>
        </w:rPr>
        <w:t>Nyak</w:t>
      </w:r>
      <w:proofErr w:type="spellEnd"/>
      <w:r w:rsidR="006C7C52" w:rsidRPr="00454403">
        <w:rPr>
          <w:i/>
        </w:rPr>
        <w:t xml:space="preserve"> Dun v. Yukon</w:t>
      </w:r>
      <w:r w:rsidR="00CF2414" w:rsidRPr="00454403">
        <w:t xml:space="preserve">, 2017 </w:t>
      </w:r>
      <w:r w:rsidR="00CF2414" w:rsidRPr="00454403">
        <w:lastRenderedPageBreak/>
        <w:t xml:space="preserve">SCC 58, [2017] 2 </w:t>
      </w:r>
      <w:proofErr w:type="spellStart"/>
      <w:r w:rsidR="00CF2414" w:rsidRPr="00454403">
        <w:t>S.C.R</w:t>
      </w:r>
      <w:proofErr w:type="spellEnd"/>
      <w:r w:rsidR="00CF2414" w:rsidRPr="00454403">
        <w:t xml:space="preserve">. </w:t>
      </w:r>
      <w:r w:rsidR="006C7C52" w:rsidRPr="00454403">
        <w:t>5</w:t>
      </w:r>
      <w:r w:rsidR="00CF2414" w:rsidRPr="00454403">
        <w:t>7</w:t>
      </w:r>
      <w:r w:rsidR="006C7C52" w:rsidRPr="00454403">
        <w:t xml:space="preserve">6; </w:t>
      </w:r>
      <w:r w:rsidR="006C7C52" w:rsidRPr="00454403">
        <w:rPr>
          <w:i/>
        </w:rPr>
        <w:t>Hunter</w:t>
      </w:r>
      <w:r w:rsidR="006C7C52" w:rsidRPr="00454403">
        <w:t xml:space="preserve"> </w:t>
      </w:r>
      <w:r w:rsidR="006C7C52" w:rsidRPr="00454403">
        <w:rPr>
          <w:i/>
        </w:rPr>
        <w:t>v.</w:t>
      </w:r>
      <w:r w:rsidR="006C7C52" w:rsidRPr="00454403">
        <w:t xml:space="preserve"> </w:t>
      </w:r>
      <w:proofErr w:type="spellStart"/>
      <w:r w:rsidR="006C7C52" w:rsidRPr="00454403">
        <w:rPr>
          <w:i/>
        </w:rPr>
        <w:t>Southam</w:t>
      </w:r>
      <w:proofErr w:type="spellEnd"/>
      <w:r w:rsidR="006C7C52" w:rsidRPr="00454403">
        <w:rPr>
          <w:i/>
        </w:rPr>
        <w:t xml:space="preserve"> Inc.</w:t>
      </w:r>
      <w:r w:rsidR="006C7C52" w:rsidRPr="00454403">
        <w:t xml:space="preserve">, [1984] 2 </w:t>
      </w:r>
      <w:proofErr w:type="spellStart"/>
      <w:r w:rsidR="006C7C52" w:rsidRPr="00454403">
        <w:t>S.C.R</w:t>
      </w:r>
      <w:proofErr w:type="spellEnd"/>
      <w:r w:rsidR="006C7C52" w:rsidRPr="00454403">
        <w:t xml:space="preserve">. 145; </w:t>
      </w:r>
      <w:r w:rsidR="006C7C52" w:rsidRPr="00454403">
        <w:rPr>
          <w:i/>
        </w:rPr>
        <w:t>R. </w:t>
      </w:r>
      <w:r w:rsidR="006C7C52" w:rsidRPr="00454403">
        <w:rPr>
          <w:i/>
          <w:iCs/>
        </w:rPr>
        <w:t>v</w:t>
      </w:r>
      <w:r w:rsidR="006C7C52" w:rsidRPr="00454403">
        <w:rPr>
          <w:i/>
        </w:rPr>
        <w:t>. Marshall</w:t>
      </w:r>
      <w:r w:rsidR="006C7C52" w:rsidRPr="00454403">
        <w:t xml:space="preserve">, [1999] 3 </w:t>
      </w:r>
      <w:proofErr w:type="spellStart"/>
      <w:r w:rsidR="006C7C52" w:rsidRPr="00454403">
        <w:t>S.C.R</w:t>
      </w:r>
      <w:proofErr w:type="spellEnd"/>
      <w:r w:rsidR="006C7C52" w:rsidRPr="00454403">
        <w:t xml:space="preserve">. 533; </w:t>
      </w:r>
      <w:r w:rsidR="006C7C52" w:rsidRPr="00454403">
        <w:rPr>
          <w:i/>
          <w:iCs/>
        </w:rPr>
        <w:t>Clyde River (Hamlet) v. Petroleum Geo</w:t>
      </w:r>
      <w:r w:rsidR="00EB7398" w:rsidRPr="00454403">
        <w:rPr>
          <w:i/>
          <w:iCs/>
        </w:rPr>
        <w:noBreakHyphen/>
      </w:r>
      <w:r w:rsidR="006C7C52" w:rsidRPr="00454403">
        <w:rPr>
          <w:i/>
          <w:iCs/>
        </w:rPr>
        <w:t>Services Inc.</w:t>
      </w:r>
      <w:r w:rsidR="006C7C52" w:rsidRPr="00454403">
        <w:rPr>
          <w:iCs/>
        </w:rPr>
        <w:t xml:space="preserve">, 2017 SCC 40, [2017] 1 </w:t>
      </w:r>
      <w:proofErr w:type="spellStart"/>
      <w:r w:rsidR="006C7C52" w:rsidRPr="00454403">
        <w:rPr>
          <w:iCs/>
        </w:rPr>
        <w:t>S.C.R</w:t>
      </w:r>
      <w:proofErr w:type="spellEnd"/>
      <w:r w:rsidR="006C7C52" w:rsidRPr="00454403">
        <w:rPr>
          <w:iCs/>
        </w:rPr>
        <w:t xml:space="preserve">. 1069. </w:t>
      </w:r>
    </w:p>
    <w:p w:rsidR="004E2C26" w:rsidRPr="00454403" w:rsidRDefault="006C7C52" w:rsidP="00EB7398">
      <w:pPr>
        <w:pStyle w:val="SCCNormalDoubleSpacing"/>
        <w:spacing w:after="480"/>
      </w:pPr>
      <w:r w:rsidRPr="00454403">
        <w:t>By Côté</w:t>
      </w:r>
      <w:r w:rsidR="00BA2558" w:rsidRPr="00454403">
        <w:t> </w:t>
      </w:r>
      <w:r w:rsidRPr="00454403">
        <w:t>J.</w:t>
      </w:r>
      <w:r w:rsidR="000F171D" w:rsidRPr="00454403">
        <w:t xml:space="preserve"> (dissenting)</w:t>
      </w:r>
    </w:p>
    <w:p w:rsidR="00FB0C78" w:rsidRPr="00454403" w:rsidRDefault="00BA2558" w:rsidP="00AC1998">
      <w:pPr>
        <w:pStyle w:val="SCCNormalDoubleSpacing"/>
        <w:spacing w:after="480"/>
        <w:rPr>
          <w:shd w:val="clear" w:color="auto" w:fill="FFFFFF"/>
        </w:rPr>
      </w:pPr>
      <w:r w:rsidRPr="00454403">
        <w:rPr>
          <w:i/>
        </w:rPr>
        <w:tab/>
      </w:r>
      <w:r w:rsidR="006C7C52" w:rsidRPr="00454403">
        <w:rPr>
          <w:i/>
        </w:rPr>
        <w:t xml:space="preserve">Mitchell v. </w:t>
      </w:r>
      <w:proofErr w:type="spellStart"/>
      <w:r w:rsidR="006C7C52" w:rsidRPr="00454403">
        <w:rPr>
          <w:i/>
        </w:rPr>
        <w:t>M.N.R</w:t>
      </w:r>
      <w:proofErr w:type="spellEnd"/>
      <w:r w:rsidR="006C7C52" w:rsidRPr="00454403">
        <w:rPr>
          <w:i/>
        </w:rPr>
        <w:t>.</w:t>
      </w:r>
      <w:r w:rsidR="006C7C52" w:rsidRPr="00454403">
        <w:t xml:space="preserve">, 2001 SCC 33, [2001] 1 </w:t>
      </w:r>
      <w:proofErr w:type="spellStart"/>
      <w:r w:rsidR="006C7C52" w:rsidRPr="00454403">
        <w:t>S.C.R</w:t>
      </w:r>
      <w:proofErr w:type="spellEnd"/>
      <w:r w:rsidR="006C7C52" w:rsidRPr="00454403">
        <w:t xml:space="preserve">. 911; </w:t>
      </w:r>
      <w:r w:rsidR="006C7C52" w:rsidRPr="00454403">
        <w:rPr>
          <w:i/>
        </w:rPr>
        <w:t xml:space="preserve">R. v. Van der </w:t>
      </w:r>
      <w:proofErr w:type="spellStart"/>
      <w:r w:rsidR="006C7C52" w:rsidRPr="00454403">
        <w:rPr>
          <w:i/>
        </w:rPr>
        <w:t>Peet</w:t>
      </w:r>
      <w:proofErr w:type="spellEnd"/>
      <w:r w:rsidR="006C7C52" w:rsidRPr="00454403">
        <w:t xml:space="preserve">, [1996] 2 </w:t>
      </w:r>
      <w:proofErr w:type="spellStart"/>
      <w:r w:rsidR="006C7C52" w:rsidRPr="00454403">
        <w:t>S.C.R</w:t>
      </w:r>
      <w:proofErr w:type="spellEnd"/>
      <w:r w:rsidR="006C7C52" w:rsidRPr="00454403">
        <w:t xml:space="preserve">. 507; </w:t>
      </w:r>
      <w:r w:rsidR="006C7C52" w:rsidRPr="00454403">
        <w:rPr>
          <w:i/>
        </w:rPr>
        <w:t xml:space="preserve">R. v. </w:t>
      </w:r>
      <w:proofErr w:type="spellStart"/>
      <w:r w:rsidR="006C7C52" w:rsidRPr="00454403">
        <w:rPr>
          <w:i/>
        </w:rPr>
        <w:t>Blais</w:t>
      </w:r>
      <w:proofErr w:type="spellEnd"/>
      <w:r w:rsidR="006C7C52" w:rsidRPr="00454403">
        <w:t xml:space="preserve">, 2003 SCC 44, [2003] 2 </w:t>
      </w:r>
      <w:proofErr w:type="spellStart"/>
      <w:r w:rsidR="006C7C52" w:rsidRPr="00454403">
        <w:t>S.C.R</w:t>
      </w:r>
      <w:proofErr w:type="spellEnd"/>
      <w:r w:rsidR="006C7C52" w:rsidRPr="00454403">
        <w:t xml:space="preserve">. 236; </w:t>
      </w:r>
      <w:r w:rsidR="006C7C52" w:rsidRPr="00454403">
        <w:rPr>
          <w:i/>
        </w:rPr>
        <w:t>R. v. Marshall</w:t>
      </w:r>
      <w:r w:rsidR="006C7C52" w:rsidRPr="00454403">
        <w:t xml:space="preserve">, [1999] 3 </w:t>
      </w:r>
      <w:proofErr w:type="spellStart"/>
      <w:r w:rsidR="006C7C52" w:rsidRPr="00454403">
        <w:t>S.C.R</w:t>
      </w:r>
      <w:proofErr w:type="spellEnd"/>
      <w:r w:rsidR="006C7C52" w:rsidRPr="00454403">
        <w:t xml:space="preserve">. 456; </w:t>
      </w:r>
      <w:r w:rsidR="006C7C52" w:rsidRPr="00454403">
        <w:rPr>
          <w:i/>
        </w:rPr>
        <w:t>R. v. Powley</w:t>
      </w:r>
      <w:r w:rsidR="006C7C52" w:rsidRPr="00454403">
        <w:t xml:space="preserve">, 2003 SCC 43, [2003] 2 </w:t>
      </w:r>
      <w:proofErr w:type="spellStart"/>
      <w:r w:rsidR="006C7C52" w:rsidRPr="00454403">
        <w:t>S.C.R</w:t>
      </w:r>
      <w:proofErr w:type="spellEnd"/>
      <w:r w:rsidR="006C7C52" w:rsidRPr="00454403">
        <w:t xml:space="preserve">. 207; </w:t>
      </w:r>
      <w:r w:rsidR="006C7C52" w:rsidRPr="00454403">
        <w:rPr>
          <w:i/>
        </w:rPr>
        <w:t>Manitoba Metis Federation Inc. v. Canada (Attorney General)</w:t>
      </w:r>
      <w:r w:rsidR="006C7C52" w:rsidRPr="00454403">
        <w:t xml:space="preserve">, 2013 SCC 14, [2013] 1 </w:t>
      </w:r>
      <w:proofErr w:type="spellStart"/>
      <w:r w:rsidR="006C7C52" w:rsidRPr="00454403">
        <w:t>S.C.R</w:t>
      </w:r>
      <w:proofErr w:type="spellEnd"/>
      <w:r w:rsidR="006C7C52" w:rsidRPr="00454403">
        <w:t xml:space="preserve">. 623; </w:t>
      </w:r>
      <w:r w:rsidR="006C7C52" w:rsidRPr="00454403">
        <w:rPr>
          <w:i/>
        </w:rPr>
        <w:t>R. v. Sparrow</w:t>
      </w:r>
      <w:r w:rsidR="006C7C52" w:rsidRPr="00454403">
        <w:t xml:space="preserve">, [1990] 1 </w:t>
      </w:r>
      <w:proofErr w:type="spellStart"/>
      <w:r w:rsidR="006C7C52" w:rsidRPr="00454403">
        <w:t>S.C.R</w:t>
      </w:r>
      <w:proofErr w:type="spellEnd"/>
      <w:r w:rsidR="006C7C52" w:rsidRPr="00454403">
        <w:t xml:space="preserve">. 1075; </w:t>
      </w:r>
      <w:proofErr w:type="spellStart"/>
      <w:r w:rsidR="006C7C52" w:rsidRPr="00454403">
        <w:rPr>
          <w:i/>
        </w:rPr>
        <w:t>Mikisew</w:t>
      </w:r>
      <w:proofErr w:type="spellEnd"/>
      <w:r w:rsidR="006C7C52" w:rsidRPr="00454403">
        <w:rPr>
          <w:i/>
        </w:rPr>
        <w:t xml:space="preserve"> Cree First Nation v. Canada (Governor General in Council)</w:t>
      </w:r>
      <w:r w:rsidR="006C7C52" w:rsidRPr="00454403">
        <w:t xml:space="preserve">, 2018 SCC 40, [2018] 2 </w:t>
      </w:r>
      <w:proofErr w:type="spellStart"/>
      <w:r w:rsidR="006C7C52" w:rsidRPr="00454403">
        <w:t>S.C.R</w:t>
      </w:r>
      <w:proofErr w:type="spellEnd"/>
      <w:r w:rsidR="006C7C52" w:rsidRPr="00454403">
        <w:t xml:space="preserve">. 765; </w:t>
      </w:r>
      <w:r w:rsidR="006C7C52" w:rsidRPr="00454403">
        <w:rPr>
          <w:i/>
        </w:rPr>
        <w:t>Caron v. Alberta</w:t>
      </w:r>
      <w:r w:rsidR="006C7C52" w:rsidRPr="00454403">
        <w:t xml:space="preserve">, 2015 SCC 56, [2015] 3 </w:t>
      </w:r>
      <w:proofErr w:type="spellStart"/>
      <w:r w:rsidR="006C7C52" w:rsidRPr="00454403">
        <w:t>S.C.R</w:t>
      </w:r>
      <w:proofErr w:type="spellEnd"/>
      <w:r w:rsidR="006C7C52" w:rsidRPr="00454403">
        <w:t xml:space="preserve">. 511; </w:t>
      </w:r>
      <w:r w:rsidR="00C82FDB" w:rsidRPr="00454403">
        <w:rPr>
          <w:i/>
        </w:rPr>
        <w:t>Reference re Secession of Quebec</w:t>
      </w:r>
      <w:r w:rsidR="00C82FDB" w:rsidRPr="00454403">
        <w:t xml:space="preserve">, [1998] 2 </w:t>
      </w:r>
      <w:proofErr w:type="spellStart"/>
      <w:r w:rsidR="00C82FDB" w:rsidRPr="00454403">
        <w:t>S.C.R</w:t>
      </w:r>
      <w:proofErr w:type="spellEnd"/>
      <w:r w:rsidR="00C82FDB" w:rsidRPr="00454403">
        <w:t xml:space="preserve">. 217; </w:t>
      </w:r>
      <w:r w:rsidR="00C82FDB" w:rsidRPr="00454403">
        <w:rPr>
          <w:i/>
        </w:rPr>
        <w:t>British Columbia (Attorney General) v. Canada (Attorney General)</w:t>
      </w:r>
      <w:r w:rsidR="00C82FDB" w:rsidRPr="00454403">
        <w:t xml:space="preserve">, [1994] 2 </w:t>
      </w:r>
      <w:proofErr w:type="spellStart"/>
      <w:r w:rsidR="00C82FDB" w:rsidRPr="00454403">
        <w:t>S.C.R</w:t>
      </w:r>
      <w:proofErr w:type="spellEnd"/>
      <w:r w:rsidR="00C82FDB" w:rsidRPr="00454403">
        <w:t xml:space="preserve">. 41; </w:t>
      </w:r>
      <w:r w:rsidR="006C7C52" w:rsidRPr="00454403">
        <w:rPr>
          <w:i/>
        </w:rPr>
        <w:t>Placer Dome Canada Ltd. v. Ontario (Minister of Finance)</w:t>
      </w:r>
      <w:r w:rsidR="006C7C52" w:rsidRPr="00454403">
        <w:t xml:space="preserve">, 2006 SCC 20, [2006] 1 </w:t>
      </w:r>
      <w:proofErr w:type="spellStart"/>
      <w:r w:rsidR="006C7C52" w:rsidRPr="00454403">
        <w:t>S.C.R</w:t>
      </w:r>
      <w:proofErr w:type="spellEnd"/>
      <w:r w:rsidR="006C7C52" w:rsidRPr="00454403">
        <w:t xml:space="preserve">. 715; </w:t>
      </w:r>
      <w:r w:rsidR="006C7C52" w:rsidRPr="00454403">
        <w:rPr>
          <w:i/>
        </w:rPr>
        <w:t>Frank v. The Queen</w:t>
      </w:r>
      <w:r w:rsidR="006C7C52" w:rsidRPr="00454403">
        <w:t xml:space="preserve">, [1978] 1 </w:t>
      </w:r>
      <w:proofErr w:type="spellStart"/>
      <w:r w:rsidR="006C7C52" w:rsidRPr="00454403">
        <w:t>S.C.R</w:t>
      </w:r>
      <w:proofErr w:type="spellEnd"/>
      <w:r w:rsidR="006C7C52" w:rsidRPr="00454403">
        <w:t xml:space="preserve">. 95; </w:t>
      </w:r>
      <w:r w:rsidR="006C7C52" w:rsidRPr="00454403">
        <w:rPr>
          <w:i/>
        </w:rPr>
        <w:t>British Columbia v. Imperial Tobacco Canada Ltd.</w:t>
      </w:r>
      <w:r w:rsidR="006C7C52" w:rsidRPr="00454403">
        <w:t xml:space="preserve">, 2005 SCC 49, [2005] 2 </w:t>
      </w:r>
      <w:proofErr w:type="spellStart"/>
      <w:r w:rsidR="006C7C52" w:rsidRPr="00454403">
        <w:t>S.C.R</w:t>
      </w:r>
      <w:proofErr w:type="spellEnd"/>
      <w:r w:rsidR="006C7C52" w:rsidRPr="00454403">
        <w:t xml:space="preserve">. 473; </w:t>
      </w:r>
      <w:r w:rsidR="006C7C52" w:rsidRPr="00454403">
        <w:rPr>
          <w:i/>
        </w:rPr>
        <w:t>Beckman v. Little Salmon/</w:t>
      </w:r>
      <w:proofErr w:type="spellStart"/>
      <w:r w:rsidR="006C7C52" w:rsidRPr="00454403">
        <w:rPr>
          <w:i/>
        </w:rPr>
        <w:t>Carmacks</w:t>
      </w:r>
      <w:proofErr w:type="spellEnd"/>
      <w:r w:rsidR="006C7C52" w:rsidRPr="00454403">
        <w:rPr>
          <w:i/>
        </w:rPr>
        <w:t xml:space="preserve"> First Nation</w:t>
      </w:r>
      <w:r w:rsidR="006C7C52" w:rsidRPr="00454403">
        <w:t xml:space="preserve">, 2010 SCC 53, [2010] 3 </w:t>
      </w:r>
      <w:proofErr w:type="spellStart"/>
      <w:r w:rsidR="006C7C52" w:rsidRPr="00454403">
        <w:t>S.C.R</w:t>
      </w:r>
      <w:proofErr w:type="spellEnd"/>
      <w:r w:rsidR="006C7C52" w:rsidRPr="00454403">
        <w:t>. 103</w:t>
      </w:r>
      <w:r w:rsidR="001C32BB" w:rsidRPr="00454403">
        <w:t xml:space="preserve">; </w:t>
      </w:r>
      <w:r w:rsidR="001C32BB" w:rsidRPr="00454403">
        <w:rPr>
          <w:i/>
        </w:rPr>
        <w:t>R. v. Big M Drug Mart Ltd.</w:t>
      </w:r>
      <w:r w:rsidR="001C32BB" w:rsidRPr="00454403">
        <w:t xml:space="preserve">, [1985] 1 </w:t>
      </w:r>
      <w:proofErr w:type="spellStart"/>
      <w:r w:rsidR="001C32BB" w:rsidRPr="00454403">
        <w:t>S.C.R</w:t>
      </w:r>
      <w:proofErr w:type="spellEnd"/>
      <w:r w:rsidR="001C32BB" w:rsidRPr="00454403">
        <w:t>. 295</w:t>
      </w:r>
      <w:r w:rsidR="006C7C52" w:rsidRPr="00454403">
        <w:t xml:space="preserve">; </w:t>
      </w:r>
      <w:r w:rsidR="006C7C52" w:rsidRPr="00454403">
        <w:rPr>
          <w:i/>
        </w:rPr>
        <w:t xml:space="preserve">R. v. </w:t>
      </w:r>
      <w:proofErr w:type="spellStart"/>
      <w:r w:rsidR="006C7C52" w:rsidRPr="00454403">
        <w:rPr>
          <w:i/>
        </w:rPr>
        <w:t>Poulin</w:t>
      </w:r>
      <w:proofErr w:type="spellEnd"/>
      <w:r w:rsidR="006C7C52" w:rsidRPr="00454403">
        <w:t>, 2019 SCC 47</w:t>
      </w:r>
      <w:r w:rsidR="00DA4245">
        <w:t xml:space="preserve">, [2019] 3 </w:t>
      </w:r>
      <w:proofErr w:type="spellStart"/>
      <w:r w:rsidR="00DA4245">
        <w:t>S.C.R</w:t>
      </w:r>
      <w:proofErr w:type="spellEnd"/>
      <w:r w:rsidR="00DA4245">
        <w:t>. 566</w:t>
      </w:r>
      <w:r w:rsidR="006C7C52" w:rsidRPr="00454403">
        <w:t xml:space="preserve">; </w:t>
      </w:r>
      <w:r w:rsidR="006C7C52" w:rsidRPr="00454403">
        <w:rPr>
          <w:i/>
        </w:rPr>
        <w:t xml:space="preserve">R. v. </w:t>
      </w:r>
      <w:proofErr w:type="spellStart"/>
      <w:r w:rsidR="006C7C52" w:rsidRPr="00454403">
        <w:rPr>
          <w:i/>
        </w:rPr>
        <w:t>Stillman</w:t>
      </w:r>
      <w:proofErr w:type="spellEnd"/>
      <w:r w:rsidR="006C7C52" w:rsidRPr="00454403">
        <w:t xml:space="preserve">, 2019 SCC </w:t>
      </w:r>
      <w:r w:rsidR="00DA4245" w:rsidRPr="00DA4245">
        <w:t>40</w:t>
      </w:r>
      <w:r w:rsidR="00DA4245">
        <w:t xml:space="preserve">, [2019] 3 </w:t>
      </w:r>
      <w:proofErr w:type="spellStart"/>
      <w:r w:rsidR="00DA4245">
        <w:t>S.C.R</w:t>
      </w:r>
      <w:proofErr w:type="spellEnd"/>
      <w:r w:rsidR="00DA4245" w:rsidRPr="00DA4245">
        <w:t>. 144</w:t>
      </w:r>
      <w:r w:rsidR="006C7C52" w:rsidRPr="00454403">
        <w:t xml:space="preserve">; </w:t>
      </w:r>
      <w:proofErr w:type="spellStart"/>
      <w:r w:rsidR="006C7C52" w:rsidRPr="00454403">
        <w:rPr>
          <w:i/>
        </w:rPr>
        <w:t>Haida</w:t>
      </w:r>
      <w:proofErr w:type="spellEnd"/>
      <w:r w:rsidR="006C7C52" w:rsidRPr="00454403">
        <w:t xml:space="preserve"> </w:t>
      </w:r>
      <w:r w:rsidR="006C7C52" w:rsidRPr="00454403">
        <w:rPr>
          <w:i/>
        </w:rPr>
        <w:t xml:space="preserve">Nation </w:t>
      </w:r>
      <w:r w:rsidR="006C7C52" w:rsidRPr="00454403">
        <w:rPr>
          <w:i/>
          <w:iCs/>
        </w:rPr>
        <w:t>v</w:t>
      </w:r>
      <w:r w:rsidR="006C7C52" w:rsidRPr="00454403">
        <w:rPr>
          <w:i/>
        </w:rPr>
        <w:t>.</w:t>
      </w:r>
      <w:r w:rsidR="006C7C52" w:rsidRPr="00454403">
        <w:t xml:space="preserve"> </w:t>
      </w:r>
      <w:r w:rsidR="006C7C52" w:rsidRPr="00454403">
        <w:rPr>
          <w:i/>
        </w:rPr>
        <w:t>British Columbia (Minister of Forests)</w:t>
      </w:r>
      <w:r w:rsidR="006C7C52" w:rsidRPr="00454403">
        <w:t xml:space="preserve">, 2004 SCC 73, </w:t>
      </w:r>
      <w:r w:rsidR="006C7C52" w:rsidRPr="00454403">
        <w:rPr>
          <w:lang w:val="en-GB"/>
        </w:rPr>
        <w:t xml:space="preserve">[2004] 3 </w:t>
      </w:r>
      <w:proofErr w:type="spellStart"/>
      <w:r w:rsidR="006C7C52" w:rsidRPr="00454403">
        <w:rPr>
          <w:lang w:val="en-GB"/>
        </w:rPr>
        <w:t>S.C.R</w:t>
      </w:r>
      <w:proofErr w:type="spellEnd"/>
      <w:r w:rsidR="006C7C52" w:rsidRPr="00454403">
        <w:rPr>
          <w:lang w:val="en-GB"/>
        </w:rPr>
        <w:t xml:space="preserve">. 511; </w:t>
      </w:r>
      <w:proofErr w:type="spellStart"/>
      <w:r w:rsidR="006C7C52" w:rsidRPr="00454403">
        <w:rPr>
          <w:i/>
        </w:rPr>
        <w:t>Tsilhqot’in</w:t>
      </w:r>
      <w:proofErr w:type="spellEnd"/>
      <w:r w:rsidR="006C7C52" w:rsidRPr="00454403">
        <w:rPr>
          <w:i/>
        </w:rPr>
        <w:t xml:space="preserve"> Nation v. British Columbia</w:t>
      </w:r>
      <w:r w:rsidR="006C7C52" w:rsidRPr="00454403">
        <w:t xml:space="preserve">, 2014 SCC 44, [2014] 2 </w:t>
      </w:r>
      <w:proofErr w:type="spellStart"/>
      <w:r w:rsidR="006C7C52" w:rsidRPr="00454403">
        <w:t>S.C.R</w:t>
      </w:r>
      <w:proofErr w:type="spellEnd"/>
      <w:r w:rsidR="006C7C52" w:rsidRPr="00454403">
        <w:t xml:space="preserve">. 257; </w:t>
      </w:r>
      <w:r w:rsidR="006C7C52" w:rsidRPr="00454403">
        <w:rPr>
          <w:i/>
        </w:rPr>
        <w:t>Campbell v. British Columbia (Minister of Forest</w:t>
      </w:r>
      <w:r w:rsidR="00EF364E">
        <w:rPr>
          <w:i/>
        </w:rPr>
        <w:t>s</w:t>
      </w:r>
      <w:r w:rsidR="006C7C52" w:rsidRPr="00454403">
        <w:rPr>
          <w:i/>
        </w:rPr>
        <w:t xml:space="preserve"> and Range)</w:t>
      </w:r>
      <w:r w:rsidR="006C7C52" w:rsidRPr="00454403">
        <w:t xml:space="preserve">, 2011 </w:t>
      </w:r>
      <w:proofErr w:type="spellStart"/>
      <w:r w:rsidR="006C7C52" w:rsidRPr="00454403">
        <w:t>BCSC</w:t>
      </w:r>
      <w:proofErr w:type="spellEnd"/>
      <w:r w:rsidR="006C7C52" w:rsidRPr="00454403">
        <w:t xml:space="preserve"> 448, [2011] 3 </w:t>
      </w:r>
      <w:proofErr w:type="spellStart"/>
      <w:r w:rsidR="006C7C52" w:rsidRPr="00454403">
        <w:t>C.N.L.R</w:t>
      </w:r>
      <w:proofErr w:type="spellEnd"/>
      <w:r w:rsidR="006C7C52" w:rsidRPr="00454403">
        <w:t xml:space="preserve">. 151; </w:t>
      </w:r>
      <w:r w:rsidR="00041E71" w:rsidRPr="00454403">
        <w:rPr>
          <w:i/>
        </w:rPr>
        <w:t>Lax</w:t>
      </w:r>
      <w:r w:rsidR="00041E71" w:rsidRPr="00454403">
        <w:t xml:space="preserve"> </w:t>
      </w:r>
      <w:proofErr w:type="spellStart"/>
      <w:r w:rsidR="00041E71" w:rsidRPr="00454403">
        <w:rPr>
          <w:i/>
        </w:rPr>
        <w:t>Kw’alaams</w:t>
      </w:r>
      <w:proofErr w:type="spellEnd"/>
      <w:r w:rsidR="00041E71" w:rsidRPr="00454403">
        <w:rPr>
          <w:i/>
        </w:rPr>
        <w:t xml:space="preserve"> Indian </w:t>
      </w:r>
      <w:r w:rsidR="00041E71" w:rsidRPr="00454403">
        <w:rPr>
          <w:i/>
        </w:rPr>
        <w:lastRenderedPageBreak/>
        <w:t>Band v. Canada (Attorney General)</w:t>
      </w:r>
      <w:r w:rsidR="00041E71" w:rsidRPr="00454403">
        <w:t xml:space="preserve">, 2011 SCC 56, [2011] 3 </w:t>
      </w:r>
      <w:proofErr w:type="spellStart"/>
      <w:r w:rsidR="00041E71" w:rsidRPr="00454403">
        <w:t>S.C.R</w:t>
      </w:r>
      <w:proofErr w:type="spellEnd"/>
      <w:r w:rsidR="00041E71" w:rsidRPr="00454403">
        <w:t xml:space="preserve">. 535; </w:t>
      </w:r>
      <w:r w:rsidR="006C7C52" w:rsidRPr="00454403">
        <w:rPr>
          <w:rStyle w:val="sccappellantforindexchar0"/>
          <w:i/>
          <w:shd w:val="clear" w:color="auto" w:fill="FFFFFF"/>
        </w:rPr>
        <w:t>Ktunaxa Nation</w:t>
      </w:r>
      <w:r w:rsidR="00EB7398" w:rsidRPr="00454403">
        <w:rPr>
          <w:rStyle w:val="sccappellantforindexchar0"/>
          <w:bCs/>
          <w:i/>
          <w:shd w:val="clear" w:color="auto" w:fill="FFFFFF"/>
        </w:rPr>
        <w:t xml:space="preserve"> </w:t>
      </w:r>
      <w:r w:rsidR="00EB7398" w:rsidRPr="00454403">
        <w:rPr>
          <w:i/>
          <w:shd w:val="clear" w:color="auto" w:fill="FFFFFF"/>
        </w:rPr>
        <w:t xml:space="preserve">v. </w:t>
      </w:r>
      <w:r w:rsidR="006C7C52" w:rsidRPr="00454403">
        <w:rPr>
          <w:i/>
          <w:shd w:val="clear" w:color="auto" w:fill="FFFFFF"/>
        </w:rPr>
        <w:t>British Columbia (</w:t>
      </w:r>
      <w:r w:rsidR="006C7C52" w:rsidRPr="00454403">
        <w:rPr>
          <w:rStyle w:val="sccrespondentforindexchar0"/>
          <w:i/>
          <w:shd w:val="clear" w:color="auto" w:fill="FFFFFF"/>
        </w:rPr>
        <w:t>Forests, Lands and Natural Resource Operations)</w:t>
      </w:r>
      <w:r w:rsidR="006C7C52" w:rsidRPr="00454403">
        <w:rPr>
          <w:rStyle w:val="sccrespondentforindexchar0"/>
          <w:shd w:val="clear" w:color="auto" w:fill="FFFFFF"/>
        </w:rPr>
        <w:t xml:space="preserve">, 2017 SCC 54, [2017] 2 </w:t>
      </w:r>
      <w:proofErr w:type="spellStart"/>
      <w:r w:rsidR="006C7C52" w:rsidRPr="00454403">
        <w:rPr>
          <w:rStyle w:val="sccrespondentforindexchar0"/>
          <w:shd w:val="clear" w:color="auto" w:fill="FFFFFF"/>
        </w:rPr>
        <w:t>S.</w:t>
      </w:r>
      <w:r w:rsidR="0005706E" w:rsidRPr="00454403">
        <w:rPr>
          <w:shd w:val="clear" w:color="auto" w:fill="FFFFFF"/>
        </w:rPr>
        <w:t>C.R</w:t>
      </w:r>
      <w:proofErr w:type="spellEnd"/>
      <w:r w:rsidR="0005706E" w:rsidRPr="00454403">
        <w:rPr>
          <w:shd w:val="clear" w:color="auto" w:fill="FFFFFF"/>
        </w:rPr>
        <w:t>. 386.</w:t>
      </w:r>
      <w:r w:rsidR="006C7C52" w:rsidRPr="00454403">
        <w:rPr>
          <w:shd w:val="clear" w:color="auto" w:fill="FFFFFF"/>
        </w:rPr>
        <w:t xml:space="preserve"> </w:t>
      </w:r>
    </w:p>
    <w:p w:rsidR="00FB0C78" w:rsidRPr="00454403" w:rsidRDefault="00BA2558" w:rsidP="00BA2558">
      <w:pPr>
        <w:pStyle w:val="SCCNormalDoubleSpacing"/>
        <w:spacing w:after="240"/>
      </w:pPr>
      <w:r w:rsidRPr="00454403">
        <w:t xml:space="preserve">By </w:t>
      </w:r>
      <w:proofErr w:type="spellStart"/>
      <w:r w:rsidRPr="00454403">
        <w:t>Moldaver</w:t>
      </w:r>
      <w:proofErr w:type="spellEnd"/>
      <w:r w:rsidRPr="00454403">
        <w:t> </w:t>
      </w:r>
      <w:r w:rsidR="00FB0C78" w:rsidRPr="00454403">
        <w:t>J. (dissenting)</w:t>
      </w:r>
    </w:p>
    <w:p w:rsidR="00FB0C78" w:rsidRPr="00454403" w:rsidRDefault="0094217C" w:rsidP="00BA2558">
      <w:pPr>
        <w:pStyle w:val="SCCNormalDoubleSpacing"/>
        <w:spacing w:after="480"/>
      </w:pPr>
      <w:r>
        <w:rPr>
          <w:i/>
        </w:rPr>
        <w:tab/>
      </w:r>
      <w:r w:rsidR="00FB0C78" w:rsidRPr="00454403">
        <w:rPr>
          <w:i/>
        </w:rPr>
        <w:t xml:space="preserve">R. v. Van der </w:t>
      </w:r>
      <w:proofErr w:type="spellStart"/>
      <w:r w:rsidR="00FB0C78" w:rsidRPr="00454403">
        <w:rPr>
          <w:i/>
        </w:rPr>
        <w:t>Peet</w:t>
      </w:r>
      <w:proofErr w:type="spellEnd"/>
      <w:r w:rsidR="00FB0C78" w:rsidRPr="00454403">
        <w:t xml:space="preserve">, [1996] 2 </w:t>
      </w:r>
      <w:proofErr w:type="spellStart"/>
      <w:r w:rsidR="00FB0C78" w:rsidRPr="00454403">
        <w:t>S.C.R</w:t>
      </w:r>
      <w:proofErr w:type="spellEnd"/>
      <w:r w:rsidR="00FB0C78" w:rsidRPr="00454403">
        <w:t>. 507.</w:t>
      </w:r>
    </w:p>
    <w:p w:rsidR="003B215F" w:rsidRPr="00454403" w:rsidRDefault="002E6705" w:rsidP="00460244">
      <w:pPr>
        <w:pStyle w:val="SCCNormalDoubleSpacing"/>
        <w:spacing w:after="240"/>
      </w:pPr>
      <w:r w:rsidRPr="00454403">
        <w:rPr>
          <w:b/>
        </w:rPr>
        <w:t>Statutes and Regulations Cite</w:t>
      </w:r>
      <w:r w:rsidR="00A41805" w:rsidRPr="00454403">
        <w:rPr>
          <w:b/>
        </w:rPr>
        <w:t>d</w:t>
      </w:r>
    </w:p>
    <w:p w:rsidR="00B61411" w:rsidRPr="00454403" w:rsidRDefault="00725748" w:rsidP="00BC7EFC">
      <w:pPr>
        <w:pStyle w:val="SCCNormalDoubleSpacing"/>
        <w:spacing w:after="240" w:line="240" w:lineRule="auto"/>
        <w:ind w:left="540" w:hanging="540"/>
      </w:pPr>
      <w:r w:rsidRPr="00454403">
        <w:rPr>
          <w:i/>
        </w:rPr>
        <w:t>Canadian Charter of Rights and Freedoms</w:t>
      </w:r>
      <w:r w:rsidR="00210B38" w:rsidRPr="00454403">
        <w:t>, s. 25.</w:t>
      </w:r>
    </w:p>
    <w:p w:rsidR="00AA4104" w:rsidRPr="00454403" w:rsidRDefault="00AA4104" w:rsidP="00BC7EFC">
      <w:pPr>
        <w:pStyle w:val="SCCNormalDoubleSpacing"/>
        <w:spacing w:after="240" w:line="240" w:lineRule="auto"/>
        <w:ind w:left="540" w:hanging="540"/>
        <w:rPr>
          <w:i/>
        </w:rPr>
      </w:pPr>
      <w:r w:rsidRPr="00454403">
        <w:rPr>
          <w:i/>
        </w:rPr>
        <w:t>Constitution Act, 1867</w:t>
      </w:r>
      <w:r w:rsidRPr="00454403">
        <w:t>,</w:t>
      </w:r>
      <w:r w:rsidRPr="00454403">
        <w:rPr>
          <w:i/>
        </w:rPr>
        <w:t xml:space="preserve"> </w:t>
      </w:r>
      <w:r w:rsidRPr="00454403">
        <w:t>s. 91(24).</w:t>
      </w:r>
    </w:p>
    <w:p w:rsidR="00B61411" w:rsidRPr="00454403" w:rsidRDefault="00725748" w:rsidP="00BC7EFC">
      <w:pPr>
        <w:pStyle w:val="SCCNormalDoubleSpacing"/>
        <w:spacing w:after="240" w:line="240" w:lineRule="auto"/>
        <w:ind w:left="540" w:hanging="540"/>
      </w:pPr>
      <w:r w:rsidRPr="00454403">
        <w:rPr>
          <w:i/>
        </w:rPr>
        <w:t>Constitution Act, 1982</w:t>
      </w:r>
      <w:r w:rsidRPr="00454403">
        <w:t xml:space="preserve">, </w:t>
      </w:r>
      <w:r w:rsidR="00EB7398" w:rsidRPr="00454403">
        <w:t>ss. </w:t>
      </w:r>
      <w:r w:rsidR="00210B38" w:rsidRPr="00454403">
        <w:t>3, 6, 16, 20, 21, 23</w:t>
      </w:r>
      <w:r w:rsidRPr="00454403">
        <w:t>, 32, 35</w:t>
      </w:r>
      <w:r w:rsidR="00EA2DD2" w:rsidRPr="00454403">
        <w:t>, 35.1</w:t>
      </w:r>
      <w:r w:rsidRPr="00454403">
        <w:t>, 36, 37</w:t>
      </w:r>
      <w:r w:rsidR="001C0927" w:rsidRPr="00454403">
        <w:t>, 37.1</w:t>
      </w:r>
      <w:r w:rsidRPr="00454403">
        <w:t>.</w:t>
      </w:r>
    </w:p>
    <w:p w:rsidR="00024E71" w:rsidRPr="00454403" w:rsidRDefault="00693997" w:rsidP="00024E71">
      <w:pPr>
        <w:pStyle w:val="SCCNormalDoubleSpacing"/>
        <w:spacing w:after="240" w:line="240" w:lineRule="auto"/>
        <w:ind w:left="540" w:hanging="540"/>
        <w:rPr>
          <w:lang w:bidi="en-US"/>
        </w:rPr>
      </w:pPr>
      <w:r w:rsidRPr="00454403">
        <w:rPr>
          <w:i/>
          <w:iCs/>
          <w:lang w:bidi="en-US"/>
        </w:rPr>
        <w:t>Game Protection Amendment Act, 1896</w:t>
      </w:r>
      <w:r w:rsidRPr="00454403">
        <w:rPr>
          <w:lang w:bidi="en-US"/>
        </w:rPr>
        <w:t xml:space="preserve">, </w:t>
      </w:r>
      <w:proofErr w:type="spellStart"/>
      <w:r w:rsidRPr="00454403">
        <w:rPr>
          <w:lang w:bidi="en-US"/>
        </w:rPr>
        <w:t>S.B.C</w:t>
      </w:r>
      <w:proofErr w:type="spellEnd"/>
      <w:r w:rsidRPr="00454403">
        <w:rPr>
          <w:lang w:bidi="en-US"/>
        </w:rPr>
        <w:t>., c. 22.</w:t>
      </w:r>
    </w:p>
    <w:p w:rsidR="00BF79C9" w:rsidRPr="00454403" w:rsidRDefault="00BF79C9" w:rsidP="00BF79C9">
      <w:pPr>
        <w:pStyle w:val="SCCNormalDoubleSpacing"/>
        <w:spacing w:after="240" w:line="240" w:lineRule="auto"/>
        <w:ind w:left="540" w:hanging="540"/>
        <w:rPr>
          <w:szCs w:val="24"/>
          <w:lang w:val="en-US" w:eastAsia="en-US"/>
        </w:rPr>
      </w:pPr>
      <w:r w:rsidRPr="00454403">
        <w:rPr>
          <w:i/>
          <w:iCs/>
          <w:szCs w:val="24"/>
          <w:lang w:val="en-US" w:eastAsia="en-US"/>
        </w:rPr>
        <w:t xml:space="preserve">Natural Resources Transfer Agreement </w:t>
      </w:r>
      <w:r w:rsidRPr="00454403">
        <w:rPr>
          <w:szCs w:val="24"/>
          <w:lang w:val="en-US" w:eastAsia="en-US"/>
        </w:rPr>
        <w:t xml:space="preserve">(Alberta) [Schedule 2 of </w:t>
      </w:r>
      <w:r w:rsidRPr="00454403">
        <w:rPr>
          <w:i/>
          <w:iCs/>
          <w:szCs w:val="24"/>
          <w:lang w:val="en-US" w:eastAsia="en-US"/>
        </w:rPr>
        <w:t>Constitution Act, 1930</w:t>
      </w:r>
      <w:r w:rsidRPr="00454403">
        <w:rPr>
          <w:szCs w:val="24"/>
          <w:lang w:val="en-US" w:eastAsia="en-US"/>
        </w:rPr>
        <w:t xml:space="preserve">, </w:t>
      </w:r>
      <w:proofErr w:type="spellStart"/>
      <w:r w:rsidRPr="00454403">
        <w:rPr>
          <w:szCs w:val="24"/>
          <w:lang w:val="en-US" w:eastAsia="en-US"/>
        </w:rPr>
        <w:t>R.S.C</w:t>
      </w:r>
      <w:proofErr w:type="spellEnd"/>
      <w:r w:rsidRPr="00454403">
        <w:rPr>
          <w:szCs w:val="24"/>
          <w:lang w:val="en-US" w:eastAsia="en-US"/>
        </w:rPr>
        <w:t>. 1985, App. II, No. 26], paras. 10 and 12.</w:t>
      </w:r>
    </w:p>
    <w:p w:rsidR="00024E71" w:rsidRPr="00454403" w:rsidRDefault="00DB4C9C" w:rsidP="00024E71">
      <w:pPr>
        <w:pStyle w:val="SCCNormalDoubleSpacing"/>
        <w:spacing w:after="240" w:line="240" w:lineRule="auto"/>
        <w:ind w:left="540" w:hanging="540"/>
        <w:rPr>
          <w:szCs w:val="24"/>
          <w:lang w:val="en-US" w:eastAsia="en-US"/>
        </w:rPr>
      </w:pPr>
      <w:r w:rsidRPr="00454403">
        <w:rPr>
          <w:i/>
          <w:iCs/>
          <w:szCs w:val="24"/>
          <w:lang w:val="en-US" w:eastAsia="en-US"/>
        </w:rPr>
        <w:t>Natural Resource</w:t>
      </w:r>
      <w:r w:rsidR="00D2051C" w:rsidRPr="00454403">
        <w:rPr>
          <w:i/>
          <w:iCs/>
          <w:szCs w:val="24"/>
          <w:lang w:val="en-US" w:eastAsia="en-US"/>
        </w:rPr>
        <w:t>s</w:t>
      </w:r>
      <w:r w:rsidRPr="00454403">
        <w:rPr>
          <w:i/>
          <w:iCs/>
          <w:szCs w:val="24"/>
          <w:lang w:val="en-US" w:eastAsia="en-US"/>
        </w:rPr>
        <w:t xml:space="preserve"> Transfer Agreement </w:t>
      </w:r>
      <w:r w:rsidRPr="00454403">
        <w:rPr>
          <w:szCs w:val="24"/>
          <w:lang w:val="en-US" w:eastAsia="en-US"/>
        </w:rPr>
        <w:t xml:space="preserve">(Manitoba) [Schedule 1 of </w:t>
      </w:r>
      <w:r w:rsidRPr="00454403">
        <w:rPr>
          <w:i/>
          <w:iCs/>
          <w:szCs w:val="24"/>
          <w:lang w:val="en-US" w:eastAsia="en-US"/>
        </w:rPr>
        <w:t>Constitution Act, 1930</w:t>
      </w:r>
      <w:r w:rsidR="009B0E16" w:rsidRPr="00454403">
        <w:rPr>
          <w:szCs w:val="24"/>
          <w:lang w:val="en-US" w:eastAsia="en-US"/>
        </w:rPr>
        <w:t xml:space="preserve">, </w:t>
      </w:r>
      <w:proofErr w:type="spellStart"/>
      <w:r w:rsidR="009B0E16" w:rsidRPr="00454403">
        <w:rPr>
          <w:szCs w:val="24"/>
          <w:lang w:val="en-US" w:eastAsia="en-US"/>
        </w:rPr>
        <w:t>R.S.C</w:t>
      </w:r>
      <w:proofErr w:type="spellEnd"/>
      <w:r w:rsidR="009B0E16" w:rsidRPr="00454403">
        <w:rPr>
          <w:szCs w:val="24"/>
          <w:lang w:val="en-US" w:eastAsia="en-US"/>
        </w:rPr>
        <w:t>. 1985, A</w:t>
      </w:r>
      <w:r w:rsidR="00EB7398" w:rsidRPr="00454403">
        <w:rPr>
          <w:szCs w:val="24"/>
          <w:lang w:val="en-US" w:eastAsia="en-US"/>
        </w:rPr>
        <w:t>pp. </w:t>
      </w:r>
      <w:r w:rsidR="009B0E16" w:rsidRPr="00454403">
        <w:rPr>
          <w:szCs w:val="24"/>
          <w:lang w:val="en-US" w:eastAsia="en-US"/>
        </w:rPr>
        <w:t xml:space="preserve">II, </w:t>
      </w:r>
      <w:r w:rsidR="00EB7398" w:rsidRPr="00454403">
        <w:rPr>
          <w:szCs w:val="24"/>
          <w:lang w:val="en-US" w:eastAsia="en-US"/>
        </w:rPr>
        <w:t>No. </w:t>
      </w:r>
      <w:r w:rsidRPr="00454403">
        <w:rPr>
          <w:szCs w:val="24"/>
          <w:lang w:val="en-US" w:eastAsia="en-US"/>
        </w:rPr>
        <w:t xml:space="preserve">26], </w:t>
      </w:r>
      <w:r w:rsidR="00EB7398" w:rsidRPr="00454403">
        <w:rPr>
          <w:szCs w:val="24"/>
          <w:lang w:val="en-US" w:eastAsia="en-US"/>
        </w:rPr>
        <w:t>paras. </w:t>
      </w:r>
      <w:r w:rsidRPr="00454403">
        <w:rPr>
          <w:szCs w:val="24"/>
          <w:lang w:val="en-US" w:eastAsia="en-US"/>
        </w:rPr>
        <w:t xml:space="preserve">11 and 13. </w:t>
      </w:r>
    </w:p>
    <w:p w:rsidR="00DB4C9C" w:rsidRPr="00454403" w:rsidRDefault="00DB4C9C" w:rsidP="00024E71">
      <w:pPr>
        <w:pStyle w:val="SCCNormalDoubleSpacing"/>
        <w:spacing w:after="240" w:line="240" w:lineRule="auto"/>
        <w:ind w:left="540" w:hanging="540"/>
        <w:rPr>
          <w:lang w:bidi="en-US"/>
        </w:rPr>
      </w:pPr>
      <w:r w:rsidRPr="00454403">
        <w:rPr>
          <w:i/>
          <w:iCs/>
          <w:szCs w:val="24"/>
          <w:lang w:val="en-US" w:eastAsia="en-US"/>
        </w:rPr>
        <w:t>Natural Resource</w:t>
      </w:r>
      <w:r w:rsidR="00D2051C" w:rsidRPr="00454403">
        <w:rPr>
          <w:i/>
          <w:iCs/>
          <w:szCs w:val="24"/>
          <w:lang w:val="en-US" w:eastAsia="en-US"/>
        </w:rPr>
        <w:t>s</w:t>
      </w:r>
      <w:r w:rsidRPr="00454403">
        <w:rPr>
          <w:i/>
          <w:iCs/>
          <w:szCs w:val="24"/>
          <w:lang w:val="en-US" w:eastAsia="en-US"/>
        </w:rPr>
        <w:t xml:space="preserve"> Transfer Agreement</w:t>
      </w:r>
      <w:r w:rsidRPr="00454403">
        <w:rPr>
          <w:szCs w:val="24"/>
          <w:lang w:val="en-US" w:eastAsia="en-US"/>
        </w:rPr>
        <w:t xml:space="preserve"> (Saskatchewan) [Schedule 3 of </w:t>
      </w:r>
      <w:r w:rsidRPr="00454403">
        <w:rPr>
          <w:i/>
          <w:iCs/>
          <w:szCs w:val="24"/>
          <w:lang w:val="en-US" w:eastAsia="en-US"/>
        </w:rPr>
        <w:t>Constitution Act, 1930</w:t>
      </w:r>
      <w:r w:rsidR="009B0E16" w:rsidRPr="00454403">
        <w:rPr>
          <w:szCs w:val="24"/>
          <w:lang w:val="en-US" w:eastAsia="en-US"/>
        </w:rPr>
        <w:t xml:space="preserve">, </w:t>
      </w:r>
      <w:proofErr w:type="spellStart"/>
      <w:r w:rsidR="009B0E16" w:rsidRPr="00454403">
        <w:rPr>
          <w:szCs w:val="24"/>
          <w:lang w:val="en-US" w:eastAsia="en-US"/>
        </w:rPr>
        <w:t>R.S.C</w:t>
      </w:r>
      <w:proofErr w:type="spellEnd"/>
      <w:r w:rsidR="009B0E16" w:rsidRPr="00454403">
        <w:rPr>
          <w:szCs w:val="24"/>
          <w:lang w:val="en-US" w:eastAsia="en-US"/>
        </w:rPr>
        <w:t>. 1985, A</w:t>
      </w:r>
      <w:r w:rsidR="00EB7398" w:rsidRPr="00454403">
        <w:rPr>
          <w:szCs w:val="24"/>
          <w:lang w:val="en-US" w:eastAsia="en-US"/>
        </w:rPr>
        <w:t>pp. </w:t>
      </w:r>
      <w:r w:rsidR="009B0E16" w:rsidRPr="00454403">
        <w:rPr>
          <w:szCs w:val="24"/>
          <w:lang w:val="en-US" w:eastAsia="en-US"/>
        </w:rPr>
        <w:t xml:space="preserve">II, </w:t>
      </w:r>
      <w:r w:rsidR="00EB7398" w:rsidRPr="00454403">
        <w:rPr>
          <w:szCs w:val="24"/>
          <w:lang w:val="en-US" w:eastAsia="en-US"/>
        </w:rPr>
        <w:t>No. </w:t>
      </w:r>
      <w:r w:rsidRPr="00454403">
        <w:rPr>
          <w:szCs w:val="24"/>
          <w:lang w:val="en-US" w:eastAsia="en-US"/>
        </w:rPr>
        <w:t xml:space="preserve">26], </w:t>
      </w:r>
      <w:r w:rsidR="00EB7398" w:rsidRPr="00454403">
        <w:rPr>
          <w:szCs w:val="24"/>
          <w:lang w:val="en-US" w:eastAsia="en-US"/>
        </w:rPr>
        <w:t>paras. </w:t>
      </w:r>
      <w:r w:rsidRPr="00454403">
        <w:rPr>
          <w:szCs w:val="24"/>
          <w:lang w:val="en-US" w:eastAsia="en-US"/>
        </w:rPr>
        <w:t>10 and 12.</w:t>
      </w:r>
    </w:p>
    <w:p w:rsidR="00B61411" w:rsidRPr="00454403" w:rsidRDefault="00725748" w:rsidP="00DB4C9C">
      <w:pPr>
        <w:pStyle w:val="SCCNormalDoubleSpacing"/>
        <w:spacing w:after="240" w:line="240" w:lineRule="auto"/>
        <w:ind w:left="547" w:hanging="547"/>
        <w:rPr>
          <w:i/>
          <w:lang w:val="en-GB"/>
        </w:rPr>
      </w:pPr>
      <w:r w:rsidRPr="00454403">
        <w:rPr>
          <w:i/>
          <w:lang w:val="en-US"/>
        </w:rPr>
        <w:t>Royal Proclamation</w:t>
      </w:r>
      <w:r w:rsidR="0005706E" w:rsidRPr="00454403">
        <w:rPr>
          <w:i/>
          <w:lang w:val="en-US"/>
        </w:rPr>
        <w:t>,</w:t>
      </w:r>
      <w:r w:rsidRPr="00454403">
        <w:rPr>
          <w:i/>
          <w:lang w:val="en-US"/>
        </w:rPr>
        <w:t xml:space="preserve"> 1763</w:t>
      </w:r>
      <w:r w:rsidR="00F41975" w:rsidRPr="00454403">
        <w:t xml:space="preserve"> (</w:t>
      </w:r>
      <w:proofErr w:type="spellStart"/>
      <w:r w:rsidR="00F41975" w:rsidRPr="00454403">
        <w:t>G.B</w:t>
      </w:r>
      <w:proofErr w:type="spellEnd"/>
      <w:r w:rsidR="00F41975" w:rsidRPr="00454403">
        <w:t>.), 3 Geo. 3</w:t>
      </w:r>
      <w:r w:rsidRPr="00454403">
        <w:rPr>
          <w:i/>
          <w:lang w:val="en-US"/>
        </w:rPr>
        <w:t xml:space="preserve"> </w:t>
      </w:r>
      <w:r w:rsidR="0005706E" w:rsidRPr="00454403">
        <w:rPr>
          <w:lang w:val="en-US"/>
        </w:rPr>
        <w:t>[</w:t>
      </w:r>
      <w:r w:rsidR="000363BB" w:rsidRPr="00454403">
        <w:rPr>
          <w:lang w:val="en-GB"/>
        </w:rPr>
        <w:t>reproduce</w:t>
      </w:r>
      <w:r w:rsidRPr="00454403">
        <w:rPr>
          <w:lang w:val="en-GB"/>
        </w:rPr>
        <w:t xml:space="preserve">d in </w:t>
      </w:r>
      <w:proofErr w:type="spellStart"/>
      <w:r w:rsidRPr="00454403">
        <w:rPr>
          <w:lang w:val="en-GB"/>
        </w:rPr>
        <w:t>R.S</w:t>
      </w:r>
      <w:proofErr w:type="spellEnd"/>
      <w:r w:rsidRPr="00454403">
        <w:rPr>
          <w:lang w:val="en-GB"/>
        </w:rPr>
        <w:t>.</w:t>
      </w:r>
      <w:r w:rsidRPr="00454403">
        <w:rPr>
          <w:lang w:val="en-US"/>
        </w:rPr>
        <w:t>C. 1985, A</w:t>
      </w:r>
      <w:r w:rsidR="00EB7398" w:rsidRPr="00454403">
        <w:rPr>
          <w:lang w:val="en-US"/>
        </w:rPr>
        <w:t>pp. </w:t>
      </w:r>
      <w:r w:rsidR="00F41975" w:rsidRPr="00454403">
        <w:rPr>
          <w:lang w:val="en-GB"/>
        </w:rPr>
        <w:t xml:space="preserve">II, </w:t>
      </w:r>
      <w:r w:rsidR="00EB7398" w:rsidRPr="00454403">
        <w:rPr>
          <w:lang w:val="en-GB"/>
        </w:rPr>
        <w:t>No. </w:t>
      </w:r>
      <w:r w:rsidRPr="00454403">
        <w:rPr>
          <w:lang w:val="en-GB"/>
        </w:rPr>
        <w:t>1</w:t>
      </w:r>
      <w:r w:rsidR="0005706E" w:rsidRPr="00454403">
        <w:rPr>
          <w:lang w:val="en-GB"/>
        </w:rPr>
        <w:t>]</w:t>
      </w:r>
      <w:r w:rsidRPr="00454403">
        <w:rPr>
          <w:i/>
          <w:lang w:val="en-GB"/>
        </w:rPr>
        <w:t>.</w:t>
      </w:r>
    </w:p>
    <w:p w:rsidR="00725748" w:rsidRPr="00454403" w:rsidRDefault="00725748" w:rsidP="00DB4C9C">
      <w:pPr>
        <w:pStyle w:val="SCCNormalDoubleSpacing"/>
        <w:spacing w:after="240"/>
        <w:ind w:left="547" w:hanging="547"/>
        <w:rPr>
          <w:shd w:val="clear" w:color="auto" w:fill="FFFFFF"/>
          <w:lang w:val="en-US"/>
        </w:rPr>
      </w:pPr>
      <w:r w:rsidRPr="00454403">
        <w:rPr>
          <w:i/>
        </w:rPr>
        <w:t>Wildlife Act</w:t>
      </w:r>
      <w:r w:rsidRPr="00454403">
        <w:t xml:space="preserve">, </w:t>
      </w:r>
      <w:proofErr w:type="spellStart"/>
      <w:r w:rsidRPr="00454403">
        <w:t>R.S.B.C</w:t>
      </w:r>
      <w:proofErr w:type="spellEnd"/>
      <w:r w:rsidRPr="00454403">
        <w:t xml:space="preserve">. 1996, </w:t>
      </w:r>
      <w:r w:rsidR="00A51CD1" w:rsidRPr="00454403">
        <w:t>c. </w:t>
      </w:r>
      <w:r w:rsidRPr="00454403">
        <w:t xml:space="preserve">488, </w:t>
      </w:r>
      <w:r w:rsidR="00EB7398" w:rsidRPr="00454403">
        <w:t>ss. </w:t>
      </w:r>
      <w:r w:rsidRPr="00454403">
        <w:t>11(1), 47(a).</w:t>
      </w:r>
    </w:p>
    <w:p w:rsidR="00725748" w:rsidRPr="00454403" w:rsidRDefault="00725748" w:rsidP="00BA2558">
      <w:pPr>
        <w:pStyle w:val="SCCNormalDoubleSpacing"/>
        <w:spacing w:after="240"/>
        <w:rPr>
          <w:b/>
          <w:bCs/>
        </w:rPr>
      </w:pPr>
      <w:r w:rsidRPr="00454403">
        <w:rPr>
          <w:b/>
          <w:bCs/>
        </w:rPr>
        <w:t xml:space="preserve">Treaties and </w:t>
      </w:r>
      <w:r w:rsidRPr="00454403">
        <w:rPr>
          <w:b/>
        </w:rPr>
        <w:t>Agreements</w:t>
      </w:r>
      <w:r w:rsidRPr="00454403">
        <w:rPr>
          <w:b/>
          <w:bCs/>
        </w:rPr>
        <w:t xml:space="preserve"> </w:t>
      </w:r>
    </w:p>
    <w:p w:rsidR="00725748" w:rsidRPr="00454403" w:rsidRDefault="00725748" w:rsidP="00BA2558">
      <w:pPr>
        <w:pStyle w:val="SCCNormalDoubleSpacing"/>
        <w:spacing w:after="240" w:line="240" w:lineRule="auto"/>
        <w:ind w:left="544" w:hanging="544"/>
        <w:rPr>
          <w:szCs w:val="24"/>
          <w:lang w:val="en-US"/>
        </w:rPr>
      </w:pPr>
      <w:proofErr w:type="spellStart"/>
      <w:r w:rsidRPr="00454403">
        <w:rPr>
          <w:szCs w:val="24"/>
          <w:lang w:val="en-US"/>
        </w:rPr>
        <w:t>Carcross</w:t>
      </w:r>
      <w:proofErr w:type="spellEnd"/>
      <w:r w:rsidRPr="00454403">
        <w:rPr>
          <w:szCs w:val="24"/>
          <w:lang w:val="en-US"/>
        </w:rPr>
        <w:t xml:space="preserve">/Tagish First Nation Final </w:t>
      </w:r>
      <w:r w:rsidRPr="00454403">
        <w:t>Agreement</w:t>
      </w:r>
      <w:r w:rsidRPr="00454403">
        <w:rPr>
          <w:szCs w:val="24"/>
          <w:lang w:val="en-US"/>
        </w:rPr>
        <w:t xml:space="preserve"> (2005), </w:t>
      </w:r>
      <w:r w:rsidR="00EB7398" w:rsidRPr="00454403">
        <w:rPr>
          <w:szCs w:val="24"/>
          <w:lang w:val="en-US"/>
        </w:rPr>
        <w:t>vol. </w:t>
      </w:r>
      <w:r w:rsidRPr="00454403">
        <w:rPr>
          <w:szCs w:val="24"/>
          <w:lang w:val="en-US"/>
        </w:rPr>
        <w:t xml:space="preserve">1, </w:t>
      </w:r>
      <w:r w:rsidR="00A51CD1" w:rsidRPr="00454403">
        <w:rPr>
          <w:szCs w:val="24"/>
          <w:lang w:val="en-US"/>
        </w:rPr>
        <w:t>c. </w:t>
      </w:r>
      <w:r w:rsidR="006F463E" w:rsidRPr="00454403">
        <w:rPr>
          <w:szCs w:val="24"/>
          <w:lang w:val="en-US"/>
        </w:rPr>
        <w:t xml:space="preserve">3, </w:t>
      </w:r>
      <w:r w:rsidR="00EB7398" w:rsidRPr="00454403">
        <w:rPr>
          <w:szCs w:val="24"/>
          <w:lang w:val="en-US"/>
        </w:rPr>
        <w:t>ss. </w:t>
      </w:r>
      <w:r w:rsidRPr="00454403">
        <w:rPr>
          <w:szCs w:val="24"/>
          <w:lang w:val="en-US"/>
        </w:rPr>
        <w:t>3.2.2 to 3.2.3.</w:t>
      </w:r>
    </w:p>
    <w:p w:rsidR="00725748" w:rsidRPr="00454403" w:rsidRDefault="00725748" w:rsidP="00BA2558">
      <w:pPr>
        <w:pStyle w:val="SCCNormalDoubleSpacing"/>
        <w:spacing w:after="240" w:line="240" w:lineRule="auto"/>
        <w:ind w:left="544" w:hanging="544"/>
        <w:rPr>
          <w:szCs w:val="24"/>
          <w:lang w:val="en-US"/>
        </w:rPr>
      </w:pPr>
      <w:r w:rsidRPr="00454403">
        <w:rPr>
          <w:szCs w:val="24"/>
          <w:lang w:val="en-US"/>
        </w:rPr>
        <w:t xml:space="preserve">Champagne and </w:t>
      </w:r>
      <w:proofErr w:type="spellStart"/>
      <w:r w:rsidRPr="00454403">
        <w:rPr>
          <w:szCs w:val="24"/>
          <w:lang w:val="en-US"/>
        </w:rPr>
        <w:t>Aishihik</w:t>
      </w:r>
      <w:proofErr w:type="spellEnd"/>
      <w:r w:rsidRPr="00454403">
        <w:rPr>
          <w:szCs w:val="24"/>
          <w:lang w:val="en-US"/>
        </w:rPr>
        <w:t xml:space="preserve"> First Nations Final Agreement (1993), </w:t>
      </w:r>
      <w:r w:rsidR="00EB7398" w:rsidRPr="00454403">
        <w:rPr>
          <w:szCs w:val="24"/>
          <w:lang w:val="en-US"/>
        </w:rPr>
        <w:t>vol. </w:t>
      </w:r>
      <w:r w:rsidRPr="00454403">
        <w:rPr>
          <w:szCs w:val="24"/>
          <w:lang w:val="en-US"/>
        </w:rPr>
        <w:t xml:space="preserve">1, </w:t>
      </w:r>
      <w:r w:rsidR="00A51CD1" w:rsidRPr="00454403">
        <w:rPr>
          <w:szCs w:val="24"/>
          <w:lang w:val="en-US"/>
        </w:rPr>
        <w:t>c. </w:t>
      </w:r>
      <w:r w:rsidR="006F463E" w:rsidRPr="00454403">
        <w:rPr>
          <w:szCs w:val="24"/>
          <w:lang w:val="en-US"/>
        </w:rPr>
        <w:t xml:space="preserve">3, </w:t>
      </w:r>
      <w:r w:rsidR="00EB7398" w:rsidRPr="00454403">
        <w:rPr>
          <w:szCs w:val="24"/>
          <w:lang w:val="en-US"/>
        </w:rPr>
        <w:t>ss. </w:t>
      </w:r>
      <w:r w:rsidRPr="00454403">
        <w:rPr>
          <w:szCs w:val="24"/>
          <w:lang w:val="en-US"/>
        </w:rPr>
        <w:t>3.2.2 to 3.2.3.</w:t>
      </w:r>
    </w:p>
    <w:p w:rsidR="00725748" w:rsidRPr="00454403" w:rsidRDefault="00725748" w:rsidP="00BA2558">
      <w:pPr>
        <w:pStyle w:val="SCCNormalDoubleSpacing"/>
        <w:spacing w:after="240" w:line="240" w:lineRule="auto"/>
        <w:ind w:left="544" w:hanging="544"/>
        <w:rPr>
          <w:szCs w:val="24"/>
          <w:lang w:val="en-US"/>
        </w:rPr>
      </w:pPr>
      <w:r w:rsidRPr="00454403">
        <w:rPr>
          <w:szCs w:val="24"/>
          <w:lang w:val="en-US"/>
        </w:rPr>
        <w:lastRenderedPageBreak/>
        <w:t xml:space="preserve">First Nation of Nacho </w:t>
      </w:r>
      <w:proofErr w:type="spellStart"/>
      <w:r w:rsidRPr="00454403">
        <w:rPr>
          <w:szCs w:val="24"/>
          <w:lang w:val="en-US"/>
        </w:rPr>
        <w:t>Nyak</w:t>
      </w:r>
      <w:proofErr w:type="spellEnd"/>
      <w:r w:rsidRPr="00454403">
        <w:rPr>
          <w:szCs w:val="24"/>
          <w:lang w:val="en-US"/>
        </w:rPr>
        <w:t xml:space="preserve"> Dun Final Agreement (1993), </w:t>
      </w:r>
      <w:r w:rsidR="00EB7398" w:rsidRPr="00454403">
        <w:rPr>
          <w:szCs w:val="24"/>
          <w:lang w:val="en-US"/>
        </w:rPr>
        <w:t>vol. </w:t>
      </w:r>
      <w:r w:rsidRPr="00454403">
        <w:rPr>
          <w:szCs w:val="24"/>
          <w:lang w:val="en-US"/>
        </w:rPr>
        <w:t xml:space="preserve">1, </w:t>
      </w:r>
      <w:r w:rsidR="00A51CD1" w:rsidRPr="00454403">
        <w:rPr>
          <w:szCs w:val="24"/>
          <w:lang w:val="en-US"/>
        </w:rPr>
        <w:t>c. </w:t>
      </w:r>
      <w:r w:rsidR="006F463E" w:rsidRPr="00454403">
        <w:rPr>
          <w:szCs w:val="24"/>
          <w:lang w:val="en-US"/>
        </w:rPr>
        <w:t xml:space="preserve">3, </w:t>
      </w:r>
      <w:r w:rsidR="00EB7398" w:rsidRPr="00454403">
        <w:rPr>
          <w:szCs w:val="24"/>
          <w:lang w:val="en-US"/>
        </w:rPr>
        <w:t>ss. </w:t>
      </w:r>
      <w:r w:rsidRPr="00454403">
        <w:rPr>
          <w:szCs w:val="24"/>
          <w:lang w:val="en-US"/>
        </w:rPr>
        <w:t>3.2.2 to 3.2.3.</w:t>
      </w:r>
    </w:p>
    <w:p w:rsidR="00725748" w:rsidRPr="00454403" w:rsidRDefault="00725748" w:rsidP="00BA2558">
      <w:pPr>
        <w:pStyle w:val="SCCNormalDoubleSpacing"/>
        <w:spacing w:after="240" w:line="240" w:lineRule="auto"/>
        <w:ind w:left="544" w:hanging="544"/>
        <w:rPr>
          <w:szCs w:val="24"/>
          <w:lang w:val="en-US"/>
        </w:rPr>
      </w:pPr>
      <w:proofErr w:type="spellStart"/>
      <w:r w:rsidRPr="00454403">
        <w:rPr>
          <w:szCs w:val="24"/>
          <w:lang w:val="en-US"/>
        </w:rPr>
        <w:t>Gwich’in</w:t>
      </w:r>
      <w:proofErr w:type="spellEnd"/>
      <w:r w:rsidRPr="00454403">
        <w:rPr>
          <w:szCs w:val="24"/>
          <w:lang w:val="en-US"/>
        </w:rPr>
        <w:t xml:space="preserve"> Comprehensive Land Claim Agreement (1992), </w:t>
      </w:r>
      <w:r w:rsidR="00EB7398" w:rsidRPr="00454403">
        <w:rPr>
          <w:szCs w:val="24"/>
          <w:lang w:val="en-US"/>
        </w:rPr>
        <w:t>vol. </w:t>
      </w:r>
      <w:r w:rsidRPr="00454403">
        <w:rPr>
          <w:szCs w:val="24"/>
          <w:lang w:val="en-US"/>
        </w:rPr>
        <w:t xml:space="preserve">1, </w:t>
      </w:r>
      <w:r w:rsidR="00A51CD1" w:rsidRPr="00454403">
        <w:rPr>
          <w:szCs w:val="24"/>
          <w:lang w:val="en-US"/>
        </w:rPr>
        <w:t>c. </w:t>
      </w:r>
      <w:r w:rsidRPr="00454403">
        <w:rPr>
          <w:szCs w:val="24"/>
          <w:lang w:val="en-US"/>
        </w:rPr>
        <w:t>4.</w:t>
      </w:r>
    </w:p>
    <w:p w:rsidR="00725748" w:rsidRPr="00454403" w:rsidRDefault="00725748" w:rsidP="00BA2558">
      <w:pPr>
        <w:pStyle w:val="SCCNormalDoubleSpacing"/>
        <w:spacing w:after="240" w:line="240" w:lineRule="auto"/>
        <w:ind w:left="544" w:hanging="544"/>
        <w:rPr>
          <w:szCs w:val="24"/>
          <w:lang w:val="en-US"/>
        </w:rPr>
      </w:pPr>
      <w:proofErr w:type="spellStart"/>
      <w:r w:rsidRPr="00454403">
        <w:rPr>
          <w:szCs w:val="24"/>
          <w:lang w:val="en-US"/>
        </w:rPr>
        <w:t>Kluane</w:t>
      </w:r>
      <w:proofErr w:type="spellEnd"/>
      <w:r w:rsidRPr="00454403">
        <w:rPr>
          <w:szCs w:val="24"/>
          <w:lang w:val="en-US"/>
        </w:rPr>
        <w:t xml:space="preserve"> First Nation Final Agreement (2003), </w:t>
      </w:r>
      <w:r w:rsidR="00EB7398" w:rsidRPr="00454403">
        <w:rPr>
          <w:szCs w:val="24"/>
          <w:lang w:val="en-US"/>
        </w:rPr>
        <w:t>vol. </w:t>
      </w:r>
      <w:r w:rsidRPr="00454403">
        <w:rPr>
          <w:szCs w:val="24"/>
          <w:lang w:val="en-US"/>
        </w:rPr>
        <w:t xml:space="preserve">1, </w:t>
      </w:r>
      <w:r w:rsidR="00A51CD1" w:rsidRPr="00454403">
        <w:rPr>
          <w:szCs w:val="24"/>
          <w:lang w:val="en-US"/>
        </w:rPr>
        <w:t>c. </w:t>
      </w:r>
      <w:r w:rsidR="006F463E" w:rsidRPr="00454403">
        <w:rPr>
          <w:szCs w:val="24"/>
          <w:lang w:val="en-US"/>
        </w:rPr>
        <w:t xml:space="preserve">3, </w:t>
      </w:r>
      <w:r w:rsidR="00EB7398" w:rsidRPr="00454403">
        <w:rPr>
          <w:szCs w:val="24"/>
          <w:lang w:val="en-US"/>
        </w:rPr>
        <w:t>ss. </w:t>
      </w:r>
      <w:r w:rsidRPr="00454403">
        <w:rPr>
          <w:szCs w:val="24"/>
          <w:lang w:val="en-US"/>
        </w:rPr>
        <w:t>3.2.2 to 3.2.3.</w:t>
      </w:r>
    </w:p>
    <w:p w:rsidR="00725748" w:rsidRPr="00454403" w:rsidRDefault="00725748" w:rsidP="00BA2558">
      <w:pPr>
        <w:pStyle w:val="SCCNormalDoubleSpacing"/>
        <w:spacing w:after="240" w:line="240" w:lineRule="auto"/>
        <w:ind w:left="544" w:hanging="544"/>
        <w:rPr>
          <w:szCs w:val="24"/>
          <w:lang w:val="en-US"/>
        </w:rPr>
      </w:pPr>
      <w:proofErr w:type="spellStart"/>
      <w:r w:rsidRPr="00454403">
        <w:rPr>
          <w:szCs w:val="24"/>
          <w:lang w:val="en-US"/>
        </w:rPr>
        <w:t>Kwanlin</w:t>
      </w:r>
      <w:proofErr w:type="spellEnd"/>
      <w:r w:rsidRPr="00454403">
        <w:rPr>
          <w:szCs w:val="24"/>
          <w:lang w:val="en-US"/>
        </w:rPr>
        <w:t xml:space="preserve"> Dun First Nation Final Agreement (200</w:t>
      </w:r>
      <w:r w:rsidR="00EF364E">
        <w:rPr>
          <w:szCs w:val="24"/>
          <w:lang w:val="en-US"/>
        </w:rPr>
        <w:t>4</w:t>
      </w:r>
      <w:r w:rsidRPr="00454403">
        <w:rPr>
          <w:szCs w:val="24"/>
          <w:lang w:val="en-US"/>
        </w:rPr>
        <w:t xml:space="preserve">), </w:t>
      </w:r>
      <w:r w:rsidR="00EB7398" w:rsidRPr="00454403">
        <w:rPr>
          <w:szCs w:val="24"/>
          <w:lang w:val="en-US"/>
        </w:rPr>
        <w:t>vol. </w:t>
      </w:r>
      <w:r w:rsidRPr="00454403">
        <w:rPr>
          <w:szCs w:val="24"/>
          <w:lang w:val="en-US"/>
        </w:rPr>
        <w:t xml:space="preserve">1, </w:t>
      </w:r>
      <w:r w:rsidR="00A51CD1" w:rsidRPr="00454403">
        <w:rPr>
          <w:szCs w:val="24"/>
          <w:lang w:val="en-US"/>
        </w:rPr>
        <w:t>c. </w:t>
      </w:r>
      <w:r w:rsidR="006F463E" w:rsidRPr="00454403">
        <w:rPr>
          <w:szCs w:val="24"/>
          <w:lang w:val="en-US"/>
        </w:rPr>
        <w:t xml:space="preserve">3, </w:t>
      </w:r>
      <w:r w:rsidR="00EB7398" w:rsidRPr="00454403">
        <w:rPr>
          <w:szCs w:val="24"/>
          <w:lang w:val="en-US"/>
        </w:rPr>
        <w:t>ss. </w:t>
      </w:r>
      <w:r w:rsidRPr="00454403">
        <w:rPr>
          <w:szCs w:val="24"/>
          <w:lang w:val="en-US"/>
        </w:rPr>
        <w:t>3.2.2 to 3.2.3.</w:t>
      </w:r>
    </w:p>
    <w:p w:rsidR="00725748" w:rsidRPr="00454403" w:rsidRDefault="00725748" w:rsidP="00BA2558">
      <w:pPr>
        <w:pStyle w:val="SCCNormalDoubleSpacing"/>
        <w:spacing w:after="240" w:line="240" w:lineRule="auto"/>
        <w:ind w:left="544" w:hanging="544"/>
        <w:rPr>
          <w:szCs w:val="24"/>
          <w:lang w:val="en-US"/>
        </w:rPr>
      </w:pPr>
      <w:r w:rsidRPr="00454403">
        <w:rPr>
          <w:szCs w:val="24"/>
          <w:lang w:val="en-US"/>
        </w:rPr>
        <w:t>Little Salmon/</w:t>
      </w:r>
      <w:proofErr w:type="spellStart"/>
      <w:r w:rsidRPr="00454403">
        <w:rPr>
          <w:szCs w:val="24"/>
          <w:lang w:val="en-US"/>
        </w:rPr>
        <w:t>Carmacks</w:t>
      </w:r>
      <w:proofErr w:type="spellEnd"/>
      <w:r w:rsidRPr="00454403">
        <w:rPr>
          <w:szCs w:val="24"/>
          <w:lang w:val="en-US"/>
        </w:rPr>
        <w:t xml:space="preserve"> First Nation Agreement (199</w:t>
      </w:r>
      <w:r w:rsidR="00EF364E">
        <w:rPr>
          <w:szCs w:val="24"/>
          <w:lang w:val="en-US"/>
        </w:rPr>
        <w:t>8</w:t>
      </w:r>
      <w:r w:rsidRPr="00454403">
        <w:rPr>
          <w:szCs w:val="24"/>
          <w:lang w:val="en-US"/>
        </w:rPr>
        <w:t xml:space="preserve">), </w:t>
      </w:r>
      <w:r w:rsidR="00EB7398" w:rsidRPr="00454403">
        <w:rPr>
          <w:szCs w:val="24"/>
          <w:lang w:val="en-US"/>
        </w:rPr>
        <w:t>vol. </w:t>
      </w:r>
      <w:r w:rsidRPr="00454403">
        <w:rPr>
          <w:szCs w:val="24"/>
          <w:lang w:val="en-US"/>
        </w:rPr>
        <w:t xml:space="preserve">1, </w:t>
      </w:r>
      <w:r w:rsidR="00A51CD1" w:rsidRPr="00454403">
        <w:rPr>
          <w:szCs w:val="24"/>
          <w:lang w:val="en-US"/>
        </w:rPr>
        <w:t>c. </w:t>
      </w:r>
      <w:r w:rsidR="006F463E" w:rsidRPr="00454403">
        <w:rPr>
          <w:szCs w:val="24"/>
          <w:lang w:val="en-US"/>
        </w:rPr>
        <w:t xml:space="preserve">3, </w:t>
      </w:r>
      <w:r w:rsidR="00EB7398" w:rsidRPr="00454403">
        <w:rPr>
          <w:szCs w:val="24"/>
          <w:lang w:val="en-US"/>
        </w:rPr>
        <w:t>ss. </w:t>
      </w:r>
      <w:r w:rsidRPr="00454403">
        <w:rPr>
          <w:szCs w:val="24"/>
          <w:lang w:val="en-US"/>
        </w:rPr>
        <w:t>3.2.2 to 3.2.3.</w:t>
      </w:r>
    </w:p>
    <w:p w:rsidR="00725748" w:rsidRPr="00454403" w:rsidRDefault="00725748" w:rsidP="00BA2558">
      <w:pPr>
        <w:pStyle w:val="SCCNormalDoubleSpacing"/>
        <w:spacing w:after="240" w:line="240" w:lineRule="auto"/>
        <w:ind w:left="544" w:hanging="544"/>
        <w:rPr>
          <w:szCs w:val="24"/>
          <w:lang w:val="en-US"/>
        </w:rPr>
      </w:pPr>
      <w:proofErr w:type="spellStart"/>
      <w:r w:rsidRPr="00454403">
        <w:rPr>
          <w:szCs w:val="24"/>
          <w:lang w:val="en-US"/>
        </w:rPr>
        <w:t>Sahtu</w:t>
      </w:r>
      <w:proofErr w:type="spellEnd"/>
      <w:r w:rsidRPr="00454403">
        <w:rPr>
          <w:szCs w:val="24"/>
          <w:lang w:val="en-US"/>
        </w:rPr>
        <w:t xml:space="preserve"> Dene and Metis Comprehensive Land Claim Agreement (1993), </w:t>
      </w:r>
      <w:r w:rsidR="00EB7398" w:rsidRPr="00454403">
        <w:rPr>
          <w:szCs w:val="24"/>
          <w:lang w:val="en-US"/>
        </w:rPr>
        <w:t>vol. </w:t>
      </w:r>
      <w:r w:rsidRPr="00454403">
        <w:rPr>
          <w:szCs w:val="24"/>
          <w:lang w:val="en-US"/>
        </w:rPr>
        <w:t xml:space="preserve">1, </w:t>
      </w:r>
      <w:r w:rsidR="00A51CD1" w:rsidRPr="00454403">
        <w:rPr>
          <w:szCs w:val="24"/>
          <w:lang w:val="en-US"/>
        </w:rPr>
        <w:t>c. </w:t>
      </w:r>
      <w:r w:rsidRPr="00454403">
        <w:rPr>
          <w:szCs w:val="24"/>
          <w:lang w:val="en-US"/>
        </w:rPr>
        <w:t>4.</w:t>
      </w:r>
    </w:p>
    <w:p w:rsidR="00725748" w:rsidRPr="00454403" w:rsidRDefault="00725748" w:rsidP="00BA2558">
      <w:pPr>
        <w:pStyle w:val="SCCNormalDoubleSpacing"/>
        <w:spacing w:after="240" w:line="240" w:lineRule="auto"/>
        <w:ind w:left="544" w:hanging="544"/>
        <w:rPr>
          <w:szCs w:val="24"/>
          <w:lang w:val="en-US"/>
        </w:rPr>
      </w:pPr>
      <w:r w:rsidRPr="00454403">
        <w:rPr>
          <w:szCs w:val="24"/>
          <w:lang w:val="en-US"/>
        </w:rPr>
        <w:t>Selkirk First Nation Final Agreement (199</w:t>
      </w:r>
      <w:r w:rsidR="00EF364E">
        <w:rPr>
          <w:szCs w:val="24"/>
          <w:lang w:val="en-US"/>
        </w:rPr>
        <w:t>8</w:t>
      </w:r>
      <w:r w:rsidRPr="00454403">
        <w:rPr>
          <w:szCs w:val="24"/>
          <w:lang w:val="en-US"/>
        </w:rPr>
        <w:t xml:space="preserve">), </w:t>
      </w:r>
      <w:r w:rsidR="00EB7398" w:rsidRPr="00454403">
        <w:rPr>
          <w:szCs w:val="24"/>
          <w:lang w:val="en-US"/>
        </w:rPr>
        <w:t>vol. </w:t>
      </w:r>
      <w:r w:rsidRPr="00454403">
        <w:rPr>
          <w:szCs w:val="24"/>
          <w:lang w:val="en-US"/>
        </w:rPr>
        <w:t xml:space="preserve">1, </w:t>
      </w:r>
      <w:r w:rsidR="00A51CD1" w:rsidRPr="00454403">
        <w:rPr>
          <w:szCs w:val="24"/>
          <w:lang w:val="en-US"/>
        </w:rPr>
        <w:t>c. </w:t>
      </w:r>
      <w:r w:rsidR="006F463E" w:rsidRPr="00454403">
        <w:rPr>
          <w:szCs w:val="24"/>
          <w:lang w:val="en-US"/>
        </w:rPr>
        <w:t xml:space="preserve">3, </w:t>
      </w:r>
      <w:r w:rsidR="00EB7398" w:rsidRPr="00454403">
        <w:rPr>
          <w:szCs w:val="24"/>
          <w:lang w:val="en-US"/>
        </w:rPr>
        <w:t>ss. </w:t>
      </w:r>
      <w:r w:rsidRPr="00454403">
        <w:rPr>
          <w:szCs w:val="24"/>
          <w:lang w:val="en-US"/>
        </w:rPr>
        <w:t>3.2.2 to 3.2.3.</w:t>
      </w:r>
    </w:p>
    <w:p w:rsidR="00725748" w:rsidRPr="00454403" w:rsidRDefault="00725748" w:rsidP="00BA2558">
      <w:pPr>
        <w:pStyle w:val="SCCNormalDoubleSpacing"/>
        <w:spacing w:after="240" w:line="240" w:lineRule="auto"/>
        <w:ind w:left="544" w:hanging="544"/>
        <w:rPr>
          <w:szCs w:val="24"/>
          <w:lang w:val="en-US"/>
        </w:rPr>
      </w:pPr>
      <w:proofErr w:type="spellStart"/>
      <w:r w:rsidRPr="00454403">
        <w:rPr>
          <w:szCs w:val="24"/>
          <w:lang w:val="en-US"/>
        </w:rPr>
        <w:t>Ta’an</w:t>
      </w:r>
      <w:proofErr w:type="spellEnd"/>
      <w:r w:rsidRPr="00454403">
        <w:rPr>
          <w:szCs w:val="24"/>
          <w:lang w:val="en-US"/>
        </w:rPr>
        <w:t xml:space="preserve"> </w:t>
      </w:r>
      <w:proofErr w:type="spellStart"/>
      <w:r w:rsidRPr="00454403">
        <w:rPr>
          <w:szCs w:val="24"/>
          <w:lang w:val="en-US"/>
        </w:rPr>
        <w:t>Kwach’an</w:t>
      </w:r>
      <w:proofErr w:type="spellEnd"/>
      <w:r w:rsidRPr="00454403">
        <w:rPr>
          <w:szCs w:val="24"/>
          <w:lang w:val="en-US"/>
        </w:rPr>
        <w:t xml:space="preserve"> Council Final Agreement (200</w:t>
      </w:r>
      <w:r w:rsidR="00EF364E">
        <w:rPr>
          <w:szCs w:val="24"/>
          <w:lang w:val="en-US"/>
        </w:rPr>
        <w:t>1</w:t>
      </w:r>
      <w:r w:rsidRPr="00454403">
        <w:rPr>
          <w:szCs w:val="24"/>
          <w:lang w:val="en-US"/>
        </w:rPr>
        <w:t xml:space="preserve">), </w:t>
      </w:r>
      <w:r w:rsidR="00EB7398" w:rsidRPr="00454403">
        <w:rPr>
          <w:szCs w:val="24"/>
          <w:lang w:val="en-US"/>
        </w:rPr>
        <w:t>vol. </w:t>
      </w:r>
      <w:r w:rsidRPr="00454403">
        <w:rPr>
          <w:szCs w:val="24"/>
          <w:lang w:val="en-US"/>
        </w:rPr>
        <w:t xml:space="preserve">1, </w:t>
      </w:r>
      <w:r w:rsidR="00A51CD1" w:rsidRPr="00454403">
        <w:rPr>
          <w:szCs w:val="24"/>
          <w:lang w:val="en-US"/>
        </w:rPr>
        <w:t>c. </w:t>
      </w:r>
      <w:r w:rsidR="006F463E" w:rsidRPr="00454403">
        <w:rPr>
          <w:szCs w:val="24"/>
          <w:lang w:val="en-US"/>
        </w:rPr>
        <w:t xml:space="preserve">3, </w:t>
      </w:r>
      <w:r w:rsidR="00EB7398" w:rsidRPr="00454403">
        <w:rPr>
          <w:szCs w:val="24"/>
          <w:lang w:val="en-US"/>
        </w:rPr>
        <w:t>ss. </w:t>
      </w:r>
      <w:r w:rsidRPr="00454403">
        <w:rPr>
          <w:szCs w:val="24"/>
          <w:lang w:val="en-US"/>
        </w:rPr>
        <w:t>3.2.2 to 3.2.3.</w:t>
      </w:r>
    </w:p>
    <w:p w:rsidR="00725748" w:rsidRPr="00454403" w:rsidRDefault="00725748" w:rsidP="00BA2558">
      <w:pPr>
        <w:pStyle w:val="SCCNormalDoubleSpacing"/>
        <w:spacing w:after="240" w:line="240" w:lineRule="auto"/>
        <w:ind w:left="544" w:hanging="544"/>
        <w:rPr>
          <w:szCs w:val="24"/>
          <w:lang w:val="en-US"/>
        </w:rPr>
      </w:pPr>
      <w:r w:rsidRPr="00454403">
        <w:rPr>
          <w:szCs w:val="24"/>
          <w:lang w:val="en-US"/>
        </w:rPr>
        <w:t>Teslin Tlingit Council Final Agreement (</w:t>
      </w:r>
      <w:r w:rsidR="00EF364E">
        <w:rPr>
          <w:szCs w:val="24"/>
          <w:lang w:val="en-US"/>
        </w:rPr>
        <w:t>2001</w:t>
      </w:r>
      <w:r w:rsidRPr="00454403">
        <w:rPr>
          <w:szCs w:val="24"/>
          <w:lang w:val="en-US"/>
        </w:rPr>
        <w:t xml:space="preserve">), </w:t>
      </w:r>
      <w:r w:rsidR="00EB7398" w:rsidRPr="00454403">
        <w:rPr>
          <w:szCs w:val="24"/>
          <w:lang w:val="en-US"/>
        </w:rPr>
        <w:t>vol. </w:t>
      </w:r>
      <w:r w:rsidRPr="00454403">
        <w:rPr>
          <w:szCs w:val="24"/>
          <w:lang w:val="en-US"/>
        </w:rPr>
        <w:t xml:space="preserve">1, </w:t>
      </w:r>
      <w:r w:rsidR="00A51CD1" w:rsidRPr="00454403">
        <w:rPr>
          <w:szCs w:val="24"/>
          <w:lang w:val="en-US"/>
        </w:rPr>
        <w:t>c. </w:t>
      </w:r>
      <w:r w:rsidRPr="00454403">
        <w:rPr>
          <w:szCs w:val="24"/>
          <w:lang w:val="en-US"/>
        </w:rPr>
        <w:t xml:space="preserve">3, </w:t>
      </w:r>
      <w:r w:rsidR="00EB7398" w:rsidRPr="00454403">
        <w:rPr>
          <w:szCs w:val="24"/>
          <w:lang w:val="en-US"/>
        </w:rPr>
        <w:t xml:space="preserve">ss. </w:t>
      </w:r>
      <w:r w:rsidRPr="00454403">
        <w:rPr>
          <w:szCs w:val="24"/>
          <w:lang w:val="en-US"/>
        </w:rPr>
        <w:t>3.2.2 to 3.2.3.</w:t>
      </w:r>
    </w:p>
    <w:p w:rsidR="00725748" w:rsidRPr="00454403" w:rsidRDefault="00725748" w:rsidP="00BA2558">
      <w:pPr>
        <w:pStyle w:val="SCCNormalDoubleSpacing"/>
        <w:spacing w:after="240" w:line="240" w:lineRule="auto"/>
        <w:ind w:left="544" w:hanging="544"/>
        <w:rPr>
          <w:szCs w:val="24"/>
          <w:lang w:val="en-US"/>
        </w:rPr>
      </w:pPr>
      <w:proofErr w:type="spellStart"/>
      <w:proofErr w:type="gramStart"/>
      <w:r w:rsidRPr="00454403">
        <w:rPr>
          <w:szCs w:val="24"/>
          <w:lang w:val="en-US"/>
        </w:rPr>
        <w:t>Tr’ondëk</w:t>
      </w:r>
      <w:proofErr w:type="spellEnd"/>
      <w:proofErr w:type="gramEnd"/>
      <w:r w:rsidRPr="00454403">
        <w:rPr>
          <w:szCs w:val="24"/>
          <w:lang w:val="en-US"/>
        </w:rPr>
        <w:t xml:space="preserve"> </w:t>
      </w:r>
      <w:proofErr w:type="spellStart"/>
      <w:r w:rsidRPr="00454403">
        <w:rPr>
          <w:szCs w:val="24"/>
          <w:lang w:val="en-US"/>
        </w:rPr>
        <w:t>Hwëch’in</w:t>
      </w:r>
      <w:proofErr w:type="spellEnd"/>
      <w:r w:rsidRPr="00454403">
        <w:rPr>
          <w:szCs w:val="24"/>
          <w:lang w:val="en-US"/>
        </w:rPr>
        <w:t xml:space="preserve"> Final Agreement (1998), </w:t>
      </w:r>
      <w:r w:rsidR="00EB7398" w:rsidRPr="00454403">
        <w:rPr>
          <w:szCs w:val="24"/>
          <w:lang w:val="en-US"/>
        </w:rPr>
        <w:t>vol. </w:t>
      </w:r>
      <w:r w:rsidRPr="00454403">
        <w:rPr>
          <w:szCs w:val="24"/>
          <w:lang w:val="en-US"/>
        </w:rPr>
        <w:t xml:space="preserve">1, </w:t>
      </w:r>
      <w:r w:rsidR="00A51CD1" w:rsidRPr="00454403">
        <w:rPr>
          <w:szCs w:val="24"/>
          <w:lang w:val="en-US"/>
        </w:rPr>
        <w:t>c. </w:t>
      </w:r>
      <w:r w:rsidRPr="00454403">
        <w:rPr>
          <w:szCs w:val="24"/>
          <w:lang w:val="en-US"/>
        </w:rPr>
        <w:t xml:space="preserve">3, </w:t>
      </w:r>
      <w:r w:rsidR="00EB7398" w:rsidRPr="00454403">
        <w:rPr>
          <w:szCs w:val="24"/>
          <w:lang w:val="en-US"/>
        </w:rPr>
        <w:t>ss. </w:t>
      </w:r>
      <w:r w:rsidRPr="00454403">
        <w:rPr>
          <w:szCs w:val="24"/>
          <w:lang w:val="en-US"/>
        </w:rPr>
        <w:t>3.2.2 to 3.2.3.</w:t>
      </w:r>
    </w:p>
    <w:p w:rsidR="00725748" w:rsidRPr="00454403" w:rsidRDefault="00725748" w:rsidP="00BA2558">
      <w:pPr>
        <w:pStyle w:val="SCCNormalDoubleSpacing"/>
        <w:spacing w:after="720" w:line="240" w:lineRule="auto"/>
        <w:ind w:left="544" w:hanging="544"/>
        <w:rPr>
          <w:szCs w:val="24"/>
          <w:lang w:val="en-US"/>
        </w:rPr>
      </w:pPr>
      <w:proofErr w:type="spellStart"/>
      <w:r w:rsidRPr="00454403">
        <w:rPr>
          <w:szCs w:val="24"/>
          <w:lang w:val="en-US"/>
        </w:rPr>
        <w:t>Vuntut</w:t>
      </w:r>
      <w:proofErr w:type="spellEnd"/>
      <w:r w:rsidRPr="00454403">
        <w:rPr>
          <w:szCs w:val="24"/>
          <w:lang w:val="en-US"/>
        </w:rPr>
        <w:t xml:space="preserve"> </w:t>
      </w:r>
      <w:proofErr w:type="spellStart"/>
      <w:r w:rsidRPr="00454403">
        <w:rPr>
          <w:szCs w:val="24"/>
          <w:lang w:val="en-US"/>
        </w:rPr>
        <w:t>Gwitchin</w:t>
      </w:r>
      <w:proofErr w:type="spellEnd"/>
      <w:r w:rsidRPr="00454403">
        <w:rPr>
          <w:szCs w:val="24"/>
          <w:lang w:val="en-US"/>
        </w:rPr>
        <w:t xml:space="preserve"> First Nation Final Agreement (1993), </w:t>
      </w:r>
      <w:r w:rsidR="00EB7398" w:rsidRPr="00454403">
        <w:rPr>
          <w:szCs w:val="24"/>
          <w:lang w:val="en-US"/>
        </w:rPr>
        <w:t>vol. </w:t>
      </w:r>
      <w:r w:rsidRPr="00454403">
        <w:rPr>
          <w:szCs w:val="24"/>
          <w:lang w:val="en-US"/>
        </w:rPr>
        <w:t xml:space="preserve">1, </w:t>
      </w:r>
      <w:r w:rsidR="00A51CD1" w:rsidRPr="00454403">
        <w:rPr>
          <w:szCs w:val="24"/>
          <w:lang w:val="en-US"/>
        </w:rPr>
        <w:t>c. </w:t>
      </w:r>
      <w:r w:rsidR="006F463E" w:rsidRPr="00454403">
        <w:rPr>
          <w:szCs w:val="24"/>
          <w:lang w:val="en-US"/>
        </w:rPr>
        <w:t xml:space="preserve">3, </w:t>
      </w:r>
      <w:r w:rsidR="00EB7398" w:rsidRPr="00454403">
        <w:rPr>
          <w:szCs w:val="24"/>
          <w:lang w:val="en-US"/>
        </w:rPr>
        <w:t>ss. </w:t>
      </w:r>
      <w:r w:rsidRPr="00454403">
        <w:rPr>
          <w:szCs w:val="24"/>
          <w:lang w:val="en-US"/>
        </w:rPr>
        <w:t>3.2.2 to 3.2.3.</w:t>
      </w:r>
    </w:p>
    <w:p w:rsidR="002E6705" w:rsidRPr="00454403" w:rsidRDefault="002E6705" w:rsidP="00E36593">
      <w:pPr>
        <w:pStyle w:val="SCCNormalDoubleSpacing"/>
        <w:spacing w:after="240"/>
        <w:rPr>
          <w:b/>
        </w:rPr>
      </w:pPr>
      <w:r w:rsidRPr="00454403">
        <w:rPr>
          <w:b/>
        </w:rPr>
        <w:t>Authors Cited</w:t>
      </w:r>
    </w:p>
    <w:p w:rsidR="00725748" w:rsidRPr="00454403" w:rsidRDefault="00725748" w:rsidP="00BA2558">
      <w:pPr>
        <w:pStyle w:val="SCCNormalDoubleSpacing"/>
        <w:spacing w:after="240" w:line="240" w:lineRule="auto"/>
        <w:ind w:left="544" w:hanging="544"/>
      </w:pPr>
      <w:r w:rsidRPr="00454403">
        <w:t xml:space="preserve">Borrows, </w:t>
      </w:r>
      <w:r w:rsidR="00580A63" w:rsidRPr="00454403">
        <w:t>John.</w:t>
      </w:r>
      <w:r w:rsidRPr="00454403">
        <w:t xml:space="preserve"> “Creating an </w:t>
      </w:r>
      <w:r w:rsidRPr="00454403">
        <w:rPr>
          <w:szCs w:val="24"/>
          <w:lang w:val="en-US"/>
        </w:rPr>
        <w:t>Indigenous</w:t>
      </w:r>
      <w:r w:rsidRPr="00454403">
        <w:t xml:space="preserve"> Legal Community” (2005), 50 </w:t>
      </w:r>
      <w:r w:rsidRPr="00454403">
        <w:rPr>
          <w:i/>
          <w:iCs/>
        </w:rPr>
        <w:t xml:space="preserve">McGill </w:t>
      </w:r>
      <w:proofErr w:type="spellStart"/>
      <w:r w:rsidRPr="00454403">
        <w:rPr>
          <w:i/>
          <w:iCs/>
        </w:rPr>
        <w:t>L.J</w:t>
      </w:r>
      <w:proofErr w:type="spellEnd"/>
      <w:r w:rsidRPr="00454403">
        <w:rPr>
          <w:i/>
          <w:iCs/>
        </w:rPr>
        <w:t xml:space="preserve">. </w:t>
      </w:r>
      <w:r w:rsidRPr="00454403">
        <w:t>153.</w:t>
      </w:r>
    </w:p>
    <w:p w:rsidR="00725748" w:rsidRPr="00454403" w:rsidRDefault="00725748" w:rsidP="00BA2558">
      <w:pPr>
        <w:pStyle w:val="SCCNormalDoubleSpacing"/>
        <w:spacing w:after="240" w:line="240" w:lineRule="auto"/>
        <w:ind w:left="544" w:hanging="544"/>
        <w:rPr>
          <w:lang w:val="fr-CA"/>
        </w:rPr>
      </w:pPr>
      <w:r w:rsidRPr="00454403">
        <w:rPr>
          <w:lang w:val="fr-CA"/>
        </w:rPr>
        <w:t xml:space="preserve">Brun, Henri, Guy Tremblay et Eugénie Brouillet. </w:t>
      </w:r>
      <w:r w:rsidRPr="00454403">
        <w:rPr>
          <w:i/>
          <w:lang w:val="fr-CA"/>
        </w:rPr>
        <w:t>Droit constitutionnel</w:t>
      </w:r>
      <w:r w:rsidRPr="00454403">
        <w:rPr>
          <w:lang w:val="fr-CA"/>
        </w:rPr>
        <w:t xml:space="preserve">, </w:t>
      </w:r>
      <w:proofErr w:type="spellStart"/>
      <w:r w:rsidRPr="00454403">
        <w:rPr>
          <w:lang w:val="fr-CA"/>
        </w:rPr>
        <w:t>6</w:t>
      </w:r>
      <w:r w:rsidRPr="00454403">
        <w:rPr>
          <w:vertAlign w:val="superscript"/>
          <w:lang w:val="fr-CA"/>
        </w:rPr>
        <w:t>e</w:t>
      </w:r>
      <w:proofErr w:type="spellEnd"/>
      <w:r w:rsidR="00B917C4" w:rsidRPr="00454403">
        <w:rPr>
          <w:lang w:val="fr-CA"/>
        </w:rPr>
        <w:t xml:space="preserve"> éd.</w:t>
      </w:r>
      <w:r w:rsidR="009306D0" w:rsidRPr="00454403">
        <w:rPr>
          <w:lang w:val="fr-CA"/>
        </w:rPr>
        <w:t xml:space="preserve"> </w:t>
      </w:r>
      <w:proofErr w:type="spellStart"/>
      <w:r w:rsidR="009306D0" w:rsidRPr="00454403">
        <w:rPr>
          <w:lang w:val="fr-CA"/>
        </w:rPr>
        <w:t>Cowansville</w:t>
      </w:r>
      <w:proofErr w:type="spellEnd"/>
      <w:r w:rsidR="009306D0" w:rsidRPr="00454403">
        <w:rPr>
          <w:lang w:val="fr-CA"/>
        </w:rPr>
        <w:t>, Que.</w:t>
      </w:r>
      <w:r w:rsidRPr="00454403">
        <w:rPr>
          <w:lang w:val="fr-CA"/>
        </w:rPr>
        <w:t xml:space="preserve">: Yvon </w:t>
      </w:r>
      <w:r w:rsidRPr="00454403">
        <w:rPr>
          <w:szCs w:val="24"/>
          <w:lang w:val="fr-CA"/>
        </w:rPr>
        <w:t>Blais</w:t>
      </w:r>
      <w:r w:rsidRPr="00454403">
        <w:rPr>
          <w:lang w:val="fr-CA"/>
        </w:rPr>
        <w:t>, 2014.</w:t>
      </w:r>
    </w:p>
    <w:p w:rsidR="0054799D" w:rsidRPr="00454403" w:rsidRDefault="0054799D" w:rsidP="00BA2558">
      <w:pPr>
        <w:pStyle w:val="SCCNormalDoubleSpacing"/>
        <w:spacing w:after="240" w:line="240" w:lineRule="auto"/>
        <w:ind w:left="544" w:hanging="544"/>
        <w:rPr>
          <w:iCs/>
        </w:rPr>
      </w:pPr>
      <w:r w:rsidRPr="00454403">
        <w:t xml:space="preserve">Canada. Royal Commission on </w:t>
      </w:r>
      <w:r w:rsidRPr="00454403">
        <w:rPr>
          <w:szCs w:val="24"/>
          <w:lang w:val="en-US"/>
        </w:rPr>
        <w:t>Aboriginal</w:t>
      </w:r>
      <w:r w:rsidRPr="00454403">
        <w:t xml:space="preserve"> Peoples. </w:t>
      </w:r>
      <w:r w:rsidRPr="00454403">
        <w:rPr>
          <w:i/>
        </w:rPr>
        <w:t>Report of the Royal Commission on Aboriginal Peoples</w:t>
      </w:r>
      <w:r w:rsidRPr="00454403">
        <w:t xml:space="preserve">, </w:t>
      </w:r>
      <w:r w:rsidR="00EB7398" w:rsidRPr="00454403">
        <w:t>vol. </w:t>
      </w:r>
      <w:r w:rsidRPr="00454403">
        <w:t xml:space="preserve">1, </w:t>
      </w:r>
      <w:r w:rsidRPr="00454403">
        <w:rPr>
          <w:i/>
        </w:rPr>
        <w:t>Looking Forward, Looking Back</w:t>
      </w:r>
      <w:r w:rsidRPr="00454403">
        <w:t>. Ottawa: The Commission, 1996</w:t>
      </w:r>
      <w:r w:rsidRPr="00454403">
        <w:rPr>
          <w:iCs/>
        </w:rPr>
        <w:t xml:space="preserve">. </w:t>
      </w:r>
    </w:p>
    <w:p w:rsidR="00B917C4" w:rsidRPr="00454403" w:rsidRDefault="003E3585" w:rsidP="00BA2558">
      <w:pPr>
        <w:pStyle w:val="SCCNormalDoubleSpacing"/>
        <w:spacing w:after="240" w:line="240" w:lineRule="auto"/>
        <w:ind w:left="544" w:hanging="544"/>
      </w:pPr>
      <w:r w:rsidRPr="00454403">
        <w:t xml:space="preserve">Canada. Senate and House of </w:t>
      </w:r>
      <w:r w:rsidRPr="00454403">
        <w:rPr>
          <w:szCs w:val="24"/>
          <w:lang w:val="en-US"/>
        </w:rPr>
        <w:t>Commons</w:t>
      </w:r>
      <w:r w:rsidRPr="00454403">
        <w:t xml:space="preserve">. </w:t>
      </w:r>
      <w:r w:rsidRPr="00454403">
        <w:rPr>
          <w:i/>
        </w:rPr>
        <w:t xml:space="preserve">Minutes of Proceedings and Evidence of the Special Joint Committee of the Senate and </w:t>
      </w:r>
      <w:r w:rsidR="0054799D" w:rsidRPr="00454403">
        <w:rPr>
          <w:i/>
        </w:rPr>
        <w:t xml:space="preserve">of </w:t>
      </w:r>
      <w:r w:rsidRPr="00454403">
        <w:rPr>
          <w:i/>
        </w:rPr>
        <w:t>the House of Commons on the Constitution of Canada</w:t>
      </w:r>
      <w:r w:rsidR="00BB503D" w:rsidRPr="00454403">
        <w:t xml:space="preserve">, </w:t>
      </w:r>
      <w:r w:rsidR="00EB7398" w:rsidRPr="00454403">
        <w:t>No. </w:t>
      </w:r>
      <w:r w:rsidR="00BB503D" w:rsidRPr="00454403">
        <w:t>3</w:t>
      </w:r>
      <w:r w:rsidR="0054799D" w:rsidRPr="00454403">
        <w:t>, 1st Sess., 32nd</w:t>
      </w:r>
      <w:r w:rsidRPr="00454403">
        <w:t xml:space="preserve"> Parl.,</w:t>
      </w:r>
      <w:r w:rsidR="009B0E16" w:rsidRPr="00454403">
        <w:t xml:space="preserve"> November </w:t>
      </w:r>
      <w:r w:rsidR="00B917C4" w:rsidRPr="00454403">
        <w:t xml:space="preserve">12, 1980, </w:t>
      </w:r>
      <w:r w:rsidR="00EB7398" w:rsidRPr="00454403">
        <w:t>p. </w:t>
      </w:r>
      <w:r w:rsidR="00B917C4" w:rsidRPr="00454403">
        <w:t>84.</w:t>
      </w:r>
    </w:p>
    <w:p w:rsidR="00B917C4" w:rsidRPr="00454403" w:rsidRDefault="00B917C4" w:rsidP="00BA2558">
      <w:pPr>
        <w:pStyle w:val="SCCNormalDoubleSpacing"/>
        <w:spacing w:after="240" w:line="240" w:lineRule="auto"/>
        <w:ind w:left="544" w:hanging="544"/>
      </w:pPr>
      <w:r w:rsidRPr="00454403">
        <w:t xml:space="preserve">Canada. Senate and House of </w:t>
      </w:r>
      <w:r w:rsidRPr="00454403">
        <w:rPr>
          <w:szCs w:val="24"/>
          <w:lang w:val="en-US"/>
        </w:rPr>
        <w:t>Commons</w:t>
      </w:r>
      <w:r w:rsidRPr="00454403">
        <w:t xml:space="preserve">. </w:t>
      </w:r>
      <w:r w:rsidRPr="00454403">
        <w:rPr>
          <w:i/>
        </w:rPr>
        <w:t xml:space="preserve">Minutes of Proceedings and Evidence of the Special Joint Committee of the Senate and </w:t>
      </w:r>
      <w:r w:rsidR="0054799D" w:rsidRPr="00454403">
        <w:rPr>
          <w:i/>
        </w:rPr>
        <w:t xml:space="preserve">of </w:t>
      </w:r>
      <w:r w:rsidRPr="00454403">
        <w:rPr>
          <w:i/>
        </w:rPr>
        <w:t>the House of Commons on the Constitution of Canada</w:t>
      </w:r>
      <w:r w:rsidR="0054799D" w:rsidRPr="00454403">
        <w:t xml:space="preserve">, </w:t>
      </w:r>
      <w:r w:rsidR="00EB7398" w:rsidRPr="00454403">
        <w:t>No. </w:t>
      </w:r>
      <w:r w:rsidR="0054799D" w:rsidRPr="00454403">
        <w:t>4, 1st Sess., 32nd</w:t>
      </w:r>
      <w:r w:rsidR="009B0E16" w:rsidRPr="00454403">
        <w:t xml:space="preserve"> Parl., November </w:t>
      </w:r>
      <w:r w:rsidRPr="00454403">
        <w:t xml:space="preserve">13, 1980, </w:t>
      </w:r>
      <w:r w:rsidR="00EB7398" w:rsidRPr="00454403">
        <w:t>p. </w:t>
      </w:r>
      <w:r w:rsidRPr="00454403">
        <w:t>13.</w:t>
      </w:r>
    </w:p>
    <w:p w:rsidR="003E3585" w:rsidRPr="00454403" w:rsidRDefault="003E3585" w:rsidP="00BA2558">
      <w:pPr>
        <w:pStyle w:val="SCCNormalDoubleSpacing"/>
        <w:spacing w:after="240" w:line="240" w:lineRule="auto"/>
        <w:ind w:left="544" w:hanging="544"/>
      </w:pPr>
      <w:r w:rsidRPr="00454403">
        <w:t xml:space="preserve">Canada. Senate and House of </w:t>
      </w:r>
      <w:r w:rsidRPr="00454403">
        <w:rPr>
          <w:szCs w:val="24"/>
          <w:lang w:val="en-US"/>
        </w:rPr>
        <w:t>Commons</w:t>
      </w:r>
      <w:r w:rsidRPr="00454403">
        <w:t xml:space="preserve">. </w:t>
      </w:r>
      <w:r w:rsidRPr="00454403">
        <w:rPr>
          <w:i/>
        </w:rPr>
        <w:t xml:space="preserve">Minutes of Proceedings and Evidence of the Special Joint Committee of the Senate and </w:t>
      </w:r>
      <w:r w:rsidR="0054799D" w:rsidRPr="00454403">
        <w:rPr>
          <w:i/>
        </w:rPr>
        <w:t xml:space="preserve">of </w:t>
      </w:r>
      <w:r w:rsidRPr="00454403">
        <w:rPr>
          <w:i/>
        </w:rPr>
        <w:t>the House of Commons on the Constitution of Canada</w:t>
      </w:r>
      <w:r w:rsidR="00BB503D" w:rsidRPr="00454403">
        <w:t xml:space="preserve">, </w:t>
      </w:r>
      <w:r w:rsidR="00EB7398" w:rsidRPr="00454403">
        <w:t>No. </w:t>
      </w:r>
      <w:r w:rsidR="00BB503D" w:rsidRPr="00454403">
        <w:t>12</w:t>
      </w:r>
      <w:r w:rsidR="0054799D" w:rsidRPr="00454403">
        <w:t>, 1st Sess., 32nd</w:t>
      </w:r>
      <w:r w:rsidRPr="00454403">
        <w:t xml:space="preserve"> Parl.,</w:t>
      </w:r>
      <w:r w:rsidR="009B0E16" w:rsidRPr="00454403">
        <w:t xml:space="preserve"> November </w:t>
      </w:r>
      <w:r w:rsidR="00BB503D" w:rsidRPr="00454403">
        <w:t xml:space="preserve">25, 1980, </w:t>
      </w:r>
      <w:r w:rsidR="00EB7398" w:rsidRPr="00454403">
        <w:t>p. </w:t>
      </w:r>
      <w:r w:rsidR="00BB503D" w:rsidRPr="00454403">
        <w:t>60.</w:t>
      </w:r>
    </w:p>
    <w:p w:rsidR="003E3585" w:rsidRPr="00454403" w:rsidRDefault="003E3585" w:rsidP="00BA2558">
      <w:pPr>
        <w:pStyle w:val="SCCNormalDoubleSpacing"/>
        <w:spacing w:after="240" w:line="240" w:lineRule="auto"/>
        <w:ind w:left="544" w:hanging="544"/>
      </w:pPr>
      <w:r w:rsidRPr="00454403">
        <w:lastRenderedPageBreak/>
        <w:t xml:space="preserve">Canada. Senate and House of </w:t>
      </w:r>
      <w:r w:rsidRPr="00454403">
        <w:rPr>
          <w:szCs w:val="24"/>
          <w:lang w:val="en-US"/>
        </w:rPr>
        <w:t>Commons</w:t>
      </w:r>
      <w:r w:rsidRPr="00454403">
        <w:t xml:space="preserve">. </w:t>
      </w:r>
      <w:r w:rsidRPr="00454403">
        <w:rPr>
          <w:i/>
        </w:rPr>
        <w:t xml:space="preserve">Minutes of Proceedings and Evidence of the Special Joint Committee of the Senate and </w:t>
      </w:r>
      <w:r w:rsidR="0054799D" w:rsidRPr="00454403">
        <w:rPr>
          <w:i/>
        </w:rPr>
        <w:t xml:space="preserve">of </w:t>
      </w:r>
      <w:r w:rsidRPr="00454403">
        <w:rPr>
          <w:i/>
        </w:rPr>
        <w:t>the House of Commons on the Constitution of Canada</w:t>
      </w:r>
      <w:r w:rsidR="00875BF6" w:rsidRPr="00454403">
        <w:t xml:space="preserve">, </w:t>
      </w:r>
      <w:r w:rsidR="00EB7398" w:rsidRPr="00454403">
        <w:t>No. </w:t>
      </w:r>
      <w:r w:rsidR="00875BF6" w:rsidRPr="00454403">
        <w:t>16</w:t>
      </w:r>
      <w:r w:rsidR="0054799D" w:rsidRPr="00454403">
        <w:t>, 1st Sess., 32nd</w:t>
      </w:r>
      <w:r w:rsidRPr="00454403">
        <w:t xml:space="preserve"> Parl.,</w:t>
      </w:r>
      <w:r w:rsidR="009B0E16" w:rsidRPr="00454403">
        <w:t xml:space="preserve"> December </w:t>
      </w:r>
      <w:r w:rsidR="00875BF6" w:rsidRPr="00454403">
        <w:t xml:space="preserve">1, 1980, </w:t>
      </w:r>
      <w:r w:rsidR="00EB7398" w:rsidRPr="00454403">
        <w:t>p. </w:t>
      </w:r>
      <w:r w:rsidR="00875BF6" w:rsidRPr="00454403">
        <w:t>13.</w:t>
      </w:r>
    </w:p>
    <w:p w:rsidR="003E3585" w:rsidRPr="00454403" w:rsidRDefault="003E3585" w:rsidP="00BA2558">
      <w:pPr>
        <w:pStyle w:val="SCCNormalDoubleSpacing"/>
        <w:spacing w:after="240" w:line="240" w:lineRule="auto"/>
        <w:ind w:left="544" w:hanging="544"/>
      </w:pPr>
      <w:r w:rsidRPr="00454403">
        <w:t xml:space="preserve">Canada. Senate and House of </w:t>
      </w:r>
      <w:r w:rsidRPr="00454403">
        <w:rPr>
          <w:szCs w:val="24"/>
          <w:lang w:val="en-US"/>
        </w:rPr>
        <w:t>Commons</w:t>
      </w:r>
      <w:r w:rsidRPr="00454403">
        <w:t xml:space="preserve">. </w:t>
      </w:r>
      <w:r w:rsidRPr="00454403">
        <w:rPr>
          <w:i/>
        </w:rPr>
        <w:t xml:space="preserve">Minutes of Proceedings and Evidence of the Special Joint Committee of the Senate and </w:t>
      </w:r>
      <w:r w:rsidR="0054799D" w:rsidRPr="00454403">
        <w:rPr>
          <w:i/>
        </w:rPr>
        <w:t xml:space="preserve">of </w:t>
      </w:r>
      <w:r w:rsidRPr="00454403">
        <w:rPr>
          <w:i/>
        </w:rPr>
        <w:t>the House of Commons on the Constitution of Canada</w:t>
      </w:r>
      <w:r w:rsidR="00B917C4" w:rsidRPr="00454403">
        <w:t xml:space="preserve">, </w:t>
      </w:r>
      <w:r w:rsidR="00EB7398" w:rsidRPr="00454403">
        <w:t>No. </w:t>
      </w:r>
      <w:r w:rsidR="00923A68" w:rsidRPr="00454403">
        <w:t>17</w:t>
      </w:r>
      <w:r w:rsidR="0054799D" w:rsidRPr="00454403">
        <w:t>, 1st Sess., 32nd</w:t>
      </w:r>
      <w:r w:rsidRPr="00454403">
        <w:t xml:space="preserve"> Parl.,</w:t>
      </w:r>
      <w:r w:rsidR="009B0E16" w:rsidRPr="00454403">
        <w:t xml:space="preserve"> December </w:t>
      </w:r>
      <w:r w:rsidR="00923A68" w:rsidRPr="00454403">
        <w:t xml:space="preserve">2, 1980, </w:t>
      </w:r>
      <w:r w:rsidR="00EB7398" w:rsidRPr="00454403">
        <w:t>p. </w:t>
      </w:r>
      <w:r w:rsidR="00923A68" w:rsidRPr="00454403">
        <w:t>97.</w:t>
      </w:r>
    </w:p>
    <w:p w:rsidR="00725748" w:rsidRPr="00454403" w:rsidRDefault="009B0E16" w:rsidP="009B0E16">
      <w:pPr>
        <w:pStyle w:val="SCCNormalDoubleSpacing"/>
        <w:spacing w:after="240" w:line="240" w:lineRule="auto"/>
        <w:ind w:left="544" w:hanging="544"/>
        <w:rPr>
          <w:lang w:val="fr-CA"/>
        </w:rPr>
      </w:pPr>
      <w:r w:rsidRPr="00454403">
        <w:t>Chartrand, Paul </w:t>
      </w:r>
      <w:r w:rsidR="00725748" w:rsidRPr="00454403">
        <w:t>L.</w:t>
      </w:r>
      <w:r w:rsidR="00283860" w:rsidRPr="00454403">
        <w:t xml:space="preserve"> </w:t>
      </w:r>
      <w:r w:rsidR="00725748" w:rsidRPr="00454403">
        <w:t>A.</w:t>
      </w:r>
      <w:r w:rsidRPr="00454403">
        <w:t> </w:t>
      </w:r>
      <w:r w:rsidR="00725748" w:rsidRPr="00454403">
        <w:t>H.</w:t>
      </w:r>
      <w:r w:rsidRPr="00454403">
        <w:t> </w:t>
      </w:r>
      <w:r w:rsidR="00725748" w:rsidRPr="00454403">
        <w:t>“</w:t>
      </w:r>
      <w:r w:rsidR="00725748" w:rsidRPr="00454403">
        <w:rPr>
          <w:szCs w:val="24"/>
          <w:lang w:val="en-US"/>
        </w:rPr>
        <w:t>Background</w:t>
      </w:r>
      <w:r w:rsidRPr="00454403">
        <w:t>”, in Paul </w:t>
      </w:r>
      <w:r w:rsidR="00725748" w:rsidRPr="00454403">
        <w:t>L.</w:t>
      </w:r>
      <w:r w:rsidR="00283860" w:rsidRPr="00454403">
        <w:t xml:space="preserve"> </w:t>
      </w:r>
      <w:r w:rsidR="00725748" w:rsidRPr="00454403">
        <w:t>A.</w:t>
      </w:r>
      <w:r w:rsidRPr="00454403">
        <w:t> H. </w:t>
      </w:r>
      <w:r w:rsidR="00725748" w:rsidRPr="00454403">
        <w:t xml:space="preserve">Chartrand, ed., </w:t>
      </w:r>
      <w:proofErr w:type="gramStart"/>
      <w:r w:rsidR="00725748" w:rsidRPr="00454403">
        <w:rPr>
          <w:i/>
        </w:rPr>
        <w:t>Who</w:t>
      </w:r>
      <w:proofErr w:type="gramEnd"/>
      <w:r w:rsidR="00725748" w:rsidRPr="00454403">
        <w:rPr>
          <w:i/>
        </w:rPr>
        <w:t xml:space="preserve"> are Canada’s Aboriginal Peoples? </w:t>
      </w:r>
      <w:r w:rsidR="00725748" w:rsidRPr="00454403">
        <w:rPr>
          <w:i/>
          <w:lang w:val="fr-CA"/>
        </w:rPr>
        <w:t xml:space="preserve">Recognition, </w:t>
      </w:r>
      <w:proofErr w:type="spellStart"/>
      <w:r w:rsidR="00725748" w:rsidRPr="00454403">
        <w:rPr>
          <w:i/>
          <w:lang w:val="fr-CA"/>
        </w:rPr>
        <w:t>Definition</w:t>
      </w:r>
      <w:proofErr w:type="spellEnd"/>
      <w:r w:rsidR="00725748" w:rsidRPr="00454403">
        <w:rPr>
          <w:i/>
          <w:lang w:val="fr-CA"/>
        </w:rPr>
        <w:t xml:space="preserve">, and </w:t>
      </w:r>
      <w:proofErr w:type="spellStart"/>
      <w:r w:rsidR="00725748" w:rsidRPr="00454403">
        <w:rPr>
          <w:i/>
          <w:lang w:val="fr-CA"/>
        </w:rPr>
        <w:t>Jurisdiction</w:t>
      </w:r>
      <w:proofErr w:type="spellEnd"/>
      <w:r w:rsidR="00725748" w:rsidRPr="00454403">
        <w:rPr>
          <w:lang w:val="fr-CA"/>
        </w:rPr>
        <w:t>. Sa</w:t>
      </w:r>
      <w:r w:rsidR="00301542" w:rsidRPr="00454403">
        <w:rPr>
          <w:lang w:val="fr-CA"/>
        </w:rPr>
        <w:t xml:space="preserve">skatoon: </w:t>
      </w:r>
      <w:proofErr w:type="spellStart"/>
      <w:r w:rsidR="00301542" w:rsidRPr="00454403">
        <w:rPr>
          <w:lang w:val="fr-CA"/>
        </w:rPr>
        <w:t>Purich</w:t>
      </w:r>
      <w:proofErr w:type="spellEnd"/>
      <w:r w:rsidR="00301542" w:rsidRPr="00454403">
        <w:rPr>
          <w:lang w:val="fr-CA"/>
        </w:rPr>
        <w:t xml:space="preserve"> </w:t>
      </w:r>
      <w:proofErr w:type="spellStart"/>
      <w:r w:rsidR="00301542" w:rsidRPr="00454403">
        <w:rPr>
          <w:lang w:val="fr-CA"/>
        </w:rPr>
        <w:t>Publishing</w:t>
      </w:r>
      <w:proofErr w:type="spellEnd"/>
      <w:r w:rsidR="00301542" w:rsidRPr="00454403">
        <w:rPr>
          <w:lang w:val="fr-CA"/>
        </w:rPr>
        <w:t>, 2002</w:t>
      </w:r>
      <w:r w:rsidR="00725748" w:rsidRPr="00454403">
        <w:rPr>
          <w:lang w:val="fr-CA"/>
        </w:rPr>
        <w:t>, 27.</w:t>
      </w:r>
    </w:p>
    <w:p w:rsidR="00725748" w:rsidRPr="00454403" w:rsidRDefault="00725748" w:rsidP="00BA2558">
      <w:pPr>
        <w:pStyle w:val="SCCNormalDoubleSpacing"/>
        <w:spacing w:after="240" w:line="240" w:lineRule="auto"/>
        <w:ind w:left="544" w:hanging="544"/>
      </w:pPr>
      <w:r w:rsidRPr="00454403">
        <w:rPr>
          <w:lang w:val="fr-CA"/>
        </w:rPr>
        <w:t xml:space="preserve">Dionne, Paul. </w:t>
      </w:r>
      <w:r w:rsidR="00B61411" w:rsidRPr="00454403">
        <w:rPr>
          <w:lang w:val="fr-CA"/>
        </w:rPr>
        <w:t>“</w:t>
      </w:r>
      <w:r w:rsidRPr="00454403">
        <w:rPr>
          <w:lang w:val="fr-CA"/>
        </w:rPr>
        <w:t xml:space="preserve">La </w:t>
      </w:r>
      <w:r w:rsidRPr="00454403">
        <w:rPr>
          <w:szCs w:val="24"/>
          <w:lang w:val="fr-CA"/>
        </w:rPr>
        <w:t>reconnaissance</w:t>
      </w:r>
      <w:r w:rsidRPr="00454403">
        <w:rPr>
          <w:lang w:val="fr-CA"/>
        </w:rPr>
        <w:t xml:space="preserve"> et la définition conte</w:t>
      </w:r>
      <w:r w:rsidR="00807C70" w:rsidRPr="00454403">
        <w:rPr>
          <w:lang w:val="fr-CA"/>
        </w:rPr>
        <w:t>mporaines des droits ancestraux</w:t>
      </w:r>
      <w:r w:rsidRPr="00454403">
        <w:rPr>
          <w:lang w:val="fr-CA"/>
        </w:rPr>
        <w:t>: négo</w:t>
      </w:r>
      <w:r w:rsidR="00B61411" w:rsidRPr="00454403">
        <w:rPr>
          <w:lang w:val="fr-CA"/>
        </w:rPr>
        <w:t>cier ou s’adresser au juge?”</w:t>
      </w:r>
      <w:r w:rsidRPr="00454403">
        <w:rPr>
          <w:lang w:val="fr-CA"/>
        </w:rPr>
        <w:t xml:space="preserve">, dans Ghislain Otis, </w:t>
      </w:r>
      <w:proofErr w:type="spellStart"/>
      <w:proofErr w:type="gramStart"/>
      <w:r w:rsidRPr="00454403">
        <w:rPr>
          <w:lang w:val="fr-CA"/>
        </w:rPr>
        <w:t>dir</w:t>
      </w:r>
      <w:proofErr w:type="spellEnd"/>
      <w:r w:rsidRPr="00454403">
        <w:rPr>
          <w:lang w:val="fr-CA"/>
        </w:rPr>
        <w:t>.,</w:t>
      </w:r>
      <w:proofErr w:type="gramEnd"/>
      <w:r w:rsidRPr="00454403">
        <w:rPr>
          <w:lang w:val="fr-CA"/>
        </w:rPr>
        <w:t xml:space="preserve"> </w:t>
      </w:r>
      <w:r w:rsidRPr="00454403">
        <w:rPr>
          <w:i/>
          <w:lang w:val="fr-CA"/>
        </w:rPr>
        <w:t>Droit, territoire et gouvernance des pe</w:t>
      </w:r>
      <w:r w:rsidR="00EF364E">
        <w:rPr>
          <w:i/>
          <w:lang w:val="fr-CA"/>
        </w:rPr>
        <w:t>u</w:t>
      </w:r>
      <w:r w:rsidRPr="00454403">
        <w:rPr>
          <w:i/>
          <w:lang w:val="fr-CA"/>
        </w:rPr>
        <w:t>ples autochtones</w:t>
      </w:r>
      <w:r w:rsidRPr="00454403">
        <w:rPr>
          <w:lang w:val="fr-CA"/>
        </w:rPr>
        <w:t xml:space="preserve">. </w:t>
      </w:r>
      <w:r w:rsidR="00B61411" w:rsidRPr="00454403">
        <w:t>Québec</w:t>
      </w:r>
      <w:r w:rsidRPr="00454403">
        <w:t xml:space="preserve">: Presses de </w:t>
      </w:r>
      <w:proofErr w:type="spellStart"/>
      <w:r w:rsidRPr="00454403">
        <w:t>l’Université</w:t>
      </w:r>
      <w:proofErr w:type="spellEnd"/>
      <w:r w:rsidRPr="00454403">
        <w:t xml:space="preserve"> Laval</w:t>
      </w:r>
      <w:r w:rsidR="00301542" w:rsidRPr="00454403">
        <w:t>, 2005</w:t>
      </w:r>
      <w:r w:rsidRPr="00454403">
        <w:t>, 71.</w:t>
      </w:r>
    </w:p>
    <w:p w:rsidR="00725748" w:rsidRPr="00454403" w:rsidRDefault="00725748" w:rsidP="00BA2558">
      <w:pPr>
        <w:pStyle w:val="SCCNormalDoubleSpacing"/>
        <w:spacing w:after="240" w:line="240" w:lineRule="auto"/>
        <w:ind w:left="544" w:hanging="544"/>
      </w:pPr>
      <w:proofErr w:type="spellStart"/>
      <w:r w:rsidRPr="00454403">
        <w:t>Grammond</w:t>
      </w:r>
      <w:proofErr w:type="spellEnd"/>
      <w:r w:rsidRPr="00454403">
        <w:t xml:space="preserve">, Sébastien. </w:t>
      </w:r>
      <w:r w:rsidRPr="00454403">
        <w:rPr>
          <w:i/>
        </w:rPr>
        <w:t>Terms of Coexistence, Indigenous Peoples and Canadian Law</w:t>
      </w:r>
      <w:r w:rsidRPr="00454403">
        <w:t xml:space="preserve">. Translated by Jodi </w:t>
      </w:r>
      <w:proofErr w:type="spellStart"/>
      <w:r w:rsidRPr="00454403">
        <w:rPr>
          <w:szCs w:val="24"/>
          <w:lang w:val="en-US"/>
        </w:rPr>
        <w:t>Lazare</w:t>
      </w:r>
      <w:proofErr w:type="spellEnd"/>
      <w:r w:rsidRPr="00454403">
        <w:t>. Toronto: Carswell, 2013.</w:t>
      </w:r>
    </w:p>
    <w:p w:rsidR="00725748" w:rsidRPr="00454403" w:rsidRDefault="00725748" w:rsidP="00BA2558">
      <w:pPr>
        <w:pStyle w:val="SCCNormalDoubleSpacing"/>
        <w:spacing w:after="240" w:line="240" w:lineRule="auto"/>
        <w:ind w:left="544" w:hanging="544"/>
      </w:pPr>
      <w:r w:rsidRPr="00454403">
        <w:t xml:space="preserve">Groves, </w:t>
      </w:r>
      <w:r w:rsidR="00F90E64" w:rsidRPr="00454403">
        <w:t>Robert </w:t>
      </w:r>
      <w:r w:rsidRPr="00454403">
        <w:t xml:space="preserve">K. “The Curious Instance of the Irregular Band: A Case Study of Canada’s Missing </w:t>
      </w:r>
      <w:r w:rsidRPr="00454403">
        <w:rPr>
          <w:szCs w:val="24"/>
          <w:lang w:val="en-US"/>
        </w:rPr>
        <w:t>Recognition</w:t>
      </w:r>
      <w:r w:rsidRPr="00454403">
        <w:t xml:space="preserve"> Policy” (2007), 70 </w:t>
      </w:r>
      <w:r w:rsidRPr="00454403">
        <w:rPr>
          <w:i/>
        </w:rPr>
        <w:t xml:space="preserve">Sask. </w:t>
      </w:r>
      <w:proofErr w:type="spellStart"/>
      <w:r w:rsidRPr="00454403">
        <w:rPr>
          <w:i/>
        </w:rPr>
        <w:t>L.R</w:t>
      </w:r>
      <w:proofErr w:type="spellEnd"/>
      <w:r w:rsidRPr="00454403">
        <w:rPr>
          <w:i/>
        </w:rPr>
        <w:t>.</w:t>
      </w:r>
      <w:r w:rsidRPr="00454403">
        <w:t xml:space="preserve"> 153.</w:t>
      </w:r>
    </w:p>
    <w:p w:rsidR="00725748" w:rsidRPr="00454403" w:rsidRDefault="00725748" w:rsidP="00BA2558">
      <w:pPr>
        <w:pStyle w:val="SCCNormalDoubleSpacing"/>
        <w:spacing w:after="240" w:line="240" w:lineRule="auto"/>
        <w:ind w:left="544" w:hanging="544"/>
      </w:pPr>
      <w:r w:rsidRPr="00454403">
        <w:t>Hogg, Peter W. </w:t>
      </w:r>
      <w:r w:rsidRPr="00454403">
        <w:rPr>
          <w:i/>
          <w:iCs/>
        </w:rPr>
        <w:t>Constitutional Law of Canada</w:t>
      </w:r>
      <w:r w:rsidRPr="00454403">
        <w:t>,</w:t>
      </w:r>
      <w:r w:rsidR="00275883" w:rsidRPr="00454403">
        <w:t xml:space="preserve"> </w:t>
      </w:r>
      <w:r w:rsidR="00EB7398" w:rsidRPr="00454403">
        <w:t>vol. </w:t>
      </w:r>
      <w:r w:rsidR="00275883" w:rsidRPr="00454403">
        <w:t>1,</w:t>
      </w:r>
      <w:r w:rsidR="0045710C" w:rsidRPr="00454403">
        <w:t xml:space="preserve"> 5th ed. Su</w:t>
      </w:r>
      <w:r w:rsidR="00EB7398" w:rsidRPr="00454403">
        <w:t>pp. </w:t>
      </w:r>
      <w:r w:rsidR="0045710C" w:rsidRPr="00454403">
        <w:t>Toronto</w:t>
      </w:r>
      <w:r w:rsidRPr="00454403">
        <w:t>: Thomson</w:t>
      </w:r>
      <w:r w:rsidR="00266E89" w:rsidRPr="00454403">
        <w:t xml:space="preserve"> Reuters</w:t>
      </w:r>
      <w:r w:rsidRPr="00454403">
        <w:t>, 2007 (</w:t>
      </w:r>
      <w:r w:rsidRPr="00454403">
        <w:rPr>
          <w:szCs w:val="24"/>
          <w:lang w:val="en-US"/>
        </w:rPr>
        <w:t>updated</w:t>
      </w:r>
      <w:r w:rsidRPr="00454403">
        <w:t xml:space="preserve"> 2019, release 1).</w:t>
      </w:r>
    </w:p>
    <w:p w:rsidR="00725748" w:rsidRPr="00454403" w:rsidRDefault="00725748" w:rsidP="00BA2558">
      <w:pPr>
        <w:pStyle w:val="SCCNormalDoubleSpacing"/>
        <w:spacing w:after="240" w:line="240" w:lineRule="auto"/>
        <w:ind w:left="544" w:hanging="544"/>
      </w:pPr>
      <w:r w:rsidRPr="00454403">
        <w:t xml:space="preserve">McNeil, Kent. </w:t>
      </w:r>
      <w:r w:rsidRPr="00454403">
        <w:rPr>
          <w:lang w:bidi="en-US"/>
        </w:rPr>
        <w:t xml:space="preserve">“Continuity of Aboriginal Rights”, in Kerry </w:t>
      </w:r>
      <w:proofErr w:type="spellStart"/>
      <w:r w:rsidRPr="00454403">
        <w:rPr>
          <w:lang w:bidi="en-US"/>
        </w:rPr>
        <w:t>Wilkins</w:t>
      </w:r>
      <w:proofErr w:type="spellEnd"/>
      <w:r w:rsidRPr="00454403">
        <w:rPr>
          <w:lang w:bidi="en-US"/>
        </w:rPr>
        <w:t xml:space="preserve">, ed., </w:t>
      </w:r>
      <w:r w:rsidRPr="00454403">
        <w:rPr>
          <w:i/>
          <w:lang w:val="en-GB" w:bidi="en-US"/>
        </w:rPr>
        <w:t>Advancing Aboriginal Claims: Visions/Strategies/Directions</w:t>
      </w:r>
      <w:r w:rsidRPr="00454403">
        <w:rPr>
          <w:lang w:val="en-GB" w:bidi="en-US"/>
        </w:rPr>
        <w:t>. Saskatoon:</w:t>
      </w:r>
      <w:r w:rsidRPr="00454403">
        <w:rPr>
          <w:i/>
          <w:lang w:val="en-GB" w:bidi="en-US"/>
        </w:rPr>
        <w:t xml:space="preserve"> </w:t>
      </w:r>
      <w:proofErr w:type="spellStart"/>
      <w:r w:rsidRPr="00454403">
        <w:rPr>
          <w:lang w:val="en-GB" w:bidi="en-US"/>
        </w:rPr>
        <w:t>Purich</w:t>
      </w:r>
      <w:proofErr w:type="spellEnd"/>
      <w:r w:rsidRPr="00454403">
        <w:rPr>
          <w:lang w:val="en-GB" w:bidi="en-US"/>
        </w:rPr>
        <w:t xml:space="preserve"> Publishing, 2004, 127.</w:t>
      </w:r>
    </w:p>
    <w:p w:rsidR="00725748" w:rsidRPr="00454403" w:rsidRDefault="00725748" w:rsidP="00BA2558">
      <w:pPr>
        <w:pStyle w:val="SCCNormalDoubleSpacing"/>
        <w:spacing w:after="240" w:line="240" w:lineRule="auto"/>
        <w:ind w:left="544" w:hanging="544"/>
      </w:pPr>
      <w:r w:rsidRPr="00454403">
        <w:rPr>
          <w:lang w:val="x-none"/>
        </w:rPr>
        <w:t>Ogden,</w:t>
      </w:r>
      <w:r w:rsidRPr="00454403">
        <w:t xml:space="preserve"> </w:t>
      </w:r>
      <w:r w:rsidRPr="00454403">
        <w:rPr>
          <w:lang w:val="x-none"/>
        </w:rPr>
        <w:t>Richard</w:t>
      </w:r>
      <w:r w:rsidR="00BD63DA" w:rsidRPr="00454403">
        <w:t>.</w:t>
      </w:r>
      <w:r w:rsidRPr="00454403">
        <w:t xml:space="preserve"> “</w:t>
      </w:r>
      <w:r w:rsidRPr="00454403">
        <w:rPr>
          <w:lang w:val="en-GB" w:bidi="en-US"/>
        </w:rPr>
        <w:t>‘</w:t>
      </w:r>
      <w:proofErr w:type="spellStart"/>
      <w:r w:rsidRPr="00454403">
        <w:rPr>
          <w:lang w:val="x-none"/>
        </w:rPr>
        <w:t>Existing</w:t>
      </w:r>
      <w:proofErr w:type="spellEnd"/>
      <w:r w:rsidRPr="00454403">
        <w:rPr>
          <w:lang w:val="en-GB" w:bidi="en-US"/>
        </w:rPr>
        <w:t>’</w:t>
      </w:r>
      <w:r w:rsidRPr="00454403">
        <w:rPr>
          <w:lang w:val="x-none"/>
        </w:rPr>
        <w:t xml:space="preserve"> </w:t>
      </w:r>
      <w:r w:rsidRPr="00454403">
        <w:rPr>
          <w:szCs w:val="24"/>
          <w:lang w:val="en-US"/>
        </w:rPr>
        <w:t>Aboriginal</w:t>
      </w:r>
      <w:r w:rsidRPr="00454403">
        <w:rPr>
          <w:lang w:val="x-none"/>
        </w:rPr>
        <w:t xml:space="preserve"> </w:t>
      </w:r>
      <w:proofErr w:type="spellStart"/>
      <w:r w:rsidRPr="00454403">
        <w:rPr>
          <w:lang w:val="x-none"/>
        </w:rPr>
        <w:t>Rights</w:t>
      </w:r>
      <w:proofErr w:type="spellEnd"/>
      <w:r w:rsidRPr="00454403">
        <w:rPr>
          <w:lang w:val="x-none"/>
        </w:rPr>
        <w:t xml:space="preserve"> in Section</w:t>
      </w:r>
      <w:r w:rsidRPr="00454403">
        <w:t> </w:t>
      </w:r>
      <w:r w:rsidRPr="00454403">
        <w:rPr>
          <w:lang w:val="x-none"/>
        </w:rPr>
        <w:t xml:space="preserve">35 of the </w:t>
      </w:r>
      <w:r w:rsidRPr="00454403">
        <w:rPr>
          <w:i/>
          <w:lang w:val="x-none"/>
        </w:rPr>
        <w:t xml:space="preserve">Constitution </w:t>
      </w:r>
      <w:proofErr w:type="spellStart"/>
      <w:r w:rsidRPr="00454403">
        <w:rPr>
          <w:i/>
          <w:lang w:val="x-none"/>
        </w:rPr>
        <w:t>Act</w:t>
      </w:r>
      <w:proofErr w:type="spellEnd"/>
      <w:r w:rsidRPr="00454403">
        <w:rPr>
          <w:i/>
          <w:lang w:val="x-none"/>
        </w:rPr>
        <w:t>,</w:t>
      </w:r>
      <w:r w:rsidRPr="00454403">
        <w:rPr>
          <w:i/>
        </w:rPr>
        <w:t xml:space="preserve"> </w:t>
      </w:r>
      <w:r w:rsidRPr="00454403">
        <w:rPr>
          <w:i/>
          <w:lang w:val="x-none"/>
        </w:rPr>
        <w:t>1982</w:t>
      </w:r>
      <w:r w:rsidRPr="00454403">
        <w:t>”</w:t>
      </w:r>
      <w:r w:rsidRPr="00454403">
        <w:rPr>
          <w:lang w:val="x-none"/>
        </w:rPr>
        <w:t xml:space="preserve"> (2009)</w:t>
      </w:r>
      <w:r w:rsidRPr="00454403">
        <w:t>,</w:t>
      </w:r>
      <w:r w:rsidRPr="00454403">
        <w:rPr>
          <w:lang w:val="x-none"/>
        </w:rPr>
        <w:t xml:space="preserve"> 88 </w:t>
      </w:r>
      <w:r w:rsidRPr="00454403">
        <w:rPr>
          <w:i/>
          <w:lang w:val="x-none"/>
        </w:rPr>
        <w:t>Can</w:t>
      </w:r>
      <w:r w:rsidRPr="00454403">
        <w:rPr>
          <w:i/>
        </w:rPr>
        <w:t>.</w:t>
      </w:r>
      <w:r w:rsidRPr="00454403">
        <w:rPr>
          <w:i/>
          <w:lang w:val="x-none"/>
        </w:rPr>
        <w:t xml:space="preserve"> </w:t>
      </w:r>
      <w:proofErr w:type="gramStart"/>
      <w:r w:rsidRPr="00454403">
        <w:rPr>
          <w:i/>
          <w:lang w:val="x-none"/>
        </w:rPr>
        <w:t>B</w:t>
      </w:r>
      <w:r w:rsidR="00CE78DD" w:rsidRPr="00454403">
        <w:rPr>
          <w:i/>
        </w:rPr>
        <w:t>ar</w:t>
      </w:r>
      <w:proofErr w:type="gramEnd"/>
      <w:r w:rsidRPr="00454403">
        <w:rPr>
          <w:i/>
          <w:lang w:val="x-none"/>
        </w:rPr>
        <w:t xml:space="preserve"> </w:t>
      </w:r>
      <w:proofErr w:type="spellStart"/>
      <w:r w:rsidRPr="00454403">
        <w:rPr>
          <w:i/>
          <w:lang w:val="x-none"/>
        </w:rPr>
        <w:t>Rev</w:t>
      </w:r>
      <w:proofErr w:type="spellEnd"/>
      <w:r w:rsidRPr="00454403">
        <w:rPr>
          <w:i/>
        </w:rPr>
        <w:t>.</w:t>
      </w:r>
      <w:r w:rsidRPr="00454403">
        <w:rPr>
          <w:lang w:val="x-none"/>
        </w:rPr>
        <w:t xml:space="preserve"> 51</w:t>
      </w:r>
      <w:r w:rsidRPr="00454403">
        <w:t>.</w:t>
      </w:r>
    </w:p>
    <w:p w:rsidR="00725748" w:rsidRPr="00454403" w:rsidRDefault="00725748" w:rsidP="00BA2558">
      <w:pPr>
        <w:pStyle w:val="SCCNormalDoubleSpacing"/>
        <w:spacing w:after="240" w:line="240" w:lineRule="auto"/>
        <w:ind w:left="544" w:hanging="544"/>
      </w:pPr>
      <w:proofErr w:type="spellStart"/>
      <w:r w:rsidRPr="00454403">
        <w:t>Olthuis</w:t>
      </w:r>
      <w:proofErr w:type="spellEnd"/>
      <w:r w:rsidRPr="00454403">
        <w:t>, Brent</w:t>
      </w:r>
      <w:r w:rsidR="00BD63DA" w:rsidRPr="00454403">
        <w:t>.</w:t>
      </w:r>
      <w:r w:rsidRPr="00454403">
        <w:t xml:space="preserve"> “The </w:t>
      </w:r>
      <w:r w:rsidRPr="00454403">
        <w:rPr>
          <w:szCs w:val="24"/>
          <w:lang w:val="en-US"/>
        </w:rPr>
        <w:t>Constitution’s</w:t>
      </w:r>
      <w:r w:rsidRPr="00454403">
        <w:t xml:space="preserve"> Peoples: Approaching Community in the Context of Section 35 of the </w:t>
      </w:r>
      <w:r w:rsidRPr="00454403">
        <w:rPr>
          <w:i/>
        </w:rPr>
        <w:t>Constitution Act, 1982</w:t>
      </w:r>
      <w:r w:rsidRPr="00454403">
        <w:t xml:space="preserve">” (2009), 54 </w:t>
      </w:r>
      <w:r w:rsidRPr="00454403">
        <w:rPr>
          <w:i/>
        </w:rPr>
        <w:t xml:space="preserve">McGill </w:t>
      </w:r>
      <w:proofErr w:type="spellStart"/>
      <w:r w:rsidRPr="00454403">
        <w:rPr>
          <w:i/>
        </w:rPr>
        <w:t>L.J</w:t>
      </w:r>
      <w:proofErr w:type="spellEnd"/>
      <w:r w:rsidRPr="00454403">
        <w:rPr>
          <w:i/>
        </w:rPr>
        <w:t xml:space="preserve">. </w:t>
      </w:r>
      <w:r w:rsidRPr="00454403">
        <w:t>1.</w:t>
      </w:r>
    </w:p>
    <w:p w:rsidR="00725748" w:rsidRPr="00454403" w:rsidRDefault="00725748" w:rsidP="00BA2558">
      <w:pPr>
        <w:pStyle w:val="SCCNormalDoubleSpacing"/>
        <w:spacing w:after="240" w:line="240" w:lineRule="auto"/>
        <w:ind w:left="544" w:hanging="544"/>
        <w:rPr>
          <w:lang w:val="en-US"/>
        </w:rPr>
      </w:pPr>
      <w:r w:rsidRPr="00454403">
        <w:rPr>
          <w:lang w:val="fr-CA"/>
        </w:rPr>
        <w:t>Otis,</w:t>
      </w:r>
      <w:r w:rsidR="00FF6A4F" w:rsidRPr="00454403">
        <w:rPr>
          <w:lang w:val="fr-CA"/>
        </w:rPr>
        <w:t xml:space="preserve"> Ghislain.</w:t>
      </w:r>
      <w:r w:rsidRPr="00454403">
        <w:rPr>
          <w:lang w:val="fr-CA"/>
        </w:rPr>
        <w:t xml:space="preserve"> “Le titre </w:t>
      </w:r>
      <w:r w:rsidRPr="00454403">
        <w:rPr>
          <w:szCs w:val="24"/>
          <w:lang w:val="fr-CA"/>
        </w:rPr>
        <w:t>aborigène</w:t>
      </w:r>
      <w:r w:rsidRPr="00454403">
        <w:rPr>
          <w:lang w:val="fr-CA"/>
        </w:rPr>
        <w:t xml:space="preserve">: émergence d’une figure nouvelle et durable du foncier autochtone?” </w:t>
      </w:r>
      <w:r w:rsidRPr="00454403">
        <w:rPr>
          <w:lang w:val="en-US"/>
        </w:rPr>
        <w:t xml:space="preserve">(2005), 46 </w:t>
      </w:r>
      <w:r w:rsidR="00A51CD1" w:rsidRPr="00454403">
        <w:rPr>
          <w:i/>
          <w:lang w:val="en-US"/>
        </w:rPr>
        <w:t xml:space="preserve">C. </w:t>
      </w:r>
      <w:r w:rsidRPr="00454403">
        <w:rPr>
          <w:i/>
          <w:lang w:val="en-US"/>
        </w:rPr>
        <w:t>de</w:t>
      </w:r>
      <w:r w:rsidRPr="00454403">
        <w:rPr>
          <w:lang w:val="en-US"/>
        </w:rPr>
        <w:t xml:space="preserve"> </w:t>
      </w:r>
      <w:r w:rsidRPr="00454403">
        <w:rPr>
          <w:i/>
          <w:lang w:val="en-US"/>
        </w:rPr>
        <w:t>D.</w:t>
      </w:r>
      <w:r w:rsidRPr="00454403">
        <w:rPr>
          <w:lang w:val="en-US"/>
        </w:rPr>
        <w:t xml:space="preserve"> 795.</w:t>
      </w:r>
    </w:p>
    <w:p w:rsidR="00725748" w:rsidRPr="00454403" w:rsidRDefault="00725748" w:rsidP="00BA2558">
      <w:pPr>
        <w:pStyle w:val="SCCNormalDoubleSpacing"/>
        <w:spacing w:after="240" w:line="240" w:lineRule="auto"/>
        <w:ind w:left="544" w:hanging="544"/>
        <w:rPr>
          <w:lang w:val="en-GB"/>
        </w:rPr>
      </w:pPr>
      <w:proofErr w:type="spellStart"/>
      <w:r w:rsidRPr="00454403">
        <w:rPr>
          <w:lang w:val="en-GB"/>
        </w:rPr>
        <w:t>Romanow</w:t>
      </w:r>
      <w:proofErr w:type="spellEnd"/>
      <w:r w:rsidRPr="00454403">
        <w:rPr>
          <w:lang w:val="en-GB"/>
        </w:rPr>
        <w:t>, R</w:t>
      </w:r>
      <w:r w:rsidR="007D242A" w:rsidRPr="00454403">
        <w:rPr>
          <w:lang w:val="en-GB"/>
        </w:rPr>
        <w:t>oy</w:t>
      </w:r>
      <w:r w:rsidRPr="00454403">
        <w:rPr>
          <w:lang w:val="en-GB"/>
        </w:rPr>
        <w:t xml:space="preserve">. “Aboriginal </w:t>
      </w:r>
      <w:r w:rsidRPr="00454403">
        <w:rPr>
          <w:szCs w:val="24"/>
          <w:lang w:val="en-US"/>
        </w:rPr>
        <w:t>Rights</w:t>
      </w:r>
      <w:r w:rsidRPr="00454403">
        <w:rPr>
          <w:lang w:val="en-GB"/>
        </w:rPr>
        <w:t xml:space="preserve"> in the Constitutional Process”, in Menno </w:t>
      </w:r>
      <w:proofErr w:type="spellStart"/>
      <w:r w:rsidRPr="00454403">
        <w:rPr>
          <w:lang w:val="en-GB"/>
        </w:rPr>
        <w:t>Boldt</w:t>
      </w:r>
      <w:proofErr w:type="spellEnd"/>
      <w:r w:rsidRPr="00454403">
        <w:rPr>
          <w:lang w:val="en-GB"/>
        </w:rPr>
        <w:t xml:space="preserve"> and J. Anthony Long, eds., in association with Leroy Little Bear, </w:t>
      </w:r>
      <w:r w:rsidRPr="00454403">
        <w:rPr>
          <w:i/>
          <w:lang w:val="en-GB"/>
        </w:rPr>
        <w:t>The Quest for Justice: Aboriginal Peoples and Aboriginal Rights</w:t>
      </w:r>
      <w:r w:rsidRPr="00454403">
        <w:rPr>
          <w:lang w:val="en-GB"/>
        </w:rPr>
        <w:t>. Toronto: University of Toronto Press, 1985, 73.</w:t>
      </w:r>
    </w:p>
    <w:p w:rsidR="00725748" w:rsidRPr="00454403" w:rsidRDefault="00580A63" w:rsidP="00BA2558">
      <w:pPr>
        <w:pStyle w:val="SCCNormalDoubleSpacing"/>
        <w:spacing w:after="240" w:line="240" w:lineRule="auto"/>
        <w:ind w:left="544" w:hanging="544"/>
        <w:rPr>
          <w:lang w:val="en-GB"/>
        </w:rPr>
      </w:pPr>
      <w:r w:rsidRPr="00454403">
        <w:rPr>
          <w:lang w:val="en-GB"/>
        </w:rPr>
        <w:t>Slattery, Brian.</w:t>
      </w:r>
      <w:r w:rsidR="00725748" w:rsidRPr="00454403">
        <w:rPr>
          <w:lang w:val="en-GB"/>
        </w:rPr>
        <w:t xml:space="preserve"> “Aboriginal </w:t>
      </w:r>
      <w:r w:rsidR="00725748" w:rsidRPr="00454403">
        <w:rPr>
          <w:szCs w:val="24"/>
          <w:lang w:val="en-US"/>
        </w:rPr>
        <w:t>Rights</w:t>
      </w:r>
      <w:r w:rsidR="00725748" w:rsidRPr="00454403">
        <w:rPr>
          <w:lang w:val="en-GB"/>
        </w:rPr>
        <w:t xml:space="preserve"> and the Honour of the Crown” (2005), 29 </w:t>
      </w:r>
      <w:proofErr w:type="spellStart"/>
      <w:r w:rsidR="00725748" w:rsidRPr="00454403">
        <w:rPr>
          <w:i/>
          <w:lang w:val="en-GB"/>
        </w:rPr>
        <w:t>S.C.L.R</w:t>
      </w:r>
      <w:proofErr w:type="spellEnd"/>
      <w:r w:rsidR="00725748" w:rsidRPr="00454403">
        <w:rPr>
          <w:i/>
          <w:lang w:val="en-GB"/>
        </w:rPr>
        <w:t>.</w:t>
      </w:r>
      <w:r w:rsidR="00266E89" w:rsidRPr="00454403">
        <w:rPr>
          <w:i/>
          <w:lang w:val="en-GB"/>
        </w:rPr>
        <w:t xml:space="preserve"> </w:t>
      </w:r>
      <w:r w:rsidR="00266E89" w:rsidRPr="00454403">
        <w:rPr>
          <w:lang w:val="en-GB"/>
        </w:rPr>
        <w:t>(</w:t>
      </w:r>
      <w:proofErr w:type="spellStart"/>
      <w:r w:rsidR="00266E89" w:rsidRPr="00454403">
        <w:rPr>
          <w:lang w:val="en-GB"/>
        </w:rPr>
        <w:t>2d</w:t>
      </w:r>
      <w:proofErr w:type="spellEnd"/>
      <w:r w:rsidR="00266E89" w:rsidRPr="00454403">
        <w:rPr>
          <w:lang w:val="en-GB"/>
        </w:rPr>
        <w:t>)</w:t>
      </w:r>
      <w:r w:rsidR="00725748" w:rsidRPr="00454403">
        <w:rPr>
          <w:lang w:val="en-GB"/>
        </w:rPr>
        <w:t xml:space="preserve"> 434.</w:t>
      </w:r>
    </w:p>
    <w:p w:rsidR="00725748" w:rsidRPr="00454403" w:rsidRDefault="00725748" w:rsidP="00BA2558">
      <w:pPr>
        <w:pStyle w:val="SCCNormalDoubleSpacing"/>
        <w:spacing w:after="240" w:line="240" w:lineRule="auto"/>
        <w:ind w:left="544" w:hanging="544"/>
        <w:rPr>
          <w:rStyle w:val="solexhl"/>
        </w:rPr>
      </w:pPr>
      <w:r w:rsidRPr="00454403">
        <w:rPr>
          <w:i/>
          <w:iCs/>
        </w:rPr>
        <w:lastRenderedPageBreak/>
        <w:t>Stroud’s Judicial Dictionary of Words and Phrases</w:t>
      </w:r>
      <w:r w:rsidRPr="00454403">
        <w:t xml:space="preserve">, </w:t>
      </w:r>
      <w:r w:rsidR="00EB7398" w:rsidRPr="00454403">
        <w:t>vol. </w:t>
      </w:r>
      <w:r w:rsidRPr="00454403">
        <w:t xml:space="preserve">2, </w:t>
      </w:r>
      <w:r w:rsidRPr="00454403">
        <w:rPr>
          <w:i/>
        </w:rPr>
        <w:t>F</w:t>
      </w:r>
      <w:r w:rsidR="00EB7398" w:rsidRPr="00454403">
        <w:rPr>
          <w:i/>
        </w:rPr>
        <w:noBreakHyphen/>
      </w:r>
      <w:r w:rsidRPr="00454403">
        <w:rPr>
          <w:i/>
        </w:rPr>
        <w:t>O</w:t>
      </w:r>
      <w:r w:rsidRPr="00454403">
        <w:t>,</w:t>
      </w:r>
      <w:r w:rsidR="002E5A29" w:rsidRPr="00454403">
        <w:t xml:space="preserve"> 10th ed. by Daniel Greenberg.</w:t>
      </w:r>
      <w:r w:rsidRPr="00454403">
        <w:t xml:space="preserve"> London: </w:t>
      </w:r>
      <w:r w:rsidRPr="00454403">
        <w:rPr>
          <w:szCs w:val="24"/>
          <w:lang w:val="en-US"/>
        </w:rPr>
        <w:t>Thomson</w:t>
      </w:r>
      <w:r w:rsidRPr="00454403">
        <w:t xml:space="preserve"> Reuters, 2020, “of”. </w:t>
      </w:r>
    </w:p>
    <w:p w:rsidR="00725748" w:rsidRPr="00454403" w:rsidRDefault="00725748" w:rsidP="00BA2558">
      <w:pPr>
        <w:pStyle w:val="SCCNormalDoubleSpacing"/>
        <w:spacing w:after="240" w:line="240" w:lineRule="auto"/>
        <w:ind w:left="544" w:hanging="544"/>
        <w:rPr>
          <w:lang w:val="en-GB"/>
        </w:rPr>
      </w:pPr>
      <w:r w:rsidRPr="00454403">
        <w:rPr>
          <w:rStyle w:val="solexhl"/>
        </w:rPr>
        <w:t>Sullivan</w:t>
      </w:r>
      <w:r w:rsidR="001647E8" w:rsidRPr="00454403">
        <w:t xml:space="preserve">, </w:t>
      </w:r>
      <w:r w:rsidRPr="00454403">
        <w:rPr>
          <w:rStyle w:val="solexhl"/>
        </w:rPr>
        <w:t>Ruth</w:t>
      </w:r>
      <w:r w:rsidR="001647E8" w:rsidRPr="00454403">
        <w:t xml:space="preserve">. </w:t>
      </w:r>
      <w:r w:rsidRPr="00454403">
        <w:rPr>
          <w:rStyle w:val="solexhl"/>
          <w:i/>
          <w:iCs/>
        </w:rPr>
        <w:t>Statutory</w:t>
      </w:r>
      <w:r w:rsidR="001647E8" w:rsidRPr="00454403">
        <w:rPr>
          <w:i/>
          <w:iCs/>
        </w:rPr>
        <w:t xml:space="preserve"> </w:t>
      </w:r>
      <w:r w:rsidRPr="00454403">
        <w:rPr>
          <w:rStyle w:val="solexhl"/>
          <w:i/>
          <w:iCs/>
        </w:rPr>
        <w:t>Interpretation</w:t>
      </w:r>
      <w:r w:rsidRPr="00454403">
        <w:t xml:space="preserve">, 3rd ed. </w:t>
      </w:r>
      <w:r w:rsidRPr="00454403">
        <w:rPr>
          <w:szCs w:val="24"/>
          <w:lang w:val="en-US"/>
        </w:rPr>
        <w:t>Toronto</w:t>
      </w:r>
      <w:r w:rsidRPr="00454403">
        <w:t>: Irwin Law, 2016.</w:t>
      </w:r>
    </w:p>
    <w:p w:rsidR="00725748" w:rsidRPr="00454403" w:rsidRDefault="001647E8" w:rsidP="00BA2558">
      <w:pPr>
        <w:pStyle w:val="SCCNormalDoubleSpacing"/>
        <w:spacing w:after="240" w:line="240" w:lineRule="auto"/>
        <w:ind w:left="544" w:hanging="544"/>
      </w:pPr>
      <w:r w:rsidRPr="00454403">
        <w:t xml:space="preserve">Sullivan, Ruth. </w:t>
      </w:r>
      <w:r w:rsidRPr="00454403">
        <w:rPr>
          <w:i/>
          <w:iCs/>
        </w:rPr>
        <w:t xml:space="preserve">Sullivan </w:t>
      </w:r>
      <w:r w:rsidR="00725748" w:rsidRPr="00454403">
        <w:rPr>
          <w:i/>
          <w:iCs/>
        </w:rPr>
        <w:t>on the Construction of Statutes</w:t>
      </w:r>
      <w:r w:rsidRPr="00454403">
        <w:t>, 6</w:t>
      </w:r>
      <w:r w:rsidR="00725748" w:rsidRPr="00454403">
        <w:t xml:space="preserve">th ed. </w:t>
      </w:r>
      <w:r w:rsidR="00725748" w:rsidRPr="00454403">
        <w:rPr>
          <w:szCs w:val="24"/>
          <w:lang w:val="en-US"/>
        </w:rPr>
        <w:t>Markham</w:t>
      </w:r>
      <w:r w:rsidR="00725748" w:rsidRPr="00454403">
        <w:t>, Ont.: LexisNe</w:t>
      </w:r>
      <w:r w:rsidRPr="00454403">
        <w:t>xis, 2014</w:t>
      </w:r>
      <w:r w:rsidR="00725748" w:rsidRPr="00454403">
        <w:t>.</w:t>
      </w:r>
    </w:p>
    <w:p w:rsidR="00A149DF" w:rsidRPr="00454403" w:rsidRDefault="00725748" w:rsidP="00BA2558">
      <w:pPr>
        <w:pStyle w:val="SCCNormalDoubleSpacing"/>
        <w:spacing w:after="720" w:line="240" w:lineRule="auto"/>
        <w:ind w:left="544" w:hanging="544"/>
        <w:rPr>
          <w:lang w:val="en-GB"/>
        </w:rPr>
      </w:pPr>
      <w:r w:rsidRPr="00454403">
        <w:rPr>
          <w:lang w:val="en-GB"/>
        </w:rPr>
        <w:t>Walters, Mark</w:t>
      </w:r>
      <w:r w:rsidR="009B0E16" w:rsidRPr="00454403">
        <w:rPr>
          <w:lang w:val="en-GB"/>
        </w:rPr>
        <w:t> </w:t>
      </w:r>
      <w:r w:rsidR="00580A63" w:rsidRPr="00454403">
        <w:rPr>
          <w:lang w:val="en-GB"/>
        </w:rPr>
        <w:t>D.</w:t>
      </w:r>
      <w:r w:rsidRPr="00454403">
        <w:rPr>
          <w:lang w:val="en-GB"/>
        </w:rPr>
        <w:t xml:space="preserve"> “</w:t>
      </w:r>
      <w:r w:rsidRPr="00454403">
        <w:rPr>
          <w:lang w:val="en-GB" w:bidi="en-US"/>
        </w:rPr>
        <w:t xml:space="preserve">The ‘Golden Thread’ of Continuity: Aboriginal Customs at Common Law and </w:t>
      </w:r>
      <w:r w:rsidRPr="00454403">
        <w:rPr>
          <w:szCs w:val="24"/>
          <w:lang w:val="en-US"/>
        </w:rPr>
        <w:t>Under</w:t>
      </w:r>
      <w:r w:rsidRPr="00454403">
        <w:rPr>
          <w:lang w:val="en-GB" w:bidi="en-US"/>
        </w:rPr>
        <w:t xml:space="preserve"> the </w:t>
      </w:r>
      <w:r w:rsidRPr="00454403">
        <w:rPr>
          <w:i/>
          <w:lang w:val="en-GB" w:bidi="en-US"/>
        </w:rPr>
        <w:t>Constitution Act, 1982</w:t>
      </w:r>
      <w:r w:rsidRPr="00454403">
        <w:rPr>
          <w:lang w:val="en-GB" w:bidi="en-US"/>
        </w:rPr>
        <w:t xml:space="preserve">” (1999), 44 </w:t>
      </w:r>
      <w:r w:rsidRPr="00454403">
        <w:rPr>
          <w:i/>
          <w:lang w:val="en-GB" w:bidi="en-US"/>
        </w:rPr>
        <w:t xml:space="preserve">McGill </w:t>
      </w:r>
      <w:proofErr w:type="spellStart"/>
      <w:r w:rsidRPr="00454403">
        <w:rPr>
          <w:i/>
          <w:lang w:val="en-GB" w:bidi="en-US"/>
        </w:rPr>
        <w:t>L.J</w:t>
      </w:r>
      <w:proofErr w:type="spellEnd"/>
      <w:r w:rsidRPr="00454403">
        <w:rPr>
          <w:lang w:val="en-GB" w:bidi="en-US"/>
        </w:rPr>
        <w:t>. 711</w:t>
      </w:r>
      <w:r w:rsidRPr="00454403">
        <w:rPr>
          <w:lang w:val="en-GB"/>
        </w:rPr>
        <w:t>.</w:t>
      </w:r>
    </w:p>
    <w:p w:rsidR="00656313" w:rsidRDefault="009B57B3" w:rsidP="00AB373A">
      <w:pPr>
        <w:pStyle w:val="SCCNormalDoubleSpacing"/>
        <w:spacing w:before="240" w:after="480"/>
      </w:pPr>
      <w:r w:rsidRPr="00454403">
        <w:tab/>
        <w:t xml:space="preserve">APPEAL from a judgment of the </w:t>
      </w:r>
      <w:r w:rsidR="00210C95" w:rsidRPr="00454403">
        <w:t xml:space="preserve">British Columbia </w:t>
      </w:r>
      <w:r w:rsidRPr="00454403">
        <w:t>Court of Appeal (</w:t>
      </w:r>
      <w:r w:rsidR="00210C95" w:rsidRPr="00454403">
        <w:t xml:space="preserve">Smith, </w:t>
      </w:r>
      <w:proofErr w:type="spellStart"/>
      <w:r w:rsidR="00210C95" w:rsidRPr="00454403">
        <w:t>Willcock</w:t>
      </w:r>
      <w:proofErr w:type="spellEnd"/>
      <w:r w:rsidR="00210C95" w:rsidRPr="00454403">
        <w:t xml:space="preserve"> and Fitch </w:t>
      </w:r>
      <w:proofErr w:type="spellStart"/>
      <w:r w:rsidR="00210C95" w:rsidRPr="00454403">
        <w:t>JJ.A</w:t>
      </w:r>
      <w:proofErr w:type="spellEnd"/>
      <w:r w:rsidR="00210C95" w:rsidRPr="00454403">
        <w:t>.)</w:t>
      </w:r>
      <w:r w:rsidR="00A67F02">
        <w:t>,</w:t>
      </w:r>
      <w:r w:rsidR="00210C95" w:rsidRPr="00454403">
        <w:t xml:space="preserve"> 2019 </w:t>
      </w:r>
      <w:proofErr w:type="spellStart"/>
      <w:r w:rsidR="00210C95" w:rsidRPr="00454403">
        <w:t>BCCA</w:t>
      </w:r>
      <w:proofErr w:type="spellEnd"/>
      <w:r w:rsidR="00210C95" w:rsidRPr="00454403">
        <w:t xml:space="preserve"> 151, [2020] 2 </w:t>
      </w:r>
      <w:proofErr w:type="spellStart"/>
      <w:r w:rsidR="00210C95" w:rsidRPr="00454403">
        <w:t>W.W.R</w:t>
      </w:r>
      <w:proofErr w:type="spellEnd"/>
      <w:r w:rsidR="00210C95" w:rsidRPr="00454403">
        <w:t xml:space="preserve">. 191, [2019] 4 </w:t>
      </w:r>
      <w:proofErr w:type="spellStart"/>
      <w:r w:rsidR="00210C95" w:rsidRPr="00454403">
        <w:t>C.N.L.R</w:t>
      </w:r>
      <w:proofErr w:type="spellEnd"/>
      <w:r w:rsidR="00210C95" w:rsidRPr="00454403">
        <w:t xml:space="preserve">. 217, 24 </w:t>
      </w:r>
      <w:proofErr w:type="spellStart"/>
      <w:r w:rsidR="00210C95" w:rsidRPr="00454403">
        <w:t>B.C.L.R</w:t>
      </w:r>
      <w:proofErr w:type="spellEnd"/>
      <w:r w:rsidR="00210C95" w:rsidRPr="00454403">
        <w:t xml:space="preserve">. (6th) 48, 433 </w:t>
      </w:r>
      <w:proofErr w:type="spellStart"/>
      <w:r w:rsidR="00210C95" w:rsidRPr="00454403">
        <w:t>D.L.R</w:t>
      </w:r>
      <w:proofErr w:type="spellEnd"/>
      <w:r w:rsidR="00210C95" w:rsidRPr="00454403">
        <w:t xml:space="preserve">. (4th) 544, [2019] </w:t>
      </w:r>
      <w:proofErr w:type="spellStart"/>
      <w:r w:rsidR="00210C95" w:rsidRPr="00454403">
        <w:t>B.C.J</w:t>
      </w:r>
      <w:proofErr w:type="spellEnd"/>
      <w:r w:rsidR="00210C95" w:rsidRPr="00454403">
        <w:t xml:space="preserve">. </w:t>
      </w:r>
      <w:r w:rsidR="00EB7398" w:rsidRPr="00454403">
        <w:t>No. </w:t>
      </w:r>
      <w:r w:rsidR="00210C95" w:rsidRPr="00454403">
        <w:t>755 (</w:t>
      </w:r>
      <w:proofErr w:type="spellStart"/>
      <w:r w:rsidR="00210C95" w:rsidRPr="00454403">
        <w:t>QL</w:t>
      </w:r>
      <w:proofErr w:type="spellEnd"/>
      <w:r w:rsidR="00210C95" w:rsidRPr="00454403">
        <w:t xml:space="preserve">), 2019 </w:t>
      </w:r>
      <w:proofErr w:type="spellStart"/>
      <w:r w:rsidR="00210C95" w:rsidRPr="00454403">
        <w:t>CarswellBC</w:t>
      </w:r>
      <w:proofErr w:type="spellEnd"/>
      <w:r w:rsidR="00210C95" w:rsidRPr="00454403">
        <w:t xml:space="preserve"> 1146 (WL Can.),</w:t>
      </w:r>
      <w:r w:rsidR="00EC7B61" w:rsidRPr="00454403">
        <w:t xml:space="preserve"> affirming a decision of Sewell J., 2017 </w:t>
      </w:r>
      <w:proofErr w:type="spellStart"/>
      <w:r w:rsidR="00EC7B61" w:rsidRPr="00454403">
        <w:t>BCSC</w:t>
      </w:r>
      <w:proofErr w:type="spellEnd"/>
      <w:r w:rsidR="00EC7B61" w:rsidRPr="00454403">
        <w:t xml:space="preserve"> 2389, [2018] 1 </w:t>
      </w:r>
      <w:proofErr w:type="spellStart"/>
      <w:r w:rsidR="00EC7B61" w:rsidRPr="00454403">
        <w:t>C.N.L.R</w:t>
      </w:r>
      <w:proofErr w:type="spellEnd"/>
      <w:r w:rsidR="00EC7B61" w:rsidRPr="00454403">
        <w:t xml:space="preserve">. 135, [2017] </w:t>
      </w:r>
      <w:proofErr w:type="spellStart"/>
      <w:r w:rsidR="00EC7B61" w:rsidRPr="00454403">
        <w:t>B.C.J</w:t>
      </w:r>
      <w:proofErr w:type="spellEnd"/>
      <w:r w:rsidR="00EC7B61" w:rsidRPr="00454403">
        <w:t xml:space="preserve">. </w:t>
      </w:r>
      <w:r w:rsidR="00EB7398" w:rsidRPr="00454403">
        <w:t>No. </w:t>
      </w:r>
      <w:r w:rsidR="00EC7B61" w:rsidRPr="00454403">
        <w:t>2665 (</w:t>
      </w:r>
      <w:proofErr w:type="spellStart"/>
      <w:r w:rsidR="00EC7B61" w:rsidRPr="00454403">
        <w:t>QL</w:t>
      </w:r>
      <w:proofErr w:type="spellEnd"/>
      <w:r w:rsidR="00EC7B61" w:rsidRPr="00454403">
        <w:t xml:space="preserve">), 2017 </w:t>
      </w:r>
      <w:proofErr w:type="spellStart"/>
      <w:r w:rsidR="00EC7B61" w:rsidRPr="00454403">
        <w:t>CarswelBC</w:t>
      </w:r>
      <w:proofErr w:type="spellEnd"/>
      <w:r w:rsidR="00EC7B61" w:rsidRPr="00454403">
        <w:t xml:space="preserve"> 3648 (WL Can.), affirming the acquittal</w:t>
      </w:r>
      <w:r w:rsidR="00F46CEA" w:rsidRPr="00454403">
        <w:t>s</w:t>
      </w:r>
      <w:r w:rsidR="00EC7B61" w:rsidRPr="00454403">
        <w:t xml:space="preserve"> entered by </w:t>
      </w:r>
      <w:proofErr w:type="spellStart"/>
      <w:r w:rsidR="00EC7B61" w:rsidRPr="00454403">
        <w:t>Mrozinski</w:t>
      </w:r>
      <w:proofErr w:type="spellEnd"/>
      <w:r w:rsidR="00EC7B61" w:rsidRPr="00454403">
        <w:t xml:space="preserve"> Prov. Ct. J., 2017 </w:t>
      </w:r>
      <w:proofErr w:type="spellStart"/>
      <w:r w:rsidR="00EC7B61" w:rsidRPr="00454403">
        <w:t>BCPC</w:t>
      </w:r>
      <w:proofErr w:type="spellEnd"/>
      <w:r w:rsidR="00EC7B61" w:rsidRPr="00454403">
        <w:t xml:space="preserve"> 84</w:t>
      </w:r>
      <w:r w:rsidR="005203CE" w:rsidRPr="00454403">
        <w:t xml:space="preserve">, [2018] 1 </w:t>
      </w:r>
      <w:proofErr w:type="spellStart"/>
      <w:r w:rsidR="005203CE" w:rsidRPr="00454403">
        <w:t>C.N.L.R</w:t>
      </w:r>
      <w:proofErr w:type="spellEnd"/>
      <w:r w:rsidR="005203CE" w:rsidRPr="00454403">
        <w:t xml:space="preserve">. 97, [2017] </w:t>
      </w:r>
      <w:proofErr w:type="spellStart"/>
      <w:r w:rsidR="005203CE" w:rsidRPr="00454403">
        <w:t>B.C.J</w:t>
      </w:r>
      <w:proofErr w:type="spellEnd"/>
      <w:r w:rsidR="005203CE" w:rsidRPr="00454403">
        <w:t xml:space="preserve">. </w:t>
      </w:r>
      <w:r w:rsidR="00EB7398" w:rsidRPr="00454403">
        <w:t>No. </w:t>
      </w:r>
      <w:r w:rsidR="005203CE" w:rsidRPr="00454403">
        <w:t>558 (</w:t>
      </w:r>
      <w:proofErr w:type="spellStart"/>
      <w:r w:rsidR="005203CE" w:rsidRPr="00454403">
        <w:t>QL</w:t>
      </w:r>
      <w:proofErr w:type="spellEnd"/>
      <w:r w:rsidR="005203CE" w:rsidRPr="00454403">
        <w:t xml:space="preserve">), 2017 </w:t>
      </w:r>
      <w:proofErr w:type="spellStart"/>
      <w:r w:rsidR="005203CE" w:rsidRPr="00454403">
        <w:t>CarswellBC</w:t>
      </w:r>
      <w:proofErr w:type="spellEnd"/>
      <w:r w:rsidR="005203CE" w:rsidRPr="00454403">
        <w:t xml:space="preserve"> 769 (WL Can.). Appeal</w:t>
      </w:r>
      <w:r w:rsidR="00A67F02">
        <w:t xml:space="preserve"> dismissed, </w:t>
      </w:r>
      <w:proofErr w:type="spellStart"/>
      <w:r w:rsidR="00A67F02">
        <w:t>Moldaver</w:t>
      </w:r>
      <w:proofErr w:type="spellEnd"/>
      <w:r w:rsidR="00A67F02">
        <w:t xml:space="preserve"> and Côté </w:t>
      </w:r>
      <w:proofErr w:type="spellStart"/>
      <w:r w:rsidR="00A67F02">
        <w:t>JJ</w:t>
      </w:r>
      <w:proofErr w:type="spellEnd"/>
      <w:r w:rsidR="00A67F02">
        <w:t xml:space="preserve">. </w:t>
      </w:r>
      <w:proofErr w:type="gramStart"/>
      <w:r w:rsidR="00A67F02">
        <w:t>dissenting</w:t>
      </w:r>
      <w:proofErr w:type="gramEnd"/>
      <w:r w:rsidR="00A67F02">
        <w:t>.</w:t>
      </w:r>
    </w:p>
    <w:p w:rsidR="00820901" w:rsidRPr="00454403" w:rsidRDefault="00853569" w:rsidP="00AB373A">
      <w:pPr>
        <w:pStyle w:val="SCCNormalDoubleSpacing"/>
        <w:spacing w:after="480"/>
      </w:pPr>
      <w:r w:rsidRPr="00454403">
        <w:rPr>
          <w:rStyle w:val="SCCCounselNameChar"/>
        </w:rPr>
        <w:tab/>
        <w:t>Glen</w:t>
      </w:r>
      <w:r w:rsidR="00F90E64" w:rsidRPr="00454403">
        <w:rPr>
          <w:rStyle w:val="SCCCounselNameChar"/>
        </w:rPr>
        <w:t> </w:t>
      </w:r>
      <w:r w:rsidR="00E775F5" w:rsidRPr="00454403">
        <w:rPr>
          <w:rStyle w:val="SCCCounselNameChar"/>
        </w:rPr>
        <w:t>R.</w:t>
      </w:r>
      <w:r w:rsidRPr="00454403">
        <w:rPr>
          <w:rStyle w:val="SCCCounselNameChar"/>
        </w:rPr>
        <w:t xml:space="preserve"> </w:t>
      </w:r>
      <w:r w:rsidR="00FC68D5" w:rsidRPr="00454403">
        <w:rPr>
          <w:rStyle w:val="SCCCounselNameChar"/>
        </w:rPr>
        <w:t>Thompson</w:t>
      </w:r>
      <w:r w:rsidR="00FC68D5" w:rsidRPr="00454403">
        <w:rPr>
          <w:rStyle w:val="SCCCounselSeparatorChar"/>
        </w:rPr>
        <w:t xml:space="preserve"> and </w:t>
      </w:r>
      <w:r w:rsidR="00FC68D5" w:rsidRPr="00454403">
        <w:rPr>
          <w:rStyle w:val="SCCCounselNameChar"/>
        </w:rPr>
        <w:t>Heather Cochran</w:t>
      </w:r>
      <w:r w:rsidR="00FC68D5" w:rsidRPr="00454403">
        <w:rPr>
          <w:rStyle w:val="SCCCounselPartyRoleChar"/>
        </w:rPr>
        <w:t>, for the appellant.</w:t>
      </w:r>
    </w:p>
    <w:p w:rsidR="00820901" w:rsidRPr="00454403" w:rsidRDefault="00F90E64" w:rsidP="00AB373A">
      <w:pPr>
        <w:pStyle w:val="SCCNormalDoubleSpacing"/>
        <w:spacing w:after="480"/>
        <w:rPr>
          <w:rStyle w:val="SCCCounselPartyRoleChar"/>
        </w:rPr>
      </w:pPr>
      <w:r w:rsidRPr="00454403">
        <w:rPr>
          <w:rStyle w:val="SCCCounselNameChar"/>
        </w:rPr>
        <w:tab/>
        <w:t>Mark </w:t>
      </w:r>
      <w:r w:rsidR="00FC68D5" w:rsidRPr="00454403">
        <w:rPr>
          <w:rStyle w:val="SCCCounselNameChar"/>
        </w:rPr>
        <w:t>G. Underhill</w:t>
      </w:r>
      <w:r w:rsidR="00FC68D5" w:rsidRPr="00454403">
        <w:rPr>
          <w:rStyle w:val="SCCCounselSeparatorChar"/>
        </w:rPr>
        <w:t xml:space="preserve"> and </w:t>
      </w:r>
      <w:r w:rsidR="00FC68D5" w:rsidRPr="00454403">
        <w:rPr>
          <w:rStyle w:val="SCCCounselNameChar"/>
        </w:rPr>
        <w:t>Kate R. Phipps</w:t>
      </w:r>
      <w:r w:rsidR="00FC68D5" w:rsidRPr="00454403">
        <w:rPr>
          <w:rStyle w:val="SCCCounselPartyRoleChar"/>
        </w:rPr>
        <w:t>, for the respondent.</w:t>
      </w:r>
    </w:p>
    <w:p w:rsidR="00483043" w:rsidRPr="00454403" w:rsidRDefault="00483043" w:rsidP="00AB373A">
      <w:pPr>
        <w:pStyle w:val="SCCNormalDoubleSpacing"/>
        <w:spacing w:after="480"/>
      </w:pPr>
      <w:r w:rsidRPr="00454403">
        <w:rPr>
          <w:rStyle w:val="SCCCounselNameChar"/>
        </w:rPr>
        <w:tab/>
        <w:t>Christopher Rupar</w:t>
      </w:r>
      <w:r w:rsidRPr="00454403">
        <w:rPr>
          <w:rStyle w:val="SCCCounselPartyRoleChar"/>
        </w:rPr>
        <w:t xml:space="preserve">, for the intervener </w:t>
      </w:r>
      <w:r w:rsidR="00BE362D" w:rsidRPr="00454403">
        <w:rPr>
          <w:rStyle w:val="SCCCounselPartyRoleChar"/>
        </w:rPr>
        <w:t xml:space="preserve">the </w:t>
      </w:r>
      <w:r w:rsidRPr="00454403">
        <w:rPr>
          <w:rStyle w:val="SCCCounselPartyRoleChar"/>
        </w:rPr>
        <w:t>Attorney General of Canada.</w:t>
      </w:r>
    </w:p>
    <w:p w:rsidR="00483043" w:rsidRPr="00454403" w:rsidRDefault="00483043" w:rsidP="00AB373A">
      <w:pPr>
        <w:pStyle w:val="SCCNormalDoubleSpacing"/>
        <w:spacing w:after="480"/>
      </w:pPr>
      <w:r w:rsidRPr="00454403">
        <w:rPr>
          <w:rStyle w:val="SCCCounselNameChar"/>
        </w:rPr>
        <w:tab/>
      </w:r>
      <w:proofErr w:type="spellStart"/>
      <w:r w:rsidRPr="00454403">
        <w:rPr>
          <w:rStyle w:val="SCCCounselNameChar"/>
        </w:rPr>
        <w:t>Manizeh</w:t>
      </w:r>
      <w:proofErr w:type="spellEnd"/>
      <w:r w:rsidRPr="00454403">
        <w:rPr>
          <w:rStyle w:val="SCCCounselNameChar"/>
        </w:rPr>
        <w:t xml:space="preserve"> Fancy</w:t>
      </w:r>
      <w:r w:rsidRPr="00454403">
        <w:rPr>
          <w:rStyle w:val="SCCCounselPartyRoleChar"/>
        </w:rPr>
        <w:t>, for the intervener</w:t>
      </w:r>
      <w:r w:rsidR="00BE362D" w:rsidRPr="00454403">
        <w:rPr>
          <w:rStyle w:val="SCCCounselPartyRoleChar"/>
        </w:rPr>
        <w:t xml:space="preserve"> the</w:t>
      </w:r>
      <w:r w:rsidRPr="00454403">
        <w:rPr>
          <w:rStyle w:val="SCCCounselPartyRoleChar"/>
        </w:rPr>
        <w:t xml:space="preserve"> Attorney General of Ontario.</w:t>
      </w:r>
    </w:p>
    <w:p w:rsidR="00483043" w:rsidRPr="00454403" w:rsidRDefault="00483043" w:rsidP="00AB373A">
      <w:pPr>
        <w:pStyle w:val="SCCNormalDoubleSpacing"/>
        <w:spacing w:after="480"/>
      </w:pPr>
      <w:r w:rsidRPr="00454403">
        <w:rPr>
          <w:rStyle w:val="SCCCounselNameChar"/>
        </w:rPr>
        <w:tab/>
        <w:t xml:space="preserve">Tania </w:t>
      </w:r>
      <w:proofErr w:type="spellStart"/>
      <w:r w:rsidRPr="00454403">
        <w:rPr>
          <w:rStyle w:val="SCCCounselNameChar"/>
        </w:rPr>
        <w:t>Clercq</w:t>
      </w:r>
      <w:proofErr w:type="spellEnd"/>
      <w:r w:rsidRPr="00454403">
        <w:rPr>
          <w:rStyle w:val="SCCCounselPartyRoleChar"/>
        </w:rPr>
        <w:t xml:space="preserve">, for the intervener </w:t>
      </w:r>
      <w:r w:rsidR="00BE362D" w:rsidRPr="00454403">
        <w:rPr>
          <w:rStyle w:val="SCCCounselPartyRoleChar"/>
        </w:rPr>
        <w:t xml:space="preserve">the </w:t>
      </w:r>
      <w:r w:rsidRPr="00454403">
        <w:rPr>
          <w:rStyle w:val="SCCCounselPartyRoleChar"/>
        </w:rPr>
        <w:t>Attorney General of Quebec.</w:t>
      </w:r>
    </w:p>
    <w:p w:rsidR="00483043" w:rsidRPr="00454403" w:rsidRDefault="00483043" w:rsidP="00AB373A">
      <w:pPr>
        <w:pStyle w:val="SCCNormalDoubleSpacing"/>
        <w:spacing w:after="480"/>
      </w:pPr>
      <w:r w:rsidRPr="00454403">
        <w:rPr>
          <w:rStyle w:val="SCCCounselNameChar"/>
        </w:rPr>
        <w:lastRenderedPageBreak/>
        <w:tab/>
        <w:t>Rachelle Standing</w:t>
      </w:r>
      <w:r w:rsidRPr="00454403">
        <w:rPr>
          <w:rStyle w:val="SCCCounselPartyRoleChar"/>
        </w:rPr>
        <w:t xml:space="preserve">, for the intervener </w:t>
      </w:r>
      <w:r w:rsidR="00BC2A8F" w:rsidRPr="00454403">
        <w:rPr>
          <w:rStyle w:val="SCCCounselPartyRoleChar"/>
        </w:rPr>
        <w:t xml:space="preserve">the </w:t>
      </w:r>
      <w:r w:rsidRPr="00454403">
        <w:rPr>
          <w:rStyle w:val="SCCCounselPartyRoleChar"/>
        </w:rPr>
        <w:t>Attorney General of New Brunswick.</w:t>
      </w:r>
    </w:p>
    <w:p w:rsidR="00483043" w:rsidRPr="00454403" w:rsidRDefault="00483043" w:rsidP="00AB373A">
      <w:pPr>
        <w:pStyle w:val="SCCNormalDoubleSpacing"/>
        <w:spacing w:after="480"/>
      </w:pPr>
      <w:r w:rsidRPr="00454403">
        <w:rPr>
          <w:rStyle w:val="SCCCounselNameChar"/>
        </w:rPr>
        <w:tab/>
        <w:t>R</w:t>
      </w:r>
      <w:r w:rsidR="00E775F5" w:rsidRPr="00454403">
        <w:rPr>
          <w:rStyle w:val="SCCCounselNameChar"/>
        </w:rPr>
        <w:t>ichard</w:t>
      </w:r>
      <w:r w:rsidRPr="00454403">
        <w:rPr>
          <w:rStyle w:val="SCCCounselNameChar"/>
        </w:rPr>
        <w:t xml:space="preserve"> James Fyfe</w:t>
      </w:r>
      <w:r w:rsidRPr="00454403">
        <w:rPr>
          <w:rStyle w:val="SCCCounselPartyRoleChar"/>
        </w:rPr>
        <w:t xml:space="preserve">, for the intervener </w:t>
      </w:r>
      <w:r w:rsidR="00BC2A8F" w:rsidRPr="00454403">
        <w:rPr>
          <w:rStyle w:val="SCCCounselPartyRoleChar"/>
        </w:rPr>
        <w:t xml:space="preserve">the </w:t>
      </w:r>
      <w:r w:rsidRPr="00454403">
        <w:rPr>
          <w:rStyle w:val="SCCCounselPartyRoleChar"/>
        </w:rPr>
        <w:t xml:space="preserve">Attorney General </w:t>
      </w:r>
      <w:r w:rsidR="00FE2D45" w:rsidRPr="00454403">
        <w:rPr>
          <w:rStyle w:val="SCCCounselPartyRoleChar"/>
        </w:rPr>
        <w:t>of</w:t>
      </w:r>
      <w:r w:rsidRPr="00454403">
        <w:rPr>
          <w:rStyle w:val="SCCCounselPartyRoleChar"/>
        </w:rPr>
        <w:t xml:space="preserve"> Saskatchewan.</w:t>
      </w:r>
    </w:p>
    <w:p w:rsidR="00483043" w:rsidRPr="00454403" w:rsidRDefault="00483043" w:rsidP="00AB373A">
      <w:pPr>
        <w:pStyle w:val="SCCNormalDoubleSpacing"/>
        <w:spacing w:after="480"/>
      </w:pPr>
      <w:r w:rsidRPr="00454403">
        <w:rPr>
          <w:rStyle w:val="SCCCounselNameChar"/>
        </w:rPr>
        <w:tab/>
        <w:t xml:space="preserve">Angela </w:t>
      </w:r>
      <w:proofErr w:type="spellStart"/>
      <w:r w:rsidRPr="00454403">
        <w:rPr>
          <w:rStyle w:val="SCCCounselNameChar"/>
        </w:rPr>
        <w:t>Edgington</w:t>
      </w:r>
      <w:proofErr w:type="spellEnd"/>
      <w:r w:rsidRPr="00454403">
        <w:rPr>
          <w:rStyle w:val="SCCCounselPartyRoleChar"/>
        </w:rPr>
        <w:t>, for the intervener Attorney General of Alberta.</w:t>
      </w:r>
    </w:p>
    <w:p w:rsidR="00820901" w:rsidRPr="00454403" w:rsidRDefault="00483043" w:rsidP="00AB373A">
      <w:pPr>
        <w:pStyle w:val="SCCNormalDoubleSpacing"/>
        <w:spacing w:after="480"/>
      </w:pPr>
      <w:r w:rsidRPr="00454403">
        <w:rPr>
          <w:rStyle w:val="SCCCounselNameChar"/>
        </w:rPr>
        <w:tab/>
      </w:r>
      <w:r w:rsidR="00BC2A8F" w:rsidRPr="00454403">
        <w:rPr>
          <w:rStyle w:val="SCCCounselNameChar"/>
          <w:i w:val="0"/>
        </w:rPr>
        <w:t xml:space="preserve">Written submissions only by </w:t>
      </w:r>
      <w:r w:rsidRPr="00454403">
        <w:rPr>
          <w:rStyle w:val="SCCCounselNameChar"/>
        </w:rPr>
        <w:t>Elaine Cairns</w:t>
      </w:r>
      <w:r w:rsidRPr="00454403">
        <w:rPr>
          <w:rStyle w:val="SCCCounselSeparatorChar"/>
        </w:rPr>
        <w:t xml:space="preserve"> and </w:t>
      </w:r>
      <w:r w:rsidRPr="00454403">
        <w:rPr>
          <w:rStyle w:val="SCCCounselNameChar"/>
        </w:rPr>
        <w:t>Kat</w:t>
      </w:r>
      <w:r w:rsidR="00E775F5" w:rsidRPr="00454403">
        <w:rPr>
          <w:rStyle w:val="SCCCounselNameChar"/>
        </w:rPr>
        <w:t>i</w:t>
      </w:r>
      <w:r w:rsidRPr="00454403">
        <w:rPr>
          <w:rStyle w:val="SCCCounselNameChar"/>
        </w:rPr>
        <w:t>e Mercier</w:t>
      </w:r>
      <w:r w:rsidRPr="00454403">
        <w:rPr>
          <w:rStyle w:val="SCCCounselPartyRoleChar"/>
        </w:rPr>
        <w:t xml:space="preserve">, for the intervener </w:t>
      </w:r>
      <w:r w:rsidR="00BC2A8F" w:rsidRPr="00454403">
        <w:rPr>
          <w:rStyle w:val="SCCCounselPartyRoleChar"/>
        </w:rPr>
        <w:t xml:space="preserve">the </w:t>
      </w:r>
      <w:r w:rsidRPr="00454403">
        <w:rPr>
          <w:rStyle w:val="SCCCounselPartyRoleChar"/>
        </w:rPr>
        <w:t>Attorney General of the Yukon Territory.</w:t>
      </w:r>
    </w:p>
    <w:p w:rsidR="00820901" w:rsidRPr="00454403" w:rsidRDefault="00FC68D5" w:rsidP="00AB373A">
      <w:pPr>
        <w:pStyle w:val="SCCNormalDoubleSpacing"/>
        <w:spacing w:after="480"/>
      </w:pPr>
      <w:r w:rsidRPr="00454403">
        <w:rPr>
          <w:rStyle w:val="SCCCounselNameChar"/>
        </w:rPr>
        <w:tab/>
        <w:t>Paul Williams</w:t>
      </w:r>
      <w:r w:rsidRPr="00454403">
        <w:rPr>
          <w:rStyle w:val="SCCCounselPartyRoleChar"/>
        </w:rPr>
        <w:t>, for the intervener</w:t>
      </w:r>
      <w:r w:rsidR="00BC2A8F" w:rsidRPr="00454403">
        <w:rPr>
          <w:rStyle w:val="SCCCounselPartyRoleChar"/>
        </w:rPr>
        <w:t xml:space="preserve"> the </w:t>
      </w:r>
      <w:proofErr w:type="spellStart"/>
      <w:r w:rsidRPr="00454403">
        <w:rPr>
          <w:rStyle w:val="SCCCounselPartyRoleChar"/>
        </w:rPr>
        <w:t>Peskotomuhkati</w:t>
      </w:r>
      <w:proofErr w:type="spellEnd"/>
      <w:r w:rsidRPr="00454403">
        <w:rPr>
          <w:rStyle w:val="SCCCounselPartyRoleChar"/>
        </w:rPr>
        <w:t xml:space="preserve"> Nation.</w:t>
      </w:r>
    </w:p>
    <w:p w:rsidR="00820901" w:rsidRPr="00454403" w:rsidRDefault="00FC68D5" w:rsidP="00AB373A">
      <w:pPr>
        <w:pStyle w:val="SCCNormalDoubleSpacing"/>
        <w:spacing w:after="480"/>
      </w:pPr>
      <w:r w:rsidRPr="00454403">
        <w:rPr>
          <w:rStyle w:val="SCCCounselNameChar"/>
        </w:rPr>
        <w:tab/>
        <w:t>Bruce McIvor</w:t>
      </w:r>
      <w:r w:rsidRPr="00454403">
        <w:rPr>
          <w:rStyle w:val="SCCCounselPartyRoleChar"/>
        </w:rPr>
        <w:t xml:space="preserve">, for the intervener </w:t>
      </w:r>
      <w:r w:rsidR="00BC2A8F" w:rsidRPr="00454403">
        <w:rPr>
          <w:rStyle w:val="SCCCounselPartyRoleChar"/>
        </w:rPr>
        <w:t xml:space="preserve">the </w:t>
      </w:r>
      <w:r w:rsidRPr="00454403">
        <w:rPr>
          <w:rStyle w:val="SCCCounselPartyRoleChar"/>
        </w:rPr>
        <w:t>Indigenous Bar Association in Canada.</w:t>
      </w:r>
    </w:p>
    <w:p w:rsidR="00820901" w:rsidRPr="00454403" w:rsidRDefault="00FC68D5" w:rsidP="00AB373A">
      <w:pPr>
        <w:pStyle w:val="SCCNormalDoubleSpacing"/>
        <w:spacing w:after="480"/>
      </w:pPr>
      <w:r w:rsidRPr="00454403">
        <w:rPr>
          <w:rStyle w:val="SCCCounselNameChar"/>
        </w:rPr>
        <w:tab/>
        <w:t>Maxime Faille</w:t>
      </w:r>
      <w:r w:rsidRPr="00454403">
        <w:rPr>
          <w:rStyle w:val="SCCCounselPartyRoleChar"/>
        </w:rPr>
        <w:t xml:space="preserve">, for the intervener </w:t>
      </w:r>
      <w:r w:rsidR="00217348" w:rsidRPr="00454403">
        <w:rPr>
          <w:rStyle w:val="SCCCounselPartyRoleChar"/>
        </w:rPr>
        <w:t xml:space="preserve">the </w:t>
      </w:r>
      <w:r w:rsidRPr="00454403">
        <w:rPr>
          <w:rStyle w:val="SCCCounselPartyRoleChar"/>
        </w:rPr>
        <w:t>Whitecap Dakota First Nation.</w:t>
      </w:r>
    </w:p>
    <w:p w:rsidR="00820901" w:rsidRPr="00454403" w:rsidRDefault="00FC68D5" w:rsidP="00AB373A">
      <w:pPr>
        <w:pStyle w:val="SCCNormalDoubleSpacing"/>
        <w:spacing w:after="480"/>
      </w:pPr>
      <w:r w:rsidRPr="00454403">
        <w:rPr>
          <w:rStyle w:val="SCCCounselNameChar"/>
        </w:rPr>
        <w:tab/>
        <w:t xml:space="preserve">Jessica </w:t>
      </w:r>
      <w:proofErr w:type="spellStart"/>
      <w:r w:rsidRPr="00454403">
        <w:rPr>
          <w:rStyle w:val="SCCCounselNameChar"/>
        </w:rPr>
        <w:t>Orkin</w:t>
      </w:r>
      <w:proofErr w:type="spellEnd"/>
      <w:r w:rsidRPr="00454403">
        <w:rPr>
          <w:rStyle w:val="SCCCounselPartyRoleChar"/>
        </w:rPr>
        <w:t>, for the intervener</w:t>
      </w:r>
      <w:r w:rsidR="00865F7F" w:rsidRPr="00454403">
        <w:rPr>
          <w:rStyle w:val="SCCCounselPartyRoleChar"/>
        </w:rPr>
        <w:t>s</w:t>
      </w:r>
      <w:r w:rsidR="00217348" w:rsidRPr="00454403">
        <w:rPr>
          <w:rStyle w:val="SCCCounselPartyRoleChar"/>
        </w:rPr>
        <w:t xml:space="preserve"> the</w:t>
      </w:r>
      <w:r w:rsidRPr="00454403">
        <w:rPr>
          <w:rStyle w:val="SCCCounselPartyRoleChar"/>
        </w:rPr>
        <w:t xml:space="preserve"> Grand Council of the </w:t>
      </w:r>
      <w:proofErr w:type="spellStart"/>
      <w:r w:rsidRPr="00454403">
        <w:rPr>
          <w:rStyle w:val="SCCCounselPartyRoleChar"/>
        </w:rPr>
        <w:t>Crees</w:t>
      </w:r>
      <w:proofErr w:type="spellEnd"/>
      <w:r w:rsidRPr="00454403">
        <w:rPr>
          <w:rStyle w:val="SCCCounselPartyRoleChar"/>
        </w:rPr>
        <w:t xml:space="preserve"> (</w:t>
      </w:r>
      <w:proofErr w:type="spellStart"/>
      <w:r w:rsidRPr="00454403">
        <w:rPr>
          <w:rStyle w:val="SCCCounselPartyRoleChar"/>
        </w:rPr>
        <w:t>Eeyou</w:t>
      </w:r>
      <w:proofErr w:type="spellEnd"/>
      <w:r w:rsidRPr="00454403">
        <w:rPr>
          <w:rStyle w:val="SCCCounselPartyRoleChar"/>
        </w:rPr>
        <w:t xml:space="preserve"> </w:t>
      </w:r>
      <w:proofErr w:type="spellStart"/>
      <w:r w:rsidRPr="00454403">
        <w:rPr>
          <w:rStyle w:val="SCCCounselPartyRoleChar"/>
        </w:rPr>
        <w:t>Istchee</w:t>
      </w:r>
      <w:proofErr w:type="spellEnd"/>
      <w:r w:rsidRPr="00454403">
        <w:rPr>
          <w:rStyle w:val="SCCCounselPartyRoleChar"/>
        </w:rPr>
        <w:t xml:space="preserve">) and </w:t>
      </w:r>
      <w:r w:rsidR="00217348" w:rsidRPr="00454403">
        <w:rPr>
          <w:rStyle w:val="SCCCounselPartyRoleChar"/>
        </w:rPr>
        <w:t xml:space="preserve">the </w:t>
      </w:r>
      <w:r w:rsidRPr="00454403">
        <w:rPr>
          <w:rStyle w:val="SCCCounselPartyRoleChar"/>
        </w:rPr>
        <w:t>Cree Nation Government.</w:t>
      </w:r>
    </w:p>
    <w:p w:rsidR="00483043" w:rsidRPr="00454403" w:rsidRDefault="00483043" w:rsidP="00AB373A">
      <w:pPr>
        <w:pStyle w:val="SCCNormalDoubleSpacing"/>
        <w:spacing w:after="480"/>
      </w:pPr>
      <w:r w:rsidRPr="00454403">
        <w:rPr>
          <w:rStyle w:val="SCCCounselNameChar"/>
        </w:rPr>
        <w:tab/>
        <w:t>Rosanne Kyle</w:t>
      </w:r>
      <w:r w:rsidRPr="00454403">
        <w:rPr>
          <w:rStyle w:val="SCCCounselPartyRoleChar"/>
        </w:rPr>
        <w:t>, for the intervener the Okanagan Nation Alliance.</w:t>
      </w:r>
    </w:p>
    <w:p w:rsidR="00820901" w:rsidRPr="00454403" w:rsidRDefault="00FC68D5" w:rsidP="00AB373A">
      <w:pPr>
        <w:pStyle w:val="SCCNormalDoubleSpacing"/>
        <w:spacing w:after="480"/>
      </w:pPr>
      <w:r w:rsidRPr="00454403">
        <w:rPr>
          <w:rStyle w:val="SCCCounselNameChar"/>
        </w:rPr>
        <w:tab/>
        <w:t>Francis Walsh</w:t>
      </w:r>
      <w:r w:rsidRPr="00454403">
        <w:rPr>
          <w:rStyle w:val="SCCCounselPartyRoleChar"/>
        </w:rPr>
        <w:t>, for the intervener</w:t>
      </w:r>
      <w:r w:rsidR="00217348" w:rsidRPr="00454403">
        <w:rPr>
          <w:rStyle w:val="SCCCounselPartyRoleChar"/>
        </w:rPr>
        <w:t xml:space="preserve"> the</w:t>
      </w:r>
      <w:r w:rsidRPr="00454403">
        <w:rPr>
          <w:rStyle w:val="SCCCounselPartyRoleChar"/>
        </w:rPr>
        <w:t xml:space="preserve"> Mohawk Council of </w:t>
      </w:r>
      <w:proofErr w:type="spellStart"/>
      <w:r w:rsidRPr="00454403">
        <w:rPr>
          <w:rStyle w:val="SCCCounselPartyRoleChar"/>
        </w:rPr>
        <w:t>Kahnawà</w:t>
      </w:r>
      <w:proofErr w:type="gramStart"/>
      <w:r w:rsidRPr="00454403">
        <w:rPr>
          <w:rStyle w:val="SCCCounselPartyRoleChar"/>
        </w:rPr>
        <w:t>:ke</w:t>
      </w:r>
      <w:proofErr w:type="spellEnd"/>
      <w:proofErr w:type="gramEnd"/>
      <w:r w:rsidRPr="00454403">
        <w:rPr>
          <w:rStyle w:val="SCCCounselPartyRoleChar"/>
        </w:rPr>
        <w:t>.</w:t>
      </w:r>
    </w:p>
    <w:p w:rsidR="00820901" w:rsidRPr="00454403" w:rsidRDefault="00FC68D5" w:rsidP="00AB373A">
      <w:pPr>
        <w:pStyle w:val="SCCNormalDoubleSpacing"/>
        <w:spacing w:after="480"/>
      </w:pPr>
      <w:r w:rsidRPr="00454403">
        <w:rPr>
          <w:rStyle w:val="SCCCounselNameChar"/>
        </w:rPr>
        <w:lastRenderedPageBreak/>
        <w:tab/>
        <w:t>Julie McGregor</w:t>
      </w:r>
      <w:r w:rsidRPr="00454403">
        <w:rPr>
          <w:rStyle w:val="SCCCounselPartyRoleChar"/>
        </w:rPr>
        <w:t xml:space="preserve">, for the intervener </w:t>
      </w:r>
      <w:r w:rsidR="00217348" w:rsidRPr="00454403">
        <w:rPr>
          <w:rStyle w:val="SCCCounselPartyRoleChar"/>
        </w:rPr>
        <w:t xml:space="preserve">the </w:t>
      </w:r>
      <w:r w:rsidRPr="00454403">
        <w:rPr>
          <w:rStyle w:val="SCCCounselPartyRoleChar"/>
        </w:rPr>
        <w:t>Assembly of First Nations.</w:t>
      </w:r>
    </w:p>
    <w:p w:rsidR="00820901" w:rsidRPr="00454403" w:rsidRDefault="00EB7398" w:rsidP="00AB373A">
      <w:pPr>
        <w:pStyle w:val="SCCNormalDoubleSpacing"/>
        <w:spacing w:after="480"/>
      </w:pPr>
      <w:r w:rsidRPr="00454403">
        <w:rPr>
          <w:rStyle w:val="SCCCounselNameChar"/>
        </w:rPr>
        <w:tab/>
        <w:t>Kathy </w:t>
      </w:r>
      <w:r w:rsidR="00FC68D5" w:rsidRPr="00454403">
        <w:rPr>
          <w:rStyle w:val="SCCCounselNameChar"/>
        </w:rPr>
        <w:t>L. Hodgson</w:t>
      </w:r>
      <w:r w:rsidRPr="00454403">
        <w:rPr>
          <w:rStyle w:val="SCCCounselNameChar"/>
        </w:rPr>
        <w:noBreakHyphen/>
      </w:r>
      <w:r w:rsidR="00FC68D5" w:rsidRPr="00454403">
        <w:rPr>
          <w:rStyle w:val="SCCCounselNameChar"/>
        </w:rPr>
        <w:t>Smith</w:t>
      </w:r>
      <w:r w:rsidR="00FC68D5" w:rsidRPr="00454403">
        <w:rPr>
          <w:rStyle w:val="SCCCounselSeparatorChar"/>
        </w:rPr>
        <w:t xml:space="preserve">, </w:t>
      </w:r>
      <w:r w:rsidR="00FC68D5" w:rsidRPr="00454403">
        <w:rPr>
          <w:rStyle w:val="SCCCounselPartyRoleChar"/>
        </w:rPr>
        <w:t>for the intervener</w:t>
      </w:r>
      <w:r w:rsidR="00865F7F" w:rsidRPr="00454403">
        <w:rPr>
          <w:rStyle w:val="SCCCounselPartyRoleChar"/>
        </w:rPr>
        <w:t>s</w:t>
      </w:r>
      <w:r w:rsidR="00FC68D5" w:rsidRPr="00454403">
        <w:rPr>
          <w:rStyle w:val="SCCCounselPartyRoleChar"/>
        </w:rPr>
        <w:t xml:space="preserve"> </w:t>
      </w:r>
      <w:r w:rsidR="00217348" w:rsidRPr="00454403">
        <w:rPr>
          <w:rStyle w:val="SCCCounselPartyRoleChar"/>
        </w:rPr>
        <w:t xml:space="preserve">the </w:t>
      </w:r>
      <w:r w:rsidR="00FC68D5" w:rsidRPr="00454403">
        <w:rPr>
          <w:rStyle w:val="SCCCounselPartyRoleChar"/>
        </w:rPr>
        <w:t>Métis National Council and</w:t>
      </w:r>
      <w:r w:rsidR="00BE362D" w:rsidRPr="00454403">
        <w:rPr>
          <w:rStyle w:val="SCCCounselPartyRoleChar"/>
        </w:rPr>
        <w:t xml:space="preserve"> </w:t>
      </w:r>
      <w:r w:rsidR="00217348" w:rsidRPr="00454403">
        <w:rPr>
          <w:rStyle w:val="SCCCounselPartyRoleChar"/>
        </w:rPr>
        <w:t xml:space="preserve">the </w:t>
      </w:r>
      <w:r w:rsidR="00BE362D" w:rsidRPr="00454403">
        <w:rPr>
          <w:rStyle w:val="SCCCounselPartyRoleChar"/>
        </w:rPr>
        <w:t>Manitoba Metis Federation Inc.</w:t>
      </w:r>
    </w:p>
    <w:p w:rsidR="00820901" w:rsidRPr="00454403" w:rsidRDefault="00FC68D5" w:rsidP="00AB373A">
      <w:pPr>
        <w:pStyle w:val="SCCNormalDoubleSpacing"/>
        <w:spacing w:after="480"/>
      </w:pPr>
      <w:r w:rsidRPr="00454403">
        <w:rPr>
          <w:rStyle w:val="SCCCounselNameChar"/>
        </w:rPr>
        <w:tab/>
        <w:t>Jack Woodward</w:t>
      </w:r>
      <w:r w:rsidRPr="00454403">
        <w:rPr>
          <w:rStyle w:val="SCCCounselNameChar"/>
          <w:i w:val="0"/>
        </w:rPr>
        <w:t>,</w:t>
      </w:r>
      <w:r w:rsidRPr="00454403">
        <w:rPr>
          <w:rStyle w:val="SCCCounselNameChar"/>
        </w:rPr>
        <w:t xml:space="preserve"> </w:t>
      </w:r>
      <w:proofErr w:type="spellStart"/>
      <w:r w:rsidRPr="00454403">
        <w:rPr>
          <w:rStyle w:val="SCCCounselNameChar"/>
        </w:rPr>
        <w:t>Q.C</w:t>
      </w:r>
      <w:proofErr w:type="spellEnd"/>
      <w:r w:rsidRPr="00454403">
        <w:rPr>
          <w:rStyle w:val="SCCCounselNameChar"/>
        </w:rPr>
        <w:t>.</w:t>
      </w:r>
      <w:r w:rsidRPr="00454403">
        <w:rPr>
          <w:rStyle w:val="SCCCounselPartyRoleChar"/>
        </w:rPr>
        <w:t>, for the intervener</w:t>
      </w:r>
      <w:r w:rsidR="00135160" w:rsidRPr="00454403">
        <w:rPr>
          <w:rStyle w:val="SCCCounselPartyRoleChar"/>
        </w:rPr>
        <w:t xml:space="preserve"> the</w:t>
      </w:r>
      <w:r w:rsidRPr="00454403">
        <w:rPr>
          <w:rStyle w:val="SCCCounselPartyRoleChar"/>
        </w:rPr>
        <w:t xml:space="preserve"> </w:t>
      </w:r>
      <w:proofErr w:type="spellStart"/>
      <w:r w:rsidRPr="00454403">
        <w:rPr>
          <w:rStyle w:val="SCCCounselPartyRoleChar"/>
        </w:rPr>
        <w:t>Nuchatlaht</w:t>
      </w:r>
      <w:proofErr w:type="spellEnd"/>
      <w:r w:rsidRPr="00454403">
        <w:rPr>
          <w:rStyle w:val="SCCCounselPartyRoleChar"/>
        </w:rPr>
        <w:t xml:space="preserve"> First Nation.</w:t>
      </w:r>
    </w:p>
    <w:p w:rsidR="00820901" w:rsidRPr="00454403" w:rsidRDefault="00FC68D5" w:rsidP="00AB373A">
      <w:pPr>
        <w:pStyle w:val="SCCNormalDoubleSpacing"/>
        <w:spacing w:after="480"/>
      </w:pPr>
      <w:r w:rsidRPr="00454403">
        <w:rPr>
          <w:rStyle w:val="SCCCounselNameChar"/>
        </w:rPr>
        <w:tab/>
        <w:t xml:space="preserve">Andrew </w:t>
      </w:r>
      <w:proofErr w:type="spellStart"/>
      <w:r w:rsidRPr="00454403">
        <w:rPr>
          <w:rStyle w:val="SCCCounselNameChar"/>
        </w:rPr>
        <w:t>Lokan</w:t>
      </w:r>
      <w:proofErr w:type="spellEnd"/>
      <w:r w:rsidRPr="00454403">
        <w:rPr>
          <w:rStyle w:val="SCCCounselPartyRoleChar"/>
        </w:rPr>
        <w:t>, for the intervener</w:t>
      </w:r>
      <w:r w:rsidR="00135160" w:rsidRPr="00454403">
        <w:rPr>
          <w:rStyle w:val="SCCCounselPartyRoleChar"/>
        </w:rPr>
        <w:t xml:space="preserve"> the</w:t>
      </w:r>
      <w:r w:rsidRPr="00454403">
        <w:rPr>
          <w:rStyle w:val="SCCCounselPartyRoleChar"/>
        </w:rPr>
        <w:t xml:space="preserve"> Congress of Aboriginal Peoples.</w:t>
      </w:r>
    </w:p>
    <w:p w:rsidR="00820901" w:rsidRPr="00454403" w:rsidRDefault="00F90E64" w:rsidP="00AB373A">
      <w:pPr>
        <w:pStyle w:val="SCCNormalDoubleSpacing"/>
        <w:spacing w:after="480"/>
      </w:pPr>
      <w:r w:rsidRPr="00454403">
        <w:rPr>
          <w:rStyle w:val="SCCCounselNameChar"/>
        </w:rPr>
        <w:tab/>
        <w:t>John </w:t>
      </w:r>
      <w:r w:rsidR="00FC68D5" w:rsidRPr="00454403">
        <w:rPr>
          <w:rStyle w:val="SCCCounselNameChar"/>
        </w:rPr>
        <w:t xml:space="preserve">W. </w:t>
      </w:r>
      <w:proofErr w:type="spellStart"/>
      <w:r w:rsidR="00FC68D5" w:rsidRPr="00454403">
        <w:rPr>
          <w:rStyle w:val="SCCCounselNameChar"/>
        </w:rPr>
        <w:t>Gailus</w:t>
      </w:r>
      <w:proofErr w:type="spellEnd"/>
      <w:r w:rsidR="00FC68D5" w:rsidRPr="00454403">
        <w:rPr>
          <w:rStyle w:val="SCCCounselPartyRoleChar"/>
        </w:rPr>
        <w:t>, for the intervener</w:t>
      </w:r>
      <w:r w:rsidR="00135160" w:rsidRPr="00454403">
        <w:rPr>
          <w:rStyle w:val="SCCCounselPartyRoleChar"/>
        </w:rPr>
        <w:t xml:space="preserve"> the</w:t>
      </w:r>
      <w:r w:rsidR="00FC68D5" w:rsidRPr="00454403">
        <w:rPr>
          <w:rStyle w:val="SCCCounselPartyRoleChar"/>
        </w:rPr>
        <w:t xml:space="preserve"> Lummi Nation.</w:t>
      </w:r>
    </w:p>
    <w:p w:rsidR="00437F31" w:rsidRDefault="00FC68D5" w:rsidP="00437F31">
      <w:pPr>
        <w:pStyle w:val="SCCNormalDoubleSpacing"/>
        <w:spacing w:after="480"/>
        <w:rPr>
          <w:rStyle w:val="SCCCounselPartyRoleChar"/>
        </w:rPr>
      </w:pPr>
      <w:r w:rsidRPr="00454403">
        <w:rPr>
          <w:rStyle w:val="SCCCounselNameChar"/>
        </w:rPr>
        <w:tab/>
        <w:t>Thomas Isaac</w:t>
      </w:r>
      <w:r w:rsidRPr="00454403">
        <w:rPr>
          <w:rStyle w:val="SCCCounselPartyRoleChar"/>
        </w:rPr>
        <w:t xml:space="preserve">, for the intervener </w:t>
      </w:r>
      <w:r w:rsidR="00135160" w:rsidRPr="00454403">
        <w:rPr>
          <w:rStyle w:val="SCCCounselPartyRoleChar"/>
        </w:rPr>
        <w:t xml:space="preserve">the </w:t>
      </w:r>
      <w:r w:rsidRPr="00454403">
        <w:rPr>
          <w:rStyle w:val="SCCCounselPartyRoleChar"/>
        </w:rPr>
        <w:t>Métis Nation British Columbia.</w:t>
      </w:r>
    </w:p>
    <w:p w:rsidR="00C437E7" w:rsidRDefault="00437F31" w:rsidP="00437F31">
      <w:pPr>
        <w:pStyle w:val="SCCNormalDoubleSpacing"/>
        <w:spacing w:after="480"/>
      </w:pPr>
      <w:r>
        <w:rPr>
          <w:rStyle w:val="SCCCounselPartyRoleChar"/>
        </w:rPr>
        <w:tab/>
      </w:r>
      <w:r>
        <w:rPr>
          <w:rStyle w:val="SCCCounselPartyRoleChar"/>
        </w:rPr>
        <w:tab/>
      </w:r>
      <w:r w:rsidR="00C437E7">
        <w:t xml:space="preserve">The judgment of </w:t>
      </w:r>
      <w:r w:rsidR="00C437E7" w:rsidRPr="00C1764F">
        <w:t xml:space="preserve">Wagner </w:t>
      </w:r>
      <w:proofErr w:type="spellStart"/>
      <w:r w:rsidR="00C437E7" w:rsidRPr="00C1764F">
        <w:t>C.J</w:t>
      </w:r>
      <w:proofErr w:type="spellEnd"/>
      <w:r w:rsidR="00C437E7" w:rsidRPr="00C1764F">
        <w:t>.</w:t>
      </w:r>
      <w:r w:rsidR="00C437E7">
        <w:t xml:space="preserve"> and </w:t>
      </w:r>
      <w:proofErr w:type="spellStart"/>
      <w:r w:rsidR="00C437E7">
        <w:t>Abella</w:t>
      </w:r>
      <w:proofErr w:type="spellEnd"/>
      <w:r w:rsidR="00C437E7" w:rsidRPr="0028317D">
        <w:t>,</w:t>
      </w:r>
      <w:r w:rsidR="00C437E7">
        <w:t xml:space="preserve"> </w:t>
      </w:r>
      <w:proofErr w:type="spellStart"/>
      <w:r w:rsidR="00C437E7">
        <w:t>Karakatsanis</w:t>
      </w:r>
      <w:proofErr w:type="spellEnd"/>
      <w:r w:rsidR="00C437E7">
        <w:t xml:space="preserve">, Brown, Rowe, Martin and </w:t>
      </w:r>
      <w:proofErr w:type="spellStart"/>
      <w:r w:rsidR="00C437E7">
        <w:t>Kasirer</w:t>
      </w:r>
      <w:proofErr w:type="spellEnd"/>
      <w:r w:rsidR="00C437E7" w:rsidRPr="0028317D">
        <w:t xml:space="preserve"> </w:t>
      </w:r>
      <w:proofErr w:type="spellStart"/>
      <w:r w:rsidR="00C437E7" w:rsidRPr="0028317D">
        <w:t>JJ</w:t>
      </w:r>
      <w:proofErr w:type="spellEnd"/>
      <w:r w:rsidR="00C437E7" w:rsidRPr="0028317D">
        <w:t>.</w:t>
      </w:r>
      <w:r w:rsidR="00C437E7">
        <w:t xml:space="preserve"> </w:t>
      </w:r>
      <w:proofErr w:type="gramStart"/>
      <w:r w:rsidR="00C437E7">
        <w:t>was</w:t>
      </w:r>
      <w:proofErr w:type="gramEnd"/>
      <w:r w:rsidR="00C437E7" w:rsidRPr="00173A02">
        <w:t xml:space="preserve"> delivered by</w:t>
      </w:r>
    </w:p>
    <w:p w:rsidR="00C437E7" w:rsidRPr="00437F31" w:rsidRDefault="00437F31" w:rsidP="00437F31">
      <w:pPr>
        <w:pStyle w:val="ParaNoNdepar-AltN"/>
      </w:pPr>
      <w:r w:rsidRPr="00914046">
        <w:tab/>
      </w:r>
      <w:r w:rsidRPr="00437F31">
        <w:rPr>
          <w:smallCaps/>
        </w:rPr>
        <w:t xml:space="preserve">Rowe J. </w:t>
      </w:r>
      <w:r w:rsidRPr="00914046">
        <w:t xml:space="preserve">— </w:t>
      </w:r>
      <w:r w:rsidR="00C437E7" w:rsidRPr="00437F31">
        <w:rPr>
          <w:rFonts w:cs="Times New Roman"/>
        </w:rPr>
        <w:fldChar w:fldCharType="begin"/>
      </w:r>
      <w:r w:rsidR="00C437E7" w:rsidRPr="00437F31">
        <w:rPr>
          <w:rFonts w:cs="Times New Roman"/>
        </w:rPr>
        <w:instrText xml:space="preserve"> SEQ CHAPTER \h \r 1</w:instrText>
      </w:r>
      <w:r w:rsidR="00C437E7" w:rsidRPr="00437F31">
        <w:rPr>
          <w:rFonts w:cs="Times New Roman"/>
        </w:rPr>
        <w:fldChar w:fldCharType="end"/>
      </w:r>
      <w:r w:rsidR="00C437E7" w:rsidRPr="00437F31">
        <w:rPr>
          <w:rFonts w:cs="Times New Roman"/>
        </w:rPr>
        <w:t xml:space="preserve">Richard Lee </w:t>
      </w:r>
      <w:proofErr w:type="spellStart"/>
      <w:r w:rsidR="00C437E7" w:rsidRPr="00437F31">
        <w:rPr>
          <w:rFonts w:cs="Times New Roman"/>
        </w:rPr>
        <w:t>Desautel</w:t>
      </w:r>
      <w:proofErr w:type="spellEnd"/>
      <w:r w:rsidR="00C437E7" w:rsidRPr="00437F31">
        <w:rPr>
          <w:rFonts w:cs="Times New Roman"/>
        </w:rPr>
        <w:t xml:space="preserve"> entered Canada legally from the United States of America. He shot an elk contrary to provincial wildlife rules and advised provincial authorities that he had done so. As he expected, he was charged for this. He defended the charges on the basis that he had an Aboriginal right to hunt the elk, one which is protected by s.</w:t>
      </w:r>
      <w:r w:rsidR="00C437E7" w:rsidRPr="00437F31">
        <w:rPr>
          <w:rFonts w:cs="Times New Roman"/>
          <w:lang w:val="en-US"/>
        </w:rPr>
        <w:t> </w:t>
      </w:r>
      <w:r w:rsidR="00C437E7" w:rsidRPr="00437F31">
        <w:rPr>
          <w:rFonts w:cs="Times New Roman"/>
        </w:rPr>
        <w:t xml:space="preserve">35(1) of the </w:t>
      </w:r>
      <w:r w:rsidR="00C437E7" w:rsidRPr="00437F31">
        <w:rPr>
          <w:rFonts w:cs="Times New Roman"/>
          <w:i/>
        </w:rPr>
        <w:t>Constitution Act, 1982</w:t>
      </w:r>
      <w:r w:rsidR="00C437E7" w:rsidRPr="00437F31">
        <w:rPr>
          <w:rFonts w:cs="Times New Roman"/>
        </w:rPr>
        <w:t xml:space="preserve">. Thus, this is a test case, the central issue being whether persons who are not Canadian citizens and who do not reside in Canada can exercise an Aboriginal right that is protected by s. 35(1). For the reasons that follow, I would say yes. On a purposive interpretation of s. 35(1), </w:t>
      </w:r>
      <w:r w:rsidR="00C437E7" w:rsidRPr="00437F31">
        <w:rPr>
          <w:rFonts w:cs="Times New Roman"/>
        </w:rPr>
        <w:lastRenderedPageBreak/>
        <w:t>the scope of “aboriginal peoples of Canada” is clear: it must mean the modern-day successors of Aboriginal societies that occupied Canadian territory at the time of European contact.</w:t>
      </w:r>
    </w:p>
    <w:p w:rsidR="00C437E7" w:rsidRPr="00914046" w:rsidRDefault="00C437E7" w:rsidP="00C437E7">
      <w:pPr>
        <w:pStyle w:val="ParaNoNdepar-AltN"/>
        <w:rPr>
          <w:rFonts w:cs="Times New Roman"/>
        </w:rPr>
      </w:pPr>
      <w:r w:rsidRPr="00914046">
        <w:rPr>
          <w:rFonts w:cs="Times New Roman"/>
        </w:rPr>
        <w:t xml:space="preserve">Beyond agreeing with Mr. </w:t>
      </w:r>
      <w:proofErr w:type="spellStart"/>
      <w:r w:rsidRPr="00914046">
        <w:rPr>
          <w:rFonts w:cs="Times New Roman"/>
        </w:rPr>
        <w:t>Desautel</w:t>
      </w:r>
      <w:proofErr w:type="spellEnd"/>
      <w:r w:rsidRPr="00914046">
        <w:rPr>
          <w:rFonts w:cs="Times New Roman"/>
        </w:rPr>
        <w:t xml:space="preserve"> on this central issue, I will say little more about what that means for the exercise of rights protected under s. 35(1). That follows for two reasons. First, questions of law are better resolved in cases where there is a dispute that requires the answering of those questions. And, second, the defence of a prosecution for a provincial regulatory offence, while it may serve as a test case (as here), is not well-suited to deal with such broader issues. Such issues are better dealt with in an action setting out the right claimed, with a full evidentiary record, and seeking declaratory relief. I will return to such matters toward the end of my reasons.</w:t>
      </w:r>
    </w:p>
    <w:p w:rsidR="00C437E7" w:rsidRPr="00914046" w:rsidRDefault="00C437E7" w:rsidP="00C437E7">
      <w:pPr>
        <w:pStyle w:val="Title1LevelTitre1Niveau-AltL"/>
        <w:rPr>
          <w:rFonts w:cs="Times New Roman"/>
        </w:rPr>
      </w:pPr>
      <w:r w:rsidRPr="00914046">
        <w:rPr>
          <w:rFonts w:cs="Times New Roman"/>
        </w:rPr>
        <w:t>Background</w:t>
      </w:r>
    </w:p>
    <w:p w:rsidR="00C437E7" w:rsidRPr="00914046" w:rsidRDefault="00C437E7" w:rsidP="00C437E7">
      <w:pPr>
        <w:pStyle w:val="ParaNoNdepar-AltN"/>
        <w:rPr>
          <w:rFonts w:cs="Times New Roman"/>
        </w:rPr>
      </w:pPr>
      <w:r w:rsidRPr="00914046">
        <w:rPr>
          <w:rFonts w:cs="Times New Roman"/>
        </w:rPr>
        <w:t xml:space="preserve">On October 14, 2010, Mr. </w:t>
      </w:r>
      <w:proofErr w:type="spellStart"/>
      <w:r w:rsidRPr="00914046">
        <w:rPr>
          <w:rFonts w:cs="Times New Roman"/>
        </w:rPr>
        <w:t>Desautel</w:t>
      </w:r>
      <w:proofErr w:type="spellEnd"/>
      <w:r w:rsidRPr="00914046">
        <w:rPr>
          <w:rFonts w:cs="Times New Roman"/>
        </w:rPr>
        <w:t xml:space="preserve"> shot one cow-elk near </w:t>
      </w:r>
      <w:proofErr w:type="spellStart"/>
      <w:r w:rsidRPr="00914046">
        <w:rPr>
          <w:rFonts w:cs="Times New Roman"/>
        </w:rPr>
        <w:t>Castlegar</w:t>
      </w:r>
      <w:proofErr w:type="spellEnd"/>
      <w:r w:rsidRPr="00914046">
        <w:rPr>
          <w:rFonts w:cs="Times New Roman"/>
        </w:rPr>
        <w:t xml:space="preserve">, British Columbia. He was charged with hunting without a licence contrary to s. 11(1) of the </w:t>
      </w:r>
      <w:r w:rsidRPr="00914046">
        <w:rPr>
          <w:rFonts w:cs="Times New Roman"/>
          <w:i/>
        </w:rPr>
        <w:t>Wildlife Act</w:t>
      </w:r>
      <w:r w:rsidRPr="00914046">
        <w:rPr>
          <w:rFonts w:cs="Times New Roman"/>
        </w:rPr>
        <w:t xml:space="preserve">, </w:t>
      </w:r>
      <w:proofErr w:type="spellStart"/>
      <w:r w:rsidRPr="00914046">
        <w:rPr>
          <w:rFonts w:cs="Times New Roman"/>
        </w:rPr>
        <w:t>R.S.B.C</w:t>
      </w:r>
      <w:proofErr w:type="spellEnd"/>
      <w:r w:rsidRPr="00914046">
        <w:rPr>
          <w:rFonts w:cs="Times New Roman"/>
        </w:rPr>
        <w:t xml:space="preserve">. 1996, c. 488, and hunting big game while not being a resident contrary to s. 47(a) of the </w:t>
      </w:r>
      <w:r w:rsidRPr="00914046">
        <w:rPr>
          <w:rFonts w:cs="Times New Roman"/>
          <w:i/>
        </w:rPr>
        <w:t>Act</w:t>
      </w:r>
      <w:r w:rsidRPr="00914046">
        <w:rPr>
          <w:rFonts w:cs="Times New Roman"/>
        </w:rPr>
        <w:t xml:space="preserve">. He did not have a licence and was not a resident of British Columbia. Mr. </w:t>
      </w:r>
      <w:proofErr w:type="spellStart"/>
      <w:r w:rsidRPr="00914046">
        <w:rPr>
          <w:rFonts w:cs="Times New Roman"/>
        </w:rPr>
        <w:t>Desautel</w:t>
      </w:r>
      <w:proofErr w:type="spellEnd"/>
      <w:r w:rsidRPr="00914046">
        <w:rPr>
          <w:rFonts w:cs="Times New Roman"/>
        </w:rPr>
        <w:t xml:space="preserve"> is a citizen of the United States, and a resident of </w:t>
      </w:r>
      <w:proofErr w:type="spellStart"/>
      <w:r w:rsidRPr="00914046">
        <w:rPr>
          <w:rFonts w:cs="Times New Roman"/>
        </w:rPr>
        <w:t>Ichelium</w:t>
      </w:r>
      <w:proofErr w:type="spellEnd"/>
      <w:r w:rsidRPr="00914046">
        <w:rPr>
          <w:rFonts w:cs="Times New Roman"/>
        </w:rPr>
        <w:t xml:space="preserve"> in the State of Washington. Mr. </w:t>
      </w:r>
      <w:proofErr w:type="spellStart"/>
      <w:r w:rsidRPr="00914046">
        <w:rPr>
          <w:rFonts w:cs="Times New Roman"/>
        </w:rPr>
        <w:t>Desautel</w:t>
      </w:r>
      <w:proofErr w:type="spellEnd"/>
      <w:r w:rsidRPr="00914046">
        <w:rPr>
          <w:rFonts w:cs="Times New Roman"/>
        </w:rPr>
        <w:t xml:space="preserve"> admitted the </w:t>
      </w:r>
      <w:r w:rsidRPr="00914046">
        <w:rPr>
          <w:rFonts w:cs="Times New Roman"/>
          <w:i/>
        </w:rPr>
        <w:t xml:space="preserve">actus </w:t>
      </w:r>
      <w:proofErr w:type="spellStart"/>
      <w:proofErr w:type="gramStart"/>
      <w:r w:rsidRPr="00914046">
        <w:rPr>
          <w:rFonts w:cs="Times New Roman"/>
          <w:i/>
        </w:rPr>
        <w:t>reus</w:t>
      </w:r>
      <w:proofErr w:type="spellEnd"/>
      <w:proofErr w:type="gramEnd"/>
      <w:r w:rsidRPr="00914046">
        <w:rPr>
          <w:rFonts w:cs="Times New Roman"/>
          <w:i/>
        </w:rPr>
        <w:t xml:space="preserve"> </w:t>
      </w:r>
      <w:r w:rsidRPr="00914046">
        <w:rPr>
          <w:rFonts w:cs="Times New Roman"/>
        </w:rPr>
        <w:t xml:space="preserve">of the offences, but raised a defence that he was exercising his Aboriginal right to hunt in the traditional territory of his </w:t>
      </w:r>
      <w:proofErr w:type="spellStart"/>
      <w:r w:rsidRPr="00914046">
        <w:rPr>
          <w:rFonts w:cs="Times New Roman"/>
        </w:rPr>
        <w:t>Sinixt</w:t>
      </w:r>
      <w:proofErr w:type="spellEnd"/>
      <w:r w:rsidRPr="00914046">
        <w:rPr>
          <w:rFonts w:cs="Times New Roman"/>
        </w:rPr>
        <w:t xml:space="preserve"> ancestors, a right protected under s. 35(1). </w:t>
      </w:r>
    </w:p>
    <w:p w:rsidR="00C437E7" w:rsidRPr="00914046" w:rsidRDefault="00C437E7" w:rsidP="00C437E7">
      <w:pPr>
        <w:pStyle w:val="ParaNoNdepar-AltN"/>
        <w:rPr>
          <w:rFonts w:cs="Times New Roman"/>
        </w:rPr>
      </w:pPr>
      <w:r w:rsidRPr="00914046">
        <w:rPr>
          <w:rFonts w:cs="Times New Roman"/>
        </w:rPr>
        <w:lastRenderedPageBreak/>
        <w:t xml:space="preserve">Mr. </w:t>
      </w:r>
      <w:proofErr w:type="spellStart"/>
      <w:r w:rsidRPr="00914046">
        <w:rPr>
          <w:rFonts w:cs="Times New Roman"/>
        </w:rPr>
        <w:t>Desautel</w:t>
      </w:r>
      <w:proofErr w:type="spellEnd"/>
      <w:r w:rsidRPr="00914046">
        <w:rPr>
          <w:rFonts w:cs="Times New Roman"/>
        </w:rPr>
        <w:t xml:space="preserve"> is a member of the Lakes Tribe of the Colville Confederated Tribes based in the State of Washington in the United States, a successor group of the </w:t>
      </w:r>
      <w:proofErr w:type="spellStart"/>
      <w:r w:rsidRPr="00914046">
        <w:rPr>
          <w:rFonts w:cs="Times New Roman"/>
        </w:rPr>
        <w:t>Sinixt</w:t>
      </w:r>
      <w:proofErr w:type="spellEnd"/>
      <w:r w:rsidRPr="00914046">
        <w:rPr>
          <w:rFonts w:cs="Times New Roman"/>
        </w:rPr>
        <w:t xml:space="preserve"> people. At trial, the year 1811 was accepted as the date of first contact between the </w:t>
      </w:r>
      <w:proofErr w:type="spellStart"/>
      <w:r w:rsidRPr="00914046">
        <w:rPr>
          <w:rFonts w:cs="Times New Roman"/>
        </w:rPr>
        <w:t>Sinixt</w:t>
      </w:r>
      <w:proofErr w:type="spellEnd"/>
      <w:r w:rsidRPr="00914046">
        <w:rPr>
          <w:rFonts w:cs="Times New Roman"/>
        </w:rPr>
        <w:t xml:space="preserve"> and Europeans. At this time, the </w:t>
      </w:r>
      <w:proofErr w:type="spellStart"/>
      <w:r w:rsidRPr="00914046">
        <w:rPr>
          <w:rFonts w:cs="Times New Roman"/>
        </w:rPr>
        <w:t>Sinixt</w:t>
      </w:r>
      <w:proofErr w:type="spellEnd"/>
      <w:r w:rsidRPr="00914046">
        <w:rPr>
          <w:rFonts w:cs="Times New Roman"/>
        </w:rPr>
        <w:t xml:space="preserve"> were engaged in a seasonal round of hunting, fishing, and gathering, travelling largely by canoe in their ancestral territory. This territory ran as far south as an island just above Kettle Falls, in what is now Washington State, and as far north as the Big Bend of the Columbia River, north of Revelstoke in what is now British Columbia. The place where Mr. </w:t>
      </w:r>
      <w:proofErr w:type="spellStart"/>
      <w:r w:rsidRPr="00914046">
        <w:rPr>
          <w:rFonts w:cs="Times New Roman"/>
        </w:rPr>
        <w:t>Desautel</w:t>
      </w:r>
      <w:proofErr w:type="spellEnd"/>
      <w:r w:rsidRPr="00914046">
        <w:rPr>
          <w:rFonts w:cs="Times New Roman"/>
        </w:rPr>
        <w:t xml:space="preserve"> shot the elk in October 2010 was within the ancestral territory of the </w:t>
      </w:r>
      <w:proofErr w:type="spellStart"/>
      <w:r w:rsidRPr="00914046">
        <w:rPr>
          <w:rFonts w:cs="Times New Roman"/>
        </w:rPr>
        <w:t>Sinixt</w:t>
      </w:r>
      <w:proofErr w:type="spellEnd"/>
      <w:r w:rsidRPr="00914046">
        <w:rPr>
          <w:rFonts w:cs="Times New Roman"/>
        </w:rPr>
        <w:t xml:space="preserve">. </w:t>
      </w:r>
    </w:p>
    <w:p w:rsidR="00C437E7" w:rsidRPr="00914046" w:rsidRDefault="00C437E7" w:rsidP="00C437E7">
      <w:pPr>
        <w:pStyle w:val="ParaNoNdepar-AltN"/>
        <w:rPr>
          <w:rFonts w:cs="Times New Roman"/>
        </w:rPr>
      </w:pPr>
      <w:r w:rsidRPr="00914046">
        <w:rPr>
          <w:rFonts w:cs="Times New Roman"/>
        </w:rPr>
        <w:t xml:space="preserve">Over the course of the latter half of the 19th century, the </w:t>
      </w:r>
      <w:proofErr w:type="spellStart"/>
      <w:r w:rsidRPr="00914046">
        <w:rPr>
          <w:rFonts w:cs="Times New Roman"/>
        </w:rPr>
        <w:t>Sinixt</w:t>
      </w:r>
      <w:proofErr w:type="spellEnd"/>
      <w:r w:rsidRPr="00914046">
        <w:rPr>
          <w:rFonts w:cs="Times New Roman"/>
        </w:rPr>
        <w:t xml:space="preserve"> gradually moved to occupy the southern portion of their territory full-time, the portion that lies in the United States. Until around the year 1870, the </w:t>
      </w:r>
      <w:proofErr w:type="spellStart"/>
      <w:r w:rsidRPr="00914046">
        <w:rPr>
          <w:rFonts w:cs="Times New Roman"/>
        </w:rPr>
        <w:t>Sinixt</w:t>
      </w:r>
      <w:proofErr w:type="spellEnd"/>
      <w:r w:rsidRPr="00914046">
        <w:rPr>
          <w:rFonts w:cs="Times New Roman"/>
        </w:rPr>
        <w:t xml:space="preserve"> continued their seasonal round in the northern portion of their territory, located in Canada. In the course of time, a “constellation of factors” made the </w:t>
      </w:r>
      <w:proofErr w:type="spellStart"/>
      <w:r w:rsidRPr="00914046">
        <w:rPr>
          <w:rFonts w:cs="Times New Roman"/>
        </w:rPr>
        <w:t>Sinixt</w:t>
      </w:r>
      <w:proofErr w:type="spellEnd"/>
      <w:r w:rsidRPr="00914046">
        <w:rPr>
          <w:rFonts w:cs="Times New Roman"/>
        </w:rPr>
        <w:t xml:space="preserve"> people move to the United States (2017 </w:t>
      </w:r>
      <w:proofErr w:type="spellStart"/>
      <w:r w:rsidRPr="00914046">
        <w:rPr>
          <w:rFonts w:cs="Times New Roman"/>
        </w:rPr>
        <w:t>BCPC</w:t>
      </w:r>
      <w:proofErr w:type="spellEnd"/>
      <w:r w:rsidRPr="00914046">
        <w:rPr>
          <w:rFonts w:cs="Times New Roman"/>
        </w:rPr>
        <w:t xml:space="preserve"> 84, [2018] 1 </w:t>
      </w:r>
      <w:proofErr w:type="spellStart"/>
      <w:r w:rsidRPr="00914046">
        <w:rPr>
          <w:rFonts w:cs="Times New Roman"/>
        </w:rPr>
        <w:t>C.N.L.R</w:t>
      </w:r>
      <w:proofErr w:type="spellEnd"/>
      <w:r w:rsidRPr="00914046">
        <w:rPr>
          <w:rFonts w:cs="Times New Roman"/>
        </w:rPr>
        <w:t xml:space="preserve">. 97, at para. 110). By 1872, a number of members of the </w:t>
      </w:r>
      <w:proofErr w:type="spellStart"/>
      <w:r w:rsidRPr="00914046">
        <w:rPr>
          <w:rFonts w:cs="Times New Roman"/>
        </w:rPr>
        <w:t>Sinixt</w:t>
      </w:r>
      <w:proofErr w:type="spellEnd"/>
      <w:r w:rsidRPr="00914046">
        <w:rPr>
          <w:rFonts w:cs="Times New Roman"/>
        </w:rPr>
        <w:t xml:space="preserve"> were living for the most part in Washington State. The trial judge did not find that the </w:t>
      </w:r>
      <w:proofErr w:type="spellStart"/>
      <w:r w:rsidRPr="00914046">
        <w:rPr>
          <w:rFonts w:cs="Times New Roman"/>
        </w:rPr>
        <w:t>Sinixt</w:t>
      </w:r>
      <w:proofErr w:type="spellEnd"/>
      <w:r w:rsidRPr="00914046">
        <w:rPr>
          <w:rFonts w:cs="Times New Roman"/>
        </w:rPr>
        <w:t xml:space="preserve"> were forced out of Canada “at gunpoint” (para. 101), but nor did she find that the move was voluntary, as the Lakes Tribe never gave up their claim to their traditional territory in Canada. Until the year 1930, the evidence clearly showed that members of the Lakes Tribe continued to hunt in British Columbia, despite living on the Colville Reserve in Washington State and in the face of the creation of an international border by the 1846 Oregon Boundary Treaty and the outlawing of their </w:t>
      </w:r>
      <w:r w:rsidRPr="00914046">
        <w:rPr>
          <w:rFonts w:cs="Times New Roman"/>
        </w:rPr>
        <w:lastRenderedPageBreak/>
        <w:t xml:space="preserve">hunting by British Columbia through the </w:t>
      </w:r>
      <w:r w:rsidRPr="00914046">
        <w:rPr>
          <w:rFonts w:cs="Times New Roman"/>
          <w:i/>
          <w:iCs/>
          <w:lang w:bidi="en-US"/>
        </w:rPr>
        <w:t>Game Protection Amendment Act, 1896</w:t>
      </w:r>
      <w:r w:rsidRPr="00914046">
        <w:rPr>
          <w:rFonts w:cs="Times New Roman"/>
          <w:lang w:bidi="en-US"/>
        </w:rPr>
        <w:t xml:space="preserve">, </w:t>
      </w:r>
      <w:proofErr w:type="spellStart"/>
      <w:r w:rsidRPr="00914046">
        <w:rPr>
          <w:rFonts w:cs="Times New Roman"/>
          <w:lang w:bidi="en-US"/>
        </w:rPr>
        <w:t>S.B.C</w:t>
      </w:r>
      <w:proofErr w:type="spellEnd"/>
      <w:r w:rsidRPr="00914046">
        <w:rPr>
          <w:rFonts w:cs="Times New Roman"/>
          <w:lang w:bidi="en-US"/>
        </w:rPr>
        <w:t>., c. 22. From 1930 until 1972, there may have been a period of dormancy.</w:t>
      </w:r>
      <w:r w:rsidRPr="00914046">
        <w:rPr>
          <w:rFonts w:cs="Times New Roman"/>
        </w:rPr>
        <w:t xml:space="preserve"> As was found at trial, the Lakes Tribe continues to have a connection to the land where their ancestors hunted in British Columbia. </w:t>
      </w:r>
    </w:p>
    <w:p w:rsidR="00C437E7" w:rsidRPr="00914046" w:rsidRDefault="00C437E7" w:rsidP="00C437E7">
      <w:pPr>
        <w:pStyle w:val="ParaNoNdepar-AltN"/>
        <w:rPr>
          <w:rFonts w:cs="Times New Roman"/>
        </w:rPr>
      </w:pPr>
      <w:r w:rsidRPr="00914046">
        <w:rPr>
          <w:rFonts w:cs="Times New Roman"/>
        </w:rPr>
        <w:t xml:space="preserve">Meanwhile, the population of </w:t>
      </w:r>
      <w:proofErr w:type="spellStart"/>
      <w:r w:rsidRPr="00914046">
        <w:rPr>
          <w:rFonts w:cs="Times New Roman"/>
        </w:rPr>
        <w:t>Sinixt</w:t>
      </w:r>
      <w:proofErr w:type="spellEnd"/>
      <w:r w:rsidRPr="00914046">
        <w:rPr>
          <w:rFonts w:cs="Times New Roman"/>
        </w:rPr>
        <w:t xml:space="preserve"> who had remained in Canada was small. By 1902, only 21 </w:t>
      </w:r>
      <w:proofErr w:type="spellStart"/>
      <w:r w:rsidRPr="00914046">
        <w:rPr>
          <w:rFonts w:cs="Times New Roman"/>
        </w:rPr>
        <w:t>Sinixt</w:t>
      </w:r>
      <w:proofErr w:type="spellEnd"/>
      <w:r w:rsidRPr="00914046">
        <w:rPr>
          <w:rFonts w:cs="Times New Roman"/>
        </w:rPr>
        <w:t xml:space="preserve"> still lived on their traditional territory in Canada, in the Arrow Lakes Band reserve. By 1930, only one person remained on the rolls of the Arrow Lakes Band, and after her death in 1956, the government of Canada declared the Arrow Lakes Band extinct, and the reserve lands reverted to the provincial Crown. </w:t>
      </w:r>
    </w:p>
    <w:p w:rsidR="00C437E7" w:rsidRPr="00914046" w:rsidRDefault="00C437E7" w:rsidP="00C437E7">
      <w:pPr>
        <w:pStyle w:val="Title1LevelTitre1Niveau-AltL"/>
        <w:rPr>
          <w:rFonts w:cs="Times New Roman"/>
        </w:rPr>
      </w:pPr>
      <w:r w:rsidRPr="00914046">
        <w:rPr>
          <w:rFonts w:cs="Times New Roman"/>
        </w:rPr>
        <w:t>Judicial History</w:t>
      </w:r>
    </w:p>
    <w:p w:rsidR="00C437E7" w:rsidRPr="00914046" w:rsidRDefault="00C437E7" w:rsidP="00C437E7">
      <w:pPr>
        <w:pStyle w:val="Title2LevelTitre2Niveau"/>
        <w:rPr>
          <w:rFonts w:cs="Times New Roman"/>
        </w:rPr>
      </w:pPr>
      <w:r w:rsidRPr="00914046">
        <w:rPr>
          <w:rFonts w:cs="Times New Roman"/>
        </w:rPr>
        <w:t xml:space="preserve">British Columbia Provincial Court, 2017 </w:t>
      </w:r>
      <w:proofErr w:type="spellStart"/>
      <w:r w:rsidRPr="00914046">
        <w:rPr>
          <w:rFonts w:cs="Times New Roman"/>
        </w:rPr>
        <w:t>BCPC</w:t>
      </w:r>
      <w:proofErr w:type="spellEnd"/>
      <w:r w:rsidRPr="00914046">
        <w:rPr>
          <w:rFonts w:cs="Times New Roman"/>
        </w:rPr>
        <w:t xml:space="preserve"> 84, [2018] 1 </w:t>
      </w:r>
      <w:proofErr w:type="spellStart"/>
      <w:r w:rsidRPr="00914046">
        <w:rPr>
          <w:rFonts w:cs="Times New Roman"/>
        </w:rPr>
        <w:t>C.N.L.R</w:t>
      </w:r>
      <w:proofErr w:type="spellEnd"/>
      <w:r w:rsidRPr="00914046">
        <w:rPr>
          <w:rFonts w:cs="Times New Roman"/>
        </w:rPr>
        <w:t>. 97 (</w:t>
      </w:r>
      <w:proofErr w:type="spellStart"/>
      <w:r w:rsidRPr="00914046">
        <w:rPr>
          <w:rFonts w:cs="Times New Roman"/>
        </w:rPr>
        <w:t>Mrozinski</w:t>
      </w:r>
      <w:proofErr w:type="spellEnd"/>
      <w:r w:rsidRPr="00914046">
        <w:rPr>
          <w:rFonts w:cs="Times New Roman"/>
        </w:rPr>
        <w:t xml:space="preserve"> J.)</w:t>
      </w:r>
    </w:p>
    <w:p w:rsidR="00C437E7" w:rsidRPr="00914046" w:rsidRDefault="00C437E7" w:rsidP="00C437E7">
      <w:pPr>
        <w:pStyle w:val="ParaNoNdepar-AltN"/>
        <w:rPr>
          <w:rFonts w:cs="Times New Roman"/>
          <w:shd w:val="clear" w:color="auto" w:fill="FFFFFF"/>
        </w:rPr>
      </w:pPr>
      <w:r w:rsidRPr="00914046">
        <w:rPr>
          <w:rFonts w:cs="Times New Roman"/>
        </w:rPr>
        <w:t xml:space="preserve">The trial judge held that there was no doubt that Mr. </w:t>
      </w:r>
      <w:proofErr w:type="spellStart"/>
      <w:r w:rsidRPr="00914046">
        <w:rPr>
          <w:rFonts w:cs="Times New Roman"/>
        </w:rPr>
        <w:t>Desautel</w:t>
      </w:r>
      <w:proofErr w:type="spellEnd"/>
      <w:r w:rsidRPr="00914046">
        <w:rPr>
          <w:rFonts w:cs="Times New Roman"/>
        </w:rPr>
        <w:t xml:space="preserve"> is a member of the Lakes Tribe, and saw the Lakes Tribe as a clear successor group to the </w:t>
      </w:r>
      <w:proofErr w:type="spellStart"/>
      <w:r w:rsidRPr="00914046">
        <w:rPr>
          <w:rFonts w:cs="Times New Roman"/>
        </w:rPr>
        <w:t>Sinixt</w:t>
      </w:r>
      <w:proofErr w:type="spellEnd"/>
      <w:r w:rsidRPr="00914046">
        <w:rPr>
          <w:rFonts w:cs="Times New Roman"/>
        </w:rPr>
        <w:t xml:space="preserve">, such that the communal rights of the </w:t>
      </w:r>
      <w:proofErr w:type="spellStart"/>
      <w:r w:rsidRPr="00914046">
        <w:rPr>
          <w:rFonts w:cs="Times New Roman"/>
        </w:rPr>
        <w:t>Sinixt</w:t>
      </w:r>
      <w:proofErr w:type="spellEnd"/>
      <w:r w:rsidRPr="00914046">
        <w:rPr>
          <w:rFonts w:cs="Times New Roman"/>
        </w:rPr>
        <w:t xml:space="preserve"> could continue with the Lakes Tribe.</w:t>
      </w:r>
      <w:r w:rsidRPr="00914046">
        <w:rPr>
          <w:rFonts w:cs="Times New Roman"/>
          <w:shd w:val="clear" w:color="auto" w:fill="FFFFFF"/>
        </w:rPr>
        <w:t xml:space="preserve"> </w:t>
      </w:r>
      <w:r w:rsidRPr="00914046">
        <w:rPr>
          <w:rFonts w:cs="Times New Roman"/>
        </w:rPr>
        <w:t xml:space="preserve">The trial judge applied the test this Court set out in </w:t>
      </w:r>
      <w:r w:rsidRPr="00914046">
        <w:rPr>
          <w:rFonts w:cs="Times New Roman"/>
          <w:i/>
        </w:rPr>
        <w:t xml:space="preserve">R. v. Van der </w:t>
      </w:r>
      <w:proofErr w:type="spellStart"/>
      <w:r w:rsidRPr="00914046">
        <w:rPr>
          <w:rFonts w:cs="Times New Roman"/>
          <w:i/>
        </w:rPr>
        <w:t>Peet</w:t>
      </w:r>
      <w:proofErr w:type="spellEnd"/>
      <w:r w:rsidRPr="00914046">
        <w:rPr>
          <w:rFonts w:cs="Times New Roman"/>
        </w:rPr>
        <w:t xml:space="preserve">, [1996] 2 </w:t>
      </w:r>
      <w:proofErr w:type="spellStart"/>
      <w:r w:rsidRPr="00914046">
        <w:rPr>
          <w:rFonts w:cs="Times New Roman"/>
        </w:rPr>
        <w:t>S.C.R</w:t>
      </w:r>
      <w:proofErr w:type="spellEnd"/>
      <w:r w:rsidRPr="00914046">
        <w:rPr>
          <w:rFonts w:cs="Times New Roman"/>
        </w:rPr>
        <w:t xml:space="preserve">. 507. She held that Mr. </w:t>
      </w:r>
      <w:proofErr w:type="spellStart"/>
      <w:r w:rsidRPr="00914046">
        <w:rPr>
          <w:rFonts w:cs="Times New Roman"/>
        </w:rPr>
        <w:t>Desautel</w:t>
      </w:r>
      <w:proofErr w:type="spellEnd"/>
      <w:r w:rsidRPr="00914046">
        <w:rPr>
          <w:rFonts w:cs="Times New Roman"/>
        </w:rPr>
        <w:t xml:space="preserve"> was exercising an Aboriginal right to hunt for food, social and ceremonial purposes guaranteed by s. 35(1) of the </w:t>
      </w:r>
      <w:r w:rsidRPr="00914046">
        <w:rPr>
          <w:rFonts w:cs="Times New Roman"/>
          <w:i/>
        </w:rPr>
        <w:t>Constitution Act, 1982</w:t>
      </w:r>
      <w:r w:rsidRPr="00914046">
        <w:rPr>
          <w:rFonts w:cs="Times New Roman"/>
        </w:rPr>
        <w:t xml:space="preserve">. </w:t>
      </w:r>
    </w:p>
    <w:p w:rsidR="00C437E7" w:rsidRPr="00914046" w:rsidRDefault="00C437E7" w:rsidP="00C437E7">
      <w:pPr>
        <w:pStyle w:val="ParaNoNdepar-AltN"/>
        <w:rPr>
          <w:rFonts w:cs="Times New Roman"/>
          <w:shd w:val="clear" w:color="auto" w:fill="FFFFFF"/>
        </w:rPr>
      </w:pPr>
      <w:r w:rsidRPr="00914046">
        <w:rPr>
          <w:rFonts w:cs="Times New Roman"/>
        </w:rPr>
        <w:lastRenderedPageBreak/>
        <w:t>Despite the Lakes Tribe’s departure from the northern part of their traditional territory, its members remained connected to that geographical area. The evidence demonstrated that the land and the traditions were not forgotten, and that the connection to the land was still present in the minds of the members of the Lakes Tribe.</w:t>
      </w:r>
      <w:r w:rsidRPr="00914046">
        <w:rPr>
          <w:rFonts w:cs="Times New Roman"/>
          <w:lang w:val="en"/>
        </w:rPr>
        <w:t xml:space="preserve"> </w:t>
      </w:r>
      <w:r w:rsidRPr="00914046">
        <w:rPr>
          <w:rFonts w:cs="Times New Roman"/>
          <w:shd w:val="clear" w:color="auto" w:fill="FFFFFF"/>
        </w:rPr>
        <w:t>The trial judge found that the requirement of continuity was met, notwithstanding a period of dormancy between 1930 and 1972, because there is no requirement of “an unbroken chain of continuity” (</w:t>
      </w:r>
      <w:r w:rsidRPr="00914046">
        <w:rPr>
          <w:rFonts w:cs="Times New Roman"/>
          <w:i/>
          <w:shd w:val="clear" w:color="auto" w:fill="FFFFFF"/>
        </w:rPr>
        <w:t xml:space="preserve">Van der </w:t>
      </w:r>
      <w:proofErr w:type="spellStart"/>
      <w:r w:rsidRPr="00914046">
        <w:rPr>
          <w:rFonts w:cs="Times New Roman"/>
          <w:i/>
          <w:shd w:val="clear" w:color="auto" w:fill="FFFFFF"/>
        </w:rPr>
        <w:t>Peet</w:t>
      </w:r>
      <w:proofErr w:type="spellEnd"/>
      <w:r w:rsidRPr="00914046">
        <w:rPr>
          <w:rFonts w:cs="Times New Roman"/>
          <w:shd w:val="clear" w:color="auto" w:fill="FFFFFF"/>
        </w:rPr>
        <w:t>, at para.</w:t>
      </w:r>
      <w:r w:rsidRPr="00914046">
        <w:rPr>
          <w:rFonts w:cs="Times New Roman"/>
          <w:shd w:val="clear" w:color="auto" w:fill="FFFFFF"/>
          <w:lang w:val="en-US"/>
        </w:rPr>
        <w:t> </w:t>
      </w:r>
      <w:r w:rsidRPr="00914046">
        <w:rPr>
          <w:rFonts w:cs="Times New Roman"/>
          <w:shd w:val="clear" w:color="auto" w:fill="FFFFFF"/>
        </w:rPr>
        <w:t>65).</w:t>
      </w:r>
    </w:p>
    <w:p w:rsidR="00C437E7" w:rsidRPr="00914046" w:rsidRDefault="00C437E7" w:rsidP="00C437E7">
      <w:pPr>
        <w:pStyle w:val="ParaNoNdepar-AltN"/>
        <w:rPr>
          <w:rFonts w:cs="Times New Roman"/>
          <w:i/>
        </w:rPr>
      </w:pPr>
      <w:r w:rsidRPr="00914046">
        <w:rPr>
          <w:rFonts w:cs="Times New Roman"/>
        </w:rPr>
        <w:t>Moreover, the trial judge decided it was not necessary to define the Aboriginal right as including a mobility</w:t>
      </w:r>
      <w:r w:rsidRPr="00914046">
        <w:rPr>
          <w:rFonts w:cs="Times New Roman"/>
          <w:spacing w:val="-8"/>
        </w:rPr>
        <w:t xml:space="preserve"> </w:t>
      </w:r>
      <w:r w:rsidRPr="00914046">
        <w:rPr>
          <w:rFonts w:cs="Times New Roman"/>
        </w:rPr>
        <w:t xml:space="preserve">right, so no issue of sovereign incompatibility arose. Mr. </w:t>
      </w:r>
      <w:proofErr w:type="spellStart"/>
      <w:r w:rsidRPr="00914046">
        <w:rPr>
          <w:rFonts w:cs="Times New Roman"/>
        </w:rPr>
        <w:t>Desautel’s</w:t>
      </w:r>
      <w:proofErr w:type="spellEnd"/>
      <w:r w:rsidRPr="00914046">
        <w:rPr>
          <w:rFonts w:cs="Times New Roman"/>
        </w:rPr>
        <w:t xml:space="preserve"> Aboriginal right remained in existence and was protected by s. 35(1). The trial judge held that the right was infringed by the provisions of the </w:t>
      </w:r>
      <w:r w:rsidRPr="00914046">
        <w:rPr>
          <w:rFonts w:cs="Times New Roman"/>
          <w:i/>
        </w:rPr>
        <w:t>Wildlife Act</w:t>
      </w:r>
      <w:r w:rsidRPr="00914046">
        <w:rPr>
          <w:rFonts w:cs="Times New Roman"/>
        </w:rPr>
        <w:t xml:space="preserve"> and the infringement was not justified. Mr. </w:t>
      </w:r>
      <w:proofErr w:type="spellStart"/>
      <w:r w:rsidRPr="00914046">
        <w:rPr>
          <w:rFonts w:cs="Times New Roman"/>
        </w:rPr>
        <w:t>Desautel</w:t>
      </w:r>
      <w:proofErr w:type="spellEnd"/>
      <w:r w:rsidRPr="00914046">
        <w:rPr>
          <w:rFonts w:cs="Times New Roman"/>
        </w:rPr>
        <w:t xml:space="preserve"> was acquitted. </w:t>
      </w:r>
    </w:p>
    <w:p w:rsidR="00C437E7" w:rsidRPr="00914046" w:rsidRDefault="00C437E7" w:rsidP="00C437E7">
      <w:pPr>
        <w:pStyle w:val="Title2LevelTitre2Niveau"/>
        <w:rPr>
          <w:rFonts w:cs="Times New Roman"/>
        </w:rPr>
      </w:pPr>
      <w:r w:rsidRPr="00914046">
        <w:rPr>
          <w:rFonts w:cs="Times New Roman"/>
        </w:rPr>
        <w:t xml:space="preserve">British Columbia </w:t>
      </w:r>
      <w:bookmarkStart w:id="1" w:name="_Toc51056580"/>
      <w:r w:rsidRPr="00914046">
        <w:rPr>
          <w:rFonts w:cs="Times New Roman"/>
        </w:rPr>
        <w:t xml:space="preserve">Superior Court, 2017 </w:t>
      </w:r>
      <w:proofErr w:type="spellStart"/>
      <w:r w:rsidRPr="00914046">
        <w:rPr>
          <w:rFonts w:cs="Times New Roman"/>
        </w:rPr>
        <w:t>BCSC</w:t>
      </w:r>
      <w:proofErr w:type="spellEnd"/>
      <w:r w:rsidRPr="00914046">
        <w:rPr>
          <w:rFonts w:cs="Times New Roman"/>
        </w:rPr>
        <w:t xml:space="preserve"> 2389, [2018] 1 </w:t>
      </w:r>
      <w:proofErr w:type="spellStart"/>
      <w:r w:rsidRPr="00914046">
        <w:rPr>
          <w:rFonts w:cs="Times New Roman"/>
        </w:rPr>
        <w:t>C.N.L.R</w:t>
      </w:r>
      <w:proofErr w:type="spellEnd"/>
      <w:r w:rsidRPr="00914046">
        <w:rPr>
          <w:rFonts w:cs="Times New Roman"/>
        </w:rPr>
        <w:t>. 135 (Sewell J</w:t>
      </w:r>
      <w:bookmarkEnd w:id="1"/>
      <w:r w:rsidRPr="00914046">
        <w:rPr>
          <w:rFonts w:cs="Times New Roman"/>
        </w:rPr>
        <w:t>.)</w:t>
      </w:r>
    </w:p>
    <w:p w:rsidR="00C437E7" w:rsidRPr="00914046" w:rsidRDefault="00C437E7" w:rsidP="00C437E7">
      <w:pPr>
        <w:pStyle w:val="ParaNoNdepar-AltN"/>
        <w:rPr>
          <w:rFonts w:cs="Times New Roman"/>
        </w:rPr>
      </w:pPr>
      <w:r w:rsidRPr="00914046">
        <w:rPr>
          <w:rFonts w:cs="Times New Roman"/>
        </w:rPr>
        <w:t xml:space="preserve">The appeal was dismissed. The summary conviction appeal judge held that the </w:t>
      </w:r>
      <w:proofErr w:type="spellStart"/>
      <w:r w:rsidRPr="00914046">
        <w:rPr>
          <w:rFonts w:cs="Times New Roman"/>
        </w:rPr>
        <w:t>Sinixt</w:t>
      </w:r>
      <w:proofErr w:type="spellEnd"/>
      <w:r w:rsidRPr="00914046">
        <w:rPr>
          <w:rFonts w:cs="Times New Roman"/>
        </w:rPr>
        <w:t xml:space="preserve"> people are the relevant collective and that modern-day Lakes Tribe members are entitled to assert the Aboriginal rights held by the </w:t>
      </w:r>
      <w:proofErr w:type="spellStart"/>
      <w:r w:rsidRPr="00914046">
        <w:rPr>
          <w:rFonts w:cs="Times New Roman"/>
        </w:rPr>
        <w:t>Sinixt</w:t>
      </w:r>
      <w:proofErr w:type="spellEnd"/>
      <w:r w:rsidRPr="00914046">
        <w:rPr>
          <w:rFonts w:cs="Times New Roman"/>
        </w:rPr>
        <w:t xml:space="preserve">, based on practices that were part of their distinctive culture at the time of contact, in their traditional territory in British Columbia. According to the summary conviction appeal judge, the words “aboriginal peoples of Canada” in s. 35(1) must be interpreted in a purposive way, and mean Aboriginal peoples who, prior to contact, occupied what became Canada. </w:t>
      </w:r>
      <w:r w:rsidRPr="00914046">
        <w:rPr>
          <w:rFonts w:cs="Times New Roman"/>
        </w:rPr>
        <w:lastRenderedPageBreak/>
        <w:t xml:space="preserve">Therefore, modern-day members of the </w:t>
      </w:r>
      <w:proofErr w:type="spellStart"/>
      <w:r w:rsidRPr="00914046">
        <w:rPr>
          <w:rFonts w:cs="Times New Roman"/>
        </w:rPr>
        <w:t>Sinixt</w:t>
      </w:r>
      <w:proofErr w:type="spellEnd"/>
      <w:r w:rsidRPr="00914046">
        <w:rPr>
          <w:rFonts w:cs="Times New Roman"/>
        </w:rPr>
        <w:t xml:space="preserve"> are not precluded from asserting rights under s. 35(1) merely because they now live in the United States. This interpretation of s. 35(1) is consistent with the objective of reconciliation. To establish an Aboriginal right to hunt, Mr. </w:t>
      </w:r>
      <w:proofErr w:type="spellStart"/>
      <w:r w:rsidRPr="00914046">
        <w:rPr>
          <w:rFonts w:cs="Times New Roman"/>
        </w:rPr>
        <w:t>Desautel</w:t>
      </w:r>
      <w:proofErr w:type="spellEnd"/>
      <w:r w:rsidRPr="00914046">
        <w:rPr>
          <w:rFonts w:cs="Times New Roman"/>
        </w:rPr>
        <w:t xml:space="preserve"> had to meet the requirements of the </w:t>
      </w:r>
      <w:r w:rsidRPr="00914046">
        <w:rPr>
          <w:rFonts w:cs="Times New Roman"/>
          <w:i/>
        </w:rPr>
        <w:t xml:space="preserve">Van der </w:t>
      </w:r>
      <w:proofErr w:type="spellStart"/>
      <w:r w:rsidRPr="00914046">
        <w:rPr>
          <w:rFonts w:cs="Times New Roman"/>
          <w:i/>
        </w:rPr>
        <w:t>Peet</w:t>
      </w:r>
      <w:proofErr w:type="spellEnd"/>
      <w:r w:rsidRPr="00914046">
        <w:rPr>
          <w:rFonts w:cs="Times New Roman"/>
          <w:i/>
        </w:rPr>
        <w:t xml:space="preserve"> </w:t>
      </w:r>
      <w:r w:rsidRPr="00914046">
        <w:rPr>
          <w:rFonts w:cs="Times New Roman"/>
        </w:rPr>
        <w:t xml:space="preserve">test. The summary conviction appeal judge found that the trial judge made no error in applying the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xml:space="preserve"> test.</w:t>
      </w:r>
    </w:p>
    <w:p w:rsidR="00C437E7" w:rsidRPr="00914046" w:rsidRDefault="00C437E7" w:rsidP="00C437E7">
      <w:pPr>
        <w:pStyle w:val="ParaNoNdepar-AltN"/>
        <w:rPr>
          <w:rFonts w:cs="Times New Roman"/>
        </w:rPr>
      </w:pPr>
      <w:r w:rsidRPr="00914046">
        <w:rPr>
          <w:rFonts w:cs="Times New Roman"/>
        </w:rPr>
        <w:t>The summary conviction appeal judge held that Mr. </w:t>
      </w:r>
      <w:proofErr w:type="spellStart"/>
      <w:r w:rsidRPr="00914046">
        <w:rPr>
          <w:rFonts w:cs="Times New Roman"/>
        </w:rPr>
        <w:t>Desautel’s</w:t>
      </w:r>
      <w:proofErr w:type="spellEnd"/>
      <w:r w:rsidRPr="00914046">
        <w:rPr>
          <w:rFonts w:cs="Times New Roman"/>
        </w:rPr>
        <w:t xml:space="preserve"> Aboriginal right to hunt is not incompatible with Canadian sovereignty. The fact that the government of Canada has the right to control its borders is not fatal to the assertion of an Aboriginal right to hunt in Canada by an Aboriginal group located in the United States. Mr. </w:t>
      </w:r>
      <w:proofErr w:type="spellStart"/>
      <w:r w:rsidRPr="00914046">
        <w:rPr>
          <w:rFonts w:cs="Times New Roman"/>
        </w:rPr>
        <w:t>Desautel</w:t>
      </w:r>
      <w:proofErr w:type="spellEnd"/>
      <w:r w:rsidRPr="00914046">
        <w:rPr>
          <w:rFonts w:cs="Times New Roman"/>
        </w:rPr>
        <w:t xml:space="preserve"> was not charged with coming into Canada unlawfully and there was no evidence that he was denied entry. In contrast with the claimant in </w:t>
      </w:r>
      <w:r w:rsidRPr="00914046">
        <w:rPr>
          <w:rFonts w:cs="Times New Roman"/>
          <w:i/>
        </w:rPr>
        <w:t xml:space="preserve">Mitchell v. </w:t>
      </w:r>
      <w:proofErr w:type="spellStart"/>
      <w:r w:rsidRPr="00914046">
        <w:rPr>
          <w:rFonts w:cs="Times New Roman"/>
          <w:i/>
        </w:rPr>
        <w:t>M.N.R</w:t>
      </w:r>
      <w:proofErr w:type="spellEnd"/>
      <w:r w:rsidRPr="00914046">
        <w:rPr>
          <w:rFonts w:cs="Times New Roman"/>
          <w:i/>
        </w:rPr>
        <w:t>.</w:t>
      </w:r>
      <w:r w:rsidRPr="00914046">
        <w:rPr>
          <w:rFonts w:cs="Times New Roman"/>
        </w:rPr>
        <w:t xml:space="preserve">, 2001 SCC 33, [2001] 1 </w:t>
      </w:r>
      <w:proofErr w:type="spellStart"/>
      <w:r w:rsidRPr="00914046">
        <w:rPr>
          <w:rFonts w:cs="Times New Roman"/>
        </w:rPr>
        <w:t>S.C.R</w:t>
      </w:r>
      <w:proofErr w:type="spellEnd"/>
      <w:r w:rsidRPr="00914046">
        <w:rPr>
          <w:rFonts w:cs="Times New Roman"/>
        </w:rPr>
        <w:t>. 911,</w:t>
      </w:r>
      <w:r w:rsidRPr="00914046">
        <w:rPr>
          <w:rFonts w:cs="Times New Roman"/>
          <w:i/>
        </w:rPr>
        <w:t xml:space="preserve"> </w:t>
      </w:r>
      <w:r w:rsidRPr="00914046">
        <w:rPr>
          <w:rFonts w:cs="Times New Roman"/>
        </w:rPr>
        <w:t xml:space="preserve">Mr. </w:t>
      </w:r>
      <w:proofErr w:type="spellStart"/>
      <w:r w:rsidRPr="00914046">
        <w:rPr>
          <w:rFonts w:cs="Times New Roman"/>
        </w:rPr>
        <w:t>Desautel</w:t>
      </w:r>
      <w:proofErr w:type="spellEnd"/>
      <w:r w:rsidRPr="00914046">
        <w:rPr>
          <w:rFonts w:cs="Times New Roman"/>
        </w:rPr>
        <w:t xml:space="preserve"> was not asserting an Aboriginal right to cross the border. </w:t>
      </w:r>
    </w:p>
    <w:p w:rsidR="00C437E7" w:rsidRPr="00914046" w:rsidRDefault="00C437E7" w:rsidP="00C437E7">
      <w:pPr>
        <w:pStyle w:val="Title2LevelTitre2Niveau"/>
        <w:rPr>
          <w:rFonts w:cs="Times New Roman"/>
        </w:rPr>
      </w:pPr>
      <w:r w:rsidRPr="00914046">
        <w:rPr>
          <w:rFonts w:cs="Times New Roman"/>
        </w:rPr>
        <w:t xml:space="preserve">British Columbia Court of Appeal, </w:t>
      </w:r>
      <w:bookmarkStart w:id="2" w:name="_Toc51056584"/>
      <w:r w:rsidRPr="00914046">
        <w:rPr>
          <w:rFonts w:cs="Times New Roman"/>
        </w:rPr>
        <w:t xml:space="preserve">2019 </w:t>
      </w:r>
      <w:proofErr w:type="spellStart"/>
      <w:r w:rsidRPr="00914046">
        <w:rPr>
          <w:rFonts w:cs="Times New Roman"/>
        </w:rPr>
        <w:t>BCCA</w:t>
      </w:r>
      <w:proofErr w:type="spellEnd"/>
      <w:r w:rsidRPr="00914046">
        <w:rPr>
          <w:rFonts w:cs="Times New Roman"/>
        </w:rPr>
        <w:t xml:space="preserve"> 151, 24 </w:t>
      </w:r>
      <w:proofErr w:type="spellStart"/>
      <w:r w:rsidRPr="00914046">
        <w:rPr>
          <w:rFonts w:cs="Times New Roman"/>
        </w:rPr>
        <w:t>B.C.L.R</w:t>
      </w:r>
      <w:proofErr w:type="spellEnd"/>
      <w:r w:rsidRPr="00914046">
        <w:rPr>
          <w:rFonts w:cs="Times New Roman"/>
        </w:rPr>
        <w:t xml:space="preserve">. (6th) 48 (Smith, </w:t>
      </w:r>
      <w:proofErr w:type="spellStart"/>
      <w:r w:rsidRPr="00914046">
        <w:rPr>
          <w:rFonts w:cs="Times New Roman"/>
        </w:rPr>
        <w:t>Willcock</w:t>
      </w:r>
      <w:proofErr w:type="spellEnd"/>
      <w:r w:rsidRPr="00914046">
        <w:rPr>
          <w:rFonts w:cs="Times New Roman"/>
        </w:rPr>
        <w:t xml:space="preserve"> and Fitch </w:t>
      </w:r>
      <w:proofErr w:type="spellStart"/>
      <w:r w:rsidRPr="00914046">
        <w:rPr>
          <w:rFonts w:cs="Times New Roman"/>
        </w:rPr>
        <w:t>J</w:t>
      </w:r>
      <w:bookmarkEnd w:id="2"/>
      <w:r w:rsidRPr="00914046">
        <w:rPr>
          <w:rFonts w:cs="Times New Roman"/>
        </w:rPr>
        <w:t>J.A</w:t>
      </w:r>
      <w:proofErr w:type="spellEnd"/>
      <w:r w:rsidRPr="00914046">
        <w:rPr>
          <w:rFonts w:cs="Times New Roman"/>
        </w:rPr>
        <w:t>.)</w:t>
      </w:r>
    </w:p>
    <w:p w:rsidR="00C437E7" w:rsidRPr="00914046" w:rsidRDefault="00C437E7" w:rsidP="00C437E7">
      <w:pPr>
        <w:pStyle w:val="ParaNoNdepar-AltN"/>
        <w:rPr>
          <w:rFonts w:cs="Times New Roman"/>
        </w:rPr>
      </w:pPr>
      <w:r w:rsidRPr="00914046">
        <w:rPr>
          <w:rFonts w:cs="Times New Roman"/>
        </w:rPr>
        <w:t xml:space="preserve">The Crown’s appeal was dismissed. Under a purposive approach, the Court of Appeal concluded that an Aboriginal group that does not reside in Canada and whose members are neither residents nor citizens of Canada can claim constitutional rights under s. 35(1) of the </w:t>
      </w:r>
      <w:r w:rsidRPr="00914046">
        <w:rPr>
          <w:rFonts w:cs="Times New Roman"/>
          <w:i/>
        </w:rPr>
        <w:t>Constitution Act, 1982</w:t>
      </w:r>
      <w:r w:rsidRPr="00914046">
        <w:rPr>
          <w:rFonts w:cs="Times New Roman"/>
        </w:rPr>
        <w:t>.</w:t>
      </w:r>
      <w:r w:rsidRPr="00914046">
        <w:rPr>
          <w:rFonts w:cs="Times New Roman"/>
          <w:i/>
        </w:rPr>
        <w:t xml:space="preserve"> </w:t>
      </w:r>
      <w:r w:rsidRPr="00914046">
        <w:rPr>
          <w:rFonts w:cs="Times New Roman"/>
        </w:rPr>
        <w:t xml:space="preserve">It is not a requirement that there be a present-day Aboriginal community in the geographic area where the claimed right is </w:t>
      </w:r>
      <w:r w:rsidRPr="00914046">
        <w:rPr>
          <w:rFonts w:cs="Times New Roman"/>
        </w:rPr>
        <w:lastRenderedPageBreak/>
        <w:t xml:space="preserve">exercised. In this case, the Court of Appeal found that the relevant historic collective is the </w:t>
      </w:r>
      <w:proofErr w:type="spellStart"/>
      <w:r w:rsidRPr="00914046">
        <w:rPr>
          <w:rFonts w:cs="Times New Roman"/>
        </w:rPr>
        <w:t>Sinixt</w:t>
      </w:r>
      <w:proofErr w:type="spellEnd"/>
      <w:r w:rsidRPr="00914046">
        <w:rPr>
          <w:rFonts w:cs="Times New Roman"/>
        </w:rPr>
        <w:t xml:space="preserve"> and that the Lakes Tribe is a modern collective descended from the </w:t>
      </w:r>
      <w:proofErr w:type="spellStart"/>
      <w:r w:rsidRPr="00914046">
        <w:rPr>
          <w:rFonts w:cs="Times New Roman"/>
        </w:rPr>
        <w:t>Sinixt</w:t>
      </w:r>
      <w:proofErr w:type="spellEnd"/>
      <w:r w:rsidRPr="00914046">
        <w:rPr>
          <w:rFonts w:cs="Times New Roman"/>
        </w:rPr>
        <w:t xml:space="preserve">. The finding of the trial judge that the chain of continuity had not been broken was entitled to deference. There is no requirement under the </w:t>
      </w:r>
      <w:r w:rsidRPr="00914046">
        <w:rPr>
          <w:rFonts w:cs="Times New Roman"/>
          <w:i/>
        </w:rPr>
        <w:t xml:space="preserve">Van der </w:t>
      </w:r>
      <w:proofErr w:type="spellStart"/>
      <w:r w:rsidRPr="00914046">
        <w:rPr>
          <w:rFonts w:cs="Times New Roman"/>
          <w:i/>
        </w:rPr>
        <w:t>Peet</w:t>
      </w:r>
      <w:proofErr w:type="spellEnd"/>
      <w:r w:rsidRPr="00914046">
        <w:rPr>
          <w:rFonts w:cs="Times New Roman"/>
          <w:i/>
        </w:rPr>
        <w:t xml:space="preserve"> </w:t>
      </w:r>
      <w:r w:rsidRPr="00914046">
        <w:rPr>
          <w:rFonts w:cs="Times New Roman"/>
        </w:rPr>
        <w:t>test, according to the Court of Appeal, that the claimant must be a member of a contemporary Aboriginal community currently located in the geographic area where the right was historically exercised. Imposing such a requirement would fail to take into account the Aboriginal perspective, the realities of colonization and displacement, and the goal of reconciliation. The Court of Appeal concluded that the rights of Mr. </w:t>
      </w:r>
      <w:proofErr w:type="spellStart"/>
      <w:r w:rsidRPr="00914046">
        <w:rPr>
          <w:rFonts w:cs="Times New Roman"/>
        </w:rPr>
        <w:t>Desautel’s</w:t>
      </w:r>
      <w:proofErr w:type="spellEnd"/>
      <w:r w:rsidRPr="00914046">
        <w:rPr>
          <w:rFonts w:cs="Times New Roman"/>
        </w:rPr>
        <w:t xml:space="preserve"> community to hunt on their ancestral lands in British Columbia were never voluntarily surrendered, abandoned or extinguished. Therefore, Mr. </w:t>
      </w:r>
      <w:proofErr w:type="spellStart"/>
      <w:r w:rsidRPr="00914046">
        <w:rPr>
          <w:rFonts w:cs="Times New Roman"/>
        </w:rPr>
        <w:t>Desautel</w:t>
      </w:r>
      <w:proofErr w:type="spellEnd"/>
      <w:r w:rsidRPr="00914046">
        <w:rPr>
          <w:rFonts w:cs="Times New Roman"/>
        </w:rPr>
        <w:t xml:space="preserve"> has an Aboriginal right to hunt in British Columbia.</w:t>
      </w:r>
    </w:p>
    <w:p w:rsidR="00C437E7" w:rsidRPr="00914046" w:rsidRDefault="00C437E7" w:rsidP="00C437E7">
      <w:pPr>
        <w:pStyle w:val="ParaNoNdepar-AltN"/>
        <w:rPr>
          <w:rFonts w:cs="Times New Roman"/>
        </w:rPr>
      </w:pPr>
      <w:r w:rsidRPr="00914046">
        <w:rPr>
          <w:rFonts w:cs="Times New Roman"/>
        </w:rPr>
        <w:t>It was further held that practical concerns about the expansion of Canada’s duty to consult to Aboriginal groups in the United States could not prevent a court from recognizing their inherent rights. Finally, the Court of Appeal determined that it was not necessary to consider Mr. </w:t>
      </w:r>
      <w:proofErr w:type="spellStart"/>
      <w:r w:rsidRPr="00914046">
        <w:rPr>
          <w:rFonts w:cs="Times New Roman"/>
        </w:rPr>
        <w:t>Desautel’s</w:t>
      </w:r>
      <w:proofErr w:type="spellEnd"/>
      <w:r w:rsidRPr="00914046">
        <w:rPr>
          <w:rFonts w:cs="Times New Roman"/>
        </w:rPr>
        <w:t xml:space="preserve"> incidental mobility right to cross the border and the compatibility of such a right with Canadian sovereignty, because this issue was not addressed at trial and its resolution was not necessary for the determination of the appeal. </w:t>
      </w:r>
    </w:p>
    <w:p w:rsidR="00C437E7" w:rsidRPr="00914046" w:rsidRDefault="00C437E7" w:rsidP="00C437E7">
      <w:pPr>
        <w:pStyle w:val="Title1LevelTitre1Niveau-AltL"/>
        <w:rPr>
          <w:rFonts w:cs="Times New Roman"/>
        </w:rPr>
      </w:pPr>
      <w:r w:rsidRPr="00914046">
        <w:rPr>
          <w:rFonts w:cs="Times New Roman"/>
          <w:lang w:val="en-US"/>
        </w:rPr>
        <w:t>Issue</w:t>
      </w:r>
    </w:p>
    <w:p w:rsidR="00C437E7" w:rsidRPr="00914046" w:rsidRDefault="00C437E7" w:rsidP="00C437E7">
      <w:pPr>
        <w:pStyle w:val="ParaNoNdepar-AltN"/>
        <w:rPr>
          <w:rFonts w:cs="Times New Roman"/>
        </w:rPr>
      </w:pPr>
      <w:r w:rsidRPr="00914046">
        <w:rPr>
          <w:rFonts w:cs="Times New Roman"/>
        </w:rPr>
        <w:lastRenderedPageBreak/>
        <w:t xml:space="preserve">The appellant Her Majesty the Queen in Right of British Columbia (hereinafter </w:t>
      </w:r>
      <w:r w:rsidRPr="00914046">
        <w:rPr>
          <w:rFonts w:cs="Times New Roman"/>
          <w:lang w:val="en-US"/>
        </w:rPr>
        <w:t xml:space="preserve">“the Crown”) </w:t>
      </w:r>
      <w:r w:rsidRPr="00914046">
        <w:rPr>
          <w:rFonts w:cs="Times New Roman"/>
        </w:rPr>
        <w:t>raises the following constitutional question:</w:t>
      </w:r>
    </w:p>
    <w:p w:rsidR="00C437E7" w:rsidRPr="00914046" w:rsidRDefault="00C437E7" w:rsidP="00C437E7">
      <w:pPr>
        <w:pStyle w:val="Citation-AltC"/>
      </w:pPr>
      <w:r w:rsidRPr="00914046">
        <w:t xml:space="preserve">Are ss. 11(1) and 47(a) of the </w:t>
      </w:r>
      <w:r w:rsidRPr="00914046">
        <w:rPr>
          <w:i/>
        </w:rPr>
        <w:t>Wildlife Act</w:t>
      </w:r>
      <w:r w:rsidRPr="00914046">
        <w:t xml:space="preserve">, </w:t>
      </w:r>
      <w:proofErr w:type="spellStart"/>
      <w:r w:rsidRPr="00914046">
        <w:t>R.S.B.C</w:t>
      </w:r>
      <w:proofErr w:type="spellEnd"/>
      <w:r w:rsidRPr="00914046">
        <w:t xml:space="preserve">. 1996, c. 488, as they read in October 2010, of no force or effect with respect to the respondent, being a member of the Lakes Tribe of the Confederated Tribes of the Colville Reservation in Washington State, U.S.A., in virtue of s. 52 of the </w:t>
      </w:r>
      <w:r w:rsidRPr="00914046">
        <w:rPr>
          <w:i/>
        </w:rPr>
        <w:t>Constitution Act, 1982</w:t>
      </w:r>
      <w:r w:rsidRPr="00914046">
        <w:t xml:space="preserve">, by reason of an Aboriginal right within the meaning of s. 35 of the </w:t>
      </w:r>
      <w:r w:rsidRPr="00914046">
        <w:rPr>
          <w:i/>
        </w:rPr>
        <w:t>Constitution Act, 1982</w:t>
      </w:r>
      <w:r w:rsidRPr="00914046">
        <w:t>,</w:t>
      </w:r>
      <w:r w:rsidRPr="00914046">
        <w:rPr>
          <w:i/>
        </w:rPr>
        <w:t xml:space="preserve"> </w:t>
      </w:r>
      <w:r w:rsidRPr="00914046">
        <w:t>invoked by the respondent?</w:t>
      </w:r>
    </w:p>
    <w:p w:rsidR="00C437E7" w:rsidRPr="00914046" w:rsidRDefault="00C437E7" w:rsidP="00C437E7">
      <w:pPr>
        <w:pStyle w:val="Citation-AltC"/>
      </w:pPr>
    </w:p>
    <w:p w:rsidR="00C437E7" w:rsidRPr="00914046" w:rsidRDefault="00C437E7" w:rsidP="00437F31">
      <w:pPr>
        <w:pStyle w:val="Citation-AltC"/>
        <w:ind w:left="0"/>
      </w:pPr>
      <w:r w:rsidRPr="00914046">
        <w:t>(</w:t>
      </w:r>
      <w:proofErr w:type="spellStart"/>
      <w:r w:rsidRPr="00914046">
        <w:t>A.R</w:t>
      </w:r>
      <w:proofErr w:type="spellEnd"/>
      <w:r w:rsidRPr="00914046">
        <w:t>., vol. I, at p. 139)</w:t>
      </w:r>
    </w:p>
    <w:p w:rsidR="00C437E7" w:rsidRPr="00914046" w:rsidRDefault="00C437E7" w:rsidP="00C437E7">
      <w:pPr>
        <w:pStyle w:val="ParaNoNdepar-AltN"/>
        <w:rPr>
          <w:rFonts w:cs="Times New Roman"/>
        </w:rPr>
      </w:pPr>
      <w:r w:rsidRPr="00914046">
        <w:rPr>
          <w:rFonts w:cs="Times New Roman"/>
        </w:rPr>
        <w:t xml:space="preserve">To answer this question, the Court must determine whether an Aboriginal people located outside Canada can assert rights protected under s. 35(1) of the </w:t>
      </w:r>
      <w:r w:rsidRPr="00914046">
        <w:rPr>
          <w:rFonts w:cs="Times New Roman"/>
          <w:i/>
        </w:rPr>
        <w:t>Constitution Act, 1982</w:t>
      </w:r>
      <w:r w:rsidRPr="00914046">
        <w:rPr>
          <w:rFonts w:cs="Times New Roman"/>
        </w:rPr>
        <w:t>.</w:t>
      </w:r>
    </w:p>
    <w:p w:rsidR="00C437E7" w:rsidRPr="00914046" w:rsidRDefault="00C437E7" w:rsidP="00C437E7">
      <w:pPr>
        <w:pStyle w:val="Title1LevelTitre1Niveau-AltL"/>
        <w:rPr>
          <w:rFonts w:cs="Times New Roman"/>
        </w:rPr>
      </w:pPr>
      <w:r w:rsidRPr="00914046">
        <w:rPr>
          <w:rFonts w:cs="Times New Roman"/>
        </w:rPr>
        <w:t>Submissions of the Parties</w:t>
      </w:r>
    </w:p>
    <w:p w:rsidR="00C437E7" w:rsidRPr="00914046" w:rsidRDefault="00C437E7" w:rsidP="00C437E7">
      <w:pPr>
        <w:pStyle w:val="Title2LevelTitre2Niveau"/>
        <w:rPr>
          <w:rFonts w:cs="Times New Roman"/>
          <w:i w:val="0"/>
        </w:rPr>
      </w:pPr>
      <w:r w:rsidRPr="00914046">
        <w:rPr>
          <w:rFonts w:cs="Times New Roman"/>
        </w:rPr>
        <w:t>Appellant: Her Majesty the Queen in Right of British Columbia</w:t>
      </w:r>
    </w:p>
    <w:p w:rsidR="00C437E7" w:rsidRPr="00914046" w:rsidRDefault="00C437E7" w:rsidP="00C437E7">
      <w:pPr>
        <w:pStyle w:val="ParaNoNdepar-AltN"/>
        <w:rPr>
          <w:rFonts w:cs="Times New Roman"/>
        </w:rPr>
      </w:pPr>
      <w:r w:rsidRPr="00914046">
        <w:rPr>
          <w:rFonts w:cs="Times New Roman"/>
        </w:rPr>
        <w:t xml:space="preserve">The Crown’s main submission is that Mr. </w:t>
      </w:r>
      <w:proofErr w:type="spellStart"/>
      <w:r w:rsidRPr="00914046">
        <w:rPr>
          <w:rFonts w:cs="Times New Roman"/>
        </w:rPr>
        <w:t>Desautel</w:t>
      </w:r>
      <w:proofErr w:type="spellEnd"/>
      <w:r w:rsidRPr="00914046">
        <w:rPr>
          <w:rFonts w:cs="Times New Roman"/>
        </w:rPr>
        <w:t xml:space="preserve"> cannot assert Aboriginal rights under s. 35(1) because the scope of this provision is limited to Aboriginal peoples located in Canada. At best, Mr. </w:t>
      </w:r>
      <w:proofErr w:type="spellStart"/>
      <w:r w:rsidRPr="00914046">
        <w:rPr>
          <w:rFonts w:cs="Times New Roman"/>
        </w:rPr>
        <w:t>Desautel</w:t>
      </w:r>
      <w:proofErr w:type="spellEnd"/>
      <w:r w:rsidRPr="00914046">
        <w:rPr>
          <w:rFonts w:cs="Times New Roman"/>
        </w:rPr>
        <w:t xml:space="preserve"> can claim a common law right to hunt, which would not constitute a defence to the regulatory charges against him. In the Crown’s submission, the </w:t>
      </w:r>
      <w:r w:rsidRPr="00914046">
        <w:rPr>
          <w:rFonts w:cs="Times New Roman"/>
          <w:i/>
        </w:rPr>
        <w:t xml:space="preserve">Van der </w:t>
      </w:r>
      <w:proofErr w:type="spellStart"/>
      <w:r w:rsidRPr="00914046">
        <w:rPr>
          <w:rFonts w:cs="Times New Roman"/>
          <w:i/>
        </w:rPr>
        <w:t>Peet</w:t>
      </w:r>
      <w:proofErr w:type="spellEnd"/>
      <w:r w:rsidRPr="00914046">
        <w:rPr>
          <w:rFonts w:cs="Times New Roman"/>
          <w:i/>
        </w:rPr>
        <w:t xml:space="preserve"> </w:t>
      </w:r>
      <w:r w:rsidRPr="00914046">
        <w:rPr>
          <w:rFonts w:cs="Times New Roman"/>
        </w:rPr>
        <w:t xml:space="preserve">test for the recognition of rights under s. 35(1) requires the presence of a present-day collective in the area where the right was exercised historically. In the present case, the relevant modern collective </w:t>
      </w:r>
      <w:r w:rsidRPr="00914046">
        <w:rPr>
          <w:rFonts w:cs="Times New Roman"/>
        </w:rPr>
        <w:lastRenderedPageBreak/>
        <w:t xml:space="preserve">would be the Lakes Tribe, a group located in the State of Washington, not in British Columbia. Moreover, because Mr. </w:t>
      </w:r>
      <w:proofErr w:type="spellStart"/>
      <w:r w:rsidRPr="00914046">
        <w:rPr>
          <w:rFonts w:cs="Times New Roman"/>
        </w:rPr>
        <w:t>Desautel</w:t>
      </w:r>
      <w:proofErr w:type="spellEnd"/>
      <w:r w:rsidRPr="00914046">
        <w:rPr>
          <w:rFonts w:cs="Times New Roman"/>
        </w:rPr>
        <w:t xml:space="preserve"> is a resident of the United States, the exercise of the right to hunt in British Columbia necessarily involves an incidental mobility right to cross the border, which is incompatible with Canadian sovereignty, and the result is that the s. 35(1) Aboriginal right claimed by Mr. </w:t>
      </w:r>
      <w:proofErr w:type="spellStart"/>
      <w:r w:rsidRPr="00914046">
        <w:rPr>
          <w:rFonts w:cs="Times New Roman"/>
        </w:rPr>
        <w:t>Desautel</w:t>
      </w:r>
      <w:proofErr w:type="spellEnd"/>
      <w:r w:rsidRPr="00914046">
        <w:rPr>
          <w:rFonts w:cs="Times New Roman"/>
        </w:rPr>
        <w:t xml:space="preserve"> never came into existence.</w:t>
      </w:r>
    </w:p>
    <w:p w:rsidR="00C437E7" w:rsidRPr="00914046" w:rsidRDefault="00C437E7" w:rsidP="00C437E7">
      <w:pPr>
        <w:pStyle w:val="Title2LevelTitre2Niveau"/>
        <w:rPr>
          <w:rFonts w:cs="Times New Roman"/>
        </w:rPr>
      </w:pPr>
      <w:r w:rsidRPr="00914046">
        <w:rPr>
          <w:rFonts w:cs="Times New Roman"/>
        </w:rPr>
        <w:t xml:space="preserve">Respondent: Mr. </w:t>
      </w:r>
      <w:proofErr w:type="spellStart"/>
      <w:r w:rsidRPr="00914046">
        <w:rPr>
          <w:rFonts w:cs="Times New Roman"/>
        </w:rPr>
        <w:t>Desautel</w:t>
      </w:r>
      <w:proofErr w:type="spellEnd"/>
    </w:p>
    <w:p w:rsidR="00C437E7" w:rsidRPr="00914046" w:rsidRDefault="00C437E7" w:rsidP="00C437E7">
      <w:pPr>
        <w:pStyle w:val="ParaNoNdepar-AltN"/>
        <w:rPr>
          <w:rFonts w:cs="Times New Roman"/>
        </w:rPr>
      </w:pPr>
      <w:r w:rsidRPr="00914046">
        <w:rPr>
          <w:rFonts w:cs="Times New Roman"/>
        </w:rPr>
        <w:t xml:space="preserve">Mr. </w:t>
      </w:r>
      <w:proofErr w:type="spellStart"/>
      <w:r w:rsidRPr="00914046">
        <w:rPr>
          <w:rFonts w:cs="Times New Roman"/>
        </w:rPr>
        <w:t>Desautel</w:t>
      </w:r>
      <w:proofErr w:type="spellEnd"/>
      <w:r w:rsidRPr="00914046">
        <w:rPr>
          <w:rFonts w:cs="Times New Roman"/>
        </w:rPr>
        <w:t xml:space="preserve"> argues that he has an Aboriginal right to hunt in the ancestral territory of the </w:t>
      </w:r>
      <w:proofErr w:type="spellStart"/>
      <w:r w:rsidRPr="00914046">
        <w:rPr>
          <w:rFonts w:cs="Times New Roman"/>
        </w:rPr>
        <w:t>Sinixt</w:t>
      </w:r>
      <w:proofErr w:type="spellEnd"/>
      <w:r w:rsidRPr="00914046">
        <w:rPr>
          <w:rFonts w:cs="Times New Roman"/>
        </w:rPr>
        <w:t xml:space="preserve">, the relevant modern-day collective, in British Columbia. This right is protected under s. 35(1). To assert s. 35(1) rights, he argues, the only test that an Aboriginal people has to pass is the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xml:space="preserve"> test. Therefore, there is no threshold issue distinct from the test elaborated by this Court for the recognition of Aboriginal rights. Moreover, the </w:t>
      </w:r>
      <w:r w:rsidRPr="00914046">
        <w:rPr>
          <w:rFonts w:cs="Times New Roman"/>
          <w:i/>
        </w:rPr>
        <w:t xml:space="preserve">Van der </w:t>
      </w:r>
      <w:proofErr w:type="spellStart"/>
      <w:r w:rsidRPr="00914046">
        <w:rPr>
          <w:rFonts w:cs="Times New Roman"/>
          <w:i/>
        </w:rPr>
        <w:t>Peet</w:t>
      </w:r>
      <w:proofErr w:type="spellEnd"/>
      <w:r w:rsidRPr="00914046">
        <w:rPr>
          <w:rFonts w:cs="Times New Roman"/>
          <w:i/>
        </w:rPr>
        <w:t xml:space="preserve"> </w:t>
      </w:r>
      <w:r w:rsidRPr="00914046">
        <w:rPr>
          <w:rFonts w:cs="Times New Roman"/>
        </w:rPr>
        <w:t xml:space="preserve">test has never required an additional requirement of geographic continuity. The fact that an Aboriginal people is solely based outside Canada has no impact on the recognition of the right as long as the requirements of the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xml:space="preserve"> test are met. Finally, Mr. </w:t>
      </w:r>
      <w:proofErr w:type="spellStart"/>
      <w:r w:rsidRPr="00914046">
        <w:rPr>
          <w:rFonts w:cs="Times New Roman"/>
        </w:rPr>
        <w:t>Desautel</w:t>
      </w:r>
      <w:proofErr w:type="spellEnd"/>
      <w:r w:rsidRPr="00914046">
        <w:rPr>
          <w:rFonts w:cs="Times New Roman"/>
        </w:rPr>
        <w:t xml:space="preserve"> submits that there is no mobility right at issue in this case. </w:t>
      </w:r>
    </w:p>
    <w:p w:rsidR="00C437E7" w:rsidRPr="00914046" w:rsidRDefault="00C437E7" w:rsidP="00C437E7">
      <w:pPr>
        <w:pStyle w:val="Title1LevelTitre1Niveau-AltL"/>
        <w:rPr>
          <w:rFonts w:cs="Times New Roman"/>
        </w:rPr>
      </w:pPr>
      <w:r w:rsidRPr="00914046">
        <w:rPr>
          <w:rFonts w:cs="Times New Roman"/>
        </w:rPr>
        <w:t>Analysis</w:t>
      </w:r>
    </w:p>
    <w:p w:rsidR="00C437E7" w:rsidRPr="00914046" w:rsidRDefault="00C437E7" w:rsidP="00C437E7">
      <w:pPr>
        <w:pStyle w:val="Title2LevelTitre2Niveau"/>
        <w:rPr>
          <w:rFonts w:cs="Times New Roman"/>
        </w:rPr>
      </w:pPr>
      <w:r w:rsidRPr="00914046">
        <w:rPr>
          <w:rFonts w:cs="Times New Roman"/>
        </w:rPr>
        <w:t>The Scope of Section 35(1)</w:t>
      </w:r>
    </w:p>
    <w:p w:rsidR="00C437E7" w:rsidRPr="00914046" w:rsidRDefault="00C437E7" w:rsidP="00C437E7">
      <w:pPr>
        <w:pStyle w:val="Title3LevelTitre3Niveau"/>
        <w:rPr>
          <w:rFonts w:cs="Times New Roman"/>
        </w:rPr>
      </w:pPr>
      <w:r w:rsidRPr="00914046">
        <w:rPr>
          <w:rFonts w:cs="Times New Roman"/>
        </w:rPr>
        <w:lastRenderedPageBreak/>
        <w:t>The Threshold Question</w:t>
      </w:r>
    </w:p>
    <w:p w:rsidR="00C437E7" w:rsidRPr="00914046" w:rsidRDefault="00C437E7" w:rsidP="00C437E7">
      <w:pPr>
        <w:pStyle w:val="ParaNoNdepar-AltN"/>
        <w:rPr>
          <w:rFonts w:cs="Times New Roman"/>
        </w:rPr>
      </w:pPr>
      <w:r w:rsidRPr="00914046">
        <w:rPr>
          <w:rFonts w:cs="Times New Roman"/>
        </w:rPr>
        <w:t xml:space="preserve">Section 35(1) of the </w:t>
      </w:r>
      <w:r w:rsidRPr="00914046">
        <w:rPr>
          <w:rFonts w:cs="Times New Roman"/>
          <w:i/>
        </w:rPr>
        <w:t>Constitution Act, 1982</w:t>
      </w:r>
      <w:r w:rsidRPr="00914046">
        <w:rPr>
          <w:rFonts w:cs="Times New Roman"/>
        </w:rPr>
        <w:t>, says:</w:t>
      </w:r>
    </w:p>
    <w:p w:rsidR="00C437E7" w:rsidRPr="00914046" w:rsidRDefault="00C437E7" w:rsidP="00C437E7">
      <w:pPr>
        <w:pStyle w:val="Citation-AltC"/>
      </w:pPr>
      <w:r w:rsidRPr="00914046">
        <w:t>The existing aboriginal and treaty rights of the aboriginal peoples of Canada are hereby recognized and affirmed.</w:t>
      </w:r>
    </w:p>
    <w:p w:rsidR="00C437E7" w:rsidRPr="00914046" w:rsidRDefault="00C437E7" w:rsidP="00C437E7">
      <w:pPr>
        <w:pStyle w:val="Citation-AltC"/>
      </w:pPr>
    </w:p>
    <w:p w:rsidR="00C437E7" w:rsidRPr="00914046" w:rsidRDefault="00C437E7" w:rsidP="00C437E7">
      <w:pPr>
        <w:pStyle w:val="Citation-AltC"/>
        <w:rPr>
          <w:lang w:val="fr-CA"/>
        </w:rPr>
      </w:pPr>
      <w:r w:rsidRPr="00914046">
        <w:rPr>
          <w:lang w:val="fr-CA"/>
        </w:rPr>
        <w:t>Les droits existants — ancestraux ou issus de traités — des peuples autochtones du Canada sont reconnus et confirmés.</w:t>
      </w:r>
    </w:p>
    <w:p w:rsidR="00C437E7" w:rsidRPr="00914046" w:rsidRDefault="00C437E7" w:rsidP="00C437E7">
      <w:pPr>
        <w:pStyle w:val="ContinueParaSuitedupar-AltP"/>
        <w:rPr>
          <w:rFonts w:cs="Times New Roman"/>
        </w:rPr>
      </w:pPr>
      <w:r w:rsidRPr="00914046">
        <w:rPr>
          <w:rFonts w:cs="Times New Roman"/>
        </w:rPr>
        <w:t xml:space="preserve">It is clear from the text of s. 35(1) that, to fall within its scope, an Aboriginal group must be an “aboriginal </w:t>
      </w:r>
      <w:proofErr w:type="spellStart"/>
      <w:r w:rsidRPr="00914046">
        <w:rPr>
          <w:rFonts w:cs="Times New Roman"/>
        </w:rPr>
        <w:t>peopl</w:t>
      </w:r>
      <w:proofErr w:type="spellEnd"/>
      <w:r w:rsidRPr="00914046">
        <w:rPr>
          <w:rFonts w:cs="Times New Roman"/>
        </w:rPr>
        <w:t xml:space="preserve">[e] of Canada”. The question raised by this appeal is whether a group whose members are neither Canadian citizens nor Canadian residents can meet this condition. </w:t>
      </w:r>
      <w:r w:rsidRPr="00914046">
        <w:rPr>
          <w:rFonts w:eastAsia="Times New Roman" w:cs="Times New Roman"/>
          <w:szCs w:val="24"/>
          <w:lang w:eastAsia="en-CA"/>
        </w:rPr>
        <w:t>The text of s. 35(1) does not provide a clear answer to this question. The words “of Canada” are capable of different meanings, as “of” can be used to express a range of different relationships.</w:t>
      </w:r>
    </w:p>
    <w:p w:rsidR="00C437E7" w:rsidRPr="00914046" w:rsidRDefault="00C437E7" w:rsidP="00C437E7">
      <w:pPr>
        <w:pStyle w:val="ParaNoNdepar-AltN"/>
        <w:rPr>
          <w:rFonts w:cs="Times New Roman"/>
          <w:lang w:val="en-US"/>
        </w:rPr>
      </w:pPr>
      <w:r w:rsidRPr="00914046">
        <w:rPr>
          <w:rFonts w:cs="Times New Roman"/>
        </w:rPr>
        <w:t xml:space="preserve">Whether a group is an Aboriginal people of Canada is, analytically speaking, a different question from whether the group has an Aboriginal right. This Court’s decision in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xml:space="preserve"> was about the latter question. </w:t>
      </w:r>
      <w:r w:rsidRPr="00914046">
        <w:rPr>
          <w:rFonts w:cs="Times New Roman"/>
          <w:lang w:val="en-US"/>
        </w:rPr>
        <w:t xml:space="preserve">It set out a test for having an Aboriginal right, not for being an Aboriginal people of Canada. The </w:t>
      </w:r>
      <w:r w:rsidRPr="00914046">
        <w:rPr>
          <w:rFonts w:cs="Times New Roman"/>
          <w:i/>
          <w:lang w:val="en-US"/>
        </w:rPr>
        <w:t xml:space="preserve">Van der </w:t>
      </w:r>
      <w:proofErr w:type="spellStart"/>
      <w:r w:rsidRPr="00914046">
        <w:rPr>
          <w:rFonts w:cs="Times New Roman"/>
          <w:i/>
          <w:lang w:val="en-US"/>
        </w:rPr>
        <w:t>Peet</w:t>
      </w:r>
      <w:proofErr w:type="spellEnd"/>
      <w:r w:rsidRPr="00914046">
        <w:rPr>
          <w:rFonts w:cs="Times New Roman"/>
          <w:i/>
          <w:lang w:val="en-US"/>
        </w:rPr>
        <w:t xml:space="preserve"> </w:t>
      </w:r>
      <w:r w:rsidRPr="00914046">
        <w:rPr>
          <w:rFonts w:cs="Times New Roman"/>
          <w:lang w:val="en-US"/>
        </w:rPr>
        <w:t>test by itself is not, therefore, dispositive of this appeal. That said, evidence that is relevant to the question whether a group has an Aboriginal right may also be relevant to the question whether the group is an Aboriginal people of Canada.</w:t>
      </w:r>
    </w:p>
    <w:p w:rsidR="00C437E7" w:rsidRPr="00914046" w:rsidRDefault="00C437E7" w:rsidP="00C437E7">
      <w:pPr>
        <w:pStyle w:val="ParaNoNdepar-AltN"/>
        <w:rPr>
          <w:rFonts w:cs="Times New Roman"/>
          <w:lang w:val="en-US"/>
        </w:rPr>
      </w:pPr>
      <w:r w:rsidRPr="00914046">
        <w:rPr>
          <w:rFonts w:cs="Times New Roman"/>
          <w:lang w:val="en-US"/>
        </w:rPr>
        <w:lastRenderedPageBreak/>
        <w:t xml:space="preserve">Whether a group is an Aboriginal people of Canada is a threshold question, in the sense that if a group is </w:t>
      </w:r>
      <w:r w:rsidRPr="00914046">
        <w:rPr>
          <w:rFonts w:cs="Times New Roman"/>
          <w:i/>
          <w:lang w:val="en-US"/>
        </w:rPr>
        <w:t>not</w:t>
      </w:r>
      <w:r w:rsidRPr="00914046">
        <w:rPr>
          <w:rFonts w:cs="Times New Roman"/>
          <w:lang w:val="en-US"/>
        </w:rPr>
        <w:t xml:space="preserve"> an Aboriginal people of Canada, there is no need to proceed to the </w:t>
      </w:r>
      <w:r w:rsidRPr="00914046">
        <w:rPr>
          <w:rFonts w:cs="Times New Roman"/>
          <w:i/>
          <w:lang w:val="en-US"/>
        </w:rPr>
        <w:t xml:space="preserve">Van der </w:t>
      </w:r>
      <w:proofErr w:type="spellStart"/>
      <w:r w:rsidRPr="00914046">
        <w:rPr>
          <w:rFonts w:cs="Times New Roman"/>
          <w:i/>
          <w:lang w:val="en-US"/>
        </w:rPr>
        <w:t>Peet</w:t>
      </w:r>
      <w:proofErr w:type="spellEnd"/>
      <w:r w:rsidRPr="00914046">
        <w:rPr>
          <w:rFonts w:cs="Times New Roman"/>
          <w:lang w:val="en-US"/>
        </w:rPr>
        <w:t xml:space="preserve"> test. But this threshold question does not arise in every case. In most cases there is no doubt that the claimant belongs to an Aboriginal people of Canada, so there is no need to address the threshold question. The threshold question is likely to arise only where there is some ground for doubt, such as where the group is located outside of Canada. It should not be construed as an additional burden on rights claimants that has to be satisfied in every case.</w:t>
      </w:r>
    </w:p>
    <w:p w:rsidR="00C437E7" w:rsidRPr="00914046" w:rsidRDefault="00C437E7" w:rsidP="00C437E7">
      <w:pPr>
        <w:pStyle w:val="ParaNoNdepar-AltN"/>
        <w:rPr>
          <w:rFonts w:cs="Times New Roman"/>
          <w:lang w:val="en-US"/>
        </w:rPr>
      </w:pPr>
      <w:r w:rsidRPr="00914046">
        <w:rPr>
          <w:rFonts w:cs="Times New Roman"/>
        </w:rPr>
        <w:t>No previous decision of this Court interprets the scope of the words “aboriginal peoples of Canada” in s. 35(1). That is our task here. As this Court has often recognized, s. 35(1) must be interpreted in a purposive way (</w:t>
      </w:r>
      <w:r w:rsidRPr="00914046">
        <w:rPr>
          <w:rFonts w:cs="Times New Roman"/>
          <w:i/>
        </w:rPr>
        <w:t>R. v. Sparrow</w:t>
      </w:r>
      <w:r w:rsidRPr="00914046">
        <w:rPr>
          <w:rFonts w:cs="Times New Roman"/>
        </w:rPr>
        <w:t>,</w:t>
      </w:r>
      <w:r w:rsidRPr="00914046">
        <w:rPr>
          <w:rFonts w:cs="Times New Roman"/>
          <w:lang w:val="en-US"/>
        </w:rPr>
        <w:t xml:space="preserve"> [1990] 1 </w:t>
      </w:r>
      <w:proofErr w:type="spellStart"/>
      <w:r w:rsidRPr="00914046">
        <w:rPr>
          <w:rFonts w:cs="Times New Roman"/>
          <w:lang w:val="en-US"/>
        </w:rPr>
        <w:t>S.C.R</w:t>
      </w:r>
      <w:proofErr w:type="spellEnd"/>
      <w:r w:rsidRPr="00914046">
        <w:rPr>
          <w:rFonts w:cs="Times New Roman"/>
          <w:lang w:val="en-US"/>
        </w:rPr>
        <w:t>. 1075,</w:t>
      </w:r>
      <w:r w:rsidRPr="00914046">
        <w:rPr>
          <w:rFonts w:cs="Times New Roman"/>
        </w:rPr>
        <w:t xml:space="preserve"> at p. 1106; </w:t>
      </w:r>
      <w:r w:rsidRPr="00914046">
        <w:rPr>
          <w:rFonts w:cs="Times New Roman"/>
          <w:i/>
          <w:lang w:val="en-GB"/>
        </w:rPr>
        <w:t xml:space="preserve">Van der </w:t>
      </w:r>
      <w:proofErr w:type="spellStart"/>
      <w:r w:rsidRPr="00914046">
        <w:rPr>
          <w:rFonts w:cs="Times New Roman"/>
          <w:i/>
          <w:lang w:val="en-GB"/>
        </w:rPr>
        <w:t>Peet</w:t>
      </w:r>
      <w:proofErr w:type="spellEnd"/>
      <w:r w:rsidRPr="00914046">
        <w:rPr>
          <w:rFonts w:cs="Times New Roman"/>
          <w:lang w:val="en-GB"/>
        </w:rPr>
        <w:t xml:space="preserve">, at paras. 21-22; </w:t>
      </w:r>
      <w:r w:rsidRPr="00914046">
        <w:rPr>
          <w:rFonts w:cs="Times New Roman"/>
          <w:i/>
          <w:lang w:bidi="en-US"/>
        </w:rPr>
        <w:t>Manitoba Metis Federation Inc. v. Canada (Attorney General)</w:t>
      </w:r>
      <w:r w:rsidRPr="00914046">
        <w:rPr>
          <w:rFonts w:cs="Times New Roman"/>
          <w:lang w:bidi="en-US"/>
        </w:rPr>
        <w:t xml:space="preserve">, 2013 SCC 14, [2013] 1 </w:t>
      </w:r>
      <w:proofErr w:type="spellStart"/>
      <w:r w:rsidRPr="00914046">
        <w:rPr>
          <w:rFonts w:cs="Times New Roman"/>
          <w:lang w:bidi="en-US"/>
        </w:rPr>
        <w:t>S.C.R</w:t>
      </w:r>
      <w:proofErr w:type="spellEnd"/>
      <w:r w:rsidRPr="00914046">
        <w:rPr>
          <w:rFonts w:cs="Times New Roman"/>
          <w:lang w:bidi="en-US"/>
        </w:rPr>
        <w:t>. 623, at para. 76).</w:t>
      </w:r>
    </w:p>
    <w:p w:rsidR="00C437E7" w:rsidRPr="00914046" w:rsidRDefault="00C437E7" w:rsidP="00C437E7">
      <w:pPr>
        <w:pStyle w:val="ParaNoNdepar-AltN"/>
        <w:rPr>
          <w:rFonts w:cs="Times New Roman"/>
          <w:lang w:val="en-US"/>
        </w:rPr>
      </w:pPr>
      <w:r w:rsidRPr="00914046">
        <w:rPr>
          <w:rFonts w:cs="Times New Roman"/>
        </w:rPr>
        <w:t xml:space="preserve">For the reasons that follow, I am of the view that a consistent development of this Court’s s. 35(1) jurisprudence requires that groups located outside Canada can be Aboriginal peoples of Canada. As I will explain, the two purposes of s. 35(1) are to recognize the prior occupation of Canada by organized, autonomous societies and to reconcile their modern-day existence with the Crown’s assertion of sovereignty over them. These purposes are reflected in the structure of Aboriginal rights and title doctrine, which first looks back to the practices of groups that occupied Canadian territory prior to European contact, sovereignty or effective control, and then expresses </w:t>
      </w:r>
      <w:r w:rsidRPr="00914046">
        <w:rPr>
          <w:rFonts w:cs="Times New Roman"/>
        </w:rPr>
        <w:lastRenderedPageBreak/>
        <w:t xml:space="preserve">those practices as constitutional rights held by modern-day successor groups within the Canadian legal order. The same purposes are reflected in the principle of the honour of the Crown, under which the Crown’s historic assertion of sovereignty over Aboriginal societies gives rise to continuing obligations to their successors as part of an ongoing process of reconciliation. </w:t>
      </w:r>
    </w:p>
    <w:p w:rsidR="00C437E7" w:rsidRPr="00914046" w:rsidRDefault="00C437E7" w:rsidP="00C437E7">
      <w:pPr>
        <w:pStyle w:val="ParaNoNdepar-AltN"/>
        <w:rPr>
          <w:rFonts w:cs="Times New Roman"/>
          <w:lang w:val="en-US"/>
        </w:rPr>
      </w:pPr>
      <w:r w:rsidRPr="00914046">
        <w:rPr>
          <w:rFonts w:cs="Times New Roman"/>
        </w:rPr>
        <w:t xml:space="preserve">On this interpretation, the scope of “aboriginal peoples of Canada” is clear: it must mean the modern-day successors of Aboriginal societies that occupied Canadian territory at the time of European contact. As a result, groups whose members are neither citizens nor residents of Canada can be Aboriginal peoples of Canada. </w:t>
      </w:r>
    </w:p>
    <w:p w:rsidR="00C437E7" w:rsidRPr="00914046" w:rsidRDefault="00C437E7" w:rsidP="00C437E7">
      <w:pPr>
        <w:pStyle w:val="Title3LevelTitre3Niveau"/>
        <w:rPr>
          <w:rFonts w:cs="Times New Roman"/>
        </w:rPr>
      </w:pPr>
      <w:r w:rsidRPr="00914046">
        <w:rPr>
          <w:rFonts w:cs="Times New Roman"/>
        </w:rPr>
        <w:t>A Purposive Interpretation of Section 35(1)</w:t>
      </w:r>
    </w:p>
    <w:p w:rsidR="00C437E7" w:rsidRPr="00914046" w:rsidRDefault="00C437E7" w:rsidP="00C437E7">
      <w:pPr>
        <w:pStyle w:val="ParaNoNdepar-AltN"/>
        <w:rPr>
          <w:rFonts w:cs="Times New Roman"/>
        </w:rPr>
      </w:pPr>
      <w:r w:rsidRPr="00914046">
        <w:rPr>
          <w:rFonts w:cs="Times New Roman"/>
        </w:rPr>
        <w:t xml:space="preserve">The prior occupation of Canadian territory by organized Aboriginal societies was recognized before s. 35(1) was enacted. In </w:t>
      </w:r>
      <w:r w:rsidRPr="00914046">
        <w:rPr>
          <w:rFonts w:cs="Times New Roman"/>
          <w:i/>
          <w:lang w:val="en-US"/>
        </w:rPr>
        <w:t>Calder v. Attorney-General of British Columbia</w:t>
      </w:r>
      <w:r w:rsidRPr="00914046">
        <w:rPr>
          <w:rFonts w:cs="Times New Roman"/>
          <w:lang w:val="en-US"/>
        </w:rPr>
        <w:t xml:space="preserve">, [1973] </w:t>
      </w:r>
      <w:proofErr w:type="spellStart"/>
      <w:r w:rsidRPr="00914046">
        <w:rPr>
          <w:rFonts w:cs="Times New Roman"/>
          <w:lang w:val="en-US"/>
        </w:rPr>
        <w:t>S.C.R</w:t>
      </w:r>
      <w:proofErr w:type="spellEnd"/>
      <w:r w:rsidRPr="00914046">
        <w:rPr>
          <w:rFonts w:cs="Times New Roman"/>
          <w:lang w:val="en-US"/>
        </w:rPr>
        <w:t>. 313, the claimants sought a declaration of Aboriginal title in their traditional territory. While the claim was unsuccessful, Judson J. characterized the source of Aboriginal title in comments that have been repeatedly cited by this Court: “</w:t>
      </w:r>
      <w:r w:rsidRPr="00914046">
        <w:rPr>
          <w:rFonts w:cs="Times New Roman"/>
        </w:rPr>
        <w:t xml:space="preserve">the fact is that when the settlers came, </w:t>
      </w:r>
      <w:r w:rsidRPr="00914046">
        <w:rPr>
          <w:rFonts w:cs="Times New Roman"/>
          <w:u w:val="single"/>
        </w:rPr>
        <w:t>the Indians were there, organized in societies and occupying the land</w:t>
      </w:r>
      <w:r w:rsidRPr="00914046">
        <w:rPr>
          <w:rFonts w:cs="Times New Roman"/>
        </w:rPr>
        <w:t xml:space="preserve"> as their forefathers had done for centuries. This is what Indian title means” (</w:t>
      </w:r>
      <w:r w:rsidRPr="00914046">
        <w:rPr>
          <w:rFonts w:cs="Times New Roman"/>
          <w:i/>
        </w:rPr>
        <w:t>Calder</w:t>
      </w:r>
      <w:r w:rsidRPr="00914046">
        <w:rPr>
          <w:rFonts w:cs="Times New Roman"/>
        </w:rPr>
        <w:t xml:space="preserve">, at p. 328 (emphasis added); see also </w:t>
      </w:r>
      <w:r w:rsidRPr="00914046">
        <w:rPr>
          <w:rFonts w:cs="Times New Roman"/>
          <w:i/>
        </w:rPr>
        <w:t>Roberts v. Canada</w:t>
      </w:r>
      <w:r w:rsidRPr="00914046">
        <w:rPr>
          <w:rFonts w:cs="Times New Roman"/>
        </w:rPr>
        <w:t xml:space="preserve">, [1989] 1 </w:t>
      </w:r>
      <w:proofErr w:type="spellStart"/>
      <w:r w:rsidRPr="00914046">
        <w:rPr>
          <w:rFonts w:cs="Times New Roman"/>
        </w:rPr>
        <w:t>S.C.R</w:t>
      </w:r>
      <w:proofErr w:type="spellEnd"/>
      <w:r w:rsidRPr="00914046">
        <w:rPr>
          <w:rFonts w:cs="Times New Roman"/>
        </w:rPr>
        <w:t xml:space="preserve">. 322, at p. 340; </w:t>
      </w:r>
      <w:r w:rsidRPr="00914046">
        <w:rPr>
          <w:rFonts w:cs="Times New Roman"/>
          <w:i/>
        </w:rPr>
        <w:t>Guerin</w:t>
      </w:r>
      <w:r w:rsidRPr="00914046">
        <w:rPr>
          <w:rFonts w:cs="Times New Roman"/>
        </w:rPr>
        <w:t xml:space="preserve"> </w:t>
      </w:r>
      <w:r w:rsidRPr="00914046">
        <w:rPr>
          <w:rFonts w:cs="Times New Roman"/>
          <w:i/>
        </w:rPr>
        <w:t>v. The Queen</w:t>
      </w:r>
      <w:r w:rsidRPr="00914046">
        <w:rPr>
          <w:rFonts w:cs="Times New Roman"/>
        </w:rPr>
        <w:t xml:space="preserve">, [1984] 2 </w:t>
      </w:r>
      <w:proofErr w:type="spellStart"/>
      <w:r w:rsidRPr="00914046">
        <w:rPr>
          <w:rFonts w:cs="Times New Roman"/>
        </w:rPr>
        <w:t>S.C.R</w:t>
      </w:r>
      <w:proofErr w:type="spellEnd"/>
      <w:r w:rsidRPr="00914046">
        <w:rPr>
          <w:rFonts w:cs="Times New Roman"/>
        </w:rPr>
        <w:t>. 335, at pp. 377-78)</w:t>
      </w:r>
      <w:r w:rsidRPr="00914046">
        <w:rPr>
          <w:rFonts w:cs="Times New Roman"/>
          <w:lang w:val="en"/>
        </w:rPr>
        <w:t xml:space="preserve">. </w:t>
      </w:r>
      <w:r w:rsidRPr="00914046">
        <w:rPr>
          <w:rFonts w:cs="Times New Roman"/>
        </w:rPr>
        <w:t xml:space="preserve">This point was taken up in </w:t>
      </w:r>
      <w:r w:rsidRPr="00914046">
        <w:rPr>
          <w:rFonts w:cs="Times New Roman"/>
          <w:i/>
        </w:rPr>
        <w:t>Sparrow</w:t>
      </w:r>
      <w:r w:rsidRPr="00914046">
        <w:rPr>
          <w:rFonts w:cs="Times New Roman"/>
        </w:rPr>
        <w:t xml:space="preserve">, where this Court laid out the analysis for justified infringements of Aboriginal rights. In finding that the </w:t>
      </w:r>
      <w:proofErr w:type="spellStart"/>
      <w:r w:rsidRPr="00914046">
        <w:rPr>
          <w:rFonts w:cs="Times New Roman"/>
        </w:rPr>
        <w:t>Musqueam</w:t>
      </w:r>
      <w:proofErr w:type="spellEnd"/>
      <w:r w:rsidRPr="00914046">
        <w:rPr>
          <w:rFonts w:cs="Times New Roman"/>
        </w:rPr>
        <w:t xml:space="preserve"> had an </w:t>
      </w:r>
      <w:r w:rsidRPr="00914046">
        <w:rPr>
          <w:rFonts w:cs="Times New Roman"/>
        </w:rPr>
        <w:lastRenderedPageBreak/>
        <w:t xml:space="preserve">Aboriginal right protected by s. 35(1), Dickson </w:t>
      </w:r>
      <w:proofErr w:type="spellStart"/>
      <w:r w:rsidRPr="00914046">
        <w:rPr>
          <w:rFonts w:cs="Times New Roman"/>
        </w:rPr>
        <w:t>C.J</w:t>
      </w:r>
      <w:proofErr w:type="spellEnd"/>
      <w:r w:rsidRPr="00914046">
        <w:rPr>
          <w:rFonts w:cs="Times New Roman"/>
        </w:rPr>
        <w:t>. and La Forest J. observed that they “</w:t>
      </w:r>
      <w:r w:rsidRPr="00914046">
        <w:rPr>
          <w:rFonts w:cs="Times New Roman"/>
          <w:u w:val="single"/>
        </w:rPr>
        <w:t>have lived in the area as an organized society long before</w:t>
      </w:r>
      <w:r w:rsidRPr="00914046">
        <w:rPr>
          <w:rFonts w:cs="Times New Roman"/>
        </w:rPr>
        <w:t xml:space="preserve"> the coming of European settlers” (</w:t>
      </w:r>
      <w:r w:rsidRPr="00914046">
        <w:rPr>
          <w:rFonts w:cs="Times New Roman"/>
          <w:i/>
        </w:rPr>
        <w:t>Sparrow</w:t>
      </w:r>
      <w:r w:rsidRPr="00914046">
        <w:rPr>
          <w:rFonts w:cs="Times New Roman"/>
        </w:rPr>
        <w:t xml:space="preserve">, at p. 1094 (emphasis added)). </w:t>
      </w:r>
    </w:p>
    <w:p w:rsidR="00C437E7" w:rsidRPr="00914046" w:rsidRDefault="00C437E7" w:rsidP="00C437E7">
      <w:pPr>
        <w:pStyle w:val="ParaNoNdepar-AltN"/>
        <w:rPr>
          <w:rFonts w:cs="Times New Roman"/>
        </w:rPr>
      </w:pPr>
      <w:r w:rsidRPr="00914046">
        <w:rPr>
          <w:rFonts w:cs="Times New Roman"/>
        </w:rPr>
        <w:t xml:space="preserve">In </w:t>
      </w:r>
      <w:r w:rsidRPr="00914046">
        <w:rPr>
          <w:rFonts w:cs="Times New Roman"/>
          <w:i/>
        </w:rPr>
        <w:t>R. v. Badger</w:t>
      </w:r>
      <w:r w:rsidRPr="00914046">
        <w:rPr>
          <w:rFonts w:cs="Times New Roman"/>
        </w:rPr>
        <w:t xml:space="preserve">, </w:t>
      </w:r>
      <w:r w:rsidRPr="00914046">
        <w:rPr>
          <w:rFonts w:cs="Times New Roman"/>
          <w:lang w:bidi="en-US"/>
        </w:rPr>
        <w:t xml:space="preserve">[1996] 1 </w:t>
      </w:r>
      <w:proofErr w:type="spellStart"/>
      <w:r w:rsidRPr="00914046">
        <w:rPr>
          <w:rFonts w:cs="Times New Roman"/>
          <w:lang w:bidi="en-US"/>
        </w:rPr>
        <w:t>S.C.R</w:t>
      </w:r>
      <w:proofErr w:type="spellEnd"/>
      <w:r w:rsidRPr="00914046">
        <w:rPr>
          <w:rFonts w:cs="Times New Roman"/>
          <w:lang w:bidi="en-US"/>
        </w:rPr>
        <w:t xml:space="preserve">. 771, this Court confirmed that the </w:t>
      </w:r>
      <w:r w:rsidRPr="00914046">
        <w:rPr>
          <w:rFonts w:cs="Times New Roman"/>
          <w:i/>
          <w:lang w:bidi="en-US"/>
        </w:rPr>
        <w:t>Sparrow</w:t>
      </w:r>
      <w:r w:rsidRPr="00914046">
        <w:rPr>
          <w:rFonts w:cs="Times New Roman"/>
        </w:rPr>
        <w:t xml:space="preserve"> test applies to infringements of treaty rights. In arriving at this conclusion, Cory J. drew on a second theme from the pre-1982 jurisprudence. The Crown’s assertion of sovereignty over Aboriginal societies, he held, gave rise to a distinctive legal relationship. “[B]</w:t>
      </w:r>
      <w:proofErr w:type="spellStart"/>
      <w:r w:rsidRPr="00914046">
        <w:rPr>
          <w:rFonts w:cs="Times New Roman"/>
        </w:rPr>
        <w:t>oth</w:t>
      </w:r>
      <w:proofErr w:type="spellEnd"/>
      <w:r w:rsidRPr="00914046">
        <w:rPr>
          <w:rFonts w:cs="Times New Roman"/>
        </w:rPr>
        <w:t xml:space="preserve"> aboriginal and treaty rights possess in common a unique, </w:t>
      </w:r>
      <w:r w:rsidRPr="00914046">
        <w:rPr>
          <w:rFonts w:cs="Times New Roman"/>
          <w:i/>
        </w:rPr>
        <w:t>sui generis</w:t>
      </w:r>
      <w:r w:rsidRPr="00914046">
        <w:rPr>
          <w:rFonts w:cs="Times New Roman"/>
        </w:rPr>
        <w:t xml:space="preserve"> nature. In each case, </w:t>
      </w:r>
      <w:r w:rsidRPr="00914046">
        <w:rPr>
          <w:rFonts w:cs="Times New Roman"/>
          <w:u w:val="single"/>
        </w:rPr>
        <w:t>the honour of the Crown is engaged through its relationship with the native people</w:t>
      </w:r>
      <w:r w:rsidRPr="00914046">
        <w:rPr>
          <w:rFonts w:cs="Times New Roman"/>
        </w:rPr>
        <w:t>” (</w:t>
      </w:r>
      <w:r w:rsidRPr="00914046">
        <w:rPr>
          <w:rFonts w:cs="Times New Roman"/>
          <w:i/>
        </w:rPr>
        <w:t>Badger</w:t>
      </w:r>
      <w:r w:rsidRPr="00914046">
        <w:rPr>
          <w:rFonts w:cs="Times New Roman"/>
        </w:rPr>
        <w:t xml:space="preserve">, at para. 78 (emphasis added; citations omitted)). In the treaty context, this principle can be traced back to the dissenting reasons of Gwynne J. in </w:t>
      </w:r>
      <w:r w:rsidRPr="00914046">
        <w:rPr>
          <w:rFonts w:cs="Times New Roman"/>
          <w:i/>
          <w:iCs/>
          <w:lang w:bidi="en-US"/>
        </w:rPr>
        <w:t xml:space="preserve">Province of Ontario v. Dominion of Canada and Province of Quebec </w:t>
      </w:r>
      <w:r w:rsidRPr="00914046">
        <w:rPr>
          <w:rFonts w:cs="Times New Roman"/>
          <w:lang w:bidi="en-US"/>
        </w:rPr>
        <w:t xml:space="preserve">(1895), 25 </w:t>
      </w:r>
      <w:proofErr w:type="spellStart"/>
      <w:r w:rsidRPr="00914046">
        <w:rPr>
          <w:rFonts w:cs="Times New Roman"/>
          <w:lang w:bidi="en-US"/>
        </w:rPr>
        <w:t>S.C.R</w:t>
      </w:r>
      <w:proofErr w:type="spellEnd"/>
      <w:r w:rsidRPr="00914046">
        <w:rPr>
          <w:rFonts w:cs="Times New Roman"/>
          <w:lang w:bidi="en-US"/>
        </w:rPr>
        <w:t xml:space="preserve">. 434, at pp. 511-12; and in </w:t>
      </w:r>
      <w:r w:rsidRPr="00914046">
        <w:rPr>
          <w:rFonts w:cs="Times New Roman"/>
          <w:i/>
          <w:iCs/>
          <w:lang w:val="en-US" w:bidi="en-US"/>
        </w:rPr>
        <w:t>Ontario Mining Co. v. Seybold</w:t>
      </w:r>
      <w:r w:rsidRPr="00914046">
        <w:rPr>
          <w:rFonts w:cs="Times New Roman"/>
          <w:lang w:val="en-US" w:bidi="en-US"/>
        </w:rPr>
        <w:t xml:space="preserve"> (1901), 32 </w:t>
      </w:r>
      <w:proofErr w:type="spellStart"/>
      <w:r w:rsidRPr="00914046">
        <w:rPr>
          <w:rFonts w:cs="Times New Roman"/>
          <w:lang w:val="en-US" w:bidi="en-US"/>
        </w:rPr>
        <w:t>S.C.R</w:t>
      </w:r>
      <w:proofErr w:type="spellEnd"/>
      <w:r w:rsidRPr="00914046">
        <w:rPr>
          <w:rFonts w:cs="Times New Roman"/>
          <w:lang w:val="en-US" w:bidi="en-US"/>
        </w:rPr>
        <w:t>. 1, at p. 2.</w:t>
      </w:r>
    </w:p>
    <w:p w:rsidR="00C437E7" w:rsidRPr="00914046" w:rsidRDefault="00C437E7" w:rsidP="00C437E7">
      <w:pPr>
        <w:pStyle w:val="ParaNoNdepar-AltN"/>
        <w:rPr>
          <w:rFonts w:cs="Times New Roman"/>
          <w:lang w:val="en-GB"/>
        </w:rPr>
      </w:pPr>
      <w:r w:rsidRPr="00914046">
        <w:rPr>
          <w:rFonts w:cs="Times New Roman"/>
        </w:rPr>
        <w:t xml:space="preserve">These two themes were brought out explicitly in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xml:space="preserve">, where Lamer </w:t>
      </w:r>
      <w:proofErr w:type="spellStart"/>
      <w:r w:rsidRPr="00914046">
        <w:rPr>
          <w:rFonts w:cs="Times New Roman"/>
        </w:rPr>
        <w:t>C.J</w:t>
      </w:r>
      <w:proofErr w:type="spellEnd"/>
      <w:r w:rsidRPr="00914046">
        <w:rPr>
          <w:rFonts w:cs="Times New Roman"/>
        </w:rPr>
        <w:t xml:space="preserve">. set out the test for Aboriginal rights. Lamer </w:t>
      </w:r>
      <w:proofErr w:type="spellStart"/>
      <w:r w:rsidRPr="00914046">
        <w:rPr>
          <w:rFonts w:cs="Times New Roman"/>
        </w:rPr>
        <w:t>C.J</w:t>
      </w:r>
      <w:proofErr w:type="spellEnd"/>
      <w:r w:rsidRPr="00914046">
        <w:rPr>
          <w:rFonts w:cs="Times New Roman"/>
        </w:rPr>
        <w:t xml:space="preserve">. first observed, at para. 30, that “when Europeans arrived in North America, aboriginal peoples </w:t>
      </w:r>
      <w:r w:rsidRPr="00914046">
        <w:rPr>
          <w:rFonts w:cs="Times New Roman"/>
          <w:u w:val="single"/>
        </w:rPr>
        <w:t>were already here</w:t>
      </w:r>
      <w:r w:rsidRPr="00914046">
        <w:rPr>
          <w:rFonts w:cs="Times New Roman"/>
        </w:rPr>
        <w:t>, living in communities on the land, and participating in distinctive cultures, as they had done for centuries” (emphasis in original). Second, he wrote at para. 31, s. 35(1) is “</w:t>
      </w:r>
      <w:r w:rsidRPr="00914046">
        <w:rPr>
          <w:rFonts w:cs="Times New Roman"/>
          <w:lang w:val="en-GB"/>
        </w:rPr>
        <w:t xml:space="preserve">the constitutional framework through which the fact that aboriginals lived on the land in </w:t>
      </w:r>
      <w:r w:rsidRPr="00914046">
        <w:rPr>
          <w:rFonts w:cs="Times New Roman"/>
          <w:lang w:val="en-GB"/>
        </w:rPr>
        <w:lastRenderedPageBreak/>
        <w:t xml:space="preserve">distinctive societies, with their own practices, traditions and cultures, is acknowledged and reconciled with the sovereignty of the Crown”. In short, </w:t>
      </w:r>
    </w:p>
    <w:p w:rsidR="00C437E7" w:rsidRPr="00914046" w:rsidRDefault="00C437E7" w:rsidP="00C437E7">
      <w:pPr>
        <w:pStyle w:val="Citation-AltC"/>
        <w:ind w:firstLine="274"/>
        <w:rPr>
          <w:lang w:val="fr-CA"/>
        </w:rPr>
      </w:pPr>
      <w:r w:rsidRPr="00914046">
        <w:rPr>
          <w:lang w:val="en-GB"/>
        </w:rPr>
        <w:t xml:space="preserve">the aboriginal rights recognized and affirmed by s. 35(1) are best understood as, first, the means by which the Constitution recognizes the fact that prior to the arrival of Europeans in North America the land was already occupied by distinctive aboriginal societies, and as, second, the means by which that prior occupation is reconciled with the assertion of Crown sovereignty over Canadian territory. </w:t>
      </w:r>
      <w:r w:rsidRPr="00914046">
        <w:t>[para. 43]</w:t>
      </w:r>
    </w:p>
    <w:p w:rsidR="00C437E7" w:rsidRPr="00914046" w:rsidRDefault="00C437E7" w:rsidP="00C437E7">
      <w:pPr>
        <w:pStyle w:val="ParaNoNdepar-AltN"/>
        <w:rPr>
          <w:rFonts w:eastAsia="Times New Roman" w:cs="Times New Roman"/>
          <w:szCs w:val="24"/>
          <w:lang w:val="en"/>
        </w:rPr>
      </w:pPr>
      <w:r w:rsidRPr="00914046">
        <w:rPr>
          <w:rFonts w:cs="Times New Roman"/>
        </w:rPr>
        <w:t xml:space="preserve">The two purposes of s. 35(1) underlie the test for Aboriginal rights set out in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xml:space="preserve">. The court first looks back to the historic practices of Aboriginal societies in Canada prior to contact, and second, recognizes those practices as Aboriginal rights held by their modern-day successors within the Canadian legal order: </w:t>
      </w:r>
      <w:r w:rsidRPr="00914046">
        <w:rPr>
          <w:rFonts w:cs="Times New Roman"/>
          <w:i/>
        </w:rPr>
        <w:t>R. v. Gladstone</w:t>
      </w:r>
      <w:r w:rsidRPr="00914046">
        <w:rPr>
          <w:rFonts w:cs="Times New Roman"/>
        </w:rPr>
        <w:t xml:space="preserve">, </w:t>
      </w:r>
      <w:r w:rsidRPr="00914046">
        <w:rPr>
          <w:rFonts w:eastAsiaTheme="minorHAnsi" w:cs="Times New Roman"/>
          <w:bCs/>
          <w:lang w:val="en-US"/>
        </w:rPr>
        <w:t xml:space="preserve">[1996] 2 </w:t>
      </w:r>
      <w:proofErr w:type="spellStart"/>
      <w:r w:rsidRPr="00914046">
        <w:rPr>
          <w:rFonts w:eastAsiaTheme="minorHAnsi" w:cs="Times New Roman"/>
          <w:bCs/>
          <w:lang w:val="en-US"/>
        </w:rPr>
        <w:t>S</w:t>
      </w:r>
      <w:r w:rsidRPr="00914046">
        <w:rPr>
          <w:rFonts w:cs="Times New Roman"/>
          <w:bCs/>
          <w:lang w:val="en-US"/>
        </w:rPr>
        <w:t>.</w:t>
      </w:r>
      <w:r w:rsidRPr="00914046">
        <w:rPr>
          <w:rFonts w:eastAsiaTheme="minorHAnsi" w:cs="Times New Roman"/>
          <w:bCs/>
          <w:lang w:val="en-US"/>
        </w:rPr>
        <w:t>C</w:t>
      </w:r>
      <w:r w:rsidRPr="00914046">
        <w:rPr>
          <w:rFonts w:cs="Times New Roman"/>
          <w:bCs/>
          <w:lang w:val="en-US"/>
        </w:rPr>
        <w:t>.</w:t>
      </w:r>
      <w:r w:rsidRPr="00914046">
        <w:rPr>
          <w:rFonts w:eastAsiaTheme="minorHAnsi" w:cs="Times New Roman"/>
          <w:bCs/>
          <w:lang w:val="en-US"/>
        </w:rPr>
        <w:t>R</w:t>
      </w:r>
      <w:proofErr w:type="spellEnd"/>
      <w:r w:rsidRPr="00914046">
        <w:rPr>
          <w:rFonts w:cs="Times New Roman"/>
          <w:bCs/>
          <w:lang w:val="en-US"/>
        </w:rPr>
        <w:t>.</w:t>
      </w:r>
      <w:r w:rsidRPr="00914046">
        <w:rPr>
          <w:rFonts w:eastAsiaTheme="minorHAnsi" w:cs="Times New Roman"/>
          <w:bCs/>
          <w:lang w:val="en-US"/>
        </w:rPr>
        <w:t xml:space="preserve"> 723</w:t>
      </w:r>
      <w:r w:rsidRPr="00914046">
        <w:rPr>
          <w:rFonts w:cs="Times New Roman"/>
          <w:bCs/>
          <w:lang w:val="en-US"/>
        </w:rPr>
        <w:t xml:space="preserve">, at para. 73; </w:t>
      </w:r>
      <w:r w:rsidRPr="00914046">
        <w:rPr>
          <w:rFonts w:cs="Times New Roman"/>
          <w:bCs/>
          <w:i/>
          <w:lang w:val="en-GB"/>
        </w:rPr>
        <w:t>Mitchell</w:t>
      </w:r>
      <w:r w:rsidRPr="00914046">
        <w:rPr>
          <w:rFonts w:cs="Times New Roman"/>
          <w:bCs/>
          <w:lang w:val="en-GB"/>
        </w:rPr>
        <w:t xml:space="preserve">, at para. 12. </w:t>
      </w:r>
      <w:r w:rsidRPr="00914046">
        <w:rPr>
          <w:rFonts w:cs="Times New Roman"/>
        </w:rPr>
        <w:t>In</w:t>
      </w:r>
      <w:r w:rsidRPr="00914046">
        <w:rPr>
          <w:rFonts w:cs="Times New Roman"/>
          <w:i/>
        </w:rPr>
        <w:t xml:space="preserve"> R. </w:t>
      </w:r>
      <w:r w:rsidRPr="00914046">
        <w:rPr>
          <w:rFonts w:cs="Times New Roman"/>
          <w:i/>
          <w:iCs/>
        </w:rPr>
        <w:t>v</w:t>
      </w:r>
      <w:r w:rsidRPr="00914046">
        <w:rPr>
          <w:rFonts w:cs="Times New Roman"/>
          <w:i/>
        </w:rPr>
        <w:t>. Sappier</w:t>
      </w:r>
      <w:r w:rsidRPr="00914046">
        <w:rPr>
          <w:rFonts w:cs="Times New Roman"/>
        </w:rPr>
        <w:t xml:space="preserve">, 2006 SCC 54, [2006] 2 </w:t>
      </w:r>
      <w:proofErr w:type="spellStart"/>
      <w:r w:rsidRPr="00914046">
        <w:rPr>
          <w:rFonts w:cs="Times New Roman"/>
        </w:rPr>
        <w:t>S.C.R</w:t>
      </w:r>
      <w:proofErr w:type="spellEnd"/>
      <w:r w:rsidRPr="00914046">
        <w:rPr>
          <w:rFonts w:cs="Times New Roman"/>
        </w:rPr>
        <w:t xml:space="preserve">. 686, </w:t>
      </w:r>
      <w:r w:rsidRPr="00914046">
        <w:rPr>
          <w:rFonts w:eastAsia="Times New Roman" w:cs="Times New Roman"/>
          <w:szCs w:val="24"/>
          <w:lang w:val="en"/>
        </w:rPr>
        <w:t xml:space="preserve">at para. 45, </w:t>
      </w:r>
      <w:proofErr w:type="spellStart"/>
      <w:r w:rsidRPr="00914046">
        <w:rPr>
          <w:rFonts w:cs="Times New Roman"/>
        </w:rPr>
        <w:t>Bastarache</w:t>
      </w:r>
      <w:proofErr w:type="spellEnd"/>
      <w:r w:rsidRPr="00914046">
        <w:rPr>
          <w:rFonts w:cs="Times New Roman"/>
        </w:rPr>
        <w:t xml:space="preserve"> J. </w:t>
      </w:r>
      <w:r w:rsidRPr="00914046">
        <w:rPr>
          <w:rFonts w:eastAsia="Times New Roman" w:cs="Times New Roman"/>
          <w:szCs w:val="24"/>
          <w:lang w:val="en"/>
        </w:rPr>
        <w:t>explained that the doctrine of Aboriginal rights “</w:t>
      </w:r>
      <w:r w:rsidRPr="00914046">
        <w:rPr>
          <w:rFonts w:eastAsia="Times New Roman" w:cs="Times New Roman"/>
          <w:szCs w:val="24"/>
        </w:rPr>
        <w:t xml:space="preserve">arises from the simple fact of prior occupation of the lands now forming Canada”. He added that “[t]he ‘distinctive aboriginal culture’ must be taken to refer to the reality that, </w:t>
      </w:r>
      <w:r w:rsidRPr="00914046">
        <w:rPr>
          <w:rFonts w:eastAsia="Times New Roman" w:cs="Times New Roman"/>
          <w:szCs w:val="24"/>
          <w:u w:val="single"/>
        </w:rPr>
        <w:t>despite British sovereignty, aboriginal people were the original organized society occupying and using Canadian lands</w:t>
      </w:r>
      <w:r w:rsidRPr="00914046">
        <w:rPr>
          <w:rFonts w:eastAsia="Times New Roman" w:cs="Times New Roman"/>
          <w:szCs w:val="24"/>
        </w:rPr>
        <w:t>” (para. 45, quoting the dissenting reasons of</w:t>
      </w:r>
      <w:r w:rsidRPr="00914046">
        <w:rPr>
          <w:rFonts w:cs="Times New Roman"/>
          <w:szCs w:val="24"/>
        </w:rPr>
        <w:t xml:space="preserve"> </w:t>
      </w:r>
      <w:proofErr w:type="spellStart"/>
      <w:r w:rsidRPr="00914046">
        <w:rPr>
          <w:rFonts w:eastAsia="Times New Roman" w:cs="Times New Roman"/>
          <w:szCs w:val="24"/>
        </w:rPr>
        <w:t>L’Heureux-Dubé</w:t>
      </w:r>
      <w:proofErr w:type="spellEnd"/>
      <w:r w:rsidRPr="00914046">
        <w:rPr>
          <w:rFonts w:eastAsia="Times New Roman" w:cs="Times New Roman"/>
          <w:szCs w:val="24"/>
        </w:rPr>
        <w:t xml:space="preserve"> J. in </w:t>
      </w:r>
      <w:r w:rsidRPr="00914046">
        <w:rPr>
          <w:rFonts w:eastAsia="Times New Roman" w:cs="Times New Roman"/>
          <w:i/>
          <w:szCs w:val="24"/>
        </w:rPr>
        <w:t xml:space="preserve">Van der </w:t>
      </w:r>
      <w:proofErr w:type="spellStart"/>
      <w:r w:rsidRPr="00914046">
        <w:rPr>
          <w:rFonts w:eastAsia="Times New Roman" w:cs="Times New Roman"/>
          <w:i/>
          <w:szCs w:val="24"/>
        </w:rPr>
        <w:t>Peet</w:t>
      </w:r>
      <w:proofErr w:type="spellEnd"/>
      <w:r w:rsidRPr="00914046">
        <w:rPr>
          <w:rFonts w:eastAsia="Times New Roman" w:cs="Times New Roman"/>
          <w:szCs w:val="24"/>
        </w:rPr>
        <w:t>, at para. 159 (emphasis added)).</w:t>
      </w:r>
    </w:p>
    <w:p w:rsidR="00C437E7" w:rsidRPr="00914046" w:rsidRDefault="00C437E7" w:rsidP="00C437E7">
      <w:pPr>
        <w:pStyle w:val="ParaNoNdepar-AltN"/>
        <w:rPr>
          <w:rFonts w:cs="Times New Roman"/>
          <w:lang w:val="en"/>
        </w:rPr>
      </w:pPr>
      <w:r w:rsidRPr="00914046">
        <w:rPr>
          <w:rFonts w:cs="Times New Roman"/>
          <w:bCs/>
          <w:lang w:val="en-GB"/>
        </w:rPr>
        <w:t xml:space="preserve">The test for Aboriginal title, a variation of the </w:t>
      </w:r>
      <w:r w:rsidRPr="00914046">
        <w:rPr>
          <w:rFonts w:cs="Times New Roman"/>
          <w:bCs/>
          <w:i/>
          <w:lang w:val="en-GB"/>
        </w:rPr>
        <w:t xml:space="preserve">Van der </w:t>
      </w:r>
      <w:proofErr w:type="spellStart"/>
      <w:r w:rsidRPr="00914046">
        <w:rPr>
          <w:rFonts w:cs="Times New Roman"/>
          <w:bCs/>
          <w:i/>
          <w:lang w:val="en-GB"/>
        </w:rPr>
        <w:t>Peet</w:t>
      </w:r>
      <w:proofErr w:type="spellEnd"/>
      <w:r w:rsidRPr="00914046">
        <w:rPr>
          <w:rFonts w:cs="Times New Roman"/>
          <w:bCs/>
          <w:i/>
          <w:lang w:val="en-GB"/>
        </w:rPr>
        <w:t xml:space="preserve"> </w:t>
      </w:r>
      <w:r w:rsidRPr="00914046">
        <w:rPr>
          <w:rFonts w:cs="Times New Roman"/>
          <w:bCs/>
          <w:lang w:val="en-GB"/>
        </w:rPr>
        <w:t xml:space="preserve">test, reflects the same two purposes. </w:t>
      </w:r>
      <w:r w:rsidRPr="00914046">
        <w:rPr>
          <w:rFonts w:cs="Times New Roman"/>
        </w:rPr>
        <w:t xml:space="preserve">In </w:t>
      </w:r>
      <w:proofErr w:type="spellStart"/>
      <w:r w:rsidRPr="00914046">
        <w:rPr>
          <w:rFonts w:cs="Times New Roman"/>
          <w:i/>
        </w:rPr>
        <w:t>Delgamuukw</w:t>
      </w:r>
      <w:proofErr w:type="spellEnd"/>
      <w:r w:rsidRPr="00914046">
        <w:rPr>
          <w:rFonts w:cs="Times New Roman"/>
          <w:i/>
        </w:rPr>
        <w:t xml:space="preserve"> </w:t>
      </w:r>
      <w:r w:rsidRPr="00914046">
        <w:rPr>
          <w:rFonts w:cs="Times New Roman"/>
          <w:i/>
          <w:iCs/>
        </w:rPr>
        <w:t>v</w:t>
      </w:r>
      <w:r w:rsidRPr="00914046">
        <w:rPr>
          <w:rFonts w:cs="Times New Roman"/>
          <w:i/>
        </w:rPr>
        <w:t>. British Columbia</w:t>
      </w:r>
      <w:r w:rsidRPr="00914046">
        <w:rPr>
          <w:rFonts w:cs="Times New Roman"/>
        </w:rPr>
        <w:t xml:space="preserve">, [1997] 3 </w:t>
      </w:r>
      <w:proofErr w:type="spellStart"/>
      <w:r w:rsidRPr="00914046">
        <w:rPr>
          <w:rFonts w:cs="Times New Roman"/>
        </w:rPr>
        <w:t>S.C.R</w:t>
      </w:r>
      <w:proofErr w:type="spellEnd"/>
      <w:r w:rsidRPr="00914046">
        <w:rPr>
          <w:rFonts w:cs="Times New Roman"/>
        </w:rPr>
        <w:t xml:space="preserve">. 1010, this Court explained that Aboriginal title has two sources: first, Aboriginal possession of </w:t>
      </w:r>
      <w:r w:rsidRPr="00914046">
        <w:rPr>
          <w:rFonts w:cs="Times New Roman"/>
        </w:rPr>
        <w:lastRenderedPageBreak/>
        <w:t>the land before the assertion of Crown sovereignty, and second, “the relationship between common law and pre-existing systems of aboriginal law”</w:t>
      </w:r>
      <w:r w:rsidRPr="00914046">
        <w:rPr>
          <w:rFonts w:cs="Times New Roman"/>
          <w:lang w:bidi="en-US"/>
        </w:rPr>
        <w:t xml:space="preserve"> (para. 114). As </w:t>
      </w:r>
      <w:proofErr w:type="spellStart"/>
      <w:r w:rsidRPr="00914046">
        <w:rPr>
          <w:rFonts w:cs="Times New Roman"/>
          <w:lang w:bidi="en-US"/>
        </w:rPr>
        <w:t>LeBel</w:t>
      </w:r>
      <w:proofErr w:type="spellEnd"/>
      <w:r w:rsidRPr="00914046">
        <w:rPr>
          <w:rFonts w:cs="Times New Roman"/>
          <w:lang w:bidi="en-US"/>
        </w:rPr>
        <w:t xml:space="preserve"> J., concurring in</w:t>
      </w:r>
      <w:r w:rsidRPr="00914046">
        <w:rPr>
          <w:rFonts w:eastAsia="Times New Roman" w:cs="Times New Roman"/>
          <w:bCs/>
          <w:i/>
          <w:szCs w:val="24"/>
          <w:lang w:eastAsia="en-CA"/>
        </w:rPr>
        <w:t xml:space="preserve"> </w:t>
      </w:r>
      <w:r w:rsidRPr="00914046">
        <w:rPr>
          <w:rFonts w:cs="Times New Roman"/>
          <w:bCs/>
          <w:i/>
          <w:lang w:bidi="en-US"/>
        </w:rPr>
        <w:t>R. v. Marshall</w:t>
      </w:r>
      <w:r w:rsidRPr="00914046">
        <w:rPr>
          <w:rFonts w:cs="Times New Roman"/>
          <w:bCs/>
          <w:lang w:bidi="en-US"/>
        </w:rPr>
        <w:t xml:space="preserve">, 2005 SCC 43, [2005] 2 </w:t>
      </w:r>
      <w:proofErr w:type="spellStart"/>
      <w:r w:rsidRPr="00914046">
        <w:rPr>
          <w:rFonts w:cs="Times New Roman"/>
          <w:bCs/>
          <w:lang w:bidi="en-US"/>
        </w:rPr>
        <w:t>S.C.R</w:t>
      </w:r>
      <w:proofErr w:type="spellEnd"/>
      <w:r w:rsidRPr="00914046">
        <w:rPr>
          <w:rFonts w:cs="Times New Roman"/>
          <w:bCs/>
          <w:lang w:bidi="en-US"/>
        </w:rPr>
        <w:t>. 220, at para. 129, explained:</w:t>
      </w:r>
      <w:r w:rsidRPr="00914046">
        <w:rPr>
          <w:rFonts w:cs="Times New Roman"/>
          <w:lang w:bidi="en-US"/>
        </w:rPr>
        <w:t xml:space="preserve"> </w:t>
      </w:r>
    </w:p>
    <w:p w:rsidR="00C437E7" w:rsidRPr="00914046" w:rsidRDefault="00C437E7" w:rsidP="00C437E7">
      <w:pPr>
        <w:pStyle w:val="Citation-AltC"/>
      </w:pPr>
      <w:r w:rsidRPr="00914046">
        <w:rPr>
          <w:lang w:val="en"/>
        </w:rPr>
        <w:t xml:space="preserve">As with all aboriginal rights protected by s. 35(1) of the </w:t>
      </w:r>
      <w:r w:rsidRPr="00914046">
        <w:rPr>
          <w:i/>
          <w:iCs/>
          <w:lang w:val="en"/>
        </w:rPr>
        <w:t>Constitution Act, 1982</w:t>
      </w:r>
      <w:r w:rsidRPr="00914046">
        <w:rPr>
          <w:lang w:val="en"/>
        </w:rPr>
        <w:t>, aboriginal title arises from the prior possession of land and the prior social organization and distinctive cultures of aboriginal peoples on that land. It originates from “the prior occupation of Canada by aboriginal peoples” and from “the relationship between common law and pre</w:t>
      </w:r>
      <w:r w:rsidRPr="00914046">
        <w:rPr>
          <w:lang w:val="en"/>
        </w:rPr>
        <w:noBreakHyphen/>
        <w:t>existing systems of aboriginal law”. [Citations omitted.</w:t>
      </w:r>
      <w:r w:rsidRPr="00914046">
        <w:t>]</w:t>
      </w:r>
    </w:p>
    <w:p w:rsidR="00C437E7" w:rsidRPr="00914046" w:rsidRDefault="00C437E7" w:rsidP="00C437E7">
      <w:pPr>
        <w:pStyle w:val="ContinueParaSuitedupar-AltP"/>
        <w:rPr>
          <w:rFonts w:cs="Times New Roman"/>
          <w:lang w:bidi="en-US"/>
        </w:rPr>
      </w:pPr>
      <w:r w:rsidRPr="00914046">
        <w:rPr>
          <w:rFonts w:cs="Times New Roman"/>
          <w:lang w:bidi="en-US"/>
        </w:rPr>
        <w:t>The test for title looks back to the historic occupation of Canadian territory by Aboriginal societies at the date of Crown sovereignty and recognizes this occupation as Aboriginal title, “a burden on the Crown’s underlying title” (</w:t>
      </w:r>
      <w:proofErr w:type="spellStart"/>
      <w:r w:rsidRPr="00914046">
        <w:rPr>
          <w:rFonts w:cs="Times New Roman"/>
          <w:i/>
          <w:lang w:bidi="en-US"/>
        </w:rPr>
        <w:t>Delgamuukw</w:t>
      </w:r>
      <w:proofErr w:type="spellEnd"/>
      <w:r w:rsidRPr="00914046">
        <w:rPr>
          <w:rFonts w:cs="Times New Roman"/>
          <w:lang w:bidi="en-US"/>
        </w:rPr>
        <w:t>,</w:t>
      </w:r>
      <w:r w:rsidRPr="00914046">
        <w:rPr>
          <w:rFonts w:cs="Times New Roman"/>
          <w:i/>
          <w:lang w:bidi="en-US"/>
        </w:rPr>
        <w:t xml:space="preserve"> </w:t>
      </w:r>
      <w:r w:rsidRPr="00914046">
        <w:rPr>
          <w:rFonts w:cs="Times New Roman"/>
          <w:lang w:bidi="en-US"/>
        </w:rPr>
        <w:t xml:space="preserve">at para. 145), within the Canadian legal order. </w:t>
      </w:r>
    </w:p>
    <w:p w:rsidR="00C437E7" w:rsidRPr="00914046" w:rsidRDefault="00C437E7" w:rsidP="00C437E7">
      <w:pPr>
        <w:pStyle w:val="ParaNoNdepar-AltN"/>
        <w:rPr>
          <w:rFonts w:cs="Times New Roman"/>
          <w:lang w:val="en-GB"/>
        </w:rPr>
      </w:pPr>
      <w:r w:rsidRPr="00914046">
        <w:rPr>
          <w:rFonts w:cs="Times New Roman"/>
        </w:rPr>
        <w:t>The two purposes of s.</w:t>
      </w:r>
      <w:r w:rsidRPr="00914046">
        <w:rPr>
          <w:rFonts w:cs="Times New Roman"/>
          <w:lang w:val="en-US"/>
        </w:rPr>
        <w:t> </w:t>
      </w:r>
      <w:r w:rsidRPr="00914046">
        <w:rPr>
          <w:rFonts w:cs="Times New Roman"/>
        </w:rPr>
        <w:t xml:space="preserve">35(1) were reiterated in </w:t>
      </w:r>
      <w:r w:rsidRPr="00914046">
        <w:rPr>
          <w:rFonts w:cs="Times New Roman"/>
          <w:i/>
        </w:rPr>
        <w:t>Mitchell</w:t>
      </w:r>
      <w:r w:rsidRPr="00914046">
        <w:rPr>
          <w:rFonts w:cs="Times New Roman"/>
        </w:rPr>
        <w:t xml:space="preserve"> by </w:t>
      </w:r>
      <w:proofErr w:type="spellStart"/>
      <w:r w:rsidRPr="00914046">
        <w:rPr>
          <w:rFonts w:cs="Times New Roman"/>
        </w:rPr>
        <w:t>McLachlin</w:t>
      </w:r>
      <w:proofErr w:type="spellEnd"/>
      <w:r w:rsidRPr="00914046">
        <w:rPr>
          <w:rFonts w:cs="Times New Roman"/>
        </w:rPr>
        <w:t xml:space="preserve"> </w:t>
      </w:r>
      <w:proofErr w:type="spellStart"/>
      <w:r w:rsidRPr="00914046">
        <w:rPr>
          <w:rFonts w:cs="Times New Roman"/>
        </w:rPr>
        <w:t>C.J</w:t>
      </w:r>
      <w:proofErr w:type="spellEnd"/>
      <w:r w:rsidRPr="00914046">
        <w:rPr>
          <w:rFonts w:cs="Times New Roman"/>
        </w:rPr>
        <w:t>., who said:</w:t>
      </w:r>
    </w:p>
    <w:p w:rsidR="00C437E7" w:rsidRPr="00914046" w:rsidRDefault="00C437E7" w:rsidP="00C437E7">
      <w:pPr>
        <w:pStyle w:val="Citation-AltC"/>
        <w:ind w:firstLine="274"/>
      </w:pPr>
      <w:r w:rsidRPr="00914046">
        <w:rPr>
          <w:u w:val="single"/>
        </w:rPr>
        <w:t>Long before Europeans explored and settled North America, aboriginal peoples were occupying and using most of this vast expanse of land in organized, distinctive societies with their own social and political structures.</w:t>
      </w:r>
      <w:r w:rsidRPr="00914046">
        <w:t xml:space="preserve"> . . . [T]he Crown asserted that sovereignty over the land, and ownership of its underlying title, vested in the Crown. </w:t>
      </w:r>
      <w:r w:rsidRPr="00914046">
        <w:rPr>
          <w:u w:val="single"/>
        </w:rPr>
        <w:t>With this assertion arose an obligation to treat aboriginal peoples fairly and honourably, and to protect them from exploitation, a duty characterized as “fiduciary” in </w:t>
      </w:r>
      <w:r w:rsidRPr="00914046">
        <w:rPr>
          <w:i/>
          <w:iCs/>
          <w:u w:val="single"/>
        </w:rPr>
        <w:t>Guerin</w:t>
      </w:r>
      <w:r w:rsidRPr="00914046">
        <w:rPr>
          <w:u w:val="single"/>
        </w:rPr>
        <w:t>.</w:t>
      </w:r>
      <w:r w:rsidRPr="00914046">
        <w:t xml:space="preserve"> [Emphasis added; citations omitted; para 9.]</w:t>
      </w:r>
    </w:p>
    <w:p w:rsidR="00C437E7" w:rsidRPr="00914046" w:rsidRDefault="00C437E7" w:rsidP="00C437E7">
      <w:pPr>
        <w:pStyle w:val="ParaNoNdepar-AltN"/>
        <w:rPr>
          <w:rFonts w:eastAsia="Times New Roman" w:cs="Times New Roman"/>
          <w:lang w:val="en"/>
        </w:rPr>
      </w:pPr>
      <w:r w:rsidRPr="00914046">
        <w:rPr>
          <w:rFonts w:eastAsia="Times New Roman" w:cs="Times New Roman"/>
          <w:lang w:val="en"/>
        </w:rPr>
        <w:lastRenderedPageBreak/>
        <w:t xml:space="preserve">In this Court’s recent jurisprudence, the special relationship between Aboriginal peoples and the Crown has been articulated in terms of the </w:t>
      </w:r>
      <w:proofErr w:type="spellStart"/>
      <w:r w:rsidRPr="00914046">
        <w:rPr>
          <w:rFonts w:eastAsia="Times New Roman" w:cs="Times New Roman"/>
          <w:lang w:val="en"/>
        </w:rPr>
        <w:t>honour</w:t>
      </w:r>
      <w:proofErr w:type="spellEnd"/>
      <w:r w:rsidRPr="00914046">
        <w:rPr>
          <w:rFonts w:eastAsia="Times New Roman" w:cs="Times New Roman"/>
          <w:lang w:val="en"/>
        </w:rPr>
        <w:t xml:space="preserve"> of the Crown. As was explained by </w:t>
      </w:r>
      <w:proofErr w:type="spellStart"/>
      <w:r w:rsidRPr="00914046">
        <w:rPr>
          <w:rFonts w:eastAsia="Times New Roman" w:cs="Times New Roman"/>
          <w:lang w:val="en"/>
        </w:rPr>
        <w:t>McLachlin</w:t>
      </w:r>
      <w:proofErr w:type="spellEnd"/>
      <w:r w:rsidRPr="00914046">
        <w:rPr>
          <w:rFonts w:eastAsia="Times New Roman" w:cs="Times New Roman"/>
          <w:lang w:val="en"/>
        </w:rPr>
        <w:t xml:space="preserve"> </w:t>
      </w:r>
      <w:proofErr w:type="spellStart"/>
      <w:r w:rsidRPr="00914046">
        <w:rPr>
          <w:rFonts w:eastAsia="Times New Roman" w:cs="Times New Roman"/>
          <w:lang w:val="en"/>
        </w:rPr>
        <w:t>C.J</w:t>
      </w:r>
      <w:proofErr w:type="spellEnd"/>
      <w:r w:rsidRPr="00914046">
        <w:rPr>
          <w:rFonts w:eastAsia="Times New Roman" w:cs="Times New Roman"/>
          <w:lang w:val="en"/>
        </w:rPr>
        <w:t xml:space="preserve">. and </w:t>
      </w:r>
      <w:proofErr w:type="spellStart"/>
      <w:r w:rsidRPr="00914046">
        <w:rPr>
          <w:rFonts w:eastAsia="Times New Roman" w:cs="Times New Roman"/>
          <w:lang w:val="en"/>
        </w:rPr>
        <w:t>Karakatsanis</w:t>
      </w:r>
      <w:proofErr w:type="spellEnd"/>
      <w:r w:rsidRPr="00914046">
        <w:rPr>
          <w:rFonts w:eastAsia="Times New Roman" w:cs="Times New Roman"/>
          <w:lang w:val="en"/>
        </w:rPr>
        <w:t xml:space="preserve"> J. in </w:t>
      </w:r>
      <w:r w:rsidRPr="00914046">
        <w:rPr>
          <w:rFonts w:cs="Times New Roman"/>
          <w:i/>
        </w:rPr>
        <w:t>Manitoba Metis</w:t>
      </w:r>
      <w:r w:rsidRPr="00914046">
        <w:rPr>
          <w:rFonts w:cs="Times New Roman"/>
        </w:rPr>
        <w:t>,</w:t>
      </w:r>
      <w:r w:rsidRPr="00914046">
        <w:rPr>
          <w:rFonts w:cs="Times New Roman"/>
          <w:i/>
        </w:rPr>
        <w:t xml:space="preserve"> </w:t>
      </w:r>
      <w:r w:rsidRPr="00914046">
        <w:rPr>
          <w:rFonts w:cs="Times New Roman"/>
        </w:rPr>
        <w:t>at para.</w:t>
      </w:r>
      <w:r w:rsidRPr="00914046">
        <w:rPr>
          <w:rFonts w:cs="Times New Roman"/>
          <w:lang w:val="en-US"/>
        </w:rPr>
        <w:t> </w:t>
      </w:r>
      <w:r w:rsidRPr="00914046">
        <w:rPr>
          <w:rFonts w:cs="Times New Roman"/>
        </w:rPr>
        <w:t>67:</w:t>
      </w:r>
    </w:p>
    <w:p w:rsidR="00C437E7" w:rsidRPr="00914046" w:rsidRDefault="00EF364E" w:rsidP="00C437E7">
      <w:pPr>
        <w:pStyle w:val="Citation-AltC"/>
        <w:ind w:firstLine="274"/>
      </w:pPr>
      <w:r>
        <w:rPr>
          <w:u w:val="single"/>
        </w:rPr>
        <w:t xml:space="preserve">The honour of the </w:t>
      </w:r>
      <w:proofErr w:type="gramStart"/>
      <w:r>
        <w:rPr>
          <w:u w:val="single"/>
        </w:rPr>
        <w:t>Crown .</w:t>
      </w:r>
      <w:proofErr w:type="gramEnd"/>
      <w:r>
        <w:rPr>
          <w:u w:val="single"/>
        </w:rPr>
        <w:t> . .</w:t>
      </w:r>
      <w:r w:rsidR="00C437E7" w:rsidRPr="00914046">
        <w:rPr>
          <w:u w:val="single"/>
        </w:rPr>
        <w:t xml:space="preserve"> recognizes the impact of the “superimposition of European laws and customs” on pre-existing Aboriginal societies</w:t>
      </w:r>
      <w:r w:rsidR="00C437E7" w:rsidRPr="00914046">
        <w:t xml:space="preserve">. </w:t>
      </w:r>
      <w:r w:rsidR="00C437E7" w:rsidRPr="00914046">
        <w:rPr>
          <w:u w:val="single"/>
        </w:rPr>
        <w:t>Aboriginal peoples were here first</w:t>
      </w:r>
      <w:r w:rsidR="00C437E7" w:rsidRPr="00914046">
        <w:t xml:space="preserve">, and they were never conquered; yet, they became subject to a legal system that they did not share. Historical treaties were framed in that unfamiliar legal system, and negotiated and drafted in a foreign language. </w:t>
      </w:r>
      <w:r w:rsidR="00C437E7" w:rsidRPr="00914046">
        <w:rPr>
          <w:u w:val="single"/>
        </w:rPr>
        <w:t>The honour of the Crown characterizes the “special relationship” that arises out of this colonial practice.</w:t>
      </w:r>
      <w:r w:rsidR="00C437E7" w:rsidRPr="00914046">
        <w:t xml:space="preserve"> [Emphasis added; citations omitted.]</w:t>
      </w:r>
    </w:p>
    <w:p w:rsidR="00C437E7" w:rsidRPr="00914046" w:rsidRDefault="00C437E7" w:rsidP="00C437E7">
      <w:pPr>
        <w:pStyle w:val="ContinueParaSuitedupar-AltP"/>
        <w:rPr>
          <w:rFonts w:cs="Times New Roman"/>
          <w:lang w:val="en"/>
        </w:rPr>
      </w:pPr>
      <w:r w:rsidRPr="00914046">
        <w:rPr>
          <w:rFonts w:cs="Times New Roman"/>
          <w:lang w:val="en"/>
        </w:rPr>
        <w:t xml:space="preserve">While the </w:t>
      </w:r>
      <w:proofErr w:type="spellStart"/>
      <w:r w:rsidRPr="00914046">
        <w:rPr>
          <w:rFonts w:cs="Times New Roman"/>
          <w:lang w:val="en"/>
        </w:rPr>
        <w:t>honour</w:t>
      </w:r>
      <w:proofErr w:type="spellEnd"/>
      <w:r w:rsidRPr="00914046">
        <w:rPr>
          <w:rFonts w:cs="Times New Roman"/>
          <w:lang w:val="en"/>
        </w:rPr>
        <w:t xml:space="preserve"> of the Crown looks back to this historic impact, it also looks forward to reconciliation between the Crown and Aboriginal peoples in an ongoing, “mutually respectful long-term relationship” (</w:t>
      </w:r>
      <w:r w:rsidRPr="00914046">
        <w:rPr>
          <w:rFonts w:cs="Times New Roman"/>
          <w:i/>
        </w:rPr>
        <w:t>Beckman v. Little Salmon/</w:t>
      </w:r>
      <w:proofErr w:type="spellStart"/>
      <w:r w:rsidRPr="00914046">
        <w:rPr>
          <w:rFonts w:cs="Times New Roman"/>
          <w:i/>
        </w:rPr>
        <w:t>Carmacks</w:t>
      </w:r>
      <w:proofErr w:type="spellEnd"/>
      <w:r w:rsidRPr="00914046">
        <w:rPr>
          <w:rFonts w:cs="Times New Roman"/>
          <w:i/>
        </w:rPr>
        <w:t xml:space="preserve"> First Nation</w:t>
      </w:r>
      <w:r w:rsidRPr="00914046">
        <w:rPr>
          <w:rFonts w:cs="Times New Roman"/>
        </w:rPr>
        <w:t xml:space="preserve">, 2010 SCC 53, [2010] 3 </w:t>
      </w:r>
      <w:proofErr w:type="spellStart"/>
      <w:r w:rsidRPr="00914046">
        <w:rPr>
          <w:rFonts w:cs="Times New Roman"/>
        </w:rPr>
        <w:t>S.C.R</w:t>
      </w:r>
      <w:proofErr w:type="spellEnd"/>
      <w:r w:rsidRPr="00914046">
        <w:rPr>
          <w:rFonts w:cs="Times New Roman"/>
        </w:rPr>
        <w:t>. 103, at para. 10; s</w:t>
      </w:r>
      <w:proofErr w:type="spellStart"/>
      <w:r w:rsidRPr="00914046">
        <w:rPr>
          <w:rFonts w:cs="Times New Roman"/>
          <w:lang w:val="en"/>
        </w:rPr>
        <w:t>ee</w:t>
      </w:r>
      <w:proofErr w:type="spellEnd"/>
      <w:r w:rsidRPr="00914046">
        <w:rPr>
          <w:rFonts w:cs="Times New Roman"/>
          <w:lang w:val="en"/>
        </w:rPr>
        <w:t xml:space="preserve"> also </w:t>
      </w:r>
      <w:proofErr w:type="spellStart"/>
      <w:r w:rsidRPr="00914046">
        <w:rPr>
          <w:rFonts w:cs="Times New Roman"/>
          <w:i/>
        </w:rPr>
        <w:t>Mikisew</w:t>
      </w:r>
      <w:proofErr w:type="spellEnd"/>
      <w:r w:rsidRPr="00914046">
        <w:rPr>
          <w:rFonts w:cs="Times New Roman"/>
          <w:i/>
        </w:rPr>
        <w:t xml:space="preserve"> Cree First Nation </w:t>
      </w:r>
      <w:r w:rsidRPr="00914046">
        <w:rPr>
          <w:rFonts w:cs="Times New Roman"/>
          <w:i/>
          <w:iCs/>
        </w:rPr>
        <w:t>v.</w:t>
      </w:r>
      <w:r w:rsidRPr="00914046">
        <w:rPr>
          <w:rFonts w:cs="Times New Roman"/>
          <w:iCs/>
        </w:rPr>
        <w:t> </w:t>
      </w:r>
      <w:r w:rsidRPr="00914046">
        <w:rPr>
          <w:rFonts w:cs="Times New Roman"/>
          <w:i/>
        </w:rPr>
        <w:t>Canada (Governor General in Council)</w:t>
      </w:r>
      <w:r w:rsidRPr="00914046">
        <w:rPr>
          <w:rFonts w:cs="Times New Roman"/>
        </w:rPr>
        <w:t xml:space="preserve">, 2018 SCC 40, [2018] 2 </w:t>
      </w:r>
      <w:proofErr w:type="spellStart"/>
      <w:r w:rsidRPr="00914046">
        <w:rPr>
          <w:rFonts w:cs="Times New Roman"/>
        </w:rPr>
        <w:t>S.C.R</w:t>
      </w:r>
      <w:proofErr w:type="spellEnd"/>
      <w:r w:rsidRPr="00914046">
        <w:rPr>
          <w:rFonts w:cs="Times New Roman"/>
        </w:rPr>
        <w:t xml:space="preserve">. 765, </w:t>
      </w:r>
      <w:r w:rsidRPr="00914046">
        <w:rPr>
          <w:rFonts w:cs="Times New Roman"/>
          <w:lang w:val="en"/>
        </w:rPr>
        <w:t xml:space="preserve">at para. 21, per </w:t>
      </w:r>
      <w:proofErr w:type="spellStart"/>
      <w:r w:rsidRPr="00914046">
        <w:rPr>
          <w:rFonts w:cs="Times New Roman"/>
          <w:lang w:val="en"/>
        </w:rPr>
        <w:t>Karakatsanis</w:t>
      </w:r>
      <w:proofErr w:type="spellEnd"/>
      <w:r w:rsidRPr="00914046">
        <w:rPr>
          <w:rFonts w:cs="Times New Roman"/>
          <w:lang w:val="en"/>
        </w:rPr>
        <w:t xml:space="preserve"> J.; and </w:t>
      </w:r>
      <w:r w:rsidRPr="00914046">
        <w:rPr>
          <w:rFonts w:cs="Times New Roman"/>
          <w:i/>
        </w:rPr>
        <w:t>Newfoundland and Labrador (Attorney General) </w:t>
      </w:r>
      <w:r w:rsidRPr="00914046">
        <w:rPr>
          <w:rFonts w:cs="Times New Roman"/>
          <w:i/>
          <w:iCs/>
        </w:rPr>
        <w:t>v.</w:t>
      </w:r>
      <w:r w:rsidRPr="00914046">
        <w:rPr>
          <w:rFonts w:cs="Times New Roman"/>
          <w:i/>
        </w:rPr>
        <w:t> </w:t>
      </w:r>
      <w:proofErr w:type="spellStart"/>
      <w:r w:rsidRPr="00914046">
        <w:rPr>
          <w:rFonts w:cs="Times New Roman"/>
          <w:i/>
        </w:rPr>
        <w:t>Uashaunnuat</w:t>
      </w:r>
      <w:proofErr w:type="spellEnd"/>
      <w:r w:rsidRPr="00914046">
        <w:rPr>
          <w:rFonts w:cs="Times New Roman"/>
          <w:i/>
        </w:rPr>
        <w:t xml:space="preserve"> (Innu of </w:t>
      </w:r>
      <w:proofErr w:type="spellStart"/>
      <w:r w:rsidRPr="00914046">
        <w:rPr>
          <w:rFonts w:cs="Times New Roman"/>
          <w:i/>
        </w:rPr>
        <w:t>Uashat</w:t>
      </w:r>
      <w:proofErr w:type="spellEnd"/>
      <w:r w:rsidRPr="00914046">
        <w:rPr>
          <w:rFonts w:cs="Times New Roman"/>
          <w:i/>
        </w:rPr>
        <w:t xml:space="preserve"> and of Mani</w:t>
      </w:r>
      <w:r w:rsidRPr="00914046">
        <w:rPr>
          <w:rFonts w:cs="Times New Roman"/>
          <w:i/>
        </w:rPr>
        <w:noBreakHyphen/>
      </w:r>
      <w:proofErr w:type="spellStart"/>
      <w:r w:rsidRPr="00914046">
        <w:rPr>
          <w:rFonts w:cs="Times New Roman"/>
          <w:i/>
        </w:rPr>
        <w:t>Utenam</w:t>
      </w:r>
      <w:proofErr w:type="spellEnd"/>
      <w:r w:rsidRPr="00914046">
        <w:rPr>
          <w:rFonts w:cs="Times New Roman"/>
          <w:i/>
        </w:rPr>
        <w:t>)</w:t>
      </w:r>
      <w:r w:rsidRPr="00914046">
        <w:rPr>
          <w:rFonts w:cs="Times New Roman"/>
        </w:rPr>
        <w:t>, 2020 SCC 4</w:t>
      </w:r>
      <w:r w:rsidR="00437F31">
        <w:t xml:space="preserve">, [2020] 1 </w:t>
      </w:r>
      <w:proofErr w:type="spellStart"/>
      <w:r w:rsidR="00437F31">
        <w:t>S.C.R</w:t>
      </w:r>
      <w:proofErr w:type="spellEnd"/>
      <w:r w:rsidR="00437F31" w:rsidRPr="00437F31">
        <w:t>. 15</w:t>
      </w:r>
      <w:r w:rsidRPr="00914046">
        <w:rPr>
          <w:rFonts w:cs="Times New Roman"/>
        </w:rPr>
        <w:t xml:space="preserve">, at paras. 21 and 28, per Wagner </w:t>
      </w:r>
      <w:proofErr w:type="spellStart"/>
      <w:r w:rsidRPr="00914046">
        <w:rPr>
          <w:rFonts w:cs="Times New Roman"/>
        </w:rPr>
        <w:t>C.J</w:t>
      </w:r>
      <w:proofErr w:type="spellEnd"/>
      <w:r w:rsidRPr="00914046">
        <w:rPr>
          <w:rFonts w:cs="Times New Roman"/>
        </w:rPr>
        <w:t xml:space="preserve">. and </w:t>
      </w:r>
      <w:proofErr w:type="spellStart"/>
      <w:r w:rsidRPr="00914046">
        <w:rPr>
          <w:rFonts w:cs="Times New Roman"/>
        </w:rPr>
        <w:t>Abella</w:t>
      </w:r>
      <w:proofErr w:type="spellEnd"/>
      <w:r w:rsidRPr="00914046">
        <w:rPr>
          <w:rFonts w:cs="Times New Roman"/>
        </w:rPr>
        <w:t xml:space="preserve"> and </w:t>
      </w:r>
      <w:proofErr w:type="spellStart"/>
      <w:r w:rsidRPr="00914046">
        <w:rPr>
          <w:rFonts w:cs="Times New Roman"/>
        </w:rPr>
        <w:t>Karakatsanis</w:t>
      </w:r>
      <w:proofErr w:type="spellEnd"/>
      <w:r w:rsidRPr="00914046">
        <w:rPr>
          <w:rFonts w:cs="Times New Roman"/>
        </w:rPr>
        <w:t xml:space="preserve"> </w:t>
      </w:r>
      <w:proofErr w:type="spellStart"/>
      <w:r w:rsidRPr="00914046">
        <w:rPr>
          <w:rFonts w:cs="Times New Roman"/>
        </w:rPr>
        <w:t>JJ</w:t>
      </w:r>
      <w:proofErr w:type="spellEnd"/>
      <w:r w:rsidRPr="00914046">
        <w:rPr>
          <w:rFonts w:cs="Times New Roman"/>
        </w:rPr>
        <w:t>.; and at paras. 207</w:t>
      </w:r>
      <w:r w:rsidRPr="00914046">
        <w:rPr>
          <w:rFonts w:cs="Times New Roman"/>
        </w:rPr>
        <w:noBreakHyphen/>
        <w:t xml:space="preserve">8, per Brown and Rowe </w:t>
      </w:r>
      <w:proofErr w:type="spellStart"/>
      <w:r w:rsidRPr="00914046">
        <w:rPr>
          <w:rFonts w:cs="Times New Roman"/>
        </w:rPr>
        <w:t>JJ</w:t>
      </w:r>
      <w:proofErr w:type="spellEnd"/>
      <w:r w:rsidRPr="00914046">
        <w:rPr>
          <w:rFonts w:cs="Times New Roman"/>
        </w:rPr>
        <w:t>., dissenting)</w:t>
      </w:r>
      <w:r w:rsidRPr="00914046">
        <w:rPr>
          <w:rFonts w:cs="Times New Roman"/>
          <w:lang w:val="en"/>
        </w:rPr>
        <w:t xml:space="preserve">. The </w:t>
      </w:r>
      <w:proofErr w:type="spellStart"/>
      <w:r w:rsidRPr="00914046">
        <w:rPr>
          <w:rFonts w:cs="Times New Roman"/>
          <w:lang w:val="en"/>
        </w:rPr>
        <w:t>honour</w:t>
      </w:r>
      <w:proofErr w:type="spellEnd"/>
      <w:r w:rsidRPr="00914046">
        <w:rPr>
          <w:rFonts w:cs="Times New Roman"/>
          <w:lang w:val="en"/>
        </w:rPr>
        <w:t xml:space="preserve"> of the Crown requires that Aboriginal rights be determined and respected, and may require the Crown to consult and accommodate while the negotiation process continues (</w:t>
      </w:r>
      <w:proofErr w:type="spellStart"/>
      <w:r w:rsidRPr="00914046">
        <w:rPr>
          <w:rFonts w:cs="Times New Roman"/>
          <w:i/>
        </w:rPr>
        <w:t>Haida</w:t>
      </w:r>
      <w:proofErr w:type="spellEnd"/>
      <w:r w:rsidRPr="00914046">
        <w:rPr>
          <w:rFonts w:cs="Times New Roman"/>
          <w:i/>
        </w:rPr>
        <w:t xml:space="preserve"> Nation </w:t>
      </w:r>
      <w:r w:rsidRPr="00914046">
        <w:rPr>
          <w:rFonts w:cs="Times New Roman"/>
          <w:i/>
          <w:iCs/>
        </w:rPr>
        <w:t>v</w:t>
      </w:r>
      <w:r w:rsidRPr="00914046">
        <w:rPr>
          <w:rFonts w:cs="Times New Roman"/>
          <w:i/>
        </w:rPr>
        <w:t>.</w:t>
      </w:r>
      <w:r w:rsidRPr="00914046">
        <w:rPr>
          <w:rFonts w:cs="Times New Roman"/>
        </w:rPr>
        <w:t xml:space="preserve"> </w:t>
      </w:r>
      <w:r w:rsidRPr="00914046">
        <w:rPr>
          <w:rFonts w:cs="Times New Roman"/>
          <w:i/>
        </w:rPr>
        <w:t>British Columbia (Minister of Forests)</w:t>
      </w:r>
      <w:r w:rsidRPr="00914046">
        <w:rPr>
          <w:rFonts w:cs="Times New Roman"/>
        </w:rPr>
        <w:t xml:space="preserve">, 2004 SCC 73, </w:t>
      </w:r>
      <w:r w:rsidRPr="00914046">
        <w:rPr>
          <w:rFonts w:cs="Times New Roman"/>
          <w:lang w:val="en-GB"/>
        </w:rPr>
        <w:t xml:space="preserve">[2004] 3 </w:t>
      </w:r>
      <w:proofErr w:type="spellStart"/>
      <w:r w:rsidRPr="00914046">
        <w:rPr>
          <w:rFonts w:cs="Times New Roman"/>
          <w:lang w:val="en-GB"/>
        </w:rPr>
        <w:t>S.C.R</w:t>
      </w:r>
      <w:proofErr w:type="spellEnd"/>
      <w:r w:rsidRPr="00914046">
        <w:rPr>
          <w:rFonts w:cs="Times New Roman"/>
          <w:lang w:val="en-GB"/>
        </w:rPr>
        <w:t>. 511, at para. 25</w:t>
      </w:r>
      <w:r w:rsidRPr="00914046">
        <w:rPr>
          <w:rFonts w:cs="Times New Roman"/>
          <w:lang w:val="en"/>
        </w:rPr>
        <w:t xml:space="preserve">; see also </w:t>
      </w:r>
      <w:proofErr w:type="spellStart"/>
      <w:r w:rsidRPr="00914046">
        <w:rPr>
          <w:rFonts w:cs="Times New Roman"/>
          <w:i/>
          <w:iCs/>
          <w:lang w:val="en"/>
        </w:rPr>
        <w:t>Taku</w:t>
      </w:r>
      <w:proofErr w:type="spellEnd"/>
      <w:r w:rsidRPr="00914046">
        <w:rPr>
          <w:rFonts w:cs="Times New Roman"/>
          <w:i/>
          <w:iCs/>
          <w:lang w:val="en"/>
        </w:rPr>
        <w:t xml:space="preserve"> River Tlingit First Nation v. British Columbia (Project Assessment </w:t>
      </w:r>
      <w:r w:rsidRPr="00914046">
        <w:rPr>
          <w:rFonts w:cs="Times New Roman"/>
          <w:i/>
          <w:iCs/>
          <w:lang w:val="en"/>
        </w:rPr>
        <w:lastRenderedPageBreak/>
        <w:t>Director)</w:t>
      </w:r>
      <w:r w:rsidRPr="00914046">
        <w:rPr>
          <w:rFonts w:cs="Times New Roman"/>
          <w:lang w:val="en"/>
        </w:rPr>
        <w:t xml:space="preserve">, 2004 SCC 74, [2004] 3 </w:t>
      </w:r>
      <w:proofErr w:type="spellStart"/>
      <w:r w:rsidRPr="00914046">
        <w:rPr>
          <w:rFonts w:cs="Times New Roman"/>
          <w:lang w:val="en"/>
        </w:rPr>
        <w:t>S.C.R</w:t>
      </w:r>
      <w:proofErr w:type="spellEnd"/>
      <w:r w:rsidRPr="00914046">
        <w:rPr>
          <w:rFonts w:cs="Times New Roman"/>
          <w:lang w:val="en"/>
        </w:rPr>
        <w:t xml:space="preserve">. 550, at para. 24). </w:t>
      </w:r>
      <w:bookmarkStart w:id="3" w:name="_Toc391373604"/>
      <w:bookmarkStart w:id="4" w:name="_Toc391281982"/>
      <w:bookmarkStart w:id="5" w:name="_Toc389673194"/>
      <w:bookmarkStart w:id="6" w:name="_Toc389212513"/>
      <w:bookmarkStart w:id="7" w:name="_Toc391373606"/>
      <w:bookmarkStart w:id="8" w:name="_Toc391281984"/>
      <w:bookmarkStart w:id="9" w:name="_Toc389673196"/>
      <w:bookmarkStart w:id="10" w:name="_Toc389212515"/>
      <w:bookmarkEnd w:id="3"/>
      <w:bookmarkEnd w:id="4"/>
      <w:bookmarkEnd w:id="5"/>
      <w:bookmarkEnd w:id="6"/>
      <w:bookmarkEnd w:id="7"/>
      <w:bookmarkEnd w:id="8"/>
      <w:bookmarkEnd w:id="9"/>
      <w:bookmarkEnd w:id="10"/>
      <w:r w:rsidRPr="00914046">
        <w:rPr>
          <w:rFonts w:cs="Times New Roman"/>
          <w:lang w:val="en"/>
        </w:rPr>
        <w:t>It also requires that the Crown act diligently to fulfill its constitutional obligations to Aboriginal peoples (</w:t>
      </w:r>
      <w:r w:rsidRPr="00914046">
        <w:rPr>
          <w:rFonts w:cs="Times New Roman"/>
          <w:i/>
          <w:lang w:val="en"/>
        </w:rPr>
        <w:t>Manitoba Metis</w:t>
      </w:r>
      <w:r w:rsidRPr="00914046">
        <w:rPr>
          <w:rFonts w:cs="Times New Roman"/>
          <w:lang w:val="en"/>
        </w:rPr>
        <w:t xml:space="preserve">, at para. 75). </w:t>
      </w:r>
    </w:p>
    <w:p w:rsidR="00C437E7" w:rsidRPr="00914046" w:rsidRDefault="00C437E7" w:rsidP="00C437E7">
      <w:pPr>
        <w:pStyle w:val="ParaNoNdepar-AltN"/>
        <w:rPr>
          <w:rFonts w:cs="Times New Roman"/>
          <w:lang w:val="en-GB"/>
        </w:rPr>
      </w:pPr>
      <w:r w:rsidRPr="00914046">
        <w:rPr>
          <w:rFonts w:cs="Times New Roman"/>
          <w:lang w:val="en-GB"/>
        </w:rPr>
        <w:t>As this review of the jurisprudence shows, s. 35(1) serves to recognize the prior occupation of Canada by Aboriginal societies and to reconcile their contemporary existence with Crown sovereignty. These purposes are expressed in the doctrinal structure of Aboriginal law, which gives effect to rights and relationships that arise from the prior occupation of Canada by Aboriginal societies. Implicit in this doctrinal structure, and the purposes that underlie it, is the answer to our question. The Aboriginal peoples of Canada under s. 35(1) are the modern successors of those Aboriginal societies that occupied Canadian territory at the time of European contact. This may include Aboriginal groups that are now outside Canada.</w:t>
      </w:r>
    </w:p>
    <w:p w:rsidR="00C437E7" w:rsidRPr="00914046" w:rsidRDefault="00C437E7" w:rsidP="00C437E7">
      <w:pPr>
        <w:pStyle w:val="ParaNoNdepar-AltN"/>
        <w:rPr>
          <w:rFonts w:cs="Times New Roman"/>
          <w:lang w:val="en-GB"/>
        </w:rPr>
      </w:pPr>
      <w:r w:rsidRPr="00914046">
        <w:rPr>
          <w:rFonts w:cs="Times New Roman"/>
        </w:rPr>
        <w:t>I hasten to add that this criterion will need to be modified in the case of the Métis. Because Métis communities arose after contact between other Aboriginal peoples and Europeans, “</w:t>
      </w:r>
      <w:r w:rsidRPr="00914046">
        <w:rPr>
          <w:rFonts w:cs="Times New Roman"/>
          <w:lang w:val="en-GB"/>
        </w:rPr>
        <w:t>the manner in which the aboriginal rights of other aboriginal peoples are defined is not necessarily determinative of the manner in which the aboriginal rights of the Métis are defined” (</w:t>
      </w:r>
      <w:r w:rsidRPr="00914046">
        <w:rPr>
          <w:rFonts w:cs="Times New Roman"/>
          <w:i/>
          <w:lang w:val="en-GB"/>
        </w:rPr>
        <w:t xml:space="preserve">Van der </w:t>
      </w:r>
      <w:proofErr w:type="spellStart"/>
      <w:r w:rsidRPr="00914046">
        <w:rPr>
          <w:rFonts w:cs="Times New Roman"/>
          <w:i/>
          <w:lang w:val="en-GB"/>
        </w:rPr>
        <w:t>Peet</w:t>
      </w:r>
      <w:proofErr w:type="spellEnd"/>
      <w:r w:rsidRPr="00914046">
        <w:rPr>
          <w:rFonts w:cs="Times New Roman"/>
          <w:lang w:val="en-GB"/>
        </w:rPr>
        <w:t xml:space="preserve">, at para. 67). Given that the present case is not about Métis s. 35(1) rights, I leave for another day precisely what criterion should be applied to determine whether a Métis community is an “aboriginal </w:t>
      </w:r>
      <w:proofErr w:type="spellStart"/>
      <w:r w:rsidRPr="00914046">
        <w:rPr>
          <w:rFonts w:cs="Times New Roman"/>
          <w:lang w:val="en-GB"/>
        </w:rPr>
        <w:t>peopl</w:t>
      </w:r>
      <w:proofErr w:type="spellEnd"/>
      <w:r w:rsidRPr="00914046">
        <w:rPr>
          <w:rFonts w:cs="Times New Roman"/>
          <w:lang w:val="en-GB"/>
        </w:rPr>
        <w:t>[e</w:t>
      </w:r>
      <w:r w:rsidRPr="00914046">
        <w:rPr>
          <w:rFonts w:cs="Times New Roman"/>
        </w:rPr>
        <w:t>]</w:t>
      </w:r>
      <w:r w:rsidRPr="00914046">
        <w:rPr>
          <w:rFonts w:cs="Times New Roman"/>
          <w:lang w:val="en-GB"/>
        </w:rPr>
        <w:t xml:space="preserve"> of Canada”, in cases where there is doubt.</w:t>
      </w:r>
    </w:p>
    <w:p w:rsidR="00C437E7" w:rsidRPr="00914046" w:rsidRDefault="00C437E7" w:rsidP="00C437E7">
      <w:pPr>
        <w:pStyle w:val="ParaNoNdepar-AltN"/>
        <w:rPr>
          <w:rFonts w:cs="Times New Roman"/>
          <w:lang w:val="en-GB"/>
        </w:rPr>
      </w:pPr>
      <w:r w:rsidRPr="00914046">
        <w:rPr>
          <w:rFonts w:cs="Times New Roman"/>
          <w:lang w:val="en-GB"/>
        </w:rPr>
        <w:lastRenderedPageBreak/>
        <w:t>I would add that a</w:t>
      </w:r>
      <w:r w:rsidRPr="00914046">
        <w:rPr>
          <w:rFonts w:cs="Times New Roman"/>
        </w:rPr>
        <w:t>n interpretation of “aboriginal peoples of Canada” in s. 35(1) that includes Aboriginal peoples who were here when the Europeans arrived and later moved or were forced to move elsewhere, or on whom international boundaries were imposed, reflects the purpose of reconciliation. The displacement of Aboriginal peoples as a result of colonization is well acknowledged:</w:t>
      </w:r>
    </w:p>
    <w:p w:rsidR="00C437E7" w:rsidRPr="00914046" w:rsidRDefault="00C437E7" w:rsidP="00C437E7">
      <w:pPr>
        <w:pStyle w:val="Citation-AltC"/>
      </w:pPr>
      <w:r w:rsidRPr="00914046">
        <w:t xml:space="preserve">Aboriginal peoples were displaced physically — they were denied access to their traditional territories and in many cases actually forced to move to new locations selected for them by colonial authorities. They were also displaced socially and culturally, subject to intensive missionary activity and the establishment of schools — which undermined their ability to pass on traditional values to their children, imposed male-oriented Victorian values, and attacked traditional activities such as significant dances and other ceremonies. In North America they were also displaced politically, forced by colonial laws to abandon or at least disguise traditional governing structures and processes in favour of colonial-style municipal institutions. </w:t>
      </w:r>
    </w:p>
    <w:p w:rsidR="00C437E7" w:rsidRPr="00914046" w:rsidRDefault="00C437E7" w:rsidP="00C437E7">
      <w:pPr>
        <w:pStyle w:val="Citation-AltC"/>
      </w:pPr>
    </w:p>
    <w:p w:rsidR="00C437E7" w:rsidRPr="00914046" w:rsidRDefault="00C437E7" w:rsidP="00437F31">
      <w:pPr>
        <w:pStyle w:val="Citation-AltC"/>
        <w:ind w:left="0"/>
        <w:rPr>
          <w:lang w:val="en-GB"/>
        </w:rPr>
      </w:pPr>
      <w:r w:rsidRPr="00914046">
        <w:t>(</w:t>
      </w:r>
      <w:r w:rsidRPr="00914046">
        <w:rPr>
          <w:i/>
        </w:rPr>
        <w:t>Report of the Royal Commission on Aboriginal Peoples</w:t>
      </w:r>
      <w:r w:rsidRPr="00914046">
        <w:t xml:space="preserve">, vol. 1, </w:t>
      </w:r>
      <w:r w:rsidRPr="00914046">
        <w:rPr>
          <w:i/>
        </w:rPr>
        <w:t>Looking Forward, Looking Back</w:t>
      </w:r>
      <w:r w:rsidRPr="00914046">
        <w:t xml:space="preserve"> (1996), at pp. 139-40)</w:t>
      </w:r>
    </w:p>
    <w:p w:rsidR="00C437E7" w:rsidRPr="00914046" w:rsidRDefault="00C437E7" w:rsidP="00C437E7">
      <w:pPr>
        <w:pStyle w:val="ParaNoNdepar-AltN"/>
        <w:numPr>
          <w:ilvl w:val="0"/>
          <w:numId w:val="0"/>
        </w:numPr>
        <w:rPr>
          <w:rFonts w:cs="Times New Roman"/>
          <w:lang w:val="en-GB"/>
        </w:rPr>
      </w:pPr>
      <w:r w:rsidRPr="00914046">
        <w:rPr>
          <w:rFonts w:cs="Times New Roman"/>
        </w:rPr>
        <w:t>By contrast, an interpretation that excludes Aboriginal peoples who were forced to move out of Canada would risk “perpetuating the historical injustice suffered by aboriginal peoples at the hands of colonizers” (</w:t>
      </w:r>
      <w:r w:rsidRPr="00914046">
        <w:rPr>
          <w:rFonts w:cs="Times New Roman"/>
          <w:i/>
        </w:rPr>
        <w:t>R. v. Côté</w:t>
      </w:r>
      <w:r w:rsidRPr="00914046">
        <w:rPr>
          <w:rFonts w:cs="Times New Roman"/>
        </w:rPr>
        <w:t xml:space="preserve">, [1996] 3 </w:t>
      </w:r>
      <w:proofErr w:type="spellStart"/>
      <w:r w:rsidRPr="00914046">
        <w:rPr>
          <w:rFonts w:cs="Times New Roman"/>
        </w:rPr>
        <w:t>S.C.R</w:t>
      </w:r>
      <w:proofErr w:type="spellEnd"/>
      <w:r w:rsidRPr="00914046">
        <w:rPr>
          <w:rFonts w:cs="Times New Roman"/>
        </w:rPr>
        <w:t>. 139, at para. 53).</w:t>
      </w:r>
    </w:p>
    <w:p w:rsidR="00C437E7" w:rsidRPr="00914046" w:rsidRDefault="00C437E7" w:rsidP="00C437E7">
      <w:pPr>
        <w:pStyle w:val="ParaNoNdepar-AltN"/>
        <w:rPr>
          <w:rFonts w:cs="Times New Roman"/>
          <w:lang w:val="en-GB"/>
        </w:rPr>
      </w:pPr>
      <w:r w:rsidRPr="00914046">
        <w:rPr>
          <w:rFonts w:cs="Times New Roman"/>
          <w:lang w:val="en-GB"/>
        </w:rPr>
        <w:t xml:space="preserve">Moreover, it bears emphasis that s. 35(1) did not create Aboriginal rights. As </w:t>
      </w:r>
      <w:r w:rsidRPr="00914046">
        <w:rPr>
          <w:rFonts w:cs="Times New Roman"/>
          <w:i/>
          <w:lang w:val="en-GB"/>
        </w:rPr>
        <w:t>Calder</w:t>
      </w:r>
      <w:r w:rsidRPr="00914046">
        <w:rPr>
          <w:rFonts w:cs="Times New Roman"/>
          <w:lang w:val="en-GB"/>
        </w:rPr>
        <w:t xml:space="preserve"> and indeed the </w:t>
      </w:r>
      <w:r w:rsidRPr="00914046">
        <w:rPr>
          <w:rFonts w:cs="Times New Roman"/>
          <w:i/>
          <w:lang w:val="en-GB"/>
        </w:rPr>
        <w:t>Royal Proclamation, 1763</w:t>
      </w:r>
      <w:r w:rsidRPr="00914046">
        <w:rPr>
          <w:rFonts w:cs="Times New Roman"/>
          <w:lang w:val="en-GB"/>
        </w:rPr>
        <w:t xml:space="preserve"> (</w:t>
      </w:r>
      <w:proofErr w:type="spellStart"/>
      <w:r w:rsidRPr="00914046">
        <w:rPr>
          <w:rFonts w:cs="Times New Roman"/>
          <w:lang w:val="en-GB"/>
        </w:rPr>
        <w:t>G.B</w:t>
      </w:r>
      <w:proofErr w:type="spellEnd"/>
      <w:r w:rsidRPr="00914046">
        <w:rPr>
          <w:rFonts w:cs="Times New Roman"/>
          <w:lang w:val="en-GB"/>
        </w:rPr>
        <w:t xml:space="preserve">.), 3 Geo. 3 (reproduced in </w:t>
      </w:r>
      <w:proofErr w:type="spellStart"/>
      <w:r w:rsidRPr="00914046">
        <w:rPr>
          <w:rFonts w:cs="Times New Roman"/>
          <w:lang w:val="en-GB"/>
        </w:rPr>
        <w:t>R.S.C</w:t>
      </w:r>
      <w:proofErr w:type="spellEnd"/>
      <w:r w:rsidRPr="00914046">
        <w:rPr>
          <w:rFonts w:cs="Times New Roman"/>
          <w:lang w:val="en-GB"/>
        </w:rPr>
        <w:t>. 1985, App. II, No. 1), show, Aboriginal rights long predated 1982 (see M. D. Walters, “</w:t>
      </w:r>
      <w:r w:rsidRPr="00914046">
        <w:rPr>
          <w:rFonts w:cs="Times New Roman"/>
          <w:lang w:val="en-GB" w:bidi="en-US"/>
        </w:rPr>
        <w:t xml:space="preserve">The ‘Golden Thread’ of Continuity: Aboriginal Customs at Common </w:t>
      </w:r>
      <w:r w:rsidRPr="00914046">
        <w:rPr>
          <w:rFonts w:cs="Times New Roman"/>
          <w:lang w:val="en-GB" w:bidi="en-US"/>
        </w:rPr>
        <w:lastRenderedPageBreak/>
        <w:t xml:space="preserve">Law and Under the </w:t>
      </w:r>
      <w:r w:rsidRPr="00914046">
        <w:rPr>
          <w:rFonts w:cs="Times New Roman"/>
          <w:i/>
          <w:lang w:val="en-GB" w:bidi="en-US"/>
        </w:rPr>
        <w:t>Constitution Act, 1982</w:t>
      </w:r>
      <w:r w:rsidRPr="00914046">
        <w:rPr>
          <w:rFonts w:cs="Times New Roman"/>
          <w:lang w:val="en-GB" w:bidi="en-US"/>
        </w:rPr>
        <w:t xml:space="preserve">” (1999), 44 </w:t>
      </w:r>
      <w:r w:rsidRPr="00914046">
        <w:rPr>
          <w:rFonts w:cs="Times New Roman"/>
          <w:i/>
          <w:lang w:val="en-GB" w:bidi="en-US"/>
        </w:rPr>
        <w:t xml:space="preserve">McGill </w:t>
      </w:r>
      <w:proofErr w:type="spellStart"/>
      <w:r w:rsidRPr="00914046">
        <w:rPr>
          <w:rFonts w:cs="Times New Roman"/>
          <w:i/>
          <w:lang w:val="en-GB" w:bidi="en-US"/>
        </w:rPr>
        <w:t>L.J</w:t>
      </w:r>
      <w:proofErr w:type="spellEnd"/>
      <w:r w:rsidRPr="00914046">
        <w:rPr>
          <w:rFonts w:cs="Times New Roman"/>
          <w:i/>
          <w:lang w:val="en-GB" w:bidi="en-US"/>
        </w:rPr>
        <w:t>.</w:t>
      </w:r>
      <w:r w:rsidRPr="00914046">
        <w:rPr>
          <w:rFonts w:cs="Times New Roman"/>
          <w:lang w:val="en-GB" w:bidi="en-US"/>
        </w:rPr>
        <w:t xml:space="preserve"> 711)</w:t>
      </w:r>
      <w:r w:rsidRPr="00914046">
        <w:rPr>
          <w:rFonts w:cs="Times New Roman"/>
          <w:lang w:val="en-GB"/>
        </w:rPr>
        <w:t>. What s. 35(1) did was to give Aboriginal and treaty rights — which it explicitly recognizes as already “existing” — constitutional protection (</w:t>
      </w:r>
      <w:r w:rsidRPr="00914046">
        <w:rPr>
          <w:rFonts w:cs="Times New Roman"/>
          <w:i/>
          <w:lang w:val="en-GB"/>
        </w:rPr>
        <w:t xml:space="preserve">Van der </w:t>
      </w:r>
      <w:proofErr w:type="spellStart"/>
      <w:r w:rsidRPr="00914046">
        <w:rPr>
          <w:rFonts w:cs="Times New Roman"/>
          <w:i/>
          <w:lang w:val="en-GB"/>
        </w:rPr>
        <w:t>Peet</w:t>
      </w:r>
      <w:proofErr w:type="spellEnd"/>
      <w:r w:rsidRPr="00914046">
        <w:rPr>
          <w:rFonts w:cs="Times New Roman"/>
          <w:lang w:val="en-GB"/>
        </w:rPr>
        <w:t>, at paras. 28-29). Even though some s. 35(1) Aboriginal rights would not have been recognized under pre-1982 Canadian law (</w:t>
      </w:r>
      <w:r w:rsidRPr="00914046">
        <w:rPr>
          <w:rFonts w:cs="Times New Roman"/>
          <w:i/>
        </w:rPr>
        <w:t>Côté</w:t>
      </w:r>
      <w:r w:rsidRPr="00914046">
        <w:rPr>
          <w:rFonts w:cs="Times New Roman"/>
        </w:rPr>
        <w:t xml:space="preserve">, at para. 52), the practices, customs and traditions that underlie these rights existed before 1982. </w:t>
      </w:r>
      <w:r w:rsidRPr="00914046">
        <w:rPr>
          <w:rFonts w:cs="Times New Roman"/>
          <w:lang w:val="en-GB"/>
        </w:rPr>
        <w:t xml:space="preserve">An interpretation of s. 35(1) that limits its scope to those Aboriginal peoples who were located in Canada in 1982 would fail to give effect to this point by treating s. 35(1) as the source of Aboriginal rights. </w:t>
      </w:r>
    </w:p>
    <w:p w:rsidR="00C437E7" w:rsidRPr="00914046" w:rsidRDefault="00C437E7" w:rsidP="00C437E7">
      <w:pPr>
        <w:pStyle w:val="Title3LevelTitre3Niveau"/>
        <w:rPr>
          <w:rFonts w:cs="Times New Roman"/>
          <w:lang w:val="en-GB"/>
        </w:rPr>
      </w:pPr>
      <w:r w:rsidRPr="00914046">
        <w:rPr>
          <w:rFonts w:cs="Times New Roman"/>
          <w:lang w:val="en-GB"/>
        </w:rPr>
        <w:t>Additional Arguments</w:t>
      </w:r>
    </w:p>
    <w:p w:rsidR="00C437E7" w:rsidRPr="00914046" w:rsidRDefault="00C437E7" w:rsidP="00C437E7">
      <w:pPr>
        <w:pStyle w:val="ParaNoNdepar-AltN"/>
        <w:rPr>
          <w:rFonts w:cs="Times New Roman"/>
          <w:lang w:val="en-GB"/>
        </w:rPr>
      </w:pPr>
      <w:r w:rsidRPr="00914046">
        <w:rPr>
          <w:rFonts w:cs="Times New Roman"/>
        </w:rPr>
        <w:t>The parties and interveners made a range of additional arguments about the scope of s. 35(1). I do not take any of these arguments to be determinative, but will explain how they are consistent with the interpretation set out above.</w:t>
      </w:r>
    </w:p>
    <w:p w:rsidR="00C437E7" w:rsidRPr="00914046" w:rsidRDefault="00C437E7" w:rsidP="00C437E7">
      <w:pPr>
        <w:pStyle w:val="Title4LevelTitre4Niveau"/>
        <w:rPr>
          <w:rFonts w:cs="Times New Roman"/>
          <w:lang w:val="en-GB"/>
        </w:rPr>
      </w:pPr>
      <w:r w:rsidRPr="00914046">
        <w:rPr>
          <w:rFonts w:cs="Times New Roman"/>
          <w:lang w:val="en-GB"/>
        </w:rPr>
        <w:t>Alternative Wording for Section 35(1)</w:t>
      </w:r>
    </w:p>
    <w:p w:rsidR="00C437E7" w:rsidRPr="00914046" w:rsidRDefault="00C437E7" w:rsidP="00C437E7">
      <w:pPr>
        <w:pStyle w:val="ParaNoNdepar-AltN"/>
        <w:rPr>
          <w:rFonts w:cs="Times New Roman"/>
        </w:rPr>
      </w:pPr>
      <w:r w:rsidRPr="00914046">
        <w:rPr>
          <w:rFonts w:cs="Times New Roman"/>
        </w:rPr>
        <w:t xml:space="preserve">Several parties made submissions on what the words “of Canada” in s. 35(1) must mean. Both the Crown and Mr. </w:t>
      </w:r>
      <w:proofErr w:type="spellStart"/>
      <w:r w:rsidRPr="00914046">
        <w:rPr>
          <w:rFonts w:cs="Times New Roman"/>
        </w:rPr>
        <w:t>Desautel</w:t>
      </w:r>
      <w:proofErr w:type="spellEnd"/>
      <w:r w:rsidRPr="00914046">
        <w:rPr>
          <w:rFonts w:cs="Times New Roman"/>
        </w:rPr>
        <w:t xml:space="preserve"> suggested alternative wording that might have been used instead, had the drafters of the </w:t>
      </w:r>
      <w:r w:rsidRPr="00914046">
        <w:rPr>
          <w:rFonts w:cs="Times New Roman"/>
          <w:i/>
        </w:rPr>
        <w:t>Constitution Act, 1982</w:t>
      </w:r>
      <w:r w:rsidRPr="00914046">
        <w:rPr>
          <w:rFonts w:cs="Times New Roman"/>
        </w:rPr>
        <w:t xml:space="preserve">, wished to exclude their favoured interpretations. I give these arguments no weight. As I explained earlier, the words used in s. 35(1) are capable of different meanings when considered in isolation. </w:t>
      </w:r>
    </w:p>
    <w:p w:rsidR="00C437E7" w:rsidRPr="00914046" w:rsidRDefault="00C437E7" w:rsidP="00C437E7">
      <w:pPr>
        <w:pStyle w:val="ParaNoNdepar-AltN"/>
        <w:rPr>
          <w:rFonts w:cs="Times New Roman"/>
        </w:rPr>
      </w:pPr>
      <w:r w:rsidRPr="00914046">
        <w:rPr>
          <w:rFonts w:cs="Times New Roman"/>
        </w:rPr>
        <w:lastRenderedPageBreak/>
        <w:t>However, the phrase “</w:t>
      </w:r>
      <w:r w:rsidRPr="00914046">
        <w:rPr>
          <w:rFonts w:cs="Times New Roman"/>
          <w:u w:val="single"/>
        </w:rPr>
        <w:t>aboriginal</w:t>
      </w:r>
      <w:r w:rsidRPr="00914046">
        <w:rPr>
          <w:rFonts w:cs="Times New Roman"/>
          <w:b/>
        </w:rPr>
        <w:t xml:space="preserve"> </w:t>
      </w:r>
      <w:r w:rsidRPr="00914046">
        <w:rPr>
          <w:rFonts w:cs="Times New Roman"/>
        </w:rPr>
        <w:t xml:space="preserve">peoples” does perhaps suggest those who were here </w:t>
      </w:r>
      <w:r w:rsidRPr="00914046">
        <w:rPr>
          <w:rFonts w:cs="Times New Roman"/>
          <w:u w:val="single"/>
        </w:rPr>
        <w:t>originally</w:t>
      </w:r>
      <w:r w:rsidRPr="00914046">
        <w:rPr>
          <w:rFonts w:cs="Times New Roman"/>
        </w:rPr>
        <w:t xml:space="preserve"> </w:t>
      </w:r>
      <w:r w:rsidRPr="00914046">
        <w:rPr>
          <w:rFonts w:cs="Times New Roman"/>
          <w:lang w:val="en-GB"/>
        </w:rPr>
        <w:t>—</w:t>
      </w:r>
      <w:r w:rsidRPr="00914046">
        <w:rPr>
          <w:rFonts w:cs="Times New Roman"/>
        </w:rPr>
        <w:t xml:space="preserve"> before the Europeans </w:t>
      </w:r>
      <w:r w:rsidRPr="00914046">
        <w:rPr>
          <w:rFonts w:cs="Times New Roman"/>
          <w:lang w:val="en-GB"/>
        </w:rPr>
        <w:t>—</w:t>
      </w:r>
      <w:r w:rsidRPr="00914046">
        <w:rPr>
          <w:rFonts w:cs="Times New Roman"/>
        </w:rPr>
        <w:t xml:space="preserve"> in line with the interpretation I have set out. As Lord Denning once wrote, “[t]he Indian peoples of Canada have been there from the beginning of time. So they are called the ‘aboriginal </w:t>
      </w:r>
      <w:proofErr w:type="gramStart"/>
      <w:r w:rsidRPr="00914046">
        <w:rPr>
          <w:rFonts w:cs="Times New Roman"/>
        </w:rPr>
        <w:t>peoples’</w:t>
      </w:r>
      <w:proofErr w:type="gramEnd"/>
      <w:r w:rsidRPr="00914046">
        <w:rPr>
          <w:rFonts w:cs="Times New Roman"/>
        </w:rPr>
        <w:t xml:space="preserve">”: </w:t>
      </w:r>
      <w:r w:rsidRPr="00914046">
        <w:rPr>
          <w:rFonts w:cs="Times New Roman"/>
          <w:i/>
        </w:rPr>
        <w:t>The Queen v. The Secretary of State for Foreign and Commonwealth Affairs</w:t>
      </w:r>
      <w:r w:rsidRPr="00914046">
        <w:rPr>
          <w:rFonts w:cs="Times New Roman"/>
        </w:rPr>
        <w:t xml:space="preserve">, [1981] 4 </w:t>
      </w:r>
      <w:proofErr w:type="spellStart"/>
      <w:r w:rsidRPr="00914046">
        <w:rPr>
          <w:rFonts w:cs="Times New Roman"/>
        </w:rPr>
        <w:t>C.N.L.R</w:t>
      </w:r>
      <w:proofErr w:type="spellEnd"/>
      <w:r w:rsidRPr="00914046">
        <w:rPr>
          <w:rFonts w:cs="Times New Roman"/>
        </w:rPr>
        <w:t>. 86 (</w:t>
      </w:r>
      <w:proofErr w:type="spellStart"/>
      <w:r w:rsidRPr="00914046">
        <w:rPr>
          <w:rFonts w:cs="Times New Roman"/>
        </w:rPr>
        <w:t>E.W.C.A</w:t>
      </w:r>
      <w:proofErr w:type="spellEnd"/>
      <w:r w:rsidRPr="00914046">
        <w:rPr>
          <w:rFonts w:cs="Times New Roman"/>
        </w:rPr>
        <w:t>.)</w:t>
      </w:r>
      <w:r w:rsidR="00EF364E">
        <w:rPr>
          <w:rFonts w:cs="Times New Roman"/>
        </w:rPr>
        <w:t>, at p. 89</w:t>
      </w:r>
      <w:r w:rsidRPr="00914046">
        <w:rPr>
          <w:rFonts w:cs="Times New Roman"/>
        </w:rPr>
        <w:t>.</w:t>
      </w:r>
    </w:p>
    <w:p w:rsidR="00C437E7" w:rsidRPr="00914046" w:rsidRDefault="00C437E7" w:rsidP="00C437E7">
      <w:pPr>
        <w:pStyle w:val="Title4LevelTitre4Niveau"/>
        <w:rPr>
          <w:rFonts w:cs="Times New Roman"/>
          <w:lang w:val="en-GB"/>
        </w:rPr>
      </w:pPr>
      <w:r w:rsidRPr="00914046">
        <w:rPr>
          <w:rFonts w:cs="Times New Roman"/>
          <w:lang w:val="en-GB"/>
        </w:rPr>
        <w:t>Context Within the Constitution Act, 1982</w:t>
      </w:r>
    </w:p>
    <w:p w:rsidR="00C437E7" w:rsidRPr="00914046" w:rsidRDefault="00C437E7" w:rsidP="00C437E7">
      <w:pPr>
        <w:pStyle w:val="ParaNoNdepar-AltN"/>
        <w:rPr>
          <w:rFonts w:cs="Times New Roman"/>
          <w:lang w:val="en-GB"/>
        </w:rPr>
      </w:pPr>
      <w:r w:rsidRPr="00914046">
        <w:rPr>
          <w:rFonts w:cs="Times New Roman"/>
        </w:rPr>
        <w:t xml:space="preserve">The phrase “aboriginal peoples of Canada” is used elsewhere in the </w:t>
      </w:r>
      <w:r w:rsidRPr="00914046">
        <w:rPr>
          <w:rFonts w:cs="Times New Roman"/>
          <w:i/>
        </w:rPr>
        <w:t>Constitution Act, 1982</w:t>
      </w:r>
      <w:r w:rsidRPr="00914046">
        <w:rPr>
          <w:rFonts w:cs="Times New Roman"/>
        </w:rPr>
        <w:t xml:space="preserve">. It is used in ss. 25 (“The guarantee in this Charter of certain rights and freedoms shall not be construed so as to abrogate or derogate from any aboriginal, treaty or other rights or freedoms that pertain to </w:t>
      </w:r>
      <w:r w:rsidRPr="00914046">
        <w:rPr>
          <w:rFonts w:cs="Times New Roman"/>
          <w:u w:val="single"/>
        </w:rPr>
        <w:t>the aboriginal peoples of Canada</w:t>
      </w:r>
      <w:r w:rsidRPr="00914046">
        <w:rPr>
          <w:rFonts w:cs="Times New Roman"/>
        </w:rPr>
        <w:t>”), 35(2) (“</w:t>
      </w:r>
      <w:r w:rsidRPr="00914046">
        <w:rPr>
          <w:rFonts w:cs="Times New Roman"/>
          <w:szCs w:val="24"/>
        </w:rPr>
        <w:t xml:space="preserve">In this Act, </w:t>
      </w:r>
      <w:r w:rsidRPr="00914046">
        <w:rPr>
          <w:rFonts w:cs="Times New Roman"/>
          <w:szCs w:val="24"/>
          <w:u w:val="single"/>
        </w:rPr>
        <w:t>aboriginal peoples of Canada</w:t>
      </w:r>
      <w:r w:rsidRPr="00914046">
        <w:rPr>
          <w:rFonts w:cs="Times New Roman"/>
          <w:szCs w:val="24"/>
        </w:rPr>
        <w:t xml:space="preserve"> includes the Indian, Inuit and Métis peoples of Canada”), 35.1(</w:t>
      </w:r>
      <w:r w:rsidRPr="00914046">
        <w:rPr>
          <w:rFonts w:cs="Times New Roman"/>
          <w:i/>
          <w:szCs w:val="24"/>
        </w:rPr>
        <w:t>b</w:t>
      </w:r>
      <w:r w:rsidRPr="00914046">
        <w:rPr>
          <w:rFonts w:cs="Times New Roman"/>
          <w:szCs w:val="24"/>
        </w:rPr>
        <w:t xml:space="preserve">) (“the Prime Minister of Canada will invite representatives of </w:t>
      </w:r>
      <w:r w:rsidRPr="00914046">
        <w:rPr>
          <w:rFonts w:cs="Times New Roman"/>
          <w:szCs w:val="24"/>
          <w:u w:val="single"/>
        </w:rPr>
        <w:t>the aboriginal peoples of Canada</w:t>
      </w:r>
      <w:r w:rsidRPr="00914046">
        <w:rPr>
          <w:rFonts w:cs="Times New Roman"/>
          <w:szCs w:val="24"/>
        </w:rPr>
        <w:t xml:space="preserve"> to participate in the discussions on [certain amendments to the Constitution]”), and the now-spent and repealed ss. 37(2) (“[The planned constitutional conference] </w:t>
      </w:r>
      <w:r w:rsidRPr="00914046">
        <w:rPr>
          <w:rFonts w:cs="Times New Roman"/>
        </w:rPr>
        <w:t xml:space="preserve">shall have included in its agenda an item respecting constitutional matters that directly affect </w:t>
      </w:r>
      <w:r w:rsidRPr="00914046">
        <w:rPr>
          <w:rFonts w:cs="Times New Roman"/>
          <w:u w:val="single"/>
        </w:rPr>
        <w:t>the aboriginal peoples of Canada</w:t>
      </w:r>
      <w:r w:rsidRPr="00914046">
        <w:rPr>
          <w:rFonts w:cs="Times New Roman"/>
        </w:rPr>
        <w:t>, including the identification and definition of the rights of those peoples to be included in the Constitution of Canada, and the Prime Minister of Canada shall invite representatives of those peoples to participate in the discussions on that item”)</w:t>
      </w:r>
      <w:r w:rsidRPr="00914046">
        <w:rPr>
          <w:rFonts w:cs="Times New Roman"/>
          <w:szCs w:val="24"/>
        </w:rPr>
        <w:t xml:space="preserve"> and 37.1(2) (“[Each other planned constitutional conference] shall have included </w:t>
      </w:r>
      <w:r w:rsidRPr="00914046">
        <w:rPr>
          <w:rFonts w:cs="Times New Roman"/>
        </w:rPr>
        <w:t xml:space="preserve">in its </w:t>
      </w:r>
      <w:r w:rsidRPr="00914046">
        <w:rPr>
          <w:rFonts w:cs="Times New Roman"/>
        </w:rPr>
        <w:lastRenderedPageBreak/>
        <w:t xml:space="preserve">agenda constitutional matters that directly affect </w:t>
      </w:r>
      <w:r w:rsidRPr="00914046">
        <w:rPr>
          <w:rFonts w:cs="Times New Roman"/>
          <w:u w:val="single"/>
        </w:rPr>
        <w:t>the aboriginal peoples of Canada</w:t>
      </w:r>
      <w:r w:rsidRPr="00914046">
        <w:rPr>
          <w:rFonts w:cs="Times New Roman"/>
        </w:rPr>
        <w:t xml:space="preserve">, and the Prime Minister of Canada shall invite representatives of those peoples to participate in the discussions on those matters”). </w:t>
      </w:r>
    </w:p>
    <w:p w:rsidR="00C437E7" w:rsidRPr="00914046" w:rsidRDefault="00C437E7" w:rsidP="00C437E7">
      <w:pPr>
        <w:pStyle w:val="ParaNoNdepar-AltN"/>
        <w:rPr>
          <w:rFonts w:cs="Times New Roman"/>
        </w:rPr>
      </w:pPr>
      <w:r w:rsidRPr="00914046">
        <w:rPr>
          <w:rFonts w:cs="Times New Roman"/>
        </w:rPr>
        <w:t xml:space="preserve">While there may be reason to interpret the phrase “aboriginal peoples of Canada” in the same way across the </w:t>
      </w:r>
      <w:r w:rsidRPr="00914046">
        <w:rPr>
          <w:rFonts w:cs="Times New Roman"/>
          <w:i/>
        </w:rPr>
        <w:t>Constitution Act, 1982</w:t>
      </w:r>
      <w:r w:rsidRPr="00914046">
        <w:rPr>
          <w:rFonts w:cs="Times New Roman"/>
        </w:rPr>
        <w:t xml:space="preserve">, this provides little assistance in the present appeal. Section 25 shields the rights and freedoms that pertain to Aboriginal peoples of Canada from being abrogated by the </w:t>
      </w:r>
      <w:r w:rsidRPr="00914046">
        <w:rPr>
          <w:rFonts w:cs="Times New Roman"/>
          <w:i/>
        </w:rPr>
        <w:t>Canadian Charter of Rights and Freedoms</w:t>
      </w:r>
      <w:r w:rsidRPr="00914046">
        <w:rPr>
          <w:rFonts w:cs="Times New Roman"/>
        </w:rPr>
        <w:t>, but it does not tell us who those peoples are.</w:t>
      </w:r>
      <w:r w:rsidRPr="00914046">
        <w:rPr>
          <w:rFonts w:cs="Times New Roman"/>
          <w:i/>
        </w:rPr>
        <w:t xml:space="preserve"> </w:t>
      </w:r>
      <w:r w:rsidRPr="00914046">
        <w:rPr>
          <w:rFonts w:cs="Times New Roman"/>
        </w:rPr>
        <w:t xml:space="preserve">While the text of s. 35(2) defines Aboriginal peoples to include the Indian, Inuit and Métis peoples of Canada, this does not specify whether they must be citizens or residents of Canada. </w:t>
      </w:r>
    </w:p>
    <w:p w:rsidR="00C437E7" w:rsidRPr="00914046" w:rsidRDefault="00C437E7" w:rsidP="00C437E7">
      <w:pPr>
        <w:pStyle w:val="ParaNoNdepar-AltN"/>
        <w:rPr>
          <w:rFonts w:cs="Times New Roman"/>
        </w:rPr>
      </w:pPr>
      <w:r w:rsidRPr="00914046">
        <w:rPr>
          <w:rFonts w:cs="Times New Roman"/>
          <w:lang w:bidi="en-US"/>
        </w:rPr>
        <w:t xml:space="preserve">Nor do I take anything from the requirement under s. 35.1 and the repealed ss. 37 and 37.1 that the Aboriginal peoples of Canada be represented at constitutional conferences. The Crown points out that representatives of the Lakes Tribe have not been invited to the constitutional conferences held so far. But the practice at these conferences was for Aboriginal peoples to be represented by umbrella organizations (see </w:t>
      </w:r>
      <w:r w:rsidRPr="00914046">
        <w:rPr>
          <w:rFonts w:cs="Times New Roman"/>
          <w:i/>
          <w:lang w:val="en-GB"/>
        </w:rPr>
        <w:t xml:space="preserve">Native Women’s Assn. of Canada </w:t>
      </w:r>
      <w:r w:rsidRPr="00914046">
        <w:rPr>
          <w:rFonts w:cs="Times New Roman"/>
          <w:i/>
          <w:iCs/>
          <w:lang w:val="en-GB"/>
        </w:rPr>
        <w:t>v.</w:t>
      </w:r>
      <w:r w:rsidRPr="00914046">
        <w:rPr>
          <w:rFonts w:cs="Times New Roman"/>
          <w:i/>
          <w:lang w:val="en-GB"/>
        </w:rPr>
        <w:t xml:space="preserve"> Canada</w:t>
      </w:r>
      <w:r w:rsidRPr="00914046">
        <w:rPr>
          <w:rFonts w:cs="Times New Roman"/>
          <w:lang w:val="en-GB"/>
        </w:rPr>
        <w:t xml:space="preserve">, [1994] 3 </w:t>
      </w:r>
      <w:proofErr w:type="spellStart"/>
      <w:r w:rsidRPr="00914046">
        <w:rPr>
          <w:rFonts w:cs="Times New Roman"/>
          <w:lang w:val="en-GB"/>
        </w:rPr>
        <w:t>S.C.R</w:t>
      </w:r>
      <w:proofErr w:type="spellEnd"/>
      <w:r w:rsidRPr="00914046">
        <w:rPr>
          <w:rFonts w:cs="Times New Roman"/>
          <w:lang w:val="en-GB"/>
        </w:rPr>
        <w:t>. 627, and R. </w:t>
      </w:r>
      <w:proofErr w:type="spellStart"/>
      <w:r w:rsidRPr="00914046">
        <w:rPr>
          <w:rFonts w:cs="Times New Roman"/>
          <w:lang w:val="en-GB"/>
        </w:rPr>
        <w:t>Romanow</w:t>
      </w:r>
      <w:proofErr w:type="spellEnd"/>
      <w:r w:rsidRPr="00914046">
        <w:rPr>
          <w:rFonts w:cs="Times New Roman"/>
          <w:lang w:val="en-GB"/>
        </w:rPr>
        <w:t xml:space="preserve">, “Aboriginal Rights in the Constitutional Process”, in M. </w:t>
      </w:r>
      <w:proofErr w:type="spellStart"/>
      <w:r w:rsidRPr="00914046">
        <w:rPr>
          <w:rFonts w:cs="Times New Roman"/>
          <w:lang w:val="en-GB"/>
        </w:rPr>
        <w:t>Boldt</w:t>
      </w:r>
      <w:proofErr w:type="spellEnd"/>
      <w:r w:rsidRPr="00914046">
        <w:rPr>
          <w:rFonts w:cs="Times New Roman"/>
          <w:lang w:val="en-GB"/>
        </w:rPr>
        <w:t xml:space="preserve"> and J. A. Long, eds., </w:t>
      </w:r>
      <w:r w:rsidRPr="00914046">
        <w:rPr>
          <w:rFonts w:cs="Times New Roman"/>
          <w:i/>
          <w:lang w:val="en-GB"/>
        </w:rPr>
        <w:t xml:space="preserve">The Quest for Justice: Aboriginal Peoples and Aboriginal Rights </w:t>
      </w:r>
      <w:r w:rsidRPr="00914046">
        <w:rPr>
          <w:rFonts w:cs="Times New Roman"/>
          <w:lang w:val="en-GB"/>
        </w:rPr>
        <w:t>(1985), 73). It is not clear that there would be any obstacle to Aboriginal peoples outside of Canada being represented in such processes. The requirement of representation at constitutional conferences thus offers no guidance here.</w:t>
      </w:r>
    </w:p>
    <w:p w:rsidR="00C437E7" w:rsidRPr="00914046" w:rsidRDefault="00C437E7" w:rsidP="00C437E7">
      <w:pPr>
        <w:pStyle w:val="Title4LevelTitre4Niveau"/>
        <w:rPr>
          <w:rFonts w:cs="Times New Roman"/>
          <w:lang w:val="en-GB"/>
        </w:rPr>
      </w:pPr>
      <w:r w:rsidRPr="00914046">
        <w:rPr>
          <w:rFonts w:cs="Times New Roman"/>
          <w:lang w:val="en-GB"/>
        </w:rPr>
        <w:lastRenderedPageBreak/>
        <w:t>Legislative History</w:t>
      </w:r>
    </w:p>
    <w:p w:rsidR="00C437E7" w:rsidRPr="00914046" w:rsidRDefault="00C437E7" w:rsidP="00C437E7">
      <w:pPr>
        <w:pStyle w:val="ParaNoNdepar-AltN"/>
        <w:rPr>
          <w:rFonts w:cs="Times New Roman"/>
        </w:rPr>
      </w:pPr>
      <w:r w:rsidRPr="00914046">
        <w:rPr>
          <w:rFonts w:cs="Times New Roman"/>
        </w:rPr>
        <w:t xml:space="preserve">The Crown suggested that insight into the scope of s. 35(1) can be drawn from the </w:t>
      </w:r>
      <w:r w:rsidRPr="00914046">
        <w:rPr>
          <w:rFonts w:cs="Times New Roman"/>
          <w:i/>
        </w:rPr>
        <w:t>Minutes of Proceedings and Evidence of the Special Joint Committee of the Senate and of the House of Commons on the Constitution of Canada</w:t>
      </w:r>
      <w:r w:rsidRPr="00914046">
        <w:rPr>
          <w:rFonts w:cs="Times New Roman"/>
        </w:rPr>
        <w:t xml:space="preserve">. I agree that drafting history can be relevant to constitutional interpretation (see </w:t>
      </w:r>
      <w:r w:rsidRPr="00914046">
        <w:rPr>
          <w:rFonts w:cs="Times New Roman"/>
          <w:i/>
        </w:rPr>
        <w:t xml:space="preserve">R. v. </w:t>
      </w:r>
      <w:proofErr w:type="spellStart"/>
      <w:r w:rsidRPr="00914046">
        <w:rPr>
          <w:rFonts w:cs="Times New Roman"/>
          <w:i/>
        </w:rPr>
        <w:t>Poulin</w:t>
      </w:r>
      <w:proofErr w:type="spellEnd"/>
      <w:r w:rsidRPr="00914046">
        <w:rPr>
          <w:rFonts w:cs="Times New Roman"/>
        </w:rPr>
        <w:t xml:space="preserve">, </w:t>
      </w:r>
      <w:r w:rsidRPr="00914046">
        <w:rPr>
          <w:rFonts w:cs="Times New Roman"/>
          <w:lang w:bidi="en-US"/>
        </w:rPr>
        <w:t>2019 SCC 47</w:t>
      </w:r>
      <w:r w:rsidR="00DA4245">
        <w:t xml:space="preserve">, [2019] 3 </w:t>
      </w:r>
      <w:proofErr w:type="spellStart"/>
      <w:r w:rsidR="00DA4245">
        <w:t>S.C.R</w:t>
      </w:r>
      <w:proofErr w:type="spellEnd"/>
      <w:r w:rsidR="00DA4245">
        <w:t>. 566</w:t>
      </w:r>
      <w:r w:rsidRPr="00914046">
        <w:rPr>
          <w:rFonts w:cs="Times New Roman"/>
          <w:lang w:bidi="en-US"/>
        </w:rPr>
        <w:t>, at para. 78). But in this case it sheds no light. There is nothing in the record to show that the members of the Committee turned their minds at all to the question of non-citizen or non-resident Aboriginal peoples of Canada.</w:t>
      </w:r>
    </w:p>
    <w:p w:rsidR="00C437E7" w:rsidRPr="00914046" w:rsidRDefault="00C437E7" w:rsidP="00C437E7">
      <w:pPr>
        <w:pStyle w:val="Title4LevelTitre4Niveau"/>
        <w:rPr>
          <w:rFonts w:cs="Times New Roman"/>
          <w:lang w:val="en-GB"/>
        </w:rPr>
      </w:pPr>
      <w:r w:rsidRPr="00914046">
        <w:rPr>
          <w:rFonts w:cs="Times New Roman"/>
          <w:lang w:val="en-GB"/>
        </w:rPr>
        <w:t>The 1930 Natural Resources Transfer Agreements</w:t>
      </w:r>
    </w:p>
    <w:p w:rsidR="00C437E7" w:rsidRPr="00914046" w:rsidRDefault="00C437E7" w:rsidP="00C437E7">
      <w:pPr>
        <w:pStyle w:val="ParaNoNdepar-AltN"/>
        <w:rPr>
          <w:rFonts w:cs="Times New Roman"/>
        </w:rPr>
      </w:pPr>
      <w:r w:rsidRPr="00914046">
        <w:rPr>
          <w:rFonts w:cs="Times New Roman"/>
        </w:rPr>
        <w:t>The Crown and the Attorney General of Saskatchewan submit that s. 35(1) should be interpreted similarly to the Natural Resources Transfer Agreements (“</w:t>
      </w:r>
      <w:proofErr w:type="spellStart"/>
      <w:r w:rsidRPr="00914046">
        <w:rPr>
          <w:rFonts w:cs="Times New Roman"/>
        </w:rPr>
        <w:t>NRTAs</w:t>
      </w:r>
      <w:proofErr w:type="spellEnd"/>
      <w:r w:rsidRPr="00914046">
        <w:rPr>
          <w:rFonts w:cs="Times New Roman"/>
        </w:rPr>
        <w:t xml:space="preserve">”), which were entered into between Canada and each of the Prairie </w:t>
      </w:r>
      <w:proofErr w:type="gramStart"/>
      <w:r w:rsidRPr="00914046">
        <w:rPr>
          <w:rFonts w:cs="Times New Roman"/>
        </w:rPr>
        <w:t>provinces</w:t>
      </w:r>
      <w:proofErr w:type="gramEnd"/>
      <w:r w:rsidRPr="00914046">
        <w:rPr>
          <w:rFonts w:cs="Times New Roman"/>
        </w:rPr>
        <w:t xml:space="preserve"> using nearly identical language, and added as schedules to the Constitution. The </w:t>
      </w:r>
      <w:proofErr w:type="spellStart"/>
      <w:r w:rsidRPr="00914046">
        <w:rPr>
          <w:rFonts w:cs="Times New Roman"/>
        </w:rPr>
        <w:t>NRTAs</w:t>
      </w:r>
      <w:proofErr w:type="spellEnd"/>
      <w:r w:rsidRPr="00914046">
        <w:rPr>
          <w:rFonts w:cs="Times New Roman"/>
        </w:rPr>
        <w:t xml:space="preserve"> use both the phrases “Indians of the Province” and “Indians within the boundaries thereof”.</w:t>
      </w:r>
      <w:r w:rsidRPr="00437F31">
        <w:rPr>
          <w:rStyle w:val="Hyperlink"/>
          <w:color w:val="auto"/>
          <w:u w:val="none"/>
          <w:vertAlign w:val="superscript"/>
        </w:rPr>
        <w:footnoteReference w:id="1"/>
      </w:r>
      <w:r w:rsidRPr="00914046">
        <w:rPr>
          <w:rFonts w:cs="Times New Roman"/>
        </w:rPr>
        <w:t xml:space="preserve"> In </w:t>
      </w:r>
      <w:r w:rsidRPr="00914046">
        <w:rPr>
          <w:rFonts w:cs="Times New Roman"/>
          <w:i/>
        </w:rPr>
        <w:t>Frank v. The Queen</w:t>
      </w:r>
      <w:r w:rsidRPr="00914046">
        <w:rPr>
          <w:rFonts w:cs="Times New Roman"/>
        </w:rPr>
        <w:t>,</w:t>
      </w:r>
      <w:r w:rsidRPr="00914046">
        <w:rPr>
          <w:rFonts w:cs="Times New Roman"/>
          <w:i/>
        </w:rPr>
        <w:t xml:space="preserve"> </w:t>
      </w:r>
      <w:r w:rsidRPr="00914046">
        <w:rPr>
          <w:rFonts w:cs="Times New Roman"/>
        </w:rPr>
        <w:t xml:space="preserve">[1978] </w:t>
      </w:r>
      <w:r w:rsidR="00DA4245">
        <w:rPr>
          <w:rFonts w:cs="Times New Roman"/>
        </w:rPr>
        <w:t xml:space="preserve">1 </w:t>
      </w:r>
      <w:proofErr w:type="spellStart"/>
      <w:r w:rsidRPr="00914046">
        <w:rPr>
          <w:rFonts w:cs="Times New Roman"/>
        </w:rPr>
        <w:t>S.C.R</w:t>
      </w:r>
      <w:proofErr w:type="spellEnd"/>
      <w:r w:rsidRPr="00914046">
        <w:rPr>
          <w:rFonts w:cs="Times New Roman"/>
        </w:rPr>
        <w:t xml:space="preserve">. 95, at pp. 101-2, this Court explained that the former was narrower than the latter, in that the latter included “Indians” who were passing through the province, not just those ordinarily resident in the province. Respectfully, there is no reason why “aboriginal peoples of Canada” in </w:t>
      </w:r>
      <w:r w:rsidRPr="00914046">
        <w:rPr>
          <w:rFonts w:cs="Times New Roman"/>
        </w:rPr>
        <w:lastRenderedPageBreak/>
        <w:t xml:space="preserve">s. 35(1) of the </w:t>
      </w:r>
      <w:r w:rsidRPr="00914046">
        <w:rPr>
          <w:rFonts w:cs="Times New Roman"/>
          <w:i/>
        </w:rPr>
        <w:t>Constitution Act, 1982</w:t>
      </w:r>
      <w:r w:rsidRPr="00914046">
        <w:rPr>
          <w:rFonts w:cs="Times New Roman"/>
        </w:rPr>
        <w:t xml:space="preserve">, should be interpreted the same way as “Indians of the Province” in the </w:t>
      </w:r>
      <w:proofErr w:type="spellStart"/>
      <w:r w:rsidRPr="00914046">
        <w:rPr>
          <w:rFonts w:cs="Times New Roman"/>
        </w:rPr>
        <w:t>NRTAs</w:t>
      </w:r>
      <w:proofErr w:type="spellEnd"/>
      <w:r w:rsidRPr="00914046">
        <w:rPr>
          <w:rFonts w:cs="Times New Roman"/>
        </w:rPr>
        <w:t xml:space="preserve">. In </w:t>
      </w:r>
      <w:r w:rsidRPr="00914046">
        <w:rPr>
          <w:rFonts w:cs="Times New Roman"/>
          <w:i/>
        </w:rPr>
        <w:t xml:space="preserve">Daniels </w:t>
      </w:r>
      <w:r w:rsidRPr="00914046">
        <w:rPr>
          <w:rFonts w:cs="Times New Roman"/>
          <w:i/>
          <w:iCs/>
        </w:rPr>
        <w:t>v.</w:t>
      </w:r>
      <w:r w:rsidRPr="00914046">
        <w:rPr>
          <w:rFonts w:cs="Times New Roman"/>
          <w:i/>
        </w:rPr>
        <w:t xml:space="preserve"> Canada (Indian Affairs and Northern Development)</w:t>
      </w:r>
      <w:r w:rsidRPr="00914046">
        <w:rPr>
          <w:rFonts w:cs="Times New Roman"/>
        </w:rPr>
        <w:t xml:space="preserve">, 2016 SCC 12, [2016] 1 </w:t>
      </w:r>
      <w:proofErr w:type="spellStart"/>
      <w:r w:rsidRPr="00914046">
        <w:rPr>
          <w:rFonts w:cs="Times New Roman"/>
        </w:rPr>
        <w:t>S.C.R</w:t>
      </w:r>
      <w:proofErr w:type="spellEnd"/>
      <w:r w:rsidRPr="00914046">
        <w:rPr>
          <w:rFonts w:cs="Times New Roman"/>
        </w:rPr>
        <w:t xml:space="preserve">. 99, this Court held that s. 91(24) of the </w:t>
      </w:r>
      <w:r w:rsidRPr="00914046">
        <w:rPr>
          <w:rFonts w:cs="Times New Roman"/>
          <w:i/>
        </w:rPr>
        <w:t>Constitution Act, 1867</w:t>
      </w:r>
      <w:r w:rsidRPr="00914046">
        <w:rPr>
          <w:rFonts w:cs="Times New Roman"/>
        </w:rPr>
        <w:t xml:space="preserve">, was broader than the </w:t>
      </w:r>
      <w:proofErr w:type="spellStart"/>
      <w:r w:rsidRPr="00914046">
        <w:rPr>
          <w:rFonts w:cs="Times New Roman"/>
        </w:rPr>
        <w:t>NRTAs</w:t>
      </w:r>
      <w:proofErr w:type="spellEnd"/>
      <w:r w:rsidRPr="00914046">
        <w:rPr>
          <w:rFonts w:cs="Times New Roman"/>
        </w:rPr>
        <w:t xml:space="preserve">: the Métis are “Indians” under s. 91(24), but not under the </w:t>
      </w:r>
      <w:proofErr w:type="spellStart"/>
      <w:r w:rsidRPr="00914046">
        <w:rPr>
          <w:rFonts w:cs="Times New Roman"/>
        </w:rPr>
        <w:t>NRTAs</w:t>
      </w:r>
      <w:proofErr w:type="spellEnd"/>
      <w:r w:rsidRPr="00914046">
        <w:rPr>
          <w:rFonts w:cs="Times New Roman"/>
        </w:rPr>
        <w:t xml:space="preserve">. The </w:t>
      </w:r>
      <w:proofErr w:type="spellStart"/>
      <w:r w:rsidRPr="00914046">
        <w:rPr>
          <w:rFonts w:cs="Times New Roman"/>
        </w:rPr>
        <w:t>NRTAs</w:t>
      </w:r>
      <w:proofErr w:type="spellEnd"/>
      <w:r w:rsidRPr="00914046">
        <w:rPr>
          <w:rFonts w:cs="Times New Roman"/>
        </w:rPr>
        <w:t>, this Court explained, are “constitutional agreement[s], not the Constitution”, which requires “a completely different interpretive exercise” (para. 44).</w:t>
      </w:r>
      <w:r w:rsidRPr="00914046">
        <w:rPr>
          <w:rFonts w:eastAsiaTheme="minorHAnsi" w:cs="Times New Roman"/>
          <w:u w:val="single"/>
        </w:rPr>
        <w:t xml:space="preserve"> </w:t>
      </w:r>
    </w:p>
    <w:p w:rsidR="00C437E7" w:rsidRPr="00914046" w:rsidRDefault="00C437E7" w:rsidP="00C437E7">
      <w:pPr>
        <w:pStyle w:val="Title4LevelTitre4Niveau"/>
        <w:rPr>
          <w:rFonts w:cs="Times New Roman"/>
          <w:lang w:val="en-GB"/>
        </w:rPr>
      </w:pPr>
      <w:r w:rsidRPr="00914046">
        <w:rPr>
          <w:rFonts w:cs="Times New Roman"/>
          <w:lang w:val="en-GB"/>
        </w:rPr>
        <w:t>The Presumption of Territoriality</w:t>
      </w:r>
    </w:p>
    <w:p w:rsidR="00C437E7" w:rsidRPr="00914046" w:rsidRDefault="00C437E7" w:rsidP="00C437E7">
      <w:pPr>
        <w:pStyle w:val="ParaNoNdepar-AltN"/>
        <w:rPr>
          <w:rFonts w:cs="Times New Roman"/>
        </w:rPr>
      </w:pPr>
      <w:r w:rsidRPr="00914046">
        <w:rPr>
          <w:rFonts w:cs="Times New Roman"/>
        </w:rPr>
        <w:t>The Crown notes that there is a presumption, rebuttable only by clear words or necessary implication, that legislation does not apply extraterritorially (</w:t>
      </w:r>
      <w:r w:rsidRPr="00914046">
        <w:rPr>
          <w:rFonts w:cs="Times New Roman"/>
          <w:i/>
          <w:lang w:bidi="en-US"/>
        </w:rPr>
        <w:t>Society of Composers, Authors and Music Publishers of Canada v. Canadian Assn. of Internet Providers</w:t>
      </w:r>
      <w:r w:rsidRPr="00914046">
        <w:rPr>
          <w:rFonts w:cs="Times New Roman"/>
          <w:lang w:bidi="en-US"/>
        </w:rPr>
        <w:t xml:space="preserve">, 2004 SCC 45, [2004] 2 </w:t>
      </w:r>
      <w:proofErr w:type="spellStart"/>
      <w:r w:rsidRPr="00914046">
        <w:rPr>
          <w:rFonts w:cs="Times New Roman"/>
          <w:lang w:bidi="en-US"/>
        </w:rPr>
        <w:t>S.C.R</w:t>
      </w:r>
      <w:proofErr w:type="spellEnd"/>
      <w:r w:rsidRPr="00914046">
        <w:rPr>
          <w:rFonts w:cs="Times New Roman"/>
          <w:lang w:bidi="en-US"/>
        </w:rPr>
        <w:t>. 427, at paras. 54-55).</w:t>
      </w:r>
      <w:r w:rsidRPr="00914046">
        <w:rPr>
          <w:rFonts w:cs="Times New Roman"/>
        </w:rPr>
        <w:t xml:space="preserve"> As a result, it argues, s. 35(1) should be presumed to apply only to groups within Canada, and nothing in the text rebuts that presumption. But the presumption has no effect here. Section 35(1) applies to groups outside of Canada only when claiming or exercising their rights within Canada. The presumption of territoriality does not preclude such application, any more than it precludes the application of Canadian land laws to foreign owners of Canadian property.</w:t>
      </w:r>
    </w:p>
    <w:p w:rsidR="00C437E7" w:rsidRPr="00914046" w:rsidRDefault="00C437E7" w:rsidP="00C437E7">
      <w:pPr>
        <w:pStyle w:val="Title4LevelTitre4Niveau"/>
        <w:rPr>
          <w:rFonts w:cs="Times New Roman"/>
          <w:lang w:val="en-GB"/>
        </w:rPr>
      </w:pPr>
      <w:r w:rsidRPr="00914046">
        <w:rPr>
          <w:rFonts w:cs="Times New Roman"/>
          <w:lang w:val="en-GB"/>
        </w:rPr>
        <w:t>Principles of Construction and the Aboriginal Perspective</w:t>
      </w:r>
    </w:p>
    <w:p w:rsidR="00C437E7" w:rsidRPr="00914046" w:rsidRDefault="00C437E7" w:rsidP="00C437E7">
      <w:pPr>
        <w:pStyle w:val="ParaNoNdepar-AltN"/>
        <w:rPr>
          <w:rFonts w:cs="Times New Roman"/>
          <w:lang w:val="en-GB"/>
        </w:rPr>
      </w:pPr>
      <w:r w:rsidRPr="00914046">
        <w:rPr>
          <w:rFonts w:cs="Times New Roman"/>
        </w:rPr>
        <w:lastRenderedPageBreak/>
        <w:t xml:space="preserve">Several interveners suggest that interpretive principles in favour of Aboriginal peoples are relevant here. Relatedly, Mr. </w:t>
      </w:r>
      <w:proofErr w:type="spellStart"/>
      <w:r w:rsidRPr="00914046">
        <w:rPr>
          <w:rFonts w:cs="Times New Roman"/>
        </w:rPr>
        <w:t>Desautel</w:t>
      </w:r>
      <w:proofErr w:type="spellEnd"/>
      <w:r w:rsidRPr="00914046">
        <w:rPr>
          <w:rFonts w:cs="Times New Roman"/>
        </w:rPr>
        <w:t xml:space="preserve"> and some interveners also suggest that Aboriginal perspectives should be taken into account in interpreting s. 35(1). </w:t>
      </w:r>
    </w:p>
    <w:p w:rsidR="00C437E7" w:rsidRPr="00914046" w:rsidRDefault="00C437E7" w:rsidP="00C437E7">
      <w:pPr>
        <w:pStyle w:val="ParaNoNdepar-AltN"/>
        <w:rPr>
          <w:rFonts w:cs="Times New Roman"/>
        </w:rPr>
      </w:pPr>
      <w:r w:rsidRPr="00914046">
        <w:rPr>
          <w:rFonts w:cs="Times New Roman"/>
        </w:rPr>
        <w:t>The relevant interpretive principle is that, in interpreting s. 35(1), any doubt or ambiguity should be resolved in favour of Aboriginal peoples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xml:space="preserve">, at para. 25; </w:t>
      </w:r>
      <w:proofErr w:type="spellStart"/>
      <w:r w:rsidRPr="00914046">
        <w:rPr>
          <w:rFonts w:cs="Times New Roman"/>
          <w:i/>
        </w:rPr>
        <w:t>Nowegijick</w:t>
      </w:r>
      <w:proofErr w:type="spellEnd"/>
      <w:r w:rsidRPr="00914046">
        <w:rPr>
          <w:rFonts w:cs="Times New Roman"/>
          <w:i/>
        </w:rPr>
        <w:t xml:space="preserve"> v. The Queen</w:t>
      </w:r>
      <w:r w:rsidRPr="00914046">
        <w:rPr>
          <w:rFonts w:cs="Times New Roman"/>
        </w:rPr>
        <w:t>,</w:t>
      </w:r>
      <w:r w:rsidRPr="00914046">
        <w:rPr>
          <w:rFonts w:cs="Times New Roman"/>
          <w:i/>
        </w:rPr>
        <w:t xml:space="preserve"> </w:t>
      </w:r>
      <w:r w:rsidRPr="00914046">
        <w:rPr>
          <w:rFonts w:cs="Times New Roman"/>
        </w:rPr>
        <w:t xml:space="preserve">[1983] 1 </w:t>
      </w:r>
      <w:proofErr w:type="spellStart"/>
      <w:r w:rsidRPr="00914046">
        <w:rPr>
          <w:rFonts w:cs="Times New Roman"/>
        </w:rPr>
        <w:t>S.C.R</w:t>
      </w:r>
      <w:proofErr w:type="spellEnd"/>
      <w:r w:rsidRPr="00914046">
        <w:rPr>
          <w:rFonts w:cs="Times New Roman"/>
        </w:rPr>
        <w:t>. 29, at p. 36). In my view, this principle does not help settle the question at issue here. A principle that ambiguities should be resolved in favour of Aboriginal peoples does not determine who those very Aboriginal peoples are. To attempt to use the principle in this way would be circular.</w:t>
      </w:r>
    </w:p>
    <w:p w:rsidR="00C437E7" w:rsidRPr="00914046" w:rsidRDefault="00C437E7" w:rsidP="00C437E7">
      <w:pPr>
        <w:pStyle w:val="ParaNoNdepar-AltN"/>
        <w:rPr>
          <w:rFonts w:cs="Times New Roman"/>
        </w:rPr>
      </w:pPr>
      <w:r w:rsidRPr="00914046">
        <w:rPr>
          <w:rFonts w:cs="Times New Roman"/>
        </w:rPr>
        <w:t xml:space="preserve">That said, Mr. </w:t>
      </w:r>
      <w:proofErr w:type="spellStart"/>
      <w:r w:rsidRPr="00914046">
        <w:rPr>
          <w:rFonts w:cs="Times New Roman"/>
        </w:rPr>
        <w:t>Desautel</w:t>
      </w:r>
      <w:proofErr w:type="spellEnd"/>
      <w:r w:rsidRPr="00914046">
        <w:rPr>
          <w:rFonts w:cs="Times New Roman"/>
        </w:rPr>
        <w:t xml:space="preserve"> and several interveners explain that Aboriginal perspectives involve a strong connection to ancestral territory, even where the Aboriginal group has been dispossessed of that territory, or where the territory is now divided by international borders. As this Court held in </w:t>
      </w:r>
      <w:r w:rsidRPr="00914046">
        <w:rPr>
          <w:rFonts w:cs="Times New Roman"/>
          <w:i/>
        </w:rPr>
        <w:t>Sparrow</w:t>
      </w:r>
      <w:r w:rsidRPr="00914046">
        <w:rPr>
          <w:rFonts w:cs="Times New Roman"/>
        </w:rPr>
        <w:t>, at p. 1112, it is “</w:t>
      </w:r>
      <w:proofErr w:type="spellStart"/>
      <w:r w:rsidRPr="00914046">
        <w:rPr>
          <w:rFonts w:cs="Times New Roman"/>
        </w:rPr>
        <w:t>crucia</w:t>
      </w:r>
      <w:proofErr w:type="spellEnd"/>
      <w:r w:rsidRPr="00914046">
        <w:rPr>
          <w:rFonts w:cs="Times New Roman"/>
        </w:rPr>
        <w:t>[l] to be sensitive to the aboriginal perspective itself on the meaning of the rights at stake”. Therefore, “a morally and politically defensible conception of aboriginal rights will incorporate both [</w:t>
      </w:r>
      <w:r w:rsidR="00EF364E">
        <w:rPr>
          <w:rFonts w:cs="Times New Roman"/>
        </w:rPr>
        <w:t>a</w:t>
      </w:r>
      <w:r w:rsidRPr="00914046">
        <w:rPr>
          <w:rFonts w:cs="Times New Roman"/>
        </w:rPr>
        <w:t>boriginal and non-</w:t>
      </w:r>
      <w:r w:rsidR="00EF364E">
        <w:rPr>
          <w:rFonts w:cs="Times New Roman"/>
        </w:rPr>
        <w:t>a</w:t>
      </w:r>
      <w:r w:rsidRPr="00914046">
        <w:rPr>
          <w:rFonts w:cs="Times New Roman"/>
        </w:rPr>
        <w:t>boriginal] legal perspectives”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xml:space="preserve">, at para. 49, citing M. Walters, “British Imperial Constitutional Law and Aboriginal Rights: A Comment on </w:t>
      </w:r>
      <w:proofErr w:type="spellStart"/>
      <w:r w:rsidRPr="00914046">
        <w:rPr>
          <w:rFonts w:cs="Times New Roman"/>
          <w:i/>
        </w:rPr>
        <w:t>Delgamuukw</w:t>
      </w:r>
      <w:proofErr w:type="spellEnd"/>
      <w:r w:rsidRPr="00914046">
        <w:rPr>
          <w:rFonts w:cs="Times New Roman"/>
          <w:i/>
        </w:rPr>
        <w:t xml:space="preserve"> v. British Columbia</w:t>
      </w:r>
      <w:r w:rsidR="00EF364E">
        <w:rPr>
          <w:rFonts w:cs="Times New Roman"/>
        </w:rPr>
        <w:t>”</w:t>
      </w:r>
      <w:r w:rsidRPr="00914046">
        <w:rPr>
          <w:rFonts w:cs="Times New Roman"/>
        </w:rPr>
        <w:t xml:space="preserve"> (1992)</w:t>
      </w:r>
      <w:r w:rsidR="00EF364E">
        <w:rPr>
          <w:rFonts w:cs="Times New Roman"/>
        </w:rPr>
        <w:t>,</w:t>
      </w:r>
      <w:r w:rsidRPr="00914046">
        <w:rPr>
          <w:rFonts w:cs="Times New Roman"/>
        </w:rPr>
        <w:t xml:space="preserve"> 17 </w:t>
      </w:r>
      <w:r w:rsidRPr="00914046">
        <w:rPr>
          <w:rFonts w:cs="Times New Roman"/>
          <w:i/>
        </w:rPr>
        <w:t xml:space="preserve">Queen’s </w:t>
      </w:r>
      <w:proofErr w:type="spellStart"/>
      <w:r w:rsidRPr="00914046">
        <w:rPr>
          <w:rFonts w:cs="Times New Roman"/>
          <w:i/>
        </w:rPr>
        <w:t>L.J</w:t>
      </w:r>
      <w:proofErr w:type="spellEnd"/>
      <w:r w:rsidRPr="00914046">
        <w:rPr>
          <w:rFonts w:cs="Times New Roman"/>
          <w:i/>
        </w:rPr>
        <w:t>.</w:t>
      </w:r>
      <w:r w:rsidRPr="00914046">
        <w:rPr>
          <w:rFonts w:cs="Times New Roman"/>
        </w:rPr>
        <w:t xml:space="preserve"> 350, at p. 413; see also J. Borrows, “Creating an Indigenous Legal </w:t>
      </w:r>
      <w:r w:rsidRPr="00914046">
        <w:rPr>
          <w:rFonts w:cs="Times New Roman"/>
        </w:rPr>
        <w:lastRenderedPageBreak/>
        <w:t xml:space="preserve">Community” (2005), 50 </w:t>
      </w:r>
      <w:r w:rsidRPr="00914046">
        <w:rPr>
          <w:rFonts w:cs="Times New Roman"/>
          <w:i/>
          <w:iCs/>
        </w:rPr>
        <w:t xml:space="preserve">McGill </w:t>
      </w:r>
      <w:proofErr w:type="spellStart"/>
      <w:r w:rsidRPr="00914046">
        <w:rPr>
          <w:rFonts w:cs="Times New Roman"/>
          <w:i/>
          <w:iCs/>
        </w:rPr>
        <w:t>L.J</w:t>
      </w:r>
      <w:proofErr w:type="spellEnd"/>
      <w:r w:rsidRPr="00914046">
        <w:rPr>
          <w:rFonts w:cs="Times New Roman"/>
          <w:i/>
          <w:iCs/>
        </w:rPr>
        <w:t xml:space="preserve">. </w:t>
      </w:r>
      <w:r w:rsidRPr="00914046">
        <w:rPr>
          <w:rFonts w:cs="Times New Roman"/>
        </w:rPr>
        <w:t xml:space="preserve">153, at p. 173). This perspective confirms the interpretation of s. 35(1) which I set out above. </w:t>
      </w:r>
    </w:p>
    <w:p w:rsidR="00C437E7" w:rsidRPr="00914046" w:rsidRDefault="00C437E7" w:rsidP="00C437E7">
      <w:pPr>
        <w:pStyle w:val="Title3LevelTitre3Niveau"/>
        <w:rPr>
          <w:rFonts w:cs="Times New Roman"/>
          <w:lang w:val="en-GB"/>
        </w:rPr>
      </w:pPr>
      <w:r w:rsidRPr="00914046">
        <w:rPr>
          <w:rFonts w:cs="Times New Roman"/>
          <w:lang w:val="en-GB"/>
        </w:rPr>
        <w:t>Application</w:t>
      </w:r>
    </w:p>
    <w:p w:rsidR="00C437E7" w:rsidRPr="00914046" w:rsidRDefault="00C437E7" w:rsidP="00C437E7">
      <w:pPr>
        <w:pStyle w:val="ParaNoNdepar-AltN"/>
        <w:rPr>
          <w:rFonts w:cs="Times New Roman"/>
        </w:rPr>
      </w:pPr>
      <w:r w:rsidRPr="00914046">
        <w:rPr>
          <w:rFonts w:cs="Times New Roman"/>
        </w:rPr>
        <w:t xml:space="preserve">I have concluded that the Aboriginal peoples of Canada under s. 35(1) are the modern-day successors of Aboriginal societies that occupied what is now Canada at the time of European contact (subject to modifications that may be necessary in the case of the Métis). </w:t>
      </w:r>
      <w:r w:rsidRPr="00914046">
        <w:rPr>
          <w:rFonts w:cs="Times New Roman"/>
          <w:szCs w:val="24"/>
        </w:rPr>
        <w:t xml:space="preserve">Where this is shown, the threshold question is met and the court ascertains the claimants’ rights using the </w:t>
      </w:r>
      <w:r w:rsidRPr="00914046">
        <w:rPr>
          <w:rFonts w:cs="Times New Roman"/>
          <w:i/>
          <w:iCs/>
          <w:szCs w:val="24"/>
        </w:rPr>
        <w:t xml:space="preserve">Van der </w:t>
      </w:r>
      <w:proofErr w:type="spellStart"/>
      <w:r w:rsidRPr="00914046">
        <w:rPr>
          <w:rFonts w:cs="Times New Roman"/>
          <w:i/>
          <w:iCs/>
          <w:szCs w:val="24"/>
        </w:rPr>
        <w:t>Peet</w:t>
      </w:r>
      <w:proofErr w:type="spellEnd"/>
      <w:r w:rsidRPr="00914046">
        <w:rPr>
          <w:rFonts w:cs="Times New Roman"/>
          <w:i/>
          <w:iCs/>
          <w:szCs w:val="24"/>
        </w:rPr>
        <w:t xml:space="preserve"> </w:t>
      </w:r>
      <w:r w:rsidRPr="00914046">
        <w:rPr>
          <w:rFonts w:cs="Times New Roman"/>
          <w:szCs w:val="24"/>
        </w:rPr>
        <w:t xml:space="preserve">test. The threshold question remains relevant in future cases where the claimant group is outside Canada, as </w:t>
      </w:r>
      <w:r w:rsidRPr="00914046">
        <w:rPr>
          <w:rFonts w:cs="Times New Roman"/>
          <w:i/>
          <w:iCs/>
          <w:szCs w:val="24"/>
        </w:rPr>
        <w:t xml:space="preserve">Van der </w:t>
      </w:r>
      <w:proofErr w:type="spellStart"/>
      <w:r w:rsidRPr="00914046">
        <w:rPr>
          <w:rFonts w:cs="Times New Roman"/>
          <w:i/>
          <w:iCs/>
          <w:szCs w:val="24"/>
        </w:rPr>
        <w:t>Peet</w:t>
      </w:r>
      <w:proofErr w:type="spellEnd"/>
      <w:r w:rsidRPr="00914046">
        <w:rPr>
          <w:rFonts w:cs="Times New Roman"/>
          <w:szCs w:val="24"/>
        </w:rPr>
        <w:t xml:space="preserve"> does not address the required link between the modern-day collective (outside Canada) and the historic collective (that was inside what is now Canada).</w:t>
      </w:r>
    </w:p>
    <w:p w:rsidR="00C437E7" w:rsidRPr="00914046" w:rsidRDefault="00C437E7" w:rsidP="00C437E7">
      <w:pPr>
        <w:pStyle w:val="ParaNoNdepar-AltN"/>
        <w:rPr>
          <w:rFonts w:cs="Times New Roman"/>
        </w:rPr>
      </w:pPr>
      <w:r w:rsidRPr="00914046">
        <w:rPr>
          <w:rFonts w:cs="Times New Roman"/>
        </w:rPr>
        <w:t xml:space="preserve">In the present case, the trial judge found as a fact that the </w:t>
      </w:r>
      <w:proofErr w:type="spellStart"/>
      <w:r w:rsidRPr="00914046">
        <w:rPr>
          <w:rFonts w:cs="Times New Roman"/>
        </w:rPr>
        <w:t>Sinixt</w:t>
      </w:r>
      <w:proofErr w:type="spellEnd"/>
      <w:r w:rsidRPr="00914046">
        <w:rPr>
          <w:rFonts w:cs="Times New Roman"/>
        </w:rPr>
        <w:t xml:space="preserve"> had occupied territory in what is now British Columbia at the time of European contact. She also found that the Lakes Tribe were a modern successor of the </w:t>
      </w:r>
      <w:proofErr w:type="spellStart"/>
      <w:r w:rsidRPr="00914046">
        <w:rPr>
          <w:rFonts w:cs="Times New Roman"/>
        </w:rPr>
        <w:t>Sinixt</w:t>
      </w:r>
      <w:proofErr w:type="spellEnd"/>
      <w:r w:rsidRPr="00914046">
        <w:rPr>
          <w:rFonts w:cs="Times New Roman"/>
        </w:rPr>
        <w:t xml:space="preserve"> </w:t>
      </w:r>
      <w:r w:rsidRPr="00914046">
        <w:rPr>
          <w:rFonts w:cs="Times New Roman"/>
          <w:lang w:val="en-GB"/>
        </w:rPr>
        <w:t>—</w:t>
      </w:r>
      <w:r w:rsidRPr="00914046">
        <w:rPr>
          <w:rFonts w:cs="Times New Roman"/>
        </w:rPr>
        <w:t xml:space="preserve"> leaving open the possibility that there may be others. I would defer to this factual finding. The migration of the Lakes Tribe from British Columbia to a different part of their traditional territory in Washington did not cause the group to lose its identity or its status as a successor to the </w:t>
      </w:r>
      <w:proofErr w:type="spellStart"/>
      <w:r w:rsidRPr="00914046">
        <w:rPr>
          <w:rFonts w:cs="Times New Roman"/>
        </w:rPr>
        <w:t>Sinixt</w:t>
      </w:r>
      <w:proofErr w:type="spellEnd"/>
      <w:r w:rsidRPr="00914046">
        <w:rPr>
          <w:rFonts w:cs="Times New Roman"/>
        </w:rPr>
        <w:t>.</w:t>
      </w:r>
    </w:p>
    <w:p w:rsidR="00C437E7" w:rsidRPr="00914046" w:rsidRDefault="00C437E7" w:rsidP="00C437E7">
      <w:pPr>
        <w:pStyle w:val="ParaNoNdepar-AltN"/>
        <w:rPr>
          <w:rFonts w:cs="Times New Roman"/>
        </w:rPr>
      </w:pPr>
      <w:r w:rsidRPr="00914046">
        <w:rPr>
          <w:rFonts w:cs="Times New Roman"/>
        </w:rPr>
        <w:t xml:space="preserve">This case does not require the Court to set out criteria for successorship of Aboriginal communities. This is a complex issue that should be dealt with on a fuller </w:t>
      </w:r>
      <w:r w:rsidRPr="00914046">
        <w:rPr>
          <w:rFonts w:cs="Times New Roman"/>
        </w:rPr>
        <w:lastRenderedPageBreak/>
        <w:t xml:space="preserve">factual record, with the benefit of legal argument. For example, consideration would have to be given to the possibility that a community may split over time, or, that two communities may merge into one, as well as to the relative significance of factors such as ancestry, language, culture, law, political institutions and territory in connecting a modern community to its historical predecessor. Some of the difficulties here are brought out in the academic literature (see P. L. A. H. Chartrand, “Background”, in P. L. A. H. Chartrand, ed., </w:t>
      </w:r>
      <w:proofErr w:type="gramStart"/>
      <w:r w:rsidRPr="00914046">
        <w:rPr>
          <w:rFonts w:cs="Times New Roman"/>
          <w:i/>
        </w:rPr>
        <w:t>Who</w:t>
      </w:r>
      <w:proofErr w:type="gramEnd"/>
      <w:r w:rsidRPr="00914046">
        <w:rPr>
          <w:rFonts w:cs="Times New Roman"/>
          <w:i/>
        </w:rPr>
        <w:t xml:space="preserve"> are Canada’s Aboriginal Peoples? Recognition, Definition, and Jurisdiction</w:t>
      </w:r>
      <w:r w:rsidRPr="00914046">
        <w:rPr>
          <w:rFonts w:cs="Times New Roman"/>
        </w:rPr>
        <w:t xml:space="preserve"> (2002), 27; R. K. Groves, “The Curious Instance of the Irregular Band: A Case Study of Canada’s Missing Recognition Policy” (2007), 70 </w:t>
      </w:r>
      <w:r w:rsidRPr="00914046">
        <w:rPr>
          <w:rFonts w:cs="Times New Roman"/>
          <w:i/>
        </w:rPr>
        <w:t xml:space="preserve">Sask. </w:t>
      </w:r>
      <w:proofErr w:type="spellStart"/>
      <w:r w:rsidRPr="00914046">
        <w:rPr>
          <w:rFonts w:cs="Times New Roman"/>
          <w:i/>
        </w:rPr>
        <w:t>L.R</w:t>
      </w:r>
      <w:proofErr w:type="spellEnd"/>
      <w:r w:rsidRPr="00914046">
        <w:rPr>
          <w:rFonts w:cs="Times New Roman"/>
          <w:i/>
        </w:rPr>
        <w:t>.</w:t>
      </w:r>
      <w:r w:rsidRPr="00914046">
        <w:rPr>
          <w:rFonts w:cs="Times New Roman"/>
        </w:rPr>
        <w:t xml:space="preserve"> 153; and B. </w:t>
      </w:r>
      <w:proofErr w:type="spellStart"/>
      <w:r w:rsidRPr="00914046">
        <w:rPr>
          <w:rFonts w:cs="Times New Roman"/>
        </w:rPr>
        <w:t>Olthuis</w:t>
      </w:r>
      <w:proofErr w:type="spellEnd"/>
      <w:r w:rsidRPr="00914046">
        <w:rPr>
          <w:rFonts w:cs="Times New Roman"/>
        </w:rPr>
        <w:t xml:space="preserve">, “The Constitution’s Peoples: Approaching Community in the Context of Section 35 of the </w:t>
      </w:r>
      <w:r w:rsidRPr="00914046">
        <w:rPr>
          <w:rFonts w:cs="Times New Roman"/>
          <w:i/>
        </w:rPr>
        <w:t>Constitution Act, 1982</w:t>
      </w:r>
      <w:r w:rsidRPr="00914046">
        <w:rPr>
          <w:rFonts w:cs="Times New Roman"/>
        </w:rPr>
        <w:t xml:space="preserve">” (2009), 54 </w:t>
      </w:r>
      <w:r w:rsidRPr="00914046">
        <w:rPr>
          <w:rFonts w:cs="Times New Roman"/>
          <w:i/>
        </w:rPr>
        <w:t xml:space="preserve">McGill </w:t>
      </w:r>
      <w:proofErr w:type="spellStart"/>
      <w:r w:rsidRPr="00914046">
        <w:rPr>
          <w:rFonts w:cs="Times New Roman"/>
          <w:i/>
        </w:rPr>
        <w:t>L.J</w:t>
      </w:r>
      <w:proofErr w:type="spellEnd"/>
      <w:r w:rsidRPr="00914046">
        <w:rPr>
          <w:rFonts w:cs="Times New Roman"/>
        </w:rPr>
        <w:t xml:space="preserve">. 1). </w:t>
      </w:r>
    </w:p>
    <w:p w:rsidR="00C437E7" w:rsidRPr="00914046" w:rsidRDefault="00C437E7" w:rsidP="00C437E7">
      <w:pPr>
        <w:pStyle w:val="Title2LevelTitre2Niveau"/>
        <w:rPr>
          <w:rFonts w:cs="Times New Roman"/>
        </w:rPr>
      </w:pPr>
      <w:r w:rsidRPr="00914046">
        <w:rPr>
          <w:rFonts w:cs="Times New Roman"/>
        </w:rPr>
        <w:t>The Test for Aboriginal Rights</w:t>
      </w:r>
    </w:p>
    <w:p w:rsidR="00C437E7" w:rsidRPr="00914046" w:rsidRDefault="00C437E7" w:rsidP="00C437E7">
      <w:pPr>
        <w:pStyle w:val="ParaNoNdepar-AltN"/>
        <w:rPr>
          <w:rFonts w:cs="Times New Roman"/>
        </w:rPr>
      </w:pPr>
      <w:r w:rsidRPr="00914046">
        <w:rPr>
          <w:rFonts w:cs="Times New Roman"/>
        </w:rPr>
        <w:t xml:space="preserve">Having found that the Lakes Tribe is an Aboriginal people of Canada, the next question is whether Mr. </w:t>
      </w:r>
      <w:proofErr w:type="spellStart"/>
      <w:r w:rsidRPr="00914046">
        <w:rPr>
          <w:rFonts w:cs="Times New Roman"/>
        </w:rPr>
        <w:t>Desautel’s</w:t>
      </w:r>
      <w:proofErr w:type="spellEnd"/>
      <w:r w:rsidRPr="00914046">
        <w:rPr>
          <w:rFonts w:cs="Times New Roman"/>
        </w:rPr>
        <w:t xml:space="preserve"> claim satisfies the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xml:space="preserve"> test for an Aboriginal right under s. 35(1). As I will explain, the test for Aboriginal rights for groups outside Canada is the same as the test for groups within Canada, and the trial judge did not err in finding that the test was satisfied here. </w:t>
      </w:r>
    </w:p>
    <w:p w:rsidR="00C437E7" w:rsidRPr="00914046" w:rsidRDefault="00C437E7" w:rsidP="00C437E7">
      <w:pPr>
        <w:pStyle w:val="Title3LevelTitre3Niveau"/>
        <w:rPr>
          <w:rFonts w:cs="Times New Roman"/>
        </w:rPr>
      </w:pPr>
      <w:r w:rsidRPr="00914046">
        <w:rPr>
          <w:rFonts w:cs="Times New Roman"/>
        </w:rPr>
        <w:t xml:space="preserve">The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xml:space="preserve"> Test</w:t>
      </w:r>
    </w:p>
    <w:p w:rsidR="00C437E7" w:rsidRPr="00914046" w:rsidRDefault="00C437E7" w:rsidP="00C437E7">
      <w:pPr>
        <w:pStyle w:val="ParaNoNdepar-AltN"/>
        <w:rPr>
          <w:rFonts w:cs="Times New Roman"/>
        </w:rPr>
      </w:pPr>
      <w:r w:rsidRPr="00914046">
        <w:rPr>
          <w:rFonts w:cs="Times New Roman"/>
        </w:rPr>
        <w:lastRenderedPageBreak/>
        <w:t xml:space="preserve">The analysis under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xml:space="preserve"> was restated by this Court in </w:t>
      </w:r>
      <w:r w:rsidRPr="00914046">
        <w:rPr>
          <w:rFonts w:cs="Times New Roman"/>
          <w:i/>
          <w:lang w:bidi="en-US"/>
        </w:rPr>
        <w:t xml:space="preserve">Lax </w:t>
      </w:r>
      <w:proofErr w:type="spellStart"/>
      <w:r w:rsidRPr="00914046">
        <w:rPr>
          <w:rFonts w:cs="Times New Roman"/>
          <w:i/>
          <w:lang w:bidi="en-US"/>
        </w:rPr>
        <w:t>Kw’alaams</w:t>
      </w:r>
      <w:proofErr w:type="spellEnd"/>
      <w:r w:rsidRPr="00914046">
        <w:rPr>
          <w:rFonts w:cs="Times New Roman"/>
          <w:i/>
          <w:lang w:bidi="en-US"/>
        </w:rPr>
        <w:t xml:space="preserve"> Indian Band </w:t>
      </w:r>
      <w:r w:rsidRPr="00914046">
        <w:rPr>
          <w:rFonts w:cs="Times New Roman"/>
          <w:i/>
          <w:iCs/>
          <w:lang w:bidi="en-US"/>
        </w:rPr>
        <w:t>v.</w:t>
      </w:r>
      <w:r w:rsidRPr="00914046">
        <w:rPr>
          <w:rFonts w:cs="Times New Roman"/>
          <w:i/>
          <w:lang w:bidi="en-US"/>
        </w:rPr>
        <w:t xml:space="preserve"> Canada (Attorney General)</w:t>
      </w:r>
      <w:r w:rsidRPr="00914046">
        <w:rPr>
          <w:rFonts w:cs="Times New Roman"/>
          <w:lang w:bidi="en-US"/>
        </w:rPr>
        <w:t xml:space="preserve">, 2011 SCC 56, [2011] 3 </w:t>
      </w:r>
      <w:proofErr w:type="spellStart"/>
      <w:r w:rsidRPr="00914046">
        <w:rPr>
          <w:rFonts w:cs="Times New Roman"/>
          <w:lang w:bidi="en-US"/>
        </w:rPr>
        <w:t>S.C.R</w:t>
      </w:r>
      <w:proofErr w:type="spellEnd"/>
      <w:r w:rsidRPr="00914046">
        <w:rPr>
          <w:rFonts w:cs="Times New Roman"/>
          <w:lang w:bidi="en-US"/>
        </w:rPr>
        <w:t>. 535, at para. 46:</w:t>
      </w:r>
    </w:p>
    <w:p w:rsidR="00C437E7" w:rsidRPr="00914046" w:rsidRDefault="00C437E7" w:rsidP="00437F31">
      <w:pPr>
        <w:pStyle w:val="Citation-AltC"/>
        <w:numPr>
          <w:ilvl w:val="4"/>
          <w:numId w:val="6"/>
        </w:numPr>
        <w:spacing w:line="480" w:lineRule="auto"/>
        <w:ind w:left="709" w:hanging="709"/>
      </w:pPr>
      <w:r w:rsidRPr="00914046">
        <w:t>Characterize the right claimed in light of the pleadings and evidence (</w:t>
      </w:r>
      <w:r w:rsidRPr="00914046">
        <w:rPr>
          <w:i/>
        </w:rPr>
        <w:t xml:space="preserve">Van der </w:t>
      </w:r>
      <w:proofErr w:type="spellStart"/>
      <w:r w:rsidRPr="00914046">
        <w:rPr>
          <w:i/>
        </w:rPr>
        <w:t>Peet</w:t>
      </w:r>
      <w:proofErr w:type="spellEnd"/>
      <w:r w:rsidRPr="00914046">
        <w:t xml:space="preserve">, at para. 53; </w:t>
      </w:r>
      <w:r w:rsidRPr="00914046">
        <w:rPr>
          <w:i/>
        </w:rPr>
        <w:t>Gladstone</w:t>
      </w:r>
      <w:r>
        <w:t>, at para. 24;</w:t>
      </w:r>
      <w:r w:rsidRPr="00914046">
        <w:t xml:space="preserve"> </w:t>
      </w:r>
      <w:r w:rsidRPr="00914046">
        <w:rPr>
          <w:i/>
        </w:rPr>
        <w:t>Mitchell</w:t>
      </w:r>
      <w:r w:rsidRPr="00914046">
        <w:t xml:space="preserve"> at paras. 14-19).</w:t>
      </w:r>
    </w:p>
    <w:p w:rsidR="00C437E7" w:rsidRPr="00914046" w:rsidRDefault="00C437E7" w:rsidP="00437F31">
      <w:pPr>
        <w:pStyle w:val="Citation-AltC"/>
        <w:spacing w:line="480" w:lineRule="auto"/>
        <w:ind w:left="709" w:hanging="709"/>
      </w:pPr>
    </w:p>
    <w:p w:rsidR="00C437E7" w:rsidRPr="00914046" w:rsidRDefault="00C437E7" w:rsidP="00437F31">
      <w:pPr>
        <w:pStyle w:val="Citation-AltC"/>
        <w:numPr>
          <w:ilvl w:val="4"/>
          <w:numId w:val="6"/>
        </w:numPr>
        <w:spacing w:line="480" w:lineRule="auto"/>
        <w:ind w:left="709" w:hanging="709"/>
      </w:pPr>
      <w:r w:rsidRPr="00914046">
        <w:t>Determine whether the claimant has proven that a relevant pre-contact practice, tradition or custom existed and was integral to the distinctive culture of the pre-contact society (</w:t>
      </w:r>
      <w:r w:rsidRPr="00914046">
        <w:rPr>
          <w:i/>
        </w:rPr>
        <w:t xml:space="preserve">Van der </w:t>
      </w:r>
      <w:proofErr w:type="spellStart"/>
      <w:r w:rsidRPr="00914046">
        <w:rPr>
          <w:i/>
        </w:rPr>
        <w:t>Peet</w:t>
      </w:r>
      <w:proofErr w:type="spellEnd"/>
      <w:r w:rsidRPr="00914046">
        <w:t xml:space="preserve">, at para. 46; </w:t>
      </w:r>
      <w:r w:rsidRPr="00914046">
        <w:rPr>
          <w:i/>
        </w:rPr>
        <w:t>Mitchell</w:t>
      </w:r>
      <w:r w:rsidRPr="00914046">
        <w:t xml:space="preserve">, at para. 12; </w:t>
      </w:r>
      <w:r w:rsidRPr="00914046">
        <w:rPr>
          <w:i/>
        </w:rPr>
        <w:t>Sappier</w:t>
      </w:r>
      <w:r w:rsidRPr="00914046">
        <w:t>, at paras. 40-45).</w:t>
      </w:r>
    </w:p>
    <w:p w:rsidR="00C437E7" w:rsidRPr="00914046" w:rsidRDefault="00C437E7" w:rsidP="00437F31">
      <w:pPr>
        <w:pStyle w:val="Citation-AltC"/>
        <w:spacing w:line="480" w:lineRule="auto"/>
        <w:ind w:left="709" w:hanging="709"/>
      </w:pPr>
    </w:p>
    <w:p w:rsidR="00C437E7" w:rsidRPr="00914046" w:rsidRDefault="00C437E7" w:rsidP="00437F31">
      <w:pPr>
        <w:pStyle w:val="Citation-AltC"/>
        <w:numPr>
          <w:ilvl w:val="4"/>
          <w:numId w:val="6"/>
        </w:numPr>
        <w:spacing w:line="480" w:lineRule="auto"/>
        <w:ind w:left="709" w:hanging="709"/>
      </w:pPr>
      <w:r w:rsidRPr="00914046">
        <w:t>Determine whether the claimed modern right is “demonstrably connected to, and reasonably regarded as a continuation of, the pre-contact practice” (</w:t>
      </w:r>
      <w:r w:rsidRPr="00914046">
        <w:rPr>
          <w:i/>
        </w:rPr>
        <w:t xml:space="preserve">Lax </w:t>
      </w:r>
      <w:proofErr w:type="spellStart"/>
      <w:r w:rsidRPr="00914046">
        <w:rPr>
          <w:i/>
        </w:rPr>
        <w:t>Kw’alaams</w:t>
      </w:r>
      <w:proofErr w:type="spellEnd"/>
      <w:r w:rsidRPr="00914046">
        <w:t xml:space="preserve">, at para. 46). </w:t>
      </w:r>
    </w:p>
    <w:p w:rsidR="00C437E7" w:rsidRPr="00914046" w:rsidRDefault="00C437E7" w:rsidP="00C437E7">
      <w:pPr>
        <w:pStyle w:val="ParaNoNdepar-AltN"/>
        <w:rPr>
          <w:rFonts w:cs="Times New Roman"/>
        </w:rPr>
      </w:pPr>
      <w:r w:rsidRPr="00914046">
        <w:rPr>
          <w:rFonts w:cs="Times New Roman"/>
        </w:rPr>
        <w:t xml:space="preserve">This analysis has been elaborated in detail in this Court’s jurisprudence. For present purposes, it will suffice to comment on the role of continuity in the analysis. Continuity is about whether a modern practice is a continuation of a historic practice. It is different from the threshold question discussed earlier, about whether a modern group is a successor of a historic group. It plays a role both at the second and the third stages of the </w:t>
      </w:r>
      <w:r w:rsidRPr="00914046">
        <w:rPr>
          <w:rFonts w:cs="Times New Roman"/>
          <w:i/>
        </w:rPr>
        <w:t xml:space="preserve">Van der </w:t>
      </w:r>
      <w:proofErr w:type="spellStart"/>
      <w:r w:rsidRPr="00914046">
        <w:rPr>
          <w:rFonts w:cs="Times New Roman"/>
          <w:i/>
        </w:rPr>
        <w:t>Peet</w:t>
      </w:r>
      <w:proofErr w:type="spellEnd"/>
      <w:r w:rsidRPr="00914046">
        <w:rPr>
          <w:rFonts w:cs="Times New Roman"/>
          <w:i/>
        </w:rPr>
        <w:t xml:space="preserve"> </w:t>
      </w:r>
      <w:r w:rsidRPr="00914046">
        <w:rPr>
          <w:rFonts w:cs="Times New Roman"/>
        </w:rPr>
        <w:t>analysis.</w:t>
      </w:r>
    </w:p>
    <w:p w:rsidR="00C437E7" w:rsidRPr="00914046" w:rsidRDefault="00C437E7" w:rsidP="00C437E7">
      <w:pPr>
        <w:pStyle w:val="ParaNoNdepar-AltN"/>
        <w:rPr>
          <w:rFonts w:cs="Times New Roman"/>
        </w:rPr>
      </w:pPr>
      <w:r w:rsidRPr="00914046">
        <w:rPr>
          <w:rFonts w:cs="Times New Roman"/>
        </w:rPr>
        <w:lastRenderedPageBreak/>
        <w:t xml:space="preserve">At the second stage of the </w:t>
      </w:r>
      <w:r w:rsidRPr="00914046">
        <w:rPr>
          <w:rFonts w:cs="Times New Roman"/>
          <w:i/>
        </w:rPr>
        <w:t xml:space="preserve">Van der </w:t>
      </w:r>
      <w:proofErr w:type="spellStart"/>
      <w:r w:rsidRPr="00914046">
        <w:rPr>
          <w:rFonts w:cs="Times New Roman"/>
          <w:i/>
        </w:rPr>
        <w:t>Peet</w:t>
      </w:r>
      <w:proofErr w:type="spellEnd"/>
      <w:r w:rsidRPr="00914046">
        <w:rPr>
          <w:rFonts w:cs="Times New Roman"/>
          <w:i/>
        </w:rPr>
        <w:t xml:space="preserve"> </w:t>
      </w:r>
      <w:r w:rsidRPr="00914046">
        <w:rPr>
          <w:rFonts w:cs="Times New Roman"/>
        </w:rPr>
        <w:t>analysis, continuity can play a role in proof. Showing that a practice is integral to the claimant’s culture today, and that it has continuity with pre-contact times, can count as proof that the practice was integral to the claimant’s culture pre-contact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xml:space="preserve">, at paras. 62-63; </w:t>
      </w:r>
      <w:r w:rsidRPr="00914046">
        <w:rPr>
          <w:rFonts w:cs="Times New Roman"/>
          <w:i/>
        </w:rPr>
        <w:t>Gladstone</w:t>
      </w:r>
      <w:r w:rsidRPr="00914046">
        <w:rPr>
          <w:rFonts w:cs="Times New Roman"/>
        </w:rPr>
        <w:t>, at para. 28;</w:t>
      </w:r>
      <w:r w:rsidRPr="00914046">
        <w:rPr>
          <w:rFonts w:cs="Times New Roman"/>
          <w:i/>
        </w:rPr>
        <w:t xml:space="preserve"> </w:t>
      </w:r>
      <w:proofErr w:type="spellStart"/>
      <w:r w:rsidRPr="00914046">
        <w:rPr>
          <w:rFonts w:cs="Times New Roman"/>
          <w:i/>
        </w:rPr>
        <w:t>Delgamuukw</w:t>
      </w:r>
      <w:proofErr w:type="spellEnd"/>
      <w:r w:rsidRPr="00914046">
        <w:rPr>
          <w:rFonts w:cs="Times New Roman"/>
        </w:rPr>
        <w:t>, at para. 152;</w:t>
      </w:r>
      <w:r w:rsidRPr="00914046">
        <w:rPr>
          <w:rFonts w:cs="Times New Roman"/>
          <w:i/>
        </w:rPr>
        <w:t xml:space="preserve"> </w:t>
      </w:r>
      <w:proofErr w:type="spellStart"/>
      <w:r w:rsidRPr="00914046">
        <w:rPr>
          <w:rFonts w:cs="Times New Roman"/>
          <w:i/>
        </w:rPr>
        <w:t>Tsilhqot’in</w:t>
      </w:r>
      <w:proofErr w:type="spellEnd"/>
      <w:r w:rsidRPr="00914046">
        <w:rPr>
          <w:rFonts w:cs="Times New Roman"/>
          <w:i/>
        </w:rPr>
        <w:t xml:space="preserve"> Nation v. British Columbia</w:t>
      </w:r>
      <w:r w:rsidRPr="00914046">
        <w:rPr>
          <w:rFonts w:cs="Times New Roman"/>
        </w:rPr>
        <w:t xml:space="preserve">, 2014 SCC 44, [2014] 2 </w:t>
      </w:r>
      <w:proofErr w:type="spellStart"/>
      <w:r w:rsidRPr="00914046">
        <w:rPr>
          <w:rFonts w:cs="Times New Roman"/>
        </w:rPr>
        <w:t>S.C.R</w:t>
      </w:r>
      <w:proofErr w:type="spellEnd"/>
      <w:r w:rsidRPr="00914046">
        <w:rPr>
          <w:rFonts w:cs="Times New Roman"/>
        </w:rPr>
        <w:t>. 257, at para. 45). As Kent McNeil explains, “</w:t>
      </w:r>
      <w:r w:rsidRPr="00914046">
        <w:rPr>
          <w:rFonts w:cs="Times New Roman"/>
          <w:lang w:bidi="en-US"/>
        </w:rPr>
        <w:t xml:space="preserve">continuity of this sort has to be shown only when Aboriginal peoples rely on post-sovereignty occupation or post-contact practices, customs, and traditions as evidence of their pre-sovereignty occupation or pre-contact practices, customs, and traditions” (“Continuity of Aboriginal Rights”, in K. </w:t>
      </w:r>
      <w:proofErr w:type="spellStart"/>
      <w:r w:rsidRPr="00914046">
        <w:rPr>
          <w:rFonts w:cs="Times New Roman"/>
          <w:lang w:bidi="en-US"/>
        </w:rPr>
        <w:t>Wilkins</w:t>
      </w:r>
      <w:proofErr w:type="spellEnd"/>
      <w:r w:rsidRPr="00914046">
        <w:rPr>
          <w:rFonts w:cs="Times New Roman"/>
          <w:lang w:bidi="en-US"/>
        </w:rPr>
        <w:t xml:space="preserve">, ed., </w:t>
      </w:r>
      <w:r w:rsidRPr="00914046">
        <w:rPr>
          <w:rFonts w:cs="Times New Roman"/>
          <w:i/>
          <w:lang w:val="en-GB" w:bidi="en-US"/>
        </w:rPr>
        <w:t xml:space="preserve">Advancing Aboriginal Claims: Visions/Strategies/Directions </w:t>
      </w:r>
      <w:r w:rsidRPr="00914046">
        <w:rPr>
          <w:rFonts w:cs="Times New Roman"/>
          <w:lang w:val="en-GB" w:bidi="en-US"/>
        </w:rPr>
        <w:t>(2004), 127, at p. 138).</w:t>
      </w:r>
    </w:p>
    <w:p w:rsidR="00C437E7" w:rsidRPr="00914046" w:rsidRDefault="00C437E7" w:rsidP="00C437E7">
      <w:pPr>
        <w:pStyle w:val="ParaNoNdepar-AltN"/>
        <w:rPr>
          <w:rFonts w:cs="Times New Roman"/>
        </w:rPr>
      </w:pPr>
      <w:r w:rsidRPr="00914046">
        <w:rPr>
          <w:rFonts w:cs="Times New Roman"/>
          <w:lang w:bidi="en-US"/>
        </w:rPr>
        <w:t xml:space="preserve">At the third stage, the question </w:t>
      </w:r>
      <w:r w:rsidRPr="00914046">
        <w:rPr>
          <w:rFonts w:cs="Times New Roman"/>
        </w:rPr>
        <w:t>is whether the modern practice which is claimed to be an exercise of an Aboriginal right is connected to, and reasonably seen as a continuation of, the pre-contact practice. At this stage, continuity with the pre-contact practice is required in order for the claimed activity to fall within the scope of the right. It serves to avoid frozen rights, allowing the practice to evolve into modern forms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xml:space="preserve">, at para. 64; </w:t>
      </w:r>
      <w:r w:rsidRPr="00914046">
        <w:rPr>
          <w:rFonts w:cs="Times New Roman"/>
          <w:i/>
        </w:rPr>
        <w:t>Mitchell</w:t>
      </w:r>
      <w:r w:rsidRPr="00914046">
        <w:rPr>
          <w:rFonts w:cs="Times New Roman"/>
        </w:rPr>
        <w:t>, at para. 13). The right claimed “must be allowed to evolve”, because “[</w:t>
      </w:r>
      <w:proofErr w:type="spellStart"/>
      <w:r w:rsidRPr="00914046">
        <w:rPr>
          <w:rFonts w:cs="Times New Roman"/>
        </w:rPr>
        <w:t>i</w:t>
      </w:r>
      <w:proofErr w:type="spellEnd"/>
      <w:r w:rsidRPr="00914046">
        <w:rPr>
          <w:rFonts w:cs="Times New Roman"/>
        </w:rPr>
        <w:t>]f aboriginal rights are not permitted to evolve and take modern forms, then they will become utterly useless” (</w:t>
      </w:r>
      <w:r w:rsidRPr="00914046">
        <w:rPr>
          <w:rFonts w:cs="Times New Roman"/>
          <w:i/>
        </w:rPr>
        <w:t>Sappier</w:t>
      </w:r>
      <w:r w:rsidRPr="00914046">
        <w:rPr>
          <w:rFonts w:cs="Times New Roman"/>
        </w:rPr>
        <w:t>, at paras. 48-49).</w:t>
      </w:r>
    </w:p>
    <w:p w:rsidR="00C437E7" w:rsidRPr="00914046" w:rsidRDefault="00C437E7" w:rsidP="00C437E7">
      <w:pPr>
        <w:pStyle w:val="ParaNoNdepar-AltN"/>
        <w:rPr>
          <w:rFonts w:cs="Times New Roman"/>
        </w:rPr>
      </w:pPr>
      <w:r w:rsidRPr="00914046">
        <w:rPr>
          <w:rFonts w:cs="Times New Roman"/>
        </w:rPr>
        <w:t xml:space="preserve">I would emphasize that the assessment of continuity, both at the second and third stages, is a highly fact-specific exercise. As </w:t>
      </w:r>
      <w:proofErr w:type="spellStart"/>
      <w:r w:rsidRPr="00914046">
        <w:rPr>
          <w:rFonts w:cs="Times New Roman"/>
        </w:rPr>
        <w:t>McLachlin</w:t>
      </w:r>
      <w:proofErr w:type="spellEnd"/>
      <w:r w:rsidRPr="00914046">
        <w:rPr>
          <w:rFonts w:cs="Times New Roman"/>
        </w:rPr>
        <w:t xml:space="preserve"> </w:t>
      </w:r>
      <w:proofErr w:type="spellStart"/>
      <w:r w:rsidRPr="00914046">
        <w:rPr>
          <w:rFonts w:cs="Times New Roman"/>
        </w:rPr>
        <w:t>C.J</w:t>
      </w:r>
      <w:proofErr w:type="spellEnd"/>
      <w:r w:rsidRPr="00914046">
        <w:rPr>
          <w:rFonts w:cs="Times New Roman"/>
        </w:rPr>
        <w:t xml:space="preserve">. wrote in </w:t>
      </w:r>
      <w:r w:rsidRPr="00914046">
        <w:rPr>
          <w:rFonts w:cs="Times New Roman"/>
          <w:i/>
        </w:rPr>
        <w:t>Mitchell</w:t>
      </w:r>
      <w:r w:rsidRPr="00914046">
        <w:rPr>
          <w:rFonts w:cs="Times New Roman"/>
        </w:rPr>
        <w:t xml:space="preserve">, </w:t>
      </w:r>
      <w:r w:rsidRPr="00914046">
        <w:rPr>
          <w:rFonts w:cs="Times New Roman"/>
        </w:rPr>
        <w:lastRenderedPageBreak/>
        <w:t xml:space="preserve">at para. 36, the weighing of evidence in Aboriginal claims “is generally the domain of the trial judge, who is best situated to assess the evidence as it is presented, and is consequently accorded significant latitude in this regard” (see also </w:t>
      </w:r>
      <w:r w:rsidRPr="00914046">
        <w:rPr>
          <w:rFonts w:cs="Times New Roman"/>
          <w:i/>
        </w:rPr>
        <w:t>Côté</w:t>
      </w:r>
      <w:r w:rsidRPr="00914046">
        <w:rPr>
          <w:rFonts w:cs="Times New Roman"/>
        </w:rPr>
        <w:t>, at para. 59).</w:t>
      </w:r>
    </w:p>
    <w:p w:rsidR="00C437E7" w:rsidRPr="00914046" w:rsidRDefault="00C437E7" w:rsidP="00C437E7">
      <w:pPr>
        <w:pStyle w:val="Title3LevelTitre3Niveau"/>
        <w:rPr>
          <w:rFonts w:cs="Times New Roman"/>
        </w:rPr>
      </w:pPr>
      <w:r w:rsidRPr="00914046">
        <w:rPr>
          <w:rFonts w:cs="Times New Roman"/>
        </w:rPr>
        <w:t>The Attorney General of Canada’s Proposed Framework</w:t>
      </w:r>
    </w:p>
    <w:p w:rsidR="00C437E7" w:rsidRPr="00914046" w:rsidRDefault="00C437E7" w:rsidP="00C437E7">
      <w:pPr>
        <w:pStyle w:val="ParaNoNdepar-AltN"/>
        <w:rPr>
          <w:rFonts w:cs="Times New Roman"/>
        </w:rPr>
      </w:pPr>
      <w:r w:rsidRPr="00914046">
        <w:rPr>
          <w:rFonts w:cs="Times New Roman"/>
        </w:rPr>
        <w:t>The intervener Attorney General of Canada submits that the proper approach to determine under what circumstances an Aboriginal claimant located outside Canada can claim rights under s. 35(1) is a contextual one. In particular, it would require non-resident rights claimants to find a connection with a contemporary Aboriginal collective residing</w:t>
      </w:r>
      <w:r w:rsidRPr="00914046">
        <w:rPr>
          <w:rFonts w:cs="Times New Roman"/>
          <w:i/>
        </w:rPr>
        <w:t xml:space="preserve"> </w:t>
      </w:r>
      <w:r w:rsidRPr="00914046">
        <w:rPr>
          <w:rFonts w:cs="Times New Roman"/>
        </w:rPr>
        <w:t xml:space="preserve">in Canada, and to obtain recognition and authorization by that collective to exercise the claimed s. 35(1) rights. The proposed test draws on </w:t>
      </w:r>
      <w:r w:rsidRPr="00914046">
        <w:rPr>
          <w:rFonts w:cs="Times New Roman"/>
          <w:i/>
        </w:rPr>
        <w:t>R. v. Powley</w:t>
      </w:r>
      <w:r w:rsidRPr="00914046">
        <w:rPr>
          <w:rFonts w:cs="Times New Roman"/>
        </w:rPr>
        <w:t xml:space="preserve">, 2003 SCC 43, [2003] 2 </w:t>
      </w:r>
      <w:proofErr w:type="spellStart"/>
      <w:r w:rsidRPr="00914046">
        <w:rPr>
          <w:rFonts w:cs="Times New Roman"/>
        </w:rPr>
        <w:t>S.C.R</w:t>
      </w:r>
      <w:proofErr w:type="spellEnd"/>
      <w:r w:rsidRPr="00914046">
        <w:rPr>
          <w:rFonts w:cs="Times New Roman"/>
        </w:rPr>
        <w:t>. 207,</w:t>
      </w:r>
      <w:r w:rsidRPr="00914046">
        <w:rPr>
          <w:rFonts w:cs="Times New Roman"/>
          <w:i/>
        </w:rPr>
        <w:t xml:space="preserve"> </w:t>
      </w:r>
      <w:r w:rsidRPr="00914046">
        <w:rPr>
          <w:rFonts w:cs="Times New Roman"/>
        </w:rPr>
        <w:t xml:space="preserve">and on the jurisprudence on sheltering rights. As I will explain, I would not give effect to this proposal. </w:t>
      </w:r>
    </w:p>
    <w:p w:rsidR="00C437E7" w:rsidRPr="00914046" w:rsidRDefault="00C437E7" w:rsidP="00C437E7">
      <w:pPr>
        <w:pStyle w:val="ParaNoNdepar-AltN"/>
        <w:rPr>
          <w:rFonts w:cs="Times New Roman"/>
        </w:rPr>
      </w:pPr>
      <w:r w:rsidRPr="00914046">
        <w:rPr>
          <w:rFonts w:cs="Times New Roman"/>
          <w:lang w:val="en-US"/>
        </w:rPr>
        <w:t>I</w:t>
      </w:r>
      <w:r w:rsidRPr="00914046">
        <w:rPr>
          <w:rFonts w:cs="Times New Roman"/>
        </w:rPr>
        <w:t xml:space="preserve">n </w:t>
      </w:r>
      <w:r w:rsidRPr="00914046">
        <w:rPr>
          <w:rFonts w:cs="Times New Roman"/>
          <w:i/>
        </w:rPr>
        <w:t>Powley</w:t>
      </w:r>
      <w:r w:rsidRPr="00914046">
        <w:rPr>
          <w:rFonts w:cs="Times New Roman"/>
        </w:rPr>
        <w:t xml:space="preserve">, the Court modified, though it did not overrule, the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xml:space="preserve"> test to accommodate the particular situation of the Métis (see paras. 14 and 18). It also offered some comments on how courts can determine membership in the Métis community in the absence of formalized procedures (para.</w:t>
      </w:r>
      <w:r w:rsidRPr="00914046">
        <w:rPr>
          <w:rFonts w:cs="Times New Roman"/>
          <w:lang w:val="en-US"/>
        </w:rPr>
        <w:t> </w:t>
      </w:r>
      <w:r w:rsidRPr="00914046">
        <w:rPr>
          <w:rFonts w:cs="Times New Roman"/>
        </w:rPr>
        <w:t xml:space="preserve">29). Importantly, these comments were not about </w:t>
      </w:r>
      <w:r w:rsidRPr="00914046">
        <w:rPr>
          <w:rFonts w:cs="Times New Roman"/>
          <w:i/>
        </w:rPr>
        <w:t xml:space="preserve">who </w:t>
      </w:r>
      <w:r w:rsidRPr="00914046">
        <w:rPr>
          <w:rFonts w:cs="Times New Roman"/>
        </w:rPr>
        <w:t xml:space="preserve">is an “aboriginal </w:t>
      </w:r>
      <w:proofErr w:type="spellStart"/>
      <w:r w:rsidRPr="00914046">
        <w:rPr>
          <w:rFonts w:cs="Times New Roman"/>
        </w:rPr>
        <w:t>peopl</w:t>
      </w:r>
      <w:proofErr w:type="spellEnd"/>
      <w:r w:rsidRPr="00914046">
        <w:rPr>
          <w:rFonts w:cs="Times New Roman"/>
        </w:rPr>
        <w:t>[e] of Canada” under s.</w:t>
      </w:r>
      <w:r w:rsidRPr="00914046">
        <w:rPr>
          <w:rFonts w:cs="Times New Roman"/>
          <w:lang w:val="en-US"/>
        </w:rPr>
        <w:t> </w:t>
      </w:r>
      <w:r w:rsidRPr="00914046">
        <w:rPr>
          <w:rFonts w:cs="Times New Roman"/>
        </w:rPr>
        <w:t xml:space="preserve">35(1), but rather about </w:t>
      </w:r>
      <w:r w:rsidRPr="00914046">
        <w:rPr>
          <w:rFonts w:cs="Times New Roman"/>
          <w:i/>
        </w:rPr>
        <w:t xml:space="preserve">how </w:t>
      </w:r>
      <w:r w:rsidRPr="00914046">
        <w:rPr>
          <w:rFonts w:cs="Times New Roman"/>
        </w:rPr>
        <w:t xml:space="preserve">courts can identify Métis individuals. The Court noted that “groups of Métis have often lacked political structures and have experienced shifts in their members’ self-identification” (para. 23), such that “determining membership in the Métis community might not be as simple as verifying membership </w:t>
      </w:r>
      <w:proofErr w:type="gramStart"/>
      <w:r w:rsidRPr="00914046">
        <w:rPr>
          <w:rFonts w:cs="Times New Roman"/>
        </w:rPr>
        <w:t>in .</w:t>
      </w:r>
      <w:proofErr w:type="gramEnd"/>
      <w:r w:rsidRPr="00914046">
        <w:rPr>
          <w:rFonts w:cs="Times New Roman"/>
        </w:rPr>
        <w:t xml:space="preserve"> . . an Indian </w:t>
      </w:r>
      <w:r w:rsidRPr="00914046">
        <w:rPr>
          <w:rFonts w:cs="Times New Roman"/>
        </w:rPr>
        <w:lastRenderedPageBreak/>
        <w:t xml:space="preserve">band” (para. 29). The Court in </w:t>
      </w:r>
      <w:r w:rsidRPr="00914046">
        <w:rPr>
          <w:rFonts w:cs="Times New Roman"/>
          <w:i/>
        </w:rPr>
        <w:t xml:space="preserve">Powley </w:t>
      </w:r>
      <w:r w:rsidRPr="00914046">
        <w:rPr>
          <w:rFonts w:cs="Times New Roman"/>
        </w:rPr>
        <w:t xml:space="preserve">suggested that an individual who self-identified as Métis also needed to show a link to a historic Métis community and acceptance by a modern successor of that community. </w:t>
      </w:r>
      <w:r w:rsidRPr="00914046">
        <w:rPr>
          <w:rFonts w:cs="Times New Roman"/>
          <w:szCs w:val="24"/>
        </w:rPr>
        <w:t xml:space="preserve">This reflected the fact that not all people with both First Nations and European ancestry are Métis. </w:t>
      </w:r>
    </w:p>
    <w:p w:rsidR="00C437E7" w:rsidRPr="00914046" w:rsidRDefault="00C437E7" w:rsidP="00C437E7">
      <w:pPr>
        <w:pStyle w:val="ParaNoNdepar-AltN"/>
        <w:rPr>
          <w:rFonts w:cs="Times New Roman"/>
        </w:rPr>
      </w:pPr>
      <w:r w:rsidRPr="00914046">
        <w:rPr>
          <w:rFonts w:cs="Times New Roman"/>
        </w:rPr>
        <w:t>The idea of “sheltering” emerges from case law concerning “whether an Aboriginal person can lawfully ‘shelter’ under a treaty he is not a signatory to” (</w:t>
      </w:r>
      <w:r w:rsidRPr="00914046">
        <w:rPr>
          <w:rFonts w:cs="Times New Roman"/>
          <w:i/>
        </w:rPr>
        <w:t>R. v.</w:t>
      </w:r>
      <w:r w:rsidRPr="00914046">
        <w:rPr>
          <w:rFonts w:cs="Times New Roman"/>
        </w:rPr>
        <w:t xml:space="preserve"> </w:t>
      </w:r>
      <w:r w:rsidRPr="00914046">
        <w:rPr>
          <w:rFonts w:cs="Times New Roman"/>
          <w:i/>
        </w:rPr>
        <w:t>Shipman</w:t>
      </w:r>
      <w:r w:rsidRPr="00914046">
        <w:rPr>
          <w:rFonts w:cs="Times New Roman"/>
        </w:rPr>
        <w:t xml:space="preserve">, 2007 </w:t>
      </w:r>
      <w:proofErr w:type="spellStart"/>
      <w:r w:rsidRPr="00914046">
        <w:rPr>
          <w:rFonts w:cs="Times New Roman"/>
        </w:rPr>
        <w:t>ONCA</w:t>
      </w:r>
      <w:proofErr w:type="spellEnd"/>
      <w:r w:rsidRPr="00914046">
        <w:rPr>
          <w:rFonts w:cs="Times New Roman"/>
        </w:rPr>
        <w:t xml:space="preserve"> 338, 85 </w:t>
      </w:r>
      <w:proofErr w:type="spellStart"/>
      <w:r w:rsidRPr="00914046">
        <w:rPr>
          <w:rFonts w:cs="Times New Roman"/>
        </w:rPr>
        <w:t>O.R</w:t>
      </w:r>
      <w:proofErr w:type="spellEnd"/>
      <w:r w:rsidRPr="00914046">
        <w:rPr>
          <w:rFonts w:cs="Times New Roman"/>
        </w:rPr>
        <w:t>. (</w:t>
      </w:r>
      <w:proofErr w:type="spellStart"/>
      <w:r w:rsidRPr="00914046">
        <w:rPr>
          <w:rFonts w:cs="Times New Roman"/>
        </w:rPr>
        <w:t>3d</w:t>
      </w:r>
      <w:proofErr w:type="spellEnd"/>
      <w:r w:rsidRPr="00914046">
        <w:rPr>
          <w:rFonts w:cs="Times New Roman"/>
        </w:rPr>
        <w:t xml:space="preserve">) 585, at para. 2; </w:t>
      </w:r>
      <w:r w:rsidRPr="00914046">
        <w:rPr>
          <w:rFonts w:cs="Times New Roman"/>
          <w:i/>
        </w:rPr>
        <w:t xml:space="preserve">R. v. </w:t>
      </w:r>
      <w:proofErr w:type="spellStart"/>
      <w:r w:rsidRPr="00914046">
        <w:rPr>
          <w:rFonts w:cs="Times New Roman"/>
          <w:i/>
        </w:rPr>
        <w:t>Meshake</w:t>
      </w:r>
      <w:proofErr w:type="spellEnd"/>
      <w:r w:rsidRPr="00914046">
        <w:rPr>
          <w:rFonts w:cs="Times New Roman"/>
        </w:rPr>
        <w:t xml:space="preserve">, 2007 </w:t>
      </w:r>
      <w:proofErr w:type="spellStart"/>
      <w:r w:rsidRPr="00914046">
        <w:rPr>
          <w:rFonts w:cs="Times New Roman"/>
        </w:rPr>
        <w:t>ONCA</w:t>
      </w:r>
      <w:proofErr w:type="spellEnd"/>
      <w:r w:rsidRPr="00914046">
        <w:rPr>
          <w:rFonts w:cs="Times New Roman"/>
        </w:rPr>
        <w:t xml:space="preserve"> 337, 85 </w:t>
      </w:r>
      <w:proofErr w:type="spellStart"/>
      <w:r w:rsidRPr="00914046">
        <w:rPr>
          <w:rFonts w:cs="Times New Roman"/>
        </w:rPr>
        <w:t>O.R</w:t>
      </w:r>
      <w:proofErr w:type="spellEnd"/>
      <w:r w:rsidRPr="00914046">
        <w:rPr>
          <w:rFonts w:cs="Times New Roman"/>
        </w:rPr>
        <w:t>. (</w:t>
      </w:r>
      <w:proofErr w:type="spellStart"/>
      <w:r w:rsidRPr="00914046">
        <w:rPr>
          <w:rFonts w:cs="Times New Roman"/>
        </w:rPr>
        <w:t>3d</w:t>
      </w:r>
      <w:proofErr w:type="spellEnd"/>
      <w:r w:rsidRPr="00914046">
        <w:rPr>
          <w:rFonts w:cs="Times New Roman"/>
        </w:rPr>
        <w:t>) 575, at paras. 1-2). In these cases, the Ontario Court of Appeal held that Aboriginal people from other communities can exercise treaty rights only if they have the permission or consent of the community that is a signatory to the treaty (</w:t>
      </w:r>
      <w:r w:rsidRPr="00914046">
        <w:rPr>
          <w:rFonts w:cs="Times New Roman"/>
          <w:i/>
        </w:rPr>
        <w:t>Shipman</w:t>
      </w:r>
      <w:r w:rsidRPr="00914046">
        <w:rPr>
          <w:rFonts w:cs="Times New Roman"/>
        </w:rPr>
        <w:t>, at paras. 41-46), or as a result of marriage and acceptance in that community (</w:t>
      </w:r>
      <w:proofErr w:type="spellStart"/>
      <w:r w:rsidRPr="00914046">
        <w:rPr>
          <w:rFonts w:cs="Times New Roman"/>
          <w:i/>
        </w:rPr>
        <w:t>Meshake</w:t>
      </w:r>
      <w:proofErr w:type="spellEnd"/>
      <w:r w:rsidRPr="00914046">
        <w:rPr>
          <w:rFonts w:cs="Times New Roman"/>
        </w:rPr>
        <w:t xml:space="preserve">, at paras. 31-33). As this makes clear, the idea of sheltering arises from the specific context of treaty rights. </w:t>
      </w:r>
    </w:p>
    <w:p w:rsidR="00C437E7" w:rsidRPr="00914046" w:rsidRDefault="00C437E7" w:rsidP="00C437E7">
      <w:pPr>
        <w:pStyle w:val="ParaNoNdepar-AltN"/>
        <w:rPr>
          <w:rFonts w:cs="Times New Roman"/>
        </w:rPr>
      </w:pPr>
      <w:r w:rsidRPr="00914046">
        <w:rPr>
          <w:rFonts w:cs="Times New Roman"/>
        </w:rPr>
        <w:t xml:space="preserve">The Attorney General of Canada proposes that we adapt the </w:t>
      </w:r>
      <w:r w:rsidRPr="00914046">
        <w:rPr>
          <w:rFonts w:cs="Times New Roman"/>
          <w:i/>
        </w:rPr>
        <w:t xml:space="preserve">Powley </w:t>
      </w:r>
      <w:r w:rsidRPr="00914046">
        <w:rPr>
          <w:rFonts w:cs="Times New Roman"/>
        </w:rPr>
        <w:t>and sheltering frameworks to govern the situation of Aboriginal rights claimants outside Canada. In my view, there is no need to do so in this case. I certainly accept that Aboriginal rights must be grounded in the existence of a historic and present-day community (</w:t>
      </w:r>
      <w:r w:rsidRPr="00914046">
        <w:rPr>
          <w:rFonts w:cs="Times New Roman"/>
          <w:i/>
        </w:rPr>
        <w:t>Powley</w:t>
      </w:r>
      <w:r w:rsidRPr="00914046">
        <w:rPr>
          <w:rFonts w:cs="Times New Roman"/>
        </w:rPr>
        <w:t xml:space="preserve">, at para. 24). As this Court wrote in </w:t>
      </w:r>
      <w:r w:rsidRPr="00914046">
        <w:rPr>
          <w:rFonts w:cs="Times New Roman"/>
          <w:i/>
        </w:rPr>
        <w:t>Marshall</w:t>
      </w:r>
      <w:r w:rsidRPr="00914046">
        <w:rPr>
          <w:rFonts w:cs="Times New Roman"/>
        </w:rPr>
        <w:t>, at para. 67, “[m]</w:t>
      </w:r>
      <w:proofErr w:type="spellStart"/>
      <w:r w:rsidRPr="00914046">
        <w:rPr>
          <w:rFonts w:cs="Times New Roman"/>
        </w:rPr>
        <w:t>odern</w:t>
      </w:r>
      <w:proofErr w:type="spellEnd"/>
      <w:r w:rsidRPr="00914046">
        <w:rPr>
          <w:rFonts w:cs="Times New Roman"/>
        </w:rPr>
        <w:t xml:space="preserve">-day claimants must establish a connection with the pre-sovereignty group upon whose practices they rely”. But this is so for Aboriginal groups inside or outside </w:t>
      </w:r>
      <w:r w:rsidRPr="00914046">
        <w:rPr>
          <w:rFonts w:cs="Times New Roman"/>
        </w:rPr>
        <w:lastRenderedPageBreak/>
        <w:t>Canada. It does not support an additional requirement, for groups outside Canada, of recognition by a related Aboriginal collective residing in Canada.</w:t>
      </w:r>
    </w:p>
    <w:p w:rsidR="00C437E7" w:rsidRPr="00914046" w:rsidRDefault="00C437E7" w:rsidP="00C437E7">
      <w:pPr>
        <w:pStyle w:val="ParaNoNdepar-AltN"/>
        <w:rPr>
          <w:rFonts w:cs="Times New Roman"/>
        </w:rPr>
      </w:pPr>
      <w:r w:rsidRPr="00914046">
        <w:rPr>
          <w:rFonts w:cs="Times New Roman"/>
        </w:rPr>
        <w:t>This requirement would place a higher burden on Aboriginal communities who seek to claim rights if the group moved, was forced to move, or was divided by the creation of an international border between Canada and the United States. It would risk defining Aboriginal rights “in a manner which excludes some of those the provision was intended to protect” (</w:t>
      </w:r>
      <w:r w:rsidRPr="00914046">
        <w:rPr>
          <w:rFonts w:cs="Times New Roman"/>
          <w:i/>
        </w:rPr>
        <w:t>R. v.</w:t>
      </w:r>
      <w:r w:rsidRPr="00914046">
        <w:rPr>
          <w:rFonts w:cs="Times New Roman"/>
        </w:rPr>
        <w:t xml:space="preserve"> </w:t>
      </w:r>
      <w:r w:rsidRPr="00914046">
        <w:rPr>
          <w:rFonts w:cs="Times New Roman"/>
          <w:i/>
        </w:rPr>
        <w:t>Adams</w:t>
      </w:r>
      <w:r w:rsidRPr="00914046">
        <w:rPr>
          <w:rFonts w:cs="Times New Roman"/>
        </w:rPr>
        <w:t xml:space="preserve">, [1996] 3 </w:t>
      </w:r>
      <w:proofErr w:type="spellStart"/>
      <w:r w:rsidRPr="00914046">
        <w:rPr>
          <w:rFonts w:cs="Times New Roman"/>
        </w:rPr>
        <w:t>S.C.R</w:t>
      </w:r>
      <w:proofErr w:type="spellEnd"/>
      <w:r w:rsidRPr="00914046">
        <w:rPr>
          <w:rFonts w:cs="Times New Roman"/>
        </w:rPr>
        <w:t>. 101, at para. 27). Moreover, it would raise myriad practical difficulties, such as which group within Canada has a say in the recognition of a claimant located outside Canada, where there are competing groups (</w:t>
      </w:r>
      <w:proofErr w:type="spellStart"/>
      <w:r w:rsidRPr="00914046">
        <w:rPr>
          <w:rFonts w:cs="Times New Roman"/>
          <w:i/>
        </w:rPr>
        <w:t>Hwlitsum</w:t>
      </w:r>
      <w:proofErr w:type="spellEnd"/>
      <w:r w:rsidRPr="00914046">
        <w:rPr>
          <w:rFonts w:cs="Times New Roman"/>
          <w:i/>
        </w:rPr>
        <w:t xml:space="preserve"> First Nation v. Canada (Attorney General)</w:t>
      </w:r>
      <w:r w:rsidRPr="00914046">
        <w:rPr>
          <w:rFonts w:cs="Times New Roman"/>
        </w:rPr>
        <w:t xml:space="preserve">, 2018 </w:t>
      </w:r>
      <w:proofErr w:type="spellStart"/>
      <w:r w:rsidRPr="00914046">
        <w:rPr>
          <w:rFonts w:cs="Times New Roman"/>
        </w:rPr>
        <w:t>BCCA</w:t>
      </w:r>
      <w:proofErr w:type="spellEnd"/>
      <w:r w:rsidRPr="00914046">
        <w:rPr>
          <w:rFonts w:cs="Times New Roman"/>
        </w:rPr>
        <w:t xml:space="preserve"> 276, 15 </w:t>
      </w:r>
      <w:proofErr w:type="spellStart"/>
      <w:r w:rsidRPr="00914046">
        <w:rPr>
          <w:rFonts w:cs="Times New Roman"/>
        </w:rPr>
        <w:t>B.C.L.R</w:t>
      </w:r>
      <w:proofErr w:type="spellEnd"/>
      <w:r w:rsidRPr="00914046">
        <w:rPr>
          <w:rFonts w:cs="Times New Roman"/>
        </w:rPr>
        <w:t>. (6th) 91), which body can represent a collective residing in Canada (</w:t>
      </w:r>
      <w:r w:rsidRPr="00914046">
        <w:rPr>
          <w:rFonts w:cs="Times New Roman"/>
          <w:i/>
        </w:rPr>
        <w:t>Campbell v. British Columbia (Minister of Forests and Range)</w:t>
      </w:r>
      <w:r w:rsidRPr="00914046">
        <w:rPr>
          <w:rFonts w:cs="Times New Roman"/>
        </w:rPr>
        <w:t xml:space="preserve">, 2011 </w:t>
      </w:r>
      <w:proofErr w:type="spellStart"/>
      <w:r w:rsidRPr="00914046">
        <w:rPr>
          <w:rFonts w:cs="Times New Roman"/>
        </w:rPr>
        <w:t>BCSC</w:t>
      </w:r>
      <w:proofErr w:type="spellEnd"/>
      <w:r w:rsidRPr="00914046">
        <w:rPr>
          <w:rFonts w:cs="Times New Roman"/>
        </w:rPr>
        <w:t xml:space="preserve"> 448, [2011] 3 </w:t>
      </w:r>
      <w:proofErr w:type="spellStart"/>
      <w:r w:rsidRPr="00914046">
        <w:rPr>
          <w:rFonts w:cs="Times New Roman"/>
        </w:rPr>
        <w:t>C.N.L.R</w:t>
      </w:r>
      <w:proofErr w:type="spellEnd"/>
      <w:r w:rsidRPr="00914046">
        <w:rPr>
          <w:rFonts w:cs="Times New Roman"/>
        </w:rPr>
        <w:t>. 151), and what happens if there is no related modern collective residing in Canada.</w:t>
      </w:r>
    </w:p>
    <w:p w:rsidR="00C437E7" w:rsidRPr="00914046" w:rsidRDefault="00C437E7" w:rsidP="00C437E7">
      <w:pPr>
        <w:pStyle w:val="ParaNoNdepar-AltN"/>
        <w:rPr>
          <w:rFonts w:cs="Times New Roman"/>
        </w:rPr>
      </w:pPr>
      <w:r w:rsidRPr="00914046">
        <w:rPr>
          <w:rFonts w:cs="Times New Roman"/>
        </w:rPr>
        <w:t>For these reasons, the test for an Aboriginal right is the same whether the claimant is inside or outside Canada.</w:t>
      </w:r>
    </w:p>
    <w:p w:rsidR="00C437E7" w:rsidRPr="00914046" w:rsidRDefault="00C437E7" w:rsidP="00C437E7">
      <w:pPr>
        <w:pStyle w:val="Title3LevelTitre3Niveau"/>
        <w:rPr>
          <w:rFonts w:cs="Times New Roman"/>
        </w:rPr>
      </w:pPr>
      <w:r w:rsidRPr="00914046">
        <w:rPr>
          <w:rFonts w:cs="Times New Roman"/>
        </w:rPr>
        <w:t>Application</w:t>
      </w:r>
    </w:p>
    <w:p w:rsidR="00C437E7" w:rsidRPr="00914046" w:rsidRDefault="00C437E7" w:rsidP="00C437E7">
      <w:pPr>
        <w:pStyle w:val="ParaNoNdepar-AltN"/>
        <w:rPr>
          <w:rFonts w:cs="Times New Roman"/>
        </w:rPr>
      </w:pPr>
      <w:r w:rsidRPr="00914046">
        <w:rPr>
          <w:rFonts w:cs="Times New Roman"/>
        </w:rPr>
        <w:t xml:space="preserve">In the present case, the Aboriginal right claimed is a right to hunt for food, social and ceremonial purposes within the traditional territory of the </w:t>
      </w:r>
      <w:proofErr w:type="spellStart"/>
      <w:r w:rsidRPr="00914046">
        <w:rPr>
          <w:rFonts w:cs="Times New Roman"/>
        </w:rPr>
        <w:t>Sinixt</w:t>
      </w:r>
      <w:proofErr w:type="spellEnd"/>
      <w:r w:rsidRPr="00914046">
        <w:rPr>
          <w:rFonts w:cs="Times New Roman"/>
        </w:rPr>
        <w:t xml:space="preserve"> in British Columbia. The trial judge found, based on the evidence before her, that at the time of </w:t>
      </w:r>
      <w:r w:rsidRPr="00914046">
        <w:rPr>
          <w:rFonts w:cs="Times New Roman"/>
        </w:rPr>
        <w:lastRenderedPageBreak/>
        <w:t xml:space="preserve">contact this practice was integral to the distinctive culture of the </w:t>
      </w:r>
      <w:proofErr w:type="spellStart"/>
      <w:r w:rsidRPr="00914046">
        <w:rPr>
          <w:rFonts w:cs="Times New Roman"/>
        </w:rPr>
        <w:t>Sinixt</w:t>
      </w:r>
      <w:proofErr w:type="spellEnd"/>
      <w:r w:rsidRPr="00914046">
        <w:rPr>
          <w:rFonts w:cs="Times New Roman"/>
        </w:rPr>
        <w:t xml:space="preserve">. She also found that the modern-day practice of hunting in this territory, as Mr. </w:t>
      </w:r>
      <w:proofErr w:type="spellStart"/>
      <w:r w:rsidRPr="00914046">
        <w:rPr>
          <w:rFonts w:cs="Times New Roman"/>
        </w:rPr>
        <w:t>Desautel</w:t>
      </w:r>
      <w:proofErr w:type="spellEnd"/>
      <w:r w:rsidRPr="00914046">
        <w:rPr>
          <w:rFonts w:cs="Times New Roman"/>
        </w:rPr>
        <w:t xml:space="preserve"> did, is a continuation of this pre-contact practice. Indeed, setting aside the periods in which no hunting took place, there was no significant dissimilarity between the pre-contact practice and the modern one (as there was, for example, in </w:t>
      </w:r>
      <w:r w:rsidRPr="00914046">
        <w:rPr>
          <w:rFonts w:cs="Times New Roman"/>
          <w:i/>
        </w:rPr>
        <w:t xml:space="preserve">Lax </w:t>
      </w:r>
      <w:proofErr w:type="spellStart"/>
      <w:r w:rsidRPr="00914046">
        <w:rPr>
          <w:rFonts w:cs="Times New Roman"/>
          <w:i/>
        </w:rPr>
        <w:t>Kw’alaams</w:t>
      </w:r>
      <w:proofErr w:type="spellEnd"/>
      <w:r w:rsidRPr="00914046">
        <w:rPr>
          <w:rFonts w:cs="Times New Roman"/>
        </w:rPr>
        <w:t xml:space="preserve">). As a result, she found that Mr. </w:t>
      </w:r>
      <w:proofErr w:type="spellStart"/>
      <w:r w:rsidRPr="00914046">
        <w:rPr>
          <w:rFonts w:cs="Times New Roman"/>
        </w:rPr>
        <w:t>Desautel</w:t>
      </w:r>
      <w:proofErr w:type="spellEnd"/>
      <w:r w:rsidRPr="00914046">
        <w:rPr>
          <w:rFonts w:cs="Times New Roman"/>
        </w:rPr>
        <w:t xml:space="preserve"> was exercising an Aboriginal right.</w:t>
      </w:r>
    </w:p>
    <w:p w:rsidR="00C437E7" w:rsidRPr="00914046" w:rsidRDefault="00C437E7" w:rsidP="00C437E7">
      <w:pPr>
        <w:pStyle w:val="ParaNoNdepar-AltN"/>
        <w:rPr>
          <w:rFonts w:cs="Times New Roman"/>
        </w:rPr>
      </w:pPr>
      <w:r w:rsidRPr="00914046">
        <w:rPr>
          <w:rFonts w:cs="Times New Roman"/>
        </w:rPr>
        <w:t xml:space="preserve">The Crown and the intervener Attorney General of Alberta submit that this was an error, because continuity requires an ongoing presence in the lands over which an Aboriginal right is asserted. As my discussion of continuity should make clear, this has never been part of the test for an Aboriginal right. Nor is there any basis for adding it to the test, even where the claimant is outside Canada. As Lamer </w:t>
      </w:r>
      <w:proofErr w:type="spellStart"/>
      <w:r w:rsidRPr="00914046">
        <w:rPr>
          <w:rFonts w:cs="Times New Roman"/>
        </w:rPr>
        <w:t>C.J</w:t>
      </w:r>
      <w:proofErr w:type="spellEnd"/>
      <w:r w:rsidRPr="00914046">
        <w:rPr>
          <w:rFonts w:cs="Times New Roman"/>
        </w:rPr>
        <w:t xml:space="preserve">. explained in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xml:space="preserve">, at para. 65, “an unbroken chain of continuity” is not required. </w:t>
      </w:r>
      <w:r w:rsidRPr="00914046">
        <w:rPr>
          <w:rFonts w:cs="Times New Roman"/>
          <w:lang w:val="en-GB"/>
        </w:rPr>
        <w:t xml:space="preserve">Indeed, as </w:t>
      </w:r>
      <w:proofErr w:type="spellStart"/>
      <w:r w:rsidRPr="00914046">
        <w:rPr>
          <w:rFonts w:cs="Times New Roman"/>
          <w:lang w:val="en-GB"/>
        </w:rPr>
        <w:t>McLachlin</w:t>
      </w:r>
      <w:proofErr w:type="spellEnd"/>
      <w:r w:rsidRPr="00914046">
        <w:rPr>
          <w:rFonts w:cs="Times New Roman"/>
          <w:lang w:val="en-GB"/>
        </w:rPr>
        <w:t xml:space="preserve"> J. (dissenting, but not on this point) noted in </w:t>
      </w:r>
      <w:r w:rsidRPr="00914046">
        <w:rPr>
          <w:rFonts w:cs="Times New Roman"/>
          <w:i/>
          <w:lang w:val="en-GB"/>
        </w:rPr>
        <w:t xml:space="preserve">Van der </w:t>
      </w:r>
      <w:proofErr w:type="spellStart"/>
      <w:r w:rsidRPr="00914046">
        <w:rPr>
          <w:rFonts w:cs="Times New Roman"/>
          <w:i/>
          <w:lang w:val="en-GB"/>
        </w:rPr>
        <w:t>Peet</w:t>
      </w:r>
      <w:proofErr w:type="spellEnd"/>
      <w:r w:rsidRPr="00914046">
        <w:rPr>
          <w:rFonts w:cs="Times New Roman"/>
          <w:lang w:val="en-GB"/>
        </w:rPr>
        <w:t xml:space="preserve">, at para. 249, </w:t>
      </w:r>
      <w:r w:rsidRPr="00914046">
        <w:rPr>
          <w:rFonts w:cs="Times New Roman"/>
        </w:rPr>
        <w:t>“</w:t>
      </w:r>
      <w:r w:rsidRPr="00914046">
        <w:rPr>
          <w:rFonts w:cs="Times New Roman"/>
          <w:lang w:val="en-GB"/>
        </w:rPr>
        <w:t>it is not unusual for the exercise of a right to lapse for a period of time”.</w:t>
      </w:r>
      <w:r w:rsidRPr="00914046">
        <w:rPr>
          <w:rFonts w:cs="Times New Roman"/>
        </w:rPr>
        <w:t xml:space="preserve"> </w:t>
      </w:r>
    </w:p>
    <w:p w:rsidR="00C437E7" w:rsidRPr="00914046" w:rsidRDefault="00C437E7" w:rsidP="00C437E7">
      <w:pPr>
        <w:pStyle w:val="ParaNoNdepar-AltN"/>
        <w:rPr>
          <w:rFonts w:cs="Times New Roman"/>
        </w:rPr>
      </w:pPr>
      <w:r w:rsidRPr="00914046">
        <w:rPr>
          <w:rFonts w:cs="Times New Roman"/>
        </w:rPr>
        <w:t xml:space="preserve">In effect, we are asked to hold that an Aboriginal right can be lost or abandoned by non-use: a proposition that Lamer </w:t>
      </w:r>
      <w:proofErr w:type="spellStart"/>
      <w:r w:rsidRPr="00914046">
        <w:rPr>
          <w:rFonts w:cs="Times New Roman"/>
        </w:rPr>
        <w:t>C.J</w:t>
      </w:r>
      <w:proofErr w:type="spellEnd"/>
      <w:r w:rsidRPr="00914046">
        <w:rPr>
          <w:rFonts w:cs="Times New Roman"/>
        </w:rPr>
        <w:t xml:space="preserve">. left undecided in </w:t>
      </w:r>
      <w:r w:rsidRPr="00914046">
        <w:rPr>
          <w:rFonts w:cs="Times New Roman"/>
          <w:i/>
        </w:rPr>
        <w:t xml:space="preserve">Van der </w:t>
      </w:r>
      <w:proofErr w:type="spellStart"/>
      <w:r w:rsidRPr="00914046">
        <w:rPr>
          <w:rFonts w:cs="Times New Roman"/>
          <w:i/>
        </w:rPr>
        <w:t>Peet</w:t>
      </w:r>
      <w:proofErr w:type="spellEnd"/>
      <w:r w:rsidRPr="00914046">
        <w:rPr>
          <w:rFonts w:cs="Times New Roman"/>
        </w:rPr>
        <w:t>, at para. 63. Would accepting this proposition risk “undermining the very purpose of s. 35(1) by perpetuating the historical injustice suffered by aboriginal peoples at the hands of colonizers” (</w:t>
      </w:r>
      <w:r w:rsidRPr="00914046">
        <w:rPr>
          <w:rFonts w:cs="Times New Roman"/>
          <w:i/>
        </w:rPr>
        <w:t>Côté</w:t>
      </w:r>
      <w:r w:rsidRPr="00914046">
        <w:rPr>
          <w:rFonts w:cs="Times New Roman"/>
        </w:rPr>
        <w:t xml:space="preserve">, at para. 53; see also McNeil, at pp. 133-35)? It is better not to decide the issue here, as it does not arise in light of the factual findings of the trial judge. The law should be developed through cases where determination of such issues </w:t>
      </w:r>
      <w:r w:rsidRPr="00914046">
        <w:rPr>
          <w:rFonts w:cs="Times New Roman"/>
        </w:rPr>
        <w:lastRenderedPageBreak/>
        <w:t>is required, where there is an adequate evidentiary basis, and where the issues are the subject of full submissions and thorough consideration at trial and at the appellate level.</w:t>
      </w:r>
    </w:p>
    <w:p w:rsidR="00C437E7" w:rsidRPr="00914046" w:rsidRDefault="00C437E7" w:rsidP="00C437E7">
      <w:pPr>
        <w:pStyle w:val="Title2LevelTitre2Niveau"/>
        <w:rPr>
          <w:rFonts w:cs="Times New Roman"/>
        </w:rPr>
      </w:pPr>
      <w:r w:rsidRPr="00914046">
        <w:rPr>
          <w:rFonts w:cs="Times New Roman"/>
        </w:rPr>
        <w:t>Sovereign Incompatibility</w:t>
      </w:r>
    </w:p>
    <w:p w:rsidR="00C437E7" w:rsidRPr="00914046" w:rsidRDefault="00C437E7" w:rsidP="00C437E7">
      <w:pPr>
        <w:pStyle w:val="ParaNoNdepar-AltN"/>
        <w:rPr>
          <w:rFonts w:cs="Times New Roman"/>
        </w:rPr>
      </w:pPr>
      <w:r w:rsidRPr="00914046">
        <w:rPr>
          <w:rFonts w:cs="Times New Roman"/>
        </w:rPr>
        <w:t xml:space="preserve">The Crown submits that even if Mr. </w:t>
      </w:r>
      <w:proofErr w:type="spellStart"/>
      <w:r w:rsidRPr="00914046">
        <w:rPr>
          <w:rFonts w:cs="Times New Roman"/>
        </w:rPr>
        <w:t>Desautel’s</w:t>
      </w:r>
      <w:proofErr w:type="spellEnd"/>
      <w:r w:rsidRPr="00914046">
        <w:rPr>
          <w:rFonts w:cs="Times New Roman"/>
        </w:rPr>
        <w:t xml:space="preserve"> claim would otherwise meet the test for an Aboriginal right, this right is incompatible with Canadian sovereignty because the right encompasses other rights necessary for its meaningful exercise, which means a right to cross the Canada-U.S. border. This submission is supported by the Attorney General of Quebec, the Attorney General of New Brunswick and the Attorney General of Alberta. As a result, the Crown argues, Mr. </w:t>
      </w:r>
      <w:proofErr w:type="spellStart"/>
      <w:r w:rsidRPr="00914046">
        <w:rPr>
          <w:rFonts w:cs="Times New Roman"/>
        </w:rPr>
        <w:t>Desautel’s</w:t>
      </w:r>
      <w:proofErr w:type="spellEnd"/>
      <w:r w:rsidRPr="00914046">
        <w:rPr>
          <w:rFonts w:cs="Times New Roman"/>
        </w:rPr>
        <w:t xml:space="preserve"> right to hunt never came into existence.</w:t>
      </w:r>
    </w:p>
    <w:p w:rsidR="00C437E7" w:rsidRPr="00914046" w:rsidRDefault="00C437E7" w:rsidP="00C437E7">
      <w:pPr>
        <w:pStyle w:val="ParaNoNdepar-AltN"/>
        <w:rPr>
          <w:rFonts w:cs="Times New Roman"/>
        </w:rPr>
      </w:pPr>
      <w:r w:rsidRPr="00914046">
        <w:rPr>
          <w:rFonts w:cs="Times New Roman"/>
        </w:rPr>
        <w:t xml:space="preserve">I am of the view that, </w:t>
      </w:r>
      <w:r w:rsidRPr="00914046">
        <w:rPr>
          <w:rFonts w:cs="Times New Roman"/>
          <w:i/>
        </w:rPr>
        <w:t>unlike</w:t>
      </w:r>
      <w:r w:rsidRPr="00914046">
        <w:rPr>
          <w:rFonts w:cs="Times New Roman"/>
        </w:rPr>
        <w:t xml:space="preserve"> the right claimed in </w:t>
      </w:r>
      <w:r w:rsidRPr="00914046">
        <w:rPr>
          <w:rFonts w:cs="Times New Roman"/>
          <w:i/>
        </w:rPr>
        <w:t>Mitchell</w:t>
      </w:r>
      <w:r w:rsidRPr="00914046">
        <w:rPr>
          <w:rFonts w:cs="Times New Roman"/>
        </w:rPr>
        <w:t xml:space="preserve">, the very purpose of the right claimed by Mr. </w:t>
      </w:r>
      <w:proofErr w:type="spellStart"/>
      <w:r w:rsidRPr="00914046">
        <w:rPr>
          <w:rFonts w:cs="Times New Roman"/>
        </w:rPr>
        <w:t>Desautel</w:t>
      </w:r>
      <w:proofErr w:type="spellEnd"/>
      <w:r w:rsidRPr="00914046">
        <w:rPr>
          <w:rFonts w:cs="Times New Roman"/>
        </w:rPr>
        <w:t xml:space="preserve"> is not to cross the border. The mobility right, if it exists, is incidental in this case. Sovereign incompatibility would relate solely to the issue of whether there can be an Aboriginal right to enter Canada — an issue that is not raised here, because Mr. </w:t>
      </w:r>
      <w:proofErr w:type="spellStart"/>
      <w:r w:rsidRPr="00914046">
        <w:rPr>
          <w:rFonts w:cs="Times New Roman"/>
        </w:rPr>
        <w:t>Desautel</w:t>
      </w:r>
      <w:proofErr w:type="spellEnd"/>
      <w:r w:rsidRPr="00914046">
        <w:rPr>
          <w:rFonts w:cs="Times New Roman"/>
        </w:rPr>
        <w:t xml:space="preserve"> was not denied entry to Canada. Moreover, this issue was not fully addressed by the courts below. Therefore, the question of whether the appropriate framework is sovereign incompatibility or infringement/justification under </w:t>
      </w:r>
      <w:r w:rsidRPr="00914046">
        <w:rPr>
          <w:rFonts w:cs="Times New Roman"/>
          <w:i/>
        </w:rPr>
        <w:t>Sparrow</w:t>
      </w:r>
      <w:r w:rsidRPr="00914046">
        <w:rPr>
          <w:rFonts w:cs="Times New Roman"/>
        </w:rPr>
        <w:t xml:space="preserve"> should be left for another day, when the Court has a proper set of facts to answer the question. </w:t>
      </w:r>
    </w:p>
    <w:p w:rsidR="00C437E7" w:rsidRPr="00914046" w:rsidRDefault="00C437E7" w:rsidP="00C437E7">
      <w:pPr>
        <w:pStyle w:val="Title2LevelTitre2Niveau"/>
        <w:rPr>
          <w:rFonts w:cs="Times New Roman"/>
        </w:rPr>
      </w:pPr>
      <w:r w:rsidRPr="00914046">
        <w:rPr>
          <w:rFonts w:cs="Times New Roman"/>
        </w:rPr>
        <w:t>Common Law Aboriginal Rights</w:t>
      </w:r>
    </w:p>
    <w:p w:rsidR="00C437E7" w:rsidRPr="00914046" w:rsidRDefault="00C437E7" w:rsidP="00C437E7">
      <w:pPr>
        <w:pStyle w:val="ParaNoNdepar-AltN"/>
        <w:rPr>
          <w:rFonts w:cs="Times New Roman"/>
          <w:lang w:val="en-US"/>
        </w:rPr>
      </w:pPr>
      <w:r w:rsidRPr="00914046">
        <w:rPr>
          <w:rFonts w:cs="Times New Roman"/>
        </w:rPr>
        <w:lastRenderedPageBreak/>
        <w:t xml:space="preserve">The Crown contends that while Mr. </w:t>
      </w:r>
      <w:proofErr w:type="spellStart"/>
      <w:r w:rsidRPr="00914046">
        <w:rPr>
          <w:rFonts w:cs="Times New Roman"/>
        </w:rPr>
        <w:t>Desautel</w:t>
      </w:r>
      <w:proofErr w:type="spellEnd"/>
      <w:r w:rsidRPr="00914046">
        <w:rPr>
          <w:rFonts w:cs="Times New Roman"/>
        </w:rPr>
        <w:t xml:space="preserve"> cannot have a s. 35(1) Aboriginal right, because he is not a member of an Aboriginal people of Canada, he can still have common law Aboriginal rights, albeit these rights would not constitute a defence to the regulatory charges against him. Recognizing common law Aboriginal rights alongside s. 35(1) Aboriginal rights would introduce additional difficulties. In particular, the Crown seems to assume that the test for a common law Aboriginal right would be the same as the test for </w:t>
      </w:r>
      <w:proofErr w:type="gramStart"/>
      <w:r w:rsidRPr="00914046">
        <w:rPr>
          <w:rFonts w:cs="Times New Roman"/>
        </w:rPr>
        <w:t>a</w:t>
      </w:r>
      <w:proofErr w:type="gramEnd"/>
      <w:r w:rsidRPr="00914046">
        <w:rPr>
          <w:rFonts w:cs="Times New Roman"/>
        </w:rPr>
        <w:t xml:space="preserve"> s. 35(1) Aboriginal right, that is, the </w:t>
      </w:r>
      <w:r w:rsidRPr="00914046">
        <w:rPr>
          <w:rFonts w:cs="Times New Roman"/>
          <w:i/>
        </w:rPr>
        <w:t xml:space="preserve">Van der </w:t>
      </w:r>
      <w:proofErr w:type="spellStart"/>
      <w:r w:rsidRPr="00914046">
        <w:rPr>
          <w:rFonts w:cs="Times New Roman"/>
          <w:i/>
        </w:rPr>
        <w:t>Peet</w:t>
      </w:r>
      <w:proofErr w:type="spellEnd"/>
      <w:r w:rsidRPr="00914046">
        <w:rPr>
          <w:rFonts w:cs="Times New Roman"/>
          <w:i/>
        </w:rPr>
        <w:t xml:space="preserve"> </w:t>
      </w:r>
      <w:r w:rsidRPr="00914046">
        <w:rPr>
          <w:rFonts w:cs="Times New Roman"/>
        </w:rPr>
        <w:t>test. But this is far from clear.</w:t>
      </w:r>
    </w:p>
    <w:p w:rsidR="00C437E7" w:rsidRPr="00914046" w:rsidRDefault="00C437E7" w:rsidP="00C437E7">
      <w:pPr>
        <w:pStyle w:val="ParaNoNdepar-AltN"/>
        <w:rPr>
          <w:rFonts w:cs="Times New Roman"/>
        </w:rPr>
      </w:pPr>
      <w:r w:rsidRPr="00914046">
        <w:rPr>
          <w:rFonts w:cs="Times New Roman"/>
        </w:rPr>
        <w:t>Before 1982, common law Aboriginal rights were recognized in Canada under British imperial law (</w:t>
      </w:r>
      <w:r w:rsidRPr="00914046">
        <w:rPr>
          <w:rFonts w:cs="Times New Roman"/>
          <w:i/>
        </w:rPr>
        <w:t>Calder</w:t>
      </w:r>
      <w:r w:rsidRPr="00914046">
        <w:rPr>
          <w:rFonts w:cs="Times New Roman"/>
        </w:rPr>
        <w:t>, at pp. 328 and 402;</w:t>
      </w:r>
      <w:r w:rsidRPr="00914046">
        <w:rPr>
          <w:rFonts w:cs="Times New Roman"/>
          <w:i/>
        </w:rPr>
        <w:t xml:space="preserve"> Mitchell</w:t>
      </w:r>
      <w:r w:rsidRPr="00914046">
        <w:rPr>
          <w:rFonts w:cs="Times New Roman"/>
        </w:rPr>
        <w:t>, at paras. </w:t>
      </w:r>
      <w:r w:rsidRPr="00914046">
        <w:rPr>
          <w:rFonts w:cs="Times New Roman"/>
          <w:lang w:val="en-US"/>
        </w:rPr>
        <w:t xml:space="preserve">62-64). </w:t>
      </w:r>
      <w:r w:rsidRPr="00914046">
        <w:rPr>
          <w:rFonts w:cs="Times New Roman"/>
        </w:rPr>
        <w:t xml:space="preserve">Under the imperial doctrine of succession, when Britain took possession of a new territory, the laws in force in that territory were presumed to continue (subject to some exceptions). </w:t>
      </w:r>
      <w:r w:rsidRPr="00914046">
        <w:rPr>
          <w:rFonts w:cs="Times New Roman"/>
          <w:lang w:val="en-GB"/>
        </w:rPr>
        <w:t xml:space="preserve">This doctrine was not limited to practices, traditions or customs that were “integral to the distinctive culture” of the Aboriginal people, as in </w:t>
      </w:r>
      <w:r w:rsidRPr="00914046">
        <w:rPr>
          <w:rFonts w:cs="Times New Roman"/>
          <w:i/>
          <w:iCs/>
          <w:lang w:val="en-GB"/>
        </w:rPr>
        <w:t xml:space="preserve">Van der </w:t>
      </w:r>
      <w:proofErr w:type="spellStart"/>
      <w:r w:rsidRPr="00914046">
        <w:rPr>
          <w:rFonts w:cs="Times New Roman"/>
          <w:i/>
          <w:iCs/>
          <w:lang w:val="en-GB"/>
        </w:rPr>
        <w:t>Peet</w:t>
      </w:r>
      <w:proofErr w:type="spellEnd"/>
      <w:r w:rsidRPr="00914046">
        <w:rPr>
          <w:rFonts w:cs="Times New Roman"/>
          <w:lang w:val="en-GB"/>
        </w:rPr>
        <w:t xml:space="preserve">. This suggests, on the one hand, that the test for a common law right may be met even where the </w:t>
      </w:r>
      <w:r w:rsidRPr="00914046">
        <w:rPr>
          <w:rFonts w:cs="Times New Roman"/>
          <w:i/>
          <w:lang w:val="en-GB"/>
        </w:rPr>
        <w:t xml:space="preserve">Van der </w:t>
      </w:r>
      <w:proofErr w:type="spellStart"/>
      <w:r w:rsidRPr="00914046">
        <w:rPr>
          <w:rFonts w:cs="Times New Roman"/>
          <w:i/>
          <w:lang w:val="en-GB"/>
        </w:rPr>
        <w:t>Peet</w:t>
      </w:r>
      <w:proofErr w:type="spellEnd"/>
      <w:r w:rsidRPr="00914046">
        <w:rPr>
          <w:rFonts w:cs="Times New Roman"/>
          <w:lang w:val="en-GB"/>
        </w:rPr>
        <w:t xml:space="preserve"> test is not</w:t>
      </w:r>
      <w:r w:rsidRPr="00914046">
        <w:rPr>
          <w:rFonts w:cs="Times New Roman"/>
          <w:lang w:val="en-US"/>
        </w:rPr>
        <w:t>.</w:t>
      </w:r>
    </w:p>
    <w:p w:rsidR="00437F31" w:rsidRPr="00914046" w:rsidRDefault="00C437E7" w:rsidP="00437F31">
      <w:pPr>
        <w:pStyle w:val="ParaNoNdepar-AltN"/>
        <w:rPr>
          <w:rFonts w:cs="Times New Roman"/>
        </w:rPr>
      </w:pPr>
      <w:r w:rsidRPr="00914046">
        <w:rPr>
          <w:rFonts w:cs="Times New Roman"/>
          <w:lang w:val="en-GB"/>
        </w:rPr>
        <w:t xml:space="preserve">On the other hand, this Court has held that the existence of a common law Aboriginal right is sufficient to ground </w:t>
      </w:r>
      <w:proofErr w:type="gramStart"/>
      <w:r w:rsidRPr="00914046">
        <w:rPr>
          <w:rFonts w:cs="Times New Roman"/>
          <w:lang w:val="en-GB"/>
        </w:rPr>
        <w:t>a</w:t>
      </w:r>
      <w:proofErr w:type="gramEnd"/>
      <w:r w:rsidRPr="00914046">
        <w:rPr>
          <w:rFonts w:cs="Times New Roman"/>
          <w:lang w:val="en-GB"/>
        </w:rPr>
        <w:t xml:space="preserve"> s. 35(1) right (</w:t>
      </w:r>
      <w:proofErr w:type="spellStart"/>
      <w:r w:rsidRPr="00914046">
        <w:rPr>
          <w:rFonts w:cs="Times New Roman"/>
          <w:i/>
          <w:lang w:val="en-GB"/>
        </w:rPr>
        <w:t>Delgamuukw</w:t>
      </w:r>
      <w:proofErr w:type="spellEnd"/>
      <w:r w:rsidRPr="00914046">
        <w:rPr>
          <w:rFonts w:cs="Times New Roman"/>
          <w:lang w:val="en-GB"/>
        </w:rPr>
        <w:t>, at para. 136). Recognizing common law Aboriginal rights alongside s. 35(1) rights would require the Court to resolve this apparent t</w:t>
      </w:r>
      <w:r w:rsidR="00437F31">
        <w:rPr>
          <w:rFonts w:cs="Times New Roman"/>
          <w:lang w:val="en-GB"/>
        </w:rPr>
        <w:t>ension. As Richard Ogden writes,</w:t>
      </w:r>
      <w:r w:rsidR="00437F31" w:rsidRPr="00437F31">
        <w:rPr>
          <w:rFonts w:cs="Times New Roman"/>
        </w:rPr>
        <w:t xml:space="preserve"> </w:t>
      </w:r>
    </w:p>
    <w:p w:rsidR="00437F31" w:rsidRPr="00437F31" w:rsidRDefault="00437F31" w:rsidP="00437F31">
      <w:pPr>
        <w:pStyle w:val="Citation-AltC"/>
        <w:ind w:left="1168"/>
      </w:pPr>
      <w:proofErr w:type="gramStart"/>
      <w:r w:rsidRPr="00914046">
        <w:lastRenderedPageBreak/>
        <w:t>while</w:t>
      </w:r>
      <w:proofErr w:type="gramEnd"/>
      <w:r w:rsidRPr="00914046">
        <w:t xml:space="preserve"> a legal historian might one day accept that the effect of the </w:t>
      </w:r>
      <w:r w:rsidRPr="00914046">
        <w:rPr>
          <w:i/>
        </w:rPr>
        <w:t xml:space="preserve">Van der </w:t>
      </w:r>
      <w:proofErr w:type="spellStart"/>
      <w:r w:rsidRPr="00914046">
        <w:rPr>
          <w:i/>
        </w:rPr>
        <w:t>Peet</w:t>
      </w:r>
      <w:proofErr w:type="spellEnd"/>
      <w:r w:rsidRPr="00914046">
        <w:t xml:space="preserve"> trilogy was to create a new test, and a new doctrine, the Supreme Court has stated that the doctrine which gives rise to section 35 rights is the same doctrine that gave rise to </w:t>
      </w:r>
      <w:r>
        <w:t>common law Aboriginal rights.</w:t>
      </w:r>
    </w:p>
    <w:p w:rsidR="00437F31" w:rsidRPr="00914046" w:rsidRDefault="00437F31" w:rsidP="00437F31">
      <w:pPr>
        <w:pStyle w:val="Citation-AltC"/>
        <w:rPr>
          <w:lang w:val="en-US"/>
        </w:rPr>
      </w:pPr>
    </w:p>
    <w:p w:rsidR="00437F31" w:rsidRPr="00D7153D" w:rsidRDefault="00437F31" w:rsidP="00437F31">
      <w:pPr>
        <w:pStyle w:val="Citation-AltC"/>
        <w:ind w:left="0"/>
        <w:rPr>
          <w:lang w:val="fr-CA"/>
        </w:rPr>
      </w:pPr>
      <w:r w:rsidRPr="00914046">
        <w:t>(‘“</w:t>
      </w:r>
      <w:proofErr w:type="spellStart"/>
      <w:r w:rsidRPr="00914046">
        <w:rPr>
          <w:lang w:val="x-none"/>
        </w:rPr>
        <w:t>Existing</w:t>
      </w:r>
      <w:proofErr w:type="spellEnd"/>
      <w:r w:rsidRPr="00914046">
        <w:t>’</w:t>
      </w:r>
      <w:r w:rsidRPr="00914046">
        <w:rPr>
          <w:lang w:val="x-none"/>
        </w:rPr>
        <w:t xml:space="preserve"> </w:t>
      </w:r>
      <w:proofErr w:type="spellStart"/>
      <w:r w:rsidRPr="00914046">
        <w:rPr>
          <w:lang w:val="x-none"/>
        </w:rPr>
        <w:t>Aboriginal</w:t>
      </w:r>
      <w:proofErr w:type="spellEnd"/>
      <w:r w:rsidRPr="00914046">
        <w:rPr>
          <w:lang w:val="x-none"/>
        </w:rPr>
        <w:t xml:space="preserve"> </w:t>
      </w:r>
      <w:proofErr w:type="spellStart"/>
      <w:r w:rsidRPr="00914046">
        <w:rPr>
          <w:lang w:val="x-none"/>
        </w:rPr>
        <w:t>Rights</w:t>
      </w:r>
      <w:proofErr w:type="spellEnd"/>
      <w:r w:rsidRPr="00914046">
        <w:rPr>
          <w:lang w:val="x-none"/>
        </w:rPr>
        <w:t xml:space="preserve"> in Section 35 of the </w:t>
      </w:r>
      <w:r w:rsidRPr="00914046">
        <w:rPr>
          <w:i/>
          <w:lang w:val="x-none"/>
        </w:rPr>
        <w:t xml:space="preserve">Constitution </w:t>
      </w:r>
      <w:proofErr w:type="spellStart"/>
      <w:r w:rsidRPr="00914046">
        <w:rPr>
          <w:i/>
          <w:lang w:val="x-none"/>
        </w:rPr>
        <w:t>Act</w:t>
      </w:r>
      <w:proofErr w:type="spellEnd"/>
      <w:r w:rsidRPr="00914046">
        <w:rPr>
          <w:i/>
          <w:lang w:val="x-none"/>
        </w:rPr>
        <w:t>,</w:t>
      </w:r>
      <w:r w:rsidRPr="00914046">
        <w:rPr>
          <w:i/>
        </w:rPr>
        <w:t xml:space="preserve"> </w:t>
      </w:r>
      <w:r w:rsidRPr="00914046">
        <w:rPr>
          <w:i/>
          <w:lang w:val="x-none"/>
        </w:rPr>
        <w:t>1982</w:t>
      </w:r>
      <w:r w:rsidRPr="00914046">
        <w:rPr>
          <w:lang w:val="en-US"/>
        </w:rPr>
        <w:t>”</w:t>
      </w:r>
      <w:r w:rsidRPr="00914046">
        <w:rPr>
          <w:lang w:val="x-none"/>
        </w:rPr>
        <w:t xml:space="preserve"> (2009)</w:t>
      </w:r>
      <w:r w:rsidRPr="00914046">
        <w:t>,</w:t>
      </w:r>
      <w:r w:rsidRPr="00914046">
        <w:rPr>
          <w:lang w:val="x-none"/>
        </w:rPr>
        <w:t xml:space="preserve"> 88 </w:t>
      </w:r>
      <w:r w:rsidRPr="00914046">
        <w:rPr>
          <w:i/>
          <w:lang w:val="x-none"/>
        </w:rPr>
        <w:t>Can</w:t>
      </w:r>
      <w:r w:rsidRPr="00914046">
        <w:rPr>
          <w:i/>
        </w:rPr>
        <w:t>.</w:t>
      </w:r>
      <w:r w:rsidRPr="00914046">
        <w:rPr>
          <w:i/>
          <w:lang w:val="x-none"/>
        </w:rPr>
        <w:t xml:space="preserve"> B</w:t>
      </w:r>
      <w:r w:rsidRPr="00437F31">
        <w:rPr>
          <w:i/>
          <w:lang w:val="fr-CA"/>
        </w:rPr>
        <w:t>ar</w:t>
      </w:r>
      <w:r w:rsidRPr="00914046">
        <w:rPr>
          <w:i/>
          <w:lang w:val="x-none"/>
        </w:rPr>
        <w:t xml:space="preserve"> </w:t>
      </w:r>
      <w:proofErr w:type="spellStart"/>
      <w:r w:rsidRPr="00914046">
        <w:rPr>
          <w:i/>
          <w:lang w:val="x-none"/>
        </w:rPr>
        <w:t>Rev</w:t>
      </w:r>
      <w:proofErr w:type="spellEnd"/>
      <w:r w:rsidRPr="00437F31">
        <w:rPr>
          <w:i/>
          <w:lang w:val="fr-CA"/>
        </w:rPr>
        <w:t>.</w:t>
      </w:r>
      <w:r w:rsidRPr="00914046">
        <w:rPr>
          <w:lang w:val="x-none"/>
        </w:rPr>
        <w:t xml:space="preserve"> 51</w:t>
      </w:r>
      <w:r w:rsidRPr="00437F31">
        <w:rPr>
          <w:lang w:val="fr-CA"/>
        </w:rPr>
        <w:t xml:space="preserve">, at p. 84; </w:t>
      </w:r>
      <w:proofErr w:type="spellStart"/>
      <w:r w:rsidRPr="00437F31">
        <w:rPr>
          <w:lang w:val="fr-CA"/>
        </w:rPr>
        <w:t>see</w:t>
      </w:r>
      <w:proofErr w:type="spellEnd"/>
      <w:r w:rsidRPr="00437F31">
        <w:rPr>
          <w:lang w:val="fr-CA"/>
        </w:rPr>
        <w:t xml:space="preserve"> </w:t>
      </w:r>
      <w:proofErr w:type="spellStart"/>
      <w:r w:rsidRPr="00437F31">
        <w:rPr>
          <w:lang w:val="fr-CA"/>
        </w:rPr>
        <w:t>also</w:t>
      </w:r>
      <w:proofErr w:type="spellEnd"/>
      <w:r w:rsidRPr="00437F31">
        <w:rPr>
          <w:lang w:val="fr-CA"/>
        </w:rPr>
        <w:t xml:space="preserve"> G. Otis, “Le titre aborigène: émergence d’une figure nouvelle et durable du foncier autochtone?” </w:t>
      </w:r>
      <w:r w:rsidRPr="00D7153D">
        <w:rPr>
          <w:lang w:val="fr-CA"/>
        </w:rPr>
        <w:t xml:space="preserve">(2005), 46 </w:t>
      </w:r>
      <w:r w:rsidRPr="00D7153D">
        <w:rPr>
          <w:i/>
          <w:lang w:val="fr-CA"/>
        </w:rPr>
        <w:t>C. de D.</w:t>
      </w:r>
      <w:r w:rsidRPr="00D7153D">
        <w:rPr>
          <w:lang w:val="fr-CA"/>
        </w:rPr>
        <w:t xml:space="preserve"> 795, at p. 800.)</w:t>
      </w:r>
    </w:p>
    <w:p w:rsidR="00C437E7" w:rsidRPr="00914046" w:rsidRDefault="00C437E7" w:rsidP="00C437E7">
      <w:pPr>
        <w:pStyle w:val="ParaNoNdepar-AltN"/>
        <w:rPr>
          <w:rFonts w:cs="Times New Roman"/>
        </w:rPr>
      </w:pPr>
      <w:r w:rsidRPr="00914046">
        <w:rPr>
          <w:rFonts w:cs="Times New Roman"/>
          <w:lang w:val="en-GB"/>
        </w:rPr>
        <w:t xml:space="preserve">However, in light of my conclusion that Mr. </w:t>
      </w:r>
      <w:proofErr w:type="spellStart"/>
      <w:r w:rsidRPr="00914046">
        <w:rPr>
          <w:rFonts w:cs="Times New Roman"/>
          <w:lang w:val="en-GB"/>
        </w:rPr>
        <w:t>Desautel</w:t>
      </w:r>
      <w:proofErr w:type="spellEnd"/>
      <w:r w:rsidRPr="00914046">
        <w:rPr>
          <w:rFonts w:cs="Times New Roman"/>
          <w:lang w:val="en-GB"/>
        </w:rPr>
        <w:t xml:space="preserve"> has </w:t>
      </w:r>
      <w:proofErr w:type="gramStart"/>
      <w:r w:rsidRPr="00914046">
        <w:rPr>
          <w:rFonts w:cs="Times New Roman"/>
          <w:lang w:val="en-GB"/>
        </w:rPr>
        <w:t>a</w:t>
      </w:r>
      <w:proofErr w:type="gramEnd"/>
      <w:r w:rsidRPr="00914046">
        <w:rPr>
          <w:rFonts w:cs="Times New Roman"/>
          <w:lang w:val="en-GB"/>
        </w:rPr>
        <w:t xml:space="preserve"> s. 35(1) Aboriginal right to hunt in the ancestral territory of the </w:t>
      </w:r>
      <w:proofErr w:type="spellStart"/>
      <w:r w:rsidRPr="00914046">
        <w:rPr>
          <w:rFonts w:cs="Times New Roman"/>
          <w:lang w:val="en-GB"/>
        </w:rPr>
        <w:t>Sinixt</w:t>
      </w:r>
      <w:proofErr w:type="spellEnd"/>
      <w:r w:rsidRPr="00914046">
        <w:rPr>
          <w:rFonts w:cs="Times New Roman"/>
          <w:lang w:val="en-GB"/>
        </w:rPr>
        <w:t xml:space="preserve"> in British Columbia,</w:t>
      </w:r>
      <w:r w:rsidRPr="00914046">
        <w:rPr>
          <w:rFonts w:eastAsia="Times New Roman" w:cs="Times New Roman"/>
          <w:szCs w:val="24"/>
          <w:lang w:val="en-GB" w:eastAsia="en-CA"/>
        </w:rPr>
        <w:t xml:space="preserve"> </w:t>
      </w:r>
      <w:r w:rsidRPr="00914046">
        <w:rPr>
          <w:rFonts w:cs="Times New Roman"/>
          <w:lang w:val="en-GB"/>
        </w:rPr>
        <w:t xml:space="preserve">it is not necessary to address this matter here. </w:t>
      </w:r>
    </w:p>
    <w:p w:rsidR="00C437E7" w:rsidRPr="00914046" w:rsidRDefault="00C437E7" w:rsidP="00C437E7">
      <w:pPr>
        <w:pStyle w:val="Title2LevelTitre2Niveau"/>
        <w:rPr>
          <w:rFonts w:cs="Times New Roman"/>
        </w:rPr>
      </w:pPr>
      <w:r w:rsidRPr="00914046">
        <w:rPr>
          <w:rFonts w:cs="Times New Roman"/>
        </w:rPr>
        <w:t>The Consequences of This Decision</w:t>
      </w:r>
    </w:p>
    <w:p w:rsidR="00C437E7" w:rsidRPr="00914046" w:rsidRDefault="00C437E7" w:rsidP="00C437E7">
      <w:pPr>
        <w:pStyle w:val="ParaNoNdepar-AltN"/>
        <w:rPr>
          <w:rFonts w:cs="Times New Roman"/>
        </w:rPr>
      </w:pPr>
      <w:r w:rsidRPr="00914046">
        <w:rPr>
          <w:rFonts w:cs="Times New Roman"/>
        </w:rPr>
        <w:t xml:space="preserve">The Crown and several attorneys general raised concerns about the possible consequences of groups like the Lakes Tribe being held to be Aboriginal peoples of Canada. In this section, I explain why these concerns do not justify any change to the law as set out in these reasons. While Aboriginal communities outside Canada can assert and hold s. 35(1) rights, it does not follow that their rights are the same as those of communities within Canada. While the test for an Aboriginal right is the same, the different circumstances of communities outside Canada may lead to different results. </w:t>
      </w:r>
    </w:p>
    <w:p w:rsidR="00C437E7" w:rsidRPr="00914046" w:rsidRDefault="00C437E7" w:rsidP="00C437E7">
      <w:pPr>
        <w:pStyle w:val="Title3LevelTitre3Niveau"/>
        <w:rPr>
          <w:rFonts w:cs="Times New Roman"/>
        </w:rPr>
      </w:pPr>
      <w:r w:rsidRPr="00914046">
        <w:rPr>
          <w:rFonts w:cs="Times New Roman"/>
        </w:rPr>
        <w:t>The Duty to Consult</w:t>
      </w:r>
    </w:p>
    <w:p w:rsidR="00C437E7" w:rsidRPr="00914046" w:rsidRDefault="00C437E7" w:rsidP="00C437E7">
      <w:pPr>
        <w:pStyle w:val="ParaNoNdepar-AltN"/>
        <w:rPr>
          <w:rFonts w:cs="Times New Roman"/>
        </w:rPr>
      </w:pPr>
      <w:r w:rsidRPr="00914046">
        <w:rPr>
          <w:rFonts w:cs="Times New Roman"/>
        </w:rPr>
        <w:lastRenderedPageBreak/>
        <w:t>The duty to consult “arises when the Crown has knowledge, real or constructive, of the potential existence of the Aboriginal right or title and contemplates conduct that might adversely affect it” (</w:t>
      </w:r>
      <w:proofErr w:type="spellStart"/>
      <w:r w:rsidRPr="00914046">
        <w:rPr>
          <w:rFonts w:cs="Times New Roman"/>
          <w:i/>
        </w:rPr>
        <w:t>Haida</w:t>
      </w:r>
      <w:proofErr w:type="spellEnd"/>
      <w:r w:rsidRPr="00914046">
        <w:rPr>
          <w:rFonts w:cs="Times New Roman"/>
        </w:rPr>
        <w:t xml:space="preserve">, at para. 35). In other words, three conditions must exist for the duty to arise: actual or constructive knowledge, contemplated Crown conduct and a potential adverse effect on an Aboriginal or treaty right. The requirement of actual or constructive knowledge was clarified in </w:t>
      </w:r>
      <w:r w:rsidRPr="00914046">
        <w:rPr>
          <w:rFonts w:cs="Times New Roman"/>
          <w:i/>
        </w:rPr>
        <w:t xml:space="preserve">Rio Tinto Alcan Inc. v. Carrier </w:t>
      </w:r>
      <w:proofErr w:type="spellStart"/>
      <w:r w:rsidRPr="00914046">
        <w:rPr>
          <w:rFonts w:cs="Times New Roman"/>
          <w:i/>
        </w:rPr>
        <w:t>Sekani</w:t>
      </w:r>
      <w:proofErr w:type="spellEnd"/>
      <w:r w:rsidRPr="00914046">
        <w:rPr>
          <w:rFonts w:cs="Times New Roman"/>
          <w:i/>
        </w:rPr>
        <w:t xml:space="preserve"> Tribal Council</w:t>
      </w:r>
      <w:r w:rsidRPr="00914046">
        <w:rPr>
          <w:rFonts w:cs="Times New Roman"/>
        </w:rPr>
        <w:t xml:space="preserve">, 2010 SCC 43, [2010] 2 </w:t>
      </w:r>
      <w:proofErr w:type="spellStart"/>
      <w:r w:rsidRPr="00914046">
        <w:rPr>
          <w:rFonts w:cs="Times New Roman"/>
        </w:rPr>
        <w:t>S.C.R</w:t>
      </w:r>
      <w:proofErr w:type="spellEnd"/>
      <w:r w:rsidRPr="00914046">
        <w:rPr>
          <w:rFonts w:cs="Times New Roman"/>
        </w:rPr>
        <w:t>. 650, at para. 40:</w:t>
      </w:r>
    </w:p>
    <w:p w:rsidR="00C437E7" w:rsidRPr="00914046" w:rsidRDefault="00C437E7" w:rsidP="00C437E7">
      <w:pPr>
        <w:pStyle w:val="Citation-AltC"/>
      </w:pPr>
      <w:r w:rsidRPr="00914046">
        <w:t>Actual knowledge arises when a claim has been filed in court or advanced in the context of negotiations, or when a treaty right may be impacted. Constructive knowledge arises when lands are known or reasonably suspected to have been traditionally occupied by an Aboriginal community or an impact on rights may reasonably be anticipated. [Citations omitted.]</w:t>
      </w:r>
    </w:p>
    <w:p w:rsidR="00C437E7" w:rsidRPr="00914046" w:rsidRDefault="00C437E7" w:rsidP="00C437E7">
      <w:pPr>
        <w:pStyle w:val="ParaNoNdepar-AltN"/>
        <w:rPr>
          <w:rFonts w:cs="Times New Roman"/>
        </w:rPr>
      </w:pPr>
      <w:r w:rsidRPr="00914046">
        <w:rPr>
          <w:rFonts w:cs="Times New Roman"/>
        </w:rPr>
        <w:t xml:space="preserve">As I will explain, given the requirement of actual or constructive knowledge, the duty to consult may well operate differently as regards those outside Canada. </w:t>
      </w:r>
    </w:p>
    <w:p w:rsidR="00C437E7" w:rsidRPr="00914046" w:rsidRDefault="00C437E7" w:rsidP="00C437E7">
      <w:pPr>
        <w:pStyle w:val="ParaNoNdepar-AltN"/>
        <w:rPr>
          <w:rFonts w:cs="Times New Roman"/>
        </w:rPr>
      </w:pPr>
      <w:r w:rsidRPr="00914046">
        <w:rPr>
          <w:rFonts w:cs="Times New Roman"/>
        </w:rPr>
        <w:t xml:space="preserve">Given the long history of Crown-Aboriginal relations in Canada, the Crown will often be aware of the existence of Aboriginal groups within Canada and may have some sense of their claims. The situation is different when it comes to Aboriginal groups outside of Canada. In the absence of some historical interaction with them, the Crown may not know, or have any reason to know, that they exist, let alone that they have potential rights within Canadian territory. </w:t>
      </w:r>
    </w:p>
    <w:p w:rsidR="00C437E7" w:rsidRPr="00914046" w:rsidRDefault="00C437E7" w:rsidP="00C437E7">
      <w:pPr>
        <w:pStyle w:val="ParaNoNdepar-AltN"/>
        <w:rPr>
          <w:rFonts w:cs="Times New Roman"/>
        </w:rPr>
      </w:pPr>
      <w:r w:rsidRPr="00914046">
        <w:rPr>
          <w:rFonts w:cs="Times New Roman"/>
        </w:rPr>
        <w:lastRenderedPageBreak/>
        <w:t>There is no freestanding duty on the Crown to seek out Aboriginal groups, including those outside Canada, in the absence of actual or constructive knowledge of a potential impact on their rights. In the absence of such knowledge, the Crown is free to act. It is for the groups involved to put the Crown on notice of their claims (</w:t>
      </w:r>
      <w:r w:rsidRPr="00914046">
        <w:rPr>
          <w:rFonts w:cs="Times New Roman"/>
          <w:i/>
        </w:rPr>
        <w:t>Native Council of Nova Scotia v. Canada (Attorney General)</w:t>
      </w:r>
      <w:r w:rsidRPr="00914046">
        <w:rPr>
          <w:rFonts w:cs="Times New Roman"/>
        </w:rPr>
        <w:t xml:space="preserve">, 2008 </w:t>
      </w:r>
      <w:proofErr w:type="spellStart"/>
      <w:r w:rsidRPr="00914046">
        <w:rPr>
          <w:rFonts w:cs="Times New Roman"/>
        </w:rPr>
        <w:t>FCA</w:t>
      </w:r>
      <w:proofErr w:type="spellEnd"/>
      <w:r w:rsidRPr="00914046">
        <w:rPr>
          <w:rFonts w:cs="Times New Roman"/>
        </w:rPr>
        <w:t xml:space="preserve"> 113, [2008] 3 </w:t>
      </w:r>
      <w:proofErr w:type="spellStart"/>
      <w:r w:rsidRPr="00914046">
        <w:rPr>
          <w:rFonts w:cs="Times New Roman"/>
        </w:rPr>
        <w:t>C.N.L.R</w:t>
      </w:r>
      <w:proofErr w:type="spellEnd"/>
      <w:r w:rsidRPr="00914046">
        <w:rPr>
          <w:rFonts w:cs="Times New Roman"/>
        </w:rPr>
        <w:t xml:space="preserve">. 286; </w:t>
      </w:r>
      <w:proofErr w:type="spellStart"/>
      <w:r w:rsidRPr="00914046">
        <w:rPr>
          <w:rFonts w:cs="Times New Roman"/>
          <w:i/>
        </w:rPr>
        <w:t>Mississaugas</w:t>
      </w:r>
      <w:proofErr w:type="spellEnd"/>
      <w:r w:rsidRPr="00914046">
        <w:rPr>
          <w:rFonts w:cs="Times New Roman"/>
          <w:i/>
        </w:rPr>
        <w:t xml:space="preserve"> of </w:t>
      </w:r>
      <w:proofErr w:type="spellStart"/>
      <w:r w:rsidRPr="00914046">
        <w:rPr>
          <w:rFonts w:cs="Times New Roman"/>
          <w:i/>
        </w:rPr>
        <w:t>Scu</w:t>
      </w:r>
      <w:r w:rsidR="00EF364E">
        <w:rPr>
          <w:rFonts w:cs="Times New Roman"/>
          <w:i/>
        </w:rPr>
        <w:t>g</w:t>
      </w:r>
      <w:r w:rsidRPr="00914046">
        <w:rPr>
          <w:rFonts w:cs="Times New Roman"/>
          <w:i/>
        </w:rPr>
        <w:t>og</w:t>
      </w:r>
      <w:proofErr w:type="spellEnd"/>
      <w:r w:rsidRPr="00914046">
        <w:rPr>
          <w:rFonts w:cs="Times New Roman"/>
          <w:i/>
        </w:rPr>
        <w:t xml:space="preserve"> Island First Nation v.</w:t>
      </w:r>
      <w:r w:rsidRPr="00914046">
        <w:rPr>
          <w:rFonts w:cs="Times New Roman"/>
        </w:rPr>
        <w:t xml:space="preserve"> </w:t>
      </w:r>
      <w:r w:rsidRPr="00914046">
        <w:rPr>
          <w:rFonts w:cs="Times New Roman"/>
          <w:i/>
        </w:rPr>
        <w:t>National Automobile, Aerospace, Transportation and General Workers Union of Canada (CAW-Canada), Local 444</w:t>
      </w:r>
      <w:r w:rsidRPr="00914046">
        <w:rPr>
          <w:rFonts w:cs="Times New Roman"/>
        </w:rPr>
        <w:t xml:space="preserve">, 2007 </w:t>
      </w:r>
      <w:proofErr w:type="spellStart"/>
      <w:r w:rsidRPr="00914046">
        <w:rPr>
          <w:rFonts w:cs="Times New Roman"/>
        </w:rPr>
        <w:t>ONCA</w:t>
      </w:r>
      <w:proofErr w:type="spellEnd"/>
      <w:r w:rsidRPr="00914046">
        <w:rPr>
          <w:rFonts w:cs="Times New Roman"/>
        </w:rPr>
        <w:t xml:space="preserve"> 814, 88 </w:t>
      </w:r>
      <w:proofErr w:type="spellStart"/>
      <w:r w:rsidRPr="00914046">
        <w:rPr>
          <w:rFonts w:cs="Times New Roman"/>
        </w:rPr>
        <w:t>O.R</w:t>
      </w:r>
      <w:proofErr w:type="spellEnd"/>
      <w:r w:rsidRPr="00914046">
        <w:rPr>
          <w:rFonts w:cs="Times New Roman"/>
        </w:rPr>
        <w:t>. (</w:t>
      </w:r>
      <w:proofErr w:type="spellStart"/>
      <w:r w:rsidRPr="00914046">
        <w:rPr>
          <w:rFonts w:cs="Times New Roman"/>
        </w:rPr>
        <w:t>3d</w:t>
      </w:r>
      <w:proofErr w:type="spellEnd"/>
      <w:r w:rsidRPr="00914046">
        <w:rPr>
          <w:rFonts w:cs="Times New Roman"/>
        </w:rPr>
        <w:t xml:space="preserve">) 583, at para. 59). </w:t>
      </w:r>
    </w:p>
    <w:p w:rsidR="00C437E7" w:rsidRPr="00914046" w:rsidRDefault="00C437E7" w:rsidP="00C437E7">
      <w:pPr>
        <w:pStyle w:val="ParaNoNdepar-AltN"/>
        <w:rPr>
          <w:rFonts w:cs="Times New Roman"/>
        </w:rPr>
      </w:pPr>
      <w:r w:rsidRPr="00914046">
        <w:rPr>
          <w:rFonts w:cs="Times New Roman"/>
        </w:rPr>
        <w:t xml:space="preserve">Once the Crown is put on notice, however, it has to determine whether a duty to consult arises and, if so, what the scope of the duty is. </w:t>
      </w:r>
      <w:r w:rsidRPr="00914046">
        <w:rPr>
          <w:rFonts w:cs="Times New Roman"/>
          <w:lang w:val="en"/>
        </w:rPr>
        <w:t>As I mentioned earlier, consultation is part of a “process of fair dealing and reconciliation” which “</w:t>
      </w:r>
      <w:proofErr w:type="gramStart"/>
      <w:r w:rsidRPr="00914046">
        <w:rPr>
          <w:rFonts w:cs="Times New Roman"/>
          <w:lang w:val="en"/>
        </w:rPr>
        <w:t>arises .</w:t>
      </w:r>
      <w:proofErr w:type="gramEnd"/>
      <w:r w:rsidRPr="00914046">
        <w:rPr>
          <w:rFonts w:cs="Times New Roman"/>
          <w:lang w:val="en"/>
        </w:rPr>
        <w:t> . . from the Crown’s assertion of sovereignty” (</w:t>
      </w:r>
      <w:proofErr w:type="spellStart"/>
      <w:r w:rsidRPr="00914046">
        <w:rPr>
          <w:rFonts w:cs="Times New Roman"/>
          <w:i/>
          <w:lang w:val="en"/>
        </w:rPr>
        <w:t>Haida</w:t>
      </w:r>
      <w:proofErr w:type="spellEnd"/>
      <w:r w:rsidRPr="00914046">
        <w:rPr>
          <w:rFonts w:cs="Times New Roman"/>
          <w:lang w:val="en"/>
        </w:rPr>
        <w:t xml:space="preserve">, at para. 32). Because groups outside Canada are not implicated in this process to the same degree, the scope of the Crown’s duty to consult with them, and the manner in which it is given effect, may differ. </w:t>
      </w:r>
      <w:r w:rsidRPr="00914046">
        <w:rPr>
          <w:rFonts w:cs="Times New Roman"/>
        </w:rPr>
        <w:t xml:space="preserve">Integrating groups outside Canada into consultations by the Crown with groups inside Canada may involve discussions within Aboriginal communities and with the Crown. While the consultation process may be more challenging when it involves groups outside Canada, as this Court said in </w:t>
      </w:r>
      <w:r w:rsidRPr="00914046">
        <w:rPr>
          <w:rFonts w:cs="Times New Roman"/>
          <w:i/>
        </w:rPr>
        <w:t>Powley</w:t>
      </w:r>
      <w:r w:rsidRPr="00914046">
        <w:rPr>
          <w:rFonts w:cs="Times New Roman"/>
        </w:rPr>
        <w:t>, at para. 49, “</w:t>
      </w:r>
      <w:r w:rsidRPr="00914046">
        <w:rPr>
          <w:rFonts w:cs="Times New Roman"/>
          <w:lang w:val="en"/>
        </w:rPr>
        <w:t>the difficulty of identifying members of the [Aboriginal] community must not be exaggerated as a basis for defeating their rights under the Constitution of Canada”.</w:t>
      </w:r>
    </w:p>
    <w:p w:rsidR="00C437E7" w:rsidRPr="00914046" w:rsidRDefault="00C437E7" w:rsidP="00C437E7">
      <w:pPr>
        <w:pStyle w:val="Title3LevelTitre3Niveau"/>
        <w:rPr>
          <w:rFonts w:cs="Times New Roman"/>
        </w:rPr>
      </w:pPr>
      <w:r w:rsidRPr="00914046">
        <w:rPr>
          <w:rFonts w:cs="Times New Roman"/>
        </w:rPr>
        <w:t>Justifying Infringements of Aboriginal Rights</w:t>
      </w:r>
    </w:p>
    <w:p w:rsidR="00C437E7" w:rsidRPr="00914046" w:rsidRDefault="00C437E7" w:rsidP="00C437E7">
      <w:pPr>
        <w:pStyle w:val="ParaNoNdepar-AltN"/>
        <w:rPr>
          <w:rFonts w:cs="Times New Roman"/>
        </w:rPr>
      </w:pPr>
      <w:r w:rsidRPr="00914046">
        <w:rPr>
          <w:rFonts w:cs="Times New Roman"/>
        </w:rPr>
        <w:lastRenderedPageBreak/>
        <w:t xml:space="preserve">The fact that an Aboriginal group is outside Canada is relevant to the </w:t>
      </w:r>
      <w:r w:rsidRPr="00914046">
        <w:rPr>
          <w:rFonts w:cs="Times New Roman"/>
          <w:i/>
        </w:rPr>
        <w:t xml:space="preserve">Sparrow </w:t>
      </w:r>
      <w:r w:rsidRPr="00914046">
        <w:rPr>
          <w:rFonts w:cs="Times New Roman"/>
        </w:rPr>
        <w:t>test for justifying an infringement of an Aboriginal or treaty right.</w:t>
      </w:r>
    </w:p>
    <w:p w:rsidR="00C437E7" w:rsidRPr="00914046" w:rsidRDefault="00C437E7" w:rsidP="00C437E7">
      <w:pPr>
        <w:pStyle w:val="ParaNoNdepar-AltN"/>
        <w:rPr>
          <w:rFonts w:cs="Times New Roman"/>
        </w:rPr>
      </w:pPr>
      <w:r w:rsidRPr="00914046">
        <w:rPr>
          <w:rFonts w:cs="Times New Roman"/>
        </w:rPr>
        <w:t xml:space="preserve">This Court has emphasized the role of context in determining whether an infringement of an Aboriginal right is justified. In </w:t>
      </w:r>
      <w:r w:rsidRPr="00914046">
        <w:rPr>
          <w:rFonts w:cs="Times New Roman"/>
          <w:i/>
        </w:rPr>
        <w:t>Sparrow</w:t>
      </w:r>
      <w:r w:rsidRPr="00914046">
        <w:rPr>
          <w:rFonts w:cs="Times New Roman"/>
        </w:rPr>
        <w:t>, at p. 1111, the Court noted “</w:t>
      </w:r>
      <w:r w:rsidRPr="00914046">
        <w:rPr>
          <w:rFonts w:cs="Times New Roman"/>
          <w:lang w:val="en-GB"/>
        </w:rPr>
        <w:t>the importance of context and a case</w:t>
      </w:r>
      <w:r w:rsidRPr="00914046">
        <w:rPr>
          <w:rFonts w:cs="Times New Roman"/>
          <w:lang w:val="en-GB"/>
        </w:rPr>
        <w:noBreakHyphen/>
        <w:t>by</w:t>
      </w:r>
      <w:r w:rsidRPr="00914046">
        <w:rPr>
          <w:rFonts w:cs="Times New Roman"/>
          <w:lang w:val="en-GB"/>
        </w:rPr>
        <w:noBreakHyphen/>
        <w:t xml:space="preserve">case approach to s. 35(1)”, writing that “in light of the complexities of aboriginal history, society and rights, the contours of a justificatory standard must be defined in the specific factual context of each case.” This point was applied in </w:t>
      </w:r>
      <w:r w:rsidRPr="00914046">
        <w:rPr>
          <w:rFonts w:cs="Times New Roman"/>
          <w:i/>
          <w:lang w:val="en-GB"/>
        </w:rPr>
        <w:t>Gladstone</w:t>
      </w:r>
      <w:r w:rsidRPr="00914046">
        <w:rPr>
          <w:rFonts w:cs="Times New Roman"/>
          <w:lang w:val="en-GB"/>
        </w:rPr>
        <w:t xml:space="preserve">, at para. 56, where Lamer </w:t>
      </w:r>
      <w:proofErr w:type="spellStart"/>
      <w:r w:rsidRPr="00914046">
        <w:rPr>
          <w:rFonts w:cs="Times New Roman"/>
          <w:lang w:val="en-GB"/>
        </w:rPr>
        <w:t>C.J</w:t>
      </w:r>
      <w:proofErr w:type="spellEnd"/>
      <w:r w:rsidRPr="00914046">
        <w:rPr>
          <w:rFonts w:cs="Times New Roman"/>
          <w:lang w:val="en-GB"/>
        </w:rPr>
        <w:t xml:space="preserve">. wrote that </w:t>
      </w:r>
    </w:p>
    <w:p w:rsidR="00C437E7" w:rsidRPr="00914046" w:rsidRDefault="00C437E7" w:rsidP="00C437E7">
      <w:pPr>
        <w:pStyle w:val="Citation-AltC"/>
      </w:pPr>
      <w:proofErr w:type="gramStart"/>
      <w:r w:rsidRPr="00914046">
        <w:rPr>
          <w:lang w:val="en-GB"/>
        </w:rPr>
        <w:t>the</w:t>
      </w:r>
      <w:proofErr w:type="gramEnd"/>
      <w:r w:rsidRPr="00914046">
        <w:rPr>
          <w:lang w:val="en-GB"/>
        </w:rPr>
        <w:t xml:space="preserve"> framework for analysing aboriginal rights laid out in </w:t>
      </w:r>
      <w:r w:rsidRPr="00914046">
        <w:rPr>
          <w:i/>
          <w:lang w:val="en-GB"/>
        </w:rPr>
        <w:t>Sparrow</w:t>
      </w:r>
      <w:r w:rsidRPr="00914046">
        <w:rPr>
          <w:lang w:val="en-GB"/>
        </w:rPr>
        <w:t xml:space="preserve"> depends to a considerable extent on the legal and factual context of that appeal. In this case, </w:t>
      </w:r>
      <w:proofErr w:type="gramStart"/>
      <w:r w:rsidRPr="00914046">
        <w:rPr>
          <w:lang w:val="en-GB"/>
        </w:rPr>
        <w:t>where .</w:t>
      </w:r>
      <w:proofErr w:type="gramEnd"/>
      <w:r w:rsidRPr="00914046">
        <w:rPr>
          <w:lang w:val="en-GB"/>
        </w:rPr>
        <w:t xml:space="preserve"> . . the context varies significantly from that in </w:t>
      </w:r>
      <w:r w:rsidRPr="00914046">
        <w:rPr>
          <w:i/>
          <w:iCs/>
          <w:lang w:val="en-GB"/>
        </w:rPr>
        <w:t>Sparrow</w:t>
      </w:r>
      <w:r w:rsidRPr="00914046">
        <w:rPr>
          <w:lang w:val="en-GB"/>
        </w:rPr>
        <w:t xml:space="preserve">, it will be necessary to revisit the </w:t>
      </w:r>
      <w:r w:rsidRPr="00914046">
        <w:rPr>
          <w:i/>
          <w:iCs/>
          <w:lang w:val="en-GB"/>
        </w:rPr>
        <w:t>Sparrow</w:t>
      </w:r>
      <w:r w:rsidRPr="00914046">
        <w:rPr>
          <w:lang w:val="en-GB"/>
        </w:rPr>
        <w:t xml:space="preserve"> test and to adapt the justification test it lays out . . . . </w:t>
      </w:r>
    </w:p>
    <w:p w:rsidR="00C437E7" w:rsidRPr="00914046" w:rsidRDefault="00C437E7" w:rsidP="00C437E7">
      <w:pPr>
        <w:pStyle w:val="ParaNoNdepar-AltN"/>
        <w:rPr>
          <w:rFonts w:cs="Times New Roman"/>
        </w:rPr>
      </w:pPr>
      <w:r w:rsidRPr="00914046">
        <w:rPr>
          <w:rFonts w:cs="Times New Roman"/>
        </w:rPr>
        <w:t>The fact that the holder of an Aboriginal right is located outside of Canada is a feature of the context that may be taken into account in the justification analysis. The government’s power to infringe Aboriginal rights reflects the fact that “rights do not exist in a vacuum” (</w:t>
      </w:r>
      <w:r w:rsidRPr="00914046">
        <w:rPr>
          <w:rFonts w:cs="Times New Roman"/>
          <w:i/>
        </w:rPr>
        <w:t xml:space="preserve">R. v. </w:t>
      </w:r>
      <w:proofErr w:type="spellStart"/>
      <w:r w:rsidRPr="00914046">
        <w:rPr>
          <w:rFonts w:cs="Times New Roman"/>
          <w:i/>
        </w:rPr>
        <w:t>Nikal</w:t>
      </w:r>
      <w:proofErr w:type="spellEnd"/>
      <w:r w:rsidRPr="00914046">
        <w:rPr>
          <w:rFonts w:cs="Times New Roman"/>
        </w:rPr>
        <w:t xml:space="preserve">, [1996] 1 </w:t>
      </w:r>
      <w:proofErr w:type="spellStart"/>
      <w:r w:rsidRPr="00914046">
        <w:rPr>
          <w:rFonts w:cs="Times New Roman"/>
        </w:rPr>
        <w:t>S.C.R</w:t>
      </w:r>
      <w:proofErr w:type="spellEnd"/>
      <w:r w:rsidRPr="00914046">
        <w:rPr>
          <w:rFonts w:cs="Times New Roman"/>
        </w:rPr>
        <w:t>. 1013, at para. 92). Rather, Aboriginal peoples are part of “a broader social, political and economic community” whose interests may, where sufficiently important, justify infringement of Aboriginal rights (</w:t>
      </w:r>
      <w:r w:rsidRPr="00914046">
        <w:rPr>
          <w:rFonts w:cs="Times New Roman"/>
          <w:i/>
        </w:rPr>
        <w:t>Gladstone</w:t>
      </w:r>
      <w:r w:rsidRPr="00914046">
        <w:rPr>
          <w:rFonts w:cs="Times New Roman"/>
        </w:rPr>
        <w:t>, at para. 73). In sum, justifying an infringement involves reconciling the interests of an Aboriginal people with the interests of the broader community of which it is a part (</w:t>
      </w:r>
      <w:proofErr w:type="spellStart"/>
      <w:r w:rsidRPr="00914046">
        <w:rPr>
          <w:rFonts w:cs="Times New Roman"/>
          <w:i/>
        </w:rPr>
        <w:t>Tsilhqot’in</w:t>
      </w:r>
      <w:proofErr w:type="spellEnd"/>
      <w:r w:rsidRPr="00914046">
        <w:rPr>
          <w:rFonts w:cs="Times New Roman"/>
        </w:rPr>
        <w:t xml:space="preserve">, at para. 118). The extent to which the fact that the holder of the Aboriginal right is an Aboriginal people located outside this broader community </w:t>
      </w:r>
      <w:r w:rsidRPr="00914046">
        <w:rPr>
          <w:rFonts w:cs="Times New Roman"/>
        </w:rPr>
        <w:lastRenderedPageBreak/>
        <w:t>makes a difference in the justification analysis is another issue better determined where on the facts this is required, where there is an adequate evidentiary basis, and where the issues are the subject of full submissions and thorough consideration at trial and at the appellate level.</w:t>
      </w:r>
    </w:p>
    <w:p w:rsidR="00C437E7" w:rsidRPr="00914046" w:rsidRDefault="00C437E7" w:rsidP="00C437E7">
      <w:pPr>
        <w:pStyle w:val="Title3LevelTitre3Niveau"/>
        <w:rPr>
          <w:rFonts w:cs="Times New Roman"/>
        </w:rPr>
      </w:pPr>
      <w:r w:rsidRPr="00914046">
        <w:rPr>
          <w:rFonts w:cs="Times New Roman"/>
        </w:rPr>
        <w:t>Aboriginal Title</w:t>
      </w:r>
    </w:p>
    <w:p w:rsidR="00C437E7" w:rsidRPr="00914046" w:rsidRDefault="00C437E7" w:rsidP="00C437E7">
      <w:pPr>
        <w:pStyle w:val="ParaNoNdepar-AltN"/>
        <w:rPr>
          <w:rFonts w:cs="Times New Roman"/>
        </w:rPr>
      </w:pPr>
      <w:r w:rsidRPr="00914046">
        <w:rPr>
          <w:rFonts w:cs="Times New Roman"/>
        </w:rPr>
        <w:t>The present case involves an Aboriginal right to hunt for food, social and ceremonial purposes. It does not involve a claim for Aboriginal title. Aboriginal title is not a right to carry out an activity, but a right to the land itself (</w:t>
      </w:r>
      <w:proofErr w:type="spellStart"/>
      <w:r w:rsidRPr="00914046">
        <w:rPr>
          <w:rFonts w:cs="Times New Roman"/>
          <w:i/>
        </w:rPr>
        <w:t>Delgamuukw</w:t>
      </w:r>
      <w:proofErr w:type="spellEnd"/>
      <w:r w:rsidRPr="00914046">
        <w:rPr>
          <w:rFonts w:cs="Times New Roman"/>
        </w:rPr>
        <w:t xml:space="preserve">, at paras. 137-41). While the test for Aboriginal title has the same basic structure as the test for other Aboriginal rights, it also has some important differences (paras. 144-45 and 150-51). First, unlike other Aboriginal rights, the historic date for proof of Aboriginal title is the date of Crown sovereignty, not the date of contact. Second, while other Aboriginal rights require proving that a practice was integral to the distinctive culture of the Aboriginal society, Aboriginal title requires proof of exclusive occupation of territory, without any additional need to show that this occupation was culturally integral. </w:t>
      </w:r>
    </w:p>
    <w:p w:rsidR="00C437E7" w:rsidRPr="00914046" w:rsidRDefault="00C437E7" w:rsidP="00C437E7">
      <w:pPr>
        <w:pStyle w:val="ParaNoNdepar-AltN"/>
        <w:rPr>
          <w:rFonts w:cs="Times New Roman"/>
        </w:rPr>
      </w:pPr>
      <w:r w:rsidRPr="00914046">
        <w:rPr>
          <w:rFonts w:cs="Times New Roman"/>
        </w:rPr>
        <w:t>Given these special features of the test for Aboriginal title, and given that the present case does not involve a title claim, I would leave for another day the differences that may exist between the test for Aboriginal title claims by Aboriginal peoples within Canada and the test for such claims by peoples outside Canada.</w:t>
      </w:r>
    </w:p>
    <w:p w:rsidR="00C437E7" w:rsidRPr="00914046" w:rsidRDefault="00C437E7" w:rsidP="00C437E7">
      <w:pPr>
        <w:pStyle w:val="Title3LevelTitre3Niveau"/>
        <w:rPr>
          <w:rFonts w:cs="Times New Roman"/>
          <w:lang w:val="en-GB"/>
        </w:rPr>
      </w:pPr>
      <w:r w:rsidRPr="00914046">
        <w:rPr>
          <w:rFonts w:cs="Times New Roman"/>
          <w:lang w:val="en-GB"/>
        </w:rPr>
        <w:lastRenderedPageBreak/>
        <w:t>Modern Treaties</w:t>
      </w:r>
    </w:p>
    <w:p w:rsidR="00C437E7" w:rsidRPr="00914046" w:rsidRDefault="00C437E7" w:rsidP="00C437E7">
      <w:pPr>
        <w:pStyle w:val="ParaNoNdepar-AltN"/>
        <w:rPr>
          <w:rFonts w:cs="Times New Roman"/>
          <w:i/>
        </w:rPr>
      </w:pPr>
      <w:r w:rsidRPr="00914046">
        <w:rPr>
          <w:rFonts w:cs="Times New Roman"/>
        </w:rPr>
        <w:t>Some modern treaties make provision for Aboriginal individuals who are not Canadian citizens to have treaty rights</w:t>
      </w:r>
      <w:r w:rsidRPr="00437F31">
        <w:rPr>
          <w:rFonts w:cs="Times New Roman"/>
        </w:rPr>
        <w:t>.</w:t>
      </w:r>
      <w:r w:rsidRPr="00437F31">
        <w:rPr>
          <w:rStyle w:val="Hyperlink"/>
          <w:color w:val="auto"/>
          <w:u w:val="none"/>
          <w:vertAlign w:val="superscript"/>
        </w:rPr>
        <w:footnoteReference w:id="2"/>
      </w:r>
      <w:r w:rsidRPr="00437F31">
        <w:rPr>
          <w:rFonts w:cs="Times New Roman"/>
        </w:rPr>
        <w:t xml:space="preserve"> Other treaties exclude this possibility.</w:t>
      </w:r>
      <w:r w:rsidRPr="00437F31">
        <w:rPr>
          <w:rStyle w:val="Hyperlink"/>
          <w:color w:val="auto"/>
          <w:u w:val="none"/>
          <w:vertAlign w:val="superscript"/>
        </w:rPr>
        <w:footnoteReference w:id="3"/>
      </w:r>
      <w:r w:rsidRPr="00437F31">
        <w:rPr>
          <w:rFonts w:cs="Times New Roman"/>
        </w:rPr>
        <w:t xml:space="preserve"> The </w:t>
      </w:r>
      <w:r w:rsidRPr="00914046">
        <w:rPr>
          <w:rFonts w:cs="Times New Roman"/>
        </w:rPr>
        <w:t xml:space="preserve">intervener Attorney General of the Yukon Territory asks us to be mindful of these treaties in deciding the present case. </w:t>
      </w:r>
      <w:r w:rsidRPr="00914046">
        <w:rPr>
          <w:rFonts w:cs="Times New Roman"/>
          <w:lang w:val="en"/>
        </w:rPr>
        <w:t>I agree that m</w:t>
      </w:r>
      <w:proofErr w:type="spellStart"/>
      <w:r w:rsidRPr="00914046">
        <w:rPr>
          <w:rFonts w:cs="Times New Roman"/>
        </w:rPr>
        <w:t>odern</w:t>
      </w:r>
      <w:proofErr w:type="spellEnd"/>
      <w:r w:rsidRPr="00914046">
        <w:rPr>
          <w:rFonts w:cs="Times New Roman"/>
        </w:rPr>
        <w:t xml:space="preserve"> treaties, being the result of lengthy negotiations, should be considered with great respect (</w:t>
      </w:r>
      <w:r w:rsidRPr="00914046">
        <w:rPr>
          <w:rFonts w:cs="Times New Roman"/>
          <w:i/>
        </w:rPr>
        <w:t>Beckman</w:t>
      </w:r>
      <w:r w:rsidRPr="00914046">
        <w:rPr>
          <w:rFonts w:cs="Times New Roman"/>
        </w:rPr>
        <w:t xml:space="preserve">, at paras. 9-10 and 12, per Binnie J.; at paras. 111-12 and 203, per Deschamps J. (concurring); </w:t>
      </w:r>
      <w:r w:rsidRPr="00914046">
        <w:rPr>
          <w:rFonts w:cs="Times New Roman"/>
          <w:i/>
        </w:rPr>
        <w:t xml:space="preserve">First Nation of Nacho </w:t>
      </w:r>
      <w:proofErr w:type="spellStart"/>
      <w:r w:rsidRPr="00914046">
        <w:rPr>
          <w:rFonts w:cs="Times New Roman"/>
          <w:i/>
        </w:rPr>
        <w:t>Nyak</w:t>
      </w:r>
      <w:proofErr w:type="spellEnd"/>
      <w:r w:rsidRPr="00914046">
        <w:rPr>
          <w:rFonts w:cs="Times New Roman"/>
          <w:i/>
        </w:rPr>
        <w:t xml:space="preserve"> Dun v. Yukon</w:t>
      </w:r>
      <w:r w:rsidRPr="00914046">
        <w:rPr>
          <w:rFonts w:cs="Times New Roman"/>
        </w:rPr>
        <w:t xml:space="preserve">, 2017 SCC 58, [2017] 2 </w:t>
      </w:r>
      <w:proofErr w:type="spellStart"/>
      <w:r w:rsidRPr="00914046">
        <w:rPr>
          <w:rFonts w:cs="Times New Roman"/>
        </w:rPr>
        <w:t>S.C.R</w:t>
      </w:r>
      <w:proofErr w:type="spellEnd"/>
      <w:r w:rsidRPr="00914046">
        <w:rPr>
          <w:rFonts w:cs="Times New Roman"/>
        </w:rPr>
        <w:t xml:space="preserve">. 576, at paras. 1, 33 and 38). </w:t>
      </w:r>
      <w:r w:rsidRPr="00914046">
        <w:rPr>
          <w:rFonts w:cs="Times New Roman"/>
          <w:lang w:val="en"/>
        </w:rPr>
        <w:t xml:space="preserve">However, the content of these treaties does not determine the proper interpretation of “aboriginal peoples of Canada” under s. 35(1). </w:t>
      </w:r>
      <w:r w:rsidRPr="00914046">
        <w:rPr>
          <w:rFonts w:cs="Times New Roman"/>
        </w:rPr>
        <w:t>Nor does the</w:t>
      </w:r>
      <w:r w:rsidRPr="00914046">
        <w:rPr>
          <w:rFonts w:cs="Times New Roman"/>
          <w:lang w:val="en"/>
        </w:rPr>
        <w:t xml:space="preserve"> proper interpretation of “aboriginal peoples of Canada” under s. 35(1) undermine the rights set out in these modern treaties. </w:t>
      </w:r>
    </w:p>
    <w:p w:rsidR="00C437E7" w:rsidRPr="00914046" w:rsidRDefault="00C437E7" w:rsidP="00C437E7">
      <w:pPr>
        <w:pStyle w:val="Title2LevelTitre2Niveau"/>
        <w:rPr>
          <w:rFonts w:cs="Times New Roman"/>
        </w:rPr>
      </w:pPr>
      <w:r w:rsidRPr="00914046">
        <w:rPr>
          <w:rFonts w:cs="Times New Roman"/>
        </w:rPr>
        <w:t>The Vindication of Aboriginal Rights</w:t>
      </w:r>
    </w:p>
    <w:p w:rsidR="00C437E7" w:rsidRPr="00914046" w:rsidRDefault="00C437E7" w:rsidP="00C437E7">
      <w:pPr>
        <w:pStyle w:val="ParaNoNdepar-AltN"/>
        <w:rPr>
          <w:rFonts w:cs="Times New Roman"/>
        </w:rPr>
      </w:pPr>
      <w:r w:rsidRPr="00914046">
        <w:rPr>
          <w:rFonts w:cs="Times New Roman"/>
        </w:rPr>
        <w:t>As I mentioned at the outset of these reasons, beyond agreeing with Mr. </w:t>
      </w:r>
      <w:proofErr w:type="spellStart"/>
      <w:r w:rsidRPr="00914046">
        <w:rPr>
          <w:rFonts w:cs="Times New Roman"/>
        </w:rPr>
        <w:t>Desautel</w:t>
      </w:r>
      <w:proofErr w:type="spellEnd"/>
      <w:r w:rsidRPr="00914046">
        <w:rPr>
          <w:rFonts w:cs="Times New Roman"/>
        </w:rPr>
        <w:t xml:space="preserve"> on the central issue, I have said little more about what this means for the </w:t>
      </w:r>
      <w:r w:rsidRPr="00914046">
        <w:rPr>
          <w:rFonts w:cs="Times New Roman"/>
        </w:rPr>
        <w:lastRenderedPageBreak/>
        <w:t>exercise of s. 35(1) Aboriginal rights. I end with some comments on the means available for the vindication of Aboriginal rights.</w:t>
      </w:r>
    </w:p>
    <w:p w:rsidR="00C437E7" w:rsidRPr="00914046" w:rsidRDefault="00C437E7" w:rsidP="00C437E7">
      <w:pPr>
        <w:pStyle w:val="Title3LevelTitre3Niveau"/>
        <w:rPr>
          <w:rFonts w:cs="Times New Roman"/>
        </w:rPr>
      </w:pPr>
      <w:r w:rsidRPr="00914046">
        <w:rPr>
          <w:rFonts w:cs="Times New Roman"/>
        </w:rPr>
        <w:t>It Is for the Courts to Interpret Section 35(1)</w:t>
      </w:r>
    </w:p>
    <w:p w:rsidR="00C437E7" w:rsidRPr="00914046" w:rsidRDefault="00C437E7" w:rsidP="00C437E7">
      <w:pPr>
        <w:pStyle w:val="ParaNoNdepar-AltN"/>
        <w:rPr>
          <w:rFonts w:cs="Times New Roman"/>
        </w:rPr>
      </w:pPr>
      <w:r w:rsidRPr="00914046">
        <w:rPr>
          <w:rFonts w:cs="Times New Roman"/>
        </w:rPr>
        <w:t xml:space="preserve">This Court has to be mindful of its proper role in the vindication of Aboriginal rights. As this Court held in </w:t>
      </w:r>
      <w:r w:rsidRPr="00914046">
        <w:rPr>
          <w:rFonts w:cs="Times New Roman"/>
          <w:i/>
        </w:rPr>
        <w:t>Hunter</w:t>
      </w:r>
      <w:r w:rsidRPr="00914046">
        <w:rPr>
          <w:rFonts w:cs="Times New Roman"/>
        </w:rPr>
        <w:t xml:space="preserve"> </w:t>
      </w:r>
      <w:r w:rsidRPr="00914046">
        <w:rPr>
          <w:rFonts w:cs="Times New Roman"/>
          <w:i/>
        </w:rPr>
        <w:t>v.</w:t>
      </w:r>
      <w:r w:rsidRPr="00914046">
        <w:rPr>
          <w:rFonts w:cs="Times New Roman"/>
        </w:rPr>
        <w:t xml:space="preserve"> </w:t>
      </w:r>
      <w:proofErr w:type="spellStart"/>
      <w:r w:rsidRPr="00914046">
        <w:rPr>
          <w:rFonts w:cs="Times New Roman"/>
          <w:i/>
        </w:rPr>
        <w:t>Southam</w:t>
      </w:r>
      <w:proofErr w:type="spellEnd"/>
      <w:r w:rsidRPr="00914046">
        <w:rPr>
          <w:rFonts w:cs="Times New Roman"/>
          <w:i/>
        </w:rPr>
        <w:t xml:space="preserve"> Inc.</w:t>
      </w:r>
      <w:r w:rsidRPr="00914046">
        <w:rPr>
          <w:rFonts w:cs="Times New Roman"/>
        </w:rPr>
        <w:t xml:space="preserve">, [1984] 2 </w:t>
      </w:r>
      <w:proofErr w:type="spellStart"/>
      <w:r w:rsidRPr="00914046">
        <w:rPr>
          <w:rFonts w:cs="Times New Roman"/>
        </w:rPr>
        <w:t>S.C.R</w:t>
      </w:r>
      <w:proofErr w:type="spellEnd"/>
      <w:r w:rsidRPr="00914046">
        <w:rPr>
          <w:rFonts w:cs="Times New Roman"/>
        </w:rPr>
        <w:t xml:space="preserve">. 145, at p. 169, “the courts are guardians of the Constitution and of individuals’ rights under it”. The role of giving an authoritative interpretation of laws and of the Constitution belongs to the courts (H. </w:t>
      </w:r>
      <w:proofErr w:type="spellStart"/>
      <w:r w:rsidRPr="00914046">
        <w:rPr>
          <w:rFonts w:cs="Times New Roman"/>
        </w:rPr>
        <w:t>Brun</w:t>
      </w:r>
      <w:proofErr w:type="spellEnd"/>
      <w:r w:rsidRPr="00914046">
        <w:rPr>
          <w:rFonts w:cs="Times New Roman"/>
        </w:rPr>
        <w:t xml:space="preserve">, G. Tremblay and E. </w:t>
      </w:r>
      <w:proofErr w:type="spellStart"/>
      <w:r w:rsidRPr="00914046">
        <w:rPr>
          <w:rFonts w:cs="Times New Roman"/>
        </w:rPr>
        <w:t>Brouillet</w:t>
      </w:r>
      <w:proofErr w:type="spellEnd"/>
      <w:r w:rsidRPr="00914046">
        <w:rPr>
          <w:rFonts w:cs="Times New Roman"/>
        </w:rPr>
        <w:t xml:space="preserve">, </w:t>
      </w:r>
      <w:r w:rsidRPr="00914046">
        <w:rPr>
          <w:rFonts w:cs="Times New Roman"/>
          <w:i/>
        </w:rPr>
        <w:t xml:space="preserve">Droit </w:t>
      </w:r>
      <w:proofErr w:type="spellStart"/>
      <w:r w:rsidRPr="00914046">
        <w:rPr>
          <w:rFonts w:cs="Times New Roman"/>
          <w:i/>
        </w:rPr>
        <w:t>constitutionnel</w:t>
      </w:r>
      <w:proofErr w:type="spellEnd"/>
      <w:r w:rsidRPr="00914046">
        <w:rPr>
          <w:rFonts w:cs="Times New Roman"/>
        </w:rPr>
        <w:t xml:space="preserve"> (6th ed. 2014), at pp. 808-9, no. </w:t>
      </w:r>
      <w:proofErr w:type="spellStart"/>
      <w:r w:rsidRPr="00914046">
        <w:rPr>
          <w:rFonts w:cs="Times New Roman"/>
        </w:rPr>
        <w:t>X.11</w:t>
      </w:r>
      <w:proofErr w:type="spellEnd"/>
      <w:r w:rsidRPr="00914046">
        <w:rPr>
          <w:rFonts w:cs="Times New Roman"/>
        </w:rPr>
        <w:t xml:space="preserve"> and </w:t>
      </w:r>
      <w:proofErr w:type="spellStart"/>
      <w:r w:rsidRPr="00914046">
        <w:rPr>
          <w:rFonts w:cs="Times New Roman"/>
        </w:rPr>
        <w:t>X.13</w:t>
      </w:r>
      <w:proofErr w:type="spellEnd"/>
      <w:r w:rsidRPr="00914046">
        <w:rPr>
          <w:rFonts w:cs="Times New Roman"/>
        </w:rPr>
        <w:t>).</w:t>
      </w:r>
    </w:p>
    <w:p w:rsidR="00C437E7" w:rsidRPr="00914046" w:rsidRDefault="00C437E7" w:rsidP="00C437E7">
      <w:pPr>
        <w:pStyle w:val="ParaNoNdepar-AltN"/>
        <w:rPr>
          <w:rFonts w:cs="Times New Roman"/>
          <w:lang w:val="en-US"/>
        </w:rPr>
      </w:pPr>
      <w:r w:rsidRPr="00914046">
        <w:rPr>
          <w:rFonts w:cs="Times New Roman"/>
        </w:rPr>
        <w:t xml:space="preserve">When the existing Aboriginal and treaty rights of the Aboriginal peoples of Canada were recognized and affirmed by the enactment of the </w:t>
      </w:r>
      <w:r w:rsidRPr="00914046">
        <w:rPr>
          <w:rFonts w:cs="Times New Roman"/>
          <w:i/>
        </w:rPr>
        <w:t>Constitution Act, 1982</w:t>
      </w:r>
      <w:r w:rsidRPr="00914046">
        <w:rPr>
          <w:rFonts w:cs="Times New Roman"/>
        </w:rPr>
        <w:t>, this gave rise to an obligation for the courts to “give effect to that national commitment” (</w:t>
      </w:r>
      <w:r w:rsidRPr="00914046">
        <w:rPr>
          <w:rFonts w:cs="Times New Roman"/>
          <w:i/>
        </w:rPr>
        <w:t>R. </w:t>
      </w:r>
      <w:r w:rsidRPr="00914046">
        <w:rPr>
          <w:rFonts w:cs="Times New Roman"/>
          <w:i/>
          <w:iCs/>
        </w:rPr>
        <w:t>v</w:t>
      </w:r>
      <w:r w:rsidRPr="00914046">
        <w:rPr>
          <w:rFonts w:cs="Times New Roman"/>
          <w:i/>
        </w:rPr>
        <w:t>. Marshall</w:t>
      </w:r>
      <w:r w:rsidRPr="00914046">
        <w:rPr>
          <w:rFonts w:cs="Times New Roman"/>
        </w:rPr>
        <w:t xml:space="preserve">, [1999] 3 </w:t>
      </w:r>
      <w:proofErr w:type="spellStart"/>
      <w:r w:rsidRPr="00914046">
        <w:rPr>
          <w:rFonts w:cs="Times New Roman"/>
        </w:rPr>
        <w:t>S.C.R</w:t>
      </w:r>
      <w:proofErr w:type="spellEnd"/>
      <w:r w:rsidRPr="00914046">
        <w:rPr>
          <w:rFonts w:cs="Times New Roman"/>
        </w:rPr>
        <w:t>. 533 (“</w:t>
      </w:r>
      <w:r w:rsidRPr="00914046">
        <w:rPr>
          <w:rFonts w:cs="Times New Roman"/>
          <w:i/>
        </w:rPr>
        <w:t>Marshall No. 2</w:t>
      </w:r>
      <w:r w:rsidRPr="00914046">
        <w:rPr>
          <w:rFonts w:cs="Times New Roman"/>
        </w:rPr>
        <w:t>”),</w:t>
      </w:r>
      <w:r w:rsidRPr="00914046">
        <w:rPr>
          <w:rFonts w:cs="Times New Roman"/>
          <w:iCs/>
        </w:rPr>
        <w:t xml:space="preserve"> at para. 45</w:t>
      </w:r>
      <w:r w:rsidRPr="00914046">
        <w:rPr>
          <w:rFonts w:cs="Times New Roman"/>
        </w:rPr>
        <w:t xml:space="preserve">). </w:t>
      </w:r>
      <w:r w:rsidRPr="00914046">
        <w:rPr>
          <w:rFonts w:cs="Times New Roman"/>
          <w:lang w:val="en-US"/>
        </w:rPr>
        <w:t xml:space="preserve">As the majority of this Court recently confirmed in </w:t>
      </w:r>
      <w:proofErr w:type="spellStart"/>
      <w:r w:rsidRPr="00914046">
        <w:rPr>
          <w:rFonts w:cs="Times New Roman"/>
          <w:i/>
        </w:rPr>
        <w:t>Uashaunnuat</w:t>
      </w:r>
      <w:proofErr w:type="spellEnd"/>
      <w:r w:rsidRPr="00914046">
        <w:rPr>
          <w:rFonts w:cs="Times New Roman"/>
        </w:rPr>
        <w:t>,</w:t>
      </w:r>
      <w:r w:rsidRPr="00914046">
        <w:rPr>
          <w:rFonts w:cs="Times New Roman"/>
          <w:i/>
        </w:rPr>
        <w:t xml:space="preserve"> </w:t>
      </w:r>
      <w:r w:rsidRPr="00914046">
        <w:rPr>
          <w:rFonts w:eastAsia="Times New Roman" w:cs="Times New Roman"/>
          <w:szCs w:val="24"/>
          <w:lang w:val="en"/>
        </w:rPr>
        <w:t>at para. 24:</w:t>
      </w:r>
    </w:p>
    <w:p w:rsidR="00C437E7" w:rsidRPr="00914046" w:rsidRDefault="00C437E7" w:rsidP="00C437E7">
      <w:pPr>
        <w:pStyle w:val="Citation-AltC"/>
        <w:ind w:firstLine="274"/>
      </w:pPr>
      <w:r w:rsidRPr="00914046">
        <w:t xml:space="preserve">Although s. 35(1) recognizes and affirms “the existing aboriginal and treaty rights of the aboriginal peoples of Canada”, </w:t>
      </w:r>
      <w:r w:rsidRPr="00914046">
        <w:rPr>
          <w:u w:val="single"/>
        </w:rPr>
        <w:t>defining those rights is a task that has fallen largely to the courts. The honour of the Crown requires a generous and purposive interpretation of this provision in furtherance of the objective of reconciliation.</w:t>
      </w:r>
      <w:r w:rsidRPr="00914046">
        <w:t xml:space="preserve"> [Emphasis added, citation omitted.]</w:t>
      </w:r>
    </w:p>
    <w:p w:rsidR="00C437E7" w:rsidRPr="00914046" w:rsidRDefault="00C437E7" w:rsidP="00C437E7">
      <w:pPr>
        <w:pStyle w:val="Citation-AltC"/>
      </w:pPr>
    </w:p>
    <w:p w:rsidR="00C437E7" w:rsidRPr="00914046" w:rsidRDefault="00C437E7" w:rsidP="00C437E7">
      <w:pPr>
        <w:pStyle w:val="ParaNoNdepar-AltN"/>
        <w:rPr>
          <w:rFonts w:cs="Times New Roman"/>
          <w:lang w:val="en-US"/>
        </w:rPr>
      </w:pPr>
      <w:r w:rsidRPr="00914046">
        <w:rPr>
          <w:rFonts w:cs="Times New Roman"/>
        </w:rPr>
        <w:lastRenderedPageBreak/>
        <w:t xml:space="preserve">In my view, the authoritative interpretation of s. 35(1) of the </w:t>
      </w:r>
      <w:r w:rsidRPr="00914046">
        <w:rPr>
          <w:rFonts w:cs="Times New Roman"/>
          <w:i/>
        </w:rPr>
        <w:t>Constitution Act, 1982</w:t>
      </w:r>
      <w:r w:rsidRPr="00914046">
        <w:rPr>
          <w:rFonts w:cs="Times New Roman"/>
        </w:rPr>
        <w:t xml:space="preserve">, is for the courts. It is for Aboriginal peoples, however, to define themselves and to choose by what means to make their decisions, according to their own laws, customs and practices. </w:t>
      </w:r>
    </w:p>
    <w:p w:rsidR="00C437E7" w:rsidRPr="00914046" w:rsidRDefault="00C437E7" w:rsidP="00C437E7">
      <w:pPr>
        <w:pStyle w:val="Title3LevelTitre3Niveau"/>
        <w:rPr>
          <w:rFonts w:cs="Times New Roman"/>
        </w:rPr>
      </w:pPr>
      <w:r w:rsidRPr="00914046">
        <w:rPr>
          <w:rFonts w:cs="Times New Roman"/>
        </w:rPr>
        <w:t>Negotiation Can Foster Reconciliation</w:t>
      </w:r>
    </w:p>
    <w:p w:rsidR="00C437E7" w:rsidRPr="00914046" w:rsidRDefault="00C437E7" w:rsidP="00C437E7">
      <w:pPr>
        <w:pStyle w:val="ParaNoNdepar-AltN"/>
        <w:rPr>
          <w:rFonts w:cs="Times New Roman"/>
        </w:rPr>
      </w:pPr>
      <w:r w:rsidRPr="00914046">
        <w:rPr>
          <w:rFonts w:cs="Times New Roman"/>
        </w:rPr>
        <w:t xml:space="preserve">Negotiation has significant advantages for both the Crown and Aboriginal peoples as a way to obtain clarity about Aboriginal rights: </w:t>
      </w:r>
    </w:p>
    <w:p w:rsidR="00C437E7" w:rsidRPr="00914046" w:rsidRDefault="00C437E7" w:rsidP="00C437E7">
      <w:pPr>
        <w:pStyle w:val="Citation-AltC"/>
        <w:rPr>
          <w:lang w:val="en-US"/>
        </w:rPr>
      </w:pPr>
      <w:proofErr w:type="gramStart"/>
      <w:r w:rsidRPr="00914046">
        <w:t>Negotiation .</w:t>
      </w:r>
      <w:proofErr w:type="gramEnd"/>
      <w:r w:rsidRPr="00914046">
        <w:rPr>
          <w:lang w:val="en-US"/>
        </w:rPr>
        <w:t> . .</w:t>
      </w:r>
      <w:r w:rsidRPr="00914046">
        <w:t xml:space="preserve"> has the potential of producing outcomes that are better suited to the parties’ interests, while the range of remedies available to a court is narrower. . . . The settlement of indigenous claims [has] an inescapable political dimension that is best handled through direct negotiation.</w:t>
      </w:r>
    </w:p>
    <w:p w:rsidR="00C437E7" w:rsidRPr="00914046" w:rsidRDefault="00C437E7" w:rsidP="00C437E7">
      <w:pPr>
        <w:pStyle w:val="Citation-AltC"/>
        <w:rPr>
          <w:lang w:val="en-US"/>
        </w:rPr>
      </w:pPr>
    </w:p>
    <w:p w:rsidR="00C437E7" w:rsidRPr="00914046" w:rsidRDefault="00C437E7" w:rsidP="00437F31">
      <w:pPr>
        <w:pStyle w:val="Citation-AltC"/>
        <w:ind w:left="0"/>
        <w:rPr>
          <w:lang w:val="en-US"/>
        </w:rPr>
      </w:pPr>
      <w:r w:rsidRPr="00914046">
        <w:rPr>
          <w:lang w:val="en-US"/>
        </w:rPr>
        <w:t xml:space="preserve">(S. </w:t>
      </w:r>
      <w:proofErr w:type="spellStart"/>
      <w:r w:rsidRPr="00914046">
        <w:rPr>
          <w:lang w:val="en-US"/>
        </w:rPr>
        <w:t>Grammond</w:t>
      </w:r>
      <w:proofErr w:type="spellEnd"/>
      <w:r w:rsidRPr="00914046">
        <w:rPr>
          <w:lang w:val="en-US"/>
        </w:rPr>
        <w:t xml:space="preserve">, </w:t>
      </w:r>
      <w:r w:rsidRPr="00914046">
        <w:rPr>
          <w:i/>
          <w:lang w:val="en-US"/>
        </w:rPr>
        <w:t>Terms of Coexistence, Indigenous Peoples and Canadian Law</w:t>
      </w:r>
      <w:r w:rsidRPr="00914046">
        <w:rPr>
          <w:lang w:val="en-US"/>
        </w:rPr>
        <w:t xml:space="preserve"> (2013),</w:t>
      </w:r>
      <w:r w:rsidRPr="00914046">
        <w:rPr>
          <w:i/>
          <w:lang w:val="en-US"/>
        </w:rPr>
        <w:t xml:space="preserve"> </w:t>
      </w:r>
      <w:r w:rsidRPr="00914046">
        <w:rPr>
          <w:lang w:val="en-US"/>
        </w:rPr>
        <w:t>at p. 139)</w:t>
      </w:r>
    </w:p>
    <w:p w:rsidR="00C437E7" w:rsidRPr="00914046" w:rsidRDefault="00C437E7" w:rsidP="00C437E7">
      <w:pPr>
        <w:pStyle w:val="ContinueParaSuitedupar-AltP"/>
        <w:rPr>
          <w:rFonts w:cs="Times New Roman"/>
          <w:lang w:val="en-US"/>
        </w:rPr>
      </w:pPr>
      <w:r w:rsidRPr="00914046">
        <w:rPr>
          <w:rFonts w:cs="Times New Roman"/>
          <w:iCs/>
          <w:lang w:val="en-GB"/>
        </w:rPr>
        <w:t>Negotiation also provides certainty for both parties</w:t>
      </w:r>
      <w:r w:rsidRPr="00914046">
        <w:rPr>
          <w:rFonts w:cs="Times New Roman"/>
          <w:iCs/>
        </w:rPr>
        <w:t xml:space="preserve"> (</w:t>
      </w:r>
      <w:r w:rsidRPr="00914046">
        <w:rPr>
          <w:rFonts w:cs="Times New Roman"/>
          <w:i/>
          <w:iCs/>
          <w:lang w:val="en-US"/>
        </w:rPr>
        <w:t>Beckman</w:t>
      </w:r>
      <w:r w:rsidRPr="00914046">
        <w:rPr>
          <w:rFonts w:cs="Times New Roman"/>
          <w:iCs/>
        </w:rPr>
        <w:t>, at para. 109, per</w:t>
      </w:r>
      <w:r w:rsidRPr="00914046">
        <w:rPr>
          <w:rFonts w:cs="Times New Roman"/>
          <w:i/>
          <w:iCs/>
        </w:rPr>
        <w:t xml:space="preserve"> </w:t>
      </w:r>
      <w:r w:rsidRPr="00914046">
        <w:rPr>
          <w:rFonts w:cs="Times New Roman"/>
          <w:iCs/>
        </w:rPr>
        <w:t xml:space="preserve">Deschamps J., concurring). As the Court said in </w:t>
      </w:r>
      <w:r w:rsidRPr="00914046">
        <w:rPr>
          <w:rFonts w:cs="Times New Roman"/>
          <w:i/>
          <w:iCs/>
        </w:rPr>
        <w:t>Clyde River (Hamlet) v. Petroleum Geo-Services Inc.</w:t>
      </w:r>
      <w:r w:rsidRPr="00914046">
        <w:rPr>
          <w:rFonts w:cs="Times New Roman"/>
          <w:iCs/>
        </w:rPr>
        <w:t xml:space="preserve">, 2017 SCC 40, [2017] 1 </w:t>
      </w:r>
      <w:proofErr w:type="spellStart"/>
      <w:r w:rsidRPr="00914046">
        <w:rPr>
          <w:rFonts w:cs="Times New Roman"/>
          <w:iCs/>
        </w:rPr>
        <w:t>S.C.R</w:t>
      </w:r>
      <w:proofErr w:type="spellEnd"/>
      <w:r w:rsidRPr="00914046">
        <w:rPr>
          <w:rFonts w:cs="Times New Roman"/>
          <w:iCs/>
        </w:rPr>
        <w:t>. 1069, at para. 24, “[t]rue reconciliation is rarely, i</w:t>
      </w:r>
      <w:r w:rsidR="00FF0AFA">
        <w:rPr>
          <w:rFonts w:cs="Times New Roman"/>
          <w:iCs/>
        </w:rPr>
        <w:t>f ever, achieved in courtrooms.”</w:t>
      </w:r>
    </w:p>
    <w:p w:rsidR="00C437E7" w:rsidRPr="00914046" w:rsidRDefault="00C437E7" w:rsidP="00C437E7">
      <w:pPr>
        <w:pStyle w:val="ParaNoNdepar-AltN"/>
        <w:rPr>
          <w:rFonts w:cs="Times New Roman"/>
        </w:rPr>
      </w:pPr>
      <w:r w:rsidRPr="00914046">
        <w:rPr>
          <w:rFonts w:cs="Times New Roman"/>
        </w:rPr>
        <w:t xml:space="preserve">Good faith from both parties is required. As the Court said in </w:t>
      </w:r>
      <w:proofErr w:type="spellStart"/>
      <w:r w:rsidRPr="00914046">
        <w:rPr>
          <w:rFonts w:cs="Times New Roman"/>
          <w:i/>
        </w:rPr>
        <w:t>Haida</w:t>
      </w:r>
      <w:proofErr w:type="spellEnd"/>
      <w:r w:rsidRPr="00914046">
        <w:rPr>
          <w:rFonts w:cs="Times New Roman"/>
        </w:rPr>
        <w:t xml:space="preserve">, at para. 25, the honour of the </w:t>
      </w:r>
      <w:r w:rsidRPr="00914046">
        <w:rPr>
          <w:rFonts w:cs="Times New Roman"/>
          <w:szCs w:val="24"/>
        </w:rPr>
        <w:t xml:space="preserve">Crown “requires the </w:t>
      </w:r>
      <w:proofErr w:type="gramStart"/>
      <w:r w:rsidRPr="00914046">
        <w:rPr>
          <w:rFonts w:cs="Times New Roman"/>
          <w:szCs w:val="24"/>
        </w:rPr>
        <w:t>Crown .</w:t>
      </w:r>
      <w:proofErr w:type="gramEnd"/>
      <w:r w:rsidRPr="00914046">
        <w:rPr>
          <w:rFonts w:cs="Times New Roman"/>
          <w:szCs w:val="24"/>
        </w:rPr>
        <w:t> . . to participate in processes of negotiation”</w:t>
      </w:r>
      <w:r w:rsidRPr="00914046">
        <w:rPr>
          <w:rFonts w:cs="Times New Roman"/>
        </w:rPr>
        <w:t xml:space="preserve"> (see also </w:t>
      </w:r>
      <w:r w:rsidRPr="00914046">
        <w:rPr>
          <w:rFonts w:cs="Times New Roman"/>
          <w:iCs/>
        </w:rPr>
        <w:t xml:space="preserve">B. Slattery, “Aboriginal Rights and the Honour of the Crown” </w:t>
      </w:r>
      <w:r w:rsidRPr="00914046">
        <w:rPr>
          <w:rFonts w:cs="Times New Roman"/>
          <w:iCs/>
        </w:rPr>
        <w:lastRenderedPageBreak/>
        <w:t xml:space="preserve">(2005), 29 </w:t>
      </w:r>
      <w:proofErr w:type="spellStart"/>
      <w:r w:rsidRPr="00914046">
        <w:rPr>
          <w:rFonts w:cs="Times New Roman"/>
          <w:i/>
          <w:iCs/>
        </w:rPr>
        <w:t>S.C.L.R</w:t>
      </w:r>
      <w:proofErr w:type="spellEnd"/>
      <w:r w:rsidRPr="00914046">
        <w:rPr>
          <w:rFonts w:cs="Times New Roman"/>
          <w:i/>
          <w:iCs/>
        </w:rPr>
        <w:t xml:space="preserve">. </w:t>
      </w:r>
      <w:r w:rsidRPr="00914046">
        <w:rPr>
          <w:rFonts w:cs="Times New Roman"/>
          <w:iCs/>
        </w:rPr>
        <w:t>(</w:t>
      </w:r>
      <w:proofErr w:type="spellStart"/>
      <w:r w:rsidRPr="00914046">
        <w:rPr>
          <w:rFonts w:cs="Times New Roman"/>
          <w:iCs/>
        </w:rPr>
        <w:t>2d</w:t>
      </w:r>
      <w:proofErr w:type="spellEnd"/>
      <w:r w:rsidRPr="00914046">
        <w:rPr>
          <w:rFonts w:cs="Times New Roman"/>
          <w:iCs/>
        </w:rPr>
        <w:t>)</w:t>
      </w:r>
      <w:r w:rsidRPr="00914046">
        <w:rPr>
          <w:rFonts w:cs="Times New Roman"/>
          <w:i/>
          <w:iCs/>
        </w:rPr>
        <w:t xml:space="preserve"> </w:t>
      </w:r>
      <w:r w:rsidRPr="00914046">
        <w:rPr>
          <w:rFonts w:cs="Times New Roman"/>
          <w:iCs/>
        </w:rPr>
        <w:t>434, at pp. 436-37). Reconciliation requires the Crown and Aboriginal people to “work together to reconcile their interests” (</w:t>
      </w:r>
      <w:r w:rsidRPr="00914046">
        <w:rPr>
          <w:rFonts w:cs="Times New Roman"/>
          <w:i/>
          <w:iCs/>
        </w:rPr>
        <w:t>Rio Tinto</w:t>
      </w:r>
      <w:r w:rsidRPr="00914046">
        <w:rPr>
          <w:rFonts w:cs="Times New Roman"/>
          <w:iCs/>
        </w:rPr>
        <w:t xml:space="preserve">, at para. 34; see also </w:t>
      </w:r>
      <w:r w:rsidRPr="00914046">
        <w:rPr>
          <w:rFonts w:cs="Times New Roman"/>
          <w:i/>
          <w:iCs/>
        </w:rPr>
        <w:t xml:space="preserve">Nacho </w:t>
      </w:r>
      <w:proofErr w:type="spellStart"/>
      <w:r w:rsidRPr="00914046">
        <w:rPr>
          <w:rFonts w:cs="Times New Roman"/>
          <w:i/>
          <w:iCs/>
        </w:rPr>
        <w:t>Nyak</w:t>
      </w:r>
      <w:proofErr w:type="spellEnd"/>
      <w:r w:rsidRPr="00914046">
        <w:rPr>
          <w:rFonts w:cs="Times New Roman"/>
          <w:i/>
          <w:iCs/>
        </w:rPr>
        <w:t xml:space="preserve"> Dun</w:t>
      </w:r>
      <w:r w:rsidRPr="00914046">
        <w:rPr>
          <w:rFonts w:cs="Times New Roman"/>
          <w:iCs/>
        </w:rPr>
        <w:t xml:space="preserve">, at para. 1). </w:t>
      </w:r>
    </w:p>
    <w:p w:rsidR="00C437E7" w:rsidRPr="00914046" w:rsidRDefault="00C437E7" w:rsidP="00C437E7">
      <w:pPr>
        <w:pStyle w:val="ParaNoNdepar-AltN"/>
        <w:rPr>
          <w:rFonts w:eastAsia="Times New Roman" w:cs="Times New Roman"/>
        </w:rPr>
      </w:pPr>
      <w:r w:rsidRPr="00914046">
        <w:rPr>
          <w:rFonts w:cs="Times New Roman"/>
        </w:rPr>
        <w:t>As this Court has held on many occasions, the Crown has an “</w:t>
      </w:r>
      <w:r w:rsidRPr="00914046">
        <w:rPr>
          <w:rFonts w:eastAsia="Times New Roman" w:cs="Times New Roman"/>
          <w:lang w:val="en"/>
        </w:rPr>
        <w:t>obligation to achieve the just settlement of Aboriginal claims through the treaty process” (</w:t>
      </w:r>
      <w:r w:rsidRPr="00914046">
        <w:rPr>
          <w:rFonts w:eastAsia="Times New Roman" w:cs="Times New Roman"/>
          <w:i/>
          <w:lang w:val="en"/>
        </w:rPr>
        <w:t>Rio Tinto</w:t>
      </w:r>
      <w:r w:rsidRPr="00914046">
        <w:rPr>
          <w:rFonts w:eastAsia="Times New Roman" w:cs="Times New Roman"/>
          <w:lang w:val="en"/>
        </w:rPr>
        <w:t xml:space="preserve">, at para. 32; see also </w:t>
      </w:r>
      <w:proofErr w:type="spellStart"/>
      <w:r w:rsidRPr="00914046">
        <w:rPr>
          <w:rFonts w:eastAsia="Times New Roman" w:cs="Times New Roman"/>
          <w:i/>
          <w:lang w:val="en"/>
        </w:rPr>
        <w:t>Haida</w:t>
      </w:r>
      <w:proofErr w:type="spellEnd"/>
      <w:r w:rsidRPr="00914046">
        <w:rPr>
          <w:rFonts w:eastAsia="Times New Roman" w:cs="Times New Roman"/>
          <w:lang w:val="en"/>
        </w:rPr>
        <w:t xml:space="preserve">, at para. 20) because other remedies </w:t>
      </w:r>
      <w:r w:rsidRPr="00914046">
        <w:rPr>
          <w:rFonts w:eastAsia="Times New Roman" w:cs="Times New Roman"/>
          <w:lang w:val="en-US"/>
        </w:rPr>
        <w:t>“</w:t>
      </w:r>
      <w:r w:rsidRPr="00914046">
        <w:rPr>
          <w:rFonts w:eastAsia="Times New Roman" w:cs="Times New Roman"/>
          <w:lang w:val="en"/>
        </w:rPr>
        <w:t>have proven time-consuming, expensive, and are often ineffective” (</w:t>
      </w:r>
      <w:r w:rsidRPr="00914046">
        <w:rPr>
          <w:rFonts w:eastAsia="Times New Roman" w:cs="Times New Roman"/>
          <w:i/>
          <w:lang w:val="en"/>
        </w:rPr>
        <w:t>Rio Tinto</w:t>
      </w:r>
      <w:r w:rsidRPr="00914046">
        <w:rPr>
          <w:rFonts w:eastAsia="Times New Roman" w:cs="Times New Roman"/>
          <w:lang w:val="en"/>
        </w:rPr>
        <w:t xml:space="preserve">, at para. 33). </w:t>
      </w:r>
      <w:r w:rsidRPr="00914046">
        <w:rPr>
          <w:rFonts w:cs="Times New Roman"/>
        </w:rPr>
        <w:t xml:space="preserve">Nonetheless, a test case or a claim for declaratory relief are also appropriate means to ask courts to determine rights under s. 35(1). </w:t>
      </w:r>
    </w:p>
    <w:p w:rsidR="00C437E7" w:rsidRPr="00914046" w:rsidRDefault="00C437E7" w:rsidP="00C437E7">
      <w:pPr>
        <w:pStyle w:val="ParaNoNdepar-AltN"/>
        <w:rPr>
          <w:rFonts w:cs="Times New Roman"/>
          <w:lang w:val="en-GB"/>
        </w:rPr>
      </w:pPr>
      <w:r w:rsidRPr="00914046">
        <w:rPr>
          <w:rFonts w:cs="Times New Roman"/>
        </w:rPr>
        <w:t xml:space="preserve">When parties are considering possible courses of action, it is useful to bear in mind that criminal and regulatory proceedings have inherent limits proper to their nature. In these types of cases, the evidence administered at trial is generally less extensive </w:t>
      </w:r>
      <w:r w:rsidRPr="00914046">
        <w:rPr>
          <w:rFonts w:eastAsiaTheme="minorHAnsi" w:cs="Times New Roman"/>
          <w:lang w:bidi="en-US"/>
        </w:rPr>
        <w:t xml:space="preserve">and the rules are different than in a reference or a declaratory action (see </w:t>
      </w:r>
      <w:r w:rsidRPr="00914046">
        <w:rPr>
          <w:rFonts w:eastAsiaTheme="minorHAnsi" w:cs="Times New Roman"/>
          <w:i/>
          <w:lang w:bidi="en-US"/>
        </w:rPr>
        <w:t>Sparrow</w:t>
      </w:r>
      <w:r w:rsidRPr="00914046">
        <w:rPr>
          <w:rFonts w:eastAsiaTheme="minorHAnsi" w:cs="Times New Roman"/>
          <w:lang w:bidi="en-US"/>
        </w:rPr>
        <w:t xml:space="preserve">, at p. 1095; </w:t>
      </w:r>
      <w:r w:rsidRPr="00914046">
        <w:rPr>
          <w:rFonts w:cs="Times New Roman"/>
          <w:i/>
          <w:iCs/>
        </w:rPr>
        <w:t>Marshall No. 2</w:t>
      </w:r>
      <w:r w:rsidRPr="00914046">
        <w:rPr>
          <w:rFonts w:cs="Times New Roman"/>
          <w:iCs/>
        </w:rPr>
        <w:t>, at para. 13)</w:t>
      </w:r>
      <w:r w:rsidRPr="00914046">
        <w:rPr>
          <w:rFonts w:cs="Times New Roman"/>
        </w:rPr>
        <w:t xml:space="preserve">. As </w:t>
      </w:r>
      <w:proofErr w:type="spellStart"/>
      <w:r w:rsidRPr="00914046">
        <w:rPr>
          <w:rFonts w:cs="Times New Roman"/>
        </w:rPr>
        <w:t>LeBel</w:t>
      </w:r>
      <w:proofErr w:type="spellEnd"/>
      <w:r w:rsidRPr="00914046">
        <w:rPr>
          <w:rFonts w:cs="Times New Roman"/>
        </w:rPr>
        <w:t xml:space="preserve"> J. stressed in his concurring reasons in </w:t>
      </w:r>
      <w:r w:rsidRPr="00914046">
        <w:rPr>
          <w:rFonts w:eastAsia="Times New Roman" w:cs="Times New Roman"/>
          <w:i/>
          <w:szCs w:val="24"/>
          <w:lang w:val="en"/>
        </w:rPr>
        <w:t>Marshall</w:t>
      </w:r>
      <w:r w:rsidRPr="00914046">
        <w:rPr>
          <w:rFonts w:eastAsia="Times New Roman" w:cs="Times New Roman"/>
          <w:szCs w:val="24"/>
          <w:lang w:val="en"/>
        </w:rPr>
        <w:t>, at para. 142:</w:t>
      </w:r>
    </w:p>
    <w:p w:rsidR="00C437E7" w:rsidRPr="00914046" w:rsidRDefault="00C437E7" w:rsidP="00C437E7">
      <w:pPr>
        <w:pStyle w:val="Citation-AltC"/>
        <w:ind w:firstLine="274"/>
      </w:pPr>
      <w:r w:rsidRPr="00914046">
        <w:t xml:space="preserve">Although many of the aboriginal rights cases that have made their way to this Court began by way of summary conviction proceedings, </w:t>
      </w:r>
      <w:r w:rsidRPr="00914046">
        <w:rPr>
          <w:u w:val="single"/>
        </w:rPr>
        <w:t>it is clear to me that we should re-think the appropriateness of litigating aboriginal treaty, rights and title issues in the context of criminal trials.</w:t>
      </w:r>
      <w:r w:rsidRPr="00914046">
        <w:t xml:space="preserve"> The issues that are determined in the context of these cases have little to do with the criminality of the accused’s conduct; </w:t>
      </w:r>
      <w:r w:rsidRPr="00914046">
        <w:rPr>
          <w:u w:val="single"/>
        </w:rPr>
        <w:t>rather, the claims would properly be the subject of civil actions for declarations.</w:t>
      </w:r>
      <w:r w:rsidRPr="00914046">
        <w:t xml:space="preserve"> Procedural and evidentiary difficulties inherent in adjudicating aboriginal claims arise not only out of the rules of evidence, the interpretation of evidence and the impact of the relevant evidentiary burdens, but also out of the scope of appellate review of the trial judge’s findings of fact. </w:t>
      </w:r>
      <w:r w:rsidRPr="00914046">
        <w:rPr>
          <w:u w:val="single"/>
        </w:rPr>
        <w:t xml:space="preserve">These claims may also impact on the </w:t>
      </w:r>
      <w:r w:rsidRPr="00914046">
        <w:rPr>
          <w:u w:val="single"/>
        </w:rPr>
        <w:lastRenderedPageBreak/>
        <w:t>competing rights and interests of a number of parties who may have a right to be heard at all stages of the process.</w:t>
      </w:r>
      <w:r w:rsidRPr="00914046">
        <w:t xml:space="preserve"> In addition, special difficulties come up when dealing with broad title and treaty rights claims that involve geographic areas extending beyond the specific sites relating to the criminal charges. [Emphasis added.]</w:t>
      </w:r>
    </w:p>
    <w:p w:rsidR="00C437E7" w:rsidRPr="00914046" w:rsidRDefault="00C437E7" w:rsidP="00C437E7">
      <w:pPr>
        <w:pStyle w:val="ParaNoNdepar-AltN"/>
        <w:rPr>
          <w:rFonts w:eastAsia="Times New Roman" w:cs="Times New Roman"/>
          <w:lang w:val="en-US"/>
        </w:rPr>
      </w:pPr>
      <w:r w:rsidRPr="00914046">
        <w:rPr>
          <w:rFonts w:eastAsia="Times New Roman" w:cs="Times New Roman"/>
        </w:rPr>
        <w:t>Therefore, [</w:t>
      </w:r>
      <w:r w:rsidRPr="00914046">
        <w:rPr>
          <w:rFonts w:eastAsia="Times New Roman" w:cs="Times New Roman"/>
          <w:smallCaps/>
        </w:rPr>
        <w:t>translation</w:t>
      </w:r>
      <w:r w:rsidRPr="00914046">
        <w:rPr>
          <w:rFonts w:eastAsia="Times New Roman" w:cs="Times New Roman"/>
        </w:rPr>
        <w:t xml:space="preserve">] “[t]he negotiating table should not be seen as a substitute for the courtroom, nor the courtroom as an alternative to the negotiating table” (P. Dionne, </w:t>
      </w:r>
      <w:r w:rsidRPr="00914046">
        <w:rPr>
          <w:rFonts w:cs="Times New Roman"/>
        </w:rPr>
        <w:t xml:space="preserve">“La reconnaissance et la </w:t>
      </w:r>
      <w:proofErr w:type="spellStart"/>
      <w:r w:rsidRPr="00914046">
        <w:rPr>
          <w:rFonts w:cs="Times New Roman"/>
        </w:rPr>
        <w:t>définition</w:t>
      </w:r>
      <w:proofErr w:type="spellEnd"/>
      <w:r w:rsidRPr="00914046">
        <w:rPr>
          <w:rFonts w:cs="Times New Roman"/>
        </w:rPr>
        <w:t xml:space="preserve"> </w:t>
      </w:r>
      <w:proofErr w:type="spellStart"/>
      <w:r w:rsidRPr="00914046">
        <w:rPr>
          <w:rFonts w:cs="Times New Roman"/>
        </w:rPr>
        <w:t>contemporaines</w:t>
      </w:r>
      <w:proofErr w:type="spellEnd"/>
      <w:r w:rsidRPr="00914046">
        <w:rPr>
          <w:rFonts w:cs="Times New Roman"/>
        </w:rPr>
        <w:t xml:space="preserve"> des droits </w:t>
      </w:r>
      <w:proofErr w:type="spellStart"/>
      <w:r w:rsidRPr="00914046">
        <w:rPr>
          <w:rFonts w:cs="Times New Roman"/>
        </w:rPr>
        <w:t>ancestraux</w:t>
      </w:r>
      <w:proofErr w:type="spellEnd"/>
      <w:r w:rsidRPr="00914046">
        <w:rPr>
          <w:rFonts w:cs="Times New Roman"/>
        </w:rPr>
        <w:t xml:space="preserve">: </w:t>
      </w:r>
      <w:proofErr w:type="spellStart"/>
      <w:r w:rsidRPr="00914046">
        <w:rPr>
          <w:rFonts w:cs="Times New Roman"/>
        </w:rPr>
        <w:t>négocier</w:t>
      </w:r>
      <w:proofErr w:type="spellEnd"/>
      <w:r w:rsidRPr="00914046">
        <w:rPr>
          <w:rFonts w:cs="Times New Roman"/>
        </w:rPr>
        <w:t xml:space="preserve"> </w:t>
      </w:r>
      <w:proofErr w:type="spellStart"/>
      <w:r w:rsidRPr="00914046">
        <w:rPr>
          <w:rFonts w:cs="Times New Roman"/>
        </w:rPr>
        <w:t>ou</w:t>
      </w:r>
      <w:proofErr w:type="spellEnd"/>
      <w:r w:rsidRPr="00914046">
        <w:rPr>
          <w:rFonts w:cs="Times New Roman"/>
        </w:rPr>
        <w:t xml:space="preserve"> </w:t>
      </w:r>
      <w:proofErr w:type="spellStart"/>
      <w:r w:rsidRPr="00914046">
        <w:rPr>
          <w:rFonts w:cs="Times New Roman"/>
        </w:rPr>
        <w:t>s’adresser</w:t>
      </w:r>
      <w:proofErr w:type="spellEnd"/>
      <w:r w:rsidRPr="00914046">
        <w:rPr>
          <w:rFonts w:cs="Times New Roman"/>
        </w:rPr>
        <w:t xml:space="preserve"> au </w:t>
      </w:r>
      <w:proofErr w:type="spellStart"/>
      <w:r w:rsidRPr="00914046">
        <w:rPr>
          <w:rFonts w:cs="Times New Roman"/>
        </w:rPr>
        <w:t>juge</w:t>
      </w:r>
      <w:proofErr w:type="spellEnd"/>
      <w:r w:rsidRPr="00914046">
        <w:rPr>
          <w:rFonts w:cs="Times New Roman"/>
        </w:rPr>
        <w:t xml:space="preserve">?”, in G. Otis, ed., </w:t>
      </w:r>
      <w:r w:rsidRPr="00914046">
        <w:rPr>
          <w:rFonts w:cs="Times New Roman"/>
          <w:i/>
        </w:rPr>
        <w:t xml:space="preserve">Droit, </w:t>
      </w:r>
      <w:proofErr w:type="spellStart"/>
      <w:r w:rsidRPr="00914046">
        <w:rPr>
          <w:rFonts w:cs="Times New Roman"/>
          <w:i/>
        </w:rPr>
        <w:t>territoire</w:t>
      </w:r>
      <w:proofErr w:type="spellEnd"/>
      <w:r w:rsidRPr="00914046">
        <w:rPr>
          <w:rFonts w:cs="Times New Roman"/>
          <w:i/>
        </w:rPr>
        <w:t xml:space="preserve"> et </w:t>
      </w:r>
      <w:proofErr w:type="spellStart"/>
      <w:r w:rsidRPr="00914046">
        <w:rPr>
          <w:rFonts w:cs="Times New Roman"/>
          <w:i/>
        </w:rPr>
        <w:t>gouvernance</w:t>
      </w:r>
      <w:proofErr w:type="spellEnd"/>
      <w:r w:rsidRPr="00914046">
        <w:rPr>
          <w:rFonts w:cs="Times New Roman"/>
          <w:i/>
        </w:rPr>
        <w:t xml:space="preserve"> des </w:t>
      </w:r>
      <w:proofErr w:type="spellStart"/>
      <w:r w:rsidRPr="00914046">
        <w:rPr>
          <w:rFonts w:cs="Times New Roman"/>
          <w:i/>
        </w:rPr>
        <w:t>peuples</w:t>
      </w:r>
      <w:proofErr w:type="spellEnd"/>
      <w:r w:rsidRPr="00914046">
        <w:rPr>
          <w:rFonts w:cs="Times New Roman"/>
          <w:i/>
        </w:rPr>
        <w:t xml:space="preserve"> </w:t>
      </w:r>
      <w:proofErr w:type="spellStart"/>
      <w:r w:rsidRPr="00914046">
        <w:rPr>
          <w:rFonts w:cs="Times New Roman"/>
          <w:i/>
        </w:rPr>
        <w:t>autochtones</w:t>
      </w:r>
      <w:proofErr w:type="spellEnd"/>
      <w:r w:rsidRPr="00914046">
        <w:rPr>
          <w:rFonts w:cs="Times New Roman"/>
        </w:rPr>
        <w:t xml:space="preserve"> (2005), 71, </w:t>
      </w:r>
      <w:r w:rsidRPr="00914046">
        <w:rPr>
          <w:rFonts w:eastAsia="Times New Roman" w:cs="Times New Roman"/>
        </w:rPr>
        <w:t xml:space="preserve">at p. 78). </w:t>
      </w:r>
      <w:r w:rsidRPr="00914046">
        <w:rPr>
          <w:rFonts w:eastAsia="Times New Roman" w:cs="Times New Roman"/>
          <w:lang w:val="en-US"/>
        </w:rPr>
        <w:t>Both processes are complementary to each other and must interact with each other within their proper limits.</w:t>
      </w:r>
    </w:p>
    <w:p w:rsidR="00C437E7" w:rsidRPr="00914046" w:rsidRDefault="00C437E7" w:rsidP="00C437E7">
      <w:pPr>
        <w:pStyle w:val="ParaNoNdepar-AltN"/>
        <w:rPr>
          <w:rFonts w:eastAsia="Times New Roman" w:cs="Times New Roman"/>
          <w:lang w:val="en-US"/>
        </w:rPr>
      </w:pPr>
      <w:r w:rsidRPr="00914046">
        <w:rPr>
          <w:rFonts w:eastAsia="Times New Roman" w:cs="Times New Roman"/>
          <w:lang w:val="en-US"/>
        </w:rPr>
        <w:t xml:space="preserve"> All this said, it is for the parties themselves to decide how they wish to proceed.</w:t>
      </w:r>
    </w:p>
    <w:p w:rsidR="00C437E7" w:rsidRPr="00914046" w:rsidRDefault="00C437E7" w:rsidP="00C437E7">
      <w:pPr>
        <w:pStyle w:val="Title1LevelTitre1Niveau-AltL"/>
        <w:rPr>
          <w:rFonts w:cs="Times New Roman"/>
        </w:rPr>
      </w:pPr>
      <w:r w:rsidRPr="00914046">
        <w:rPr>
          <w:rFonts w:cs="Times New Roman"/>
        </w:rPr>
        <w:t>Disposition</w:t>
      </w:r>
    </w:p>
    <w:p w:rsidR="00437F31" w:rsidRDefault="00C437E7" w:rsidP="00C437E7">
      <w:pPr>
        <w:pStyle w:val="ParaNoNdepar-AltN"/>
        <w:rPr>
          <w:rFonts w:cs="Times New Roman"/>
        </w:rPr>
      </w:pPr>
      <w:r w:rsidRPr="00914046">
        <w:rPr>
          <w:rFonts w:cs="Times New Roman"/>
          <w:lang w:val="en-US"/>
        </w:rPr>
        <w:t xml:space="preserve">The appeal is </w:t>
      </w:r>
      <w:proofErr w:type="spellStart"/>
      <w:r w:rsidRPr="00914046">
        <w:rPr>
          <w:rFonts w:cs="Times New Roman"/>
          <w:lang w:val="en-US"/>
        </w:rPr>
        <w:t>dismisse</w:t>
      </w:r>
      <w:proofErr w:type="spellEnd"/>
      <w:r w:rsidRPr="00914046">
        <w:rPr>
          <w:rFonts w:cs="Times New Roman"/>
        </w:rPr>
        <w:t xml:space="preserve">d. The constitutional question is answered in the affirmative. </w:t>
      </w:r>
    </w:p>
    <w:p w:rsidR="00C437E7" w:rsidRPr="00437F31" w:rsidRDefault="00C437E7" w:rsidP="00437F31">
      <w:pPr>
        <w:pStyle w:val="ParaNoNdepar-AltN"/>
        <w:numPr>
          <w:ilvl w:val="0"/>
          <w:numId w:val="0"/>
        </w:numPr>
        <w:ind w:firstLine="720"/>
        <w:rPr>
          <w:rFonts w:cs="Times New Roman"/>
        </w:rPr>
      </w:pPr>
      <w:r w:rsidRPr="00173A02">
        <w:t>The following are the reasons delivered by</w:t>
      </w:r>
    </w:p>
    <w:p w:rsidR="00C437E7" w:rsidRPr="00437F31" w:rsidRDefault="00437F31" w:rsidP="00437F31">
      <w:pPr>
        <w:pStyle w:val="ParaNoNdepar-AltN"/>
      </w:pPr>
      <w:r w:rsidRPr="00437F31">
        <w:rPr>
          <w:smallCaps/>
        </w:rPr>
        <w:t>Côté J.</w:t>
      </w:r>
      <w:r>
        <w:t xml:space="preserve"> (dissenting)</w:t>
      </w:r>
      <w:r w:rsidRPr="00AF6773">
        <w:t xml:space="preserve"> — </w:t>
      </w:r>
      <w:r w:rsidR="00C437E7" w:rsidRPr="00437F31">
        <w:rPr>
          <w:rFonts w:cs="Times New Roman"/>
        </w:rPr>
        <w:t xml:space="preserve">Does the constitutional protection of Aboriginal rights contained in s. 35(1) of the </w:t>
      </w:r>
      <w:r w:rsidR="00C437E7" w:rsidRPr="00437F31">
        <w:rPr>
          <w:rFonts w:cs="Times New Roman"/>
          <w:i/>
        </w:rPr>
        <w:t>Constitution Act, 1982</w:t>
      </w:r>
      <w:r w:rsidR="00C437E7" w:rsidRPr="00437F31">
        <w:rPr>
          <w:rFonts w:cs="Times New Roman"/>
        </w:rPr>
        <w:t xml:space="preserve">, extend to an Aboriginal group </w:t>
      </w:r>
      <w:r w:rsidR="00C437E7" w:rsidRPr="00437F31">
        <w:rPr>
          <w:rFonts w:cs="Times New Roman"/>
        </w:rPr>
        <w:lastRenderedPageBreak/>
        <w:t>located outside of Canada, and whose member claiming to exercise an Aboriginal right is neither a resident nor a citizen of Canada? The courts below, and my colleague Rowe J., say that it does, but in my view, and with respect, that conclusion is contrary to a purposive analysis of s. 35(1) that examines the linguistic, philosophic, and historical contexts of that provision. This Court’s s. 35(1) jurisprudence has characterized — properly, in my view — reconciliation in terms of the relationship between non-Aboriginal Canadians and Aboriginal peoples as full and equal members of, and participants in, Canadian society. In addition, s. 35(1) elevated to constitutional status the common law rights of the “aboriginal peoples of Canada” that were “existing” in 1982 (</w:t>
      </w:r>
      <w:r w:rsidR="00C437E7" w:rsidRPr="00437F31">
        <w:rPr>
          <w:rFonts w:cs="Times New Roman"/>
          <w:i/>
        </w:rPr>
        <w:t xml:space="preserve">Mitchell v. </w:t>
      </w:r>
      <w:proofErr w:type="spellStart"/>
      <w:r w:rsidR="00C437E7" w:rsidRPr="00437F31">
        <w:rPr>
          <w:rFonts w:cs="Times New Roman"/>
          <w:i/>
        </w:rPr>
        <w:t>M.N.R</w:t>
      </w:r>
      <w:proofErr w:type="spellEnd"/>
      <w:r w:rsidR="00C437E7" w:rsidRPr="00437F31">
        <w:rPr>
          <w:rFonts w:cs="Times New Roman"/>
          <w:i/>
        </w:rPr>
        <w:t>.</w:t>
      </w:r>
      <w:r w:rsidR="00C437E7" w:rsidRPr="00437F31">
        <w:rPr>
          <w:rFonts w:cs="Times New Roman"/>
        </w:rPr>
        <w:t xml:space="preserve">, 2001 SCC 33, [2001] 1 </w:t>
      </w:r>
      <w:proofErr w:type="spellStart"/>
      <w:r w:rsidR="00C437E7" w:rsidRPr="00437F31">
        <w:rPr>
          <w:rFonts w:cs="Times New Roman"/>
        </w:rPr>
        <w:t>S.C.R</w:t>
      </w:r>
      <w:proofErr w:type="spellEnd"/>
      <w:r w:rsidR="00C437E7" w:rsidRPr="00437F31">
        <w:rPr>
          <w:rFonts w:cs="Times New Roman"/>
        </w:rPr>
        <w:t>. 911, at para. 11). Aboriginal groups located outside of Canada’s borders do not fit within this understanding.</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Further, even if I would agree with my colleague’s conclusion that the scope of the phrase “aboriginal peoples of Canada” includes groups located outside of Canada, I would disagree with his application of the test set out in </w:t>
      </w:r>
      <w:r w:rsidRPr="00AF6773">
        <w:rPr>
          <w:rFonts w:cs="Times New Roman"/>
          <w:i/>
        </w:rPr>
        <w:t xml:space="preserve">R. v. Van der </w:t>
      </w:r>
      <w:proofErr w:type="spellStart"/>
      <w:r w:rsidRPr="00AF6773">
        <w:rPr>
          <w:rFonts w:cs="Times New Roman"/>
          <w:i/>
        </w:rPr>
        <w:t>Peet</w:t>
      </w:r>
      <w:proofErr w:type="spellEnd"/>
      <w:r w:rsidRPr="00AF6773">
        <w:rPr>
          <w:rFonts w:cs="Times New Roman"/>
        </w:rPr>
        <w:t xml:space="preserve">, [1996] 2 </w:t>
      </w:r>
      <w:proofErr w:type="spellStart"/>
      <w:r w:rsidRPr="00AF6773">
        <w:rPr>
          <w:rFonts w:cs="Times New Roman"/>
        </w:rPr>
        <w:t>S.C.R</w:t>
      </w:r>
      <w:proofErr w:type="spellEnd"/>
      <w:r w:rsidRPr="00AF6773">
        <w:rPr>
          <w:rFonts w:cs="Times New Roman"/>
        </w:rPr>
        <w:t>. 507, to the claim brought in this case by the respondent, Richard Lee </w:t>
      </w:r>
      <w:proofErr w:type="spellStart"/>
      <w:r w:rsidRPr="00AF6773">
        <w:rPr>
          <w:rFonts w:cs="Times New Roman"/>
        </w:rPr>
        <w:t>Desautel</w:t>
      </w:r>
      <w:proofErr w:type="spellEnd"/>
      <w:r w:rsidRPr="00AF6773">
        <w:rPr>
          <w:rFonts w:cs="Times New Roman"/>
        </w:rPr>
        <w:t>. In my view, Mr. </w:t>
      </w:r>
      <w:proofErr w:type="spellStart"/>
      <w:r w:rsidRPr="00AF6773">
        <w:rPr>
          <w:rFonts w:cs="Times New Roman"/>
        </w:rPr>
        <w:t>Desautel</w:t>
      </w:r>
      <w:proofErr w:type="spellEnd"/>
      <w:r w:rsidRPr="00AF6773">
        <w:rPr>
          <w:rFonts w:cs="Times New Roman"/>
        </w:rPr>
        <w:t xml:space="preserve">, as a member of the Lakes Tribe, cannot establish that he was exercising an Aboriginal right to hunt in the </w:t>
      </w:r>
      <w:proofErr w:type="spellStart"/>
      <w:r w:rsidRPr="00AF6773">
        <w:rPr>
          <w:rFonts w:cs="Times New Roman"/>
        </w:rPr>
        <w:t>Sinixt</w:t>
      </w:r>
      <w:proofErr w:type="spellEnd"/>
      <w:r w:rsidRPr="00AF6773">
        <w:rPr>
          <w:rFonts w:cs="Times New Roman"/>
        </w:rPr>
        <w:t xml:space="preserve"> traditional territory in British Columbia, as the modern group’s claim lacks continuity with the pre-contact group’s practices. Given that there was nothing in existence in 1982 to which s. 35(1) protection could attach, Mr. </w:t>
      </w:r>
      <w:proofErr w:type="spellStart"/>
      <w:r w:rsidRPr="00AF6773">
        <w:rPr>
          <w:rFonts w:cs="Times New Roman"/>
        </w:rPr>
        <w:t>Desautel’s</w:t>
      </w:r>
      <w:proofErr w:type="spellEnd"/>
      <w:r w:rsidRPr="00AF6773">
        <w:rPr>
          <w:rFonts w:cs="Times New Roman"/>
        </w:rPr>
        <w:t xml:space="preserve"> claim must fail. </w:t>
      </w:r>
    </w:p>
    <w:p w:rsidR="00C437E7" w:rsidRPr="00AF6773" w:rsidRDefault="00C437E7" w:rsidP="00C437E7">
      <w:pPr>
        <w:pStyle w:val="ParaNoNdepar-AltN"/>
        <w:tabs>
          <w:tab w:val="clear" w:pos="1166"/>
          <w:tab w:val="num" w:pos="1152"/>
        </w:tabs>
        <w:rPr>
          <w:rFonts w:cs="Times New Roman"/>
        </w:rPr>
      </w:pPr>
      <w:r w:rsidRPr="00AF6773">
        <w:rPr>
          <w:rFonts w:cs="Times New Roman"/>
        </w:rPr>
        <w:lastRenderedPageBreak/>
        <w:t xml:space="preserve">Therefore, I would answer the constitutional question in the negative and allow the appeal. </w:t>
      </w:r>
    </w:p>
    <w:p w:rsidR="00C437E7" w:rsidRPr="008F33D6" w:rsidRDefault="00C437E7" w:rsidP="008F33D6">
      <w:pPr>
        <w:pStyle w:val="Title1LevelTitre1Niveau-AltL"/>
        <w:numPr>
          <w:ilvl w:val="0"/>
          <w:numId w:val="18"/>
        </w:numPr>
        <w:rPr>
          <w:rFonts w:cs="Times New Roman"/>
        </w:rPr>
      </w:pPr>
      <w:r w:rsidRPr="008F33D6">
        <w:rPr>
          <w:rFonts w:cs="Times New Roman"/>
        </w:rPr>
        <w:t>Background</w:t>
      </w:r>
    </w:p>
    <w:p w:rsidR="00C437E7" w:rsidRPr="00AF6773" w:rsidRDefault="00C437E7" w:rsidP="00C437E7">
      <w:pPr>
        <w:pStyle w:val="ParaNoNdepar-AltN"/>
        <w:tabs>
          <w:tab w:val="clear" w:pos="1166"/>
          <w:tab w:val="num" w:pos="1152"/>
        </w:tabs>
        <w:rPr>
          <w:rFonts w:cs="Times New Roman"/>
        </w:rPr>
      </w:pPr>
      <w:r w:rsidRPr="00AF6773">
        <w:rPr>
          <w:rFonts w:cs="Times New Roman"/>
        </w:rPr>
        <w:t>This was a test case brought by the Lakes Tribe of the Colville Confederated Tribes (“</w:t>
      </w:r>
      <w:proofErr w:type="spellStart"/>
      <w:r w:rsidRPr="00AF6773">
        <w:rPr>
          <w:rFonts w:cs="Times New Roman"/>
        </w:rPr>
        <w:t>CCT</w:t>
      </w:r>
      <w:proofErr w:type="spellEnd"/>
      <w:r w:rsidRPr="00AF6773">
        <w:rPr>
          <w:rFonts w:cs="Times New Roman"/>
        </w:rPr>
        <w:t xml:space="preserve">”) based in Washington State in the United States of America. Acting on the instructions of the Fish and Wildlife Director of the </w:t>
      </w:r>
      <w:proofErr w:type="spellStart"/>
      <w:r w:rsidRPr="00AF6773">
        <w:rPr>
          <w:rFonts w:cs="Times New Roman"/>
        </w:rPr>
        <w:t>CCT</w:t>
      </w:r>
      <w:proofErr w:type="spellEnd"/>
      <w:r w:rsidRPr="00AF6773">
        <w:rPr>
          <w:rFonts w:cs="Times New Roman"/>
        </w:rPr>
        <w:t>, Mr. </w:t>
      </w:r>
      <w:proofErr w:type="spellStart"/>
      <w:r w:rsidRPr="00AF6773">
        <w:rPr>
          <w:rFonts w:cs="Times New Roman"/>
        </w:rPr>
        <w:t>Desautel</w:t>
      </w:r>
      <w:proofErr w:type="spellEnd"/>
      <w:r w:rsidRPr="00AF6773">
        <w:rPr>
          <w:rFonts w:cs="Times New Roman"/>
        </w:rPr>
        <w:t xml:space="preserve"> — a United States citizen and resident, and a member of the Lakes Tribe — shot a cow-elk near </w:t>
      </w:r>
      <w:proofErr w:type="spellStart"/>
      <w:r w:rsidRPr="00AF6773">
        <w:rPr>
          <w:rFonts w:cs="Times New Roman"/>
        </w:rPr>
        <w:t>Castlegar</w:t>
      </w:r>
      <w:proofErr w:type="spellEnd"/>
      <w:r w:rsidRPr="00AF6773">
        <w:rPr>
          <w:rFonts w:cs="Times New Roman"/>
        </w:rPr>
        <w:t xml:space="preserve">, British Columbia, to secure ceremonial meat. He reported the kill to conservation officers and was subsequently charged with hunting without a licence and hunting big game while not being a resident of British Columbia, contrary to ss. 11(1) and 47(a) of the </w:t>
      </w:r>
      <w:r w:rsidRPr="00AF6773">
        <w:rPr>
          <w:rFonts w:cs="Times New Roman"/>
          <w:i/>
        </w:rPr>
        <w:t>Wildlife Act</w:t>
      </w:r>
      <w:r w:rsidRPr="00AF6773">
        <w:rPr>
          <w:rFonts w:cs="Times New Roman"/>
        </w:rPr>
        <w:t xml:space="preserve">, </w:t>
      </w:r>
      <w:proofErr w:type="spellStart"/>
      <w:r w:rsidRPr="00AF6773">
        <w:rPr>
          <w:rFonts w:cs="Times New Roman"/>
        </w:rPr>
        <w:t>R.S.B.C</w:t>
      </w:r>
      <w:proofErr w:type="spellEnd"/>
      <w:r w:rsidRPr="00AF6773">
        <w:rPr>
          <w:rFonts w:cs="Times New Roman"/>
        </w:rPr>
        <w:t xml:space="preserve">. 1996, </w:t>
      </w:r>
      <w:proofErr w:type="gramStart"/>
      <w:r w:rsidRPr="00AF6773">
        <w:rPr>
          <w:rFonts w:cs="Times New Roman"/>
        </w:rPr>
        <w:t>c</w:t>
      </w:r>
      <w:proofErr w:type="gramEnd"/>
      <w:r w:rsidRPr="00AF6773">
        <w:rPr>
          <w:rFonts w:cs="Times New Roman"/>
        </w:rPr>
        <w:t>. 488.</w:t>
      </w:r>
    </w:p>
    <w:p w:rsidR="00C437E7" w:rsidRPr="00AF6773" w:rsidRDefault="00C437E7" w:rsidP="00C437E7">
      <w:pPr>
        <w:pStyle w:val="ParaNoNdepar-AltN"/>
        <w:tabs>
          <w:tab w:val="clear" w:pos="1166"/>
          <w:tab w:val="num" w:pos="1152"/>
        </w:tabs>
        <w:rPr>
          <w:rFonts w:cs="Times New Roman"/>
        </w:rPr>
      </w:pPr>
      <w:r w:rsidRPr="00AF6773">
        <w:rPr>
          <w:rFonts w:cs="Times New Roman"/>
        </w:rPr>
        <w:t>An agreed statement of facts was entered at trial. Mr. </w:t>
      </w:r>
      <w:proofErr w:type="spellStart"/>
      <w:r w:rsidRPr="00AF6773">
        <w:rPr>
          <w:rFonts w:cs="Times New Roman"/>
        </w:rPr>
        <w:t>Desautel</w:t>
      </w:r>
      <w:proofErr w:type="spellEnd"/>
      <w:r w:rsidRPr="00AF6773">
        <w:rPr>
          <w:rFonts w:cs="Times New Roman"/>
        </w:rPr>
        <w:t xml:space="preserve"> admitted the </w:t>
      </w:r>
      <w:r w:rsidRPr="00AF6773">
        <w:rPr>
          <w:rFonts w:cs="Times New Roman"/>
          <w:i/>
        </w:rPr>
        <w:t xml:space="preserve">actus </w:t>
      </w:r>
      <w:proofErr w:type="spellStart"/>
      <w:proofErr w:type="gramStart"/>
      <w:r w:rsidRPr="00AF6773">
        <w:rPr>
          <w:rFonts w:cs="Times New Roman"/>
          <w:i/>
        </w:rPr>
        <w:t>reus</w:t>
      </w:r>
      <w:proofErr w:type="spellEnd"/>
      <w:proofErr w:type="gramEnd"/>
      <w:r w:rsidRPr="00AF6773">
        <w:rPr>
          <w:rFonts w:cs="Times New Roman"/>
          <w:i/>
        </w:rPr>
        <w:t xml:space="preserve"> </w:t>
      </w:r>
      <w:r w:rsidRPr="00AF6773">
        <w:rPr>
          <w:rFonts w:cs="Times New Roman"/>
        </w:rPr>
        <w:t xml:space="preserve">of each offence. His sole defence was that he was exercising his Aboriginal right to hunt for ceremonial purposes in the traditional territory of his </w:t>
      </w:r>
      <w:proofErr w:type="spellStart"/>
      <w:r w:rsidRPr="00AF6773">
        <w:rPr>
          <w:rFonts w:cs="Times New Roman"/>
        </w:rPr>
        <w:t>Sinixt</w:t>
      </w:r>
      <w:proofErr w:type="spellEnd"/>
      <w:r w:rsidRPr="00AF6773">
        <w:rPr>
          <w:rFonts w:cs="Times New Roman"/>
        </w:rPr>
        <w:t xml:space="preserve"> ancestors pursuant to s. 35(1) of the </w:t>
      </w:r>
      <w:r w:rsidRPr="00AF6773">
        <w:rPr>
          <w:rFonts w:cs="Times New Roman"/>
          <w:i/>
        </w:rPr>
        <w:t>Constitution Act, 1982</w:t>
      </w:r>
      <w:r w:rsidRPr="00AF6773">
        <w:rPr>
          <w:rFonts w:cs="Times New Roman"/>
        </w:rPr>
        <w:t>. As such, the trial became, as intended, a test case on whether the Lakes Tribe is part of the “aboriginal peoples of Canada”.</w:t>
      </w:r>
    </w:p>
    <w:p w:rsidR="00C437E7" w:rsidRPr="00AF6773" w:rsidRDefault="00C437E7" w:rsidP="00C437E7">
      <w:pPr>
        <w:pStyle w:val="Title1LevelTitre1Niveau-AltL"/>
        <w:rPr>
          <w:rFonts w:cs="Times New Roman"/>
        </w:rPr>
      </w:pPr>
      <w:r w:rsidRPr="00AF6773">
        <w:rPr>
          <w:rFonts w:cs="Times New Roman"/>
        </w:rPr>
        <w:t>Issue</w:t>
      </w:r>
    </w:p>
    <w:p w:rsidR="00C437E7" w:rsidRPr="00AF6773" w:rsidRDefault="00C437E7" w:rsidP="00C437E7">
      <w:pPr>
        <w:pStyle w:val="ParaNoNdepar-AltN"/>
        <w:tabs>
          <w:tab w:val="clear" w:pos="1166"/>
          <w:tab w:val="num" w:pos="1152"/>
        </w:tabs>
        <w:rPr>
          <w:rFonts w:cs="Times New Roman"/>
        </w:rPr>
      </w:pPr>
      <w:r w:rsidRPr="00AF6773">
        <w:rPr>
          <w:rFonts w:cs="Times New Roman"/>
        </w:rPr>
        <w:t>The following constitutional question is raised by this appeal:</w:t>
      </w:r>
    </w:p>
    <w:p w:rsidR="00C437E7" w:rsidRPr="00AF6773" w:rsidRDefault="00C437E7" w:rsidP="00C437E7">
      <w:pPr>
        <w:pStyle w:val="Citation-AltC"/>
      </w:pPr>
      <w:r w:rsidRPr="00AF6773">
        <w:lastRenderedPageBreak/>
        <w:t xml:space="preserve">Are ss. 11(1) and 47(a) of the </w:t>
      </w:r>
      <w:r w:rsidRPr="00AF6773">
        <w:rPr>
          <w:i/>
        </w:rPr>
        <w:t>Wildlife Act</w:t>
      </w:r>
      <w:r w:rsidRPr="00AF6773">
        <w:t xml:space="preserve">, </w:t>
      </w:r>
      <w:proofErr w:type="spellStart"/>
      <w:r w:rsidRPr="00AF6773">
        <w:t>R.S.B.C</w:t>
      </w:r>
      <w:proofErr w:type="spellEnd"/>
      <w:r w:rsidRPr="00AF6773">
        <w:t xml:space="preserve">. 1996, c. 488, as they read in October 2010, of no force or effect with respect to the respondent, being a member of the Lakes Tribe of the Confederated Tribes of the Colville Reservation in Washington State, U.S.A., in virtue of s. 52 of the </w:t>
      </w:r>
      <w:r w:rsidRPr="00AF6773">
        <w:rPr>
          <w:i/>
        </w:rPr>
        <w:t>Constitution Act, 1982</w:t>
      </w:r>
      <w:r w:rsidRPr="00AF6773">
        <w:t xml:space="preserve">, by reason of an Aboriginal right within the meaning of s. 35 of the </w:t>
      </w:r>
      <w:r w:rsidRPr="00AF6773">
        <w:rPr>
          <w:i/>
        </w:rPr>
        <w:t>Constitution Act, 1982</w:t>
      </w:r>
      <w:r w:rsidRPr="00AF6773">
        <w:t>,</w:t>
      </w:r>
      <w:r w:rsidRPr="00AF6773">
        <w:rPr>
          <w:i/>
        </w:rPr>
        <w:t xml:space="preserve"> </w:t>
      </w:r>
      <w:r w:rsidRPr="00AF6773">
        <w:t>invoked by the respondent?</w:t>
      </w:r>
    </w:p>
    <w:p w:rsidR="00C437E7" w:rsidRPr="00AF6773" w:rsidRDefault="00C437E7" w:rsidP="00C437E7">
      <w:pPr>
        <w:pStyle w:val="Citation-AltC"/>
      </w:pPr>
    </w:p>
    <w:p w:rsidR="00C437E7" w:rsidRPr="00AF6773" w:rsidRDefault="00C437E7" w:rsidP="00437F31">
      <w:pPr>
        <w:pStyle w:val="Citation-AltC"/>
        <w:ind w:left="0"/>
      </w:pPr>
      <w:r w:rsidRPr="00AF6773">
        <w:t>(</w:t>
      </w:r>
      <w:proofErr w:type="spellStart"/>
      <w:r w:rsidRPr="00AF6773">
        <w:t>A.R</w:t>
      </w:r>
      <w:proofErr w:type="spellEnd"/>
      <w:r w:rsidRPr="00AF6773">
        <w:t>., vol. I, at p. 139)</w:t>
      </w:r>
    </w:p>
    <w:p w:rsidR="00C437E7" w:rsidRPr="00AF6773" w:rsidRDefault="00C437E7" w:rsidP="00C437E7">
      <w:pPr>
        <w:pStyle w:val="Title1LevelTitre1Niveau-AltL"/>
        <w:rPr>
          <w:rFonts w:cs="Times New Roman"/>
        </w:rPr>
      </w:pPr>
      <w:r w:rsidRPr="00AF6773">
        <w:rPr>
          <w:rFonts w:cs="Times New Roman"/>
        </w:rPr>
        <w:t>Analysis</w:t>
      </w:r>
    </w:p>
    <w:p w:rsidR="00C437E7" w:rsidRPr="00AF6773" w:rsidRDefault="00C437E7" w:rsidP="00C437E7">
      <w:pPr>
        <w:pStyle w:val="Title2LevelTitre2Niveau"/>
        <w:rPr>
          <w:rFonts w:cs="Times New Roman"/>
        </w:rPr>
      </w:pPr>
      <w:r w:rsidRPr="00AF6773">
        <w:rPr>
          <w:rFonts w:cs="Times New Roman"/>
        </w:rPr>
        <w:t>A Purposive Interpretation of Section 35 Establishes That It Protects Only Aboriginal Peoples Located in Canada</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Constitutional provisions conferring rights ought to be interpreted generously, but must also be placed in their proper contexts in order to avoid overshooting their actual purposes. As noted in </w:t>
      </w:r>
      <w:r w:rsidRPr="00AF6773">
        <w:rPr>
          <w:rFonts w:cs="Times New Roman"/>
          <w:i/>
        </w:rPr>
        <w:t xml:space="preserve">R. v. </w:t>
      </w:r>
      <w:proofErr w:type="spellStart"/>
      <w:r w:rsidRPr="00AF6773">
        <w:rPr>
          <w:rFonts w:cs="Times New Roman"/>
          <w:i/>
        </w:rPr>
        <w:t>Blais</w:t>
      </w:r>
      <w:proofErr w:type="spellEnd"/>
      <w:r w:rsidRPr="00AF6773">
        <w:rPr>
          <w:rFonts w:cs="Times New Roman"/>
        </w:rPr>
        <w:t xml:space="preserve">, 2003 SCC 44, [2003] 2 </w:t>
      </w:r>
      <w:proofErr w:type="spellStart"/>
      <w:r w:rsidRPr="00AF6773">
        <w:rPr>
          <w:rFonts w:cs="Times New Roman"/>
        </w:rPr>
        <w:t>S.C.R</w:t>
      </w:r>
      <w:proofErr w:type="spellEnd"/>
      <w:r w:rsidRPr="00AF6773">
        <w:rPr>
          <w:rFonts w:cs="Times New Roman"/>
        </w:rPr>
        <w:t>. 236, “this Court is not free to invent new obligations foreign to the original purpose of the provision at issue. The analysis must be anchored in the historical context of the provision” (para. 40). Such judicial caution is entirely appropriate and in line with Binnie </w:t>
      </w:r>
      <w:proofErr w:type="spellStart"/>
      <w:r w:rsidRPr="00AF6773">
        <w:rPr>
          <w:rFonts w:cs="Times New Roman"/>
        </w:rPr>
        <w:t>J.’s</w:t>
      </w:r>
      <w:proofErr w:type="spellEnd"/>
      <w:r w:rsidRPr="00AF6773">
        <w:rPr>
          <w:rFonts w:cs="Times New Roman"/>
        </w:rPr>
        <w:t xml:space="preserve"> emphasis on the fact that “‘[g]</w:t>
      </w:r>
      <w:proofErr w:type="spellStart"/>
      <w:r w:rsidRPr="00AF6773">
        <w:rPr>
          <w:rFonts w:cs="Times New Roman"/>
        </w:rPr>
        <w:t>enerous</w:t>
      </w:r>
      <w:proofErr w:type="spellEnd"/>
      <w:r w:rsidRPr="00AF6773">
        <w:rPr>
          <w:rFonts w:cs="Times New Roman"/>
        </w:rPr>
        <w:t>’ rules of interpretation should not be confused with a vague sense of after</w:t>
      </w:r>
      <w:r w:rsidRPr="00AF6773">
        <w:rPr>
          <w:rFonts w:cs="Times New Roman"/>
        </w:rPr>
        <w:noBreakHyphen/>
        <w:t>the</w:t>
      </w:r>
      <w:r w:rsidRPr="00AF6773">
        <w:rPr>
          <w:rFonts w:cs="Times New Roman"/>
        </w:rPr>
        <w:noBreakHyphen/>
        <w:t>fact largesse” (</w:t>
      </w:r>
      <w:r w:rsidRPr="00AF6773">
        <w:rPr>
          <w:rFonts w:cs="Times New Roman"/>
          <w:i/>
        </w:rPr>
        <w:t>R. v. Marshall</w:t>
      </w:r>
      <w:r w:rsidRPr="00AF6773">
        <w:rPr>
          <w:rFonts w:cs="Times New Roman"/>
        </w:rPr>
        <w:t xml:space="preserve">, [1999] 3 </w:t>
      </w:r>
      <w:proofErr w:type="spellStart"/>
      <w:r w:rsidRPr="00AF6773">
        <w:rPr>
          <w:rFonts w:cs="Times New Roman"/>
        </w:rPr>
        <w:t>S.C.R</w:t>
      </w:r>
      <w:proofErr w:type="spellEnd"/>
      <w:r w:rsidRPr="00AF6773">
        <w:rPr>
          <w:rFonts w:cs="Times New Roman"/>
        </w:rPr>
        <w:t xml:space="preserve">. 456, at para. 14). </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Section 35(1) accords constitutional protection only to the rights of the “aboriginal peoples of Canada”. The courts below correctly held that s. 35(1) is to be interpreted purposively, but rather than undertaking a purposive analysis to determine the meaning of the phrase “aboriginal peoples of Canada”, they relied on the </w:t>
      </w:r>
      <w:r w:rsidRPr="00AF6773">
        <w:rPr>
          <w:rFonts w:cs="Times New Roman"/>
          <w:i/>
        </w:rPr>
        <w:t xml:space="preserve">Van der </w:t>
      </w:r>
      <w:proofErr w:type="spellStart"/>
      <w:r w:rsidRPr="00AF6773">
        <w:rPr>
          <w:rFonts w:cs="Times New Roman"/>
          <w:i/>
        </w:rPr>
        <w:lastRenderedPageBreak/>
        <w:t>Peet</w:t>
      </w:r>
      <w:proofErr w:type="spellEnd"/>
      <w:r w:rsidRPr="00AF6773">
        <w:rPr>
          <w:rFonts w:cs="Times New Roman"/>
          <w:i/>
        </w:rPr>
        <w:t xml:space="preserve"> </w:t>
      </w:r>
      <w:r w:rsidRPr="00AF6773">
        <w:rPr>
          <w:rFonts w:cs="Times New Roman"/>
        </w:rPr>
        <w:t xml:space="preserve">test to conceptualize the rights referred to in s. 35(1). As stated by the Court of Appeal (2019 </w:t>
      </w:r>
      <w:proofErr w:type="spellStart"/>
      <w:r w:rsidRPr="00AF6773">
        <w:rPr>
          <w:rFonts w:cs="Times New Roman"/>
        </w:rPr>
        <w:t>BCCA</w:t>
      </w:r>
      <w:proofErr w:type="spellEnd"/>
      <w:r w:rsidRPr="00AF6773">
        <w:rPr>
          <w:rFonts w:cs="Times New Roman"/>
        </w:rPr>
        <w:t xml:space="preserve"> 151, 24 </w:t>
      </w:r>
      <w:proofErr w:type="spellStart"/>
      <w:r w:rsidRPr="00AF6773">
        <w:rPr>
          <w:rFonts w:cs="Times New Roman"/>
        </w:rPr>
        <w:t>B.C.L.R</w:t>
      </w:r>
      <w:proofErr w:type="spellEnd"/>
      <w:r w:rsidRPr="00AF6773">
        <w:rPr>
          <w:rFonts w:cs="Times New Roman"/>
        </w:rPr>
        <w:t xml:space="preserve">. (6th) 48, at para. 57): “Simply put, if the </w:t>
      </w:r>
      <w:r w:rsidRPr="00AF6773">
        <w:rPr>
          <w:rFonts w:cs="Times New Roman"/>
          <w:i/>
        </w:rPr>
        <w:t xml:space="preserve">Van der </w:t>
      </w:r>
      <w:proofErr w:type="spellStart"/>
      <w:r w:rsidRPr="00AF6773">
        <w:rPr>
          <w:rFonts w:cs="Times New Roman"/>
          <w:i/>
        </w:rPr>
        <w:t>Peet</w:t>
      </w:r>
      <w:proofErr w:type="spellEnd"/>
      <w:r w:rsidRPr="00AF6773">
        <w:rPr>
          <w:rFonts w:cs="Times New Roman"/>
          <w:i/>
        </w:rPr>
        <w:t xml:space="preserve"> </w:t>
      </w:r>
      <w:r w:rsidRPr="00AF6773">
        <w:rPr>
          <w:rFonts w:cs="Times New Roman"/>
        </w:rPr>
        <w:t>requirements are met, the modern Indigenous community will be an ‘[a]</w:t>
      </w:r>
      <w:proofErr w:type="spellStart"/>
      <w:r w:rsidRPr="00AF6773">
        <w:rPr>
          <w:rFonts w:cs="Times New Roman"/>
        </w:rPr>
        <w:t>boriginal</w:t>
      </w:r>
      <w:proofErr w:type="spellEnd"/>
      <w:r w:rsidRPr="00AF6773">
        <w:rPr>
          <w:rFonts w:cs="Times New Roman"/>
        </w:rPr>
        <w:t xml:space="preserve"> peoples of Canada’.”</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I am in agreement with my colleague Rowe J. on the following point: the question of whether a claimant falls within the meaning of “aboriginal peoples of Canada” in s. 35 is a threshold question; this question should be answered separately from the </w:t>
      </w:r>
      <w:r w:rsidRPr="00AF6773">
        <w:rPr>
          <w:rFonts w:cs="Times New Roman"/>
          <w:i/>
        </w:rPr>
        <w:t xml:space="preserve">Van der </w:t>
      </w:r>
      <w:proofErr w:type="spellStart"/>
      <w:r w:rsidRPr="00AF6773">
        <w:rPr>
          <w:rFonts w:cs="Times New Roman"/>
          <w:i/>
        </w:rPr>
        <w:t>Peet</w:t>
      </w:r>
      <w:proofErr w:type="spellEnd"/>
      <w:r w:rsidRPr="00AF6773">
        <w:rPr>
          <w:rFonts w:cs="Times New Roman"/>
          <w:i/>
        </w:rPr>
        <w:t xml:space="preserve"> </w:t>
      </w:r>
      <w:r w:rsidRPr="00AF6773">
        <w:rPr>
          <w:rFonts w:cs="Times New Roman"/>
        </w:rPr>
        <w:t>analysis for determining whether a group has an Aboriginal right; and the trial judge was required to address this threshold question to determine whether the Lakes Tribe fell within s. </w:t>
      </w:r>
      <w:proofErr w:type="spellStart"/>
      <w:r w:rsidRPr="00AF6773">
        <w:rPr>
          <w:rFonts w:cs="Times New Roman"/>
        </w:rPr>
        <w:t>35’s</w:t>
      </w:r>
      <w:proofErr w:type="spellEnd"/>
      <w:r w:rsidRPr="00AF6773">
        <w:rPr>
          <w:rFonts w:cs="Times New Roman"/>
        </w:rPr>
        <w:t xml:space="preserve"> purview. As noted by the appellant</w:t>
      </w:r>
      <w:r>
        <w:rPr>
          <w:rFonts w:cs="Times New Roman"/>
        </w:rPr>
        <w:t>,</w:t>
      </w:r>
      <w:r w:rsidRPr="00AF6773">
        <w:rPr>
          <w:rFonts w:cs="Times New Roman"/>
        </w:rPr>
        <w:t xml:space="preserve"> Her Majesty the Queen in Right of British Columbia (the “Crown”), “the </w:t>
      </w:r>
      <w:r w:rsidRPr="00AF6773">
        <w:rPr>
          <w:rFonts w:cs="Times New Roman"/>
          <w:i/>
        </w:rPr>
        <w:t xml:space="preserve">Van der </w:t>
      </w:r>
      <w:proofErr w:type="spellStart"/>
      <w:r w:rsidRPr="00AF6773">
        <w:rPr>
          <w:rFonts w:cs="Times New Roman"/>
          <w:i/>
        </w:rPr>
        <w:t>Peet</w:t>
      </w:r>
      <w:proofErr w:type="spellEnd"/>
      <w:r w:rsidRPr="00AF6773">
        <w:rPr>
          <w:rFonts w:cs="Times New Roman"/>
          <w:i/>
        </w:rPr>
        <w:t xml:space="preserve"> </w:t>
      </w:r>
      <w:r w:rsidRPr="00AF6773">
        <w:rPr>
          <w:rFonts w:cs="Times New Roman"/>
        </w:rPr>
        <w:t xml:space="preserve">test identifies </w:t>
      </w:r>
      <w:r w:rsidRPr="00AF6773">
        <w:rPr>
          <w:rFonts w:cs="Times New Roman"/>
          <w:u w:val="single"/>
        </w:rPr>
        <w:t>what</w:t>
      </w:r>
      <w:r w:rsidRPr="00AF6773">
        <w:rPr>
          <w:rFonts w:cs="Times New Roman"/>
        </w:rPr>
        <w:t xml:space="preserve"> comes within the scope of s. 35 as a right, not </w:t>
      </w:r>
      <w:r w:rsidRPr="00AF6773">
        <w:rPr>
          <w:rFonts w:cs="Times New Roman"/>
          <w:u w:val="single"/>
        </w:rPr>
        <w:t>who</w:t>
      </w:r>
      <w:r w:rsidRPr="00AF6773">
        <w:rPr>
          <w:rFonts w:cs="Times New Roman"/>
        </w:rPr>
        <w:t xml:space="preserve"> comes within the scope of s. 35 as a rights holder” (</w:t>
      </w:r>
      <w:proofErr w:type="spellStart"/>
      <w:r w:rsidRPr="00AF6773">
        <w:rPr>
          <w:rFonts w:cs="Times New Roman"/>
        </w:rPr>
        <w:t>A.F</w:t>
      </w:r>
      <w:proofErr w:type="spellEnd"/>
      <w:r w:rsidRPr="00AF6773">
        <w:rPr>
          <w:rFonts w:cs="Times New Roman"/>
        </w:rPr>
        <w:t xml:space="preserve">., at para. 59 (emphasis in original)). The </w:t>
      </w:r>
      <w:r w:rsidRPr="00AF6773">
        <w:rPr>
          <w:rFonts w:cs="Times New Roman"/>
          <w:i/>
        </w:rPr>
        <w:t xml:space="preserve">Van der </w:t>
      </w:r>
      <w:proofErr w:type="spellStart"/>
      <w:r w:rsidRPr="00AF6773">
        <w:rPr>
          <w:rFonts w:cs="Times New Roman"/>
          <w:i/>
        </w:rPr>
        <w:t>Peet</w:t>
      </w:r>
      <w:proofErr w:type="spellEnd"/>
      <w:r w:rsidRPr="00AF6773">
        <w:rPr>
          <w:rFonts w:cs="Times New Roman"/>
          <w:i/>
        </w:rPr>
        <w:t xml:space="preserve"> </w:t>
      </w:r>
      <w:r w:rsidRPr="00AF6773">
        <w:rPr>
          <w:rFonts w:cs="Times New Roman"/>
        </w:rPr>
        <w:t>test addresses the scope of Aboriginal rights but does not speak to treaty rights, Aboriginal title, or the rights of the Métis, which are also encompassed within s. 35(1). Using the test as proposed by the courts below defines “aboriginal peoples of Canada” solely in terms of occupation prior to contact, which is inconsistent with this Court’s acknowledgment that s. 35(1) rights “may only be exercised by virtue of an individual’s ancestrally based membership in the present community” (</w:t>
      </w:r>
      <w:r w:rsidRPr="00AF6773">
        <w:rPr>
          <w:rFonts w:cs="Times New Roman"/>
          <w:i/>
        </w:rPr>
        <w:t>R. v. Powley</w:t>
      </w:r>
      <w:r w:rsidRPr="00AF6773">
        <w:rPr>
          <w:rFonts w:cs="Times New Roman"/>
        </w:rPr>
        <w:t xml:space="preserve">, 2003 SCC 43, [2003] 2 </w:t>
      </w:r>
      <w:proofErr w:type="spellStart"/>
      <w:r w:rsidRPr="00AF6773">
        <w:rPr>
          <w:rFonts w:cs="Times New Roman"/>
        </w:rPr>
        <w:t>S.C.R</w:t>
      </w:r>
      <w:proofErr w:type="spellEnd"/>
      <w:r w:rsidRPr="00AF6773">
        <w:rPr>
          <w:rFonts w:cs="Times New Roman"/>
        </w:rPr>
        <w:t xml:space="preserve">. 207, at para. 24). </w:t>
      </w:r>
    </w:p>
    <w:p w:rsidR="00C437E7" w:rsidRPr="00AF6773" w:rsidRDefault="00C437E7" w:rsidP="00C437E7">
      <w:pPr>
        <w:pStyle w:val="ParaNoNdepar-AltN"/>
        <w:tabs>
          <w:tab w:val="clear" w:pos="1166"/>
          <w:tab w:val="num" w:pos="1152"/>
        </w:tabs>
        <w:rPr>
          <w:rFonts w:cs="Times New Roman"/>
        </w:rPr>
      </w:pPr>
      <w:r w:rsidRPr="00AF6773">
        <w:rPr>
          <w:rFonts w:cs="Times New Roman"/>
        </w:rPr>
        <w:lastRenderedPageBreak/>
        <w:t>However, I disagree with my colleague’s conclusion that the scope of “aboriginal peoples of Canada” for the purposes of s. 35(1) must mean the modern</w:t>
      </w:r>
      <w:r w:rsidRPr="00AF6773">
        <w:rPr>
          <w:rFonts w:cs="Times New Roman"/>
        </w:rPr>
        <w:noBreakHyphen/>
        <w:t xml:space="preserve">day successors of Aboriginal societies that occupied Canadian territory at the time of European contact and that, as a result, groups that are not located in Canada or whose members are not and never have been citizens or residents of Canada can be “aboriginal peoples of Canada”. </w:t>
      </w:r>
    </w:p>
    <w:p w:rsidR="00C437E7" w:rsidRPr="00AF6773" w:rsidRDefault="00C437E7" w:rsidP="00C437E7">
      <w:pPr>
        <w:pStyle w:val="ParaNoNdepar-AltN"/>
        <w:tabs>
          <w:tab w:val="clear" w:pos="1166"/>
          <w:tab w:val="num" w:pos="1152"/>
        </w:tabs>
        <w:rPr>
          <w:rFonts w:cs="Times New Roman"/>
        </w:rPr>
      </w:pPr>
      <w:r w:rsidRPr="00AF6773">
        <w:rPr>
          <w:rFonts w:cs="Times New Roman"/>
        </w:rPr>
        <w:t>In my view, to be entitled to the protection of s. 35(1), the modern-day successor groups cannot be located anywhere other than in Canada. A purposive analysis of s. 35(1) that has regard to the relevant linguistic, philosophic, and historical contexts of that provision establishes that it protects only Aboriginal peoples located within Canada. This approach, while dismissed by the Court of Appeal as “formalistic”, is entirely consistent with this Court’s guidance that s. 35(1) must be interpreted in a generous manner consistent with its intended purpose (</w:t>
      </w:r>
      <w:r w:rsidRPr="00AF6773">
        <w:rPr>
          <w:rFonts w:cs="Times New Roman"/>
          <w:i/>
        </w:rPr>
        <w:t>Manitoba Metis Federation Inc. v. Canada (Attorney General)</w:t>
      </w:r>
      <w:r w:rsidRPr="00AF6773">
        <w:rPr>
          <w:rFonts w:cs="Times New Roman"/>
        </w:rPr>
        <w:t xml:space="preserve">, 2013 SCC 14, [2013] 1 </w:t>
      </w:r>
      <w:proofErr w:type="spellStart"/>
      <w:r w:rsidRPr="00AF6773">
        <w:rPr>
          <w:rFonts w:cs="Times New Roman"/>
        </w:rPr>
        <w:t>S.C.R</w:t>
      </w:r>
      <w:proofErr w:type="spellEnd"/>
      <w:r w:rsidRPr="00AF6773">
        <w:rPr>
          <w:rFonts w:cs="Times New Roman"/>
        </w:rPr>
        <w:t xml:space="preserve">. 623, at para. 76; see also </w:t>
      </w:r>
      <w:r w:rsidRPr="00AF6773">
        <w:rPr>
          <w:rFonts w:cs="Times New Roman"/>
          <w:i/>
        </w:rPr>
        <w:t>R. v. Sparrow</w:t>
      </w:r>
      <w:r w:rsidRPr="00AF6773">
        <w:rPr>
          <w:rFonts w:cs="Times New Roman"/>
        </w:rPr>
        <w:t xml:space="preserve">, [1990] 1 </w:t>
      </w:r>
      <w:proofErr w:type="spellStart"/>
      <w:r w:rsidRPr="00AF6773">
        <w:rPr>
          <w:rFonts w:cs="Times New Roman"/>
        </w:rPr>
        <w:t>S.C.R</w:t>
      </w:r>
      <w:proofErr w:type="spellEnd"/>
      <w:r w:rsidRPr="00AF6773">
        <w:rPr>
          <w:rFonts w:cs="Times New Roman"/>
        </w:rPr>
        <w:t xml:space="preserve">. 1075, at p. 1106; </w:t>
      </w:r>
      <w:r w:rsidRPr="00AF6773">
        <w:rPr>
          <w:rFonts w:cs="Times New Roman"/>
          <w:i/>
        </w:rPr>
        <w:t xml:space="preserve">Van der </w:t>
      </w:r>
      <w:proofErr w:type="spellStart"/>
      <w:r w:rsidRPr="00AF6773">
        <w:rPr>
          <w:rFonts w:cs="Times New Roman"/>
          <w:i/>
        </w:rPr>
        <w:t>Peet</w:t>
      </w:r>
      <w:proofErr w:type="spellEnd"/>
      <w:r w:rsidRPr="00AF6773">
        <w:rPr>
          <w:rFonts w:cs="Times New Roman"/>
        </w:rPr>
        <w:t xml:space="preserve">, at para. 23). </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As Rowe J. recently confirmed, “[s.] 35 rights are not absolute. Like other provisions of the </w:t>
      </w:r>
      <w:r w:rsidRPr="00AF6773">
        <w:rPr>
          <w:rFonts w:cs="Times New Roman"/>
          <w:i/>
        </w:rPr>
        <w:t>Constitution Act, 1982</w:t>
      </w:r>
      <w:r w:rsidRPr="00AF6773">
        <w:rPr>
          <w:rFonts w:cs="Times New Roman"/>
        </w:rPr>
        <w:t>, s. 35 is both supported and confined by broader constitutional principles” (</w:t>
      </w:r>
      <w:proofErr w:type="spellStart"/>
      <w:r w:rsidRPr="00AF6773">
        <w:rPr>
          <w:rFonts w:cs="Times New Roman"/>
          <w:i/>
        </w:rPr>
        <w:t>Mikisew</w:t>
      </w:r>
      <w:proofErr w:type="spellEnd"/>
      <w:r w:rsidRPr="00AF6773">
        <w:rPr>
          <w:rFonts w:cs="Times New Roman"/>
          <w:i/>
        </w:rPr>
        <w:t xml:space="preserve"> Cree First Nation v. Canada (Governor General in Council)</w:t>
      </w:r>
      <w:r w:rsidRPr="00AF6773">
        <w:rPr>
          <w:rFonts w:cs="Times New Roman"/>
        </w:rPr>
        <w:t xml:space="preserve">, 2018 SCC 40, [2018] 2 </w:t>
      </w:r>
      <w:proofErr w:type="spellStart"/>
      <w:r w:rsidRPr="00AF6773">
        <w:rPr>
          <w:rFonts w:cs="Times New Roman"/>
        </w:rPr>
        <w:t>S.C.R</w:t>
      </w:r>
      <w:proofErr w:type="spellEnd"/>
      <w:r w:rsidRPr="00AF6773">
        <w:rPr>
          <w:rFonts w:cs="Times New Roman"/>
        </w:rPr>
        <w:t xml:space="preserve">. 765, at para. 153). As I will outline below, the framers’ intent was to protect the rights of Aboriginal groups that are </w:t>
      </w:r>
      <w:r w:rsidRPr="00AF6773">
        <w:rPr>
          <w:rFonts w:cs="Times New Roman"/>
        </w:rPr>
        <w:lastRenderedPageBreak/>
        <w:t xml:space="preserve">members of, and participants in, Canadian society. It has no interest in protecting groups that, plainly, have no connection to it. </w:t>
      </w:r>
    </w:p>
    <w:p w:rsidR="00C437E7" w:rsidRPr="00AF6773" w:rsidRDefault="00C437E7" w:rsidP="00C437E7">
      <w:pPr>
        <w:pStyle w:val="Title3LevelTitre3Niveau"/>
        <w:rPr>
          <w:rFonts w:cs="Times New Roman"/>
        </w:rPr>
      </w:pPr>
      <w:r w:rsidRPr="00AF6773">
        <w:rPr>
          <w:rFonts w:cs="Times New Roman"/>
        </w:rPr>
        <w:t xml:space="preserve">Linguistic Context </w:t>
      </w:r>
    </w:p>
    <w:p w:rsidR="00C437E7" w:rsidRPr="00AF6773" w:rsidRDefault="00C437E7" w:rsidP="00C437E7">
      <w:pPr>
        <w:pStyle w:val="ParaNoNdepar-AltN"/>
        <w:tabs>
          <w:tab w:val="clear" w:pos="1166"/>
          <w:tab w:val="num" w:pos="1152"/>
        </w:tabs>
        <w:rPr>
          <w:rFonts w:cs="Times New Roman"/>
        </w:rPr>
      </w:pPr>
      <w:r w:rsidRPr="00AF6773">
        <w:rPr>
          <w:rFonts w:cs="Times New Roman"/>
        </w:rPr>
        <w:t>It is a well-established presumption of statutory and constitutional interpretation that each and every word of a text must be given meaning. This follows from the assumption that the legislature a</w:t>
      </w:r>
      <w:r w:rsidR="00FF0AFA">
        <w:rPr>
          <w:rFonts w:cs="Times New Roman"/>
        </w:rPr>
        <w:t>voids tautology: “[I]</w:t>
      </w:r>
      <w:r w:rsidRPr="00AF6773">
        <w:rPr>
          <w:rFonts w:cs="Times New Roman"/>
        </w:rPr>
        <w:t xml:space="preserve">t does not use words solely for rhetorical or aesthetic effect” (R. Sullivan, </w:t>
      </w:r>
      <w:r w:rsidRPr="00AF6773">
        <w:rPr>
          <w:rFonts w:cs="Times New Roman"/>
          <w:i/>
        </w:rPr>
        <w:t>Statutory Interpretation</w:t>
      </w:r>
      <w:r w:rsidRPr="00AF6773">
        <w:rPr>
          <w:rFonts w:cs="Times New Roman"/>
        </w:rPr>
        <w:t xml:space="preserve"> (3rd ed. 2016), at p. 43). As Sullivan explains, “[</w:t>
      </w:r>
      <w:proofErr w:type="spellStart"/>
      <w:r w:rsidRPr="00AF6773">
        <w:rPr>
          <w:rFonts w:cs="Times New Roman"/>
        </w:rPr>
        <w:t>i</w:t>
      </w:r>
      <w:proofErr w:type="spellEnd"/>
      <w:r w:rsidRPr="00AF6773">
        <w:rPr>
          <w:rFonts w:cs="Times New Roman"/>
        </w:rPr>
        <w:t xml:space="preserve">]t is presumed that every feature of a legislative text has been deliberately chosen and has a particular role to play in the legislative design” (p. 43). This is consonant with this Court’s direction in </w:t>
      </w:r>
      <w:r w:rsidRPr="00AF6773">
        <w:rPr>
          <w:rFonts w:cs="Times New Roman"/>
          <w:i/>
        </w:rPr>
        <w:t>Caron v. Alberta</w:t>
      </w:r>
      <w:r w:rsidRPr="00AF6773">
        <w:rPr>
          <w:rFonts w:cs="Times New Roman"/>
        </w:rPr>
        <w:t xml:space="preserve">, 2015 SCC 56, [2015] 3 </w:t>
      </w:r>
      <w:proofErr w:type="spellStart"/>
      <w:r w:rsidRPr="00AF6773">
        <w:rPr>
          <w:rFonts w:cs="Times New Roman"/>
        </w:rPr>
        <w:t>S.C.R</w:t>
      </w:r>
      <w:proofErr w:type="spellEnd"/>
      <w:r w:rsidRPr="00AF6773">
        <w:rPr>
          <w:rFonts w:cs="Times New Roman"/>
        </w:rPr>
        <w:t xml:space="preserve">. 511, that the guiding principles of purposive interpretation “do not undermine the primacy of the written text of the Constitution” (para. 36, citing </w:t>
      </w:r>
      <w:r w:rsidRPr="00AF6773">
        <w:rPr>
          <w:rFonts w:cs="Times New Roman"/>
          <w:i/>
        </w:rPr>
        <w:t>Reference re Secession of Quebec</w:t>
      </w:r>
      <w:r w:rsidRPr="00AF6773">
        <w:rPr>
          <w:rFonts w:cs="Times New Roman"/>
        </w:rPr>
        <w:t xml:space="preserve">, [1998] 2 </w:t>
      </w:r>
      <w:proofErr w:type="spellStart"/>
      <w:r w:rsidRPr="00AF6773">
        <w:rPr>
          <w:rFonts w:cs="Times New Roman"/>
        </w:rPr>
        <w:t>S.C.R</w:t>
      </w:r>
      <w:proofErr w:type="spellEnd"/>
      <w:r w:rsidRPr="00AF6773">
        <w:rPr>
          <w:rFonts w:cs="Times New Roman"/>
        </w:rPr>
        <w:t xml:space="preserve">. 217, at para. 53), and that “constitutional interpretation must nonetheless begin with the language of the constitutional law or provision in question” (para. 37, quoting </w:t>
      </w:r>
      <w:r w:rsidRPr="00AF6773">
        <w:rPr>
          <w:rFonts w:cs="Times New Roman"/>
          <w:i/>
        </w:rPr>
        <w:t>British Columbia (Attorney General) v. Canada (Attorney General)</w:t>
      </w:r>
      <w:r w:rsidRPr="00AF6773">
        <w:rPr>
          <w:rFonts w:cs="Times New Roman"/>
        </w:rPr>
        <w:t xml:space="preserve">, [1994] 2 </w:t>
      </w:r>
      <w:proofErr w:type="spellStart"/>
      <w:r w:rsidRPr="00AF6773">
        <w:rPr>
          <w:rFonts w:cs="Times New Roman"/>
        </w:rPr>
        <w:t>S.C.R</w:t>
      </w:r>
      <w:proofErr w:type="spellEnd"/>
      <w:r w:rsidRPr="00AF6773">
        <w:rPr>
          <w:rFonts w:cs="Times New Roman"/>
        </w:rPr>
        <w:t>. 41, at p. 88).</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The summary conviction appeal judge held that “the meaning of s. 35 is not plain and obvious” with respect to the term “aboriginal peoples of Canada”, because the section does not expressly limit the protection of rights to Aboriginal peoples who reside in Canada or whose members are Canadian citizens (2017 </w:t>
      </w:r>
      <w:proofErr w:type="spellStart"/>
      <w:r w:rsidRPr="00AF6773">
        <w:rPr>
          <w:rFonts w:cs="Times New Roman"/>
        </w:rPr>
        <w:t>BCSC</w:t>
      </w:r>
      <w:proofErr w:type="spellEnd"/>
      <w:r w:rsidRPr="00AF6773">
        <w:rPr>
          <w:rFonts w:cs="Times New Roman"/>
        </w:rPr>
        <w:t xml:space="preserve"> 2389, [2018] 1 </w:t>
      </w:r>
      <w:proofErr w:type="spellStart"/>
      <w:r w:rsidRPr="00AF6773">
        <w:rPr>
          <w:rFonts w:cs="Times New Roman"/>
        </w:rPr>
        <w:t>C.N.L.R</w:t>
      </w:r>
      <w:proofErr w:type="spellEnd"/>
      <w:r w:rsidRPr="00AF6773">
        <w:rPr>
          <w:rFonts w:cs="Times New Roman"/>
        </w:rPr>
        <w:t xml:space="preserve">. 135, at para. 42). However, a textual analysis reveals the significance of the </w:t>
      </w:r>
      <w:r w:rsidRPr="00AF6773">
        <w:rPr>
          <w:rFonts w:cs="Times New Roman"/>
        </w:rPr>
        <w:lastRenderedPageBreak/>
        <w:t>drafters’ choice to include the phrase “of Canada” and “</w:t>
      </w:r>
      <w:r w:rsidRPr="00AF6773">
        <w:rPr>
          <w:rFonts w:cs="Times New Roman"/>
          <w:i/>
        </w:rPr>
        <w:t>du Canada</w:t>
      </w:r>
      <w:r w:rsidRPr="00AF6773">
        <w:rPr>
          <w:rFonts w:cs="Times New Roman"/>
        </w:rPr>
        <w:t>” rather than leaving the term “aboriginal peoples” and “</w:t>
      </w:r>
      <w:proofErr w:type="spellStart"/>
      <w:r w:rsidRPr="00AF6773">
        <w:rPr>
          <w:rFonts w:cs="Times New Roman"/>
          <w:i/>
        </w:rPr>
        <w:t>peuples</w:t>
      </w:r>
      <w:proofErr w:type="spellEnd"/>
      <w:r w:rsidRPr="00AF6773">
        <w:rPr>
          <w:rFonts w:cs="Times New Roman"/>
          <w:i/>
        </w:rPr>
        <w:t xml:space="preserve"> </w:t>
      </w:r>
      <w:proofErr w:type="spellStart"/>
      <w:r w:rsidRPr="00AF6773">
        <w:rPr>
          <w:rFonts w:cs="Times New Roman"/>
          <w:i/>
        </w:rPr>
        <w:t>autochtones</w:t>
      </w:r>
      <w:proofErr w:type="spellEnd"/>
      <w:r w:rsidRPr="00AF6773">
        <w:rPr>
          <w:rFonts w:cs="Times New Roman"/>
        </w:rPr>
        <w:t>” without any qualifier. For one, the use of the word “of” with reference to a place imports dwelling “and is ordinarily taken to mean that the person spoken of dwells at the place named” (</w:t>
      </w:r>
      <w:r w:rsidRPr="00AF6773">
        <w:rPr>
          <w:rFonts w:cs="Times New Roman"/>
          <w:i/>
        </w:rPr>
        <w:t>Stroud’s Judicial Dictionary of Words and Phrases</w:t>
      </w:r>
      <w:r w:rsidRPr="00AF6773">
        <w:rPr>
          <w:rFonts w:cs="Times New Roman"/>
        </w:rPr>
        <w:t xml:space="preserve"> (10th ed. 2020), vol. 2, at p. 889). The presumption against tautology carries considerable weight (</w:t>
      </w:r>
      <w:r w:rsidRPr="00AF6773">
        <w:rPr>
          <w:rFonts w:cs="Times New Roman"/>
          <w:i/>
        </w:rPr>
        <w:t>Placer Dome Canada Ltd. v. Ontario (Minister of Finance)</w:t>
      </w:r>
      <w:r w:rsidRPr="00AF6773">
        <w:rPr>
          <w:rFonts w:cs="Times New Roman"/>
        </w:rPr>
        <w:t xml:space="preserve">, 2006 SCC 20, [2006] 1 </w:t>
      </w:r>
      <w:proofErr w:type="spellStart"/>
      <w:r w:rsidRPr="00AF6773">
        <w:rPr>
          <w:rFonts w:cs="Times New Roman"/>
        </w:rPr>
        <w:t>S.C.R</w:t>
      </w:r>
      <w:proofErr w:type="spellEnd"/>
      <w:r w:rsidRPr="00AF6773">
        <w:rPr>
          <w:rFonts w:cs="Times New Roman"/>
        </w:rPr>
        <w:t>. 715, at</w:t>
      </w:r>
      <w:r w:rsidRPr="00AF6773">
        <w:rPr>
          <w:rFonts w:cs="Times New Roman"/>
          <w:i/>
        </w:rPr>
        <w:t xml:space="preserve"> </w:t>
      </w:r>
      <w:r w:rsidRPr="00AF6773">
        <w:rPr>
          <w:rFonts w:cs="Times New Roman"/>
        </w:rPr>
        <w:t xml:space="preserve">para. 46). It follows that the inclusion of the words “of Canada” cannot be seen as superfluous. This is particularly true when the word “of”, which is ordinarily taken to import dwelling, is used in combination with a clear geographical location such as “Canada”. </w:t>
      </w:r>
    </w:p>
    <w:p w:rsidR="00C437E7" w:rsidRPr="00AF6773" w:rsidRDefault="00C437E7" w:rsidP="00C437E7">
      <w:pPr>
        <w:pStyle w:val="ParaNoNdepar-AltN"/>
        <w:tabs>
          <w:tab w:val="clear" w:pos="1166"/>
          <w:tab w:val="num" w:pos="1152"/>
        </w:tabs>
        <w:rPr>
          <w:rFonts w:cs="Times New Roman"/>
        </w:rPr>
      </w:pPr>
      <w:r w:rsidRPr="00AF6773">
        <w:rPr>
          <w:rFonts w:cs="Times New Roman"/>
        </w:rPr>
        <w:t>The presumption of consistent expression also sheds light on how the phrase “of Canada” in s. 35 ought to be interpreted. As Sullivan notes:</w:t>
      </w:r>
    </w:p>
    <w:p w:rsidR="00C437E7" w:rsidRPr="00AF6773" w:rsidRDefault="00C437E7" w:rsidP="00C437E7">
      <w:pPr>
        <w:pStyle w:val="Citation-AltC"/>
        <w:ind w:firstLine="274"/>
      </w:pPr>
      <w:r w:rsidRPr="00AF6773">
        <w:t xml:space="preserve">It is presumed that the legislature uses language carefully and consistently so that within a statute or other legislative instrument the same words have the same meaning and different words have different meanings. Another way of understanding this presumption is to say that the legislature is presumed to avoid stylistic variation. Once a particular way of expressing a meaning has been adopted, it is used each time that meaning is intended. </w:t>
      </w:r>
    </w:p>
    <w:p w:rsidR="00C437E7" w:rsidRPr="00AF6773" w:rsidRDefault="00C437E7" w:rsidP="00C437E7">
      <w:pPr>
        <w:pStyle w:val="Citation-AltC"/>
        <w:ind w:firstLine="274"/>
      </w:pPr>
    </w:p>
    <w:p w:rsidR="00C437E7" w:rsidRPr="00AF6773" w:rsidRDefault="00C437E7" w:rsidP="00437F31">
      <w:pPr>
        <w:pStyle w:val="Citation-AltC"/>
        <w:ind w:left="0"/>
      </w:pPr>
      <w:r w:rsidRPr="00AF6773">
        <w:t>(</w:t>
      </w:r>
      <w:r w:rsidRPr="00AF6773">
        <w:rPr>
          <w:i/>
        </w:rPr>
        <w:t>Sullivan on the Construction of Statutes</w:t>
      </w:r>
      <w:r w:rsidRPr="00AF6773">
        <w:t xml:space="preserve"> (6th ed. 2014), at p. 217)</w:t>
      </w:r>
    </w:p>
    <w:p w:rsidR="00C437E7" w:rsidRPr="00AF6773" w:rsidRDefault="00C437E7" w:rsidP="00C437E7">
      <w:pPr>
        <w:pStyle w:val="ContinueParaSuitedupar-AltP"/>
        <w:rPr>
          <w:rFonts w:cs="Times New Roman"/>
        </w:rPr>
      </w:pPr>
      <w:r w:rsidRPr="00AF6773">
        <w:rPr>
          <w:rFonts w:cs="Times New Roman"/>
        </w:rPr>
        <w:t xml:space="preserve">Similar limiting language is used repeatedly in the </w:t>
      </w:r>
      <w:r w:rsidRPr="00AF6773">
        <w:rPr>
          <w:rFonts w:cs="Times New Roman"/>
          <w:i/>
        </w:rPr>
        <w:t>Constitution Act, 1982</w:t>
      </w:r>
      <w:r w:rsidRPr="00AF6773">
        <w:rPr>
          <w:rFonts w:cs="Times New Roman"/>
        </w:rPr>
        <w:t xml:space="preserve">, as a geographical qualifier: for example, “citizen of Canada” (ss. 3, 6 and 23), </w:t>
      </w:r>
      <w:proofErr w:type="gramStart"/>
      <w:r w:rsidRPr="00AF6773">
        <w:rPr>
          <w:rFonts w:cs="Times New Roman"/>
        </w:rPr>
        <w:t>“</w:t>
      </w:r>
      <w:proofErr w:type="gramEnd"/>
      <w:r w:rsidRPr="00AF6773">
        <w:rPr>
          <w:rFonts w:cs="Times New Roman"/>
        </w:rPr>
        <w:t xml:space="preserve">official languages of Canada” (s. 16), “government of Canada” (ss. 20, 32 and 36), and “Constitution of Canada” (s. 21). Interpreting “aboriginal peoples of Canada” in a more </w:t>
      </w:r>
      <w:r w:rsidRPr="00AF6773">
        <w:rPr>
          <w:rFonts w:cs="Times New Roman"/>
        </w:rPr>
        <w:lastRenderedPageBreak/>
        <w:t xml:space="preserve">expansive fashion would be incongruent with this presumption and contrary to the intention of the drafters. </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This Court considered the meaning of similar language in </w:t>
      </w:r>
      <w:proofErr w:type="spellStart"/>
      <w:r w:rsidRPr="00AF6773">
        <w:rPr>
          <w:rFonts w:cs="Times New Roman"/>
          <w:i/>
        </w:rPr>
        <w:t>Blais</w:t>
      </w:r>
      <w:proofErr w:type="spellEnd"/>
      <w:r w:rsidRPr="00AF6773">
        <w:rPr>
          <w:rFonts w:cs="Times New Roman"/>
          <w:i/>
        </w:rPr>
        <w:t xml:space="preserve"> </w:t>
      </w:r>
      <w:r w:rsidRPr="00AF6773">
        <w:rPr>
          <w:rFonts w:cs="Times New Roman"/>
        </w:rPr>
        <w:t xml:space="preserve">and in </w:t>
      </w:r>
      <w:r w:rsidRPr="00AF6773">
        <w:rPr>
          <w:rFonts w:cs="Times New Roman"/>
          <w:i/>
        </w:rPr>
        <w:t>Frank v. The Queen</w:t>
      </w:r>
      <w:r w:rsidRPr="00AF6773">
        <w:rPr>
          <w:rFonts w:cs="Times New Roman"/>
        </w:rPr>
        <w:t xml:space="preserve">, [1978] 1 </w:t>
      </w:r>
      <w:proofErr w:type="spellStart"/>
      <w:r w:rsidRPr="00AF6773">
        <w:rPr>
          <w:rFonts w:cs="Times New Roman"/>
        </w:rPr>
        <w:t>S.C.R</w:t>
      </w:r>
      <w:proofErr w:type="spellEnd"/>
      <w:r w:rsidRPr="00AF6773">
        <w:rPr>
          <w:rFonts w:cs="Times New Roman"/>
        </w:rPr>
        <w:t>. 95.</w:t>
      </w:r>
      <w:r w:rsidRPr="00AF6773">
        <w:rPr>
          <w:rFonts w:cs="Times New Roman"/>
          <w:i/>
        </w:rPr>
        <w:t xml:space="preserve"> </w:t>
      </w:r>
      <w:r w:rsidRPr="00AF6773">
        <w:rPr>
          <w:rFonts w:cs="Times New Roman"/>
        </w:rPr>
        <w:t>In</w:t>
      </w:r>
      <w:r w:rsidRPr="00AF6773">
        <w:rPr>
          <w:rFonts w:cs="Times New Roman"/>
          <w:i/>
        </w:rPr>
        <w:t xml:space="preserve"> </w:t>
      </w:r>
      <w:proofErr w:type="spellStart"/>
      <w:r w:rsidRPr="00AF6773">
        <w:rPr>
          <w:rFonts w:cs="Times New Roman"/>
          <w:i/>
        </w:rPr>
        <w:t>Blais</w:t>
      </w:r>
      <w:proofErr w:type="spellEnd"/>
      <w:r w:rsidRPr="00AF6773">
        <w:rPr>
          <w:rFonts w:cs="Times New Roman"/>
        </w:rPr>
        <w:t xml:space="preserve">, the Court did not accept that Métis peoples fell within the meaning of “Indians” in the harvesting clause of the Manitoba </w:t>
      </w:r>
      <w:r w:rsidRPr="00AF6773">
        <w:rPr>
          <w:rFonts w:cs="Times New Roman"/>
          <w:i/>
        </w:rPr>
        <w:t xml:space="preserve">Natural Resources Transfer Agreement </w:t>
      </w:r>
      <w:r w:rsidRPr="00AF6773">
        <w:rPr>
          <w:rFonts w:cs="Times New Roman"/>
        </w:rPr>
        <w:t>(“</w:t>
      </w:r>
      <w:proofErr w:type="spellStart"/>
      <w:r w:rsidRPr="00AF6773">
        <w:rPr>
          <w:rFonts w:cs="Times New Roman"/>
          <w:i/>
        </w:rPr>
        <w:t>NRTA</w:t>
      </w:r>
      <w:proofErr w:type="spellEnd"/>
      <w:r w:rsidRPr="00AF6773">
        <w:rPr>
          <w:rFonts w:cs="Times New Roman"/>
        </w:rPr>
        <w:t>”), in part because of how that term was used elsewhere in the agreement:</w:t>
      </w:r>
    </w:p>
    <w:p w:rsidR="00C437E7" w:rsidRPr="00AF6773" w:rsidRDefault="00C437E7" w:rsidP="00C437E7">
      <w:pPr>
        <w:pStyle w:val="Citation-AltC"/>
        <w:ind w:left="1168"/>
      </w:pPr>
      <w:r w:rsidRPr="00AF6773">
        <w:t xml:space="preserve">The placement of para. 13 in the part of the </w:t>
      </w:r>
      <w:proofErr w:type="spellStart"/>
      <w:r w:rsidRPr="00AF6773">
        <w:rPr>
          <w:i/>
        </w:rPr>
        <w:t>NRTA</w:t>
      </w:r>
      <w:proofErr w:type="spellEnd"/>
      <w:r w:rsidRPr="00AF6773">
        <w:t xml:space="preserve"> entitled “Indian Reserves”, </w:t>
      </w:r>
      <w:r w:rsidRPr="00AF6773">
        <w:rPr>
          <w:u w:val="single"/>
        </w:rPr>
        <w:t>along with two other provisions that clearly do not apply to the Métis, supports the view that the term “Indian” as used throughout this part was not seen as including the Métis.</w:t>
      </w:r>
      <w:r w:rsidRPr="00AF6773">
        <w:t xml:space="preserve"> This placement weighs against the argument that we should construe the term “Indians” more broadly than otherwise suggested by the historical context of the </w:t>
      </w:r>
      <w:proofErr w:type="spellStart"/>
      <w:r w:rsidRPr="00AF6773">
        <w:rPr>
          <w:i/>
        </w:rPr>
        <w:t>NRTA</w:t>
      </w:r>
      <w:proofErr w:type="spellEnd"/>
      <w:r w:rsidRPr="00AF6773">
        <w:t xml:space="preserve"> and the common usage of the term at the time of the </w:t>
      </w:r>
      <w:proofErr w:type="spellStart"/>
      <w:r w:rsidRPr="00AF6773">
        <w:rPr>
          <w:i/>
        </w:rPr>
        <w:t>NRTA</w:t>
      </w:r>
      <w:r w:rsidRPr="00AF6773">
        <w:t>’s</w:t>
      </w:r>
      <w:proofErr w:type="spellEnd"/>
      <w:r w:rsidRPr="00AF6773">
        <w:t xml:space="preserve"> enactment. [Emphasis added; para. 30.]</w:t>
      </w:r>
    </w:p>
    <w:p w:rsidR="00C437E7" w:rsidRPr="00AF6773" w:rsidRDefault="00C437E7" w:rsidP="00C437E7">
      <w:pPr>
        <w:pStyle w:val="ContinueParaSuitedupar-AltP"/>
        <w:rPr>
          <w:rFonts w:cs="Times New Roman"/>
        </w:rPr>
      </w:pPr>
      <w:r w:rsidRPr="00AF6773">
        <w:rPr>
          <w:rFonts w:cs="Times New Roman"/>
        </w:rPr>
        <w:t xml:space="preserve">In </w:t>
      </w:r>
      <w:r w:rsidRPr="00AF6773">
        <w:rPr>
          <w:rFonts w:cs="Times New Roman"/>
          <w:i/>
        </w:rPr>
        <w:t>Frank</w:t>
      </w:r>
      <w:r w:rsidRPr="00AF6773">
        <w:rPr>
          <w:rFonts w:cs="Times New Roman"/>
        </w:rPr>
        <w:t xml:space="preserve">, this Court interpreted the phrase “Indians of the Province” in Alberta’s </w:t>
      </w:r>
      <w:proofErr w:type="spellStart"/>
      <w:r w:rsidRPr="00AF6773">
        <w:rPr>
          <w:rFonts w:cs="Times New Roman"/>
          <w:i/>
        </w:rPr>
        <w:t>NRTA</w:t>
      </w:r>
      <w:proofErr w:type="spellEnd"/>
      <w:r w:rsidRPr="00AF6773">
        <w:rPr>
          <w:rFonts w:cs="Times New Roman"/>
          <w:i/>
        </w:rPr>
        <w:t xml:space="preserve"> </w:t>
      </w:r>
      <w:r w:rsidRPr="00AF6773">
        <w:rPr>
          <w:rFonts w:cs="Times New Roman"/>
        </w:rPr>
        <w:t xml:space="preserve">as having a narrower meaning than “Indians within the boundaries thereof”, a phrase also used in the agreement. In finding that “Indians of the Province” meant Alberta Indians, this Court read the phrase in its ordinary grammatical sense and appropriately imposed a geographical qualifier.  </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In </w:t>
      </w:r>
      <w:r w:rsidRPr="00AF6773">
        <w:rPr>
          <w:rFonts w:cs="Times New Roman"/>
          <w:i/>
        </w:rPr>
        <w:t>British Columbia v. Imperial Tobacco Canada Ltd.</w:t>
      </w:r>
      <w:r w:rsidRPr="00AF6773">
        <w:rPr>
          <w:rFonts w:cs="Times New Roman"/>
        </w:rPr>
        <w:t xml:space="preserve">, 2005 SCC 49, [2005] 2 </w:t>
      </w:r>
      <w:proofErr w:type="spellStart"/>
      <w:r w:rsidRPr="00AF6773">
        <w:rPr>
          <w:rFonts w:cs="Times New Roman"/>
        </w:rPr>
        <w:t>S.C.R</w:t>
      </w:r>
      <w:proofErr w:type="spellEnd"/>
      <w:r w:rsidRPr="00AF6773">
        <w:rPr>
          <w:rFonts w:cs="Times New Roman"/>
        </w:rPr>
        <w:t>. 473, at para. 65, this Court cautioned against an interpretation that would “</w:t>
      </w:r>
      <w:proofErr w:type="gramStart"/>
      <w:r w:rsidRPr="00AF6773">
        <w:rPr>
          <w:rFonts w:cs="Times New Roman"/>
        </w:rPr>
        <w:t>render .</w:t>
      </w:r>
      <w:proofErr w:type="gramEnd"/>
      <w:r w:rsidRPr="00AF6773">
        <w:rPr>
          <w:rFonts w:cs="Times New Roman"/>
        </w:rPr>
        <w:t xml:space="preserve"> . . constitutional rights redundant and, in doing so, undermine the </w:t>
      </w:r>
      <w:r w:rsidRPr="00AF6773">
        <w:rPr>
          <w:rFonts w:cs="Times New Roman"/>
        </w:rPr>
        <w:lastRenderedPageBreak/>
        <w:t xml:space="preserve">delimitation of those rights chosen by our constitutional framers”. In my view, the majority’s approach would do just that. An interpretation of “aboriginal peoples of Canada” that includes groups not located in Canada or whose members are not and never were citizens or residents of Canada gives the words “of Canada” no meaning. The words are not necessary for logic or for grammatical purposes, in opposition to the presumption against tautology. The explicit inclusion of the Métis peoples in s. 35(2) is a further indication that the intent of the framers was not to constitutionalize, as my colleague notes, “rights and relationships that arise from the prior occupation of Canada </w:t>
      </w:r>
      <w:r>
        <w:rPr>
          <w:rFonts w:cs="Times New Roman"/>
        </w:rPr>
        <w:t>by A</w:t>
      </w:r>
      <w:r w:rsidRPr="00AF6773">
        <w:rPr>
          <w:rFonts w:cs="Times New Roman"/>
        </w:rPr>
        <w:t xml:space="preserve">boriginal societies” (para. 31), but instead to elevate all existing Aboriginal rights held by Aboriginal peoples who were in Canada in 1982 to constitutional status, regardless of whether their societies existed pre-contact or pre-control. The use of the words “of Canada” in the rest of the </w:t>
      </w:r>
      <w:r w:rsidRPr="00AF6773">
        <w:rPr>
          <w:rFonts w:cs="Times New Roman"/>
          <w:i/>
        </w:rPr>
        <w:t>Constitution Act, 1982</w:t>
      </w:r>
      <w:r w:rsidRPr="00AF6773">
        <w:rPr>
          <w:rFonts w:cs="Times New Roman"/>
        </w:rPr>
        <w:t xml:space="preserve">, is clearly meant to narrow the scope of the rights being constitutionalized through geographical qualifier. It would be incongruent to interpret “aboriginal peoples of Canada” differently. </w:t>
      </w:r>
    </w:p>
    <w:p w:rsidR="00C437E7" w:rsidRPr="00AF6773" w:rsidRDefault="00C437E7" w:rsidP="00C437E7">
      <w:pPr>
        <w:pStyle w:val="Title3LevelTitre3Niveau"/>
        <w:rPr>
          <w:rFonts w:cs="Times New Roman"/>
        </w:rPr>
      </w:pPr>
      <w:r w:rsidRPr="00AF6773">
        <w:rPr>
          <w:rFonts w:cs="Times New Roman"/>
        </w:rPr>
        <w:t>Philosophic Context</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The philosophic context helps explain why residence or citizenship is not referenced in s. 35, but is assumed. As this Court noted in </w:t>
      </w:r>
      <w:r w:rsidRPr="00AF6773">
        <w:rPr>
          <w:rFonts w:cs="Times New Roman"/>
          <w:i/>
        </w:rPr>
        <w:t xml:space="preserve">Van der </w:t>
      </w:r>
      <w:proofErr w:type="spellStart"/>
      <w:r w:rsidRPr="00AF6773">
        <w:rPr>
          <w:rFonts w:cs="Times New Roman"/>
          <w:i/>
        </w:rPr>
        <w:t>Peet</w:t>
      </w:r>
      <w:proofErr w:type="spellEnd"/>
      <w:r w:rsidRPr="00AF6773">
        <w:rPr>
          <w:rFonts w:cs="Times New Roman"/>
        </w:rPr>
        <w:t>, at paras. 18</w:t>
      </w:r>
      <w:r w:rsidRPr="00AF6773">
        <w:rPr>
          <w:rFonts w:cs="Times New Roman"/>
        </w:rPr>
        <w:noBreakHyphen/>
        <w:t xml:space="preserve">19, whereas </w:t>
      </w:r>
      <w:r w:rsidRPr="00AF6773">
        <w:rPr>
          <w:rFonts w:cs="Times New Roman"/>
          <w:i/>
        </w:rPr>
        <w:t xml:space="preserve">Charter </w:t>
      </w:r>
      <w:r w:rsidRPr="00AF6773">
        <w:rPr>
          <w:rFonts w:cs="Times New Roman"/>
        </w:rPr>
        <w:t xml:space="preserve">rights are, in the liberal enlightenment view, “general and universal”, </w:t>
      </w:r>
    </w:p>
    <w:p w:rsidR="00C437E7" w:rsidRPr="00AF6773" w:rsidRDefault="00C437E7" w:rsidP="00C437E7">
      <w:pPr>
        <w:pStyle w:val="Citation-AltC"/>
        <w:ind w:firstLine="274"/>
      </w:pPr>
      <w:r w:rsidRPr="00AF6773">
        <w:t>[</w:t>
      </w:r>
      <w:proofErr w:type="gramStart"/>
      <w:r w:rsidRPr="00AF6773">
        <w:t>a]</w:t>
      </w:r>
      <w:proofErr w:type="spellStart"/>
      <w:proofErr w:type="gramEnd"/>
      <w:r w:rsidRPr="00AF6773">
        <w:t>boriginal</w:t>
      </w:r>
      <w:proofErr w:type="spellEnd"/>
      <w:r w:rsidRPr="00AF6773">
        <w:t xml:space="preserve"> rights cannot . . . be defined on the basis of the philosophical precepts of the liberal enlightenment. Although equal in importance and significance to the rights enshrined in the </w:t>
      </w:r>
      <w:r w:rsidRPr="00AF6773">
        <w:rPr>
          <w:i/>
        </w:rPr>
        <w:t>Charter</w:t>
      </w:r>
      <w:r w:rsidRPr="00AF6773">
        <w:t xml:space="preserve">, aboriginal rights must be viewed differently from </w:t>
      </w:r>
      <w:r w:rsidRPr="00AF6773">
        <w:rPr>
          <w:i/>
        </w:rPr>
        <w:t>Charter</w:t>
      </w:r>
      <w:r w:rsidRPr="00AF6773">
        <w:t xml:space="preserve"> rights because </w:t>
      </w:r>
      <w:r w:rsidRPr="00AF6773">
        <w:lastRenderedPageBreak/>
        <w:t xml:space="preserve">they are rights held only by </w:t>
      </w:r>
      <w:r w:rsidRPr="00AF6773">
        <w:rPr>
          <w:u w:val="single"/>
        </w:rPr>
        <w:t>aboriginal members of Canadian society</w:t>
      </w:r>
      <w:r w:rsidRPr="00AF6773">
        <w:t>. [Emphasis added; emphasis in original deleted.]</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This characterization has been reflected in this Court’s view of reconciliation between the Aboriginal peoples of Canada and the Crown. Writing for the majority in </w:t>
      </w:r>
      <w:r w:rsidRPr="00AF6773">
        <w:rPr>
          <w:rFonts w:cs="Times New Roman"/>
          <w:i/>
        </w:rPr>
        <w:t>Beckman v. Little Salmon/</w:t>
      </w:r>
      <w:proofErr w:type="spellStart"/>
      <w:r w:rsidRPr="00AF6773">
        <w:rPr>
          <w:rFonts w:cs="Times New Roman"/>
          <w:i/>
        </w:rPr>
        <w:t>Carmacks</w:t>
      </w:r>
      <w:proofErr w:type="spellEnd"/>
      <w:r w:rsidRPr="00AF6773">
        <w:rPr>
          <w:rFonts w:cs="Times New Roman"/>
          <w:i/>
        </w:rPr>
        <w:t xml:space="preserve"> First Nation</w:t>
      </w:r>
      <w:r w:rsidRPr="00AF6773">
        <w:rPr>
          <w:rFonts w:cs="Times New Roman"/>
        </w:rPr>
        <w:t xml:space="preserve">, 2010 SCC 53, [2010] 3 </w:t>
      </w:r>
      <w:proofErr w:type="spellStart"/>
      <w:r w:rsidRPr="00AF6773">
        <w:rPr>
          <w:rFonts w:cs="Times New Roman"/>
        </w:rPr>
        <w:t>S.C.R</w:t>
      </w:r>
      <w:proofErr w:type="spellEnd"/>
      <w:r w:rsidRPr="00AF6773">
        <w:rPr>
          <w:rFonts w:cs="Times New Roman"/>
        </w:rPr>
        <w:t>. 103, at para. 10, Binnie J. described s. </w:t>
      </w:r>
      <w:proofErr w:type="spellStart"/>
      <w:r w:rsidRPr="00AF6773">
        <w:rPr>
          <w:rFonts w:cs="Times New Roman"/>
        </w:rPr>
        <w:t>35’s</w:t>
      </w:r>
      <w:proofErr w:type="spellEnd"/>
      <w:r w:rsidRPr="00AF6773">
        <w:rPr>
          <w:rFonts w:cs="Times New Roman"/>
        </w:rPr>
        <w:t xml:space="preserve"> “grand purpose” as being the “reconciliation of Aboriginal and non-Aboriginal </w:t>
      </w:r>
      <w:r w:rsidRPr="00AF6773">
        <w:rPr>
          <w:rFonts w:cs="Times New Roman"/>
          <w:u w:val="single"/>
        </w:rPr>
        <w:t>Canadians</w:t>
      </w:r>
      <w:r w:rsidRPr="00AF6773">
        <w:rPr>
          <w:rFonts w:cs="Times New Roman"/>
        </w:rPr>
        <w:t xml:space="preserve"> in a mutually respectful long-term relationship” (emphasis added). Later in </w:t>
      </w:r>
      <w:r w:rsidRPr="00AF6773">
        <w:rPr>
          <w:rFonts w:cs="Times New Roman"/>
          <w:i/>
        </w:rPr>
        <w:t>Beckman</w:t>
      </w:r>
      <w:r w:rsidRPr="00AF6773">
        <w:rPr>
          <w:rFonts w:cs="Times New Roman"/>
        </w:rPr>
        <w:t>, Binnie J. expanded on s. </w:t>
      </w:r>
      <w:proofErr w:type="spellStart"/>
      <w:r w:rsidRPr="00AF6773">
        <w:rPr>
          <w:rFonts w:cs="Times New Roman"/>
        </w:rPr>
        <w:t>35’s</w:t>
      </w:r>
      <w:proofErr w:type="spellEnd"/>
      <w:r w:rsidRPr="00AF6773">
        <w:rPr>
          <w:rFonts w:cs="Times New Roman"/>
        </w:rPr>
        <w:t xml:space="preserve"> purpose, implicitly signalling the centrality of residency in </w:t>
      </w:r>
      <w:r w:rsidR="00437F31">
        <w:rPr>
          <w:rFonts w:cs="Times New Roman"/>
        </w:rPr>
        <w:t xml:space="preserve">the formulation of s. 35: </w:t>
      </w:r>
    </w:p>
    <w:p w:rsidR="00C437E7" w:rsidRPr="00AF6773" w:rsidRDefault="00C437E7" w:rsidP="00C437E7">
      <w:pPr>
        <w:pStyle w:val="Citation-AltC"/>
        <w:ind w:firstLine="274"/>
      </w:pPr>
      <w:r w:rsidRPr="00AF6773">
        <w:t xml:space="preserve">The decision to entrench in s. 35 of the </w:t>
      </w:r>
      <w:r w:rsidRPr="00AF6773">
        <w:rPr>
          <w:i/>
        </w:rPr>
        <w:t>Constitution Act, 1982</w:t>
      </w:r>
      <w:r w:rsidRPr="00AF6773">
        <w:t xml:space="preserve"> the recognition and affirmation of existing Aboriginal and treaty rights, signalled a commitment by Canada’s political leaders to protect and preserve constitutional space for Aboriginal peoples to be Aboriginal. At the same time, Aboriginal people do not, by reason of their Aboriginal heritage, cease to be citizens who fully participate with other Canadians in their collective governance. [para. 33]</w:t>
      </w:r>
    </w:p>
    <w:p w:rsidR="00C437E7" w:rsidRPr="00AF6773" w:rsidRDefault="00C437E7" w:rsidP="00C437E7">
      <w:pPr>
        <w:pStyle w:val="ParaNoNdepar-AltN"/>
        <w:tabs>
          <w:tab w:val="clear" w:pos="1166"/>
          <w:tab w:val="num" w:pos="1152"/>
        </w:tabs>
        <w:rPr>
          <w:rFonts w:cs="Times New Roman"/>
        </w:rPr>
      </w:pPr>
      <w:r w:rsidRPr="00AF6773">
        <w:rPr>
          <w:rFonts w:cs="Times New Roman"/>
        </w:rPr>
        <w:t>By framing s. 35(1) as a provision “granting special constitutional protection to one part of Canadian society” (</w:t>
      </w:r>
      <w:r w:rsidRPr="00AF6773">
        <w:rPr>
          <w:rFonts w:cs="Times New Roman"/>
          <w:i/>
        </w:rPr>
        <w:t xml:space="preserve">Van der </w:t>
      </w:r>
      <w:proofErr w:type="spellStart"/>
      <w:r w:rsidRPr="00AF6773">
        <w:rPr>
          <w:rFonts w:cs="Times New Roman"/>
          <w:i/>
        </w:rPr>
        <w:t>Peet</w:t>
      </w:r>
      <w:proofErr w:type="spellEnd"/>
      <w:r w:rsidRPr="00AF6773">
        <w:rPr>
          <w:rFonts w:cs="Times New Roman"/>
        </w:rPr>
        <w:t xml:space="preserve">, at para. 20), this Court has consistently understood s. 35(1) to import a residency or citizenship requirement. As Binnie J. stated in </w:t>
      </w:r>
      <w:r w:rsidRPr="00AF6773">
        <w:rPr>
          <w:rFonts w:cs="Times New Roman"/>
          <w:i/>
        </w:rPr>
        <w:t>Mitchell</w:t>
      </w:r>
      <w:r w:rsidRPr="00AF6773">
        <w:rPr>
          <w:rFonts w:cs="Times New Roman"/>
        </w:rPr>
        <w:t>, Aboriginal rights, as defined by this Court, “find their source in an earlier age, but th</w:t>
      </w:r>
      <w:r w:rsidR="00DF18BA">
        <w:rPr>
          <w:rFonts w:cs="Times New Roman"/>
        </w:rPr>
        <w:t xml:space="preserve">ey have not been frozen in time. . . . </w:t>
      </w:r>
      <w:r w:rsidRPr="00AF6773">
        <w:rPr>
          <w:rFonts w:cs="Times New Roman"/>
        </w:rPr>
        <w:t xml:space="preserve">They are projected into modern Canada where they are exercised as group rights in the 21st century by </w:t>
      </w:r>
      <w:r w:rsidR="00DF18BA">
        <w:rPr>
          <w:rFonts w:cs="Times New Roman"/>
        </w:rPr>
        <w:t>modern Canadians who wish </w:t>
      </w:r>
      <w:r w:rsidRPr="00AF6773">
        <w:rPr>
          <w:rFonts w:cs="Times New Roman"/>
        </w:rPr>
        <w:t xml:space="preserve">to </w:t>
      </w:r>
      <w:r w:rsidR="00DF18BA">
        <w:rPr>
          <w:rFonts w:cs="Times New Roman"/>
        </w:rPr>
        <w:t xml:space="preserve">. . . </w:t>
      </w:r>
      <w:r w:rsidRPr="00AF6773">
        <w:rPr>
          <w:rFonts w:cs="Times New Roman"/>
        </w:rPr>
        <w:t xml:space="preserve">protect their aboriginal identity” (para. 132). </w:t>
      </w:r>
    </w:p>
    <w:p w:rsidR="00C437E7" w:rsidRPr="00AF6773" w:rsidRDefault="00C437E7" w:rsidP="00C437E7">
      <w:pPr>
        <w:pStyle w:val="ParaNoNdepar-AltN"/>
        <w:tabs>
          <w:tab w:val="clear" w:pos="1166"/>
          <w:tab w:val="num" w:pos="1152"/>
        </w:tabs>
        <w:rPr>
          <w:rFonts w:cs="Times New Roman"/>
        </w:rPr>
      </w:pPr>
      <w:r w:rsidRPr="00AF6773">
        <w:rPr>
          <w:rFonts w:cs="Times New Roman"/>
        </w:rPr>
        <w:lastRenderedPageBreak/>
        <w:t>As Lamer </w:t>
      </w:r>
      <w:proofErr w:type="spellStart"/>
      <w:r w:rsidRPr="00AF6773">
        <w:rPr>
          <w:rFonts w:cs="Times New Roman"/>
        </w:rPr>
        <w:t>C.J</w:t>
      </w:r>
      <w:proofErr w:type="spellEnd"/>
      <w:r w:rsidRPr="00AF6773">
        <w:rPr>
          <w:rFonts w:cs="Times New Roman"/>
        </w:rPr>
        <w:t xml:space="preserve">. held in </w:t>
      </w:r>
      <w:r w:rsidRPr="00AF6773">
        <w:rPr>
          <w:rFonts w:cs="Times New Roman"/>
          <w:i/>
        </w:rPr>
        <w:t xml:space="preserve">Van der </w:t>
      </w:r>
      <w:proofErr w:type="spellStart"/>
      <w:r w:rsidRPr="00AF6773">
        <w:rPr>
          <w:rFonts w:cs="Times New Roman"/>
          <w:i/>
        </w:rPr>
        <w:t>Peet</w:t>
      </w:r>
      <w:proofErr w:type="spellEnd"/>
      <w:r w:rsidRPr="00AF6773">
        <w:rPr>
          <w:rFonts w:cs="Times New Roman"/>
        </w:rPr>
        <w:t xml:space="preserve">, at para. 21, s. 35(1)’s purpose should be understood in relation to “the interests it was meant to protect” (citing </w:t>
      </w:r>
      <w:r w:rsidRPr="00AF6773">
        <w:rPr>
          <w:rFonts w:cs="Times New Roman"/>
          <w:i/>
        </w:rPr>
        <w:t>R. v. Big M Drug Mart Ltd.</w:t>
      </w:r>
      <w:r w:rsidRPr="00AF6773">
        <w:rPr>
          <w:rFonts w:cs="Times New Roman"/>
        </w:rPr>
        <w:t xml:space="preserve">, [1985] 1 </w:t>
      </w:r>
      <w:proofErr w:type="spellStart"/>
      <w:r w:rsidRPr="00AF6773">
        <w:rPr>
          <w:rFonts w:cs="Times New Roman"/>
        </w:rPr>
        <w:t>S.C.R</w:t>
      </w:r>
      <w:proofErr w:type="spellEnd"/>
      <w:r w:rsidRPr="00AF6773">
        <w:rPr>
          <w:rFonts w:cs="Times New Roman"/>
        </w:rPr>
        <w:t>. 295, at p. 344). Section 35 protects Aboriginal peoples “as full participants with non-aboriginal peoples in a shared Canadian sovereignty” (</w:t>
      </w:r>
      <w:r w:rsidRPr="00AF6773">
        <w:rPr>
          <w:rFonts w:cs="Times New Roman"/>
          <w:i/>
        </w:rPr>
        <w:t>Mitchell</w:t>
      </w:r>
      <w:r w:rsidRPr="00AF6773">
        <w:rPr>
          <w:rFonts w:cs="Times New Roman"/>
        </w:rPr>
        <w:t>, at para. 135). The protections, therefore, do not and cannot apply to Aboriginal groups in other countries. It cannot be said that these groups “fully participate with other Canadians in their collective governance” (</w:t>
      </w:r>
      <w:r w:rsidRPr="00AF6773">
        <w:rPr>
          <w:rFonts w:cs="Times New Roman"/>
          <w:i/>
        </w:rPr>
        <w:t>Beckman</w:t>
      </w:r>
      <w:r w:rsidRPr="00AF6773">
        <w:rPr>
          <w:rFonts w:cs="Times New Roman"/>
        </w:rPr>
        <w:t>, at para. 33), nor do they “live and contribute as part of our national diversity” (</w:t>
      </w:r>
      <w:r w:rsidRPr="00AF6773">
        <w:rPr>
          <w:rFonts w:cs="Times New Roman"/>
          <w:i/>
        </w:rPr>
        <w:t>Mitchell</w:t>
      </w:r>
      <w:r w:rsidRPr="00AF6773">
        <w:rPr>
          <w:rFonts w:cs="Times New Roman"/>
        </w:rPr>
        <w:t xml:space="preserve">, at para. 132). It is this reality which must colour the scope and content of the expression “aboriginal peoples of Canada”. </w:t>
      </w:r>
    </w:p>
    <w:p w:rsidR="00C437E7" w:rsidRPr="00AF6773" w:rsidRDefault="00C437E7" w:rsidP="00C437E7">
      <w:pPr>
        <w:pStyle w:val="Title3LevelTitre3Niveau"/>
        <w:rPr>
          <w:rFonts w:cs="Times New Roman"/>
        </w:rPr>
      </w:pPr>
      <w:r w:rsidRPr="00AF6773">
        <w:rPr>
          <w:rFonts w:cs="Times New Roman"/>
        </w:rPr>
        <w:t>Historical Context</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Additionally, the historical record does not show that expanding the protections of s. 35(1) to non-Canadian Aboriginal groups was ever considered. In fact, the limited historical sources that could provide guidance as to the meaning of the expression “aboriginal peoples of Canada” show an intention to limit the constitutional protection of Aboriginal rights to only those groups located within Canada. </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The </w:t>
      </w:r>
      <w:r w:rsidRPr="00AF6773">
        <w:rPr>
          <w:rFonts w:cs="Times New Roman"/>
          <w:i/>
        </w:rPr>
        <w:t xml:space="preserve">Minutes of Proceedings and Evidence of the Special Joint Committee of the Senate and of the House of Commons on the Constitution of Canada </w:t>
      </w:r>
      <w:r w:rsidRPr="00AF6773">
        <w:rPr>
          <w:rFonts w:cs="Times New Roman"/>
        </w:rPr>
        <w:t>(“</w:t>
      </w:r>
      <w:r w:rsidRPr="00AF6773">
        <w:rPr>
          <w:rFonts w:cs="Times New Roman"/>
          <w:i/>
        </w:rPr>
        <w:t>Minutes</w:t>
      </w:r>
      <w:r w:rsidRPr="00AF6773">
        <w:rPr>
          <w:rFonts w:cs="Times New Roman"/>
        </w:rPr>
        <w:t xml:space="preserve">”), at the time of discussions around the </w:t>
      </w:r>
      <w:proofErr w:type="spellStart"/>
      <w:r w:rsidRPr="00AF6773">
        <w:rPr>
          <w:rFonts w:cs="Times New Roman"/>
        </w:rPr>
        <w:t>patriation</w:t>
      </w:r>
      <w:proofErr w:type="spellEnd"/>
      <w:r w:rsidRPr="00AF6773">
        <w:rPr>
          <w:rFonts w:cs="Times New Roman"/>
        </w:rPr>
        <w:t xml:space="preserve"> of Canada’s Constitution, reflect an implicit shared understanding among committee participants, including governmental and Aboriginal representatives, that s. 35(1) was intended to protect the rights of </w:t>
      </w:r>
      <w:r w:rsidRPr="00AF6773">
        <w:rPr>
          <w:rFonts w:cs="Times New Roman"/>
        </w:rPr>
        <w:lastRenderedPageBreak/>
        <w:t xml:space="preserve">Aboriginal communities located in Canada at that time. For instance, the Honourable Jean Chrétien, then the Minister of Justice and Attorney General of Canada, described how the </w:t>
      </w:r>
      <w:r w:rsidRPr="00AF6773">
        <w:rPr>
          <w:rFonts w:cs="Times New Roman"/>
          <w:i/>
        </w:rPr>
        <w:t>Constitution Act, 1982</w:t>
      </w:r>
      <w:r w:rsidRPr="00AF6773">
        <w:rPr>
          <w:rFonts w:cs="Times New Roman"/>
        </w:rPr>
        <w:t>, would protect “the rights of all the native Canadians” that exist under the treaties or the Royal Proclamation, “the two sources of rights that exist for the natives in Canada” (</w:t>
      </w:r>
      <w:r w:rsidRPr="00AF6773">
        <w:rPr>
          <w:rFonts w:cs="Times New Roman"/>
          <w:i/>
        </w:rPr>
        <w:t>Minutes</w:t>
      </w:r>
      <w:r w:rsidRPr="00AF6773">
        <w:rPr>
          <w:rFonts w:cs="Times New Roman"/>
        </w:rPr>
        <w:t>, No. 3, 1st Sess., 32</w:t>
      </w:r>
      <w:r w:rsidRPr="00D569DC">
        <w:rPr>
          <w:rFonts w:cs="Times New Roman"/>
        </w:rPr>
        <w:t>nd</w:t>
      </w:r>
      <w:r>
        <w:rPr>
          <w:rFonts w:cs="Times New Roman"/>
        </w:rPr>
        <w:t xml:space="preserve"> </w:t>
      </w:r>
      <w:r w:rsidRPr="00AF6773">
        <w:rPr>
          <w:rFonts w:cs="Times New Roman"/>
        </w:rPr>
        <w:t xml:space="preserve">Parl., November 12, 1980, at p. 84; </w:t>
      </w:r>
      <w:r w:rsidRPr="00AF6773">
        <w:rPr>
          <w:rFonts w:cs="Times New Roman"/>
          <w:i/>
        </w:rPr>
        <w:t>Minutes</w:t>
      </w:r>
      <w:r w:rsidRPr="00AF6773">
        <w:rPr>
          <w:rFonts w:cs="Times New Roman"/>
        </w:rPr>
        <w:t>, No. 4, 1st Sess., 32nd Parl., November 13, 1980, at p. 13). George Braden, representing the Northwest Territories government, noted that “Native people in Canada have enjoyed a special status which must be clearly recognized in the constitution of Canada” (</w:t>
      </w:r>
      <w:r w:rsidRPr="00AF6773">
        <w:rPr>
          <w:rFonts w:cs="Times New Roman"/>
          <w:i/>
        </w:rPr>
        <w:t>Minutes</w:t>
      </w:r>
      <w:r w:rsidRPr="00AF6773">
        <w:rPr>
          <w:rFonts w:cs="Times New Roman"/>
        </w:rPr>
        <w:t>, No. 12, 1st Sess., 32nd Parl., November 25, 1980, at p. 60). The statements made by Aboriginal representatives before the committee similarly assumed the existence of a geographical limitation. When discussing proposed amendments, Mary Simon, a representative of the Inuit Committee on National Issues, stated the following:</w:t>
      </w:r>
    </w:p>
    <w:p w:rsidR="00C437E7" w:rsidRPr="00AF6773" w:rsidRDefault="00C437E7" w:rsidP="00C437E7">
      <w:pPr>
        <w:pStyle w:val="Citation-AltC"/>
        <w:ind w:firstLine="274"/>
      </w:pPr>
      <w:r w:rsidRPr="00AF6773">
        <w:t xml:space="preserve">Subsection (1) of section </w:t>
      </w:r>
      <w:proofErr w:type="spellStart"/>
      <w:r w:rsidRPr="00AF6773">
        <w:t>23A</w:t>
      </w:r>
      <w:proofErr w:type="spellEnd"/>
      <w:r w:rsidRPr="00AF6773">
        <w:t xml:space="preserve"> [a proposed Aboriginal rights and freedoms provision] merely provides for the obvious, namely, that the aboriginal peoples of Canada include Canada’s three groups of indigenous peoples. Presently, there exist other artificial distinctions under Canadian law which have posed considerable problems for a great number of aboriginal people in Canada and for which we must seek alternative solutions. </w:t>
      </w:r>
      <w:r w:rsidRPr="00AF6773">
        <w:tab/>
      </w:r>
    </w:p>
    <w:p w:rsidR="00C437E7" w:rsidRPr="00AF6773" w:rsidRDefault="00C437E7" w:rsidP="00C437E7">
      <w:pPr>
        <w:pStyle w:val="Citation-AltC"/>
        <w:ind w:firstLine="274"/>
      </w:pPr>
    </w:p>
    <w:p w:rsidR="00C437E7" w:rsidRPr="00AF6773" w:rsidRDefault="00C437E7" w:rsidP="00437F31">
      <w:pPr>
        <w:pStyle w:val="Citation-AltC"/>
        <w:ind w:left="0"/>
      </w:pPr>
      <w:r w:rsidRPr="00AF6773">
        <w:t>(</w:t>
      </w:r>
      <w:r w:rsidRPr="00AF6773">
        <w:rPr>
          <w:i/>
        </w:rPr>
        <w:t>Minutes</w:t>
      </w:r>
      <w:r w:rsidRPr="00AF6773">
        <w:t>, No. 16, 1st Sess., 32nd Parl., December 1, 1980, at p. 13)</w:t>
      </w:r>
    </w:p>
    <w:p w:rsidR="00C437E7" w:rsidRPr="00AF6773" w:rsidRDefault="00C437E7" w:rsidP="00C437E7">
      <w:pPr>
        <w:pStyle w:val="Citation-AltC"/>
        <w:spacing w:line="480" w:lineRule="auto"/>
        <w:ind w:left="1168" w:hanging="34"/>
      </w:pPr>
    </w:p>
    <w:p w:rsidR="00C437E7" w:rsidRPr="00AF6773" w:rsidRDefault="00C437E7" w:rsidP="00C437E7">
      <w:pPr>
        <w:pStyle w:val="Citation-AltC"/>
        <w:spacing w:before="480" w:after="480" w:line="480" w:lineRule="auto"/>
        <w:ind w:left="0"/>
      </w:pPr>
      <w:r w:rsidRPr="00AF6773">
        <w:t>Logically, Ms. Simon’s reference to “Canada’s three groups” could only refer to present-day Aboriginal groups residing and present in Canada, thus implying a geographical component.</w:t>
      </w:r>
    </w:p>
    <w:p w:rsidR="00C437E7" w:rsidRPr="00AF6773" w:rsidRDefault="00C437E7" w:rsidP="00C437E7">
      <w:pPr>
        <w:pStyle w:val="ParaNoNdepar-AltN"/>
        <w:tabs>
          <w:tab w:val="clear" w:pos="1166"/>
          <w:tab w:val="num" w:pos="1152"/>
        </w:tabs>
        <w:rPr>
          <w:rFonts w:cs="Times New Roman"/>
        </w:rPr>
      </w:pPr>
      <w:r w:rsidRPr="00AF6773">
        <w:rPr>
          <w:rFonts w:cs="Times New Roman"/>
        </w:rPr>
        <w:lastRenderedPageBreak/>
        <w:t xml:space="preserve">There are also some remarks in the </w:t>
      </w:r>
      <w:r w:rsidRPr="00AF6773">
        <w:rPr>
          <w:rFonts w:cs="Times New Roman"/>
          <w:i/>
        </w:rPr>
        <w:t xml:space="preserve">Minutes </w:t>
      </w:r>
      <w:r w:rsidRPr="00AF6773">
        <w:rPr>
          <w:rFonts w:cs="Times New Roman"/>
        </w:rPr>
        <w:t>that explicitly reference a geographical limitation on the meaning of “aboriginal peoples of Canada”. For example, in response to a question about defining the word “Indian”, Nellie Carlson, the Western Vice President of Indian Rights for Indian Women, stated that “[m]y definitio</w:t>
      </w:r>
      <w:r w:rsidR="00DF18BA">
        <w:rPr>
          <w:rFonts w:cs="Times New Roman"/>
        </w:rPr>
        <w:t xml:space="preserve">n of an Indian across Canada is . . . </w:t>
      </w:r>
      <w:r w:rsidRPr="00AF6773">
        <w:rPr>
          <w:rFonts w:cs="Times New Roman"/>
        </w:rPr>
        <w:t>an Indian who had been born and raised in this country, who had never come from across the ocean to immigrate into this country, but was born and raised, had lived through the hardships” (</w:t>
      </w:r>
      <w:r w:rsidRPr="00AF6773">
        <w:rPr>
          <w:rFonts w:cs="Times New Roman"/>
          <w:i/>
        </w:rPr>
        <w:t>Minutes</w:t>
      </w:r>
      <w:r w:rsidRPr="00AF6773">
        <w:rPr>
          <w:rFonts w:cs="Times New Roman"/>
        </w:rPr>
        <w:t xml:space="preserve">, No. 17, 1st Sess., 32nd Parl., December 2, 1980, at p. 97). </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The Court of Appeal dismissed the </w:t>
      </w:r>
      <w:r w:rsidRPr="00AF6773">
        <w:rPr>
          <w:rFonts w:cs="Times New Roman"/>
          <w:i/>
        </w:rPr>
        <w:t xml:space="preserve">Minutes </w:t>
      </w:r>
      <w:r w:rsidRPr="00AF6773">
        <w:rPr>
          <w:rFonts w:cs="Times New Roman"/>
        </w:rPr>
        <w:t xml:space="preserve">as “non-specific in their application” and as not informing the constitutional interpretation of s. 35(1) (para. 64). My colleague concurs, finding that the </w:t>
      </w:r>
      <w:r w:rsidRPr="00AF6773">
        <w:rPr>
          <w:rFonts w:cs="Times New Roman"/>
          <w:i/>
        </w:rPr>
        <w:t xml:space="preserve">Minutes </w:t>
      </w:r>
      <w:r w:rsidRPr="00AF6773">
        <w:rPr>
          <w:rFonts w:cs="Times New Roman"/>
        </w:rPr>
        <w:t>“she[d] no light” (Rowe </w:t>
      </w:r>
      <w:proofErr w:type="spellStart"/>
      <w:r w:rsidRPr="00AF6773">
        <w:rPr>
          <w:rFonts w:cs="Times New Roman"/>
        </w:rPr>
        <w:t>J.’s</w:t>
      </w:r>
      <w:proofErr w:type="spellEnd"/>
      <w:r w:rsidRPr="00AF6773">
        <w:rPr>
          <w:rFonts w:cs="Times New Roman"/>
        </w:rPr>
        <w:t xml:space="preserve"> reasons, at para. 41). Respectfully, this view overlooks the compelling evidence outlined above of a shared assumption amongst committee participants that the constitutional protections accorded by s. 35(1) were intended to apply only to Aboriginal groups located in Canada, as reflected in their use of “in Canada” and “Canadian” synonymously with “of Canada”. Drafting history is relevant to constitutional interpretation (</w:t>
      </w:r>
      <w:r w:rsidRPr="00AF6773">
        <w:rPr>
          <w:rFonts w:cs="Times New Roman"/>
          <w:i/>
        </w:rPr>
        <w:t xml:space="preserve">R. v. </w:t>
      </w:r>
      <w:proofErr w:type="spellStart"/>
      <w:r w:rsidRPr="00AF6773">
        <w:rPr>
          <w:rFonts w:cs="Times New Roman"/>
          <w:i/>
        </w:rPr>
        <w:t>Poulin</w:t>
      </w:r>
      <w:proofErr w:type="spellEnd"/>
      <w:r w:rsidRPr="00AF6773">
        <w:rPr>
          <w:rFonts w:cs="Times New Roman"/>
        </w:rPr>
        <w:t>, 2019 SCC 47</w:t>
      </w:r>
      <w:r w:rsidR="00DA4245">
        <w:t xml:space="preserve">, [2019] 3 </w:t>
      </w:r>
      <w:proofErr w:type="spellStart"/>
      <w:r w:rsidR="00DA4245">
        <w:t>S.C.R</w:t>
      </w:r>
      <w:proofErr w:type="spellEnd"/>
      <w:r w:rsidR="00DA4245">
        <w:t>. 566</w:t>
      </w:r>
      <w:r w:rsidRPr="00AF6773">
        <w:rPr>
          <w:rFonts w:cs="Times New Roman"/>
        </w:rPr>
        <w:t xml:space="preserve">, at para. 78; </w:t>
      </w:r>
      <w:r w:rsidRPr="00AF6773">
        <w:rPr>
          <w:rFonts w:cs="Times New Roman"/>
          <w:i/>
        </w:rPr>
        <w:t xml:space="preserve">R. v. </w:t>
      </w:r>
      <w:proofErr w:type="spellStart"/>
      <w:r w:rsidRPr="00AF6773">
        <w:rPr>
          <w:rFonts w:cs="Times New Roman"/>
          <w:i/>
        </w:rPr>
        <w:t>Stillman</w:t>
      </w:r>
      <w:proofErr w:type="spellEnd"/>
      <w:r w:rsidRPr="00AF6773">
        <w:rPr>
          <w:rFonts w:cs="Times New Roman"/>
        </w:rPr>
        <w:t xml:space="preserve">, 2019 SCC </w:t>
      </w:r>
      <w:r w:rsidR="00DA4245" w:rsidRPr="00DA4245">
        <w:t>40</w:t>
      </w:r>
      <w:r w:rsidR="00DA4245">
        <w:t xml:space="preserve">, [2019] 3 </w:t>
      </w:r>
      <w:proofErr w:type="spellStart"/>
      <w:r w:rsidR="00DA4245">
        <w:t>S.C.R</w:t>
      </w:r>
      <w:proofErr w:type="spellEnd"/>
      <w:r w:rsidR="00DA4245" w:rsidRPr="00DA4245">
        <w:t>. 144</w:t>
      </w:r>
      <w:r w:rsidRPr="00AF6773">
        <w:rPr>
          <w:rFonts w:cs="Times New Roman"/>
        </w:rPr>
        <w:t xml:space="preserve">, at para. 77), and I see no reason to depart from this Court’s prior reliance on the </w:t>
      </w:r>
      <w:r w:rsidRPr="00AF6773">
        <w:rPr>
          <w:rFonts w:cs="Times New Roman"/>
          <w:i/>
        </w:rPr>
        <w:t xml:space="preserve">Minutes </w:t>
      </w:r>
      <w:r w:rsidRPr="00AF6773">
        <w:rPr>
          <w:rFonts w:cs="Times New Roman"/>
        </w:rPr>
        <w:t xml:space="preserve">in the instant case. </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This Court cannot impose an intention to broaden the constitutional protections under s. 35(1) beyond what was contemplated. If s. 35(1) was intended to </w:t>
      </w:r>
      <w:r w:rsidRPr="00AF6773">
        <w:rPr>
          <w:rFonts w:cs="Times New Roman"/>
        </w:rPr>
        <w:lastRenderedPageBreak/>
        <w:t xml:space="preserve">include within its purview Aboriginal groups located outside of Canada, then one would expect there to have been significant discussion and consideration of these broader issues of recognition and jurisdiction, including hearing from the communities outside of Canada about their interests. There is no evidence that any drafters or participants contemplated this novel constitutional measure, which belies any intention to include Aboriginal groups outside of Canada within s. 35(1)’s purview.  </w:t>
      </w:r>
    </w:p>
    <w:p w:rsidR="00C437E7" w:rsidRPr="00AF6773" w:rsidRDefault="00C437E7" w:rsidP="00C437E7">
      <w:pPr>
        <w:pStyle w:val="ParaNoNdepar-AltN"/>
        <w:tabs>
          <w:tab w:val="clear" w:pos="1166"/>
          <w:tab w:val="num" w:pos="1152"/>
        </w:tabs>
        <w:rPr>
          <w:rFonts w:cs="Times New Roman"/>
        </w:rPr>
      </w:pPr>
      <w:r w:rsidRPr="00AF6773">
        <w:rPr>
          <w:rFonts w:cs="Times New Roman"/>
        </w:rPr>
        <w:t>As a result, I would find that “aboriginal peoples of Canada” under s. 35(1) are Aboriginal peoples who are located in Canada. In the present case, the Lakes Tribe is wholly located in Washington State in the United States of America, and therefore cannot be considered to be part of the “aboriginal peoples of Canada” under s. 35(1). As Mr. </w:t>
      </w:r>
      <w:proofErr w:type="spellStart"/>
      <w:r w:rsidRPr="00AF6773">
        <w:rPr>
          <w:rFonts w:cs="Times New Roman"/>
        </w:rPr>
        <w:t>Desautel</w:t>
      </w:r>
      <w:proofErr w:type="spellEnd"/>
      <w:r w:rsidRPr="00AF6773">
        <w:rPr>
          <w:rFonts w:cs="Times New Roman"/>
        </w:rPr>
        <w:t xml:space="preserve"> is not a member of a collective that is part of the “aboriginal peoples of Canada”, he cannot exercise a constitutionally-protected Aboriginal right to hunt for ceremonial purposes in the traditional territory of the </w:t>
      </w:r>
      <w:proofErr w:type="spellStart"/>
      <w:r w:rsidRPr="00AF6773">
        <w:rPr>
          <w:rFonts w:cs="Times New Roman"/>
        </w:rPr>
        <w:t>Sinixt</w:t>
      </w:r>
      <w:proofErr w:type="spellEnd"/>
      <w:r w:rsidRPr="00AF6773">
        <w:rPr>
          <w:rFonts w:cs="Times New Roman"/>
        </w:rPr>
        <w:t xml:space="preserve"> in British Columbia. </w:t>
      </w:r>
    </w:p>
    <w:p w:rsidR="00C437E7" w:rsidRPr="00AF6773" w:rsidRDefault="00C437E7" w:rsidP="00C437E7">
      <w:pPr>
        <w:pStyle w:val="Title2LevelTitre2Niveau"/>
        <w:rPr>
          <w:rFonts w:cs="Times New Roman"/>
        </w:rPr>
      </w:pPr>
      <w:r w:rsidRPr="00AF6773">
        <w:rPr>
          <w:rFonts w:cs="Times New Roman"/>
        </w:rPr>
        <w:t xml:space="preserve">Failing to Adopt a Purposive Interpretation of </w:t>
      </w:r>
      <w:r w:rsidRPr="00DF18BA">
        <w:rPr>
          <w:rFonts w:cs="Times New Roman"/>
        </w:rPr>
        <w:t>Section</w:t>
      </w:r>
      <w:r w:rsidRPr="00AF6773">
        <w:rPr>
          <w:rFonts w:cs="Times New Roman"/>
        </w:rPr>
        <w:t> 35 Leads to Implausible and Problematic Results</w:t>
      </w:r>
    </w:p>
    <w:p w:rsidR="00C437E7" w:rsidRPr="00AF6773" w:rsidRDefault="00C437E7" w:rsidP="00C437E7">
      <w:pPr>
        <w:pStyle w:val="ParaNoNdepar-AltN"/>
        <w:tabs>
          <w:tab w:val="clear" w:pos="1166"/>
          <w:tab w:val="num" w:pos="1152"/>
        </w:tabs>
        <w:rPr>
          <w:rFonts w:cs="Times New Roman"/>
        </w:rPr>
      </w:pPr>
      <w:r w:rsidRPr="00AF6773">
        <w:rPr>
          <w:rFonts w:cs="Times New Roman"/>
        </w:rPr>
        <w:t>The conclusion that the enactment of s. 35(1) did not constitutionalize Aboriginal rights held by collectives located outside of Canada is further bolstered by the deleterious consequences that would arise from the opposite conclusion. My colleague is of the view that these concerns do not justify any change to the law because “[w]</w:t>
      </w:r>
      <w:proofErr w:type="spellStart"/>
      <w:r w:rsidRPr="00AF6773">
        <w:rPr>
          <w:rFonts w:cs="Times New Roman"/>
        </w:rPr>
        <w:t>hile</w:t>
      </w:r>
      <w:proofErr w:type="spellEnd"/>
      <w:r w:rsidRPr="00AF6773">
        <w:rPr>
          <w:rFonts w:cs="Times New Roman"/>
        </w:rPr>
        <w:t xml:space="preserve"> Aboriginal communities outside Canada can assert and hold s. 35(1) rights, it does not follow that their rights are the same as those of communities within Canada” </w:t>
      </w:r>
      <w:r w:rsidRPr="00AF6773">
        <w:rPr>
          <w:rFonts w:cs="Times New Roman"/>
        </w:rPr>
        <w:lastRenderedPageBreak/>
        <w:t xml:space="preserve">(para. 71). With the greatest of respect, I cannot agree. If an Aboriginal group outside of Canada is entitled to exercise s. 35(1) Aboriginal rights in Canada, then it must have equal protection under the Constitution and be able to access and exercise a full panoply of rights in the same fashion as Aboriginal right holders within Canada. Nothing less would uphold the honour of the Crown and further Canada’s ongoing process of reconciliation with its first peoples. </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As such, extending the constitutional protection of s. 35(1) to include Aboriginal groups located outside of Canada leads to some concerning outcomes. First, s. 35.1 of the </w:t>
      </w:r>
      <w:r w:rsidRPr="00AF6773">
        <w:rPr>
          <w:rFonts w:cs="Times New Roman"/>
          <w:i/>
        </w:rPr>
        <w:t>Constitution Act, 1982</w:t>
      </w:r>
      <w:r w:rsidRPr="00AF6773">
        <w:rPr>
          <w:rFonts w:cs="Times New Roman"/>
        </w:rPr>
        <w:t xml:space="preserve">, uses the phrase “aboriginal peoples of Canada” in setting out an obligation to invite representatives of these groups to constitutional conferences, as did ss. 37 and 37.1 prior to their repeal (P. W. Hogg, </w:t>
      </w:r>
      <w:r w:rsidRPr="00AF6773">
        <w:rPr>
          <w:rFonts w:cs="Times New Roman"/>
          <w:i/>
        </w:rPr>
        <w:t>Constitutional Law of Canada</w:t>
      </w:r>
      <w:r w:rsidRPr="00AF6773">
        <w:rPr>
          <w:rFonts w:cs="Times New Roman"/>
        </w:rPr>
        <w:t xml:space="preserve"> (5th ed. Supp.), vol. 1, at pp. 28-65 to 28-66). There is no reason in principle why Aboriginal groups holding s. 35(1) rights would be denied a constitutional right to democratic participation under s. 35.1 simply by virtue of their geographical location. While the lower courts were seemingly unconcerned by this prospect, in my view, it is contrary to the organizing constitutional principle of democracy and inconsistent with the purpose of </w:t>
      </w:r>
      <w:proofErr w:type="spellStart"/>
      <w:r w:rsidRPr="00AF6773">
        <w:rPr>
          <w:rFonts w:cs="Times New Roman"/>
        </w:rPr>
        <w:t>patriation</w:t>
      </w:r>
      <w:proofErr w:type="spellEnd"/>
      <w:r w:rsidRPr="00AF6773">
        <w:rPr>
          <w:rFonts w:cs="Times New Roman"/>
        </w:rPr>
        <w:t xml:space="preserve"> to allow Aboriginal groups located outside of Canada to participate in Canadian democracy as required by s. 35.1 (</w:t>
      </w:r>
      <w:r w:rsidRPr="00AF6773">
        <w:rPr>
          <w:rFonts w:cs="Times New Roman"/>
          <w:i/>
        </w:rPr>
        <w:t>Reference re Secession of Quebec</w:t>
      </w:r>
      <w:r w:rsidRPr="00AF6773">
        <w:rPr>
          <w:rFonts w:cs="Times New Roman"/>
        </w:rPr>
        <w:t xml:space="preserve">). </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Additionally, a multitude of challenges would arise with respect to the Crown’s duty to consult. The numbers of groups to consult and, where appropriate, </w:t>
      </w:r>
      <w:r w:rsidRPr="00AF6773">
        <w:rPr>
          <w:rFonts w:cs="Times New Roman"/>
        </w:rPr>
        <w:lastRenderedPageBreak/>
        <w:t xml:space="preserve">accommodate would dramatically increase, and it can be anticipated that in some cases accommodating the interests of s. 35(1) rights holders outside of Canada would run counter to accommodating the interests of s. 35(1) rights holders within Canada. Once an Aboriginal group outside of Canada has established </w:t>
      </w:r>
      <w:proofErr w:type="gramStart"/>
      <w:r w:rsidRPr="00AF6773">
        <w:rPr>
          <w:rFonts w:cs="Times New Roman"/>
        </w:rPr>
        <w:t>a</w:t>
      </w:r>
      <w:proofErr w:type="gramEnd"/>
      <w:r w:rsidRPr="00AF6773">
        <w:rPr>
          <w:rFonts w:cs="Times New Roman"/>
        </w:rPr>
        <w:t xml:space="preserve"> s. 35(1) right, one would assume that the Crown would be put on notice. As such, I cannot agree with my colleague’s view that “[b]</w:t>
      </w:r>
      <w:proofErr w:type="spellStart"/>
      <w:r w:rsidRPr="00AF6773">
        <w:rPr>
          <w:rFonts w:cs="Times New Roman"/>
        </w:rPr>
        <w:t>ecause</w:t>
      </w:r>
      <w:proofErr w:type="spellEnd"/>
      <w:r w:rsidRPr="00AF6773">
        <w:rPr>
          <w:rFonts w:cs="Times New Roman"/>
        </w:rPr>
        <w:t xml:space="preserve"> groups outside Canada are not implicated in this process to the same degree, the scope of the Crown’s duty to consult with them, and the manner in which it is given effect, may differ” (para. 76). Aboriginal groups outside of Canada would in fact be implicated to the same degree, and thus the Crown’s duty to consult could not differ unless a two-tiered consultation process were established, which would run afoul of its obligation to engage in a “process of fair dealing and reconciliation” (</w:t>
      </w:r>
      <w:proofErr w:type="spellStart"/>
      <w:r w:rsidRPr="00AF6773">
        <w:rPr>
          <w:rFonts w:cs="Times New Roman"/>
          <w:i/>
        </w:rPr>
        <w:t>Haida</w:t>
      </w:r>
      <w:proofErr w:type="spellEnd"/>
      <w:r w:rsidRPr="00AF6773">
        <w:rPr>
          <w:rFonts w:cs="Times New Roman"/>
        </w:rPr>
        <w:t xml:space="preserve"> </w:t>
      </w:r>
      <w:r w:rsidRPr="00AF6773">
        <w:rPr>
          <w:rFonts w:cs="Times New Roman"/>
          <w:i/>
        </w:rPr>
        <w:t xml:space="preserve">Nation </w:t>
      </w:r>
      <w:r w:rsidRPr="00AF6773">
        <w:rPr>
          <w:rFonts w:cs="Times New Roman"/>
          <w:i/>
          <w:iCs/>
        </w:rPr>
        <w:t>v</w:t>
      </w:r>
      <w:r w:rsidRPr="00AF6773">
        <w:rPr>
          <w:rFonts w:cs="Times New Roman"/>
          <w:i/>
        </w:rPr>
        <w:t>.</w:t>
      </w:r>
      <w:r w:rsidRPr="00AF6773">
        <w:rPr>
          <w:rFonts w:cs="Times New Roman"/>
        </w:rPr>
        <w:t xml:space="preserve"> </w:t>
      </w:r>
      <w:r w:rsidRPr="00AF6773">
        <w:rPr>
          <w:rFonts w:cs="Times New Roman"/>
          <w:i/>
        </w:rPr>
        <w:t>British Columbia (Minister of Forests)</w:t>
      </w:r>
      <w:r w:rsidRPr="00AF6773">
        <w:rPr>
          <w:rFonts w:cs="Times New Roman"/>
        </w:rPr>
        <w:t xml:space="preserve">, 2004 SCC 73, </w:t>
      </w:r>
      <w:r w:rsidRPr="00AF6773">
        <w:rPr>
          <w:rFonts w:cs="Times New Roman"/>
          <w:lang w:val="en-GB"/>
        </w:rPr>
        <w:t xml:space="preserve">[2004] 3 </w:t>
      </w:r>
      <w:proofErr w:type="spellStart"/>
      <w:r w:rsidRPr="00AF6773">
        <w:rPr>
          <w:rFonts w:cs="Times New Roman"/>
          <w:lang w:val="en-GB"/>
        </w:rPr>
        <w:t>S.C.R</w:t>
      </w:r>
      <w:proofErr w:type="spellEnd"/>
      <w:r w:rsidRPr="00AF6773">
        <w:rPr>
          <w:rFonts w:cs="Times New Roman"/>
          <w:lang w:val="en-GB"/>
        </w:rPr>
        <w:t xml:space="preserve">. 511, </w:t>
      </w:r>
      <w:r w:rsidRPr="00AF6773">
        <w:rPr>
          <w:rFonts w:cs="Times New Roman"/>
        </w:rPr>
        <w:t>at para. 32) with all Aboriginal rights holders.</w:t>
      </w:r>
    </w:p>
    <w:p w:rsidR="00C437E7" w:rsidRPr="00AF6773" w:rsidRDefault="00C437E7" w:rsidP="00C437E7">
      <w:pPr>
        <w:pStyle w:val="ParaNoNdepar-AltN"/>
        <w:tabs>
          <w:tab w:val="clear" w:pos="1166"/>
          <w:tab w:val="num" w:pos="1152"/>
        </w:tabs>
        <w:rPr>
          <w:rFonts w:cs="Times New Roman"/>
        </w:rPr>
      </w:pPr>
      <w:r w:rsidRPr="00AF6773">
        <w:rPr>
          <w:rFonts w:cs="Times New Roman"/>
        </w:rPr>
        <w:t>Given that the Aboriginal rights recognized and affirmed by s. 35(1) include not only site-specific rights but also rights to the land itself, finding that Aboriginal groups outside of Canada are “aboriginal peoples of Canada” raises the possibility that these groups may, in principle, hold constitutionally protected Aboriginal title to Canadian lands. Aboriginal title confers on the group holding it “the exclusive right to decide how the land is used and the right to benefit from those uses” (</w:t>
      </w:r>
      <w:proofErr w:type="spellStart"/>
      <w:r w:rsidRPr="00AF6773">
        <w:rPr>
          <w:rFonts w:cs="Times New Roman"/>
          <w:i/>
        </w:rPr>
        <w:t>Tsilhqot’in</w:t>
      </w:r>
      <w:proofErr w:type="spellEnd"/>
      <w:r w:rsidRPr="00AF6773">
        <w:rPr>
          <w:rFonts w:cs="Times New Roman"/>
          <w:i/>
        </w:rPr>
        <w:t xml:space="preserve"> Nation v. British Columbia</w:t>
      </w:r>
      <w:r w:rsidRPr="00AF6773">
        <w:rPr>
          <w:rFonts w:cs="Times New Roman"/>
        </w:rPr>
        <w:t xml:space="preserve">, 2014 SCC 44, [2014] 2 </w:t>
      </w:r>
      <w:proofErr w:type="spellStart"/>
      <w:r w:rsidRPr="00AF6773">
        <w:rPr>
          <w:rFonts w:cs="Times New Roman"/>
        </w:rPr>
        <w:t>S.C.R</w:t>
      </w:r>
      <w:proofErr w:type="spellEnd"/>
      <w:r w:rsidRPr="00AF6773">
        <w:rPr>
          <w:rFonts w:cs="Times New Roman"/>
        </w:rPr>
        <w:t xml:space="preserve">. 257, at para. 88). While this is not an issue raised directly in this case, it is by no means hypothetical. The </w:t>
      </w:r>
      <w:proofErr w:type="spellStart"/>
      <w:r w:rsidRPr="00AF6773">
        <w:rPr>
          <w:rFonts w:cs="Times New Roman"/>
        </w:rPr>
        <w:t>CCT</w:t>
      </w:r>
      <w:proofErr w:type="spellEnd"/>
      <w:r w:rsidRPr="00AF6773">
        <w:rPr>
          <w:rFonts w:cs="Times New Roman"/>
        </w:rPr>
        <w:t xml:space="preserve"> — of which the Lakes Tribe is a member — have already filed </w:t>
      </w:r>
      <w:r w:rsidRPr="00AF6773">
        <w:rPr>
          <w:rFonts w:cs="Times New Roman"/>
        </w:rPr>
        <w:lastRenderedPageBreak/>
        <w:t xml:space="preserve">two title claims in British Columbia courts (see </w:t>
      </w:r>
      <w:r w:rsidRPr="00AF6773">
        <w:rPr>
          <w:rFonts w:cs="Times New Roman"/>
          <w:i/>
        </w:rPr>
        <w:t>Campbell v. British Columbia (Minister of Forest</w:t>
      </w:r>
      <w:r w:rsidR="00DF18BA">
        <w:rPr>
          <w:rFonts w:cs="Times New Roman"/>
          <w:i/>
        </w:rPr>
        <w:t>s</w:t>
      </w:r>
      <w:r w:rsidRPr="00AF6773">
        <w:rPr>
          <w:rFonts w:cs="Times New Roman"/>
          <w:i/>
        </w:rPr>
        <w:t xml:space="preserve"> and Range)</w:t>
      </w:r>
      <w:r w:rsidRPr="00AF6773">
        <w:rPr>
          <w:rFonts w:cs="Times New Roman"/>
        </w:rPr>
        <w:t xml:space="preserve">, 2011 </w:t>
      </w:r>
      <w:proofErr w:type="spellStart"/>
      <w:r w:rsidRPr="00AF6773">
        <w:rPr>
          <w:rFonts w:cs="Times New Roman"/>
        </w:rPr>
        <w:t>BCSC</w:t>
      </w:r>
      <w:proofErr w:type="spellEnd"/>
      <w:r w:rsidRPr="00AF6773">
        <w:rPr>
          <w:rFonts w:cs="Times New Roman"/>
        </w:rPr>
        <w:t xml:space="preserve"> 448, [2011] 3 </w:t>
      </w:r>
      <w:proofErr w:type="spellStart"/>
      <w:r w:rsidRPr="00AF6773">
        <w:rPr>
          <w:rFonts w:cs="Times New Roman"/>
        </w:rPr>
        <w:t>C.N.L.R</w:t>
      </w:r>
      <w:proofErr w:type="spellEnd"/>
      <w:r w:rsidRPr="00AF6773">
        <w:rPr>
          <w:rFonts w:cs="Times New Roman"/>
        </w:rPr>
        <w:t xml:space="preserve">. 151). It would be a remarkable proposition that a foreign group could hold constitutionally protected title to Canadian territory, as the required incidental mobility right would be fundamentally incompatible with Canadian sovereignty (see </w:t>
      </w:r>
      <w:r w:rsidRPr="00AF6773">
        <w:rPr>
          <w:rFonts w:cs="Times New Roman"/>
          <w:i/>
        </w:rPr>
        <w:t>Mitchell</w:t>
      </w:r>
      <w:r w:rsidRPr="00AF6773">
        <w:rPr>
          <w:rFonts w:cs="Times New Roman"/>
        </w:rPr>
        <w:t xml:space="preserve">, at paras. 159-64, per Binnie J.). </w:t>
      </w:r>
    </w:p>
    <w:p w:rsidR="00C437E7" w:rsidRPr="00AF6773" w:rsidRDefault="00C437E7" w:rsidP="00C437E7">
      <w:pPr>
        <w:pStyle w:val="ParaNoNdepar-AltN"/>
        <w:tabs>
          <w:tab w:val="clear" w:pos="1166"/>
          <w:tab w:val="num" w:pos="1152"/>
        </w:tabs>
        <w:rPr>
          <w:rFonts w:cs="Times New Roman"/>
        </w:rPr>
      </w:pPr>
      <w:r w:rsidRPr="00AF6773">
        <w:rPr>
          <w:rFonts w:cs="Times New Roman"/>
        </w:rPr>
        <w:t>The drafters of s. 35(1) could not have intended these deleterious consequences to arise. As such, these concerns militate against the conclusion that the Lakes Tribe is part of the “aboriginal peoples of Canada”. I would therefore allow the appeal on that basis.</w:t>
      </w:r>
    </w:p>
    <w:p w:rsidR="00C437E7" w:rsidRPr="00AF6773" w:rsidRDefault="00C437E7" w:rsidP="00C437E7">
      <w:pPr>
        <w:pStyle w:val="Title2LevelTitre2Niveau"/>
        <w:rPr>
          <w:rFonts w:cs="Times New Roman"/>
        </w:rPr>
      </w:pPr>
      <w:r w:rsidRPr="00AF6773">
        <w:rPr>
          <w:rFonts w:cs="Times New Roman"/>
        </w:rPr>
        <w:t>Even If the Lakes Tribe Is Part of the “Aboriginal Peoples of Canada”, Mr. </w:t>
      </w:r>
      <w:proofErr w:type="spellStart"/>
      <w:r w:rsidRPr="00AF6773">
        <w:rPr>
          <w:rFonts w:cs="Times New Roman"/>
        </w:rPr>
        <w:t>Desautel</w:t>
      </w:r>
      <w:proofErr w:type="spellEnd"/>
      <w:r w:rsidRPr="00AF6773">
        <w:rPr>
          <w:rFonts w:cs="Times New Roman"/>
        </w:rPr>
        <w:t xml:space="preserve"> Cannot Claim an Aboriginal Right to Hunt for Ceremonial Purposes</w:t>
      </w:r>
    </w:p>
    <w:p w:rsidR="00C437E7" w:rsidRPr="00AF6773" w:rsidRDefault="00C437E7" w:rsidP="00C437E7">
      <w:pPr>
        <w:pStyle w:val="ParaNoNdepar-AltN"/>
        <w:tabs>
          <w:tab w:val="clear" w:pos="1166"/>
          <w:tab w:val="num" w:pos="1152"/>
        </w:tabs>
        <w:rPr>
          <w:rFonts w:cs="Times New Roman"/>
        </w:rPr>
      </w:pPr>
      <w:r w:rsidRPr="00AF6773">
        <w:rPr>
          <w:rFonts w:cs="Times New Roman"/>
        </w:rPr>
        <w:t>Even assuming that the Lakes Tribe is part of the “aboriginal peoples of Canada”, as the majority concludes, I would nevertheless allow the appeal on the basis that Mr. </w:t>
      </w:r>
      <w:proofErr w:type="spellStart"/>
      <w:r w:rsidRPr="00AF6773">
        <w:rPr>
          <w:rFonts w:cs="Times New Roman"/>
        </w:rPr>
        <w:t>Desautel</w:t>
      </w:r>
      <w:proofErr w:type="spellEnd"/>
      <w:r w:rsidRPr="00AF6773">
        <w:rPr>
          <w:rFonts w:cs="Times New Roman"/>
        </w:rPr>
        <w:t xml:space="preserve">, as a member of the Lakes Tribe, cannot claim an Aboriginal right to hunt for ceremonial purposes within the traditional territory of the </w:t>
      </w:r>
      <w:proofErr w:type="spellStart"/>
      <w:r w:rsidRPr="00AF6773">
        <w:rPr>
          <w:rFonts w:cs="Times New Roman"/>
        </w:rPr>
        <w:t>Sinixt</w:t>
      </w:r>
      <w:proofErr w:type="spellEnd"/>
      <w:r w:rsidRPr="00AF6773">
        <w:rPr>
          <w:rFonts w:cs="Times New Roman"/>
        </w:rPr>
        <w:t xml:space="preserve"> in British Columbia. In my view, the </w:t>
      </w:r>
      <w:r w:rsidRPr="00AF6773">
        <w:rPr>
          <w:rFonts w:cs="Times New Roman"/>
          <w:i/>
        </w:rPr>
        <w:t xml:space="preserve">Van der </w:t>
      </w:r>
      <w:proofErr w:type="spellStart"/>
      <w:r w:rsidRPr="00AF6773">
        <w:rPr>
          <w:rFonts w:cs="Times New Roman"/>
          <w:i/>
        </w:rPr>
        <w:t>Peet</w:t>
      </w:r>
      <w:proofErr w:type="spellEnd"/>
      <w:r w:rsidRPr="00AF6773">
        <w:rPr>
          <w:rFonts w:cs="Times New Roman"/>
          <w:i/>
        </w:rPr>
        <w:t xml:space="preserve"> </w:t>
      </w:r>
      <w:r w:rsidRPr="00AF6773">
        <w:rPr>
          <w:rFonts w:cs="Times New Roman"/>
        </w:rPr>
        <w:t xml:space="preserve">test for an Aboriginal right under s. 35(1) is not satisfied in this case. </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I agree with my colleague that the test for Aboriginal rights for groups outside of Canada is the same as the test for groups within Canada. In accordance with the </w:t>
      </w:r>
      <w:r w:rsidRPr="00AF6773">
        <w:rPr>
          <w:rFonts w:cs="Times New Roman"/>
          <w:i/>
        </w:rPr>
        <w:t xml:space="preserve">Van der </w:t>
      </w:r>
      <w:proofErr w:type="spellStart"/>
      <w:r w:rsidRPr="00AF6773">
        <w:rPr>
          <w:rFonts w:cs="Times New Roman"/>
          <w:i/>
        </w:rPr>
        <w:t>Peet</w:t>
      </w:r>
      <w:proofErr w:type="spellEnd"/>
      <w:r w:rsidRPr="00AF6773">
        <w:rPr>
          <w:rFonts w:cs="Times New Roman"/>
          <w:i/>
        </w:rPr>
        <w:t xml:space="preserve"> </w:t>
      </w:r>
      <w:r w:rsidRPr="00AF6773">
        <w:rPr>
          <w:rFonts w:cs="Times New Roman"/>
        </w:rPr>
        <w:t xml:space="preserve">analysis, if an Aboriginal group outside of Canada can show that the </w:t>
      </w:r>
      <w:r w:rsidRPr="00AF6773">
        <w:rPr>
          <w:rFonts w:cs="Times New Roman"/>
        </w:rPr>
        <w:lastRenderedPageBreak/>
        <w:t>pre-contact practice, tradition or custom supporting the claimed modern right is integral to its distinctive pre-contact Aboriginal society, and that the right has a reasonable degree of continuity with the “integral” pre-contact practice, tradition or custom, then the Aboriginal group must receive full recognition of its s. 35(1) rights (</w:t>
      </w:r>
      <w:r w:rsidRPr="00AF6773">
        <w:rPr>
          <w:rFonts w:cs="Times New Roman"/>
          <w:i/>
        </w:rPr>
        <w:t>Lax</w:t>
      </w:r>
      <w:r w:rsidRPr="00AF6773">
        <w:rPr>
          <w:rFonts w:cs="Times New Roman"/>
        </w:rPr>
        <w:t xml:space="preserve"> </w:t>
      </w:r>
      <w:proofErr w:type="spellStart"/>
      <w:r w:rsidRPr="00AF6773">
        <w:rPr>
          <w:rFonts w:cs="Times New Roman"/>
          <w:i/>
        </w:rPr>
        <w:t>Kw’alaams</w:t>
      </w:r>
      <w:proofErr w:type="spellEnd"/>
      <w:r w:rsidRPr="00AF6773">
        <w:rPr>
          <w:rFonts w:cs="Times New Roman"/>
          <w:i/>
        </w:rPr>
        <w:t xml:space="preserve"> Indian Band v. Canada (Attorney General)</w:t>
      </w:r>
      <w:r w:rsidRPr="00AF6773">
        <w:rPr>
          <w:rFonts w:cs="Times New Roman"/>
        </w:rPr>
        <w:t xml:space="preserve">, 2011 SCC 56, [2011] 3 </w:t>
      </w:r>
      <w:proofErr w:type="spellStart"/>
      <w:r w:rsidRPr="00AF6773">
        <w:rPr>
          <w:rFonts w:cs="Times New Roman"/>
        </w:rPr>
        <w:t>S.C.R</w:t>
      </w:r>
      <w:proofErr w:type="spellEnd"/>
      <w:r w:rsidRPr="00AF6773">
        <w:rPr>
          <w:rFonts w:cs="Times New Roman"/>
        </w:rPr>
        <w:t xml:space="preserve">. 535, at para. 46). </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However, in my view, the trial judge committed a reviewable error in her application of the </w:t>
      </w:r>
      <w:r w:rsidRPr="00AF6773">
        <w:rPr>
          <w:rFonts w:cs="Times New Roman"/>
          <w:i/>
        </w:rPr>
        <w:t xml:space="preserve">Van der </w:t>
      </w:r>
      <w:proofErr w:type="spellStart"/>
      <w:r w:rsidRPr="00AF6773">
        <w:rPr>
          <w:rFonts w:cs="Times New Roman"/>
          <w:i/>
        </w:rPr>
        <w:t>Peet</w:t>
      </w:r>
      <w:proofErr w:type="spellEnd"/>
      <w:r w:rsidRPr="00AF6773">
        <w:rPr>
          <w:rFonts w:cs="Times New Roman"/>
          <w:i/>
        </w:rPr>
        <w:t xml:space="preserve"> </w:t>
      </w:r>
      <w:r w:rsidRPr="00AF6773">
        <w:rPr>
          <w:rFonts w:cs="Times New Roman"/>
        </w:rPr>
        <w:t xml:space="preserve">test. In particular, she erred in finding that the continuity requirement of the test was met. </w:t>
      </w:r>
    </w:p>
    <w:p w:rsidR="00C437E7" w:rsidRPr="00AF6773" w:rsidRDefault="00C437E7" w:rsidP="00C437E7">
      <w:pPr>
        <w:pStyle w:val="Title3LevelTitre3Niveau"/>
        <w:rPr>
          <w:rFonts w:cs="Times New Roman"/>
        </w:rPr>
      </w:pPr>
      <w:r w:rsidRPr="00AF6773">
        <w:rPr>
          <w:rFonts w:cs="Times New Roman"/>
        </w:rPr>
        <w:t>Continuity</w:t>
      </w:r>
    </w:p>
    <w:p w:rsidR="00C437E7" w:rsidRPr="00AF6773" w:rsidRDefault="00C437E7" w:rsidP="00C437E7">
      <w:pPr>
        <w:pStyle w:val="ParaNoNdepar-AltN"/>
        <w:tabs>
          <w:tab w:val="clear" w:pos="1166"/>
          <w:tab w:val="num" w:pos="1152"/>
        </w:tabs>
        <w:rPr>
          <w:rFonts w:cs="Times New Roman"/>
        </w:rPr>
      </w:pPr>
      <w:r w:rsidRPr="00AF6773">
        <w:rPr>
          <w:rFonts w:cs="Times New Roman"/>
        </w:rPr>
        <w:t>Section 35(1) protects only those present-day practices that have a reasonable degree of continuity with the practices that existed prior to contact (</w:t>
      </w:r>
      <w:r w:rsidRPr="00AF6773">
        <w:rPr>
          <w:rFonts w:cs="Times New Roman"/>
          <w:i/>
        </w:rPr>
        <w:t xml:space="preserve">Van der </w:t>
      </w:r>
      <w:proofErr w:type="spellStart"/>
      <w:r w:rsidRPr="00AF6773">
        <w:rPr>
          <w:rFonts w:cs="Times New Roman"/>
          <w:i/>
        </w:rPr>
        <w:t>Peet</w:t>
      </w:r>
      <w:proofErr w:type="spellEnd"/>
      <w:r w:rsidRPr="00AF6773">
        <w:rPr>
          <w:rFonts w:cs="Times New Roman"/>
        </w:rPr>
        <w:t>,</w:t>
      </w:r>
      <w:r w:rsidRPr="00AF6773">
        <w:rPr>
          <w:rFonts w:cs="Times New Roman"/>
          <w:i/>
        </w:rPr>
        <w:t xml:space="preserve"> </w:t>
      </w:r>
      <w:r w:rsidRPr="00AF6773">
        <w:rPr>
          <w:rFonts w:cs="Times New Roman"/>
        </w:rPr>
        <w:t xml:space="preserve">at paras. 63-65). Granted, as the Court stated in </w:t>
      </w:r>
      <w:r w:rsidRPr="00AF6773">
        <w:rPr>
          <w:rFonts w:cs="Times New Roman"/>
          <w:i/>
        </w:rPr>
        <w:t xml:space="preserve">Van der </w:t>
      </w:r>
      <w:proofErr w:type="spellStart"/>
      <w:r w:rsidRPr="00AF6773">
        <w:rPr>
          <w:rFonts w:cs="Times New Roman"/>
          <w:i/>
        </w:rPr>
        <w:t>Peet</w:t>
      </w:r>
      <w:proofErr w:type="spellEnd"/>
      <w:r w:rsidRPr="00AF6773">
        <w:rPr>
          <w:rFonts w:cs="Times New Roman"/>
          <w:i/>
        </w:rPr>
        <w:t xml:space="preserve">, </w:t>
      </w:r>
      <w:r w:rsidRPr="00AF6773">
        <w:rPr>
          <w:rFonts w:cs="Times New Roman"/>
        </w:rPr>
        <w:t>the concept of continuity does not require an “unbroken chain of continuity” (para. 65, per Lamer </w:t>
      </w:r>
      <w:proofErr w:type="spellStart"/>
      <w:r w:rsidRPr="00AF6773">
        <w:rPr>
          <w:rFonts w:cs="Times New Roman"/>
        </w:rPr>
        <w:t>C.J</w:t>
      </w:r>
      <w:proofErr w:type="spellEnd"/>
      <w:r w:rsidRPr="00AF6773">
        <w:rPr>
          <w:rFonts w:cs="Times New Roman"/>
        </w:rPr>
        <w:t xml:space="preserve">.) or a “year-by-year chronicle of how the event has been exercised since time immemorial” (para. 249, per </w:t>
      </w:r>
      <w:proofErr w:type="spellStart"/>
      <w:r w:rsidRPr="00AF6773">
        <w:rPr>
          <w:rFonts w:cs="Times New Roman"/>
        </w:rPr>
        <w:t>McLachlin</w:t>
      </w:r>
      <w:proofErr w:type="spellEnd"/>
      <w:r w:rsidRPr="00AF6773">
        <w:rPr>
          <w:rFonts w:cs="Times New Roman"/>
        </w:rPr>
        <w:t> J., dissenting on other grounds). Continuity must be interpreted flexibly. Such flexibility, however, has its limits.</w:t>
      </w:r>
    </w:p>
    <w:p w:rsidR="00C437E7" w:rsidRPr="00AF6773" w:rsidRDefault="00C437E7" w:rsidP="00C437E7">
      <w:pPr>
        <w:pStyle w:val="ParaNoNdepar-AltN"/>
        <w:tabs>
          <w:tab w:val="clear" w:pos="1166"/>
          <w:tab w:val="num" w:pos="1152"/>
        </w:tabs>
        <w:rPr>
          <w:rFonts w:cs="Times New Roman"/>
        </w:rPr>
      </w:pPr>
      <w:r w:rsidRPr="00AF6773">
        <w:rPr>
          <w:rFonts w:cs="Times New Roman"/>
        </w:rPr>
        <w:t>As I see it, while temporal gaps in the actual practice do not necessarily preclude the establishment of an Aboriginal right (</w:t>
      </w:r>
      <w:r w:rsidRPr="00AF6773">
        <w:rPr>
          <w:rFonts w:cs="Times New Roman"/>
          <w:i/>
        </w:rPr>
        <w:t xml:space="preserve">Van der </w:t>
      </w:r>
      <w:proofErr w:type="spellStart"/>
      <w:r w:rsidRPr="00AF6773">
        <w:rPr>
          <w:rFonts w:cs="Times New Roman"/>
          <w:i/>
        </w:rPr>
        <w:t>Peet</w:t>
      </w:r>
      <w:proofErr w:type="spellEnd"/>
      <w:r w:rsidRPr="00AF6773">
        <w:rPr>
          <w:rFonts w:cs="Times New Roman"/>
        </w:rPr>
        <w:t>,</w:t>
      </w:r>
      <w:r w:rsidRPr="00AF6773">
        <w:rPr>
          <w:rFonts w:cs="Times New Roman"/>
          <w:i/>
        </w:rPr>
        <w:t xml:space="preserve"> </w:t>
      </w:r>
      <w:r w:rsidRPr="00AF6773">
        <w:rPr>
          <w:rFonts w:cs="Times New Roman"/>
        </w:rPr>
        <w:t xml:space="preserve">at para. 65), failing to tender sufficient evidence that the practice was maintained or, at least, that a connection </w:t>
      </w:r>
      <w:r w:rsidRPr="00AF6773">
        <w:rPr>
          <w:rFonts w:cs="Times New Roman"/>
        </w:rPr>
        <w:lastRenderedPageBreak/>
        <w:t>to the historical practice was maintained during such gaps may be fatal. Aboriginal rights claims require that proper and sufficient evidence be gathered and adduced to meet the legal requirements for such rights (</w:t>
      </w:r>
      <w:r w:rsidRPr="00AF6773">
        <w:rPr>
          <w:rStyle w:val="sccappellantforindexchar0"/>
          <w:rFonts w:cs="Times New Roman"/>
          <w:i/>
          <w:shd w:val="clear" w:color="auto" w:fill="FFFFFF"/>
        </w:rPr>
        <w:t>Ktunaxa Nation</w:t>
      </w:r>
      <w:r w:rsidRPr="00AF6773">
        <w:rPr>
          <w:rStyle w:val="sccappellantforindexchar0"/>
          <w:rFonts w:cs="Times New Roman"/>
          <w:b/>
          <w:bCs/>
          <w:i/>
          <w:shd w:val="clear" w:color="auto" w:fill="FFFFFF"/>
        </w:rPr>
        <w:t> </w:t>
      </w:r>
      <w:r w:rsidRPr="00AF6773">
        <w:rPr>
          <w:rFonts w:cs="Times New Roman"/>
          <w:i/>
          <w:shd w:val="clear" w:color="auto" w:fill="FFFFFF"/>
        </w:rPr>
        <w:t>v. British Columbia (</w:t>
      </w:r>
      <w:r w:rsidRPr="00AF6773">
        <w:rPr>
          <w:rStyle w:val="sccrespondentforindexchar0"/>
          <w:rFonts w:cs="Times New Roman"/>
          <w:i/>
          <w:shd w:val="clear" w:color="auto" w:fill="FFFFFF"/>
        </w:rPr>
        <w:t>Forests, Lands and Natural Resource Operations)</w:t>
      </w:r>
      <w:r w:rsidRPr="00AF6773">
        <w:rPr>
          <w:rStyle w:val="sccrespondentforindexchar0"/>
          <w:rFonts w:cs="Times New Roman"/>
          <w:shd w:val="clear" w:color="auto" w:fill="FFFFFF"/>
        </w:rPr>
        <w:t xml:space="preserve">, 2017 SCC 54, [2017] 2 </w:t>
      </w:r>
      <w:proofErr w:type="spellStart"/>
      <w:r w:rsidRPr="00AF6773">
        <w:rPr>
          <w:rStyle w:val="sccrespondentforindexchar0"/>
          <w:rFonts w:cs="Times New Roman"/>
          <w:shd w:val="clear" w:color="auto" w:fill="FFFFFF"/>
        </w:rPr>
        <w:t>S.</w:t>
      </w:r>
      <w:r w:rsidRPr="00AF6773">
        <w:rPr>
          <w:rFonts w:cs="Times New Roman"/>
          <w:shd w:val="clear" w:color="auto" w:fill="FFFFFF"/>
        </w:rPr>
        <w:t>C.R</w:t>
      </w:r>
      <w:proofErr w:type="spellEnd"/>
      <w:r w:rsidRPr="00AF6773">
        <w:rPr>
          <w:rFonts w:cs="Times New Roman"/>
          <w:shd w:val="clear" w:color="auto" w:fill="FFFFFF"/>
        </w:rPr>
        <w:t>. 386, at para. 84).</w:t>
      </w:r>
    </w:p>
    <w:p w:rsidR="00C437E7" w:rsidRPr="00AF6773" w:rsidRDefault="00C437E7" w:rsidP="00C437E7">
      <w:pPr>
        <w:pStyle w:val="Title3LevelTitre3Niveau"/>
        <w:rPr>
          <w:rFonts w:cs="Times New Roman"/>
        </w:rPr>
      </w:pPr>
      <w:r w:rsidRPr="00AF6773">
        <w:rPr>
          <w:rFonts w:cs="Times New Roman"/>
        </w:rPr>
        <w:t>Application</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Turning to the appeal before us, it is important to review the findings of fact made by the trial judge. The trial judge found that the </w:t>
      </w:r>
      <w:proofErr w:type="spellStart"/>
      <w:r w:rsidRPr="00AF6773">
        <w:rPr>
          <w:rFonts w:cs="Times New Roman"/>
        </w:rPr>
        <w:t>Sinixt</w:t>
      </w:r>
      <w:proofErr w:type="spellEnd"/>
      <w:r w:rsidRPr="00AF6773">
        <w:rPr>
          <w:rFonts w:cs="Times New Roman"/>
        </w:rPr>
        <w:t xml:space="preserve"> had continued their seasonal harvesting round in the northern part of their territory from the time of contact (1811) until around 1870. Around 1880 and 1890, the majority of the Lakes peoples moved to the Colville Reservation in Washington State. By 1902, only 21 </w:t>
      </w:r>
      <w:proofErr w:type="spellStart"/>
      <w:r w:rsidRPr="00AF6773">
        <w:rPr>
          <w:rFonts w:cs="Times New Roman"/>
        </w:rPr>
        <w:t>Sinixt</w:t>
      </w:r>
      <w:proofErr w:type="spellEnd"/>
      <w:r w:rsidRPr="00AF6773">
        <w:rPr>
          <w:rFonts w:cs="Times New Roman"/>
        </w:rPr>
        <w:t xml:space="preserve"> remained living in their traditional territory in Canada when the federal government set aside a reserve for the “Arrow Lakes Band”, including </w:t>
      </w:r>
      <w:proofErr w:type="spellStart"/>
      <w:r w:rsidRPr="00AF6773">
        <w:rPr>
          <w:rFonts w:cs="Times New Roman"/>
        </w:rPr>
        <w:t>Sinixt</w:t>
      </w:r>
      <w:proofErr w:type="spellEnd"/>
      <w:r w:rsidRPr="00AF6773">
        <w:rPr>
          <w:rFonts w:cs="Times New Roman"/>
        </w:rPr>
        <w:t>, Ktunaxa, and Secwepemc members. In 1956, after the last member of the Arrow Lakes Band died, the federal government declared the Band extinct.</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The record clearly shows that after 1930, the Lakes Tribe did not travel to or hunt in British Columbia. Today, the Lakes Tribe does not, as their ancestors did, “exercise a robust seasonal round in all of their traditional territory including those lands now in British Columbia” (para. 119). The only evidence proffered at trial about the Lakes Tribe’s presence in British Columbia at all before 2010 was a singular event in November 1972, when Charlie </w:t>
      </w:r>
      <w:proofErr w:type="spellStart"/>
      <w:r w:rsidRPr="00AF6773">
        <w:rPr>
          <w:rFonts w:cs="Times New Roman"/>
        </w:rPr>
        <w:t>Quintasket</w:t>
      </w:r>
      <w:proofErr w:type="spellEnd"/>
      <w:r w:rsidRPr="00AF6773">
        <w:rPr>
          <w:rFonts w:cs="Times New Roman"/>
        </w:rPr>
        <w:t xml:space="preserve">, “a Lakes Indian from the Colville </w:t>
      </w:r>
      <w:r w:rsidRPr="00AF6773">
        <w:rPr>
          <w:rFonts w:cs="Times New Roman"/>
        </w:rPr>
        <w:lastRenderedPageBreak/>
        <w:t xml:space="preserve">reservation”, walked into the office of Aboriginal scholar Dr. Dorothy Kennedy and asked why the Lakes people had no Indian reserves in Canada (para. 49). The only evidence that the Lakes Tribe </w:t>
      </w:r>
      <w:r w:rsidRPr="00AF6773">
        <w:rPr>
          <w:rFonts w:cs="Times New Roman"/>
          <w:i/>
        </w:rPr>
        <w:t xml:space="preserve">maintained a connection </w:t>
      </w:r>
      <w:r w:rsidRPr="00AF6773">
        <w:rPr>
          <w:rFonts w:cs="Times New Roman"/>
        </w:rPr>
        <w:t>to the claimed right was the fact that “the land was not forgotten” (para. 50) in the minds of the Lakes Tribe members and that the Lakes Tribe engaged in the practice of hunting in Washington State at the time of contact.</w:t>
      </w:r>
    </w:p>
    <w:p w:rsidR="00C437E7" w:rsidRPr="00AF6773" w:rsidRDefault="00C437E7" w:rsidP="00C437E7">
      <w:pPr>
        <w:pStyle w:val="ParaNoNdepar-AltN"/>
        <w:tabs>
          <w:tab w:val="clear" w:pos="1166"/>
          <w:tab w:val="num" w:pos="1152"/>
        </w:tabs>
        <w:rPr>
          <w:rFonts w:cs="Times New Roman"/>
        </w:rPr>
      </w:pPr>
      <w:r w:rsidRPr="00AF6773">
        <w:rPr>
          <w:rFonts w:cs="Times New Roman"/>
        </w:rPr>
        <w:t>Mr. </w:t>
      </w:r>
      <w:proofErr w:type="spellStart"/>
      <w:r w:rsidRPr="00AF6773">
        <w:rPr>
          <w:rFonts w:cs="Times New Roman"/>
        </w:rPr>
        <w:t>Desautel</w:t>
      </w:r>
      <w:proofErr w:type="spellEnd"/>
      <w:r w:rsidRPr="00AF6773">
        <w:rPr>
          <w:rFonts w:cs="Times New Roman"/>
        </w:rPr>
        <w:t xml:space="preserve"> pointed to the creation of the international border by the 1846 Oregon Boundary Treaty and the outlawing of hunting by British Columbia through the </w:t>
      </w:r>
      <w:r w:rsidRPr="00AF6773">
        <w:rPr>
          <w:rFonts w:cs="Times New Roman"/>
          <w:i/>
        </w:rPr>
        <w:t>Game Protection Amendment Act, 1896</w:t>
      </w:r>
      <w:r w:rsidRPr="00AF6773">
        <w:rPr>
          <w:rFonts w:cs="Times New Roman"/>
        </w:rPr>
        <w:t xml:space="preserve">, </w:t>
      </w:r>
      <w:proofErr w:type="spellStart"/>
      <w:r w:rsidRPr="00AF6773">
        <w:rPr>
          <w:rFonts w:cs="Times New Roman"/>
        </w:rPr>
        <w:t>S.B.C</w:t>
      </w:r>
      <w:proofErr w:type="spellEnd"/>
      <w:r w:rsidRPr="00AF6773">
        <w:rPr>
          <w:rFonts w:cs="Times New Roman"/>
        </w:rPr>
        <w:t>., c. 22 (“</w:t>
      </w:r>
      <w:r w:rsidRPr="00AF6773">
        <w:rPr>
          <w:rFonts w:cs="Times New Roman"/>
          <w:i/>
        </w:rPr>
        <w:t>1896 Act</w:t>
      </w:r>
      <w:r w:rsidRPr="00AF6773">
        <w:rPr>
          <w:rFonts w:cs="Times New Roman"/>
        </w:rPr>
        <w:t xml:space="preserve">”), to explain why the Lakes Tribe had gradually ceased hunting in the </w:t>
      </w:r>
      <w:proofErr w:type="spellStart"/>
      <w:r w:rsidRPr="00AF6773">
        <w:rPr>
          <w:rFonts w:cs="Times New Roman"/>
        </w:rPr>
        <w:t>Sinixt</w:t>
      </w:r>
      <w:proofErr w:type="spellEnd"/>
      <w:r w:rsidRPr="00AF6773">
        <w:rPr>
          <w:rFonts w:cs="Times New Roman"/>
        </w:rPr>
        <w:t xml:space="preserve"> traditional territory. The trial judge held that the </w:t>
      </w:r>
      <w:proofErr w:type="spellStart"/>
      <w:r w:rsidRPr="00AF6773">
        <w:rPr>
          <w:rFonts w:cs="Times New Roman"/>
        </w:rPr>
        <w:t>Sinixt</w:t>
      </w:r>
      <w:proofErr w:type="spellEnd"/>
      <w:r w:rsidRPr="00AF6773">
        <w:rPr>
          <w:rFonts w:cs="Times New Roman"/>
        </w:rPr>
        <w:t xml:space="preserve"> had continued to hunt in British Columbia up to the </w:t>
      </w:r>
      <w:proofErr w:type="spellStart"/>
      <w:r w:rsidRPr="00AF6773">
        <w:rPr>
          <w:rFonts w:cs="Times New Roman"/>
        </w:rPr>
        <w:t>1930s</w:t>
      </w:r>
      <w:proofErr w:type="spellEnd"/>
      <w:r w:rsidRPr="00AF6773">
        <w:rPr>
          <w:rFonts w:cs="Times New Roman"/>
        </w:rPr>
        <w:t xml:space="preserve"> despite the passing of the </w:t>
      </w:r>
      <w:r w:rsidRPr="00AF6773">
        <w:rPr>
          <w:rFonts w:cs="Times New Roman"/>
          <w:i/>
        </w:rPr>
        <w:t>1896 Act</w:t>
      </w:r>
      <w:r w:rsidRPr="00AF6773">
        <w:rPr>
          <w:rFonts w:cs="Times New Roman"/>
        </w:rPr>
        <w:t xml:space="preserve">. Therefore, it cannot be said that the </w:t>
      </w:r>
      <w:r w:rsidRPr="00AF6773">
        <w:rPr>
          <w:rFonts w:cs="Times New Roman"/>
          <w:i/>
        </w:rPr>
        <w:t xml:space="preserve">1896 Act </w:t>
      </w:r>
      <w:r w:rsidRPr="00AF6773">
        <w:rPr>
          <w:rFonts w:cs="Times New Roman"/>
        </w:rPr>
        <w:t xml:space="preserve">prevented the </w:t>
      </w:r>
      <w:proofErr w:type="spellStart"/>
      <w:r w:rsidRPr="00AF6773">
        <w:rPr>
          <w:rFonts w:cs="Times New Roman"/>
        </w:rPr>
        <w:t>Sinixt</w:t>
      </w:r>
      <w:proofErr w:type="spellEnd"/>
      <w:r w:rsidRPr="00AF6773">
        <w:rPr>
          <w:rFonts w:cs="Times New Roman"/>
        </w:rPr>
        <w:t xml:space="preserve"> from hunting. But even if this is accepted to be so, it does not explain the Lakes Tribe’s absence from the province for a period of almost 30 years — from 1982, when existing Aboriginal rights were elevated to constitutional status by the </w:t>
      </w:r>
      <w:r w:rsidRPr="00AF6773">
        <w:rPr>
          <w:rFonts w:cs="Times New Roman"/>
          <w:i/>
        </w:rPr>
        <w:t>Constitution Act, 1982</w:t>
      </w:r>
      <w:r w:rsidRPr="00AF6773">
        <w:rPr>
          <w:rFonts w:cs="Times New Roman"/>
        </w:rPr>
        <w:t xml:space="preserve">, to 2010, when Mr. </w:t>
      </w:r>
      <w:proofErr w:type="spellStart"/>
      <w:r w:rsidRPr="00AF6773">
        <w:rPr>
          <w:rFonts w:cs="Times New Roman"/>
        </w:rPr>
        <w:t>Desautel</w:t>
      </w:r>
      <w:proofErr w:type="spellEnd"/>
      <w:r w:rsidRPr="00AF6773">
        <w:rPr>
          <w:rFonts w:cs="Times New Roman"/>
        </w:rPr>
        <w:t xml:space="preserve"> travelled to British Columbia for the purpose of shooting a cow-elk to launch this test case.</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Quite simply, there is no direct evidence between 1930 and 1982 and between 1982 and 2010 that the Lakes Tribe engaged in anything that could be considered a modern-day practice of hunting in this territory. This was not a case whereby the Lakes Tribe could not provide a “year-by-year chronicle of how the event </w:t>
      </w:r>
      <w:r w:rsidRPr="00AF6773">
        <w:rPr>
          <w:rFonts w:cs="Times New Roman"/>
        </w:rPr>
        <w:lastRenderedPageBreak/>
        <w:t xml:space="preserve">has been exercised since time immemorial”; rather, the Lakes Tribe did not hunt, let alone exercise a seasonal round, in British Columbia after 1930. </w:t>
      </w:r>
    </w:p>
    <w:p w:rsidR="00C437E7" w:rsidRPr="00AF6773" w:rsidRDefault="00C437E7" w:rsidP="00C437E7">
      <w:pPr>
        <w:pStyle w:val="ParaNoNdepar-AltN"/>
        <w:tabs>
          <w:tab w:val="clear" w:pos="1166"/>
          <w:tab w:val="num" w:pos="1152"/>
        </w:tabs>
        <w:rPr>
          <w:rFonts w:cs="Times New Roman"/>
        </w:rPr>
      </w:pPr>
      <w:r w:rsidRPr="00AF6773">
        <w:rPr>
          <w:rFonts w:cs="Times New Roman"/>
        </w:rPr>
        <w:t>I am of the view that the trial judge made a legal error in concluding that the chain of continuity had not been broken and that Mr. </w:t>
      </w:r>
      <w:proofErr w:type="spellStart"/>
      <w:r w:rsidRPr="00AF6773">
        <w:rPr>
          <w:rFonts w:cs="Times New Roman"/>
        </w:rPr>
        <w:t>Desautel</w:t>
      </w:r>
      <w:proofErr w:type="spellEnd"/>
      <w:r w:rsidRPr="00AF6773">
        <w:rPr>
          <w:rFonts w:cs="Times New Roman"/>
        </w:rPr>
        <w:t xml:space="preserve"> had established an Aboriginal right to hunt in British Columbia. </w:t>
      </w:r>
      <w:r w:rsidRPr="00AF6773">
        <w:rPr>
          <w:rFonts w:cs="Times New Roman"/>
          <w:szCs w:val="24"/>
        </w:rPr>
        <w:t>While the trial judge’s findings of fact are owed deference because the weighing of evidence in an Aboriginal rights claim is “generally the domain of the trial judge, who is best situated to assess the evidence as it is presented” (</w:t>
      </w:r>
      <w:r w:rsidRPr="00AF6773">
        <w:rPr>
          <w:rFonts w:cs="Times New Roman"/>
          <w:i/>
          <w:iCs/>
          <w:szCs w:val="24"/>
        </w:rPr>
        <w:t>Mitchell</w:t>
      </w:r>
      <w:r w:rsidRPr="00AF6773">
        <w:rPr>
          <w:rFonts w:cs="Times New Roman"/>
          <w:iCs/>
          <w:szCs w:val="24"/>
        </w:rPr>
        <w:t xml:space="preserve">, </w:t>
      </w:r>
      <w:r w:rsidRPr="00AF6773">
        <w:rPr>
          <w:rFonts w:cs="Times New Roman"/>
          <w:szCs w:val="24"/>
        </w:rPr>
        <w:t xml:space="preserve">at para. 36), the facts as she found them do not meet the continuity requirement necessary to establish an Aboriginal right. </w:t>
      </w:r>
    </w:p>
    <w:p w:rsidR="00C437E7" w:rsidRPr="00AF6773" w:rsidRDefault="00C437E7" w:rsidP="00C437E7">
      <w:pPr>
        <w:pStyle w:val="ParaNoNdepar-AltN"/>
        <w:tabs>
          <w:tab w:val="clear" w:pos="1166"/>
          <w:tab w:val="num" w:pos="1152"/>
        </w:tabs>
        <w:rPr>
          <w:rFonts w:cs="Times New Roman"/>
        </w:rPr>
      </w:pPr>
      <w:r w:rsidRPr="00AF6773">
        <w:rPr>
          <w:rFonts w:cs="Times New Roman"/>
        </w:rPr>
        <w:t>Continuity cannot be established simply because there is evidence that “the land was not forgotten” in the minds of the Lakes Tribe members. This is not, and cannot be, the standard. Even if the fact</w:t>
      </w:r>
      <w:r w:rsidRPr="00AF6773">
        <w:rPr>
          <w:rFonts w:cs="Times New Roman"/>
          <w:szCs w:val="24"/>
        </w:rPr>
        <w:t xml:space="preserve"> </w:t>
      </w:r>
      <w:r w:rsidRPr="00AF6773">
        <w:rPr>
          <w:rFonts w:cs="Times New Roman"/>
        </w:rPr>
        <w:t>t</w:t>
      </w:r>
      <w:r w:rsidRPr="00AF6773">
        <w:rPr>
          <w:rFonts w:cs="Times New Roman"/>
          <w:szCs w:val="24"/>
        </w:rPr>
        <w:t>hat the Lakes Tribe engaged in some hunting practices in Washington State is considered, the evidence is inconclusive</w:t>
      </w:r>
      <w:r w:rsidRPr="00AF6773">
        <w:rPr>
          <w:rFonts w:cs="Times New Roman"/>
        </w:rPr>
        <w:t xml:space="preserve">. Further, without an explanation as to its meaning, the evidence that </w:t>
      </w:r>
      <w:r w:rsidRPr="00AF6773">
        <w:rPr>
          <w:rFonts w:cs="Times New Roman"/>
          <w:szCs w:val="24"/>
        </w:rPr>
        <w:t>Mr. </w:t>
      </w:r>
      <w:proofErr w:type="spellStart"/>
      <w:r w:rsidRPr="00AF6773">
        <w:rPr>
          <w:rFonts w:cs="Times New Roman"/>
        </w:rPr>
        <w:t>Quintasket</w:t>
      </w:r>
      <w:proofErr w:type="spellEnd"/>
      <w:r w:rsidRPr="00AF6773">
        <w:rPr>
          <w:rFonts w:cs="Times New Roman"/>
          <w:szCs w:val="24"/>
        </w:rPr>
        <w:t xml:space="preserve"> asked Dr. Kennedy about Lakes Tribe reserves in Canada simply has no legal significance or relevance. Given that the</w:t>
      </w:r>
      <w:r w:rsidRPr="00AF6773">
        <w:rPr>
          <w:rFonts w:cs="Times New Roman"/>
        </w:rPr>
        <w:t xml:space="preserve"> evidence of continuity is amorphous and imprecise in many respects, there was no basis upon which the trial judge could have drawn an inference of continuity. </w:t>
      </w:r>
      <w:r w:rsidRPr="00AF6773">
        <w:rPr>
          <w:rFonts w:cs="Times New Roman"/>
          <w:szCs w:val="24"/>
        </w:rPr>
        <w:t xml:space="preserve">As the Court explained in </w:t>
      </w:r>
      <w:r w:rsidRPr="00AF6773">
        <w:rPr>
          <w:rFonts w:cs="Times New Roman"/>
          <w:i/>
          <w:szCs w:val="24"/>
        </w:rPr>
        <w:t>Mitchell</w:t>
      </w:r>
      <w:r w:rsidRPr="00AF6773">
        <w:rPr>
          <w:rFonts w:cs="Times New Roman"/>
          <w:szCs w:val="24"/>
        </w:rPr>
        <w:t xml:space="preserve">, at para. 39: </w:t>
      </w:r>
    </w:p>
    <w:p w:rsidR="00C437E7" w:rsidRPr="00AF6773" w:rsidRDefault="00C437E7" w:rsidP="00C437E7">
      <w:pPr>
        <w:pStyle w:val="Citation-AltC"/>
        <w:ind w:firstLine="274"/>
      </w:pPr>
      <w:r w:rsidRPr="00AF6773">
        <w:t>There is a boundary that must not be crossed between a sensitive application and a complete abandonment of the rules of evidence. As Binnie J. observed in the context of treaty rights, “[g]</w:t>
      </w:r>
      <w:proofErr w:type="spellStart"/>
      <w:r w:rsidRPr="00AF6773">
        <w:t>enerous</w:t>
      </w:r>
      <w:proofErr w:type="spellEnd"/>
      <w:r w:rsidRPr="00AF6773">
        <w:t xml:space="preserve"> rules of interpretation should not be confused with a vague sense of after-the-fact largesse” (</w:t>
      </w:r>
      <w:r w:rsidRPr="00AF6773">
        <w:rPr>
          <w:i/>
        </w:rPr>
        <w:t>R. v. Marshall</w:t>
      </w:r>
      <w:r w:rsidRPr="00AF6773">
        <w:t>,</w:t>
      </w:r>
      <w:r w:rsidRPr="00AF6773">
        <w:rPr>
          <w:rStyle w:val="reflex3-alt"/>
        </w:rPr>
        <w:t xml:space="preserve"> [1999] 3 </w:t>
      </w:r>
      <w:proofErr w:type="spellStart"/>
      <w:r w:rsidRPr="00AF6773">
        <w:rPr>
          <w:rStyle w:val="reflex3-alt"/>
        </w:rPr>
        <w:t>S.C.R</w:t>
      </w:r>
      <w:proofErr w:type="spellEnd"/>
      <w:r w:rsidRPr="00AF6773">
        <w:rPr>
          <w:rStyle w:val="reflex3-alt"/>
        </w:rPr>
        <w:t>. 456</w:t>
      </w:r>
      <w:r w:rsidRPr="00AF6773">
        <w:rPr>
          <w:rStyle w:val="reflex3-block"/>
          <w:rFonts w:eastAsiaTheme="majorEastAsia"/>
        </w:rPr>
        <w:t>, at para. 14</w:t>
      </w:r>
      <w:r w:rsidRPr="00AF6773">
        <w:t xml:space="preserve">). In particular, </w:t>
      </w:r>
      <w:r w:rsidRPr="00AF6773">
        <w:lastRenderedPageBreak/>
        <w:t xml:space="preserve">the </w:t>
      </w:r>
      <w:r w:rsidRPr="00AF6773">
        <w:rPr>
          <w:rStyle w:val="reflex"/>
          <w:i/>
        </w:rPr>
        <w:t xml:space="preserve">Van der </w:t>
      </w:r>
      <w:proofErr w:type="spellStart"/>
      <w:r w:rsidRPr="00AF6773">
        <w:rPr>
          <w:rStyle w:val="reflex"/>
          <w:i/>
        </w:rPr>
        <w:t>Peet</w:t>
      </w:r>
      <w:proofErr w:type="spellEnd"/>
      <w:r w:rsidRPr="00AF6773">
        <w:rPr>
          <w:rStyle w:val="reflex"/>
        </w:rPr>
        <w:t xml:space="preserve"> approach </w:t>
      </w:r>
      <w:r w:rsidRPr="00AF6773">
        <w:t xml:space="preserve">does not operate to amplify the cogency of evidence adduced in support of an aboriginal claim. Evidence advanced in support of aboriginal claims, like the evidence offered in any case, can run the gamut of cogency from the highly compelling to the highly dubious. Claims must still be established on the basis of persuasive evidence demonstrating their validity on the balance of probabilities. Placing “due weight” on the aboriginal perspective, or ensuring its supporting evidence an “equal footing” with more familiar forms of evidence, means precisely what these phrases suggest: </w:t>
      </w:r>
      <w:r w:rsidRPr="00AF6773">
        <w:rPr>
          <w:u w:val="single"/>
        </w:rPr>
        <w:t>equal</w:t>
      </w:r>
      <w:r w:rsidRPr="00AF6773">
        <w:t xml:space="preserve"> and </w:t>
      </w:r>
      <w:r w:rsidRPr="00AF6773">
        <w:rPr>
          <w:u w:val="single"/>
        </w:rPr>
        <w:t>due</w:t>
      </w:r>
      <w:r w:rsidRPr="00AF6773">
        <w:t xml:space="preserve"> treatment. While the evidence presented by aboriginal claimants should not be undervalued “simply because that evidence does not conform precisely with the evidentiary standards that would be applied in, for example, a private law torts </w:t>
      </w:r>
      <w:r w:rsidRPr="00AF6773">
        <w:rPr>
          <w:rStyle w:val="reflex"/>
        </w:rPr>
        <w:t>case” (</w:t>
      </w:r>
      <w:r w:rsidRPr="00AF6773">
        <w:rPr>
          <w:rStyle w:val="reflex"/>
          <w:i/>
        </w:rPr>
        <w:t xml:space="preserve">Van der </w:t>
      </w:r>
      <w:proofErr w:type="spellStart"/>
      <w:r w:rsidRPr="00AF6773">
        <w:rPr>
          <w:rStyle w:val="reflex"/>
          <w:i/>
        </w:rPr>
        <w:t>Peet</w:t>
      </w:r>
      <w:proofErr w:type="spellEnd"/>
      <w:r w:rsidRPr="00AF6773">
        <w:t xml:space="preserve">, </w:t>
      </w:r>
      <w:r w:rsidRPr="00AF6773">
        <w:rPr>
          <w:i/>
        </w:rPr>
        <w:t>supra</w:t>
      </w:r>
      <w:r w:rsidRPr="00AF6773">
        <w:t>, at para. 68), neither should it be artificially strained to carry more weight than it can reasonably support. If this is an obvious proposition, it must nonetheless be stated. [Emphasis in original; text in brackets in original.]</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Given the Lakes Tribe’s lengthy and unaccounted-for absence from British Columbia between 1930 and 2010, continuity is not made out. A single shot cannot create the Lakes Tribe’s modern exercise of the right. In the absence of even minimally cogent evidence, this conclusion seems inescapable. </w:t>
      </w:r>
    </w:p>
    <w:p w:rsidR="00C437E7" w:rsidRPr="00AF6773" w:rsidRDefault="00C437E7" w:rsidP="00C437E7">
      <w:pPr>
        <w:pStyle w:val="ParaNoNdepar-AltN"/>
        <w:tabs>
          <w:tab w:val="clear" w:pos="1166"/>
          <w:tab w:val="num" w:pos="1152"/>
        </w:tabs>
        <w:rPr>
          <w:rFonts w:cs="Times New Roman"/>
        </w:rPr>
      </w:pPr>
      <w:r w:rsidRPr="00AF6773">
        <w:rPr>
          <w:rFonts w:cs="Times New Roman"/>
        </w:rPr>
        <w:t>Therefore, even if the Lakes Tribe were found to be part of the “aboriginal peoples of Canada”, the lack of continuity would be fatal to Mr. </w:t>
      </w:r>
      <w:proofErr w:type="spellStart"/>
      <w:r w:rsidRPr="00AF6773">
        <w:rPr>
          <w:rFonts w:cs="Times New Roman"/>
        </w:rPr>
        <w:t>Desautel’s</w:t>
      </w:r>
      <w:proofErr w:type="spellEnd"/>
      <w:r w:rsidRPr="00AF6773">
        <w:rPr>
          <w:rFonts w:cs="Times New Roman"/>
        </w:rPr>
        <w:t xml:space="preserve"> claim for a constitutionally-protected s. 35(1) Aboriginal right to hunt for ceremonial purposes in the Lakes Tribe’s traditional territory in British Columbia. I would allow the appeal on this alternative basis as well.</w:t>
      </w:r>
    </w:p>
    <w:p w:rsidR="00C437E7" w:rsidRPr="00AF6773" w:rsidRDefault="00C437E7" w:rsidP="00C437E7">
      <w:pPr>
        <w:pStyle w:val="Title2LevelTitre2Niveau"/>
        <w:rPr>
          <w:rFonts w:cs="Times New Roman"/>
        </w:rPr>
      </w:pPr>
      <w:r w:rsidRPr="00AF6773">
        <w:rPr>
          <w:rFonts w:cs="Times New Roman"/>
        </w:rPr>
        <w:t>Common Law Aboriginal Rights</w:t>
      </w:r>
    </w:p>
    <w:p w:rsidR="00C437E7" w:rsidRPr="00AF6773" w:rsidRDefault="00C437E7" w:rsidP="00C437E7">
      <w:pPr>
        <w:pStyle w:val="ParaNoNdepar-AltN"/>
        <w:tabs>
          <w:tab w:val="clear" w:pos="1166"/>
          <w:tab w:val="num" w:pos="1152"/>
        </w:tabs>
        <w:rPr>
          <w:rFonts w:cs="Times New Roman"/>
        </w:rPr>
      </w:pPr>
      <w:r w:rsidRPr="00AF6773">
        <w:rPr>
          <w:rFonts w:cs="Times New Roman"/>
        </w:rPr>
        <w:lastRenderedPageBreak/>
        <w:t>It is well established that “s. 35(1) did not create the legal doctrine of aboriginal rights; aboriginal rights existed and were recognized under the common law” (</w:t>
      </w:r>
      <w:r w:rsidRPr="00AF6773">
        <w:rPr>
          <w:rFonts w:cs="Times New Roman"/>
          <w:i/>
        </w:rPr>
        <w:t xml:space="preserve">Van der </w:t>
      </w:r>
      <w:proofErr w:type="spellStart"/>
      <w:r w:rsidRPr="00AF6773">
        <w:rPr>
          <w:rFonts w:cs="Times New Roman"/>
          <w:i/>
        </w:rPr>
        <w:t>Peet</w:t>
      </w:r>
      <w:proofErr w:type="spellEnd"/>
      <w:r w:rsidRPr="00AF6773">
        <w:rPr>
          <w:rFonts w:cs="Times New Roman"/>
        </w:rPr>
        <w:t>, at para. 28), subject to the exceptions of sovereign incompatibility, surrender, and extinguishment (</w:t>
      </w:r>
      <w:r w:rsidRPr="00AF6773">
        <w:rPr>
          <w:rFonts w:cs="Times New Roman"/>
          <w:i/>
        </w:rPr>
        <w:t>Mitchell</w:t>
      </w:r>
      <w:r w:rsidRPr="00AF6773">
        <w:rPr>
          <w:rFonts w:cs="Times New Roman"/>
        </w:rPr>
        <w:t xml:space="preserve">, at para. 10). However, this Court has not previously considered the effect of s. 35(1) on the common law rights of an Aboriginal group located outside of Canada. Until now, this Court has only ever considered s. 35(1) in relation to claimants who were indisputably “aboriginal peoples of Canada”. </w:t>
      </w:r>
    </w:p>
    <w:p w:rsidR="00C437E7" w:rsidRPr="00AF6773" w:rsidRDefault="00C437E7" w:rsidP="00C437E7">
      <w:pPr>
        <w:pStyle w:val="ParaNoNdepar-AltN"/>
        <w:tabs>
          <w:tab w:val="clear" w:pos="1166"/>
          <w:tab w:val="num" w:pos="1152"/>
        </w:tabs>
        <w:rPr>
          <w:rFonts w:cs="Times New Roman"/>
        </w:rPr>
      </w:pPr>
      <w:r w:rsidRPr="00AF6773">
        <w:rPr>
          <w:rFonts w:cs="Times New Roman"/>
        </w:rPr>
        <w:t>The above reasons should not be taken as meaning that an Aboriginal collective located outside of Canada that is found not to be part of the “aboriginal peoples of Canada”, such as the Lakes Tribe, is foreclosed from establishing common law Aboriginal rights in Canada. However, I find it unnecessary to decide this issue in this case. Mr. </w:t>
      </w:r>
      <w:proofErr w:type="spellStart"/>
      <w:r w:rsidRPr="00AF6773">
        <w:rPr>
          <w:rFonts w:cs="Times New Roman"/>
        </w:rPr>
        <w:t>Desautel</w:t>
      </w:r>
      <w:proofErr w:type="spellEnd"/>
      <w:r w:rsidRPr="00AF6773">
        <w:rPr>
          <w:rFonts w:cs="Times New Roman"/>
        </w:rPr>
        <w:t xml:space="preserve"> did not assert that he had a common law Aboriginal right to hunt. Indeed, he resisted this notion for a number of reasons, one being that a common law right would not have exempted him from the </w:t>
      </w:r>
      <w:r w:rsidRPr="00AF6773">
        <w:rPr>
          <w:rFonts w:cs="Times New Roman"/>
          <w:i/>
        </w:rPr>
        <w:t>Wildlife Act</w:t>
      </w:r>
      <w:r w:rsidRPr="00AF6773">
        <w:rPr>
          <w:rFonts w:cs="Times New Roman"/>
        </w:rPr>
        <w:t xml:space="preserve"> provisions at issue. Therefore, I consider it unnecessary to determine whether Mr. </w:t>
      </w:r>
      <w:proofErr w:type="spellStart"/>
      <w:r w:rsidRPr="00AF6773">
        <w:rPr>
          <w:rFonts w:cs="Times New Roman"/>
        </w:rPr>
        <w:t>Desautel</w:t>
      </w:r>
      <w:proofErr w:type="spellEnd"/>
      <w:r w:rsidRPr="00AF6773">
        <w:rPr>
          <w:rFonts w:cs="Times New Roman"/>
        </w:rPr>
        <w:t xml:space="preserve"> holds a common law Aboriginal right to hunt in British Columbia, and I leave the question of whether the common law continues to protect Aboriginal rights not constitutionalized by the enactment of s. 35(1) for another day. </w:t>
      </w:r>
    </w:p>
    <w:p w:rsidR="00C437E7" w:rsidRPr="00AF6773" w:rsidRDefault="00C437E7" w:rsidP="00C437E7">
      <w:pPr>
        <w:pStyle w:val="Title1LevelTitre1Niveau-AltL"/>
        <w:rPr>
          <w:rFonts w:cs="Times New Roman"/>
        </w:rPr>
      </w:pPr>
      <w:r w:rsidRPr="00AF6773">
        <w:rPr>
          <w:rFonts w:cs="Times New Roman"/>
        </w:rPr>
        <w:t>Conclusion</w:t>
      </w:r>
    </w:p>
    <w:p w:rsidR="00C437E7" w:rsidRPr="00AF6773" w:rsidRDefault="00C437E7" w:rsidP="00C437E7">
      <w:pPr>
        <w:pStyle w:val="ParaNoNdepar-AltN"/>
        <w:tabs>
          <w:tab w:val="clear" w:pos="1166"/>
          <w:tab w:val="num" w:pos="1152"/>
        </w:tabs>
        <w:rPr>
          <w:rFonts w:cs="Times New Roman"/>
        </w:rPr>
      </w:pPr>
      <w:r w:rsidRPr="00AF6773">
        <w:rPr>
          <w:rFonts w:cs="Times New Roman"/>
        </w:rPr>
        <w:t xml:space="preserve">In summary, I would find that the expression “aboriginal peoples of Canada” in s. 35(1) means present-day Aboriginal peoples who are located in Canada, </w:t>
      </w:r>
      <w:r w:rsidRPr="00AF6773">
        <w:rPr>
          <w:rFonts w:cs="Times New Roman"/>
        </w:rPr>
        <w:lastRenderedPageBreak/>
        <w:t>and I would allow the appeal for that reason. But even if this was not the case, Mr. </w:t>
      </w:r>
      <w:proofErr w:type="spellStart"/>
      <w:r w:rsidRPr="00AF6773">
        <w:rPr>
          <w:rFonts w:cs="Times New Roman"/>
        </w:rPr>
        <w:t>Desautel</w:t>
      </w:r>
      <w:proofErr w:type="spellEnd"/>
      <w:r w:rsidRPr="00AF6773">
        <w:rPr>
          <w:rFonts w:cs="Times New Roman"/>
        </w:rPr>
        <w:t xml:space="preserve"> cannot establish that he was exercising a s. 35(1) Aboriginal right to hunt in the </w:t>
      </w:r>
      <w:proofErr w:type="spellStart"/>
      <w:r w:rsidRPr="00AF6773">
        <w:rPr>
          <w:rFonts w:cs="Times New Roman"/>
        </w:rPr>
        <w:t>Sinixt</w:t>
      </w:r>
      <w:proofErr w:type="spellEnd"/>
      <w:r w:rsidRPr="00AF6773">
        <w:rPr>
          <w:rFonts w:cs="Times New Roman"/>
        </w:rPr>
        <w:t xml:space="preserve"> traditional territory in British Columbia, as he has failed to establish reasonable continuity between the pre-contact practice, custom or tradition and the contemporary claim. I would therefore allow the appeal on this alternative basis as well. </w:t>
      </w:r>
    </w:p>
    <w:p w:rsidR="00437F31" w:rsidRDefault="00C437E7" w:rsidP="00C437E7">
      <w:pPr>
        <w:pStyle w:val="ParaNoNdepar-AltN"/>
        <w:tabs>
          <w:tab w:val="clear" w:pos="1166"/>
          <w:tab w:val="num" w:pos="1152"/>
        </w:tabs>
        <w:rPr>
          <w:rFonts w:cs="Times New Roman"/>
        </w:rPr>
      </w:pPr>
      <w:r w:rsidRPr="00AF6773">
        <w:rPr>
          <w:rFonts w:cs="Times New Roman"/>
        </w:rPr>
        <w:t>I would allow the Crown’s appeal and answer the constitutional question in the negative. As a result, Mr. </w:t>
      </w:r>
      <w:proofErr w:type="spellStart"/>
      <w:r w:rsidRPr="00AF6773">
        <w:rPr>
          <w:rFonts w:cs="Times New Roman"/>
        </w:rPr>
        <w:t>Desautel</w:t>
      </w:r>
      <w:proofErr w:type="spellEnd"/>
      <w:r w:rsidRPr="00AF6773">
        <w:rPr>
          <w:rFonts w:cs="Times New Roman"/>
        </w:rPr>
        <w:t xml:space="preserve"> should not be exempt from the </w:t>
      </w:r>
      <w:r w:rsidRPr="00AF6773">
        <w:rPr>
          <w:rFonts w:cs="Times New Roman"/>
          <w:i/>
        </w:rPr>
        <w:t>Wildlife Act</w:t>
      </w:r>
      <w:r w:rsidRPr="00AF6773">
        <w:rPr>
          <w:rFonts w:cs="Times New Roman"/>
        </w:rPr>
        <w:t xml:space="preserve"> provisions under which he was charged. I would enter a verdict of guilty on both counts of hunting without a licence contrary to s. 11(1) of the </w:t>
      </w:r>
      <w:r w:rsidRPr="00AF6773">
        <w:rPr>
          <w:rFonts w:cs="Times New Roman"/>
          <w:i/>
        </w:rPr>
        <w:t xml:space="preserve">Act </w:t>
      </w:r>
      <w:r w:rsidRPr="00AF6773">
        <w:rPr>
          <w:rFonts w:cs="Times New Roman"/>
        </w:rPr>
        <w:t xml:space="preserve">and hunting big game while not being a resident contrary to s. 47(a) of the </w:t>
      </w:r>
      <w:r w:rsidRPr="00AF6773">
        <w:rPr>
          <w:rFonts w:cs="Times New Roman"/>
          <w:i/>
        </w:rPr>
        <w:t>Act</w:t>
      </w:r>
      <w:r w:rsidRPr="00AF6773">
        <w:rPr>
          <w:rFonts w:cs="Times New Roman"/>
        </w:rPr>
        <w:t xml:space="preserve">, and remit the matter to the trial court for sentencing. </w:t>
      </w:r>
    </w:p>
    <w:p w:rsidR="00C437E7" w:rsidRPr="00437F31" w:rsidRDefault="00C437E7" w:rsidP="00437F31">
      <w:pPr>
        <w:pStyle w:val="ParaNoNdepar-AltN"/>
        <w:numPr>
          <w:ilvl w:val="0"/>
          <w:numId w:val="0"/>
        </w:numPr>
        <w:ind w:left="720"/>
        <w:rPr>
          <w:rFonts w:cs="Times New Roman"/>
        </w:rPr>
      </w:pPr>
      <w:r w:rsidRPr="00173A02">
        <w:t>The following are the reasons delivered by</w:t>
      </w:r>
    </w:p>
    <w:p w:rsidR="00C437E7" w:rsidRDefault="00437F31" w:rsidP="00437F31">
      <w:pPr>
        <w:pStyle w:val="ParaNoNdepar-AltN"/>
      </w:pPr>
      <w:proofErr w:type="spellStart"/>
      <w:r w:rsidRPr="00437F31">
        <w:rPr>
          <w:smallCaps/>
        </w:rPr>
        <w:t>Moldaver</w:t>
      </w:r>
      <w:proofErr w:type="spellEnd"/>
      <w:r w:rsidRPr="00437F31">
        <w:rPr>
          <w:smallCaps/>
        </w:rPr>
        <w:t> J.</w:t>
      </w:r>
      <w:r>
        <w:t xml:space="preserve"> (dissenting) — </w:t>
      </w:r>
      <w:r w:rsidR="00C437E7" w:rsidRPr="00437F31">
        <w:rPr>
          <w:rFonts w:eastAsia="Times New Roman"/>
        </w:rPr>
        <w:t xml:space="preserve">I have had the benefit of reading the reasons of my colleagues Rowe and </w:t>
      </w:r>
      <w:r w:rsidR="00C437E7" w:rsidRPr="00437F31">
        <w:rPr>
          <w:color w:val="000000"/>
          <w:shd w:val="clear" w:color="auto" w:fill="FFFFFF"/>
        </w:rPr>
        <w:t>Côté</w:t>
      </w:r>
      <w:r w:rsidR="00C437E7" w:rsidRPr="00437F31">
        <w:rPr>
          <w:rFonts w:eastAsia="Times New Roman"/>
        </w:rPr>
        <w:t> </w:t>
      </w:r>
      <w:proofErr w:type="spellStart"/>
      <w:r w:rsidR="00C437E7" w:rsidRPr="00437F31">
        <w:rPr>
          <w:rFonts w:eastAsia="Times New Roman"/>
        </w:rPr>
        <w:t>JJ</w:t>
      </w:r>
      <w:proofErr w:type="spellEnd"/>
      <w:r w:rsidR="00C437E7" w:rsidRPr="00437F31">
        <w:rPr>
          <w:rFonts w:eastAsia="Times New Roman"/>
        </w:rPr>
        <w:t>. For the purposes of this appeal, I am prepared to assume, without finally deciding, that Rowe J. is correct in holding that, as a member of an Aboriginal collective located outside Canada, Mr. </w:t>
      </w:r>
      <w:proofErr w:type="spellStart"/>
      <w:r w:rsidR="00C437E7" w:rsidRPr="00437F31">
        <w:rPr>
          <w:rFonts w:eastAsia="Times New Roman"/>
        </w:rPr>
        <w:t>Desautel</w:t>
      </w:r>
      <w:proofErr w:type="spellEnd"/>
      <w:r w:rsidR="00C437E7" w:rsidRPr="00437F31">
        <w:rPr>
          <w:rFonts w:eastAsia="Times New Roman"/>
        </w:rPr>
        <w:t xml:space="preserve"> is entitled to claim the constitutional protection provided by s. 35(1) of the </w:t>
      </w:r>
      <w:r w:rsidR="00C437E7" w:rsidRPr="00437F31">
        <w:rPr>
          <w:rFonts w:eastAsia="Times New Roman"/>
          <w:i/>
        </w:rPr>
        <w:t>Constitution Act, 1982</w:t>
      </w:r>
      <w:r w:rsidR="00C437E7" w:rsidRPr="00437F31">
        <w:rPr>
          <w:rFonts w:eastAsia="Times New Roman"/>
        </w:rPr>
        <w:t xml:space="preserve">. I nevertheless agree with </w:t>
      </w:r>
      <w:r w:rsidR="00C437E7" w:rsidRPr="00437F31">
        <w:rPr>
          <w:color w:val="000000"/>
          <w:shd w:val="clear" w:color="auto" w:fill="FFFFFF"/>
        </w:rPr>
        <w:t>Côté</w:t>
      </w:r>
      <w:r w:rsidR="00C437E7" w:rsidRPr="00437F31">
        <w:rPr>
          <w:rFonts w:eastAsia="Times New Roman"/>
        </w:rPr>
        <w:t> J., for the reasons she has expressed, that Mr. </w:t>
      </w:r>
      <w:proofErr w:type="spellStart"/>
      <w:r w:rsidR="00C437E7" w:rsidRPr="00437F31">
        <w:rPr>
          <w:rFonts w:eastAsia="Times New Roman"/>
        </w:rPr>
        <w:t>Desautel</w:t>
      </w:r>
      <w:proofErr w:type="spellEnd"/>
      <w:r w:rsidR="00C437E7" w:rsidRPr="00437F31">
        <w:rPr>
          <w:rFonts w:eastAsia="Times New Roman"/>
        </w:rPr>
        <w:t xml:space="preserve"> has not met his onus of establishing the continuity element of his claim, under the test for Aboriginal rights pursuant to </w:t>
      </w:r>
      <w:r w:rsidR="00C437E7" w:rsidRPr="00437F31">
        <w:rPr>
          <w:rFonts w:eastAsia="Times New Roman"/>
          <w:i/>
        </w:rPr>
        <w:t xml:space="preserve">R. v. Van der </w:t>
      </w:r>
      <w:proofErr w:type="spellStart"/>
      <w:r w:rsidR="00C437E7" w:rsidRPr="00437F31">
        <w:rPr>
          <w:rFonts w:eastAsia="Times New Roman"/>
          <w:i/>
        </w:rPr>
        <w:t>Peet</w:t>
      </w:r>
      <w:proofErr w:type="spellEnd"/>
      <w:r w:rsidR="00C437E7" w:rsidRPr="00437F31">
        <w:rPr>
          <w:rFonts w:eastAsia="Times New Roman"/>
        </w:rPr>
        <w:t xml:space="preserve">, [1996] 2 </w:t>
      </w:r>
      <w:proofErr w:type="spellStart"/>
      <w:r w:rsidR="00C437E7" w:rsidRPr="00437F31">
        <w:rPr>
          <w:rFonts w:eastAsia="Times New Roman"/>
        </w:rPr>
        <w:t>S.C.R</w:t>
      </w:r>
      <w:proofErr w:type="spellEnd"/>
      <w:r w:rsidR="00C437E7" w:rsidRPr="00437F31">
        <w:rPr>
          <w:rFonts w:eastAsia="Times New Roman"/>
        </w:rPr>
        <w:t xml:space="preserve">. 507. Accordingly, I would allow the appeal on that basis and impose the same remedy as </w:t>
      </w:r>
      <w:r w:rsidR="00C437E7" w:rsidRPr="00437F31">
        <w:rPr>
          <w:color w:val="000000"/>
          <w:shd w:val="clear" w:color="auto" w:fill="FFFFFF"/>
        </w:rPr>
        <w:t>Côté</w:t>
      </w:r>
      <w:r w:rsidR="00C437E7" w:rsidRPr="00437F31">
        <w:rPr>
          <w:rFonts w:eastAsia="Times New Roman"/>
        </w:rPr>
        <w:t> J.</w:t>
      </w:r>
    </w:p>
    <w:p w:rsidR="009B57B3" w:rsidRPr="00454403" w:rsidRDefault="009B57B3" w:rsidP="00AB373A">
      <w:pPr>
        <w:pStyle w:val="SCCNormalDoubleSpacing"/>
        <w:spacing w:after="480"/>
      </w:pPr>
      <w:r w:rsidRPr="00454403">
        <w:lastRenderedPageBreak/>
        <w:tab/>
      </w:r>
      <w:r w:rsidR="00656313" w:rsidRPr="00454403">
        <w:rPr>
          <w:i/>
        </w:rPr>
        <w:t>Appeal</w:t>
      </w:r>
      <w:r w:rsidR="00A52B64" w:rsidRPr="00454403">
        <w:t xml:space="preserve"> </w:t>
      </w:r>
      <w:r w:rsidR="00A52B64" w:rsidRPr="00454403">
        <w:rPr>
          <w:i/>
        </w:rPr>
        <w:t xml:space="preserve">dismissed, </w:t>
      </w:r>
      <w:proofErr w:type="spellStart"/>
      <w:r w:rsidR="00A52B64" w:rsidRPr="00454403">
        <w:rPr>
          <w:smallCaps/>
        </w:rPr>
        <w:t>Moldaver</w:t>
      </w:r>
      <w:proofErr w:type="spellEnd"/>
      <w:r w:rsidR="00A52B64" w:rsidRPr="00454403">
        <w:t xml:space="preserve"> </w:t>
      </w:r>
      <w:r w:rsidR="00A52B64" w:rsidRPr="00454403">
        <w:rPr>
          <w:i/>
        </w:rPr>
        <w:t>and</w:t>
      </w:r>
      <w:r w:rsidR="00A52B64" w:rsidRPr="00454403">
        <w:t xml:space="preserve"> </w:t>
      </w:r>
      <w:r w:rsidR="00A52B64" w:rsidRPr="00454403">
        <w:rPr>
          <w:smallCaps/>
        </w:rPr>
        <w:t>Côté</w:t>
      </w:r>
      <w:r w:rsidR="00EB7398" w:rsidRPr="00454403">
        <w:t> </w:t>
      </w:r>
      <w:proofErr w:type="spellStart"/>
      <w:r w:rsidR="00A52B64" w:rsidRPr="00454403">
        <w:t>JJ</w:t>
      </w:r>
      <w:proofErr w:type="spellEnd"/>
      <w:r w:rsidR="00A52B64" w:rsidRPr="00454403">
        <w:t xml:space="preserve">. </w:t>
      </w:r>
      <w:proofErr w:type="gramStart"/>
      <w:r w:rsidR="00A52B64" w:rsidRPr="00454403">
        <w:rPr>
          <w:i/>
        </w:rPr>
        <w:t>dissenting</w:t>
      </w:r>
      <w:proofErr w:type="gramEnd"/>
      <w:r w:rsidR="00A52B64" w:rsidRPr="00454403">
        <w:rPr>
          <w:i/>
        </w:rPr>
        <w:t>.</w:t>
      </w:r>
    </w:p>
    <w:p w:rsidR="00820901" w:rsidRPr="00454403" w:rsidRDefault="00FC68D5" w:rsidP="00AB373A">
      <w:pPr>
        <w:pStyle w:val="SCCLawFirm"/>
        <w:spacing w:after="480"/>
      </w:pPr>
      <w:r w:rsidRPr="00454403">
        <w:tab/>
        <w:t>S</w:t>
      </w:r>
      <w:r w:rsidR="00135160" w:rsidRPr="00454403">
        <w:t>olicitor for the appellant</w:t>
      </w:r>
      <w:r w:rsidR="00EB7398" w:rsidRPr="00454403">
        <w:t>: </w:t>
      </w:r>
      <w:r w:rsidRPr="00454403">
        <w:t>Attorney General of British Columbia, Victoria.</w:t>
      </w:r>
    </w:p>
    <w:p w:rsidR="00820901" w:rsidRPr="00454403" w:rsidRDefault="00135160" w:rsidP="00AB373A">
      <w:pPr>
        <w:pStyle w:val="SCCLawFirm"/>
        <w:spacing w:after="480"/>
      </w:pPr>
      <w:r w:rsidRPr="00454403">
        <w:tab/>
        <w:t>Solicitors for the respondent</w:t>
      </w:r>
      <w:r w:rsidR="00EB7398" w:rsidRPr="00454403">
        <w:t>: </w:t>
      </w:r>
      <w:proofErr w:type="spellStart"/>
      <w:r w:rsidRPr="00454403">
        <w:t>Arvay</w:t>
      </w:r>
      <w:proofErr w:type="spellEnd"/>
      <w:r w:rsidRPr="00454403">
        <w:t xml:space="preserve"> Finlay</w:t>
      </w:r>
      <w:r w:rsidR="00FC68D5" w:rsidRPr="00454403">
        <w:t>, Vancouver.</w:t>
      </w:r>
    </w:p>
    <w:p w:rsidR="00820901" w:rsidRPr="00454403" w:rsidRDefault="007D767B" w:rsidP="00AB373A">
      <w:pPr>
        <w:pStyle w:val="SCCLawFirm"/>
        <w:spacing w:after="480"/>
      </w:pPr>
      <w:r w:rsidRPr="00454403">
        <w:tab/>
        <w:t>Solicitor</w:t>
      </w:r>
      <w:r w:rsidR="00FC68D5" w:rsidRPr="00454403">
        <w:t xml:space="preserve"> for the intervener</w:t>
      </w:r>
      <w:r w:rsidRPr="00454403">
        <w:t xml:space="preserve"> the Attorney General of Canada</w:t>
      </w:r>
      <w:r w:rsidR="00EB7398" w:rsidRPr="00454403">
        <w:t>: </w:t>
      </w:r>
      <w:r w:rsidR="00FC68D5" w:rsidRPr="00454403">
        <w:t>Attorney General of Canada, Ottawa.</w:t>
      </w:r>
    </w:p>
    <w:p w:rsidR="00C61D4A" w:rsidRPr="00454403" w:rsidRDefault="00C61D4A" w:rsidP="00AB373A">
      <w:pPr>
        <w:pStyle w:val="SCCLawFirm"/>
        <w:spacing w:after="480"/>
      </w:pPr>
      <w:r w:rsidRPr="00454403">
        <w:tab/>
        <w:t>Solicitor for the intervener the Attorney General of Ontario</w:t>
      </w:r>
      <w:r w:rsidR="00EB7398" w:rsidRPr="00454403">
        <w:t>: </w:t>
      </w:r>
      <w:r w:rsidRPr="00454403">
        <w:t>Attorney General of Ontario, Toronto.</w:t>
      </w:r>
    </w:p>
    <w:p w:rsidR="00820901" w:rsidRPr="00454403" w:rsidRDefault="007D767B" w:rsidP="00AB373A">
      <w:pPr>
        <w:pStyle w:val="SCCLawFirm"/>
        <w:spacing w:after="480"/>
      </w:pPr>
      <w:r w:rsidRPr="00454403">
        <w:tab/>
        <w:t>Solicitor</w:t>
      </w:r>
      <w:r w:rsidR="00FC68D5" w:rsidRPr="00454403">
        <w:t xml:space="preserve"> for the intervener</w:t>
      </w:r>
      <w:r w:rsidRPr="00454403">
        <w:t xml:space="preserve"> the Attorney General of Quebec</w:t>
      </w:r>
      <w:r w:rsidR="00EB7398" w:rsidRPr="00454403">
        <w:t>: </w:t>
      </w:r>
      <w:r w:rsidRPr="00454403">
        <w:t>Attorney General of Quebec</w:t>
      </w:r>
      <w:r w:rsidR="00FC68D5" w:rsidRPr="00454403">
        <w:t>, Québec.</w:t>
      </w:r>
    </w:p>
    <w:p w:rsidR="00135160" w:rsidRPr="00454403" w:rsidRDefault="007D767B" w:rsidP="00AB373A">
      <w:pPr>
        <w:pStyle w:val="SCCLawFirm"/>
        <w:spacing w:after="480"/>
      </w:pPr>
      <w:r w:rsidRPr="00454403">
        <w:tab/>
        <w:t>Solicitor</w:t>
      </w:r>
      <w:r w:rsidR="00135160" w:rsidRPr="00454403">
        <w:t xml:space="preserve"> for the intervener </w:t>
      </w:r>
      <w:r w:rsidRPr="00454403">
        <w:t xml:space="preserve">the </w:t>
      </w:r>
      <w:r w:rsidR="00135160" w:rsidRPr="00454403">
        <w:t>Atto</w:t>
      </w:r>
      <w:r w:rsidRPr="00454403">
        <w:t>rney General of New Brunswick</w:t>
      </w:r>
      <w:r w:rsidR="00EB7398" w:rsidRPr="00454403">
        <w:t>: </w:t>
      </w:r>
      <w:r w:rsidR="00135160" w:rsidRPr="00454403">
        <w:t>Attorney General of New Brunswick, Fredericton.</w:t>
      </w:r>
    </w:p>
    <w:p w:rsidR="00820901" w:rsidRPr="00454403" w:rsidRDefault="007D767B" w:rsidP="00AB373A">
      <w:pPr>
        <w:pStyle w:val="SCCLawFirm"/>
        <w:spacing w:after="480"/>
      </w:pPr>
      <w:r w:rsidRPr="00454403">
        <w:tab/>
        <w:t>Solicitor</w:t>
      </w:r>
      <w:r w:rsidR="00FC68D5" w:rsidRPr="00454403">
        <w:t xml:space="preserve"> for the intervener</w:t>
      </w:r>
      <w:r w:rsidRPr="00454403">
        <w:t xml:space="preserve"> the</w:t>
      </w:r>
      <w:r w:rsidR="00FC68D5" w:rsidRPr="00454403">
        <w:t xml:space="preserve"> Atto</w:t>
      </w:r>
      <w:r w:rsidRPr="00454403">
        <w:t xml:space="preserve">rney General </w:t>
      </w:r>
      <w:r w:rsidR="00FE2D45" w:rsidRPr="00454403">
        <w:t>of</w:t>
      </w:r>
      <w:r w:rsidRPr="00454403">
        <w:t xml:space="preserve"> Saskatchewan</w:t>
      </w:r>
      <w:r w:rsidR="00EB7398" w:rsidRPr="00454403">
        <w:t>: </w:t>
      </w:r>
      <w:r w:rsidR="00FC68D5" w:rsidRPr="00454403">
        <w:t xml:space="preserve">Attorney General </w:t>
      </w:r>
      <w:r w:rsidR="00FE2D45" w:rsidRPr="00454403">
        <w:t>of</w:t>
      </w:r>
      <w:r w:rsidR="00FC68D5" w:rsidRPr="00454403">
        <w:t xml:space="preserve"> Saskatchewan, Regina.</w:t>
      </w:r>
    </w:p>
    <w:p w:rsidR="00820901" w:rsidRPr="00454403" w:rsidRDefault="007D767B" w:rsidP="00AB373A">
      <w:pPr>
        <w:pStyle w:val="SCCLawFirm"/>
        <w:spacing w:after="480"/>
      </w:pPr>
      <w:r w:rsidRPr="00454403">
        <w:tab/>
        <w:t>Solicitor</w:t>
      </w:r>
      <w:r w:rsidR="00FC68D5" w:rsidRPr="00454403">
        <w:t xml:space="preserve"> for the intervener </w:t>
      </w:r>
      <w:r w:rsidRPr="00454403">
        <w:t>the Attorney General of Alberta</w:t>
      </w:r>
      <w:r w:rsidR="00EB7398" w:rsidRPr="00454403">
        <w:t>: </w:t>
      </w:r>
      <w:r w:rsidR="00055B08" w:rsidRPr="00454403">
        <w:t>Justice and Solicitor General, Appeals, Education &amp; Prosecution Policy Branch</w:t>
      </w:r>
      <w:r w:rsidR="00FC68D5" w:rsidRPr="00454403">
        <w:t>, Edmonton.</w:t>
      </w:r>
    </w:p>
    <w:p w:rsidR="007D767B" w:rsidRPr="00454403" w:rsidRDefault="00090358" w:rsidP="00AB373A">
      <w:pPr>
        <w:pStyle w:val="SCCLawFirm"/>
        <w:spacing w:after="480"/>
      </w:pPr>
      <w:r w:rsidRPr="00454403">
        <w:lastRenderedPageBreak/>
        <w:tab/>
        <w:t>Solicitor</w:t>
      </w:r>
      <w:r w:rsidR="007D767B" w:rsidRPr="00454403">
        <w:t xml:space="preserve"> for the intervener the Attorney General of the Yukon Territory</w:t>
      </w:r>
      <w:r w:rsidR="00EB7398" w:rsidRPr="00454403">
        <w:t>: </w:t>
      </w:r>
      <w:r w:rsidR="007D767B" w:rsidRPr="00454403">
        <w:t>Attorney General of the Yukon Territory, Whitehorse.</w:t>
      </w:r>
    </w:p>
    <w:p w:rsidR="00820901" w:rsidRPr="00454403" w:rsidRDefault="007D767B" w:rsidP="00AB373A">
      <w:pPr>
        <w:pStyle w:val="SCCLawFirm"/>
        <w:spacing w:after="480"/>
      </w:pPr>
      <w:r w:rsidRPr="00454403">
        <w:tab/>
        <w:t>Solicitor</w:t>
      </w:r>
      <w:r w:rsidR="00FC68D5" w:rsidRPr="00454403">
        <w:t xml:space="preserve"> for the intervener </w:t>
      </w:r>
      <w:r w:rsidRPr="00454403">
        <w:t xml:space="preserve">the </w:t>
      </w:r>
      <w:proofErr w:type="spellStart"/>
      <w:r w:rsidRPr="00454403">
        <w:t>Peskotomuhkati</w:t>
      </w:r>
      <w:proofErr w:type="spellEnd"/>
      <w:r w:rsidRPr="00454403">
        <w:t xml:space="preserve"> Nation</w:t>
      </w:r>
      <w:r w:rsidR="00EB7398" w:rsidRPr="00454403">
        <w:t>: </w:t>
      </w:r>
      <w:r w:rsidR="00FC68D5" w:rsidRPr="00454403">
        <w:t xml:space="preserve">Paul Williams, </w:t>
      </w:r>
      <w:proofErr w:type="spellStart"/>
      <w:r w:rsidR="00FC68D5" w:rsidRPr="00454403">
        <w:t>Ohsweken</w:t>
      </w:r>
      <w:proofErr w:type="spellEnd"/>
      <w:r w:rsidR="00BA70D7" w:rsidRPr="00454403">
        <w:t>, Ont</w:t>
      </w:r>
      <w:r w:rsidR="00FC68D5" w:rsidRPr="00454403">
        <w:t>.</w:t>
      </w:r>
    </w:p>
    <w:p w:rsidR="00820901" w:rsidRPr="00454403" w:rsidRDefault="007D767B" w:rsidP="00AB373A">
      <w:pPr>
        <w:pStyle w:val="SCCLawFirm"/>
        <w:spacing w:after="480"/>
      </w:pPr>
      <w:r w:rsidRPr="00454403">
        <w:tab/>
        <w:t>Solicitors</w:t>
      </w:r>
      <w:r w:rsidR="00FC68D5" w:rsidRPr="00454403">
        <w:t xml:space="preserve"> for the intervener</w:t>
      </w:r>
      <w:r w:rsidRPr="00454403">
        <w:t xml:space="preserve"> the</w:t>
      </w:r>
      <w:r w:rsidR="00FC68D5" w:rsidRPr="00454403">
        <w:t xml:space="preserve"> Indigen</w:t>
      </w:r>
      <w:r w:rsidRPr="00454403">
        <w:t>ous Bar Association in Canada</w:t>
      </w:r>
      <w:r w:rsidR="00EB7398" w:rsidRPr="00454403">
        <w:t>: </w:t>
      </w:r>
      <w:r w:rsidR="00FC68D5" w:rsidRPr="00454403">
        <w:t>First Peoples Law, Vancouver.</w:t>
      </w:r>
    </w:p>
    <w:p w:rsidR="00820901" w:rsidRPr="00454403" w:rsidRDefault="007D767B" w:rsidP="00AB373A">
      <w:pPr>
        <w:pStyle w:val="SCCLawFirm"/>
        <w:spacing w:after="480"/>
      </w:pPr>
      <w:r w:rsidRPr="00454403">
        <w:tab/>
        <w:t>Solicitors</w:t>
      </w:r>
      <w:r w:rsidR="00FC68D5" w:rsidRPr="00454403">
        <w:t xml:space="preserve"> for the intervener </w:t>
      </w:r>
      <w:r w:rsidRPr="00454403">
        <w:t>the Whitecap Dakota First Nation</w:t>
      </w:r>
      <w:r w:rsidR="00EB7398" w:rsidRPr="00454403">
        <w:t>: </w:t>
      </w:r>
      <w:proofErr w:type="spellStart"/>
      <w:r w:rsidRPr="00454403">
        <w:t>Gowling</w:t>
      </w:r>
      <w:proofErr w:type="spellEnd"/>
      <w:r w:rsidRPr="00454403">
        <w:t xml:space="preserve"> </w:t>
      </w:r>
      <w:proofErr w:type="spellStart"/>
      <w:r w:rsidRPr="00454403">
        <w:t>WLG</w:t>
      </w:r>
      <w:proofErr w:type="spellEnd"/>
      <w:r w:rsidRPr="00454403">
        <w:t xml:space="preserve"> (Canada)</w:t>
      </w:r>
      <w:r w:rsidR="00FC68D5" w:rsidRPr="00454403">
        <w:t>, Vancouver.</w:t>
      </w:r>
    </w:p>
    <w:p w:rsidR="00820901" w:rsidRPr="00454403" w:rsidRDefault="007D767B" w:rsidP="00AB373A">
      <w:pPr>
        <w:pStyle w:val="SCCLawFirm"/>
        <w:spacing w:after="480"/>
      </w:pPr>
      <w:r w:rsidRPr="00454403">
        <w:tab/>
        <w:t>Solicitors</w:t>
      </w:r>
      <w:r w:rsidR="00FC68D5" w:rsidRPr="00454403">
        <w:t xml:space="preserve"> for the intervener</w:t>
      </w:r>
      <w:r w:rsidRPr="00454403">
        <w:t>s the</w:t>
      </w:r>
      <w:r w:rsidR="00FC68D5" w:rsidRPr="00454403">
        <w:t xml:space="preserve"> Grand Council of the </w:t>
      </w:r>
      <w:proofErr w:type="spellStart"/>
      <w:r w:rsidR="00FC68D5" w:rsidRPr="00454403">
        <w:t>Crees</w:t>
      </w:r>
      <w:proofErr w:type="spellEnd"/>
      <w:r w:rsidR="00FC68D5" w:rsidRPr="00454403">
        <w:t xml:space="preserve"> (</w:t>
      </w:r>
      <w:proofErr w:type="spellStart"/>
      <w:r w:rsidR="00FC68D5" w:rsidRPr="00454403">
        <w:t>Eeyou</w:t>
      </w:r>
      <w:proofErr w:type="spellEnd"/>
      <w:r w:rsidR="00FC68D5" w:rsidRPr="00454403">
        <w:t xml:space="preserve"> </w:t>
      </w:r>
      <w:proofErr w:type="spellStart"/>
      <w:r w:rsidR="00FC68D5" w:rsidRPr="00454403">
        <w:t>Istchee</w:t>
      </w:r>
      <w:proofErr w:type="spellEnd"/>
      <w:r w:rsidR="00FC68D5" w:rsidRPr="00454403">
        <w:t>) and</w:t>
      </w:r>
      <w:r w:rsidRPr="00454403">
        <w:t xml:space="preserve"> the Cree Nation Government</w:t>
      </w:r>
      <w:r w:rsidR="00EB7398" w:rsidRPr="00454403">
        <w:t>: </w:t>
      </w:r>
      <w:proofErr w:type="spellStart"/>
      <w:r w:rsidR="00FC68D5" w:rsidRPr="00454403">
        <w:t>Goldblatt</w:t>
      </w:r>
      <w:proofErr w:type="spellEnd"/>
      <w:r w:rsidR="00FC68D5" w:rsidRPr="00454403">
        <w:t xml:space="preserve"> Partners, Toronto.</w:t>
      </w:r>
    </w:p>
    <w:p w:rsidR="00135160" w:rsidRPr="00454403" w:rsidRDefault="007D767B" w:rsidP="00AB373A">
      <w:pPr>
        <w:pStyle w:val="SCCLawFirm"/>
        <w:spacing w:after="480"/>
      </w:pPr>
      <w:r w:rsidRPr="00454403">
        <w:tab/>
        <w:t>Solicitors</w:t>
      </w:r>
      <w:r w:rsidR="00135160" w:rsidRPr="00454403">
        <w:t xml:space="preserve"> for the intervener </w:t>
      </w:r>
      <w:r w:rsidRPr="00454403">
        <w:t>the Okanagan Nation Alliance</w:t>
      </w:r>
      <w:r w:rsidR="00EB7398" w:rsidRPr="00454403">
        <w:t>: </w:t>
      </w:r>
      <w:r w:rsidRPr="00454403">
        <w:t xml:space="preserve">Mandell </w:t>
      </w:r>
      <w:proofErr w:type="spellStart"/>
      <w:r w:rsidRPr="00454403">
        <w:t>Pinder</w:t>
      </w:r>
      <w:proofErr w:type="spellEnd"/>
      <w:r w:rsidR="00135160" w:rsidRPr="00454403">
        <w:t>, Vancouver.</w:t>
      </w:r>
    </w:p>
    <w:p w:rsidR="00820901" w:rsidRPr="00454403" w:rsidRDefault="00FC68D5" w:rsidP="00AB373A">
      <w:pPr>
        <w:pStyle w:val="SCCLawFirm"/>
        <w:spacing w:after="480"/>
      </w:pPr>
      <w:r w:rsidRPr="00454403">
        <w:tab/>
      </w:r>
      <w:r w:rsidR="0015678B" w:rsidRPr="00454403">
        <w:t>Solicitor</w:t>
      </w:r>
      <w:r w:rsidRPr="00454403">
        <w:t xml:space="preserve"> for the intervener</w:t>
      </w:r>
      <w:r w:rsidR="00FA6996" w:rsidRPr="00454403">
        <w:t xml:space="preserve"> the Mohawk Council of </w:t>
      </w:r>
      <w:proofErr w:type="spellStart"/>
      <w:r w:rsidR="00FA6996" w:rsidRPr="00454403">
        <w:t>Kahnawà</w:t>
      </w:r>
      <w:proofErr w:type="gramStart"/>
      <w:r w:rsidR="00FA6996" w:rsidRPr="00454403">
        <w:t>:ke</w:t>
      </w:r>
      <w:proofErr w:type="spellEnd"/>
      <w:proofErr w:type="gramEnd"/>
      <w:r w:rsidR="00EB7398" w:rsidRPr="00454403">
        <w:t>: </w:t>
      </w:r>
      <w:r w:rsidRPr="00454403">
        <w:t xml:space="preserve">Mohawk Council of </w:t>
      </w:r>
      <w:proofErr w:type="spellStart"/>
      <w:r w:rsidRPr="00454403">
        <w:t>Kahnawà:ke</w:t>
      </w:r>
      <w:proofErr w:type="spellEnd"/>
      <w:r w:rsidR="00FA6996" w:rsidRPr="00454403">
        <w:t xml:space="preserve"> Legal Services</w:t>
      </w:r>
      <w:r w:rsidRPr="00454403">
        <w:t xml:space="preserve">, Mohawk Territory of </w:t>
      </w:r>
      <w:proofErr w:type="spellStart"/>
      <w:r w:rsidRPr="00454403">
        <w:t>Kahnawà:ke</w:t>
      </w:r>
      <w:proofErr w:type="spellEnd"/>
      <w:r w:rsidR="00FD4B1A" w:rsidRPr="00454403">
        <w:t>, Que</w:t>
      </w:r>
      <w:r w:rsidRPr="00454403">
        <w:t>.</w:t>
      </w:r>
    </w:p>
    <w:p w:rsidR="00820901" w:rsidRPr="00454403" w:rsidRDefault="00FA6996" w:rsidP="00AB373A">
      <w:pPr>
        <w:pStyle w:val="SCCLawFirm"/>
        <w:spacing w:after="480"/>
      </w:pPr>
      <w:r w:rsidRPr="00454403">
        <w:tab/>
        <w:t>Solicitor</w:t>
      </w:r>
      <w:r w:rsidR="00FC68D5" w:rsidRPr="00454403">
        <w:t xml:space="preserve"> for the intervener </w:t>
      </w:r>
      <w:r w:rsidRPr="00454403">
        <w:t>the Assembly of First Nations</w:t>
      </w:r>
      <w:r w:rsidR="00EB7398" w:rsidRPr="00454403">
        <w:t>: </w:t>
      </w:r>
      <w:r w:rsidR="00FC68D5" w:rsidRPr="00454403">
        <w:t>Assembly of First Nations, Ottawa.</w:t>
      </w:r>
    </w:p>
    <w:p w:rsidR="00820901" w:rsidRPr="00454403" w:rsidRDefault="00FA6996" w:rsidP="00AB373A">
      <w:pPr>
        <w:pStyle w:val="SCCLawFirm"/>
        <w:spacing w:after="480"/>
      </w:pPr>
      <w:r w:rsidRPr="00454403">
        <w:lastRenderedPageBreak/>
        <w:tab/>
        <w:t>Solicitors</w:t>
      </w:r>
      <w:r w:rsidR="00FC68D5" w:rsidRPr="00454403">
        <w:t xml:space="preserve"> for the intervener</w:t>
      </w:r>
      <w:r w:rsidRPr="00454403">
        <w:t>s</w:t>
      </w:r>
      <w:r w:rsidR="00FC68D5" w:rsidRPr="00454403">
        <w:t xml:space="preserve"> </w:t>
      </w:r>
      <w:r w:rsidRPr="00454403">
        <w:t xml:space="preserve">the </w:t>
      </w:r>
      <w:r w:rsidR="00FC68D5" w:rsidRPr="00454403">
        <w:t>Métis National Council and</w:t>
      </w:r>
      <w:r w:rsidRPr="00454403">
        <w:t xml:space="preserve"> the</w:t>
      </w:r>
      <w:r w:rsidR="00FC68D5" w:rsidRPr="00454403">
        <w:t xml:space="preserve"> M</w:t>
      </w:r>
      <w:r w:rsidRPr="00454403">
        <w:t>anitoba Metis Federation Inc.</w:t>
      </w:r>
      <w:r w:rsidR="00EB7398" w:rsidRPr="00454403">
        <w:t>: </w:t>
      </w:r>
      <w:r w:rsidR="00FC68D5" w:rsidRPr="00454403">
        <w:t>Hodgson</w:t>
      </w:r>
      <w:r w:rsidR="00EB7398" w:rsidRPr="00454403">
        <w:noBreakHyphen/>
      </w:r>
      <w:r w:rsidR="00FC68D5" w:rsidRPr="00454403">
        <w:t>Smith Law, Saskatoon.</w:t>
      </w:r>
    </w:p>
    <w:p w:rsidR="00820901" w:rsidRPr="00454403" w:rsidRDefault="00FA6996" w:rsidP="00AB373A">
      <w:pPr>
        <w:pStyle w:val="SCCLawFirm"/>
        <w:spacing w:after="480"/>
      </w:pPr>
      <w:r w:rsidRPr="00454403">
        <w:tab/>
        <w:t>Solicitor</w:t>
      </w:r>
      <w:r w:rsidR="00FC68D5" w:rsidRPr="00454403">
        <w:t xml:space="preserve"> for the intervener</w:t>
      </w:r>
      <w:r w:rsidRPr="00454403">
        <w:t xml:space="preserve"> the </w:t>
      </w:r>
      <w:proofErr w:type="spellStart"/>
      <w:r w:rsidRPr="00454403">
        <w:t>Nuchatlaht</w:t>
      </w:r>
      <w:proofErr w:type="spellEnd"/>
      <w:r w:rsidRPr="00454403">
        <w:t xml:space="preserve"> First Nation</w:t>
      </w:r>
      <w:r w:rsidR="00EB7398" w:rsidRPr="00454403">
        <w:t>: </w:t>
      </w:r>
      <w:r w:rsidR="0076512B" w:rsidRPr="00454403">
        <w:t xml:space="preserve">Jack Woodward, </w:t>
      </w:r>
      <w:proofErr w:type="spellStart"/>
      <w:r w:rsidR="0076512B" w:rsidRPr="00454403">
        <w:t>Q.C</w:t>
      </w:r>
      <w:proofErr w:type="spellEnd"/>
      <w:r w:rsidR="0076512B" w:rsidRPr="00454403">
        <w:t>.</w:t>
      </w:r>
      <w:r w:rsidRPr="00454403">
        <w:t xml:space="preserve">, </w:t>
      </w:r>
      <w:r w:rsidR="00FC68D5" w:rsidRPr="00454403">
        <w:t>Campbell River</w:t>
      </w:r>
      <w:r w:rsidR="00FD4B1A" w:rsidRPr="00454403">
        <w:t>, B.C</w:t>
      </w:r>
      <w:r w:rsidR="00FC68D5" w:rsidRPr="00454403">
        <w:t>.</w:t>
      </w:r>
    </w:p>
    <w:p w:rsidR="00820901" w:rsidRPr="00454403" w:rsidRDefault="00FA6996" w:rsidP="00AB373A">
      <w:pPr>
        <w:pStyle w:val="SCCLawFirm"/>
        <w:spacing w:after="480"/>
      </w:pPr>
      <w:r w:rsidRPr="00454403">
        <w:tab/>
        <w:t>Solicitors</w:t>
      </w:r>
      <w:r w:rsidR="00FC68D5" w:rsidRPr="00454403">
        <w:t xml:space="preserve"> for the intervener </w:t>
      </w:r>
      <w:r w:rsidRPr="00454403">
        <w:t xml:space="preserve">the </w:t>
      </w:r>
      <w:r w:rsidR="00FC68D5" w:rsidRPr="00454403">
        <w:t>Co</w:t>
      </w:r>
      <w:r w:rsidRPr="00454403">
        <w:t>ngress of Aboriginal Peoples</w:t>
      </w:r>
      <w:r w:rsidR="00EB7398" w:rsidRPr="00454403">
        <w:t>: </w:t>
      </w:r>
      <w:proofErr w:type="spellStart"/>
      <w:r w:rsidR="00FC68D5" w:rsidRPr="00454403">
        <w:t>Paliar</w:t>
      </w:r>
      <w:r w:rsidRPr="00454403">
        <w:t>e</w:t>
      </w:r>
      <w:proofErr w:type="spellEnd"/>
      <w:r w:rsidRPr="00454403">
        <w:t xml:space="preserve"> Roland Rosenberg Rothstein</w:t>
      </w:r>
      <w:r w:rsidR="00FC68D5" w:rsidRPr="00454403">
        <w:t>, Toronto.</w:t>
      </w:r>
    </w:p>
    <w:p w:rsidR="00820901" w:rsidRPr="00454403" w:rsidRDefault="00FA6996" w:rsidP="00AB373A">
      <w:pPr>
        <w:pStyle w:val="SCCLawFirm"/>
        <w:spacing w:after="480"/>
      </w:pPr>
      <w:r w:rsidRPr="00454403">
        <w:tab/>
        <w:t>Solicitors</w:t>
      </w:r>
      <w:r w:rsidR="00FC68D5" w:rsidRPr="00454403">
        <w:t xml:space="preserve"> for the intervener </w:t>
      </w:r>
      <w:r w:rsidRPr="00454403">
        <w:t>the Lummi Nation</w:t>
      </w:r>
      <w:r w:rsidR="00EB7398" w:rsidRPr="00454403">
        <w:t>: </w:t>
      </w:r>
      <w:proofErr w:type="spellStart"/>
      <w:r w:rsidR="00FC68D5" w:rsidRPr="00454403">
        <w:t>DGW</w:t>
      </w:r>
      <w:proofErr w:type="spellEnd"/>
      <w:r w:rsidR="00FC68D5" w:rsidRPr="00454403">
        <w:t xml:space="preserve"> Law Corporation, Victoria.</w:t>
      </w:r>
    </w:p>
    <w:p w:rsidR="009B57B3" w:rsidRPr="00454403" w:rsidRDefault="00FC68D5" w:rsidP="00AB373A">
      <w:pPr>
        <w:pStyle w:val="SCCLawFirm"/>
        <w:spacing w:after="480"/>
        <w:rPr>
          <w:lang w:val="en-US"/>
        </w:rPr>
      </w:pPr>
      <w:r w:rsidRPr="00454403">
        <w:tab/>
        <w:t>Solicitors for the intervener the Métis Nation British Columbia</w:t>
      </w:r>
      <w:r w:rsidR="00EB7398" w:rsidRPr="00454403">
        <w:t>: </w:t>
      </w:r>
      <w:r w:rsidRPr="00454403">
        <w:t>Cassels Brock &amp; Blackwell, Vancouver.</w:t>
      </w:r>
      <w:r w:rsidRPr="00454403">
        <w:rPr>
          <w:lang w:val="en-US"/>
        </w:rPr>
        <w:t xml:space="preserve"> </w:t>
      </w:r>
    </w:p>
    <w:sectPr w:rsidR="009B57B3" w:rsidRPr="00454403"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ACA" w:rsidRDefault="001D4ACA">
      <w:r>
        <w:separator/>
      </w:r>
    </w:p>
  </w:endnote>
  <w:endnote w:type="continuationSeparator" w:id="0">
    <w:p w:rsidR="001D4ACA" w:rsidRDefault="001D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D2" w:rsidRDefault="00415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D2" w:rsidRDefault="00415A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D2" w:rsidRDefault="00415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ACA" w:rsidRDefault="001D4ACA">
      <w:r>
        <w:separator/>
      </w:r>
    </w:p>
  </w:footnote>
  <w:footnote w:type="continuationSeparator" w:id="0">
    <w:p w:rsidR="001D4ACA" w:rsidRDefault="001D4ACA">
      <w:r>
        <w:continuationSeparator/>
      </w:r>
    </w:p>
  </w:footnote>
  <w:footnote w:id="1">
    <w:p w:rsidR="00C437E7" w:rsidRPr="00C437E7" w:rsidRDefault="00C437E7" w:rsidP="004A6890">
      <w:pPr>
        <w:pStyle w:val="FootnoteText"/>
        <w:tabs>
          <w:tab w:val="clear" w:pos="180"/>
          <w:tab w:val="left" w:pos="0"/>
        </w:tabs>
        <w:ind w:left="0" w:firstLine="0"/>
        <w:rPr>
          <w:lang w:val="en-US"/>
        </w:rPr>
      </w:pPr>
      <w:r>
        <w:rPr>
          <w:rStyle w:val="FootnoteReference"/>
        </w:rPr>
        <w:footnoteRef/>
      </w:r>
      <w:r w:rsidRPr="00C437E7">
        <w:rPr>
          <w:lang w:val="en-US"/>
        </w:rPr>
        <w:t xml:space="preserve"> </w:t>
      </w:r>
      <w:r>
        <w:rPr>
          <w:i/>
          <w:lang w:val="en-US"/>
        </w:rPr>
        <w:t xml:space="preserve">Natural Resources Transfer Agreement </w:t>
      </w:r>
      <w:r>
        <w:rPr>
          <w:lang w:val="en-US"/>
        </w:rPr>
        <w:t xml:space="preserve">(Manitoba) </w:t>
      </w:r>
      <w:r w:rsidRPr="007E2472">
        <w:rPr>
          <w:lang w:val="en-US"/>
        </w:rPr>
        <w:t xml:space="preserve">(Schedule </w:t>
      </w:r>
      <w:r>
        <w:rPr>
          <w:lang w:val="en-US"/>
        </w:rPr>
        <w:t xml:space="preserve">1 </w:t>
      </w:r>
      <w:r w:rsidRPr="007E2472">
        <w:rPr>
          <w:lang w:val="en-US"/>
        </w:rPr>
        <w:t xml:space="preserve">of </w:t>
      </w:r>
      <w:r w:rsidRPr="00DA662A">
        <w:rPr>
          <w:i/>
          <w:lang w:val="en-US"/>
        </w:rPr>
        <w:t>Constitution Act, 1930</w:t>
      </w:r>
      <w:r w:rsidRPr="007E2472">
        <w:rPr>
          <w:lang w:val="en-US"/>
        </w:rPr>
        <w:t>, R.S.C. 1985, App. II, No. 26),</w:t>
      </w:r>
      <w:r>
        <w:rPr>
          <w:lang w:val="en-US"/>
        </w:rPr>
        <w:t xml:space="preserve"> at paras. 11 and 13; </w:t>
      </w:r>
      <w:r>
        <w:rPr>
          <w:i/>
          <w:lang w:val="en-US"/>
        </w:rPr>
        <w:t xml:space="preserve">Natural Resources Transfer Agreement </w:t>
      </w:r>
      <w:r>
        <w:rPr>
          <w:lang w:val="en-US"/>
        </w:rPr>
        <w:t xml:space="preserve">(Alberta) </w:t>
      </w:r>
      <w:r w:rsidRPr="007E2472">
        <w:rPr>
          <w:lang w:val="en-US"/>
        </w:rPr>
        <w:t>(</w:t>
      </w:r>
      <w:r>
        <w:rPr>
          <w:lang w:val="en-US"/>
        </w:rPr>
        <w:t xml:space="preserve">Schedule 2 of </w:t>
      </w:r>
      <w:r w:rsidRPr="00A90112">
        <w:rPr>
          <w:i/>
          <w:lang w:val="en-US"/>
        </w:rPr>
        <w:t>Constitution Act, 1930</w:t>
      </w:r>
      <w:r w:rsidRPr="007E2472">
        <w:rPr>
          <w:lang w:val="en-US"/>
        </w:rPr>
        <w:t>, R.S.C. 1985, App. II, No. 26),</w:t>
      </w:r>
      <w:r>
        <w:rPr>
          <w:lang w:val="en-US"/>
        </w:rPr>
        <w:t xml:space="preserve"> at paras. 10 and 12; </w:t>
      </w:r>
      <w:r>
        <w:rPr>
          <w:i/>
          <w:lang w:val="en-US"/>
        </w:rPr>
        <w:t>Natural Resources Transfer Agreement</w:t>
      </w:r>
      <w:r>
        <w:rPr>
          <w:lang w:val="en-US"/>
        </w:rPr>
        <w:t xml:space="preserve"> (Saskatchewan) </w:t>
      </w:r>
      <w:r w:rsidRPr="007E2472">
        <w:rPr>
          <w:lang w:val="en-US"/>
        </w:rPr>
        <w:t xml:space="preserve">(Schedule </w:t>
      </w:r>
      <w:r>
        <w:rPr>
          <w:lang w:val="en-US"/>
        </w:rPr>
        <w:t xml:space="preserve">3 </w:t>
      </w:r>
      <w:r w:rsidRPr="007E2472">
        <w:rPr>
          <w:lang w:val="en-US"/>
        </w:rPr>
        <w:t xml:space="preserve">of </w:t>
      </w:r>
      <w:r w:rsidRPr="00DA662A">
        <w:rPr>
          <w:i/>
          <w:lang w:val="en-US"/>
        </w:rPr>
        <w:t>Constitution Act, 1930</w:t>
      </w:r>
      <w:r w:rsidRPr="007E2472">
        <w:rPr>
          <w:lang w:val="en-US"/>
        </w:rPr>
        <w:t>, R.S.C. 1985, App. II, No. 26),</w:t>
      </w:r>
      <w:r>
        <w:rPr>
          <w:lang w:val="en-US"/>
        </w:rPr>
        <w:t xml:space="preserve"> at paras. 10 and 12.</w:t>
      </w:r>
    </w:p>
  </w:footnote>
  <w:footnote w:id="2">
    <w:p w:rsidR="00C437E7" w:rsidRPr="00C437E7" w:rsidRDefault="00C437E7" w:rsidP="00C437E7">
      <w:pPr>
        <w:pStyle w:val="FootnoteText"/>
        <w:tabs>
          <w:tab w:val="clear" w:pos="180"/>
          <w:tab w:val="left" w:pos="0"/>
          <w:tab w:val="left" w:pos="142"/>
        </w:tabs>
        <w:ind w:left="0" w:firstLine="0"/>
        <w:rPr>
          <w:lang w:val="en-US"/>
        </w:rPr>
      </w:pPr>
      <w:r w:rsidRPr="00F4186C">
        <w:rPr>
          <w:rStyle w:val="FootnoteReference"/>
        </w:rPr>
        <w:footnoteRef/>
      </w:r>
      <w:r w:rsidRPr="00C437E7">
        <w:rPr>
          <w:lang w:val="en-US"/>
        </w:rPr>
        <w:t xml:space="preserve"> See for example: Carcross/Tagish First Nation Final Agreement (2005), vol. 1, c. 3, ss. 3.2.2 to 3.2.3; Champagne and Aishihik First Nations Final Agreement (1993), vol. 1, c. 3, ss. 3.2.2 to 3.2.3; Kluane First Nation Final Agreement (2003), vol. 1, c. 3, ss. 3.2.2 to 3.2.3; Kwanlin Dun First Nation Final Agreement (</w:t>
      </w:r>
      <w:r w:rsidR="00EF364E">
        <w:rPr>
          <w:lang w:val="en-US"/>
        </w:rPr>
        <w:t>2004</w:t>
      </w:r>
      <w:r w:rsidRPr="00C437E7">
        <w:rPr>
          <w:lang w:val="en-US"/>
        </w:rPr>
        <w:t>), vol. 1, c. 3, ss. 3.2.2 to 3.2.3; Little Salmon/Carmacks First Nation Agreement(</w:t>
      </w:r>
      <w:r w:rsidR="00EF364E">
        <w:rPr>
          <w:lang w:val="en-US"/>
        </w:rPr>
        <w:t>1998</w:t>
      </w:r>
      <w:r w:rsidRPr="00C437E7">
        <w:rPr>
          <w:lang w:val="en-US"/>
        </w:rPr>
        <w:t>), vol. 1, c. 3, ss. 3.2.2 to 3.2.3; First Nation of Nacho Nyak Dun Final Agreement (1993), vol. 1, c. 3, ss. 3.2.2 to 3.2.3; Selkirk First Nation Final Agreement (</w:t>
      </w:r>
      <w:r w:rsidR="00EF364E">
        <w:rPr>
          <w:lang w:val="en-US"/>
        </w:rPr>
        <w:t>1998</w:t>
      </w:r>
      <w:r w:rsidRPr="00C437E7">
        <w:rPr>
          <w:lang w:val="en-US"/>
        </w:rPr>
        <w:t>), vol. 1, c. 3, ss. 3.2.2 to 3.2.3; Ta’an Kwach’an Council Final Agreement (</w:t>
      </w:r>
      <w:r w:rsidR="00EF364E">
        <w:rPr>
          <w:lang w:val="en-US"/>
        </w:rPr>
        <w:t>2001</w:t>
      </w:r>
      <w:r w:rsidRPr="00C437E7">
        <w:rPr>
          <w:lang w:val="en-US"/>
        </w:rPr>
        <w:t>), vol. 1, c. 3, ss. 3.2.2 to 3.2.3; Teslin Tlingit Council Final Agreement (1993), vol. 1, c. 3, ss. 3.2.2 to 3.2.3; Tr’ondëk Hwëch’in Final Agreement (1998), vol. 1, c. 3, ss. 3.2.2 to 3.2.3; Vuntut Gwitchin First Nation Final Agreement (1993), vol. 1, c. 3, ss. 3.2.2 to 3.2.3.</w:t>
      </w:r>
    </w:p>
  </w:footnote>
  <w:footnote w:id="3">
    <w:p w:rsidR="00C437E7" w:rsidRPr="00C437E7" w:rsidRDefault="00C437E7" w:rsidP="00C437E7">
      <w:pPr>
        <w:pStyle w:val="FootnoteText"/>
        <w:tabs>
          <w:tab w:val="clear" w:pos="180"/>
          <w:tab w:val="left" w:pos="0"/>
        </w:tabs>
        <w:ind w:left="0" w:firstLine="0"/>
        <w:rPr>
          <w:lang w:val="en-US"/>
        </w:rPr>
      </w:pPr>
      <w:r w:rsidRPr="00FB65BB">
        <w:rPr>
          <w:rStyle w:val="FootnoteReference"/>
        </w:rPr>
        <w:footnoteRef/>
      </w:r>
      <w:r w:rsidRPr="00C437E7">
        <w:rPr>
          <w:lang w:val="en-US"/>
        </w:rPr>
        <w:t xml:space="preserve"> See for example: </w:t>
      </w:r>
      <w:r w:rsidRPr="00FB65BB">
        <w:rPr>
          <w:lang w:val="en-US"/>
        </w:rPr>
        <w:t>Gwich’in Comprehensive Land Claim Agreement</w:t>
      </w:r>
      <w:r>
        <w:rPr>
          <w:lang w:val="en-US"/>
        </w:rPr>
        <w:t xml:space="preserve"> (1992)</w:t>
      </w:r>
      <w:r w:rsidRPr="00FB65BB">
        <w:rPr>
          <w:lang w:val="en-US"/>
        </w:rPr>
        <w:t>,</w:t>
      </w:r>
      <w:r>
        <w:rPr>
          <w:lang w:val="en-US"/>
        </w:rPr>
        <w:t xml:space="preserve"> vol. 1, c</w:t>
      </w:r>
      <w:r w:rsidRPr="00FB65BB">
        <w:rPr>
          <w:lang w:val="en-US"/>
        </w:rPr>
        <w:t>.</w:t>
      </w:r>
      <w:r>
        <w:rPr>
          <w:lang w:val="en-US"/>
        </w:rPr>
        <w:t> </w:t>
      </w:r>
      <w:r w:rsidRPr="00FB65BB">
        <w:rPr>
          <w:lang w:val="en-US"/>
        </w:rPr>
        <w:t>4; Sahtu Dene and Metis Comprehensive Land Claim Agreement</w:t>
      </w:r>
      <w:r>
        <w:rPr>
          <w:lang w:val="en-US"/>
        </w:rPr>
        <w:t xml:space="preserve"> (1993), vol. 1, c.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D2" w:rsidRDefault="00415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D2" w:rsidRDefault="00415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ED28E7"/>
    <w:multiLevelType w:val="hybridMultilevel"/>
    <w:tmpl w:val="FB4C3EAA"/>
    <w:lvl w:ilvl="0" w:tplc="0409000F">
      <w:start w:val="1"/>
      <w:numFmt w:val="decimal"/>
      <w:lvlText w:val="%1."/>
      <w:lvlJc w:val="left"/>
      <w:pPr>
        <w:ind w:left="720" w:hanging="360"/>
      </w:pPr>
      <w:rPr>
        <w:rFonts w:hint="default"/>
      </w:rPr>
    </w:lvl>
    <w:lvl w:ilvl="1" w:tplc="7A5C9DD8">
      <w:start w:val="1"/>
      <w:numFmt w:val="lowerLetter"/>
      <w:lvlText w:val="%2."/>
      <w:lvlJc w:val="left"/>
      <w:pPr>
        <w:ind w:left="1583" w:hanging="873"/>
      </w:pPr>
      <w:rPr>
        <w:rFonts w:hint="default"/>
        <w:b w:val="0"/>
      </w:rPr>
    </w:lvl>
    <w:lvl w:ilvl="2" w:tplc="D18A3098">
      <w:start w:val="1"/>
      <w:numFmt w:val="lowerRoman"/>
      <w:lvlText w:val="%3."/>
      <w:lvlJc w:val="right"/>
      <w:pPr>
        <w:ind w:left="1457"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3130A"/>
    <w:multiLevelType w:val="multilevel"/>
    <w:tmpl w:val="62AAAAD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6F67CBB"/>
    <w:multiLevelType w:val="hybridMultilevel"/>
    <w:tmpl w:val="C2F26882"/>
    <w:lvl w:ilvl="0" w:tplc="F6B89F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666217B2"/>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B63BE4"/>
    <w:multiLevelType w:val="hybridMultilevel"/>
    <w:tmpl w:val="AB46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75A1E"/>
    <w:multiLevelType w:val="hybridMultilevel"/>
    <w:tmpl w:val="550AEC30"/>
    <w:lvl w:ilvl="0" w:tplc="D95EA86A">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E708E8"/>
    <w:multiLevelType w:val="hybridMultilevel"/>
    <w:tmpl w:val="A08E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06BAA"/>
    <w:multiLevelType w:val="hybridMultilevel"/>
    <w:tmpl w:val="3664EC2E"/>
    <w:lvl w:ilvl="0" w:tplc="67E8BAC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6"/>
  </w:num>
  <w:num w:numId="5">
    <w:abstractNumId w:val="7"/>
  </w:num>
  <w:num w:numId="6">
    <w:abstractNumId w:val="8"/>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5"/>
  </w:num>
  <w:num w:numId="11">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386"/>
          </w:tabs>
          <w:ind w:left="138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lang w:val="x-none"/>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0"/>
  </w:num>
  <w:num w:numId="14">
    <w:abstractNumId w:val="9"/>
  </w:num>
  <w:num w:numId="15">
    <w:abstractNumId w:val="10"/>
  </w:num>
  <w:num w:numId="16">
    <w:abstractNumId w:val="13"/>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4E71"/>
    <w:rsid w:val="00025198"/>
    <w:rsid w:val="000363BB"/>
    <w:rsid w:val="00041E71"/>
    <w:rsid w:val="00055B08"/>
    <w:rsid w:val="0005706E"/>
    <w:rsid w:val="000578A3"/>
    <w:rsid w:val="000648CC"/>
    <w:rsid w:val="00090358"/>
    <w:rsid w:val="00094BF1"/>
    <w:rsid w:val="000C2DC2"/>
    <w:rsid w:val="000C59B8"/>
    <w:rsid w:val="000C6AF0"/>
    <w:rsid w:val="000E4ADE"/>
    <w:rsid w:val="000F171D"/>
    <w:rsid w:val="00104F33"/>
    <w:rsid w:val="00111DE2"/>
    <w:rsid w:val="00112286"/>
    <w:rsid w:val="00116B38"/>
    <w:rsid w:val="0012015C"/>
    <w:rsid w:val="00135160"/>
    <w:rsid w:val="00135406"/>
    <w:rsid w:val="00135972"/>
    <w:rsid w:val="001426A9"/>
    <w:rsid w:val="00154D7C"/>
    <w:rsid w:val="0015678B"/>
    <w:rsid w:val="001570B0"/>
    <w:rsid w:val="0015752C"/>
    <w:rsid w:val="00157737"/>
    <w:rsid w:val="001647E8"/>
    <w:rsid w:val="00165277"/>
    <w:rsid w:val="00170592"/>
    <w:rsid w:val="00173A85"/>
    <w:rsid w:val="00182850"/>
    <w:rsid w:val="00186351"/>
    <w:rsid w:val="00195D83"/>
    <w:rsid w:val="001A00C1"/>
    <w:rsid w:val="001B33E0"/>
    <w:rsid w:val="001B4573"/>
    <w:rsid w:val="001C0927"/>
    <w:rsid w:val="001C32BB"/>
    <w:rsid w:val="001C779F"/>
    <w:rsid w:val="001D2AC1"/>
    <w:rsid w:val="001D4ACA"/>
    <w:rsid w:val="001D4E88"/>
    <w:rsid w:val="001E1B26"/>
    <w:rsid w:val="001F15D9"/>
    <w:rsid w:val="00210B38"/>
    <w:rsid w:val="00210C95"/>
    <w:rsid w:val="00217348"/>
    <w:rsid w:val="00220FC2"/>
    <w:rsid w:val="002222F4"/>
    <w:rsid w:val="00224FC0"/>
    <w:rsid w:val="00225EA4"/>
    <w:rsid w:val="00226EAF"/>
    <w:rsid w:val="00231F3A"/>
    <w:rsid w:val="00234199"/>
    <w:rsid w:val="002406EE"/>
    <w:rsid w:val="00243EC8"/>
    <w:rsid w:val="00266E89"/>
    <w:rsid w:val="00270D93"/>
    <w:rsid w:val="002745CC"/>
    <w:rsid w:val="00275883"/>
    <w:rsid w:val="00283860"/>
    <w:rsid w:val="002A021B"/>
    <w:rsid w:val="002A4EBC"/>
    <w:rsid w:val="002A6986"/>
    <w:rsid w:val="002B567C"/>
    <w:rsid w:val="002B7924"/>
    <w:rsid w:val="002C01FA"/>
    <w:rsid w:val="002D28C3"/>
    <w:rsid w:val="002D39A4"/>
    <w:rsid w:val="002E32E4"/>
    <w:rsid w:val="002E5A29"/>
    <w:rsid w:val="002E5B68"/>
    <w:rsid w:val="002E6705"/>
    <w:rsid w:val="002F18F8"/>
    <w:rsid w:val="002F3C77"/>
    <w:rsid w:val="00301542"/>
    <w:rsid w:val="00301D08"/>
    <w:rsid w:val="0030329A"/>
    <w:rsid w:val="0031086F"/>
    <w:rsid w:val="0031414C"/>
    <w:rsid w:val="00314E01"/>
    <w:rsid w:val="0032089D"/>
    <w:rsid w:val="003310DE"/>
    <w:rsid w:val="003323B0"/>
    <w:rsid w:val="00343D3D"/>
    <w:rsid w:val="0035169A"/>
    <w:rsid w:val="0035259D"/>
    <w:rsid w:val="00364B18"/>
    <w:rsid w:val="00376871"/>
    <w:rsid w:val="00393948"/>
    <w:rsid w:val="003A125D"/>
    <w:rsid w:val="003A4C70"/>
    <w:rsid w:val="003B215F"/>
    <w:rsid w:val="003C799C"/>
    <w:rsid w:val="003D0399"/>
    <w:rsid w:val="003D600A"/>
    <w:rsid w:val="003E1C71"/>
    <w:rsid w:val="003E3585"/>
    <w:rsid w:val="003F327B"/>
    <w:rsid w:val="00406166"/>
    <w:rsid w:val="0040704B"/>
    <w:rsid w:val="00410A55"/>
    <w:rsid w:val="00411300"/>
    <w:rsid w:val="00415417"/>
    <w:rsid w:val="00415AD2"/>
    <w:rsid w:val="00422E85"/>
    <w:rsid w:val="00426659"/>
    <w:rsid w:val="00437F31"/>
    <w:rsid w:val="00450352"/>
    <w:rsid w:val="00454403"/>
    <w:rsid w:val="00454BDB"/>
    <w:rsid w:val="0045710C"/>
    <w:rsid w:val="00460244"/>
    <w:rsid w:val="00464800"/>
    <w:rsid w:val="00465132"/>
    <w:rsid w:val="00480C90"/>
    <w:rsid w:val="00483043"/>
    <w:rsid w:val="0048396F"/>
    <w:rsid w:val="0048641C"/>
    <w:rsid w:val="00493C18"/>
    <w:rsid w:val="004A600C"/>
    <w:rsid w:val="004A6118"/>
    <w:rsid w:val="004A6890"/>
    <w:rsid w:val="004C478D"/>
    <w:rsid w:val="004C5E28"/>
    <w:rsid w:val="004E2C26"/>
    <w:rsid w:val="004F1ADE"/>
    <w:rsid w:val="004F36FF"/>
    <w:rsid w:val="005125A8"/>
    <w:rsid w:val="005203CE"/>
    <w:rsid w:val="00521AE8"/>
    <w:rsid w:val="00527180"/>
    <w:rsid w:val="0054201E"/>
    <w:rsid w:val="0054799D"/>
    <w:rsid w:val="00555291"/>
    <w:rsid w:val="00566AD1"/>
    <w:rsid w:val="00580A63"/>
    <w:rsid w:val="00583EDE"/>
    <w:rsid w:val="005A6079"/>
    <w:rsid w:val="005E4698"/>
    <w:rsid w:val="00610539"/>
    <w:rsid w:val="00613969"/>
    <w:rsid w:val="00625C35"/>
    <w:rsid w:val="00643E14"/>
    <w:rsid w:val="00656313"/>
    <w:rsid w:val="006565F4"/>
    <w:rsid w:val="00672BF3"/>
    <w:rsid w:val="00684EEA"/>
    <w:rsid w:val="00693997"/>
    <w:rsid w:val="00696804"/>
    <w:rsid w:val="0069689B"/>
    <w:rsid w:val="006A1551"/>
    <w:rsid w:val="006B00CB"/>
    <w:rsid w:val="006B5FF5"/>
    <w:rsid w:val="006C3BD0"/>
    <w:rsid w:val="006C7C52"/>
    <w:rsid w:val="006F0795"/>
    <w:rsid w:val="006F30AF"/>
    <w:rsid w:val="006F463E"/>
    <w:rsid w:val="00701759"/>
    <w:rsid w:val="00705C15"/>
    <w:rsid w:val="0071600E"/>
    <w:rsid w:val="007208D1"/>
    <w:rsid w:val="00725748"/>
    <w:rsid w:val="00735694"/>
    <w:rsid w:val="00747288"/>
    <w:rsid w:val="00747DD3"/>
    <w:rsid w:val="007549C8"/>
    <w:rsid w:val="00754A0B"/>
    <w:rsid w:val="0076512B"/>
    <w:rsid w:val="00766D14"/>
    <w:rsid w:val="00767A0F"/>
    <w:rsid w:val="00790401"/>
    <w:rsid w:val="007A05F6"/>
    <w:rsid w:val="007B5928"/>
    <w:rsid w:val="007B6F4A"/>
    <w:rsid w:val="007D242A"/>
    <w:rsid w:val="007D767B"/>
    <w:rsid w:val="007E1C47"/>
    <w:rsid w:val="007E337A"/>
    <w:rsid w:val="007E5C70"/>
    <w:rsid w:val="007F2FF5"/>
    <w:rsid w:val="007F3F08"/>
    <w:rsid w:val="00804CC6"/>
    <w:rsid w:val="00807C70"/>
    <w:rsid w:val="00817190"/>
    <w:rsid w:val="00820901"/>
    <w:rsid w:val="00820EE5"/>
    <w:rsid w:val="008260E2"/>
    <w:rsid w:val="008322BD"/>
    <w:rsid w:val="00832377"/>
    <w:rsid w:val="00833E0A"/>
    <w:rsid w:val="00834F73"/>
    <w:rsid w:val="00853569"/>
    <w:rsid w:val="00853F3C"/>
    <w:rsid w:val="00864CF8"/>
    <w:rsid w:val="00865F7F"/>
    <w:rsid w:val="00872819"/>
    <w:rsid w:val="00874914"/>
    <w:rsid w:val="00875BF6"/>
    <w:rsid w:val="00891422"/>
    <w:rsid w:val="00892E1A"/>
    <w:rsid w:val="008A3F29"/>
    <w:rsid w:val="008A5E1F"/>
    <w:rsid w:val="008B1E76"/>
    <w:rsid w:val="008B3910"/>
    <w:rsid w:val="008B660A"/>
    <w:rsid w:val="008C01DA"/>
    <w:rsid w:val="008E682F"/>
    <w:rsid w:val="008F33D6"/>
    <w:rsid w:val="008F78E9"/>
    <w:rsid w:val="0090772B"/>
    <w:rsid w:val="00911989"/>
    <w:rsid w:val="009179F9"/>
    <w:rsid w:val="00923A68"/>
    <w:rsid w:val="00923AD4"/>
    <w:rsid w:val="009306D0"/>
    <w:rsid w:val="00933E5E"/>
    <w:rsid w:val="00935218"/>
    <w:rsid w:val="009403F3"/>
    <w:rsid w:val="0094217C"/>
    <w:rsid w:val="009555B7"/>
    <w:rsid w:val="009567AA"/>
    <w:rsid w:val="009644AA"/>
    <w:rsid w:val="00967374"/>
    <w:rsid w:val="00985A3C"/>
    <w:rsid w:val="00996007"/>
    <w:rsid w:val="009A343A"/>
    <w:rsid w:val="009B0E16"/>
    <w:rsid w:val="009B24C0"/>
    <w:rsid w:val="009B2F23"/>
    <w:rsid w:val="009B57B3"/>
    <w:rsid w:val="009B5FEB"/>
    <w:rsid w:val="009B7FB2"/>
    <w:rsid w:val="009C3BFA"/>
    <w:rsid w:val="009C5B92"/>
    <w:rsid w:val="009C7438"/>
    <w:rsid w:val="009D2920"/>
    <w:rsid w:val="009D53EF"/>
    <w:rsid w:val="009D5AEB"/>
    <w:rsid w:val="009E4B8A"/>
    <w:rsid w:val="009F0E33"/>
    <w:rsid w:val="00A02FF6"/>
    <w:rsid w:val="00A030CE"/>
    <w:rsid w:val="00A149DF"/>
    <w:rsid w:val="00A1755C"/>
    <w:rsid w:val="00A21B90"/>
    <w:rsid w:val="00A41805"/>
    <w:rsid w:val="00A42DCD"/>
    <w:rsid w:val="00A51CD1"/>
    <w:rsid w:val="00A52AFB"/>
    <w:rsid w:val="00A52B64"/>
    <w:rsid w:val="00A548CB"/>
    <w:rsid w:val="00A5521C"/>
    <w:rsid w:val="00A643E7"/>
    <w:rsid w:val="00A67F02"/>
    <w:rsid w:val="00A73C38"/>
    <w:rsid w:val="00A77DA1"/>
    <w:rsid w:val="00AA4104"/>
    <w:rsid w:val="00AB373A"/>
    <w:rsid w:val="00AB670D"/>
    <w:rsid w:val="00AC1998"/>
    <w:rsid w:val="00AC3D1E"/>
    <w:rsid w:val="00AE4535"/>
    <w:rsid w:val="00AF03C5"/>
    <w:rsid w:val="00B000D8"/>
    <w:rsid w:val="00B00F75"/>
    <w:rsid w:val="00B145B6"/>
    <w:rsid w:val="00B211F7"/>
    <w:rsid w:val="00B279EB"/>
    <w:rsid w:val="00B50C81"/>
    <w:rsid w:val="00B557F8"/>
    <w:rsid w:val="00B61411"/>
    <w:rsid w:val="00B815FC"/>
    <w:rsid w:val="00B917C4"/>
    <w:rsid w:val="00B93FBC"/>
    <w:rsid w:val="00BA2558"/>
    <w:rsid w:val="00BA70D7"/>
    <w:rsid w:val="00BA7DA0"/>
    <w:rsid w:val="00BB2EE4"/>
    <w:rsid w:val="00BB503D"/>
    <w:rsid w:val="00BC2108"/>
    <w:rsid w:val="00BC2A8F"/>
    <w:rsid w:val="00BC7EFC"/>
    <w:rsid w:val="00BD0E9E"/>
    <w:rsid w:val="00BD1BEC"/>
    <w:rsid w:val="00BD32FF"/>
    <w:rsid w:val="00BD63DA"/>
    <w:rsid w:val="00BE362D"/>
    <w:rsid w:val="00BF79C9"/>
    <w:rsid w:val="00C02092"/>
    <w:rsid w:val="00C24D91"/>
    <w:rsid w:val="00C437E7"/>
    <w:rsid w:val="00C53F14"/>
    <w:rsid w:val="00C600CF"/>
    <w:rsid w:val="00C6084F"/>
    <w:rsid w:val="00C61D4A"/>
    <w:rsid w:val="00C62A66"/>
    <w:rsid w:val="00C64595"/>
    <w:rsid w:val="00C67A4F"/>
    <w:rsid w:val="00C71458"/>
    <w:rsid w:val="00C77613"/>
    <w:rsid w:val="00C828E7"/>
    <w:rsid w:val="00C82FDB"/>
    <w:rsid w:val="00C86719"/>
    <w:rsid w:val="00C921DD"/>
    <w:rsid w:val="00CA6391"/>
    <w:rsid w:val="00CB3368"/>
    <w:rsid w:val="00CC34BD"/>
    <w:rsid w:val="00CD3294"/>
    <w:rsid w:val="00CE161A"/>
    <w:rsid w:val="00CE3171"/>
    <w:rsid w:val="00CE78DD"/>
    <w:rsid w:val="00CF1601"/>
    <w:rsid w:val="00CF2414"/>
    <w:rsid w:val="00D0172F"/>
    <w:rsid w:val="00D068A7"/>
    <w:rsid w:val="00D1630D"/>
    <w:rsid w:val="00D17476"/>
    <w:rsid w:val="00D2051C"/>
    <w:rsid w:val="00D32086"/>
    <w:rsid w:val="00D3391B"/>
    <w:rsid w:val="00D37A3F"/>
    <w:rsid w:val="00D4431D"/>
    <w:rsid w:val="00D4667A"/>
    <w:rsid w:val="00D63A1C"/>
    <w:rsid w:val="00D7153D"/>
    <w:rsid w:val="00D7516F"/>
    <w:rsid w:val="00D8159D"/>
    <w:rsid w:val="00D8579F"/>
    <w:rsid w:val="00D95F8E"/>
    <w:rsid w:val="00DA0590"/>
    <w:rsid w:val="00DA4245"/>
    <w:rsid w:val="00DB0967"/>
    <w:rsid w:val="00DB0F8C"/>
    <w:rsid w:val="00DB4C9C"/>
    <w:rsid w:val="00DB7BEA"/>
    <w:rsid w:val="00DC152D"/>
    <w:rsid w:val="00DC1739"/>
    <w:rsid w:val="00DC1788"/>
    <w:rsid w:val="00DD0432"/>
    <w:rsid w:val="00DE319C"/>
    <w:rsid w:val="00DF0CA8"/>
    <w:rsid w:val="00DF18BA"/>
    <w:rsid w:val="00DF2B48"/>
    <w:rsid w:val="00DF49A7"/>
    <w:rsid w:val="00DF725C"/>
    <w:rsid w:val="00E07EE2"/>
    <w:rsid w:val="00E07FD1"/>
    <w:rsid w:val="00E176D8"/>
    <w:rsid w:val="00E24573"/>
    <w:rsid w:val="00E25E1E"/>
    <w:rsid w:val="00E27EE7"/>
    <w:rsid w:val="00E35404"/>
    <w:rsid w:val="00E36593"/>
    <w:rsid w:val="00E45109"/>
    <w:rsid w:val="00E47B7A"/>
    <w:rsid w:val="00E56A44"/>
    <w:rsid w:val="00E60269"/>
    <w:rsid w:val="00E6581A"/>
    <w:rsid w:val="00E775F5"/>
    <w:rsid w:val="00E77932"/>
    <w:rsid w:val="00E97830"/>
    <w:rsid w:val="00EA2DD2"/>
    <w:rsid w:val="00EB7398"/>
    <w:rsid w:val="00EC1E6E"/>
    <w:rsid w:val="00EC7B61"/>
    <w:rsid w:val="00EE643C"/>
    <w:rsid w:val="00EF0683"/>
    <w:rsid w:val="00EF364E"/>
    <w:rsid w:val="00EF69D2"/>
    <w:rsid w:val="00EF766E"/>
    <w:rsid w:val="00F0070C"/>
    <w:rsid w:val="00F00EB7"/>
    <w:rsid w:val="00F103A6"/>
    <w:rsid w:val="00F11E17"/>
    <w:rsid w:val="00F1607B"/>
    <w:rsid w:val="00F36AB6"/>
    <w:rsid w:val="00F37A09"/>
    <w:rsid w:val="00F409CE"/>
    <w:rsid w:val="00F41975"/>
    <w:rsid w:val="00F4379D"/>
    <w:rsid w:val="00F46CEA"/>
    <w:rsid w:val="00F50CFC"/>
    <w:rsid w:val="00F50D2D"/>
    <w:rsid w:val="00F56C8B"/>
    <w:rsid w:val="00F66810"/>
    <w:rsid w:val="00F72D57"/>
    <w:rsid w:val="00F846D9"/>
    <w:rsid w:val="00F84DF4"/>
    <w:rsid w:val="00F85C97"/>
    <w:rsid w:val="00F90E64"/>
    <w:rsid w:val="00FA6996"/>
    <w:rsid w:val="00FB0C78"/>
    <w:rsid w:val="00FB37D2"/>
    <w:rsid w:val="00FC4EFB"/>
    <w:rsid w:val="00FC578A"/>
    <w:rsid w:val="00FC68D5"/>
    <w:rsid w:val="00FD068D"/>
    <w:rsid w:val="00FD4B1A"/>
    <w:rsid w:val="00FD4F28"/>
    <w:rsid w:val="00FE2D45"/>
    <w:rsid w:val="00FE6784"/>
    <w:rsid w:val="00FF0AFA"/>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D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ccappellantforindexchar0">
    <w:name w:val="sccappellantforindexchar"/>
    <w:basedOn w:val="DefaultParagraphFont"/>
    <w:rsid w:val="006C7C52"/>
  </w:style>
  <w:style w:type="character" w:customStyle="1" w:styleId="sccrespondentforindexchar0">
    <w:name w:val="sccrespondentforindexchar"/>
    <w:basedOn w:val="DefaultParagraphFont"/>
    <w:rsid w:val="006C7C52"/>
  </w:style>
  <w:style w:type="paragraph" w:styleId="FootnoteText">
    <w:name w:val="footnote text"/>
    <w:basedOn w:val="Normal"/>
    <w:link w:val="FootnoteTextChar"/>
    <w:uiPriority w:val="99"/>
    <w:unhideWhenUsed/>
    <w:rsid w:val="00725748"/>
    <w:pPr>
      <w:tabs>
        <w:tab w:val="left" w:pos="180"/>
      </w:tabs>
      <w:ind w:left="187" w:hanging="187"/>
      <w:jc w:val="both"/>
    </w:pPr>
    <w:rPr>
      <w:noProof/>
      <w:sz w:val="20"/>
      <w:lang w:val="fr-CA"/>
    </w:rPr>
  </w:style>
  <w:style w:type="character" w:customStyle="1" w:styleId="FootnoteTextChar">
    <w:name w:val="Footnote Text Char"/>
    <w:basedOn w:val="DefaultParagraphFont"/>
    <w:link w:val="FootnoteText"/>
    <w:uiPriority w:val="99"/>
    <w:rsid w:val="00725748"/>
    <w:rPr>
      <w:noProof/>
      <w:lang w:val="fr-CA"/>
    </w:rPr>
  </w:style>
  <w:style w:type="character" w:styleId="CommentReference">
    <w:name w:val="annotation reference"/>
    <w:basedOn w:val="DefaultParagraphFont"/>
    <w:uiPriority w:val="99"/>
    <w:semiHidden/>
    <w:unhideWhenUsed/>
    <w:rsid w:val="00725748"/>
    <w:rPr>
      <w:sz w:val="16"/>
      <w:szCs w:val="16"/>
    </w:rPr>
  </w:style>
  <w:style w:type="paragraph" w:styleId="CommentText">
    <w:name w:val="annotation text"/>
    <w:basedOn w:val="Normal"/>
    <w:link w:val="CommentTextChar"/>
    <w:uiPriority w:val="99"/>
    <w:unhideWhenUsed/>
    <w:rsid w:val="00725748"/>
    <w:pPr>
      <w:spacing w:after="160"/>
    </w:pPr>
    <w:rPr>
      <w:rFonts w:eastAsiaTheme="minorHAnsi"/>
      <w:sz w:val="20"/>
      <w:lang w:val="en-US" w:eastAsia="en-US"/>
    </w:rPr>
  </w:style>
  <w:style w:type="character" w:customStyle="1" w:styleId="CommentTextChar">
    <w:name w:val="Comment Text Char"/>
    <w:basedOn w:val="DefaultParagraphFont"/>
    <w:link w:val="CommentText"/>
    <w:uiPriority w:val="99"/>
    <w:rsid w:val="00725748"/>
    <w:rPr>
      <w:rFonts w:eastAsiaTheme="minorHAnsi"/>
      <w:lang w:val="en-US" w:eastAsia="en-US"/>
    </w:rPr>
  </w:style>
  <w:style w:type="character" w:customStyle="1" w:styleId="solexhl">
    <w:name w:val="solexhl"/>
    <w:basedOn w:val="DefaultParagraphFont"/>
    <w:rsid w:val="00725748"/>
  </w:style>
  <w:style w:type="paragraph" w:styleId="CommentSubject">
    <w:name w:val="annotation subject"/>
    <w:basedOn w:val="CommentText"/>
    <w:next w:val="CommentText"/>
    <w:link w:val="CommentSubjectChar"/>
    <w:uiPriority w:val="99"/>
    <w:semiHidden/>
    <w:unhideWhenUsed/>
    <w:rsid w:val="008B1E76"/>
    <w:pPr>
      <w:spacing w:after="0"/>
    </w:pPr>
    <w:rPr>
      <w:rFonts w:eastAsia="Times New Roman"/>
      <w:b/>
      <w:bCs/>
      <w:lang w:val="en-CA" w:eastAsia="en-CA"/>
    </w:rPr>
  </w:style>
  <w:style w:type="character" w:customStyle="1" w:styleId="CommentSubjectChar">
    <w:name w:val="Comment Subject Char"/>
    <w:basedOn w:val="CommentTextChar"/>
    <w:link w:val="CommentSubject"/>
    <w:uiPriority w:val="99"/>
    <w:semiHidden/>
    <w:rsid w:val="008B1E76"/>
    <w:rPr>
      <w:rFonts w:eastAsiaTheme="minorHAnsi"/>
      <w:b/>
      <w:bCs/>
      <w:lang w:val="en-US" w:eastAsia="en-US"/>
    </w:rPr>
  </w:style>
  <w:style w:type="paragraph" w:customStyle="1" w:styleId="SCCLsocOtherPartyRoleSeparator">
    <w:name w:val="SCC.Lsoc.OtherPartyRoleSeparator"/>
    <w:basedOn w:val="Normal"/>
    <w:next w:val="Normal"/>
    <w:link w:val="SCCLsocOtherPartyRoleSeparatorChar"/>
    <w:rsid w:val="00C437E7"/>
    <w:pPr>
      <w:spacing w:after="480"/>
    </w:pPr>
    <w:rPr>
      <w:rFonts w:eastAsiaTheme="minorHAnsi" w:cstheme="minorBidi"/>
      <w:szCs w:val="22"/>
      <w:lang w:eastAsia="en-US"/>
    </w:rPr>
  </w:style>
  <w:style w:type="paragraph" w:customStyle="1" w:styleId="SCCCoram">
    <w:name w:val="SCC.Coram"/>
    <w:basedOn w:val="Normal"/>
    <w:next w:val="Normal"/>
    <w:link w:val="SCCCoramChar"/>
    <w:rsid w:val="00C437E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437E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437E7"/>
    <w:rPr>
      <w:rFonts w:eastAsiaTheme="minorHAnsi" w:cstheme="minorBidi"/>
      <w:sz w:val="24"/>
      <w:szCs w:val="22"/>
      <w:lang w:eastAsia="en-US"/>
    </w:rPr>
  </w:style>
  <w:style w:type="character" w:customStyle="1" w:styleId="SCCBanSummaryChar">
    <w:name w:val="SCC.BanSummary Char"/>
    <w:basedOn w:val="DefaultParagraphFont"/>
    <w:link w:val="SCCBanSummary"/>
    <w:rsid w:val="00C437E7"/>
    <w:rPr>
      <w:b/>
      <w:sz w:val="24"/>
    </w:rPr>
  </w:style>
  <w:style w:type="table" w:styleId="TableGrid">
    <w:name w:val="Table Grid"/>
    <w:basedOn w:val="TableNormal"/>
    <w:uiPriority w:val="59"/>
    <w:rsid w:val="00C437E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437E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437E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437E7"/>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C437E7"/>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437E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437E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437E7"/>
    <w:pPr>
      <w:numPr>
        <w:ilvl w:val="2"/>
      </w:numPr>
      <w:outlineLvl w:val="2"/>
    </w:pPr>
  </w:style>
  <w:style w:type="paragraph" w:customStyle="1" w:styleId="Title4LevelTitre4Niveau">
    <w:name w:val="Title 4 Level / Titre 4 Niveau"/>
    <w:basedOn w:val="Title3LevelTitre3Niveau"/>
    <w:next w:val="ParaNoNdepar-AltN"/>
    <w:uiPriority w:val="4"/>
    <w:qFormat/>
    <w:rsid w:val="00C437E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437E7"/>
    <w:pPr>
      <w:numPr>
        <w:ilvl w:val="4"/>
      </w:numPr>
      <w:outlineLvl w:val="4"/>
    </w:pPr>
  </w:style>
  <w:style w:type="paragraph" w:styleId="TOC1">
    <w:name w:val="toc 1"/>
    <w:basedOn w:val="Normal"/>
    <w:next w:val="Normal"/>
    <w:autoRedefine/>
    <w:uiPriority w:val="39"/>
    <w:unhideWhenUsed/>
    <w:rsid w:val="00C437E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437E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437E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437E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437E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437E7"/>
    <w:pPr>
      <w:tabs>
        <w:tab w:val="left" w:pos="2160"/>
        <w:tab w:val="right" w:leader="dot" w:pos="8270"/>
      </w:tabs>
      <w:spacing w:after="100"/>
      <w:ind w:left="1800"/>
    </w:pPr>
    <w:rPr>
      <w:noProof/>
    </w:rPr>
  </w:style>
  <w:style w:type="table" w:customStyle="1" w:styleId="TableGrid1">
    <w:name w:val="Table Grid1"/>
    <w:basedOn w:val="TableNormal"/>
    <w:uiPriority w:val="59"/>
    <w:rsid w:val="00C437E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437E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437E7"/>
    <w:pPr>
      <w:numPr>
        <w:ilvl w:val="5"/>
      </w:numPr>
      <w:outlineLvl w:val="5"/>
    </w:pPr>
    <w:rPr>
      <w:i/>
      <w:u w:val="none"/>
    </w:rPr>
  </w:style>
  <w:style w:type="character" w:styleId="FootnoteReference">
    <w:name w:val="footnote reference"/>
    <w:basedOn w:val="DefaultParagraphFont"/>
    <w:uiPriority w:val="99"/>
    <w:semiHidden/>
    <w:unhideWhenUsed/>
    <w:rsid w:val="00C437E7"/>
    <w:rPr>
      <w:vertAlign w:val="superscript"/>
    </w:rPr>
  </w:style>
  <w:style w:type="paragraph" w:styleId="ListParagraph">
    <w:name w:val="List Paragraph"/>
    <w:basedOn w:val="Normal"/>
    <w:uiPriority w:val="34"/>
    <w:rsid w:val="00C437E7"/>
    <w:pPr>
      <w:ind w:left="720"/>
      <w:contextualSpacing/>
    </w:pPr>
    <w:rPr>
      <w:rFonts w:eastAsiaTheme="minorHAnsi" w:cstheme="minorBidi"/>
      <w:szCs w:val="22"/>
      <w:lang w:val="en-US" w:eastAsia="en-US" w:bidi="en-US"/>
    </w:rPr>
  </w:style>
  <w:style w:type="character" w:styleId="Hyperlink">
    <w:name w:val="Hyperlink"/>
    <w:basedOn w:val="DefaultParagraphFont"/>
    <w:uiPriority w:val="99"/>
    <w:unhideWhenUsed/>
    <w:rsid w:val="00C437E7"/>
    <w:rPr>
      <w:color w:val="0000FF" w:themeColor="hyperlink"/>
      <w:u w:val="single"/>
    </w:rPr>
  </w:style>
  <w:style w:type="character" w:customStyle="1" w:styleId="ParaNoNdepar-AltNChar">
    <w:name w:val="Para. No. / Nº de par. - Alt N Char"/>
    <w:basedOn w:val="DefaultParagraphFont"/>
    <w:link w:val="ParaNoNdepar-AltN"/>
    <w:rsid w:val="00C437E7"/>
    <w:rPr>
      <w:rFonts w:eastAsiaTheme="minorEastAsia" w:cstheme="minorBidi"/>
      <w:sz w:val="24"/>
      <w:szCs w:val="22"/>
      <w:lang w:eastAsia="en-US"/>
    </w:rPr>
  </w:style>
  <w:style w:type="character" w:customStyle="1" w:styleId="SCCLowerCourtJudge">
    <w:name w:val="SCC.LowerCourtJudge"/>
    <w:basedOn w:val="DefaultParagraphFont"/>
    <w:uiPriority w:val="1"/>
    <w:qFormat/>
    <w:rsid w:val="00C437E7"/>
  </w:style>
  <w:style w:type="character" w:customStyle="1" w:styleId="reflex3-block">
    <w:name w:val="reflex3-block"/>
    <w:basedOn w:val="DefaultParagraphFont"/>
    <w:rsid w:val="00C437E7"/>
  </w:style>
  <w:style w:type="character" w:customStyle="1" w:styleId="reflex3-alt">
    <w:name w:val="reflex3-alt"/>
    <w:basedOn w:val="DefaultParagraphFont"/>
    <w:rsid w:val="00C437E7"/>
  </w:style>
  <w:style w:type="character" w:customStyle="1" w:styleId="reflex">
    <w:name w:val="reflex"/>
    <w:basedOn w:val="DefaultParagraphFont"/>
    <w:rsid w:val="00C437E7"/>
  </w:style>
  <w:style w:type="table" w:customStyle="1" w:styleId="TableGrid2">
    <w:name w:val="Table Grid2"/>
    <w:basedOn w:val="TableNormal"/>
    <w:next w:val="TableGrid"/>
    <w:uiPriority w:val="59"/>
    <w:rsid w:val="00C437E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7207">
      <w:bodyDiv w:val="1"/>
      <w:marLeft w:val="0"/>
      <w:marRight w:val="0"/>
      <w:marTop w:val="0"/>
      <w:marBottom w:val="0"/>
      <w:divBdr>
        <w:top w:val="none" w:sz="0" w:space="0" w:color="auto"/>
        <w:left w:val="none" w:sz="0" w:space="0" w:color="auto"/>
        <w:bottom w:val="none" w:sz="0" w:space="0" w:color="auto"/>
        <w:right w:val="none" w:sz="0" w:space="0" w:color="auto"/>
      </w:divBdr>
      <w:divsChild>
        <w:div w:id="2109231383">
          <w:marLeft w:val="0"/>
          <w:marRight w:val="0"/>
          <w:marTop w:val="0"/>
          <w:marBottom w:val="0"/>
          <w:divBdr>
            <w:top w:val="none" w:sz="0" w:space="0" w:color="auto"/>
            <w:left w:val="none" w:sz="0" w:space="0" w:color="auto"/>
            <w:bottom w:val="none" w:sz="0" w:space="0" w:color="auto"/>
            <w:right w:val="none" w:sz="0" w:space="0" w:color="auto"/>
          </w:divBdr>
        </w:div>
      </w:divsChild>
    </w:div>
    <w:div w:id="812868400">
      <w:bodyDiv w:val="1"/>
      <w:marLeft w:val="0"/>
      <w:marRight w:val="0"/>
      <w:marTop w:val="0"/>
      <w:marBottom w:val="0"/>
      <w:divBdr>
        <w:top w:val="none" w:sz="0" w:space="0" w:color="auto"/>
        <w:left w:val="none" w:sz="0" w:space="0" w:color="auto"/>
        <w:bottom w:val="none" w:sz="0" w:space="0" w:color="auto"/>
        <w:right w:val="none" w:sz="0" w:space="0" w:color="auto"/>
      </w:divBdr>
    </w:div>
    <w:div w:id="848644484">
      <w:bodyDiv w:val="1"/>
      <w:marLeft w:val="0"/>
      <w:marRight w:val="0"/>
      <w:marTop w:val="0"/>
      <w:marBottom w:val="0"/>
      <w:divBdr>
        <w:top w:val="none" w:sz="0" w:space="0" w:color="auto"/>
        <w:left w:val="none" w:sz="0" w:space="0" w:color="auto"/>
        <w:bottom w:val="none" w:sz="0" w:space="0" w:color="auto"/>
        <w:right w:val="none" w:sz="0" w:space="0" w:color="auto"/>
      </w:divBdr>
    </w:div>
    <w:div w:id="1627471658">
      <w:bodyDiv w:val="1"/>
      <w:marLeft w:val="0"/>
      <w:marRight w:val="0"/>
      <w:marTop w:val="0"/>
      <w:marBottom w:val="0"/>
      <w:divBdr>
        <w:top w:val="none" w:sz="0" w:space="0" w:color="auto"/>
        <w:left w:val="none" w:sz="0" w:space="0" w:color="auto"/>
        <w:bottom w:val="none" w:sz="0" w:space="0" w:color="auto"/>
        <w:right w:val="none" w:sz="0" w:space="0" w:color="auto"/>
      </w:divBdr>
      <w:divsChild>
        <w:div w:id="1425496286">
          <w:marLeft w:val="0"/>
          <w:marRight w:val="0"/>
          <w:marTop w:val="0"/>
          <w:marBottom w:val="0"/>
          <w:divBdr>
            <w:top w:val="none" w:sz="0" w:space="0" w:color="auto"/>
            <w:left w:val="none" w:sz="0" w:space="0" w:color="auto"/>
            <w:bottom w:val="none" w:sz="0" w:space="0" w:color="auto"/>
            <w:right w:val="none" w:sz="0" w:space="0" w:color="auto"/>
          </w:divBdr>
        </w:div>
      </w:divsChild>
    </w:div>
    <w:div w:id="1924802112">
      <w:bodyDiv w:val="1"/>
      <w:marLeft w:val="0"/>
      <w:marRight w:val="0"/>
      <w:marTop w:val="0"/>
      <w:marBottom w:val="0"/>
      <w:divBdr>
        <w:top w:val="none" w:sz="0" w:space="0" w:color="auto"/>
        <w:left w:val="none" w:sz="0" w:space="0" w:color="auto"/>
        <w:bottom w:val="none" w:sz="0" w:space="0" w:color="auto"/>
        <w:right w:val="none" w:sz="0" w:space="0" w:color="auto"/>
      </w:divBdr>
      <w:divsChild>
        <w:div w:id="198916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21696</Words>
  <Characters>119330</Characters>
  <Application>Microsoft Office Word</Application>
  <DocSecurity>0</DocSecurity>
  <Lines>994</Lines>
  <Paragraphs>281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2021-04-23T01:23:00Z</dcterms:created>
  <dcterms:modified xsi:type="dcterms:W3CDTF">2024-02-18T16:06:00Z</dcterms:modified>
</cp:coreProperties>
</file>