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C2F5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C2F5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C2F5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1C2F5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C2F5E" w:rsidTr="002E5576">
        <w:tc>
          <w:tcPr>
            <w:tcW w:w="4518" w:type="dxa"/>
          </w:tcPr>
          <w:p w:rsidR="00BF25F3" w:rsidRPr="002E2327" w:rsidRDefault="00857426"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857426"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195C27" w:rsidP="00F0068D">
      <w:pPr>
        <w:pBdr>
          <w:bottom w:val="single" w:sz="6" w:space="1" w:color="auto"/>
        </w:pBdr>
        <w:tabs>
          <w:tab w:val="center" w:pos="4680"/>
          <w:tab w:val="right" w:pos="9360"/>
        </w:tabs>
        <w:rPr>
          <w:lang w:val="fr-CA"/>
        </w:rPr>
      </w:pPr>
      <w:proofErr w:type="spellStart"/>
      <w:r>
        <w:rPr>
          <w:lang w:val="fr-CA"/>
        </w:rPr>
        <w:t>November</w:t>
      </w:r>
      <w:proofErr w:type="spellEnd"/>
      <w:r w:rsidR="00440E24" w:rsidRPr="00675479">
        <w:rPr>
          <w:lang w:val="fr-CA"/>
        </w:rPr>
        <w:t xml:space="preserve"> 2</w:t>
      </w:r>
      <w:r>
        <w:rPr>
          <w:lang w:val="fr-CA"/>
        </w:rPr>
        <w:t>6</w:t>
      </w:r>
      <w:r w:rsidR="00440E24" w:rsidRPr="00675479">
        <w:rPr>
          <w:lang w:val="fr-CA"/>
        </w:rPr>
        <w:t>, 2010</w:t>
      </w:r>
      <w:r w:rsidR="00F0068D" w:rsidRPr="00675479">
        <w:rPr>
          <w:lang w:val="fr-CA"/>
        </w:rPr>
        <w:tab/>
        <w:t>1</w:t>
      </w:r>
      <w:r w:rsidR="00380760">
        <w:rPr>
          <w:lang w:val="fr-CA"/>
        </w:rPr>
        <w:t>497</w:t>
      </w:r>
      <w:r w:rsidR="00F0068D" w:rsidRPr="00675479">
        <w:rPr>
          <w:lang w:val="fr-CA"/>
        </w:rPr>
        <w:t xml:space="preserve"> - </w:t>
      </w:r>
      <w:r w:rsidR="00661748">
        <w:rPr>
          <w:lang w:val="fr-CA"/>
        </w:rPr>
        <w:t>1568</w:t>
      </w:r>
      <w:r w:rsidR="00440E24" w:rsidRPr="00675479">
        <w:rPr>
          <w:lang w:val="fr-CA"/>
        </w:rPr>
        <w:tab/>
      </w:r>
      <w:r w:rsidR="00440E24" w:rsidRPr="002E2327">
        <w:rPr>
          <w:lang w:val="fr-CA"/>
        </w:rPr>
        <w:t>Le 2</w:t>
      </w:r>
      <w:r>
        <w:rPr>
          <w:lang w:val="fr-CA"/>
        </w:rPr>
        <w:t>6 novembre</w:t>
      </w:r>
      <w:r w:rsidR="00440E24" w:rsidRPr="002E2327">
        <w:rPr>
          <w:lang w:val="fr-CA"/>
        </w:rPr>
        <w:t xml:space="preserve"> 2010</w:t>
      </w:r>
    </w:p>
    <w:p w:rsidR="00440E24" w:rsidRPr="00675479" w:rsidRDefault="00440E24" w:rsidP="00440E24">
      <w:pPr>
        <w:pBdr>
          <w:bottom w:val="single" w:sz="6" w:space="1" w:color="auto"/>
        </w:pBdr>
        <w:tabs>
          <w:tab w:val="right" w:pos="9360"/>
        </w:tabs>
        <w:rPr>
          <w:lang w:val="fr-CA"/>
        </w:rPr>
      </w:pP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 xml:space="preserve">© </w:t>
      </w:r>
      <w:proofErr w:type="spellStart"/>
      <w:r w:rsidRPr="00675479">
        <w:rPr>
          <w:sz w:val="18"/>
          <w:szCs w:val="18"/>
          <w:lang w:val="fr-CA"/>
        </w:rPr>
        <w:t>Supreme</w:t>
      </w:r>
      <w:proofErr w:type="spellEnd"/>
      <w:r w:rsidRPr="00675479">
        <w:rPr>
          <w:sz w:val="18"/>
          <w:szCs w:val="18"/>
          <w:lang w:val="fr-CA"/>
        </w:rPr>
        <w:t xml:space="preserve"> Court of Canada (2010)</w:t>
      </w:r>
      <w:r w:rsidRPr="00675479">
        <w:rPr>
          <w:sz w:val="18"/>
          <w:szCs w:val="18"/>
          <w:lang w:val="fr-CA"/>
        </w:rPr>
        <w:tab/>
        <w:t xml:space="preserve">© </w:t>
      </w:r>
      <w:r w:rsidRPr="002E2327">
        <w:rPr>
          <w:sz w:val="18"/>
          <w:szCs w:val="18"/>
          <w:lang w:val="fr-CA"/>
        </w:rPr>
        <w:t>Cour suprême du Canada (2010)</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D53465"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A87207" w:rsidRPr="002E2327" w:rsidRDefault="0095096B" w:rsidP="00D53465">
            <w:pPr>
              <w:tabs>
                <w:tab w:val="right" w:pos="9360"/>
              </w:tabs>
              <w:rPr>
                <w:rFonts w:cs="Times New Roman"/>
                <w:sz w:val="20"/>
                <w:szCs w:val="20"/>
              </w:rPr>
            </w:pPr>
            <w:r w:rsidRPr="002E2327">
              <w:rPr>
                <w:rFonts w:cs="Times New Roman"/>
                <w:sz w:val="20"/>
                <w:szCs w:val="20"/>
              </w:rPr>
              <w:t>Summaries of the cases</w:t>
            </w:r>
          </w:p>
        </w:tc>
        <w:tc>
          <w:tcPr>
            <w:tcW w:w="1980" w:type="dxa"/>
          </w:tcPr>
          <w:p w:rsidR="0095096B" w:rsidRPr="002E2327" w:rsidRDefault="00195C27" w:rsidP="0095096B">
            <w:pPr>
              <w:jc w:val="center"/>
              <w:rPr>
                <w:rFonts w:cs="Times New Roman"/>
                <w:sz w:val="20"/>
                <w:szCs w:val="20"/>
              </w:rPr>
            </w:pPr>
            <w:r>
              <w:rPr>
                <w:rFonts w:cs="Times New Roman"/>
                <w:sz w:val="20"/>
                <w:szCs w:val="20"/>
              </w:rPr>
              <w:t xml:space="preserve">1497 </w:t>
            </w:r>
            <w:r w:rsidR="00857426" w:rsidRPr="002E2327">
              <w:rPr>
                <w:rFonts w:cs="Times New Roman"/>
                <w:sz w:val="20"/>
                <w:szCs w:val="20"/>
              </w:rPr>
              <w:fldChar w:fldCharType="begin"/>
            </w:r>
            <w:r w:rsidR="0095096B" w:rsidRPr="002E2327">
              <w:rPr>
                <w:rFonts w:cs="Times New Roman"/>
                <w:sz w:val="20"/>
                <w:szCs w:val="20"/>
              </w:rPr>
              <w:instrText xml:space="preserve"> SEQ CHAPTER \h \r 1</w:instrText>
            </w:r>
            <w:r w:rsidR="00857426" w:rsidRPr="002E2327">
              <w:rPr>
                <w:rFonts w:cs="Times New Roman"/>
                <w:sz w:val="20"/>
                <w:szCs w:val="20"/>
              </w:rPr>
              <w:fldChar w:fldCharType="end"/>
            </w:r>
            <w:r w:rsidR="0095096B" w:rsidRPr="002E2327">
              <w:rPr>
                <w:rFonts w:cs="Times New Roman"/>
                <w:sz w:val="20"/>
                <w:szCs w:val="20"/>
              </w:rPr>
              <w:t>-</w:t>
            </w:r>
            <w:r w:rsidR="00380760">
              <w:rPr>
                <w:rFonts w:cs="Times New Roman"/>
                <w:sz w:val="20"/>
                <w:szCs w:val="20"/>
              </w:rPr>
              <w:t xml:space="preserve"> 1498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80760" w:rsidP="0095096B">
            <w:pPr>
              <w:jc w:val="center"/>
              <w:rPr>
                <w:rFonts w:cs="Times New Roman"/>
                <w:sz w:val="20"/>
                <w:szCs w:val="20"/>
              </w:rPr>
            </w:pPr>
            <w:r>
              <w:rPr>
                <w:rFonts w:cs="Times New Roman"/>
                <w:sz w:val="20"/>
                <w:szCs w:val="20"/>
              </w:rPr>
              <w:t>1499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80760" w:rsidP="0095096B">
            <w:pPr>
              <w:jc w:val="center"/>
              <w:rPr>
                <w:rFonts w:cs="Times New Roman"/>
                <w:sz w:val="20"/>
                <w:szCs w:val="20"/>
              </w:rPr>
            </w:pPr>
            <w:r>
              <w:rPr>
                <w:rFonts w:cs="Times New Roman"/>
                <w:sz w:val="20"/>
                <w:szCs w:val="20"/>
              </w:rPr>
              <w:t xml:space="preserve">1500 </w:t>
            </w:r>
            <w:r w:rsidR="0095096B" w:rsidRPr="002E2327">
              <w:rPr>
                <w:rFonts w:cs="Times New Roman"/>
                <w:sz w:val="20"/>
                <w:szCs w:val="20"/>
              </w:rPr>
              <w:t>-</w:t>
            </w:r>
            <w:r>
              <w:rPr>
                <w:rFonts w:cs="Times New Roman"/>
                <w:sz w:val="20"/>
                <w:szCs w:val="20"/>
              </w:rPr>
              <w:t xml:space="preserve"> 1519</w:t>
            </w:r>
          </w:p>
          <w:p w:rsidR="0095096B" w:rsidRDefault="0095096B" w:rsidP="0095096B">
            <w:pPr>
              <w:jc w:val="center"/>
              <w:rPr>
                <w:rFonts w:cs="Times New Roman"/>
                <w:sz w:val="20"/>
                <w:szCs w:val="20"/>
              </w:rPr>
            </w:pPr>
          </w:p>
          <w:p w:rsidR="00D53465" w:rsidRPr="002E2327" w:rsidRDefault="00D53465" w:rsidP="0095096B">
            <w:pPr>
              <w:jc w:val="center"/>
              <w:rPr>
                <w:rFonts w:cs="Times New Roman"/>
                <w:sz w:val="20"/>
                <w:szCs w:val="20"/>
              </w:rPr>
            </w:pPr>
          </w:p>
          <w:p w:rsidR="0095096B" w:rsidRPr="002E2327" w:rsidRDefault="00380760" w:rsidP="0095096B">
            <w:pPr>
              <w:jc w:val="center"/>
              <w:rPr>
                <w:rFonts w:cs="Times New Roman"/>
                <w:sz w:val="20"/>
                <w:szCs w:val="20"/>
              </w:rPr>
            </w:pPr>
            <w:r>
              <w:rPr>
                <w:rFonts w:cs="Times New Roman"/>
                <w:sz w:val="20"/>
                <w:szCs w:val="20"/>
              </w:rPr>
              <w:t xml:space="preserve">1520 </w:t>
            </w:r>
            <w:r w:rsidR="0095096B" w:rsidRPr="002E2327">
              <w:rPr>
                <w:rFonts w:cs="Times New Roman"/>
                <w:sz w:val="20"/>
                <w:szCs w:val="20"/>
              </w:rPr>
              <w:t>-</w:t>
            </w:r>
            <w:r>
              <w:rPr>
                <w:rFonts w:cs="Times New Roman"/>
                <w:sz w:val="20"/>
                <w:szCs w:val="20"/>
              </w:rPr>
              <w:t xml:space="preserve"> 1524</w:t>
            </w:r>
          </w:p>
          <w:p w:rsidR="0095096B" w:rsidRPr="002E2327" w:rsidRDefault="0095096B" w:rsidP="0095096B">
            <w:pPr>
              <w:jc w:val="center"/>
              <w:rPr>
                <w:rFonts w:cs="Times New Roman"/>
                <w:sz w:val="20"/>
                <w:szCs w:val="20"/>
              </w:rPr>
            </w:pPr>
          </w:p>
          <w:p w:rsidR="0095096B" w:rsidRPr="002E2327" w:rsidRDefault="00380760" w:rsidP="0095096B">
            <w:pPr>
              <w:jc w:val="center"/>
              <w:rPr>
                <w:rFonts w:cs="Times New Roman"/>
                <w:sz w:val="20"/>
                <w:szCs w:val="20"/>
              </w:rPr>
            </w:pPr>
            <w:r>
              <w:rPr>
                <w:rFonts w:cs="Times New Roman"/>
                <w:sz w:val="20"/>
                <w:szCs w:val="20"/>
              </w:rPr>
              <w:t>1525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80760" w:rsidP="0095096B">
            <w:pPr>
              <w:jc w:val="center"/>
              <w:rPr>
                <w:rFonts w:cs="Times New Roman"/>
                <w:sz w:val="20"/>
                <w:szCs w:val="20"/>
              </w:rPr>
            </w:pPr>
            <w:r>
              <w:rPr>
                <w:rFonts w:cs="Times New Roman"/>
                <w:sz w:val="20"/>
                <w:szCs w:val="20"/>
              </w:rPr>
              <w:t xml:space="preserve">1526 </w:t>
            </w:r>
            <w:r w:rsidR="0095096B" w:rsidRPr="002E2327">
              <w:rPr>
                <w:rFonts w:cs="Times New Roman"/>
                <w:sz w:val="20"/>
                <w:szCs w:val="20"/>
              </w:rPr>
              <w:t>-</w:t>
            </w:r>
            <w:r w:rsidR="00661748">
              <w:rPr>
                <w:rFonts w:cs="Times New Roman"/>
                <w:sz w:val="20"/>
                <w:szCs w:val="20"/>
              </w:rPr>
              <w:t xml:space="preserve"> 1527</w:t>
            </w:r>
          </w:p>
          <w:p w:rsidR="0095096B" w:rsidRPr="002E2327" w:rsidRDefault="0095096B" w:rsidP="0095096B">
            <w:pPr>
              <w:jc w:val="center"/>
              <w:rPr>
                <w:rFonts w:cs="Times New Roman"/>
                <w:sz w:val="20"/>
                <w:szCs w:val="20"/>
              </w:rPr>
            </w:pPr>
          </w:p>
          <w:p w:rsidR="00D53465" w:rsidRDefault="00D53465" w:rsidP="0095096B">
            <w:pPr>
              <w:jc w:val="center"/>
              <w:rPr>
                <w:rFonts w:cs="Times New Roman"/>
                <w:sz w:val="20"/>
                <w:szCs w:val="20"/>
              </w:rPr>
            </w:pPr>
          </w:p>
          <w:p w:rsidR="0095096B" w:rsidRPr="002E2327" w:rsidRDefault="00661748" w:rsidP="0095096B">
            <w:pPr>
              <w:jc w:val="center"/>
              <w:rPr>
                <w:rFonts w:cs="Times New Roman"/>
                <w:sz w:val="20"/>
                <w:szCs w:val="20"/>
              </w:rPr>
            </w:pPr>
            <w:r>
              <w:rPr>
                <w:rFonts w:cs="Times New Roman"/>
                <w:sz w:val="20"/>
                <w:szCs w:val="20"/>
              </w:rPr>
              <w:t xml:space="preserve">1528 </w:t>
            </w:r>
            <w:r w:rsidR="0095096B" w:rsidRPr="002E2327">
              <w:rPr>
                <w:rFonts w:cs="Times New Roman"/>
                <w:sz w:val="20"/>
                <w:szCs w:val="20"/>
              </w:rPr>
              <w:t>-</w:t>
            </w:r>
            <w:r>
              <w:rPr>
                <w:rFonts w:cs="Times New Roman"/>
                <w:sz w:val="20"/>
                <w:szCs w:val="20"/>
              </w:rPr>
              <w:t xml:space="preserve"> 1548</w:t>
            </w:r>
          </w:p>
          <w:p w:rsidR="0095096B" w:rsidRPr="002E2327" w:rsidRDefault="0095096B" w:rsidP="0095096B">
            <w:pPr>
              <w:jc w:val="center"/>
              <w:rPr>
                <w:rFonts w:cs="Times New Roman"/>
                <w:sz w:val="20"/>
                <w:szCs w:val="20"/>
              </w:rPr>
            </w:pPr>
          </w:p>
          <w:p w:rsidR="0095096B" w:rsidRPr="002E2327" w:rsidRDefault="00661748" w:rsidP="0095096B">
            <w:pPr>
              <w:jc w:val="center"/>
              <w:rPr>
                <w:rFonts w:cs="Times New Roman"/>
                <w:sz w:val="20"/>
                <w:szCs w:val="20"/>
              </w:rPr>
            </w:pPr>
            <w:r>
              <w:rPr>
                <w:rFonts w:cs="Times New Roman"/>
                <w:sz w:val="20"/>
                <w:szCs w:val="20"/>
              </w:rPr>
              <w:t>1549</w:t>
            </w:r>
          </w:p>
          <w:p w:rsidR="00D53465" w:rsidRPr="002E2327" w:rsidRDefault="00D53465" w:rsidP="0095096B">
            <w:pPr>
              <w:jc w:val="center"/>
              <w:rPr>
                <w:rFonts w:cs="Times New Roman"/>
                <w:sz w:val="20"/>
                <w:szCs w:val="20"/>
              </w:rPr>
            </w:pPr>
          </w:p>
          <w:p w:rsidR="0095096B" w:rsidRPr="002E2327" w:rsidRDefault="00661748" w:rsidP="0095096B">
            <w:pPr>
              <w:jc w:val="center"/>
              <w:rPr>
                <w:rFonts w:cs="Times New Roman"/>
                <w:sz w:val="20"/>
                <w:szCs w:val="20"/>
              </w:rPr>
            </w:pPr>
            <w:r>
              <w:rPr>
                <w:rFonts w:cs="Times New Roman"/>
                <w:sz w:val="20"/>
                <w:szCs w:val="20"/>
              </w:rPr>
              <w:t xml:space="preserve">1550 </w:t>
            </w:r>
            <w:r w:rsidR="0095096B" w:rsidRPr="002E2327">
              <w:rPr>
                <w:rFonts w:cs="Times New Roman"/>
                <w:sz w:val="20"/>
                <w:szCs w:val="20"/>
              </w:rPr>
              <w:t>-</w:t>
            </w:r>
            <w:r>
              <w:rPr>
                <w:rFonts w:cs="Times New Roman"/>
                <w:sz w:val="20"/>
                <w:szCs w:val="20"/>
              </w:rPr>
              <w:t xml:space="preserve"> 1568</w:t>
            </w:r>
          </w:p>
          <w:p w:rsidR="00E32432" w:rsidRPr="002E2327" w:rsidRDefault="00E32432" w:rsidP="00D53465">
            <w:pPr>
              <w:jc w:val="center"/>
              <w:rPr>
                <w:rFonts w:cs="Times New Roman"/>
                <w:sz w:val="20"/>
                <w:szCs w:val="20"/>
              </w:rPr>
            </w:pPr>
          </w:p>
        </w:tc>
        <w:tc>
          <w:tcPr>
            <w:tcW w:w="3888" w:type="dxa"/>
          </w:tcPr>
          <w:p w:rsidR="0095096B" w:rsidRPr="002E2327" w:rsidRDefault="00857426"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A87207" w:rsidRPr="002E2327" w:rsidRDefault="0095096B" w:rsidP="00D53465">
            <w:pPr>
              <w:rPr>
                <w:rFonts w:cs="Times New Roman"/>
                <w:sz w:val="20"/>
                <w:szCs w:val="20"/>
                <w:lang w:val="fr-CA"/>
              </w:rPr>
            </w:pPr>
            <w:r w:rsidRPr="002E2327">
              <w:rPr>
                <w:rFonts w:cs="Times New Roman"/>
                <w:sz w:val="20"/>
                <w:szCs w:val="20"/>
                <w:lang w:val="fr-CA"/>
              </w:rPr>
              <w:t>Résumés des affaires</w:t>
            </w:r>
          </w:p>
        </w:tc>
      </w:tr>
    </w:tbl>
    <w:p w:rsidR="0095096B" w:rsidRDefault="0095096B" w:rsidP="0095096B">
      <w:pPr>
        <w:tabs>
          <w:tab w:val="right" w:pos="9360"/>
        </w:tabs>
        <w:rPr>
          <w:lang w:val="fr-CA"/>
        </w:rPr>
      </w:pPr>
    </w:p>
    <w:p w:rsidR="00E32432" w:rsidRDefault="00E32432" w:rsidP="0095096B">
      <w:pPr>
        <w:tabs>
          <w:tab w:val="right" w:pos="9360"/>
        </w:tabs>
        <w:rPr>
          <w:lang w:val="fr-CA"/>
        </w:rPr>
      </w:pPr>
    </w:p>
    <w:p w:rsidR="00E32432" w:rsidRDefault="00E32432" w:rsidP="0095096B">
      <w:pPr>
        <w:tabs>
          <w:tab w:val="right" w:pos="9360"/>
        </w:tabs>
        <w:rPr>
          <w:lang w:val="fr-CA"/>
        </w:rPr>
      </w:pPr>
    </w:p>
    <w:p w:rsidR="003C1082" w:rsidRDefault="003C1082" w:rsidP="0095096B">
      <w:pPr>
        <w:tabs>
          <w:tab w:val="right" w:pos="9360"/>
        </w:tabs>
        <w:rPr>
          <w:lang w:val="fr-CA"/>
        </w:rPr>
      </w:pPr>
    </w:p>
    <w:p w:rsidR="003C1082" w:rsidRDefault="003C1082" w:rsidP="0095096B">
      <w:pPr>
        <w:tabs>
          <w:tab w:val="right" w:pos="9360"/>
        </w:tabs>
        <w:rPr>
          <w:lang w:val="fr-CA"/>
        </w:rPr>
      </w:pPr>
    </w:p>
    <w:p w:rsidR="003C1082" w:rsidRPr="00195C27" w:rsidRDefault="003C1082" w:rsidP="0095096B">
      <w:pPr>
        <w:tabs>
          <w:tab w:val="right" w:pos="9360"/>
        </w:tabs>
        <w:rPr>
          <w:lang w:val="fr-CA"/>
        </w:rPr>
      </w:pPr>
    </w:p>
    <w:tbl>
      <w:tblPr>
        <w:tblStyle w:val="TableGrid"/>
        <w:tblW w:w="0" w:type="auto"/>
        <w:tblLook w:val="04A0"/>
      </w:tblPr>
      <w:tblGrid>
        <w:gridCol w:w="9576"/>
      </w:tblGrid>
      <w:tr w:rsidR="0079724F" w:rsidRPr="001C2F5E"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4D4629" w:rsidTr="007F31BE">
        <w:trPr>
          <w:cantSplit/>
        </w:trPr>
        <w:tc>
          <w:tcPr>
            <w:tcW w:w="4320" w:type="dxa"/>
            <w:shd w:val="clear" w:color="auto" w:fill="auto"/>
          </w:tcPr>
          <w:p w:rsidR="00242AEE" w:rsidRPr="0041579D" w:rsidRDefault="005C086A" w:rsidP="004D4629">
            <w:pPr>
              <w:rPr>
                <w:rFonts w:cs="Times New Roman"/>
                <w:b/>
                <w:sz w:val="20"/>
                <w:szCs w:val="20"/>
                <w:lang w:val="fr-CA"/>
              </w:rPr>
            </w:pPr>
            <w:proofErr w:type="spellStart"/>
            <w:r w:rsidRPr="0041579D">
              <w:rPr>
                <w:rFonts w:cs="Times New Roman"/>
                <w:b/>
                <w:sz w:val="20"/>
                <w:szCs w:val="20"/>
                <w:lang w:val="fr-CA"/>
              </w:rPr>
              <w:t>Aumita</w:t>
            </w:r>
            <w:proofErr w:type="spellEnd"/>
            <w:r w:rsidRPr="0041579D">
              <w:rPr>
                <w:rFonts w:cs="Times New Roman"/>
                <w:b/>
                <w:sz w:val="20"/>
                <w:szCs w:val="20"/>
                <w:lang w:val="fr-CA"/>
              </w:rPr>
              <w:t xml:space="preserve"> Bose</w:t>
            </w:r>
          </w:p>
          <w:p w:rsidR="00242AEE" w:rsidRPr="004D4629" w:rsidRDefault="00242AEE" w:rsidP="004D4629">
            <w:pPr>
              <w:tabs>
                <w:tab w:val="left" w:pos="-1440"/>
                <w:tab w:val="left" w:pos="-720"/>
              </w:tabs>
              <w:rPr>
                <w:rFonts w:cs="Times New Roman"/>
                <w:sz w:val="20"/>
                <w:szCs w:val="20"/>
                <w:lang w:val="fr-CA"/>
              </w:rPr>
            </w:pPr>
            <w:r w:rsidRPr="0041579D">
              <w:rPr>
                <w:rFonts w:cs="Times New Roman"/>
                <w:sz w:val="20"/>
                <w:szCs w:val="20"/>
                <w:lang w:val="fr-CA"/>
              </w:rPr>
              <w:tab/>
            </w:r>
            <w:proofErr w:type="spellStart"/>
            <w:r w:rsidR="005C086A">
              <w:rPr>
                <w:rFonts w:cs="Times New Roman"/>
                <w:sz w:val="20"/>
                <w:szCs w:val="20"/>
                <w:lang w:val="fr-CA"/>
              </w:rPr>
              <w:t>Aumita</w:t>
            </w:r>
            <w:proofErr w:type="spellEnd"/>
            <w:r w:rsidR="005C086A">
              <w:rPr>
                <w:rFonts w:cs="Times New Roman"/>
                <w:sz w:val="20"/>
                <w:szCs w:val="20"/>
                <w:lang w:val="fr-CA"/>
              </w:rPr>
              <w:t xml:space="preserve"> Bose</w:t>
            </w:r>
          </w:p>
          <w:p w:rsidR="00242AEE" w:rsidRPr="004D4629" w:rsidRDefault="00242AEE" w:rsidP="004D4629">
            <w:pPr>
              <w:tabs>
                <w:tab w:val="left" w:pos="-1440"/>
                <w:tab w:val="left" w:pos="-720"/>
              </w:tabs>
              <w:rPr>
                <w:rFonts w:cs="Times New Roman"/>
                <w:sz w:val="20"/>
                <w:szCs w:val="20"/>
                <w:lang w:val="fr-CA"/>
              </w:rPr>
            </w:pPr>
          </w:p>
          <w:p w:rsidR="00242AEE" w:rsidRPr="004D4629" w:rsidRDefault="00242AEE" w:rsidP="004D4629">
            <w:pPr>
              <w:tabs>
                <w:tab w:val="left" w:pos="-1440"/>
                <w:tab w:val="left" w:pos="-720"/>
              </w:tabs>
              <w:rPr>
                <w:rFonts w:cs="Times New Roman"/>
                <w:sz w:val="20"/>
                <w:szCs w:val="20"/>
                <w:lang w:val="fr-CA"/>
              </w:rPr>
            </w:pPr>
            <w:r w:rsidRPr="004D4629">
              <w:rPr>
                <w:rFonts w:cs="Times New Roman"/>
                <w:sz w:val="20"/>
                <w:szCs w:val="20"/>
                <w:lang w:val="fr-CA"/>
              </w:rPr>
              <w:tab/>
            </w:r>
            <w:r w:rsidR="00195C27" w:rsidRPr="004D4629">
              <w:rPr>
                <w:rFonts w:cs="Times New Roman"/>
                <w:sz w:val="20"/>
                <w:szCs w:val="20"/>
                <w:lang w:val="fr-CA"/>
              </w:rPr>
              <w:t>c</w:t>
            </w:r>
            <w:r w:rsidRPr="004D4629">
              <w:rPr>
                <w:rFonts w:cs="Times New Roman"/>
                <w:sz w:val="20"/>
                <w:szCs w:val="20"/>
                <w:lang w:val="fr-CA"/>
              </w:rPr>
              <w:t>. (33</w:t>
            </w:r>
            <w:r w:rsidR="00195C27" w:rsidRPr="004D4629">
              <w:rPr>
                <w:rFonts w:cs="Times New Roman"/>
                <w:sz w:val="20"/>
                <w:szCs w:val="20"/>
                <w:lang w:val="fr-CA"/>
              </w:rPr>
              <w:t>9</w:t>
            </w:r>
            <w:r w:rsidR="005C086A">
              <w:rPr>
                <w:rFonts w:cs="Times New Roman"/>
                <w:sz w:val="20"/>
                <w:szCs w:val="20"/>
                <w:lang w:val="fr-CA"/>
              </w:rPr>
              <w:t>29</w:t>
            </w:r>
            <w:r w:rsidRPr="004D4629">
              <w:rPr>
                <w:rFonts w:cs="Times New Roman"/>
                <w:sz w:val="20"/>
                <w:szCs w:val="20"/>
                <w:lang w:val="fr-CA"/>
              </w:rPr>
              <w:t>)</w:t>
            </w:r>
          </w:p>
          <w:p w:rsidR="00242AEE" w:rsidRPr="004D4629" w:rsidRDefault="00242AEE" w:rsidP="004D4629">
            <w:pPr>
              <w:tabs>
                <w:tab w:val="left" w:pos="-1440"/>
                <w:tab w:val="left" w:pos="-720"/>
              </w:tabs>
              <w:rPr>
                <w:rFonts w:cs="Times New Roman"/>
                <w:sz w:val="20"/>
                <w:szCs w:val="20"/>
                <w:lang w:val="fr-CA"/>
              </w:rPr>
            </w:pPr>
          </w:p>
          <w:p w:rsidR="00242AEE" w:rsidRPr="004D4629" w:rsidRDefault="005C086A" w:rsidP="004D4629">
            <w:pPr>
              <w:tabs>
                <w:tab w:val="left" w:pos="-1440"/>
                <w:tab w:val="left" w:pos="-720"/>
              </w:tabs>
              <w:rPr>
                <w:rFonts w:cs="Times New Roman"/>
                <w:b/>
                <w:sz w:val="20"/>
                <w:szCs w:val="20"/>
                <w:lang w:val="fr-CA"/>
              </w:rPr>
            </w:pPr>
            <w:r>
              <w:rPr>
                <w:rFonts w:cs="Times New Roman"/>
                <w:b/>
                <w:sz w:val="20"/>
                <w:szCs w:val="20"/>
                <w:lang w:val="fr-CA"/>
              </w:rPr>
              <w:t>Sa Majesté la Reine</w:t>
            </w:r>
            <w:r w:rsidR="00242AEE" w:rsidRPr="004D4629">
              <w:rPr>
                <w:rFonts w:cs="Times New Roman"/>
                <w:b/>
                <w:sz w:val="20"/>
                <w:szCs w:val="20"/>
                <w:lang w:val="fr-CA"/>
              </w:rPr>
              <w:t xml:space="preserve"> (</w:t>
            </w:r>
            <w:proofErr w:type="spellStart"/>
            <w:r w:rsidR="00195C27" w:rsidRPr="004D4629">
              <w:rPr>
                <w:rFonts w:cs="Times New Roman"/>
                <w:b/>
                <w:sz w:val="20"/>
                <w:szCs w:val="20"/>
                <w:lang w:val="fr-CA"/>
              </w:rPr>
              <w:t>Qc</w:t>
            </w:r>
            <w:proofErr w:type="spellEnd"/>
            <w:r w:rsidR="00242AEE" w:rsidRPr="004D4629">
              <w:rPr>
                <w:rFonts w:cs="Times New Roman"/>
                <w:b/>
                <w:sz w:val="20"/>
                <w:szCs w:val="20"/>
                <w:lang w:val="fr-CA"/>
              </w:rPr>
              <w:t>)</w:t>
            </w:r>
          </w:p>
          <w:p w:rsidR="00242AEE" w:rsidRPr="004D4629" w:rsidRDefault="00242AEE" w:rsidP="004D4629">
            <w:pPr>
              <w:tabs>
                <w:tab w:val="left" w:pos="-1440"/>
                <w:tab w:val="left" w:pos="-720"/>
              </w:tabs>
              <w:rPr>
                <w:rFonts w:cs="Times New Roman"/>
                <w:sz w:val="20"/>
                <w:szCs w:val="20"/>
                <w:lang w:val="fr-CA"/>
              </w:rPr>
            </w:pPr>
            <w:r w:rsidRPr="004D4629">
              <w:rPr>
                <w:rFonts w:cs="Times New Roman"/>
                <w:sz w:val="20"/>
                <w:szCs w:val="20"/>
                <w:lang w:val="fr-CA"/>
              </w:rPr>
              <w:tab/>
            </w:r>
            <w:r w:rsidR="005C086A">
              <w:rPr>
                <w:rFonts w:cs="Times New Roman"/>
                <w:sz w:val="20"/>
                <w:szCs w:val="20"/>
                <w:lang w:val="fr-CA"/>
              </w:rPr>
              <w:t>Pierre Desrosiers</w:t>
            </w:r>
          </w:p>
          <w:p w:rsidR="00242AEE" w:rsidRPr="004D4629" w:rsidRDefault="00242AEE" w:rsidP="004D4629">
            <w:pPr>
              <w:tabs>
                <w:tab w:val="left" w:pos="-1440"/>
                <w:tab w:val="left" w:pos="-720"/>
              </w:tabs>
              <w:rPr>
                <w:rFonts w:cs="Times New Roman"/>
                <w:sz w:val="20"/>
                <w:szCs w:val="20"/>
                <w:lang w:val="fr-CA"/>
              </w:rPr>
            </w:pPr>
            <w:r w:rsidRPr="004D4629">
              <w:rPr>
                <w:rFonts w:cs="Times New Roman"/>
                <w:sz w:val="20"/>
                <w:szCs w:val="20"/>
                <w:lang w:val="fr-CA"/>
              </w:rPr>
              <w:tab/>
            </w:r>
            <w:r w:rsidR="005C086A">
              <w:rPr>
                <w:rFonts w:cs="Times New Roman"/>
                <w:sz w:val="20"/>
                <w:szCs w:val="20"/>
                <w:lang w:val="fr-CA"/>
              </w:rPr>
              <w:t>Directeur des poursuites criminelle</w:t>
            </w:r>
            <w:r w:rsidR="008362F4">
              <w:rPr>
                <w:rFonts w:cs="Times New Roman"/>
                <w:sz w:val="20"/>
                <w:szCs w:val="20"/>
                <w:lang w:val="fr-CA"/>
              </w:rPr>
              <w:t>s</w:t>
            </w:r>
            <w:r w:rsidR="005C086A">
              <w:rPr>
                <w:rFonts w:cs="Times New Roman"/>
                <w:sz w:val="20"/>
                <w:szCs w:val="20"/>
                <w:lang w:val="fr-CA"/>
              </w:rPr>
              <w:t xml:space="preserve"> et </w:t>
            </w:r>
            <w:r w:rsidR="005C086A">
              <w:rPr>
                <w:rFonts w:cs="Times New Roman"/>
                <w:sz w:val="20"/>
                <w:szCs w:val="20"/>
                <w:lang w:val="fr-CA"/>
              </w:rPr>
              <w:tab/>
              <w:t>pénales du Québec</w:t>
            </w:r>
          </w:p>
          <w:p w:rsidR="00242AEE" w:rsidRPr="004D4629" w:rsidRDefault="00242AEE" w:rsidP="004D4629">
            <w:pPr>
              <w:tabs>
                <w:tab w:val="left" w:pos="-1440"/>
                <w:tab w:val="left" w:pos="-720"/>
              </w:tabs>
              <w:rPr>
                <w:rFonts w:cs="Times New Roman"/>
                <w:sz w:val="20"/>
                <w:szCs w:val="20"/>
                <w:lang w:val="fr-CA"/>
              </w:rPr>
            </w:pPr>
          </w:p>
          <w:p w:rsidR="00242AEE" w:rsidRDefault="00242AEE" w:rsidP="004D4629">
            <w:pPr>
              <w:rPr>
                <w:rFonts w:cs="Times New Roman"/>
                <w:sz w:val="20"/>
                <w:szCs w:val="20"/>
                <w:lang w:val="fr-CA"/>
              </w:rPr>
            </w:pPr>
            <w:r w:rsidRPr="004D4629">
              <w:rPr>
                <w:rFonts w:cs="Times New Roman"/>
                <w:sz w:val="20"/>
                <w:szCs w:val="20"/>
                <w:lang w:val="fr-CA"/>
              </w:rPr>
              <w:t>DATE</w:t>
            </w:r>
            <w:r w:rsidR="00195C27" w:rsidRPr="004D4629">
              <w:rPr>
                <w:rFonts w:cs="Times New Roman"/>
                <w:sz w:val="20"/>
                <w:szCs w:val="20"/>
                <w:lang w:val="fr-CA"/>
              </w:rPr>
              <w:t xml:space="preserve"> DE PRODUCTION </w:t>
            </w:r>
            <w:r w:rsidRPr="004D4629">
              <w:rPr>
                <w:rFonts w:cs="Times New Roman"/>
                <w:sz w:val="20"/>
                <w:szCs w:val="20"/>
                <w:lang w:val="fr-CA"/>
              </w:rPr>
              <w:t xml:space="preserve">: </w:t>
            </w:r>
            <w:r w:rsidR="00195C27" w:rsidRPr="004D4629">
              <w:rPr>
                <w:rFonts w:cs="Times New Roman"/>
                <w:sz w:val="20"/>
                <w:szCs w:val="20"/>
                <w:lang w:val="fr-CA"/>
              </w:rPr>
              <w:t>1</w:t>
            </w:r>
            <w:r w:rsidR="005C086A">
              <w:rPr>
                <w:rFonts w:cs="Times New Roman"/>
                <w:sz w:val="20"/>
                <w:szCs w:val="20"/>
                <w:lang w:val="fr-CA"/>
              </w:rPr>
              <w:t>6</w:t>
            </w:r>
            <w:r w:rsidR="00195C27" w:rsidRPr="004D4629">
              <w:rPr>
                <w:rFonts w:cs="Times New Roman"/>
                <w:sz w:val="20"/>
                <w:szCs w:val="20"/>
                <w:lang w:val="fr-CA"/>
              </w:rPr>
              <w:t>.0</w:t>
            </w:r>
            <w:r w:rsidR="005C086A">
              <w:rPr>
                <w:rFonts w:cs="Times New Roman"/>
                <w:sz w:val="20"/>
                <w:szCs w:val="20"/>
                <w:lang w:val="fr-CA"/>
              </w:rPr>
              <w:t>9</w:t>
            </w:r>
            <w:r w:rsidR="00195C27" w:rsidRPr="004D4629">
              <w:rPr>
                <w:rFonts w:cs="Times New Roman"/>
                <w:sz w:val="20"/>
                <w:szCs w:val="20"/>
                <w:lang w:val="fr-CA"/>
              </w:rPr>
              <w:t>.2010</w:t>
            </w:r>
          </w:p>
          <w:p w:rsidR="00242AEE" w:rsidRPr="004D4629" w:rsidRDefault="00857426" w:rsidP="004D4629">
            <w:pPr>
              <w:rPr>
                <w:rFonts w:cs="Times New Roman"/>
                <w:sz w:val="20"/>
                <w:szCs w:val="20"/>
                <w:lang w:val="fr-CA"/>
              </w:rPr>
            </w:pPr>
            <w:r w:rsidRPr="00857426">
              <w:rPr>
                <w:rFonts w:cs="Times New Roman"/>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4D4629" w:rsidRDefault="00242AEE" w:rsidP="00242AEE">
            <w:pPr>
              <w:jc w:val="center"/>
              <w:rPr>
                <w:rFonts w:cs="Times New Roman"/>
                <w:sz w:val="20"/>
                <w:szCs w:val="20"/>
                <w:lang w:val="fr-CA"/>
              </w:rPr>
            </w:pPr>
          </w:p>
          <w:p w:rsidR="00242AEE" w:rsidRPr="004D4629" w:rsidRDefault="00242AEE" w:rsidP="00242AEE">
            <w:pPr>
              <w:jc w:val="center"/>
              <w:rPr>
                <w:rFonts w:cs="Times New Roman"/>
                <w:sz w:val="20"/>
                <w:szCs w:val="20"/>
                <w:lang w:val="fr-CA"/>
              </w:rPr>
            </w:pPr>
          </w:p>
          <w:p w:rsidR="00242AEE" w:rsidRPr="004D4629" w:rsidRDefault="00242AEE" w:rsidP="00242AEE">
            <w:pPr>
              <w:jc w:val="center"/>
              <w:rPr>
                <w:rFonts w:cs="Times New Roman"/>
                <w:sz w:val="20"/>
                <w:szCs w:val="20"/>
                <w:lang w:val="fr-CA"/>
              </w:rPr>
            </w:pPr>
          </w:p>
          <w:p w:rsidR="00242AEE" w:rsidRPr="004D4629" w:rsidRDefault="00242AEE" w:rsidP="00242AEE">
            <w:pPr>
              <w:jc w:val="center"/>
              <w:rPr>
                <w:rFonts w:cs="Times New Roman"/>
                <w:sz w:val="20"/>
                <w:szCs w:val="20"/>
                <w:lang w:val="fr-CA"/>
              </w:rPr>
            </w:pPr>
          </w:p>
          <w:p w:rsidR="00242AEE" w:rsidRPr="004D4629" w:rsidRDefault="00242AEE" w:rsidP="00242AEE">
            <w:pPr>
              <w:jc w:val="center"/>
              <w:rPr>
                <w:rFonts w:cs="Times New Roman"/>
                <w:sz w:val="20"/>
                <w:szCs w:val="20"/>
                <w:lang w:val="fr-CA"/>
              </w:rPr>
            </w:pPr>
          </w:p>
          <w:p w:rsidR="00242AEE" w:rsidRPr="004D4629" w:rsidRDefault="00242AEE" w:rsidP="00242AEE">
            <w:pPr>
              <w:jc w:val="center"/>
              <w:rPr>
                <w:rFonts w:cs="Times New Roman"/>
                <w:sz w:val="20"/>
                <w:szCs w:val="20"/>
                <w:lang w:val="fr-CA"/>
              </w:rPr>
            </w:pPr>
          </w:p>
          <w:p w:rsidR="00242AEE" w:rsidRPr="004D4629" w:rsidRDefault="00242AEE" w:rsidP="00242AEE">
            <w:pPr>
              <w:jc w:val="center"/>
              <w:rPr>
                <w:rFonts w:cs="Times New Roman"/>
                <w:sz w:val="20"/>
                <w:szCs w:val="20"/>
                <w:lang w:val="fr-CA"/>
              </w:rPr>
            </w:pPr>
          </w:p>
          <w:p w:rsidR="00242AEE" w:rsidRPr="004D4629" w:rsidRDefault="00242AEE" w:rsidP="00242AEE">
            <w:pPr>
              <w:jc w:val="center"/>
              <w:rPr>
                <w:rFonts w:cs="Times New Roman"/>
                <w:sz w:val="20"/>
                <w:szCs w:val="20"/>
                <w:lang w:val="fr-CA"/>
              </w:rPr>
            </w:pPr>
          </w:p>
          <w:p w:rsidR="00242AEE" w:rsidRPr="004D4629" w:rsidRDefault="00242AEE" w:rsidP="00242AEE">
            <w:pPr>
              <w:jc w:val="center"/>
              <w:rPr>
                <w:rFonts w:cs="Times New Roman"/>
                <w:sz w:val="20"/>
                <w:szCs w:val="20"/>
                <w:lang w:val="fr-CA"/>
              </w:rPr>
            </w:pPr>
          </w:p>
          <w:p w:rsidR="00242AEE" w:rsidRPr="004D4629" w:rsidRDefault="00242AEE" w:rsidP="00242AEE">
            <w:pPr>
              <w:jc w:val="center"/>
              <w:rPr>
                <w:rFonts w:cs="Times New Roman"/>
                <w:sz w:val="20"/>
                <w:szCs w:val="20"/>
                <w:lang w:val="fr-CA"/>
              </w:rPr>
            </w:pPr>
          </w:p>
          <w:p w:rsidR="00242AEE" w:rsidRPr="004D4629" w:rsidRDefault="00242AEE" w:rsidP="00242AEE">
            <w:pPr>
              <w:jc w:val="center"/>
              <w:rPr>
                <w:rFonts w:cs="Times New Roman"/>
                <w:sz w:val="20"/>
                <w:szCs w:val="20"/>
                <w:lang w:val="fr-CA"/>
              </w:rPr>
            </w:pPr>
          </w:p>
          <w:p w:rsidR="00242AEE" w:rsidRPr="004D4629" w:rsidRDefault="00242AEE" w:rsidP="00242AEE">
            <w:pPr>
              <w:jc w:val="center"/>
              <w:rPr>
                <w:rFonts w:cs="Times New Roman"/>
                <w:sz w:val="20"/>
                <w:szCs w:val="20"/>
                <w:lang w:val="fr-CA"/>
              </w:rPr>
            </w:pPr>
          </w:p>
          <w:p w:rsidR="00242AEE" w:rsidRPr="004D4629" w:rsidRDefault="00242AEE" w:rsidP="00242AEE">
            <w:pPr>
              <w:jc w:val="center"/>
              <w:rPr>
                <w:rFonts w:cs="Times New Roman"/>
                <w:sz w:val="20"/>
                <w:szCs w:val="20"/>
                <w:lang w:val="fr-CA"/>
              </w:rPr>
            </w:pPr>
          </w:p>
        </w:tc>
        <w:tc>
          <w:tcPr>
            <w:tcW w:w="4320" w:type="dxa"/>
            <w:shd w:val="clear" w:color="auto" w:fill="auto"/>
          </w:tcPr>
          <w:p w:rsidR="005C086A" w:rsidRPr="005C086A" w:rsidRDefault="005C086A" w:rsidP="005C086A">
            <w:pPr>
              <w:rPr>
                <w:rFonts w:cs="Times New Roman"/>
                <w:b/>
                <w:sz w:val="20"/>
                <w:szCs w:val="20"/>
                <w:lang w:val="fr-CA"/>
              </w:rPr>
            </w:pPr>
            <w:r w:rsidRPr="005C086A">
              <w:rPr>
                <w:rFonts w:cs="Times New Roman"/>
                <w:b/>
                <w:sz w:val="20"/>
                <w:szCs w:val="20"/>
                <w:lang w:val="fr-CA"/>
              </w:rPr>
              <w:t xml:space="preserve">9041-7783 Québec </w:t>
            </w:r>
            <w:proofErr w:type="spellStart"/>
            <w:r w:rsidRPr="005C086A">
              <w:rPr>
                <w:rFonts w:cs="Times New Roman"/>
                <w:b/>
                <w:sz w:val="20"/>
                <w:szCs w:val="20"/>
                <w:lang w:val="fr-CA"/>
              </w:rPr>
              <w:t>inc</w:t>
            </w:r>
            <w:proofErr w:type="spellEnd"/>
            <w:r w:rsidRPr="005C086A">
              <w:rPr>
                <w:rFonts w:cs="Times New Roman"/>
                <w:b/>
                <w:sz w:val="20"/>
                <w:szCs w:val="20"/>
                <w:lang w:val="fr-CA"/>
              </w:rPr>
              <w:t>. et autre</w:t>
            </w:r>
          </w:p>
          <w:p w:rsidR="005C086A" w:rsidRPr="004D4629" w:rsidRDefault="005C086A" w:rsidP="005C086A">
            <w:pPr>
              <w:tabs>
                <w:tab w:val="left" w:pos="-1440"/>
                <w:tab w:val="left" w:pos="-720"/>
              </w:tabs>
              <w:rPr>
                <w:rFonts w:cs="Times New Roman"/>
                <w:sz w:val="20"/>
                <w:szCs w:val="20"/>
                <w:lang w:val="fr-CA"/>
              </w:rPr>
            </w:pPr>
            <w:r w:rsidRPr="005C086A">
              <w:rPr>
                <w:rFonts w:cs="Times New Roman"/>
                <w:sz w:val="20"/>
                <w:szCs w:val="20"/>
                <w:lang w:val="fr-CA"/>
              </w:rPr>
              <w:tab/>
            </w:r>
            <w:r w:rsidRPr="004D4629">
              <w:rPr>
                <w:rFonts w:cs="Times New Roman"/>
                <w:sz w:val="20"/>
                <w:szCs w:val="20"/>
                <w:lang w:val="fr-CA"/>
              </w:rPr>
              <w:t>Luc Giroux</w:t>
            </w:r>
          </w:p>
          <w:p w:rsidR="005C086A" w:rsidRPr="004D4629" w:rsidRDefault="005C086A" w:rsidP="005C086A">
            <w:pPr>
              <w:tabs>
                <w:tab w:val="left" w:pos="-1440"/>
                <w:tab w:val="left" w:pos="-720"/>
              </w:tabs>
              <w:rPr>
                <w:rFonts w:cs="Times New Roman"/>
                <w:sz w:val="20"/>
                <w:szCs w:val="20"/>
                <w:lang w:val="fr-CA"/>
              </w:rPr>
            </w:pPr>
            <w:r w:rsidRPr="004D4629">
              <w:rPr>
                <w:rFonts w:cs="Times New Roman"/>
                <w:sz w:val="20"/>
                <w:szCs w:val="20"/>
                <w:lang w:val="fr-CA"/>
              </w:rPr>
              <w:tab/>
              <w:t xml:space="preserve">Fraser Milner </w:t>
            </w:r>
            <w:proofErr w:type="spellStart"/>
            <w:r w:rsidRPr="004D4629">
              <w:rPr>
                <w:rFonts w:cs="Times New Roman"/>
                <w:sz w:val="20"/>
                <w:szCs w:val="20"/>
                <w:lang w:val="fr-CA"/>
              </w:rPr>
              <w:t>Casgrain</w:t>
            </w:r>
            <w:proofErr w:type="spellEnd"/>
            <w:r w:rsidRPr="004D4629">
              <w:rPr>
                <w:rFonts w:cs="Times New Roman"/>
                <w:sz w:val="20"/>
                <w:szCs w:val="20"/>
                <w:lang w:val="fr-CA"/>
              </w:rPr>
              <w:t xml:space="preserve"> </w:t>
            </w:r>
            <w:proofErr w:type="spellStart"/>
            <w:r w:rsidRPr="004D4629">
              <w:rPr>
                <w:rFonts w:cs="Times New Roman"/>
                <w:sz w:val="20"/>
                <w:szCs w:val="20"/>
                <w:lang w:val="fr-CA"/>
              </w:rPr>
              <w:t>s.r.l</w:t>
            </w:r>
            <w:proofErr w:type="spellEnd"/>
            <w:r w:rsidRPr="004D4629">
              <w:rPr>
                <w:rFonts w:cs="Times New Roman"/>
                <w:sz w:val="20"/>
                <w:szCs w:val="20"/>
                <w:lang w:val="fr-CA"/>
              </w:rPr>
              <w:t>.</w:t>
            </w:r>
          </w:p>
          <w:p w:rsidR="005C086A" w:rsidRPr="004D4629" w:rsidRDefault="005C086A" w:rsidP="005C086A">
            <w:pPr>
              <w:tabs>
                <w:tab w:val="left" w:pos="-1440"/>
                <w:tab w:val="left" w:pos="-720"/>
              </w:tabs>
              <w:rPr>
                <w:rFonts w:cs="Times New Roman"/>
                <w:sz w:val="20"/>
                <w:szCs w:val="20"/>
                <w:lang w:val="fr-CA"/>
              </w:rPr>
            </w:pPr>
          </w:p>
          <w:p w:rsidR="005C086A" w:rsidRPr="005C086A" w:rsidRDefault="005C086A" w:rsidP="005C086A">
            <w:pPr>
              <w:tabs>
                <w:tab w:val="left" w:pos="-1440"/>
                <w:tab w:val="left" w:pos="-720"/>
              </w:tabs>
              <w:rPr>
                <w:rFonts w:cs="Times New Roman"/>
                <w:sz w:val="20"/>
                <w:szCs w:val="20"/>
              </w:rPr>
            </w:pPr>
            <w:r w:rsidRPr="004D4629">
              <w:rPr>
                <w:rFonts w:cs="Times New Roman"/>
                <w:sz w:val="20"/>
                <w:szCs w:val="20"/>
                <w:lang w:val="fr-CA"/>
              </w:rPr>
              <w:tab/>
            </w:r>
            <w:r w:rsidRPr="005C086A">
              <w:rPr>
                <w:rFonts w:cs="Times New Roman"/>
                <w:sz w:val="20"/>
                <w:szCs w:val="20"/>
              </w:rPr>
              <w:t>c. (33905)</w:t>
            </w:r>
          </w:p>
          <w:p w:rsidR="005C086A" w:rsidRPr="005C086A" w:rsidRDefault="005C086A" w:rsidP="005C086A">
            <w:pPr>
              <w:tabs>
                <w:tab w:val="left" w:pos="-1440"/>
                <w:tab w:val="left" w:pos="-720"/>
              </w:tabs>
              <w:rPr>
                <w:rFonts w:cs="Times New Roman"/>
                <w:sz w:val="20"/>
                <w:szCs w:val="20"/>
              </w:rPr>
            </w:pPr>
          </w:p>
          <w:p w:rsidR="005C086A" w:rsidRPr="005C086A" w:rsidRDefault="005C086A" w:rsidP="005C086A">
            <w:pPr>
              <w:tabs>
                <w:tab w:val="left" w:pos="-1440"/>
                <w:tab w:val="left" w:pos="-720"/>
              </w:tabs>
              <w:rPr>
                <w:rFonts w:cs="Times New Roman"/>
                <w:b/>
                <w:sz w:val="20"/>
                <w:szCs w:val="20"/>
              </w:rPr>
            </w:pPr>
            <w:proofErr w:type="spellStart"/>
            <w:r w:rsidRPr="005C086A">
              <w:rPr>
                <w:rFonts w:cs="Times New Roman"/>
                <w:b/>
                <w:sz w:val="20"/>
                <w:szCs w:val="20"/>
              </w:rPr>
              <w:t>Manioli</w:t>
            </w:r>
            <w:proofErr w:type="spellEnd"/>
            <w:r w:rsidRPr="005C086A">
              <w:rPr>
                <w:rFonts w:cs="Times New Roman"/>
                <w:b/>
                <w:sz w:val="20"/>
                <w:szCs w:val="20"/>
              </w:rPr>
              <w:t xml:space="preserve"> Investments inc. (Qc)</w:t>
            </w:r>
          </w:p>
          <w:p w:rsidR="005C086A" w:rsidRPr="004D4629" w:rsidRDefault="005C086A" w:rsidP="005C086A">
            <w:pPr>
              <w:tabs>
                <w:tab w:val="left" w:pos="-1440"/>
                <w:tab w:val="left" w:pos="-720"/>
              </w:tabs>
              <w:rPr>
                <w:rFonts w:cs="Times New Roman"/>
                <w:sz w:val="20"/>
                <w:szCs w:val="20"/>
                <w:lang w:val="fr-CA"/>
              </w:rPr>
            </w:pPr>
            <w:r w:rsidRPr="005C086A">
              <w:rPr>
                <w:rFonts w:cs="Times New Roman"/>
                <w:sz w:val="20"/>
                <w:szCs w:val="20"/>
              </w:rPr>
              <w:tab/>
            </w:r>
            <w:r w:rsidRPr="004D4629">
              <w:rPr>
                <w:rFonts w:cs="Times New Roman"/>
                <w:sz w:val="20"/>
                <w:szCs w:val="20"/>
                <w:lang w:val="fr-CA"/>
              </w:rPr>
              <w:t>Raymond Gagnon</w:t>
            </w:r>
          </w:p>
          <w:p w:rsidR="005C086A" w:rsidRPr="004D4629" w:rsidRDefault="005C086A" w:rsidP="005C086A">
            <w:pPr>
              <w:tabs>
                <w:tab w:val="left" w:pos="-1440"/>
                <w:tab w:val="left" w:pos="-720"/>
              </w:tabs>
              <w:rPr>
                <w:rFonts w:cs="Times New Roman"/>
                <w:sz w:val="20"/>
                <w:szCs w:val="20"/>
                <w:lang w:val="fr-CA"/>
              </w:rPr>
            </w:pPr>
            <w:r w:rsidRPr="004D4629">
              <w:rPr>
                <w:rFonts w:cs="Times New Roman"/>
                <w:sz w:val="20"/>
                <w:szCs w:val="20"/>
                <w:lang w:val="fr-CA"/>
              </w:rPr>
              <w:tab/>
              <w:t>Gagnon &amp; Brunet</w:t>
            </w:r>
          </w:p>
          <w:p w:rsidR="005C086A" w:rsidRPr="004D4629" w:rsidRDefault="005C086A" w:rsidP="005C086A">
            <w:pPr>
              <w:tabs>
                <w:tab w:val="left" w:pos="-1440"/>
                <w:tab w:val="left" w:pos="-720"/>
              </w:tabs>
              <w:rPr>
                <w:rFonts w:cs="Times New Roman"/>
                <w:sz w:val="20"/>
                <w:szCs w:val="20"/>
                <w:lang w:val="fr-CA"/>
              </w:rPr>
            </w:pPr>
          </w:p>
          <w:p w:rsidR="005C086A" w:rsidRDefault="005C086A" w:rsidP="005C086A">
            <w:pPr>
              <w:rPr>
                <w:rFonts w:cs="Times New Roman"/>
                <w:sz w:val="20"/>
                <w:szCs w:val="20"/>
                <w:lang w:val="fr-CA"/>
              </w:rPr>
            </w:pPr>
            <w:r w:rsidRPr="004D4629">
              <w:rPr>
                <w:rFonts w:cs="Times New Roman"/>
                <w:sz w:val="20"/>
                <w:szCs w:val="20"/>
                <w:lang w:val="fr-CA"/>
              </w:rPr>
              <w:t>DATE DE PRODUCTION : 18.10.2010</w:t>
            </w:r>
          </w:p>
          <w:p w:rsidR="00242AEE" w:rsidRPr="004D4629" w:rsidRDefault="00857426" w:rsidP="005C086A">
            <w:pPr>
              <w:rPr>
                <w:rFonts w:cs="Times New Roman"/>
                <w:sz w:val="20"/>
                <w:szCs w:val="20"/>
              </w:rPr>
            </w:pPr>
            <w:r w:rsidRPr="00857426">
              <w:rPr>
                <w:rFonts w:cs="Times New Roman"/>
                <w:sz w:val="20"/>
                <w:szCs w:val="20"/>
                <w:lang w:val="fr-CA"/>
              </w:rPr>
              <w:pict>
                <v:rect id="_x0000_i1026" style="width:108pt;height:1pt" o:hrpct="0" o:hralign="center" o:hrstd="t" o:hrnoshade="t" o:hr="t" fillcolor="black [3213]" stroked="f"/>
              </w:pict>
            </w:r>
          </w:p>
        </w:tc>
      </w:tr>
      <w:tr w:rsidR="005C086A" w:rsidRPr="004D4629" w:rsidTr="007F31BE">
        <w:trPr>
          <w:cantSplit/>
        </w:trPr>
        <w:tc>
          <w:tcPr>
            <w:tcW w:w="4320" w:type="dxa"/>
            <w:shd w:val="clear" w:color="auto" w:fill="auto"/>
          </w:tcPr>
          <w:p w:rsidR="005C086A" w:rsidRPr="005C086A" w:rsidRDefault="005C086A" w:rsidP="007F31BE">
            <w:pPr>
              <w:rPr>
                <w:rFonts w:cs="Times New Roman"/>
                <w:b/>
                <w:sz w:val="20"/>
                <w:szCs w:val="20"/>
                <w:lang w:val="fr-CA"/>
              </w:rPr>
            </w:pPr>
            <w:r>
              <w:rPr>
                <w:rFonts w:cs="Times New Roman"/>
                <w:b/>
                <w:sz w:val="20"/>
                <w:szCs w:val="20"/>
                <w:lang w:val="fr-CA"/>
              </w:rPr>
              <w:t>Linda Gibbons</w:t>
            </w:r>
          </w:p>
          <w:p w:rsidR="005C086A" w:rsidRPr="004D4629" w:rsidRDefault="005C086A" w:rsidP="007F31BE">
            <w:pPr>
              <w:tabs>
                <w:tab w:val="left" w:pos="-1440"/>
                <w:tab w:val="left" w:pos="-720"/>
              </w:tabs>
              <w:rPr>
                <w:rFonts w:cs="Times New Roman"/>
                <w:sz w:val="20"/>
                <w:szCs w:val="20"/>
                <w:lang w:val="fr-CA"/>
              </w:rPr>
            </w:pPr>
            <w:r w:rsidRPr="005C086A">
              <w:rPr>
                <w:rFonts w:cs="Times New Roman"/>
                <w:sz w:val="20"/>
                <w:szCs w:val="20"/>
                <w:lang w:val="fr-CA"/>
              </w:rPr>
              <w:tab/>
            </w:r>
            <w:r>
              <w:rPr>
                <w:rFonts w:cs="Times New Roman"/>
                <w:sz w:val="20"/>
                <w:szCs w:val="20"/>
                <w:lang w:val="fr-CA"/>
              </w:rPr>
              <w:t xml:space="preserve">Daniel C. </w:t>
            </w:r>
            <w:proofErr w:type="spellStart"/>
            <w:r>
              <w:rPr>
                <w:rFonts w:cs="Times New Roman"/>
                <w:sz w:val="20"/>
                <w:szCs w:val="20"/>
                <w:lang w:val="fr-CA"/>
              </w:rPr>
              <w:t>Santoro</w:t>
            </w:r>
            <w:proofErr w:type="spellEnd"/>
          </w:p>
          <w:p w:rsidR="005C086A" w:rsidRPr="004D4629" w:rsidRDefault="005C086A" w:rsidP="007F31BE">
            <w:pPr>
              <w:tabs>
                <w:tab w:val="left" w:pos="-1440"/>
                <w:tab w:val="left" w:pos="-720"/>
              </w:tabs>
              <w:rPr>
                <w:rFonts w:cs="Times New Roman"/>
                <w:sz w:val="20"/>
                <w:szCs w:val="20"/>
                <w:lang w:val="fr-CA"/>
              </w:rPr>
            </w:pPr>
            <w:r w:rsidRPr="004D4629">
              <w:rPr>
                <w:rFonts w:cs="Times New Roman"/>
                <w:sz w:val="20"/>
                <w:szCs w:val="20"/>
                <w:lang w:val="fr-CA"/>
              </w:rPr>
              <w:tab/>
            </w:r>
          </w:p>
          <w:p w:rsidR="005C086A" w:rsidRPr="0041579D" w:rsidRDefault="005C086A" w:rsidP="007F31BE">
            <w:pPr>
              <w:tabs>
                <w:tab w:val="left" w:pos="-1440"/>
                <w:tab w:val="left" w:pos="-720"/>
              </w:tabs>
              <w:rPr>
                <w:rFonts w:cs="Times New Roman"/>
                <w:sz w:val="20"/>
                <w:szCs w:val="20"/>
                <w:lang w:val="fr-CA"/>
              </w:rPr>
            </w:pPr>
            <w:r w:rsidRPr="004D4629">
              <w:rPr>
                <w:rFonts w:cs="Times New Roman"/>
                <w:sz w:val="20"/>
                <w:szCs w:val="20"/>
                <w:lang w:val="fr-CA"/>
              </w:rPr>
              <w:tab/>
            </w:r>
            <w:r>
              <w:rPr>
                <w:rFonts w:cs="Times New Roman"/>
                <w:sz w:val="20"/>
                <w:szCs w:val="20"/>
                <w:lang w:val="fr-CA"/>
              </w:rPr>
              <w:t>v</w:t>
            </w:r>
            <w:r w:rsidRPr="0041579D">
              <w:rPr>
                <w:rFonts w:cs="Times New Roman"/>
                <w:sz w:val="20"/>
                <w:szCs w:val="20"/>
                <w:lang w:val="fr-CA"/>
              </w:rPr>
              <w:t>. (33813)</w:t>
            </w:r>
          </w:p>
          <w:p w:rsidR="005C086A" w:rsidRPr="0041579D" w:rsidRDefault="005C086A" w:rsidP="007F31BE">
            <w:pPr>
              <w:tabs>
                <w:tab w:val="left" w:pos="-1440"/>
                <w:tab w:val="left" w:pos="-720"/>
              </w:tabs>
              <w:rPr>
                <w:rFonts w:cs="Times New Roman"/>
                <w:sz w:val="20"/>
                <w:szCs w:val="20"/>
                <w:lang w:val="fr-CA"/>
              </w:rPr>
            </w:pPr>
          </w:p>
          <w:p w:rsidR="005C086A" w:rsidRPr="005C086A" w:rsidRDefault="005C086A" w:rsidP="007F31BE">
            <w:pPr>
              <w:tabs>
                <w:tab w:val="left" w:pos="-1440"/>
                <w:tab w:val="left" w:pos="-720"/>
              </w:tabs>
              <w:rPr>
                <w:rFonts w:cs="Times New Roman"/>
                <w:b/>
                <w:sz w:val="20"/>
                <w:szCs w:val="20"/>
              </w:rPr>
            </w:pPr>
            <w:r w:rsidRPr="005C086A">
              <w:rPr>
                <w:rFonts w:cs="Times New Roman"/>
                <w:b/>
                <w:sz w:val="20"/>
                <w:szCs w:val="20"/>
              </w:rPr>
              <w:t>Her Majesty the Queen (Ont.)</w:t>
            </w:r>
          </w:p>
          <w:p w:rsidR="005C086A" w:rsidRPr="008362F4" w:rsidRDefault="005C086A" w:rsidP="007F31BE">
            <w:pPr>
              <w:tabs>
                <w:tab w:val="left" w:pos="-1440"/>
                <w:tab w:val="left" w:pos="-720"/>
              </w:tabs>
              <w:rPr>
                <w:rFonts w:cs="Times New Roman"/>
                <w:sz w:val="20"/>
                <w:szCs w:val="20"/>
              </w:rPr>
            </w:pPr>
            <w:r w:rsidRPr="005C086A">
              <w:rPr>
                <w:rFonts w:cs="Times New Roman"/>
                <w:sz w:val="20"/>
                <w:szCs w:val="20"/>
              </w:rPr>
              <w:tab/>
            </w:r>
            <w:r w:rsidR="008362F4" w:rsidRPr="008362F4">
              <w:rPr>
                <w:rFonts w:cs="Times New Roman"/>
                <w:sz w:val="20"/>
                <w:szCs w:val="20"/>
              </w:rPr>
              <w:t xml:space="preserve">Susan </w:t>
            </w:r>
            <w:proofErr w:type="spellStart"/>
            <w:r w:rsidR="008362F4" w:rsidRPr="008362F4">
              <w:rPr>
                <w:rFonts w:cs="Times New Roman"/>
                <w:sz w:val="20"/>
                <w:szCs w:val="20"/>
              </w:rPr>
              <w:t>Magotiaux</w:t>
            </w:r>
            <w:proofErr w:type="spellEnd"/>
          </w:p>
          <w:p w:rsidR="005C086A" w:rsidRPr="008362F4" w:rsidRDefault="005C086A" w:rsidP="007F31BE">
            <w:pPr>
              <w:tabs>
                <w:tab w:val="left" w:pos="-1440"/>
                <w:tab w:val="left" w:pos="-720"/>
              </w:tabs>
              <w:rPr>
                <w:rFonts w:cs="Times New Roman"/>
                <w:sz w:val="20"/>
                <w:szCs w:val="20"/>
              </w:rPr>
            </w:pPr>
            <w:r w:rsidRPr="008362F4">
              <w:rPr>
                <w:rFonts w:cs="Times New Roman"/>
                <w:sz w:val="20"/>
                <w:szCs w:val="20"/>
              </w:rPr>
              <w:tab/>
            </w:r>
            <w:r w:rsidR="008362F4" w:rsidRPr="008362F4">
              <w:rPr>
                <w:rFonts w:cs="Times New Roman"/>
                <w:sz w:val="20"/>
                <w:szCs w:val="20"/>
              </w:rPr>
              <w:t>A.</w:t>
            </w:r>
            <w:r w:rsidRPr="008362F4">
              <w:rPr>
                <w:rFonts w:cs="Times New Roman"/>
                <w:sz w:val="20"/>
                <w:szCs w:val="20"/>
              </w:rPr>
              <w:t>G</w:t>
            </w:r>
            <w:r w:rsidR="008362F4" w:rsidRPr="008362F4">
              <w:rPr>
                <w:rFonts w:cs="Times New Roman"/>
                <w:sz w:val="20"/>
                <w:szCs w:val="20"/>
              </w:rPr>
              <w:t xml:space="preserve">. </w:t>
            </w:r>
            <w:r w:rsidRPr="008362F4">
              <w:rPr>
                <w:rFonts w:cs="Times New Roman"/>
                <w:sz w:val="20"/>
                <w:szCs w:val="20"/>
              </w:rPr>
              <w:t>o</w:t>
            </w:r>
            <w:r w:rsidR="008362F4" w:rsidRPr="008362F4">
              <w:rPr>
                <w:rFonts w:cs="Times New Roman"/>
                <w:sz w:val="20"/>
                <w:szCs w:val="20"/>
              </w:rPr>
              <w:t>f O</w:t>
            </w:r>
            <w:r w:rsidRPr="008362F4">
              <w:rPr>
                <w:rFonts w:cs="Times New Roman"/>
                <w:sz w:val="20"/>
                <w:szCs w:val="20"/>
              </w:rPr>
              <w:t>nt</w:t>
            </w:r>
            <w:r w:rsidR="008362F4" w:rsidRPr="008362F4">
              <w:rPr>
                <w:rFonts w:cs="Times New Roman"/>
                <w:sz w:val="20"/>
                <w:szCs w:val="20"/>
              </w:rPr>
              <w:t>ario</w:t>
            </w:r>
          </w:p>
          <w:p w:rsidR="005C086A" w:rsidRPr="008362F4" w:rsidRDefault="005C086A" w:rsidP="007F31BE">
            <w:pPr>
              <w:tabs>
                <w:tab w:val="left" w:pos="-1440"/>
                <w:tab w:val="left" w:pos="-720"/>
              </w:tabs>
              <w:rPr>
                <w:rFonts w:cs="Times New Roman"/>
                <w:sz w:val="20"/>
                <w:szCs w:val="20"/>
              </w:rPr>
            </w:pPr>
          </w:p>
          <w:p w:rsidR="005C086A" w:rsidRDefault="005C086A" w:rsidP="007F31BE">
            <w:pPr>
              <w:rPr>
                <w:rFonts w:cs="Times New Roman"/>
                <w:sz w:val="20"/>
                <w:szCs w:val="20"/>
                <w:lang w:val="fr-CA"/>
              </w:rPr>
            </w:pPr>
            <w:r>
              <w:rPr>
                <w:rFonts w:cs="Times New Roman"/>
                <w:sz w:val="20"/>
                <w:szCs w:val="20"/>
                <w:lang w:val="fr-CA"/>
              </w:rPr>
              <w:t>FILING D</w:t>
            </w:r>
            <w:r w:rsidRPr="004D4629">
              <w:rPr>
                <w:rFonts w:cs="Times New Roman"/>
                <w:sz w:val="20"/>
                <w:szCs w:val="20"/>
                <w:lang w:val="fr-CA"/>
              </w:rPr>
              <w:t xml:space="preserve">ATE: </w:t>
            </w:r>
            <w:r>
              <w:rPr>
                <w:rFonts w:cs="Times New Roman"/>
                <w:sz w:val="20"/>
                <w:szCs w:val="20"/>
                <w:lang w:val="fr-CA"/>
              </w:rPr>
              <w:t>2</w:t>
            </w:r>
            <w:r w:rsidRPr="004D4629">
              <w:rPr>
                <w:rFonts w:cs="Times New Roman"/>
                <w:sz w:val="20"/>
                <w:szCs w:val="20"/>
                <w:lang w:val="fr-CA"/>
              </w:rPr>
              <w:t>1.10.2010</w:t>
            </w:r>
          </w:p>
          <w:p w:rsidR="005C086A" w:rsidRPr="004D4629" w:rsidRDefault="00857426" w:rsidP="007F31BE">
            <w:pPr>
              <w:rPr>
                <w:rFonts w:cs="Times New Roman"/>
                <w:sz w:val="20"/>
                <w:szCs w:val="20"/>
                <w:lang w:val="fr-CA"/>
              </w:rPr>
            </w:pPr>
            <w:r w:rsidRPr="00857426">
              <w:rPr>
                <w:rFonts w:cs="Times New Roman"/>
                <w:sz w:val="20"/>
                <w:szCs w:val="20"/>
                <w:lang w:val="fr-CA"/>
              </w:rPr>
              <w:pict>
                <v:rect id="_x0000_i1027" style="width:108pt;height:1pt" o:hrpct="0" o:hralign="center" o:hrstd="t" o:hrnoshade="t" o:hr="t" fillcolor="black [3213]" stroked="f"/>
              </w:pict>
            </w:r>
          </w:p>
        </w:tc>
        <w:tc>
          <w:tcPr>
            <w:tcW w:w="1181" w:type="dxa"/>
            <w:shd w:val="clear" w:color="auto" w:fill="auto"/>
          </w:tcPr>
          <w:p w:rsidR="005C086A" w:rsidRDefault="005C086A" w:rsidP="00242AEE">
            <w:pPr>
              <w:jc w:val="center"/>
              <w:rPr>
                <w:rFonts w:cs="Times New Roman"/>
                <w:sz w:val="20"/>
                <w:szCs w:val="20"/>
                <w:lang w:val="fr-CA"/>
              </w:rPr>
            </w:pPr>
          </w:p>
          <w:p w:rsidR="005C086A" w:rsidRDefault="005C086A" w:rsidP="00242AEE">
            <w:pPr>
              <w:jc w:val="center"/>
              <w:rPr>
                <w:rFonts w:cs="Times New Roman"/>
                <w:sz w:val="20"/>
                <w:szCs w:val="20"/>
                <w:lang w:val="fr-CA"/>
              </w:rPr>
            </w:pPr>
          </w:p>
          <w:p w:rsidR="005C086A" w:rsidRDefault="005C086A" w:rsidP="00242AEE">
            <w:pPr>
              <w:jc w:val="center"/>
              <w:rPr>
                <w:rFonts w:cs="Times New Roman"/>
                <w:sz w:val="20"/>
                <w:szCs w:val="20"/>
                <w:lang w:val="fr-CA"/>
              </w:rPr>
            </w:pPr>
          </w:p>
          <w:p w:rsidR="005C086A" w:rsidRDefault="005C086A" w:rsidP="00242AEE">
            <w:pPr>
              <w:jc w:val="center"/>
              <w:rPr>
                <w:rFonts w:cs="Times New Roman"/>
                <w:sz w:val="20"/>
                <w:szCs w:val="20"/>
                <w:lang w:val="fr-CA"/>
              </w:rPr>
            </w:pPr>
          </w:p>
          <w:p w:rsidR="005C086A" w:rsidRDefault="005C086A" w:rsidP="00242AEE">
            <w:pPr>
              <w:jc w:val="center"/>
              <w:rPr>
                <w:rFonts w:cs="Times New Roman"/>
                <w:sz w:val="20"/>
                <w:szCs w:val="20"/>
                <w:lang w:val="fr-CA"/>
              </w:rPr>
            </w:pPr>
          </w:p>
          <w:p w:rsidR="005C086A" w:rsidRDefault="005C086A" w:rsidP="00242AEE">
            <w:pPr>
              <w:jc w:val="center"/>
              <w:rPr>
                <w:rFonts w:cs="Times New Roman"/>
                <w:sz w:val="20"/>
                <w:szCs w:val="20"/>
                <w:lang w:val="fr-CA"/>
              </w:rPr>
            </w:pPr>
          </w:p>
          <w:p w:rsidR="005C086A" w:rsidRDefault="005C086A" w:rsidP="00242AEE">
            <w:pPr>
              <w:jc w:val="center"/>
              <w:rPr>
                <w:rFonts w:cs="Times New Roman"/>
                <w:sz w:val="20"/>
                <w:szCs w:val="20"/>
                <w:lang w:val="fr-CA"/>
              </w:rPr>
            </w:pPr>
          </w:p>
          <w:p w:rsidR="005C086A" w:rsidRDefault="005C086A" w:rsidP="00242AEE">
            <w:pPr>
              <w:jc w:val="center"/>
              <w:rPr>
                <w:rFonts w:cs="Times New Roman"/>
                <w:sz w:val="20"/>
                <w:szCs w:val="20"/>
                <w:lang w:val="fr-CA"/>
              </w:rPr>
            </w:pPr>
          </w:p>
          <w:p w:rsidR="005C086A" w:rsidRDefault="005C086A" w:rsidP="00242AEE">
            <w:pPr>
              <w:jc w:val="center"/>
              <w:rPr>
                <w:rFonts w:cs="Times New Roman"/>
                <w:sz w:val="20"/>
                <w:szCs w:val="20"/>
                <w:lang w:val="fr-CA"/>
              </w:rPr>
            </w:pPr>
          </w:p>
          <w:p w:rsidR="005C086A" w:rsidRDefault="005C086A" w:rsidP="00242AEE">
            <w:pPr>
              <w:jc w:val="center"/>
              <w:rPr>
                <w:rFonts w:cs="Times New Roman"/>
                <w:sz w:val="20"/>
                <w:szCs w:val="20"/>
                <w:lang w:val="fr-CA"/>
              </w:rPr>
            </w:pPr>
          </w:p>
          <w:p w:rsidR="005C086A" w:rsidRDefault="005C086A" w:rsidP="00242AEE">
            <w:pPr>
              <w:jc w:val="center"/>
              <w:rPr>
                <w:rFonts w:cs="Times New Roman"/>
                <w:sz w:val="20"/>
                <w:szCs w:val="20"/>
                <w:lang w:val="fr-CA"/>
              </w:rPr>
            </w:pPr>
          </w:p>
          <w:p w:rsidR="005C086A" w:rsidRPr="004D4629" w:rsidRDefault="005C086A" w:rsidP="00242AEE">
            <w:pPr>
              <w:jc w:val="center"/>
              <w:rPr>
                <w:rFonts w:cs="Times New Roman"/>
                <w:sz w:val="20"/>
                <w:szCs w:val="20"/>
                <w:lang w:val="fr-CA"/>
              </w:rPr>
            </w:pPr>
          </w:p>
        </w:tc>
        <w:tc>
          <w:tcPr>
            <w:tcW w:w="4320" w:type="dxa"/>
            <w:shd w:val="clear" w:color="auto" w:fill="auto"/>
          </w:tcPr>
          <w:p w:rsidR="005C086A" w:rsidRPr="005C086A" w:rsidRDefault="005C086A" w:rsidP="007F31BE">
            <w:pPr>
              <w:keepNext/>
              <w:keepLines/>
              <w:tabs>
                <w:tab w:val="left" w:pos="-1440"/>
                <w:tab w:val="left" w:pos="-720"/>
              </w:tabs>
              <w:rPr>
                <w:rFonts w:cs="Times New Roman"/>
                <w:b/>
                <w:sz w:val="20"/>
                <w:szCs w:val="20"/>
              </w:rPr>
            </w:pPr>
            <w:r w:rsidRPr="005C086A">
              <w:rPr>
                <w:rFonts w:cs="Times New Roman"/>
                <w:b/>
                <w:sz w:val="20"/>
                <w:szCs w:val="20"/>
              </w:rPr>
              <w:t>Basho Oran</w:t>
            </w:r>
          </w:p>
          <w:p w:rsidR="005C086A" w:rsidRPr="005C086A" w:rsidRDefault="005C086A" w:rsidP="007F31BE">
            <w:pPr>
              <w:keepNext/>
              <w:keepLines/>
              <w:tabs>
                <w:tab w:val="left" w:pos="-1440"/>
                <w:tab w:val="left" w:pos="-720"/>
              </w:tabs>
              <w:rPr>
                <w:rFonts w:cs="Times New Roman"/>
                <w:sz w:val="20"/>
                <w:szCs w:val="20"/>
              </w:rPr>
            </w:pPr>
            <w:r w:rsidRPr="005C086A">
              <w:rPr>
                <w:rFonts w:cs="Times New Roman"/>
                <w:sz w:val="20"/>
                <w:szCs w:val="20"/>
              </w:rPr>
              <w:tab/>
              <w:t>Basho Oran</w:t>
            </w:r>
          </w:p>
          <w:p w:rsidR="005C086A" w:rsidRPr="005C086A" w:rsidRDefault="005C086A" w:rsidP="007F31BE">
            <w:pPr>
              <w:keepNext/>
              <w:keepLines/>
              <w:tabs>
                <w:tab w:val="left" w:pos="-1440"/>
                <w:tab w:val="left" w:pos="-720"/>
              </w:tabs>
              <w:rPr>
                <w:rFonts w:cs="Times New Roman"/>
                <w:sz w:val="20"/>
                <w:szCs w:val="20"/>
              </w:rPr>
            </w:pPr>
            <w:r w:rsidRPr="005C086A">
              <w:rPr>
                <w:rFonts w:cs="Times New Roman"/>
                <w:sz w:val="20"/>
                <w:szCs w:val="20"/>
              </w:rPr>
              <w:tab/>
            </w:r>
          </w:p>
          <w:p w:rsidR="005C086A" w:rsidRPr="004D4629" w:rsidRDefault="005C086A" w:rsidP="007F31BE">
            <w:pPr>
              <w:keepNext/>
              <w:keepLines/>
              <w:tabs>
                <w:tab w:val="left" w:pos="-1440"/>
                <w:tab w:val="left" w:pos="-720"/>
              </w:tabs>
              <w:rPr>
                <w:rFonts w:cs="Times New Roman"/>
                <w:sz w:val="20"/>
                <w:szCs w:val="20"/>
              </w:rPr>
            </w:pPr>
            <w:r w:rsidRPr="005C086A">
              <w:rPr>
                <w:rFonts w:cs="Times New Roman"/>
                <w:sz w:val="20"/>
                <w:szCs w:val="20"/>
              </w:rPr>
              <w:tab/>
            </w:r>
            <w:r w:rsidRPr="004D4629">
              <w:rPr>
                <w:rFonts w:cs="Times New Roman"/>
                <w:sz w:val="20"/>
                <w:szCs w:val="20"/>
              </w:rPr>
              <w:t>v. (33</w:t>
            </w:r>
            <w:r>
              <w:rPr>
                <w:rFonts w:cs="Times New Roman"/>
                <w:sz w:val="20"/>
                <w:szCs w:val="20"/>
              </w:rPr>
              <w:t>908</w:t>
            </w:r>
            <w:r w:rsidRPr="004D4629">
              <w:rPr>
                <w:rFonts w:cs="Times New Roman"/>
                <w:sz w:val="20"/>
                <w:szCs w:val="20"/>
              </w:rPr>
              <w:t>)</w:t>
            </w:r>
          </w:p>
          <w:p w:rsidR="005C086A" w:rsidRPr="004D4629" w:rsidRDefault="005C086A" w:rsidP="007F31BE">
            <w:pPr>
              <w:keepNext/>
              <w:keepLines/>
              <w:tabs>
                <w:tab w:val="left" w:pos="-1440"/>
                <w:tab w:val="left" w:pos="-720"/>
              </w:tabs>
              <w:rPr>
                <w:rFonts w:cs="Times New Roman"/>
                <w:sz w:val="20"/>
                <w:szCs w:val="20"/>
              </w:rPr>
            </w:pPr>
          </w:p>
          <w:p w:rsidR="005C086A" w:rsidRPr="005C086A" w:rsidRDefault="005C086A" w:rsidP="007F31BE">
            <w:pPr>
              <w:keepNext/>
              <w:keepLines/>
              <w:tabs>
                <w:tab w:val="left" w:pos="-1440"/>
                <w:tab w:val="left" w:pos="-720"/>
              </w:tabs>
              <w:rPr>
                <w:rFonts w:cs="Times New Roman"/>
                <w:b/>
                <w:sz w:val="20"/>
                <w:szCs w:val="20"/>
                <w:lang w:val="fr-CA"/>
              </w:rPr>
            </w:pPr>
            <w:r w:rsidRPr="005C086A">
              <w:rPr>
                <w:rFonts w:cs="Times New Roman"/>
                <w:b/>
                <w:sz w:val="20"/>
                <w:szCs w:val="20"/>
                <w:lang w:val="fr-CA"/>
              </w:rPr>
              <w:t xml:space="preserve">Hussein </w:t>
            </w:r>
            <w:proofErr w:type="spellStart"/>
            <w:r w:rsidRPr="005C086A">
              <w:rPr>
                <w:rFonts w:cs="Times New Roman"/>
                <w:b/>
                <w:sz w:val="20"/>
                <w:szCs w:val="20"/>
                <w:lang w:val="fr-CA"/>
              </w:rPr>
              <w:t>Musbah</w:t>
            </w:r>
            <w:proofErr w:type="spellEnd"/>
            <w:r w:rsidRPr="005C086A">
              <w:rPr>
                <w:rFonts w:cs="Times New Roman"/>
                <w:b/>
                <w:sz w:val="20"/>
                <w:szCs w:val="20"/>
                <w:lang w:val="fr-CA"/>
              </w:rPr>
              <w:t xml:space="preserve"> </w:t>
            </w:r>
            <w:proofErr w:type="spellStart"/>
            <w:r w:rsidRPr="005C086A">
              <w:rPr>
                <w:rFonts w:cs="Times New Roman"/>
                <w:b/>
                <w:sz w:val="20"/>
                <w:szCs w:val="20"/>
                <w:lang w:val="fr-CA"/>
              </w:rPr>
              <w:t>Khalaff</w:t>
            </w:r>
            <w:proofErr w:type="spellEnd"/>
            <w:r w:rsidRPr="005C086A">
              <w:rPr>
                <w:rFonts w:cs="Times New Roman"/>
                <w:b/>
                <w:sz w:val="20"/>
                <w:szCs w:val="20"/>
                <w:lang w:val="fr-CA"/>
              </w:rPr>
              <w:t xml:space="preserve"> </w:t>
            </w:r>
            <w:proofErr w:type="spellStart"/>
            <w:r w:rsidRPr="005C086A">
              <w:rPr>
                <w:rFonts w:cs="Times New Roman"/>
                <w:b/>
                <w:sz w:val="20"/>
                <w:szCs w:val="20"/>
                <w:lang w:val="fr-CA"/>
              </w:rPr>
              <w:t>Abourawi</w:t>
            </w:r>
            <w:proofErr w:type="spellEnd"/>
            <w:r w:rsidRPr="005C086A">
              <w:rPr>
                <w:rFonts w:cs="Times New Roman"/>
                <w:b/>
                <w:sz w:val="20"/>
                <w:szCs w:val="20"/>
                <w:lang w:val="fr-CA"/>
              </w:rPr>
              <w:t xml:space="preserve"> et al. (Ont.)</w:t>
            </w:r>
          </w:p>
          <w:p w:rsidR="005C086A" w:rsidRPr="004D4629" w:rsidRDefault="005C086A" w:rsidP="007F31BE">
            <w:pPr>
              <w:keepNext/>
              <w:keepLines/>
              <w:tabs>
                <w:tab w:val="left" w:pos="-1440"/>
                <w:tab w:val="left" w:pos="-720"/>
              </w:tabs>
              <w:rPr>
                <w:rFonts w:cs="Times New Roman"/>
                <w:sz w:val="20"/>
                <w:szCs w:val="20"/>
              </w:rPr>
            </w:pPr>
            <w:r w:rsidRPr="005C086A">
              <w:rPr>
                <w:rFonts w:cs="Times New Roman"/>
                <w:sz w:val="20"/>
                <w:szCs w:val="20"/>
                <w:lang w:val="fr-CA"/>
              </w:rPr>
              <w:tab/>
            </w:r>
            <w:r>
              <w:rPr>
                <w:rFonts w:cs="Times New Roman"/>
                <w:sz w:val="20"/>
                <w:szCs w:val="20"/>
              </w:rPr>
              <w:t xml:space="preserve">Kelly A. Clark </w:t>
            </w:r>
            <w:proofErr w:type="spellStart"/>
            <w:r>
              <w:rPr>
                <w:rFonts w:cs="Times New Roman"/>
                <w:sz w:val="20"/>
                <w:szCs w:val="20"/>
              </w:rPr>
              <w:t>Tranquilli</w:t>
            </w:r>
            <w:proofErr w:type="spellEnd"/>
          </w:p>
          <w:p w:rsidR="005C086A" w:rsidRPr="004D4629" w:rsidRDefault="005C086A" w:rsidP="007F31BE">
            <w:pPr>
              <w:keepNext/>
              <w:keepLines/>
              <w:tabs>
                <w:tab w:val="left" w:pos="-1440"/>
                <w:tab w:val="left" w:pos="-720"/>
              </w:tabs>
              <w:rPr>
                <w:rFonts w:cs="Times New Roman"/>
                <w:sz w:val="20"/>
                <w:szCs w:val="20"/>
              </w:rPr>
            </w:pPr>
            <w:r w:rsidRPr="004D4629">
              <w:rPr>
                <w:rFonts w:cs="Times New Roman"/>
                <w:sz w:val="20"/>
                <w:szCs w:val="20"/>
              </w:rPr>
              <w:tab/>
            </w:r>
            <w:proofErr w:type="spellStart"/>
            <w:r>
              <w:rPr>
                <w:rFonts w:cs="Times New Roman"/>
                <w:sz w:val="20"/>
                <w:szCs w:val="20"/>
              </w:rPr>
              <w:t>Lerners</w:t>
            </w:r>
            <w:proofErr w:type="spellEnd"/>
            <w:r>
              <w:rPr>
                <w:rFonts w:cs="Times New Roman"/>
                <w:sz w:val="20"/>
                <w:szCs w:val="20"/>
              </w:rPr>
              <w:t xml:space="preserve"> LLP</w:t>
            </w:r>
          </w:p>
          <w:p w:rsidR="005C086A" w:rsidRPr="004D4629" w:rsidRDefault="005C086A" w:rsidP="007F31BE">
            <w:pPr>
              <w:keepNext/>
              <w:keepLines/>
              <w:tabs>
                <w:tab w:val="left" w:pos="-1440"/>
                <w:tab w:val="left" w:pos="-720"/>
              </w:tabs>
              <w:rPr>
                <w:rFonts w:cs="Times New Roman"/>
                <w:sz w:val="20"/>
                <w:szCs w:val="20"/>
              </w:rPr>
            </w:pPr>
          </w:p>
          <w:p w:rsidR="005C086A" w:rsidRPr="004D4629" w:rsidRDefault="005C086A" w:rsidP="007F31BE">
            <w:pPr>
              <w:rPr>
                <w:rFonts w:cs="Times New Roman"/>
                <w:sz w:val="20"/>
                <w:szCs w:val="20"/>
              </w:rPr>
            </w:pPr>
            <w:r w:rsidRPr="004D4629">
              <w:rPr>
                <w:rFonts w:cs="Times New Roman"/>
                <w:sz w:val="20"/>
                <w:szCs w:val="20"/>
              </w:rPr>
              <w:t xml:space="preserve">FILING DATE: </w:t>
            </w:r>
            <w:r>
              <w:rPr>
                <w:rFonts w:cs="Times New Roman"/>
                <w:sz w:val="20"/>
                <w:szCs w:val="20"/>
              </w:rPr>
              <w:t>21.10.2010</w:t>
            </w:r>
            <w:r w:rsidR="00857426" w:rsidRPr="00857426">
              <w:rPr>
                <w:rFonts w:cs="Times New Roman"/>
                <w:sz w:val="20"/>
                <w:szCs w:val="20"/>
                <w:lang w:val="fr-CA"/>
              </w:rPr>
              <w:pict>
                <v:rect id="_x0000_i1028" style="width:108pt;height:1pt" o:hrpct="0" o:hralign="center" o:hrstd="t" o:hrnoshade="t" o:hr="t" fillcolor="black [3213]" stroked="f"/>
              </w:pict>
            </w:r>
          </w:p>
        </w:tc>
      </w:tr>
      <w:tr w:rsidR="005C086A" w:rsidRPr="004D4629" w:rsidTr="007F31BE">
        <w:trPr>
          <w:cantSplit/>
        </w:trPr>
        <w:tc>
          <w:tcPr>
            <w:tcW w:w="4320" w:type="dxa"/>
            <w:shd w:val="clear" w:color="auto" w:fill="auto"/>
          </w:tcPr>
          <w:p w:rsidR="005C086A" w:rsidRPr="004D4629" w:rsidRDefault="005C086A" w:rsidP="007F31BE">
            <w:pPr>
              <w:rPr>
                <w:rFonts w:cs="Times New Roman"/>
                <w:b/>
                <w:sz w:val="20"/>
                <w:szCs w:val="20"/>
              </w:rPr>
            </w:pPr>
            <w:r>
              <w:rPr>
                <w:rFonts w:cs="Times New Roman"/>
                <w:b/>
                <w:sz w:val="20"/>
                <w:szCs w:val="20"/>
              </w:rPr>
              <w:t xml:space="preserve">Kurt G.J. </w:t>
            </w:r>
            <w:proofErr w:type="spellStart"/>
            <w:r>
              <w:rPr>
                <w:rFonts w:cs="Times New Roman"/>
                <w:b/>
                <w:sz w:val="20"/>
                <w:szCs w:val="20"/>
              </w:rPr>
              <w:t>Soost</w:t>
            </w:r>
            <w:proofErr w:type="spellEnd"/>
          </w:p>
          <w:p w:rsidR="005C086A" w:rsidRPr="004D4629" w:rsidRDefault="005C086A" w:rsidP="007F31BE">
            <w:pPr>
              <w:tabs>
                <w:tab w:val="left" w:pos="-1440"/>
                <w:tab w:val="left" w:pos="-720"/>
              </w:tabs>
              <w:rPr>
                <w:rFonts w:cs="Times New Roman"/>
                <w:sz w:val="20"/>
                <w:szCs w:val="20"/>
              </w:rPr>
            </w:pPr>
            <w:r w:rsidRPr="004D4629">
              <w:rPr>
                <w:rFonts w:cs="Times New Roman"/>
                <w:sz w:val="20"/>
                <w:szCs w:val="20"/>
              </w:rPr>
              <w:tab/>
            </w:r>
            <w:r>
              <w:rPr>
                <w:rFonts w:cs="Times New Roman"/>
                <w:sz w:val="20"/>
                <w:szCs w:val="20"/>
              </w:rPr>
              <w:t xml:space="preserve">Kevin </w:t>
            </w:r>
            <w:proofErr w:type="spellStart"/>
            <w:r>
              <w:rPr>
                <w:rFonts w:cs="Times New Roman"/>
                <w:sz w:val="20"/>
                <w:szCs w:val="20"/>
              </w:rPr>
              <w:t>McGuigan</w:t>
            </w:r>
            <w:proofErr w:type="spellEnd"/>
          </w:p>
          <w:p w:rsidR="005C086A" w:rsidRPr="004D4629" w:rsidRDefault="005C086A" w:rsidP="007F31BE">
            <w:pPr>
              <w:tabs>
                <w:tab w:val="left" w:pos="-1440"/>
                <w:tab w:val="left" w:pos="-720"/>
              </w:tabs>
              <w:rPr>
                <w:rFonts w:cs="Times New Roman"/>
                <w:sz w:val="20"/>
                <w:szCs w:val="20"/>
              </w:rPr>
            </w:pPr>
            <w:r w:rsidRPr="004D4629">
              <w:rPr>
                <w:rFonts w:cs="Times New Roman"/>
                <w:sz w:val="20"/>
                <w:szCs w:val="20"/>
              </w:rPr>
              <w:tab/>
            </w:r>
            <w:proofErr w:type="spellStart"/>
            <w:r>
              <w:rPr>
                <w:rFonts w:cs="Times New Roman"/>
                <w:sz w:val="20"/>
                <w:szCs w:val="20"/>
              </w:rPr>
              <w:t>McGuigan</w:t>
            </w:r>
            <w:proofErr w:type="spellEnd"/>
            <w:r>
              <w:rPr>
                <w:rFonts w:cs="Times New Roman"/>
                <w:sz w:val="20"/>
                <w:szCs w:val="20"/>
              </w:rPr>
              <w:t xml:space="preserve"> Nelson LLP</w:t>
            </w:r>
          </w:p>
          <w:p w:rsidR="005C086A" w:rsidRPr="004D4629" w:rsidRDefault="005C086A" w:rsidP="007F31BE">
            <w:pPr>
              <w:tabs>
                <w:tab w:val="left" w:pos="-1440"/>
                <w:tab w:val="left" w:pos="-720"/>
              </w:tabs>
              <w:rPr>
                <w:rFonts w:cs="Times New Roman"/>
                <w:sz w:val="20"/>
                <w:szCs w:val="20"/>
              </w:rPr>
            </w:pPr>
          </w:p>
          <w:p w:rsidR="005C086A" w:rsidRPr="004D4629" w:rsidRDefault="005C086A" w:rsidP="007F31BE">
            <w:pPr>
              <w:tabs>
                <w:tab w:val="left" w:pos="-1440"/>
                <w:tab w:val="left" w:pos="-720"/>
              </w:tabs>
              <w:rPr>
                <w:rFonts w:cs="Times New Roman"/>
                <w:sz w:val="20"/>
                <w:szCs w:val="20"/>
              </w:rPr>
            </w:pPr>
            <w:r w:rsidRPr="004D4629">
              <w:rPr>
                <w:rFonts w:cs="Times New Roman"/>
                <w:sz w:val="20"/>
                <w:szCs w:val="20"/>
              </w:rPr>
              <w:tab/>
              <w:t>v. (33</w:t>
            </w:r>
            <w:r>
              <w:rPr>
                <w:rFonts w:cs="Times New Roman"/>
                <w:sz w:val="20"/>
                <w:szCs w:val="20"/>
              </w:rPr>
              <w:t>910</w:t>
            </w:r>
            <w:r w:rsidRPr="004D4629">
              <w:rPr>
                <w:rFonts w:cs="Times New Roman"/>
                <w:sz w:val="20"/>
                <w:szCs w:val="20"/>
              </w:rPr>
              <w:t>)</w:t>
            </w:r>
          </w:p>
          <w:p w:rsidR="005C086A" w:rsidRPr="004D4629" w:rsidRDefault="005C086A" w:rsidP="007F31BE">
            <w:pPr>
              <w:tabs>
                <w:tab w:val="left" w:pos="-1440"/>
                <w:tab w:val="left" w:pos="-720"/>
              </w:tabs>
              <w:rPr>
                <w:rFonts w:cs="Times New Roman"/>
                <w:sz w:val="20"/>
                <w:szCs w:val="20"/>
              </w:rPr>
            </w:pPr>
          </w:p>
          <w:p w:rsidR="005C086A" w:rsidRPr="004D4629" w:rsidRDefault="005C086A" w:rsidP="007F31BE">
            <w:pPr>
              <w:tabs>
                <w:tab w:val="left" w:pos="-1440"/>
                <w:tab w:val="left" w:pos="-720"/>
              </w:tabs>
              <w:rPr>
                <w:rFonts w:cs="Times New Roman"/>
                <w:b/>
                <w:sz w:val="20"/>
                <w:szCs w:val="20"/>
              </w:rPr>
            </w:pPr>
            <w:r>
              <w:rPr>
                <w:rFonts w:cs="Times New Roman"/>
                <w:b/>
                <w:sz w:val="20"/>
                <w:szCs w:val="20"/>
              </w:rPr>
              <w:t>Merrill Lynch Canada Inc.</w:t>
            </w:r>
            <w:r w:rsidRPr="004D4629">
              <w:rPr>
                <w:rFonts w:cs="Times New Roman"/>
                <w:b/>
                <w:sz w:val="20"/>
                <w:szCs w:val="20"/>
              </w:rPr>
              <w:t xml:space="preserve"> (</w:t>
            </w:r>
            <w:r>
              <w:rPr>
                <w:rFonts w:cs="Times New Roman"/>
                <w:b/>
                <w:sz w:val="20"/>
                <w:szCs w:val="20"/>
              </w:rPr>
              <w:t>Alta</w:t>
            </w:r>
            <w:r w:rsidRPr="004D4629">
              <w:rPr>
                <w:rFonts w:cs="Times New Roman"/>
                <w:b/>
                <w:sz w:val="20"/>
                <w:szCs w:val="20"/>
              </w:rPr>
              <w:t>.)</w:t>
            </w:r>
          </w:p>
          <w:p w:rsidR="005C086A" w:rsidRPr="004D4629" w:rsidRDefault="005C086A" w:rsidP="007F31BE">
            <w:pPr>
              <w:tabs>
                <w:tab w:val="left" w:pos="-1440"/>
                <w:tab w:val="left" w:pos="-720"/>
              </w:tabs>
              <w:rPr>
                <w:rFonts w:cs="Times New Roman"/>
                <w:sz w:val="20"/>
                <w:szCs w:val="20"/>
              </w:rPr>
            </w:pPr>
            <w:r w:rsidRPr="004D4629">
              <w:rPr>
                <w:rFonts w:cs="Times New Roman"/>
                <w:sz w:val="20"/>
                <w:szCs w:val="20"/>
              </w:rPr>
              <w:tab/>
            </w:r>
            <w:r>
              <w:rPr>
                <w:rFonts w:cs="Times New Roman"/>
                <w:sz w:val="20"/>
                <w:szCs w:val="20"/>
              </w:rPr>
              <w:t xml:space="preserve">Frank R. </w:t>
            </w:r>
            <w:proofErr w:type="spellStart"/>
            <w:r>
              <w:rPr>
                <w:rFonts w:cs="Times New Roman"/>
                <w:sz w:val="20"/>
                <w:szCs w:val="20"/>
              </w:rPr>
              <w:t>Foran</w:t>
            </w:r>
            <w:proofErr w:type="spellEnd"/>
            <w:r w:rsidR="008362F4">
              <w:rPr>
                <w:rFonts w:cs="Times New Roman"/>
                <w:sz w:val="20"/>
                <w:szCs w:val="20"/>
              </w:rPr>
              <w:t>, Q.C.</w:t>
            </w:r>
          </w:p>
          <w:p w:rsidR="005C086A" w:rsidRPr="004D4629" w:rsidRDefault="005C086A" w:rsidP="007F31BE">
            <w:pPr>
              <w:tabs>
                <w:tab w:val="left" w:pos="-1440"/>
                <w:tab w:val="left" w:pos="-720"/>
              </w:tabs>
              <w:rPr>
                <w:rFonts w:cs="Times New Roman"/>
                <w:sz w:val="20"/>
                <w:szCs w:val="20"/>
              </w:rPr>
            </w:pPr>
            <w:r w:rsidRPr="004D4629">
              <w:rPr>
                <w:rFonts w:cs="Times New Roman"/>
                <w:sz w:val="20"/>
                <w:szCs w:val="20"/>
              </w:rPr>
              <w:tab/>
            </w:r>
            <w:r>
              <w:rPr>
                <w:rFonts w:cs="Times New Roman"/>
                <w:sz w:val="20"/>
                <w:szCs w:val="20"/>
              </w:rPr>
              <w:t xml:space="preserve">Borden </w:t>
            </w:r>
            <w:proofErr w:type="spellStart"/>
            <w:r>
              <w:rPr>
                <w:rFonts w:cs="Times New Roman"/>
                <w:sz w:val="20"/>
                <w:szCs w:val="20"/>
              </w:rPr>
              <w:t>Ladner</w:t>
            </w:r>
            <w:proofErr w:type="spellEnd"/>
            <w:r>
              <w:rPr>
                <w:rFonts w:cs="Times New Roman"/>
                <w:sz w:val="20"/>
                <w:szCs w:val="20"/>
              </w:rPr>
              <w:t xml:space="preserve"> </w:t>
            </w:r>
            <w:proofErr w:type="spellStart"/>
            <w:r>
              <w:rPr>
                <w:rFonts w:cs="Times New Roman"/>
                <w:sz w:val="20"/>
                <w:szCs w:val="20"/>
              </w:rPr>
              <w:t>Gervais</w:t>
            </w:r>
            <w:proofErr w:type="spellEnd"/>
            <w:r>
              <w:rPr>
                <w:rFonts w:cs="Times New Roman"/>
                <w:sz w:val="20"/>
                <w:szCs w:val="20"/>
              </w:rPr>
              <w:t xml:space="preserve"> LLP</w:t>
            </w:r>
          </w:p>
          <w:p w:rsidR="005C086A" w:rsidRPr="004D4629" w:rsidRDefault="005C086A" w:rsidP="007F31BE">
            <w:pPr>
              <w:tabs>
                <w:tab w:val="left" w:pos="-1440"/>
                <w:tab w:val="left" w:pos="-720"/>
              </w:tabs>
              <w:rPr>
                <w:rFonts w:cs="Times New Roman"/>
                <w:sz w:val="20"/>
                <w:szCs w:val="20"/>
              </w:rPr>
            </w:pPr>
          </w:p>
          <w:p w:rsidR="005C086A" w:rsidRPr="004D4629" w:rsidRDefault="005C086A" w:rsidP="007F31BE">
            <w:pPr>
              <w:rPr>
                <w:rFonts w:cs="Times New Roman"/>
                <w:sz w:val="20"/>
                <w:szCs w:val="20"/>
              </w:rPr>
            </w:pPr>
            <w:r w:rsidRPr="004D4629">
              <w:rPr>
                <w:rFonts w:cs="Times New Roman"/>
                <w:sz w:val="20"/>
                <w:szCs w:val="20"/>
              </w:rPr>
              <w:t xml:space="preserve">FILING DATE: </w:t>
            </w:r>
            <w:r>
              <w:rPr>
                <w:rFonts w:cs="Times New Roman"/>
                <w:sz w:val="20"/>
                <w:szCs w:val="20"/>
              </w:rPr>
              <w:t>22.10.2010</w:t>
            </w:r>
          </w:p>
          <w:p w:rsidR="005C086A" w:rsidRPr="004D4629" w:rsidRDefault="00857426" w:rsidP="007F31BE">
            <w:pPr>
              <w:rPr>
                <w:rFonts w:cs="Times New Roman"/>
                <w:sz w:val="20"/>
                <w:szCs w:val="20"/>
              </w:rPr>
            </w:pPr>
            <w:r w:rsidRPr="00857426">
              <w:rPr>
                <w:rFonts w:cs="Times New Roman"/>
                <w:sz w:val="20"/>
                <w:szCs w:val="20"/>
                <w:lang w:val="fr-CA"/>
              </w:rPr>
              <w:pict>
                <v:rect id="_x0000_i1029" style="width:108pt;height:1pt" o:hrpct="0" o:hralign="center" o:hrstd="t" o:hrnoshade="t" o:hr="t" fillcolor="black [3213]" stroked="f"/>
              </w:pict>
            </w:r>
          </w:p>
        </w:tc>
        <w:tc>
          <w:tcPr>
            <w:tcW w:w="1181" w:type="dxa"/>
            <w:shd w:val="clear" w:color="auto" w:fill="auto"/>
          </w:tcPr>
          <w:p w:rsidR="005C086A" w:rsidRDefault="005C086A" w:rsidP="00242AEE">
            <w:pPr>
              <w:jc w:val="center"/>
              <w:rPr>
                <w:rFonts w:cs="Times New Roman"/>
                <w:sz w:val="20"/>
                <w:szCs w:val="20"/>
              </w:rPr>
            </w:pPr>
          </w:p>
          <w:p w:rsidR="005C086A" w:rsidRDefault="005C086A" w:rsidP="00242AEE">
            <w:pPr>
              <w:jc w:val="center"/>
              <w:rPr>
                <w:rFonts w:cs="Times New Roman"/>
                <w:sz w:val="20"/>
                <w:szCs w:val="20"/>
              </w:rPr>
            </w:pPr>
          </w:p>
          <w:p w:rsidR="005C086A" w:rsidRDefault="005C086A" w:rsidP="00242AEE">
            <w:pPr>
              <w:jc w:val="center"/>
              <w:rPr>
                <w:rFonts w:cs="Times New Roman"/>
                <w:sz w:val="20"/>
                <w:szCs w:val="20"/>
              </w:rPr>
            </w:pPr>
          </w:p>
          <w:p w:rsidR="005C086A" w:rsidRDefault="005C086A" w:rsidP="00242AEE">
            <w:pPr>
              <w:jc w:val="center"/>
              <w:rPr>
                <w:rFonts w:cs="Times New Roman"/>
                <w:sz w:val="20"/>
                <w:szCs w:val="20"/>
              </w:rPr>
            </w:pPr>
          </w:p>
          <w:p w:rsidR="005C086A" w:rsidRDefault="005C086A" w:rsidP="00242AEE">
            <w:pPr>
              <w:jc w:val="center"/>
              <w:rPr>
                <w:rFonts w:cs="Times New Roman"/>
                <w:sz w:val="20"/>
                <w:szCs w:val="20"/>
              </w:rPr>
            </w:pPr>
          </w:p>
          <w:p w:rsidR="005C086A" w:rsidRDefault="005C086A" w:rsidP="00242AEE">
            <w:pPr>
              <w:jc w:val="center"/>
              <w:rPr>
                <w:rFonts w:cs="Times New Roman"/>
                <w:sz w:val="20"/>
                <w:szCs w:val="20"/>
              </w:rPr>
            </w:pPr>
          </w:p>
          <w:p w:rsidR="005C086A" w:rsidRDefault="005C086A" w:rsidP="00242AEE">
            <w:pPr>
              <w:jc w:val="center"/>
              <w:rPr>
                <w:rFonts w:cs="Times New Roman"/>
                <w:sz w:val="20"/>
                <w:szCs w:val="20"/>
              </w:rPr>
            </w:pPr>
          </w:p>
          <w:p w:rsidR="005C086A" w:rsidRDefault="005C086A" w:rsidP="00242AEE">
            <w:pPr>
              <w:jc w:val="center"/>
              <w:rPr>
                <w:rFonts w:cs="Times New Roman"/>
                <w:sz w:val="20"/>
                <w:szCs w:val="20"/>
              </w:rPr>
            </w:pPr>
          </w:p>
          <w:p w:rsidR="005C086A" w:rsidRDefault="005C086A" w:rsidP="00242AEE">
            <w:pPr>
              <w:jc w:val="center"/>
              <w:rPr>
                <w:rFonts w:cs="Times New Roman"/>
                <w:sz w:val="20"/>
                <w:szCs w:val="20"/>
              </w:rPr>
            </w:pPr>
          </w:p>
          <w:p w:rsidR="005C086A" w:rsidRDefault="005C086A" w:rsidP="00242AEE">
            <w:pPr>
              <w:jc w:val="center"/>
              <w:rPr>
                <w:rFonts w:cs="Times New Roman"/>
                <w:sz w:val="20"/>
                <w:szCs w:val="20"/>
              </w:rPr>
            </w:pPr>
          </w:p>
          <w:p w:rsidR="005C086A" w:rsidRDefault="005C086A" w:rsidP="00242AEE">
            <w:pPr>
              <w:jc w:val="center"/>
              <w:rPr>
                <w:rFonts w:cs="Times New Roman"/>
                <w:sz w:val="20"/>
                <w:szCs w:val="20"/>
              </w:rPr>
            </w:pPr>
          </w:p>
          <w:p w:rsidR="005C086A" w:rsidRDefault="005C086A" w:rsidP="00242AEE">
            <w:pPr>
              <w:jc w:val="center"/>
              <w:rPr>
                <w:rFonts w:cs="Times New Roman"/>
                <w:sz w:val="20"/>
                <w:szCs w:val="20"/>
              </w:rPr>
            </w:pPr>
          </w:p>
          <w:p w:rsidR="005C086A" w:rsidRPr="005C086A" w:rsidRDefault="005C086A" w:rsidP="00242AEE">
            <w:pPr>
              <w:jc w:val="center"/>
              <w:rPr>
                <w:rFonts w:cs="Times New Roman"/>
                <w:sz w:val="20"/>
                <w:szCs w:val="20"/>
              </w:rPr>
            </w:pPr>
          </w:p>
        </w:tc>
        <w:tc>
          <w:tcPr>
            <w:tcW w:w="4320" w:type="dxa"/>
            <w:shd w:val="clear" w:color="auto" w:fill="auto"/>
          </w:tcPr>
          <w:p w:rsidR="005C086A" w:rsidRPr="004D4629" w:rsidRDefault="005C086A" w:rsidP="007F31BE">
            <w:pPr>
              <w:keepNext/>
              <w:keepLines/>
              <w:tabs>
                <w:tab w:val="left" w:pos="-1440"/>
                <w:tab w:val="left" w:pos="-720"/>
              </w:tabs>
              <w:rPr>
                <w:rFonts w:cs="Times New Roman"/>
                <w:b/>
                <w:sz w:val="20"/>
                <w:szCs w:val="20"/>
              </w:rPr>
            </w:pPr>
            <w:r>
              <w:rPr>
                <w:rFonts w:cs="Times New Roman"/>
                <w:b/>
                <w:sz w:val="20"/>
                <w:szCs w:val="20"/>
              </w:rPr>
              <w:t>Justin Bisson</w:t>
            </w:r>
          </w:p>
          <w:p w:rsidR="005C086A" w:rsidRPr="004D4629" w:rsidRDefault="005C086A" w:rsidP="007F31BE">
            <w:pPr>
              <w:keepNext/>
              <w:keepLines/>
              <w:tabs>
                <w:tab w:val="left" w:pos="-1440"/>
                <w:tab w:val="left" w:pos="-720"/>
              </w:tabs>
              <w:rPr>
                <w:rFonts w:cs="Times New Roman"/>
                <w:sz w:val="20"/>
                <w:szCs w:val="20"/>
              </w:rPr>
            </w:pPr>
            <w:r w:rsidRPr="004D4629">
              <w:rPr>
                <w:rFonts w:cs="Times New Roman"/>
                <w:sz w:val="20"/>
                <w:szCs w:val="20"/>
              </w:rPr>
              <w:tab/>
            </w:r>
            <w:r>
              <w:rPr>
                <w:rFonts w:cs="Times New Roman"/>
                <w:sz w:val="20"/>
                <w:szCs w:val="20"/>
              </w:rPr>
              <w:t>Michael M. Lacy</w:t>
            </w:r>
          </w:p>
          <w:p w:rsidR="005C086A" w:rsidRPr="004D4629" w:rsidRDefault="005C086A" w:rsidP="007F31BE">
            <w:pPr>
              <w:keepNext/>
              <w:keepLines/>
              <w:tabs>
                <w:tab w:val="left" w:pos="-1440"/>
                <w:tab w:val="left" w:pos="-720"/>
              </w:tabs>
              <w:rPr>
                <w:rFonts w:cs="Times New Roman"/>
                <w:sz w:val="20"/>
                <w:szCs w:val="20"/>
              </w:rPr>
            </w:pPr>
            <w:r w:rsidRPr="004D4629">
              <w:rPr>
                <w:rFonts w:cs="Times New Roman"/>
                <w:sz w:val="20"/>
                <w:szCs w:val="20"/>
              </w:rPr>
              <w:tab/>
            </w:r>
            <w:r>
              <w:rPr>
                <w:rFonts w:cs="Times New Roman"/>
                <w:sz w:val="20"/>
                <w:szCs w:val="20"/>
              </w:rPr>
              <w:t>Lacy Barristers</w:t>
            </w:r>
          </w:p>
          <w:p w:rsidR="005C086A" w:rsidRPr="004D4629" w:rsidRDefault="005C086A" w:rsidP="007F31BE">
            <w:pPr>
              <w:keepNext/>
              <w:keepLines/>
              <w:tabs>
                <w:tab w:val="left" w:pos="-1440"/>
                <w:tab w:val="left" w:pos="-720"/>
              </w:tabs>
              <w:rPr>
                <w:rFonts w:cs="Times New Roman"/>
                <w:sz w:val="20"/>
                <w:szCs w:val="20"/>
              </w:rPr>
            </w:pPr>
          </w:p>
          <w:p w:rsidR="005C086A" w:rsidRPr="00F3249C" w:rsidRDefault="005C086A" w:rsidP="007F31BE">
            <w:pPr>
              <w:keepNext/>
              <w:keepLines/>
              <w:tabs>
                <w:tab w:val="left" w:pos="-1440"/>
                <w:tab w:val="left" w:pos="-720"/>
              </w:tabs>
              <w:rPr>
                <w:rFonts w:cs="Times New Roman"/>
                <w:sz w:val="20"/>
                <w:szCs w:val="20"/>
              </w:rPr>
            </w:pPr>
            <w:r w:rsidRPr="004D4629">
              <w:rPr>
                <w:rFonts w:cs="Times New Roman"/>
                <w:sz w:val="20"/>
                <w:szCs w:val="20"/>
              </w:rPr>
              <w:tab/>
            </w:r>
            <w:r w:rsidRPr="00F3249C">
              <w:rPr>
                <w:rFonts w:cs="Times New Roman"/>
                <w:sz w:val="20"/>
                <w:szCs w:val="20"/>
              </w:rPr>
              <w:t>v. (33</w:t>
            </w:r>
            <w:r>
              <w:rPr>
                <w:rFonts w:cs="Times New Roman"/>
                <w:sz w:val="20"/>
                <w:szCs w:val="20"/>
              </w:rPr>
              <w:t>818</w:t>
            </w:r>
            <w:r w:rsidRPr="00F3249C">
              <w:rPr>
                <w:rFonts w:cs="Times New Roman"/>
                <w:sz w:val="20"/>
                <w:szCs w:val="20"/>
              </w:rPr>
              <w:t>)</w:t>
            </w:r>
          </w:p>
          <w:p w:rsidR="005C086A" w:rsidRPr="00F3249C" w:rsidRDefault="005C086A" w:rsidP="007F31BE">
            <w:pPr>
              <w:keepNext/>
              <w:keepLines/>
              <w:tabs>
                <w:tab w:val="left" w:pos="-1440"/>
                <w:tab w:val="left" w:pos="-720"/>
              </w:tabs>
              <w:rPr>
                <w:rFonts w:cs="Times New Roman"/>
                <w:sz w:val="20"/>
                <w:szCs w:val="20"/>
              </w:rPr>
            </w:pPr>
          </w:p>
          <w:p w:rsidR="005C086A" w:rsidRPr="00F3249C" w:rsidRDefault="005C086A" w:rsidP="007F31BE">
            <w:pPr>
              <w:keepNext/>
              <w:keepLines/>
              <w:tabs>
                <w:tab w:val="left" w:pos="-1440"/>
                <w:tab w:val="left" w:pos="-720"/>
              </w:tabs>
              <w:rPr>
                <w:rFonts w:cs="Times New Roman"/>
                <w:b/>
                <w:sz w:val="20"/>
                <w:szCs w:val="20"/>
              </w:rPr>
            </w:pPr>
            <w:r>
              <w:rPr>
                <w:rFonts w:cs="Times New Roman"/>
                <w:b/>
                <w:sz w:val="20"/>
                <w:szCs w:val="20"/>
              </w:rPr>
              <w:t>Her Majesty the Queen</w:t>
            </w:r>
            <w:r w:rsidRPr="00F3249C">
              <w:rPr>
                <w:rFonts w:cs="Times New Roman"/>
                <w:b/>
                <w:sz w:val="20"/>
                <w:szCs w:val="20"/>
              </w:rPr>
              <w:t xml:space="preserve"> (Ont.)</w:t>
            </w:r>
          </w:p>
          <w:p w:rsidR="005C086A" w:rsidRPr="00F3249C" w:rsidRDefault="005C086A" w:rsidP="007F31BE">
            <w:pPr>
              <w:keepNext/>
              <w:keepLines/>
              <w:tabs>
                <w:tab w:val="left" w:pos="-1440"/>
                <w:tab w:val="left" w:pos="-720"/>
              </w:tabs>
              <w:rPr>
                <w:rFonts w:cs="Times New Roman"/>
                <w:sz w:val="20"/>
                <w:szCs w:val="20"/>
              </w:rPr>
            </w:pPr>
            <w:r w:rsidRPr="00F3249C">
              <w:rPr>
                <w:rFonts w:cs="Times New Roman"/>
                <w:sz w:val="20"/>
                <w:szCs w:val="20"/>
              </w:rPr>
              <w:tab/>
            </w:r>
            <w:r>
              <w:rPr>
                <w:rFonts w:cs="Times New Roman"/>
                <w:sz w:val="20"/>
                <w:szCs w:val="20"/>
              </w:rPr>
              <w:t>Megan Stephens</w:t>
            </w:r>
          </w:p>
          <w:p w:rsidR="005C086A" w:rsidRPr="00F3249C" w:rsidRDefault="005C086A" w:rsidP="007F31BE">
            <w:pPr>
              <w:keepNext/>
              <w:keepLines/>
              <w:tabs>
                <w:tab w:val="left" w:pos="-1440"/>
                <w:tab w:val="left" w:pos="-720"/>
              </w:tabs>
              <w:rPr>
                <w:rFonts w:cs="Times New Roman"/>
                <w:sz w:val="20"/>
                <w:szCs w:val="20"/>
              </w:rPr>
            </w:pPr>
            <w:r w:rsidRPr="00F3249C">
              <w:rPr>
                <w:rFonts w:cs="Times New Roman"/>
                <w:sz w:val="20"/>
                <w:szCs w:val="20"/>
              </w:rPr>
              <w:tab/>
            </w:r>
            <w:r>
              <w:rPr>
                <w:rFonts w:cs="Times New Roman"/>
                <w:sz w:val="20"/>
                <w:szCs w:val="20"/>
              </w:rPr>
              <w:t>A.G. of Ontario</w:t>
            </w:r>
          </w:p>
          <w:p w:rsidR="005C086A" w:rsidRPr="00F3249C" w:rsidRDefault="005C086A" w:rsidP="007F31BE">
            <w:pPr>
              <w:keepNext/>
              <w:keepLines/>
              <w:tabs>
                <w:tab w:val="left" w:pos="-1440"/>
                <w:tab w:val="left" w:pos="-720"/>
              </w:tabs>
              <w:rPr>
                <w:rFonts w:cs="Times New Roman"/>
                <w:sz w:val="20"/>
                <w:szCs w:val="20"/>
              </w:rPr>
            </w:pPr>
          </w:p>
          <w:p w:rsidR="005C086A" w:rsidRPr="004D4629" w:rsidRDefault="005C086A" w:rsidP="007F31BE">
            <w:pPr>
              <w:rPr>
                <w:rFonts w:cs="Times New Roman"/>
                <w:sz w:val="20"/>
                <w:szCs w:val="20"/>
              </w:rPr>
            </w:pPr>
            <w:r w:rsidRPr="004D4629">
              <w:rPr>
                <w:rFonts w:cs="Times New Roman"/>
                <w:sz w:val="20"/>
                <w:szCs w:val="20"/>
              </w:rPr>
              <w:t xml:space="preserve">FILING DATE: </w:t>
            </w:r>
            <w:r>
              <w:rPr>
                <w:rFonts w:cs="Times New Roman"/>
                <w:sz w:val="20"/>
                <w:szCs w:val="20"/>
              </w:rPr>
              <w:t>18.10.2010</w:t>
            </w:r>
            <w:r w:rsidR="00857426" w:rsidRPr="00857426">
              <w:rPr>
                <w:rFonts w:cs="Times New Roman"/>
                <w:sz w:val="20"/>
                <w:szCs w:val="20"/>
                <w:lang w:val="fr-CA"/>
              </w:rPr>
              <w:pict>
                <v:rect id="_x0000_i1030" style="width:108pt;height:1pt" o:hrpct="0" o:hralign="center" o:hrstd="t" o:hrnoshade="t" o:hr="t" fillcolor="black [3213]" stroked="f"/>
              </w:pict>
            </w:r>
          </w:p>
        </w:tc>
      </w:tr>
      <w:tr w:rsidR="005C086A" w:rsidRPr="004D4629" w:rsidTr="007F31BE">
        <w:trPr>
          <w:cantSplit/>
        </w:trPr>
        <w:tc>
          <w:tcPr>
            <w:tcW w:w="4320" w:type="dxa"/>
            <w:shd w:val="clear" w:color="auto" w:fill="auto"/>
          </w:tcPr>
          <w:p w:rsidR="005C086A" w:rsidRPr="0041579D" w:rsidRDefault="005C086A" w:rsidP="004D4629">
            <w:pPr>
              <w:rPr>
                <w:rFonts w:cs="Times New Roman"/>
                <w:b/>
                <w:sz w:val="20"/>
                <w:szCs w:val="20"/>
                <w:lang w:val="fr-CA"/>
              </w:rPr>
            </w:pPr>
            <w:proofErr w:type="spellStart"/>
            <w:r w:rsidRPr="0041579D">
              <w:rPr>
                <w:rFonts w:cs="Times New Roman"/>
                <w:b/>
                <w:sz w:val="20"/>
                <w:szCs w:val="20"/>
                <w:lang w:val="fr-CA"/>
              </w:rPr>
              <w:t>Gurbaksh</w:t>
            </w:r>
            <w:proofErr w:type="spellEnd"/>
            <w:r w:rsidRPr="0041579D">
              <w:rPr>
                <w:rFonts w:cs="Times New Roman"/>
                <w:b/>
                <w:sz w:val="20"/>
                <w:szCs w:val="20"/>
                <w:lang w:val="fr-CA"/>
              </w:rPr>
              <w:t xml:space="preserve"> Kaur </w:t>
            </w:r>
            <w:proofErr w:type="spellStart"/>
            <w:r w:rsidRPr="0041579D">
              <w:rPr>
                <w:rFonts w:cs="Times New Roman"/>
                <w:b/>
                <w:sz w:val="20"/>
                <w:szCs w:val="20"/>
                <w:lang w:val="fr-CA"/>
              </w:rPr>
              <w:t>Dhaliwal</w:t>
            </w:r>
            <w:proofErr w:type="spellEnd"/>
            <w:r w:rsidRPr="0041579D">
              <w:rPr>
                <w:rFonts w:cs="Times New Roman"/>
                <w:b/>
                <w:sz w:val="20"/>
                <w:szCs w:val="20"/>
                <w:lang w:val="fr-CA"/>
              </w:rPr>
              <w:t xml:space="preserve"> et al.</w:t>
            </w:r>
          </w:p>
          <w:p w:rsidR="005C086A" w:rsidRPr="00F3249C" w:rsidRDefault="005C086A" w:rsidP="004D4629">
            <w:pPr>
              <w:tabs>
                <w:tab w:val="left" w:pos="-1440"/>
                <w:tab w:val="left" w:pos="-720"/>
              </w:tabs>
              <w:rPr>
                <w:rFonts w:cs="Times New Roman"/>
                <w:sz w:val="20"/>
                <w:szCs w:val="20"/>
              </w:rPr>
            </w:pPr>
            <w:r w:rsidRPr="0041579D">
              <w:rPr>
                <w:rFonts w:cs="Times New Roman"/>
                <w:sz w:val="20"/>
                <w:szCs w:val="20"/>
                <w:lang w:val="fr-CA"/>
              </w:rPr>
              <w:tab/>
            </w:r>
            <w:r w:rsidRPr="00F3249C">
              <w:rPr>
                <w:rFonts w:cs="Times New Roman"/>
                <w:sz w:val="20"/>
                <w:szCs w:val="20"/>
              </w:rPr>
              <w:t>Susan M. Chapman</w:t>
            </w:r>
          </w:p>
          <w:p w:rsidR="005C086A" w:rsidRPr="00F3249C" w:rsidRDefault="005C086A" w:rsidP="004D4629">
            <w:pPr>
              <w:tabs>
                <w:tab w:val="left" w:pos="-1440"/>
                <w:tab w:val="left" w:pos="-720"/>
              </w:tabs>
              <w:rPr>
                <w:rFonts w:cs="Times New Roman"/>
                <w:sz w:val="20"/>
                <w:szCs w:val="20"/>
              </w:rPr>
            </w:pPr>
            <w:r w:rsidRPr="00F3249C">
              <w:rPr>
                <w:rFonts w:cs="Times New Roman"/>
                <w:sz w:val="20"/>
                <w:szCs w:val="20"/>
              </w:rPr>
              <w:tab/>
            </w:r>
            <w:proofErr w:type="spellStart"/>
            <w:r w:rsidRPr="00F3249C">
              <w:rPr>
                <w:rFonts w:cs="Times New Roman"/>
                <w:sz w:val="20"/>
                <w:szCs w:val="20"/>
              </w:rPr>
              <w:t>Pape</w:t>
            </w:r>
            <w:proofErr w:type="spellEnd"/>
            <w:r w:rsidRPr="00F3249C">
              <w:rPr>
                <w:rFonts w:cs="Times New Roman"/>
                <w:sz w:val="20"/>
                <w:szCs w:val="20"/>
              </w:rPr>
              <w:t xml:space="preserve"> Barristers</w:t>
            </w:r>
          </w:p>
          <w:p w:rsidR="005C086A" w:rsidRPr="00F3249C" w:rsidRDefault="005C086A" w:rsidP="004D4629">
            <w:pPr>
              <w:tabs>
                <w:tab w:val="left" w:pos="-1440"/>
                <w:tab w:val="left" w:pos="-720"/>
              </w:tabs>
              <w:rPr>
                <w:rFonts w:cs="Times New Roman"/>
                <w:sz w:val="20"/>
                <w:szCs w:val="20"/>
              </w:rPr>
            </w:pPr>
          </w:p>
          <w:p w:rsidR="005C086A" w:rsidRPr="004D4629" w:rsidRDefault="005C086A" w:rsidP="004D4629">
            <w:pPr>
              <w:tabs>
                <w:tab w:val="left" w:pos="-1440"/>
                <w:tab w:val="left" w:pos="-720"/>
              </w:tabs>
              <w:rPr>
                <w:rFonts w:cs="Times New Roman"/>
                <w:sz w:val="20"/>
                <w:szCs w:val="20"/>
              </w:rPr>
            </w:pPr>
            <w:r w:rsidRPr="00F3249C">
              <w:rPr>
                <w:rFonts w:cs="Times New Roman"/>
                <w:sz w:val="20"/>
                <w:szCs w:val="20"/>
              </w:rPr>
              <w:tab/>
            </w:r>
            <w:r w:rsidRPr="004D4629">
              <w:rPr>
                <w:rFonts w:cs="Times New Roman"/>
                <w:sz w:val="20"/>
                <w:szCs w:val="20"/>
              </w:rPr>
              <w:t>v. (33</w:t>
            </w:r>
            <w:r>
              <w:rPr>
                <w:rFonts w:cs="Times New Roman"/>
                <w:sz w:val="20"/>
                <w:szCs w:val="20"/>
              </w:rPr>
              <w:t>920</w:t>
            </w:r>
            <w:r w:rsidRPr="004D4629">
              <w:rPr>
                <w:rFonts w:cs="Times New Roman"/>
                <w:sz w:val="20"/>
                <w:szCs w:val="20"/>
              </w:rPr>
              <w:t>)</w:t>
            </w:r>
          </w:p>
          <w:p w:rsidR="005C086A" w:rsidRPr="004D4629" w:rsidRDefault="005C086A" w:rsidP="004D4629">
            <w:pPr>
              <w:tabs>
                <w:tab w:val="left" w:pos="-1440"/>
                <w:tab w:val="left" w:pos="-720"/>
              </w:tabs>
              <w:rPr>
                <w:rFonts w:cs="Times New Roman"/>
                <w:sz w:val="20"/>
                <w:szCs w:val="20"/>
              </w:rPr>
            </w:pPr>
          </w:p>
          <w:p w:rsidR="005C086A" w:rsidRPr="004D4629" w:rsidRDefault="005C086A" w:rsidP="004D4629">
            <w:pPr>
              <w:tabs>
                <w:tab w:val="left" w:pos="-1440"/>
                <w:tab w:val="left" w:pos="-720"/>
              </w:tabs>
              <w:rPr>
                <w:rFonts w:cs="Times New Roman"/>
                <w:b/>
                <w:sz w:val="20"/>
                <w:szCs w:val="20"/>
              </w:rPr>
            </w:pPr>
            <w:r>
              <w:rPr>
                <w:rFonts w:cs="Times New Roman"/>
                <w:b/>
                <w:sz w:val="20"/>
                <w:szCs w:val="20"/>
              </w:rPr>
              <w:t xml:space="preserve">David Ross Lindsay et al. </w:t>
            </w:r>
            <w:r w:rsidRPr="004D4629">
              <w:rPr>
                <w:rFonts w:cs="Times New Roman"/>
                <w:b/>
                <w:sz w:val="20"/>
                <w:szCs w:val="20"/>
              </w:rPr>
              <w:t>(</w:t>
            </w:r>
            <w:r>
              <w:rPr>
                <w:rFonts w:cs="Times New Roman"/>
                <w:b/>
                <w:sz w:val="20"/>
                <w:szCs w:val="20"/>
              </w:rPr>
              <w:t>Ont</w:t>
            </w:r>
            <w:r w:rsidRPr="004D4629">
              <w:rPr>
                <w:rFonts w:cs="Times New Roman"/>
                <w:b/>
                <w:sz w:val="20"/>
                <w:szCs w:val="20"/>
              </w:rPr>
              <w:t>.)</w:t>
            </w:r>
          </w:p>
          <w:p w:rsidR="005C086A" w:rsidRPr="004D4629" w:rsidRDefault="005C086A" w:rsidP="004D4629">
            <w:pPr>
              <w:tabs>
                <w:tab w:val="left" w:pos="-1440"/>
                <w:tab w:val="left" w:pos="-720"/>
              </w:tabs>
              <w:rPr>
                <w:rFonts w:cs="Times New Roman"/>
                <w:sz w:val="20"/>
                <w:szCs w:val="20"/>
              </w:rPr>
            </w:pPr>
            <w:r w:rsidRPr="004D4629">
              <w:rPr>
                <w:rFonts w:cs="Times New Roman"/>
                <w:sz w:val="20"/>
                <w:szCs w:val="20"/>
              </w:rPr>
              <w:tab/>
            </w:r>
            <w:proofErr w:type="spellStart"/>
            <w:r>
              <w:rPr>
                <w:rFonts w:cs="Times New Roman"/>
                <w:sz w:val="20"/>
                <w:szCs w:val="20"/>
              </w:rPr>
              <w:t>Keary</w:t>
            </w:r>
            <w:proofErr w:type="spellEnd"/>
            <w:r>
              <w:rPr>
                <w:rFonts w:cs="Times New Roman"/>
                <w:sz w:val="20"/>
                <w:szCs w:val="20"/>
              </w:rPr>
              <w:t xml:space="preserve"> F. Grace</w:t>
            </w:r>
          </w:p>
          <w:p w:rsidR="005C086A" w:rsidRPr="004D4629" w:rsidRDefault="005C086A" w:rsidP="004D4629">
            <w:pPr>
              <w:tabs>
                <w:tab w:val="left" w:pos="-1440"/>
                <w:tab w:val="left" w:pos="-720"/>
              </w:tabs>
              <w:rPr>
                <w:rFonts w:cs="Times New Roman"/>
                <w:sz w:val="20"/>
                <w:szCs w:val="20"/>
              </w:rPr>
            </w:pPr>
            <w:r w:rsidRPr="004D4629">
              <w:rPr>
                <w:rFonts w:cs="Times New Roman"/>
                <w:sz w:val="20"/>
                <w:szCs w:val="20"/>
              </w:rPr>
              <w:tab/>
            </w:r>
            <w:r>
              <w:rPr>
                <w:rFonts w:cs="Times New Roman"/>
                <w:sz w:val="20"/>
                <w:szCs w:val="20"/>
              </w:rPr>
              <w:t xml:space="preserve">McCarthy </w:t>
            </w:r>
            <w:proofErr w:type="spellStart"/>
            <w:r>
              <w:rPr>
                <w:rFonts w:cs="Times New Roman"/>
                <w:sz w:val="20"/>
                <w:szCs w:val="20"/>
              </w:rPr>
              <w:t>Tetrault</w:t>
            </w:r>
            <w:proofErr w:type="spellEnd"/>
            <w:r>
              <w:rPr>
                <w:rFonts w:cs="Times New Roman"/>
                <w:sz w:val="20"/>
                <w:szCs w:val="20"/>
              </w:rPr>
              <w:t xml:space="preserve"> LLP</w:t>
            </w:r>
          </w:p>
          <w:p w:rsidR="005C086A" w:rsidRPr="004D4629" w:rsidRDefault="005C086A" w:rsidP="004D4629">
            <w:pPr>
              <w:tabs>
                <w:tab w:val="left" w:pos="-1440"/>
                <w:tab w:val="left" w:pos="-720"/>
              </w:tabs>
              <w:rPr>
                <w:rFonts w:cs="Times New Roman"/>
                <w:sz w:val="20"/>
                <w:szCs w:val="20"/>
              </w:rPr>
            </w:pPr>
          </w:p>
          <w:p w:rsidR="005C086A" w:rsidRPr="004D4629" w:rsidRDefault="005C086A" w:rsidP="004D4629">
            <w:pPr>
              <w:rPr>
                <w:rFonts w:cs="Times New Roman"/>
                <w:sz w:val="20"/>
                <w:szCs w:val="20"/>
              </w:rPr>
            </w:pPr>
            <w:r w:rsidRPr="004D4629">
              <w:rPr>
                <w:rFonts w:cs="Times New Roman"/>
                <w:sz w:val="20"/>
                <w:szCs w:val="20"/>
              </w:rPr>
              <w:t xml:space="preserve">FILING DATE: </w:t>
            </w:r>
            <w:r>
              <w:rPr>
                <w:rFonts w:cs="Times New Roman"/>
                <w:sz w:val="20"/>
                <w:szCs w:val="20"/>
              </w:rPr>
              <w:t>28.10.2010</w:t>
            </w:r>
          </w:p>
          <w:p w:rsidR="005C086A" w:rsidRPr="004D4629" w:rsidRDefault="00857426" w:rsidP="004D4629">
            <w:pPr>
              <w:rPr>
                <w:rFonts w:cs="Times New Roman"/>
                <w:sz w:val="20"/>
                <w:szCs w:val="20"/>
              </w:rPr>
            </w:pPr>
            <w:r w:rsidRPr="00857426">
              <w:rPr>
                <w:rFonts w:cs="Times New Roman"/>
                <w:sz w:val="20"/>
                <w:szCs w:val="20"/>
                <w:lang w:val="fr-CA"/>
              </w:rPr>
              <w:pict>
                <v:rect id="_x0000_i1031" style="width:108pt;height:1pt" o:hrpct="0" o:hralign="center" o:hrstd="t" o:hrnoshade="t" o:hr="t" fillcolor="black [3213]" stroked="f"/>
              </w:pict>
            </w:r>
          </w:p>
        </w:tc>
        <w:tc>
          <w:tcPr>
            <w:tcW w:w="1181" w:type="dxa"/>
            <w:shd w:val="clear" w:color="auto" w:fill="auto"/>
          </w:tcPr>
          <w:p w:rsidR="005C086A" w:rsidRPr="004D4629" w:rsidRDefault="005C086A" w:rsidP="00195C27">
            <w:pPr>
              <w:jc w:val="center"/>
              <w:rPr>
                <w:rFonts w:cs="Times New Roman"/>
                <w:sz w:val="20"/>
                <w:szCs w:val="20"/>
              </w:rPr>
            </w:pPr>
          </w:p>
        </w:tc>
        <w:tc>
          <w:tcPr>
            <w:tcW w:w="4320" w:type="dxa"/>
            <w:shd w:val="clear" w:color="auto" w:fill="auto"/>
          </w:tcPr>
          <w:p w:rsidR="005C086A" w:rsidRPr="004D4629" w:rsidRDefault="005C086A" w:rsidP="004D4629">
            <w:pPr>
              <w:keepNext/>
              <w:keepLines/>
              <w:tabs>
                <w:tab w:val="left" w:pos="-1440"/>
                <w:tab w:val="left" w:pos="-720"/>
              </w:tabs>
              <w:rPr>
                <w:rFonts w:cs="Times New Roman"/>
                <w:b/>
                <w:sz w:val="20"/>
                <w:szCs w:val="20"/>
              </w:rPr>
            </w:pPr>
            <w:r>
              <w:rPr>
                <w:rFonts w:cs="Times New Roman"/>
                <w:b/>
                <w:sz w:val="20"/>
                <w:szCs w:val="20"/>
              </w:rPr>
              <w:t>York University</w:t>
            </w:r>
          </w:p>
          <w:p w:rsidR="005C086A" w:rsidRPr="004D4629" w:rsidRDefault="005C086A" w:rsidP="004D4629">
            <w:pPr>
              <w:keepNext/>
              <w:keepLines/>
              <w:tabs>
                <w:tab w:val="left" w:pos="-1440"/>
                <w:tab w:val="left" w:pos="-720"/>
              </w:tabs>
              <w:rPr>
                <w:rFonts w:cs="Times New Roman"/>
                <w:sz w:val="20"/>
                <w:szCs w:val="20"/>
              </w:rPr>
            </w:pPr>
            <w:r w:rsidRPr="004D4629">
              <w:rPr>
                <w:rFonts w:cs="Times New Roman"/>
                <w:sz w:val="20"/>
                <w:szCs w:val="20"/>
              </w:rPr>
              <w:tab/>
            </w:r>
            <w:r>
              <w:rPr>
                <w:rFonts w:cs="Times New Roman"/>
                <w:sz w:val="20"/>
                <w:szCs w:val="20"/>
              </w:rPr>
              <w:t xml:space="preserve">Alexander D. </w:t>
            </w:r>
            <w:proofErr w:type="spellStart"/>
            <w:r>
              <w:rPr>
                <w:rFonts w:cs="Times New Roman"/>
                <w:sz w:val="20"/>
                <w:szCs w:val="20"/>
              </w:rPr>
              <w:t>Pettingill</w:t>
            </w:r>
            <w:proofErr w:type="spellEnd"/>
          </w:p>
          <w:p w:rsidR="005C086A" w:rsidRPr="004D4629" w:rsidRDefault="005C086A" w:rsidP="004D4629">
            <w:pPr>
              <w:keepNext/>
              <w:keepLines/>
              <w:tabs>
                <w:tab w:val="left" w:pos="-1440"/>
                <w:tab w:val="left" w:pos="-720"/>
              </w:tabs>
              <w:rPr>
                <w:rFonts w:cs="Times New Roman"/>
                <w:sz w:val="20"/>
                <w:szCs w:val="20"/>
              </w:rPr>
            </w:pPr>
            <w:r w:rsidRPr="004D4629">
              <w:rPr>
                <w:rFonts w:cs="Times New Roman"/>
                <w:sz w:val="20"/>
                <w:szCs w:val="20"/>
              </w:rPr>
              <w:tab/>
            </w:r>
            <w:r>
              <w:rPr>
                <w:rFonts w:cs="Times New Roman"/>
                <w:sz w:val="20"/>
                <w:szCs w:val="20"/>
              </w:rPr>
              <w:t xml:space="preserve">Thomas Gold </w:t>
            </w:r>
            <w:proofErr w:type="spellStart"/>
            <w:r>
              <w:rPr>
                <w:rFonts w:cs="Times New Roman"/>
                <w:sz w:val="20"/>
                <w:szCs w:val="20"/>
              </w:rPr>
              <w:t>Pettingill</w:t>
            </w:r>
            <w:proofErr w:type="spellEnd"/>
            <w:r>
              <w:rPr>
                <w:rFonts w:cs="Times New Roman"/>
                <w:sz w:val="20"/>
                <w:szCs w:val="20"/>
              </w:rPr>
              <w:t xml:space="preserve"> LLP</w:t>
            </w:r>
          </w:p>
          <w:p w:rsidR="005C086A" w:rsidRPr="004D4629" w:rsidRDefault="005C086A" w:rsidP="004D4629">
            <w:pPr>
              <w:keepNext/>
              <w:keepLines/>
              <w:tabs>
                <w:tab w:val="left" w:pos="-1440"/>
                <w:tab w:val="left" w:pos="-720"/>
              </w:tabs>
              <w:rPr>
                <w:rFonts w:cs="Times New Roman"/>
                <w:sz w:val="20"/>
                <w:szCs w:val="20"/>
              </w:rPr>
            </w:pPr>
          </w:p>
          <w:p w:rsidR="005C086A" w:rsidRPr="0041579D" w:rsidRDefault="005C086A" w:rsidP="004D4629">
            <w:pPr>
              <w:keepNext/>
              <w:keepLines/>
              <w:tabs>
                <w:tab w:val="left" w:pos="-1440"/>
                <w:tab w:val="left" w:pos="-720"/>
              </w:tabs>
              <w:rPr>
                <w:rFonts w:cs="Times New Roman"/>
                <w:sz w:val="20"/>
                <w:szCs w:val="20"/>
                <w:lang w:val="fr-CA"/>
              </w:rPr>
            </w:pPr>
            <w:r w:rsidRPr="004D4629">
              <w:rPr>
                <w:rFonts w:cs="Times New Roman"/>
                <w:sz w:val="20"/>
                <w:szCs w:val="20"/>
              </w:rPr>
              <w:tab/>
            </w:r>
            <w:r w:rsidRPr="0041579D">
              <w:rPr>
                <w:rFonts w:cs="Times New Roman"/>
                <w:sz w:val="20"/>
                <w:szCs w:val="20"/>
                <w:lang w:val="fr-CA"/>
              </w:rPr>
              <w:t>v. (33938)</w:t>
            </w:r>
          </w:p>
          <w:p w:rsidR="005C086A" w:rsidRPr="0041579D" w:rsidRDefault="005C086A" w:rsidP="004D4629">
            <w:pPr>
              <w:keepNext/>
              <w:keepLines/>
              <w:tabs>
                <w:tab w:val="left" w:pos="-1440"/>
                <w:tab w:val="left" w:pos="-720"/>
              </w:tabs>
              <w:rPr>
                <w:rFonts w:cs="Times New Roman"/>
                <w:sz w:val="20"/>
                <w:szCs w:val="20"/>
                <w:lang w:val="fr-CA"/>
              </w:rPr>
            </w:pPr>
          </w:p>
          <w:p w:rsidR="005C086A" w:rsidRPr="00F3249C" w:rsidRDefault="005C086A" w:rsidP="004D4629">
            <w:pPr>
              <w:keepNext/>
              <w:keepLines/>
              <w:tabs>
                <w:tab w:val="left" w:pos="-1440"/>
                <w:tab w:val="left" w:pos="-720"/>
              </w:tabs>
              <w:rPr>
                <w:rFonts w:cs="Times New Roman"/>
                <w:b/>
                <w:sz w:val="20"/>
                <w:szCs w:val="20"/>
                <w:lang w:val="fr-CA"/>
              </w:rPr>
            </w:pPr>
            <w:proofErr w:type="spellStart"/>
            <w:r w:rsidRPr="00F3249C">
              <w:rPr>
                <w:rFonts w:cs="Times New Roman"/>
                <w:b/>
                <w:sz w:val="20"/>
                <w:szCs w:val="20"/>
                <w:lang w:val="fr-CA"/>
              </w:rPr>
              <w:t>Ashif</w:t>
            </w:r>
            <w:proofErr w:type="spellEnd"/>
            <w:r w:rsidRPr="00F3249C">
              <w:rPr>
                <w:rFonts w:cs="Times New Roman"/>
                <w:b/>
                <w:sz w:val="20"/>
                <w:szCs w:val="20"/>
                <w:lang w:val="fr-CA"/>
              </w:rPr>
              <w:t xml:space="preserve"> A. Jaffer (Ont.)</w:t>
            </w:r>
          </w:p>
          <w:p w:rsidR="005C086A" w:rsidRPr="0041579D" w:rsidRDefault="005C086A" w:rsidP="004D4629">
            <w:pPr>
              <w:keepNext/>
              <w:keepLines/>
              <w:tabs>
                <w:tab w:val="left" w:pos="-1440"/>
                <w:tab w:val="left" w:pos="-720"/>
              </w:tabs>
              <w:rPr>
                <w:rFonts w:cs="Times New Roman"/>
                <w:sz w:val="20"/>
                <w:szCs w:val="20"/>
              </w:rPr>
            </w:pPr>
            <w:r w:rsidRPr="00F3249C">
              <w:rPr>
                <w:rFonts w:cs="Times New Roman"/>
                <w:sz w:val="20"/>
                <w:szCs w:val="20"/>
                <w:lang w:val="fr-CA"/>
              </w:rPr>
              <w:tab/>
            </w:r>
            <w:r w:rsidRPr="0041579D">
              <w:rPr>
                <w:rFonts w:cs="Times New Roman"/>
                <w:sz w:val="20"/>
                <w:szCs w:val="20"/>
              </w:rPr>
              <w:t xml:space="preserve">James S. </w:t>
            </w:r>
            <w:proofErr w:type="spellStart"/>
            <w:r w:rsidRPr="0041579D">
              <w:rPr>
                <w:rFonts w:cs="Times New Roman"/>
                <w:sz w:val="20"/>
                <w:szCs w:val="20"/>
              </w:rPr>
              <w:t>Schacter</w:t>
            </w:r>
            <w:proofErr w:type="spellEnd"/>
          </w:p>
          <w:p w:rsidR="005C086A" w:rsidRPr="00F3249C" w:rsidRDefault="005C086A" w:rsidP="004D4629">
            <w:pPr>
              <w:keepNext/>
              <w:keepLines/>
              <w:tabs>
                <w:tab w:val="left" w:pos="-1440"/>
                <w:tab w:val="left" w:pos="-720"/>
              </w:tabs>
              <w:rPr>
                <w:rFonts w:cs="Times New Roman"/>
                <w:sz w:val="20"/>
                <w:szCs w:val="20"/>
              </w:rPr>
            </w:pPr>
            <w:r w:rsidRPr="0041579D">
              <w:rPr>
                <w:rFonts w:cs="Times New Roman"/>
                <w:sz w:val="20"/>
                <w:szCs w:val="20"/>
              </w:rPr>
              <w:tab/>
            </w:r>
            <w:proofErr w:type="spellStart"/>
            <w:r w:rsidRPr="00F3249C">
              <w:rPr>
                <w:rFonts w:cs="Times New Roman"/>
                <w:sz w:val="20"/>
                <w:szCs w:val="20"/>
              </w:rPr>
              <w:t>Zuber</w:t>
            </w:r>
            <w:proofErr w:type="spellEnd"/>
            <w:r w:rsidRPr="00F3249C">
              <w:rPr>
                <w:rFonts w:cs="Times New Roman"/>
                <w:sz w:val="20"/>
                <w:szCs w:val="20"/>
              </w:rPr>
              <w:t xml:space="preserve"> &amp; Company</w:t>
            </w:r>
          </w:p>
          <w:p w:rsidR="005C086A" w:rsidRPr="00F3249C" w:rsidRDefault="005C086A" w:rsidP="004D4629">
            <w:pPr>
              <w:keepNext/>
              <w:keepLines/>
              <w:tabs>
                <w:tab w:val="left" w:pos="-1440"/>
                <w:tab w:val="left" w:pos="-720"/>
              </w:tabs>
              <w:rPr>
                <w:rFonts w:cs="Times New Roman"/>
                <w:sz w:val="20"/>
                <w:szCs w:val="20"/>
              </w:rPr>
            </w:pPr>
          </w:p>
          <w:p w:rsidR="005C086A" w:rsidRPr="004D4629" w:rsidRDefault="005C086A" w:rsidP="004D4629">
            <w:pPr>
              <w:rPr>
                <w:rFonts w:cs="Times New Roman"/>
                <w:sz w:val="20"/>
                <w:szCs w:val="20"/>
              </w:rPr>
            </w:pPr>
            <w:r w:rsidRPr="004D4629">
              <w:rPr>
                <w:rFonts w:cs="Times New Roman"/>
                <w:sz w:val="20"/>
                <w:szCs w:val="20"/>
              </w:rPr>
              <w:t>FILING DATE:</w:t>
            </w:r>
            <w:r>
              <w:rPr>
                <w:rFonts w:cs="Times New Roman"/>
                <w:sz w:val="20"/>
                <w:szCs w:val="20"/>
              </w:rPr>
              <w:t>15.11.2010</w:t>
            </w:r>
            <w:r w:rsidRPr="004D4629">
              <w:rPr>
                <w:rFonts w:cs="Times New Roman"/>
                <w:sz w:val="20"/>
                <w:szCs w:val="20"/>
              </w:rPr>
              <w:t xml:space="preserve"> </w:t>
            </w:r>
            <w:r w:rsidR="00857426" w:rsidRPr="00857426">
              <w:rPr>
                <w:rFonts w:cs="Times New Roman"/>
                <w:sz w:val="20"/>
                <w:szCs w:val="20"/>
                <w:lang w:val="fr-CA"/>
              </w:rPr>
              <w:pict>
                <v:rect id="_x0000_i1032" style="width:108pt;height:1pt" o:hrpct="0" o:hralign="center" o:hrstd="t" o:hrnoshade="t" o:hr="t" fillcolor="black [3213]" stroked="f"/>
              </w:pict>
            </w:r>
          </w:p>
        </w:tc>
      </w:tr>
      <w:tr w:rsidR="005C086A" w:rsidRPr="001C2F5E" w:rsidTr="007F31BE">
        <w:trPr>
          <w:cantSplit/>
        </w:trPr>
        <w:tc>
          <w:tcPr>
            <w:tcW w:w="4320" w:type="dxa"/>
            <w:shd w:val="clear" w:color="auto" w:fill="auto"/>
          </w:tcPr>
          <w:p w:rsidR="005C086A" w:rsidRPr="004D4629" w:rsidRDefault="007F31BE" w:rsidP="004D4629">
            <w:pPr>
              <w:rPr>
                <w:rFonts w:cs="Times New Roman"/>
                <w:b/>
                <w:sz w:val="20"/>
                <w:szCs w:val="20"/>
              </w:rPr>
            </w:pPr>
            <w:proofErr w:type="spellStart"/>
            <w:r>
              <w:rPr>
                <w:rFonts w:cs="Times New Roman"/>
                <w:b/>
                <w:sz w:val="20"/>
                <w:szCs w:val="20"/>
              </w:rPr>
              <w:lastRenderedPageBreak/>
              <w:t>Valcom</w:t>
            </w:r>
            <w:proofErr w:type="spellEnd"/>
            <w:r>
              <w:rPr>
                <w:rFonts w:cs="Times New Roman"/>
                <w:b/>
                <w:sz w:val="20"/>
                <w:szCs w:val="20"/>
              </w:rPr>
              <w:t xml:space="preserve"> Limited et al.</w:t>
            </w:r>
          </w:p>
          <w:p w:rsidR="005C086A" w:rsidRPr="004D4629" w:rsidRDefault="005C086A" w:rsidP="004D4629">
            <w:pPr>
              <w:tabs>
                <w:tab w:val="left" w:pos="-1440"/>
                <w:tab w:val="left" w:pos="-720"/>
              </w:tabs>
              <w:rPr>
                <w:rFonts w:cs="Times New Roman"/>
                <w:sz w:val="20"/>
                <w:szCs w:val="20"/>
              </w:rPr>
            </w:pPr>
            <w:r w:rsidRPr="004D4629">
              <w:rPr>
                <w:rFonts w:cs="Times New Roman"/>
                <w:sz w:val="20"/>
                <w:szCs w:val="20"/>
              </w:rPr>
              <w:tab/>
            </w:r>
            <w:r w:rsidR="007F31BE">
              <w:rPr>
                <w:rFonts w:cs="Times New Roman"/>
                <w:sz w:val="20"/>
                <w:szCs w:val="20"/>
              </w:rPr>
              <w:t xml:space="preserve">Peter </w:t>
            </w:r>
            <w:proofErr w:type="spellStart"/>
            <w:r w:rsidR="007F31BE">
              <w:rPr>
                <w:rFonts w:cs="Times New Roman"/>
                <w:sz w:val="20"/>
                <w:szCs w:val="20"/>
              </w:rPr>
              <w:t>Doody</w:t>
            </w:r>
            <w:proofErr w:type="spellEnd"/>
          </w:p>
          <w:p w:rsidR="005C086A" w:rsidRPr="004D4629" w:rsidRDefault="005C086A" w:rsidP="004D4629">
            <w:pPr>
              <w:tabs>
                <w:tab w:val="left" w:pos="-1440"/>
                <w:tab w:val="left" w:pos="-720"/>
              </w:tabs>
              <w:rPr>
                <w:rFonts w:cs="Times New Roman"/>
                <w:sz w:val="20"/>
                <w:szCs w:val="20"/>
              </w:rPr>
            </w:pPr>
            <w:r w:rsidRPr="004D4629">
              <w:rPr>
                <w:rFonts w:cs="Times New Roman"/>
                <w:sz w:val="20"/>
                <w:szCs w:val="20"/>
              </w:rPr>
              <w:tab/>
            </w:r>
            <w:r w:rsidR="007F31BE">
              <w:rPr>
                <w:rFonts w:cs="Times New Roman"/>
                <w:sz w:val="20"/>
                <w:szCs w:val="20"/>
              </w:rPr>
              <w:t xml:space="preserve">Borden </w:t>
            </w:r>
            <w:proofErr w:type="spellStart"/>
            <w:r w:rsidR="007F31BE">
              <w:rPr>
                <w:rFonts w:cs="Times New Roman"/>
                <w:sz w:val="20"/>
                <w:szCs w:val="20"/>
              </w:rPr>
              <w:t>Ladner</w:t>
            </w:r>
            <w:proofErr w:type="spellEnd"/>
            <w:r w:rsidR="007F31BE">
              <w:rPr>
                <w:rFonts w:cs="Times New Roman"/>
                <w:sz w:val="20"/>
                <w:szCs w:val="20"/>
              </w:rPr>
              <w:t xml:space="preserve"> </w:t>
            </w:r>
            <w:proofErr w:type="spellStart"/>
            <w:r w:rsidR="007F31BE">
              <w:rPr>
                <w:rFonts w:cs="Times New Roman"/>
                <w:sz w:val="20"/>
                <w:szCs w:val="20"/>
              </w:rPr>
              <w:t>Gervais</w:t>
            </w:r>
            <w:proofErr w:type="spellEnd"/>
            <w:r w:rsidR="007F31BE">
              <w:rPr>
                <w:rFonts w:cs="Times New Roman"/>
                <w:sz w:val="20"/>
                <w:szCs w:val="20"/>
              </w:rPr>
              <w:t xml:space="preserve"> LLP</w:t>
            </w:r>
          </w:p>
          <w:p w:rsidR="005C086A" w:rsidRPr="004D4629" w:rsidRDefault="005C086A" w:rsidP="004D4629">
            <w:pPr>
              <w:tabs>
                <w:tab w:val="left" w:pos="-1440"/>
                <w:tab w:val="left" w:pos="-720"/>
              </w:tabs>
              <w:rPr>
                <w:rFonts w:cs="Times New Roman"/>
                <w:sz w:val="20"/>
                <w:szCs w:val="20"/>
              </w:rPr>
            </w:pPr>
          </w:p>
          <w:p w:rsidR="005C086A" w:rsidRPr="0041579D" w:rsidRDefault="005C086A" w:rsidP="004D4629">
            <w:pPr>
              <w:tabs>
                <w:tab w:val="left" w:pos="-1440"/>
                <w:tab w:val="left" w:pos="-720"/>
              </w:tabs>
              <w:rPr>
                <w:rFonts w:cs="Times New Roman"/>
                <w:sz w:val="20"/>
                <w:szCs w:val="20"/>
                <w:lang w:val="fr-CA"/>
              </w:rPr>
            </w:pPr>
            <w:r w:rsidRPr="004D4629">
              <w:rPr>
                <w:rFonts w:cs="Times New Roman"/>
                <w:sz w:val="20"/>
                <w:szCs w:val="20"/>
              </w:rPr>
              <w:tab/>
            </w:r>
            <w:r w:rsidRPr="0041579D">
              <w:rPr>
                <w:rFonts w:cs="Times New Roman"/>
                <w:sz w:val="20"/>
                <w:szCs w:val="20"/>
                <w:lang w:val="fr-CA"/>
              </w:rPr>
              <w:t>v. (33</w:t>
            </w:r>
            <w:r w:rsidR="007F31BE" w:rsidRPr="0041579D">
              <w:rPr>
                <w:rFonts w:cs="Times New Roman"/>
                <w:sz w:val="20"/>
                <w:szCs w:val="20"/>
                <w:lang w:val="fr-CA"/>
              </w:rPr>
              <w:t>907</w:t>
            </w:r>
            <w:r w:rsidRPr="0041579D">
              <w:rPr>
                <w:rFonts w:cs="Times New Roman"/>
                <w:sz w:val="20"/>
                <w:szCs w:val="20"/>
                <w:lang w:val="fr-CA"/>
              </w:rPr>
              <w:t>)</w:t>
            </w:r>
          </w:p>
          <w:p w:rsidR="005C086A" w:rsidRPr="0041579D" w:rsidRDefault="005C086A" w:rsidP="004D4629">
            <w:pPr>
              <w:tabs>
                <w:tab w:val="left" w:pos="-1440"/>
                <w:tab w:val="left" w:pos="-720"/>
              </w:tabs>
              <w:rPr>
                <w:rFonts w:cs="Times New Roman"/>
                <w:sz w:val="20"/>
                <w:szCs w:val="20"/>
                <w:lang w:val="fr-CA"/>
              </w:rPr>
            </w:pPr>
          </w:p>
          <w:p w:rsidR="005C086A" w:rsidRPr="0041579D" w:rsidRDefault="007F31BE" w:rsidP="004D4629">
            <w:pPr>
              <w:tabs>
                <w:tab w:val="left" w:pos="-1440"/>
                <w:tab w:val="left" w:pos="-720"/>
              </w:tabs>
              <w:rPr>
                <w:rFonts w:cs="Times New Roman"/>
                <w:b/>
                <w:sz w:val="20"/>
                <w:szCs w:val="20"/>
                <w:lang w:val="fr-CA"/>
              </w:rPr>
            </w:pPr>
            <w:r w:rsidRPr="0041579D">
              <w:rPr>
                <w:rFonts w:cs="Times New Roman"/>
                <w:b/>
                <w:sz w:val="20"/>
                <w:szCs w:val="20"/>
                <w:lang w:val="fr-CA"/>
              </w:rPr>
              <w:t xml:space="preserve">Leona </w:t>
            </w:r>
            <w:proofErr w:type="spellStart"/>
            <w:r w:rsidRPr="0041579D">
              <w:rPr>
                <w:rFonts w:cs="Times New Roman"/>
                <w:b/>
                <w:sz w:val="20"/>
                <w:szCs w:val="20"/>
                <w:lang w:val="fr-CA"/>
              </w:rPr>
              <w:t>Alleslev</w:t>
            </w:r>
            <w:proofErr w:type="spellEnd"/>
            <w:r w:rsidRPr="0041579D">
              <w:rPr>
                <w:rFonts w:cs="Times New Roman"/>
                <w:b/>
                <w:sz w:val="20"/>
                <w:szCs w:val="20"/>
                <w:lang w:val="fr-CA"/>
              </w:rPr>
              <w:t>-</w:t>
            </w:r>
            <w:proofErr w:type="spellStart"/>
            <w:r w:rsidRPr="0041579D">
              <w:rPr>
                <w:rFonts w:cs="Times New Roman"/>
                <w:b/>
                <w:sz w:val="20"/>
                <w:szCs w:val="20"/>
                <w:lang w:val="fr-CA"/>
              </w:rPr>
              <w:t>Krofchak</w:t>
            </w:r>
            <w:proofErr w:type="spellEnd"/>
            <w:r w:rsidRPr="0041579D">
              <w:rPr>
                <w:rFonts w:cs="Times New Roman"/>
                <w:b/>
                <w:sz w:val="20"/>
                <w:szCs w:val="20"/>
                <w:lang w:val="fr-CA"/>
              </w:rPr>
              <w:t xml:space="preserve"> et al.</w:t>
            </w:r>
            <w:r w:rsidR="005C086A" w:rsidRPr="0041579D">
              <w:rPr>
                <w:rFonts w:cs="Times New Roman"/>
                <w:b/>
                <w:sz w:val="20"/>
                <w:szCs w:val="20"/>
                <w:lang w:val="fr-CA"/>
              </w:rPr>
              <w:t xml:space="preserve"> (</w:t>
            </w:r>
            <w:r w:rsidRPr="0041579D">
              <w:rPr>
                <w:rFonts w:cs="Times New Roman"/>
                <w:b/>
                <w:sz w:val="20"/>
                <w:szCs w:val="20"/>
                <w:lang w:val="fr-CA"/>
              </w:rPr>
              <w:t>Ont.</w:t>
            </w:r>
            <w:r w:rsidR="005C086A" w:rsidRPr="0041579D">
              <w:rPr>
                <w:rFonts w:cs="Times New Roman"/>
                <w:b/>
                <w:sz w:val="20"/>
                <w:szCs w:val="20"/>
                <w:lang w:val="fr-CA"/>
              </w:rPr>
              <w:t>)</w:t>
            </w:r>
          </w:p>
          <w:p w:rsidR="005C086A" w:rsidRPr="004D4629" w:rsidRDefault="005C086A" w:rsidP="004D4629">
            <w:pPr>
              <w:tabs>
                <w:tab w:val="left" w:pos="-1440"/>
                <w:tab w:val="left" w:pos="-720"/>
              </w:tabs>
              <w:rPr>
                <w:rFonts w:cs="Times New Roman"/>
                <w:sz w:val="20"/>
                <w:szCs w:val="20"/>
              </w:rPr>
            </w:pPr>
            <w:r w:rsidRPr="0041579D">
              <w:rPr>
                <w:rFonts w:cs="Times New Roman"/>
                <w:sz w:val="20"/>
                <w:szCs w:val="20"/>
                <w:lang w:val="fr-CA"/>
              </w:rPr>
              <w:tab/>
            </w:r>
            <w:r w:rsidR="00484BEC">
              <w:rPr>
                <w:rFonts w:cs="Times New Roman"/>
                <w:sz w:val="20"/>
                <w:szCs w:val="20"/>
              </w:rPr>
              <w:t xml:space="preserve">Ronald G. </w:t>
            </w:r>
            <w:proofErr w:type="spellStart"/>
            <w:r w:rsidR="00484BEC">
              <w:rPr>
                <w:rFonts w:cs="Times New Roman"/>
                <w:sz w:val="20"/>
                <w:szCs w:val="20"/>
              </w:rPr>
              <w:t>Slaght</w:t>
            </w:r>
            <w:proofErr w:type="spellEnd"/>
            <w:r w:rsidR="00484BEC">
              <w:rPr>
                <w:rFonts w:cs="Times New Roman"/>
                <w:sz w:val="20"/>
                <w:szCs w:val="20"/>
              </w:rPr>
              <w:t>, Q.C.</w:t>
            </w:r>
          </w:p>
          <w:p w:rsidR="005C086A" w:rsidRPr="004D4629" w:rsidRDefault="005C086A" w:rsidP="004D4629">
            <w:pPr>
              <w:tabs>
                <w:tab w:val="left" w:pos="-1440"/>
                <w:tab w:val="left" w:pos="-720"/>
              </w:tabs>
              <w:rPr>
                <w:rFonts w:cs="Times New Roman"/>
                <w:sz w:val="20"/>
                <w:szCs w:val="20"/>
              </w:rPr>
            </w:pPr>
            <w:r w:rsidRPr="004D4629">
              <w:rPr>
                <w:rFonts w:cs="Times New Roman"/>
                <w:sz w:val="20"/>
                <w:szCs w:val="20"/>
              </w:rPr>
              <w:tab/>
            </w:r>
            <w:proofErr w:type="spellStart"/>
            <w:r w:rsidR="00484BEC">
              <w:rPr>
                <w:rFonts w:cs="Times New Roman"/>
                <w:sz w:val="20"/>
                <w:szCs w:val="20"/>
              </w:rPr>
              <w:t>Lenczner</w:t>
            </w:r>
            <w:proofErr w:type="spellEnd"/>
            <w:r w:rsidR="00484BEC">
              <w:rPr>
                <w:rFonts w:cs="Times New Roman"/>
                <w:sz w:val="20"/>
                <w:szCs w:val="20"/>
              </w:rPr>
              <w:t xml:space="preserve"> </w:t>
            </w:r>
            <w:proofErr w:type="spellStart"/>
            <w:r w:rsidR="00484BEC">
              <w:rPr>
                <w:rFonts w:cs="Times New Roman"/>
                <w:sz w:val="20"/>
                <w:szCs w:val="20"/>
              </w:rPr>
              <w:t>Slaght</w:t>
            </w:r>
            <w:proofErr w:type="spellEnd"/>
            <w:r w:rsidR="00484BEC">
              <w:rPr>
                <w:rFonts w:cs="Times New Roman"/>
                <w:sz w:val="20"/>
                <w:szCs w:val="20"/>
              </w:rPr>
              <w:t xml:space="preserve"> Royce Smith Griffin </w:t>
            </w:r>
            <w:r w:rsidR="00484BEC">
              <w:rPr>
                <w:rFonts w:cs="Times New Roman"/>
                <w:sz w:val="20"/>
                <w:szCs w:val="20"/>
              </w:rPr>
              <w:tab/>
              <w:t>LLP</w:t>
            </w:r>
          </w:p>
          <w:p w:rsidR="005C086A" w:rsidRPr="004D4629" w:rsidRDefault="005C086A" w:rsidP="004D4629">
            <w:pPr>
              <w:tabs>
                <w:tab w:val="left" w:pos="-1440"/>
                <w:tab w:val="left" w:pos="-720"/>
              </w:tabs>
              <w:rPr>
                <w:rFonts w:cs="Times New Roman"/>
                <w:sz w:val="20"/>
                <w:szCs w:val="20"/>
              </w:rPr>
            </w:pPr>
          </w:p>
          <w:p w:rsidR="005C086A" w:rsidRPr="004D4629" w:rsidRDefault="005C086A" w:rsidP="004D4629">
            <w:pPr>
              <w:rPr>
                <w:rFonts w:cs="Times New Roman"/>
                <w:sz w:val="20"/>
                <w:szCs w:val="20"/>
              </w:rPr>
            </w:pPr>
            <w:r w:rsidRPr="004D4629">
              <w:rPr>
                <w:rFonts w:cs="Times New Roman"/>
                <w:sz w:val="20"/>
                <w:szCs w:val="20"/>
              </w:rPr>
              <w:t xml:space="preserve">FILING DATE: </w:t>
            </w:r>
            <w:r w:rsidR="00484BEC">
              <w:rPr>
                <w:rFonts w:cs="Times New Roman"/>
                <w:sz w:val="20"/>
                <w:szCs w:val="20"/>
              </w:rPr>
              <w:t>21.10.2010</w:t>
            </w:r>
          </w:p>
          <w:p w:rsidR="005C086A" w:rsidRPr="004D4629" w:rsidRDefault="00857426" w:rsidP="004D4629">
            <w:pPr>
              <w:rPr>
                <w:rFonts w:cs="Times New Roman"/>
                <w:sz w:val="20"/>
                <w:szCs w:val="20"/>
              </w:rPr>
            </w:pPr>
            <w:r w:rsidRPr="00857426">
              <w:rPr>
                <w:rFonts w:cs="Times New Roman"/>
                <w:sz w:val="20"/>
                <w:szCs w:val="20"/>
                <w:lang w:val="fr-CA"/>
              </w:rPr>
              <w:pict>
                <v:rect id="_x0000_i1033" style="width:108pt;height:1pt" o:hrpct="0" o:hralign="center" o:hrstd="t" o:hrnoshade="t" o:hr="t" fillcolor="black [3213]" stroked="f"/>
              </w:pict>
            </w:r>
          </w:p>
        </w:tc>
        <w:tc>
          <w:tcPr>
            <w:tcW w:w="1181" w:type="dxa"/>
            <w:shd w:val="clear" w:color="auto" w:fill="auto"/>
          </w:tcPr>
          <w:p w:rsidR="005C086A" w:rsidRPr="004D4629" w:rsidRDefault="005C086A" w:rsidP="00195C27">
            <w:pPr>
              <w:jc w:val="center"/>
              <w:rPr>
                <w:rFonts w:cs="Times New Roman"/>
                <w:sz w:val="20"/>
                <w:szCs w:val="20"/>
              </w:rPr>
            </w:pPr>
          </w:p>
        </w:tc>
        <w:tc>
          <w:tcPr>
            <w:tcW w:w="4320" w:type="dxa"/>
            <w:shd w:val="clear" w:color="auto" w:fill="auto"/>
          </w:tcPr>
          <w:p w:rsidR="005C086A" w:rsidRPr="0041579D" w:rsidRDefault="00484BEC" w:rsidP="004D4629">
            <w:pPr>
              <w:keepNext/>
              <w:keepLines/>
              <w:tabs>
                <w:tab w:val="left" w:pos="-1440"/>
                <w:tab w:val="left" w:pos="-720"/>
              </w:tabs>
              <w:rPr>
                <w:rFonts w:cs="Times New Roman"/>
                <w:b/>
                <w:sz w:val="20"/>
                <w:szCs w:val="20"/>
                <w:lang w:val="fr-CA"/>
              </w:rPr>
            </w:pPr>
            <w:r w:rsidRPr="0041579D">
              <w:rPr>
                <w:rFonts w:cs="Times New Roman"/>
                <w:b/>
                <w:sz w:val="20"/>
                <w:szCs w:val="20"/>
                <w:lang w:val="fr-CA"/>
              </w:rPr>
              <w:t xml:space="preserve">Antonio </w:t>
            </w:r>
            <w:proofErr w:type="spellStart"/>
            <w:r w:rsidRPr="0041579D">
              <w:rPr>
                <w:rFonts w:cs="Times New Roman"/>
                <w:b/>
                <w:sz w:val="20"/>
                <w:szCs w:val="20"/>
                <w:lang w:val="fr-CA"/>
              </w:rPr>
              <w:t>Passucci</w:t>
            </w:r>
            <w:proofErr w:type="spellEnd"/>
            <w:r w:rsidR="003C1082">
              <w:rPr>
                <w:rFonts w:cs="Times New Roman"/>
                <w:b/>
                <w:sz w:val="20"/>
                <w:szCs w:val="20"/>
                <w:lang w:val="fr-CA"/>
              </w:rPr>
              <w:t xml:space="preserve"> et al.</w:t>
            </w:r>
          </w:p>
          <w:p w:rsidR="005C086A" w:rsidRPr="0041579D" w:rsidRDefault="005C086A" w:rsidP="004D4629">
            <w:pPr>
              <w:keepNext/>
              <w:keepLines/>
              <w:tabs>
                <w:tab w:val="left" w:pos="-1440"/>
                <w:tab w:val="left" w:pos="-720"/>
              </w:tabs>
              <w:rPr>
                <w:rFonts w:cs="Times New Roman"/>
                <w:sz w:val="20"/>
                <w:szCs w:val="20"/>
                <w:lang w:val="fr-CA"/>
              </w:rPr>
            </w:pPr>
            <w:r w:rsidRPr="0041579D">
              <w:rPr>
                <w:rFonts w:cs="Times New Roman"/>
                <w:sz w:val="20"/>
                <w:szCs w:val="20"/>
                <w:lang w:val="fr-CA"/>
              </w:rPr>
              <w:tab/>
            </w:r>
            <w:r w:rsidR="00484BEC" w:rsidRPr="0041579D">
              <w:rPr>
                <w:rFonts w:cs="Times New Roman"/>
                <w:sz w:val="20"/>
                <w:szCs w:val="20"/>
                <w:lang w:val="fr-CA"/>
              </w:rPr>
              <w:t xml:space="preserve">Antonio </w:t>
            </w:r>
            <w:proofErr w:type="spellStart"/>
            <w:r w:rsidR="00484BEC" w:rsidRPr="0041579D">
              <w:rPr>
                <w:rFonts w:cs="Times New Roman"/>
                <w:sz w:val="20"/>
                <w:szCs w:val="20"/>
                <w:lang w:val="fr-CA"/>
              </w:rPr>
              <w:t>Passucci</w:t>
            </w:r>
            <w:proofErr w:type="spellEnd"/>
          </w:p>
          <w:p w:rsidR="005C086A" w:rsidRPr="0041579D" w:rsidRDefault="005C086A" w:rsidP="004D4629">
            <w:pPr>
              <w:keepNext/>
              <w:keepLines/>
              <w:tabs>
                <w:tab w:val="left" w:pos="-1440"/>
                <w:tab w:val="left" w:pos="-720"/>
              </w:tabs>
              <w:rPr>
                <w:rFonts w:cs="Times New Roman"/>
                <w:sz w:val="20"/>
                <w:szCs w:val="20"/>
                <w:lang w:val="fr-CA"/>
              </w:rPr>
            </w:pPr>
            <w:r w:rsidRPr="0041579D">
              <w:rPr>
                <w:rFonts w:cs="Times New Roman"/>
                <w:sz w:val="20"/>
                <w:szCs w:val="20"/>
                <w:lang w:val="fr-CA"/>
              </w:rPr>
              <w:tab/>
            </w:r>
          </w:p>
          <w:p w:rsidR="005C086A" w:rsidRPr="001E6992" w:rsidRDefault="005C086A" w:rsidP="004D4629">
            <w:pPr>
              <w:keepNext/>
              <w:keepLines/>
              <w:tabs>
                <w:tab w:val="left" w:pos="-1440"/>
                <w:tab w:val="left" w:pos="-720"/>
              </w:tabs>
              <w:rPr>
                <w:rFonts w:cs="Times New Roman"/>
                <w:sz w:val="20"/>
                <w:szCs w:val="20"/>
              </w:rPr>
            </w:pPr>
            <w:r w:rsidRPr="0041579D">
              <w:rPr>
                <w:rFonts w:cs="Times New Roman"/>
                <w:sz w:val="20"/>
                <w:szCs w:val="20"/>
                <w:lang w:val="fr-CA"/>
              </w:rPr>
              <w:tab/>
            </w:r>
            <w:r w:rsidRPr="001E6992">
              <w:rPr>
                <w:rFonts w:cs="Times New Roman"/>
                <w:sz w:val="20"/>
                <w:szCs w:val="20"/>
              </w:rPr>
              <w:t>v. (33</w:t>
            </w:r>
            <w:r w:rsidR="00484BEC" w:rsidRPr="001E6992">
              <w:rPr>
                <w:rFonts w:cs="Times New Roman"/>
                <w:sz w:val="20"/>
                <w:szCs w:val="20"/>
              </w:rPr>
              <w:t>913</w:t>
            </w:r>
            <w:r w:rsidRPr="001E6992">
              <w:rPr>
                <w:rFonts w:cs="Times New Roman"/>
                <w:sz w:val="20"/>
                <w:szCs w:val="20"/>
              </w:rPr>
              <w:t>)</w:t>
            </w:r>
          </w:p>
          <w:p w:rsidR="005C086A" w:rsidRPr="001E6992" w:rsidRDefault="005C086A" w:rsidP="004D4629">
            <w:pPr>
              <w:keepNext/>
              <w:keepLines/>
              <w:tabs>
                <w:tab w:val="left" w:pos="-1440"/>
                <w:tab w:val="left" w:pos="-720"/>
              </w:tabs>
              <w:rPr>
                <w:rFonts w:cs="Times New Roman"/>
                <w:sz w:val="20"/>
                <w:szCs w:val="20"/>
              </w:rPr>
            </w:pPr>
          </w:p>
          <w:p w:rsidR="005C086A" w:rsidRPr="0041579D" w:rsidRDefault="00484BEC" w:rsidP="004D4629">
            <w:pPr>
              <w:keepNext/>
              <w:keepLines/>
              <w:tabs>
                <w:tab w:val="left" w:pos="-1440"/>
                <w:tab w:val="left" w:pos="-720"/>
              </w:tabs>
              <w:rPr>
                <w:rFonts w:cs="Times New Roman"/>
                <w:b/>
                <w:sz w:val="20"/>
                <w:szCs w:val="20"/>
              </w:rPr>
            </w:pPr>
            <w:r w:rsidRPr="0041579D">
              <w:rPr>
                <w:rFonts w:cs="Times New Roman"/>
                <w:b/>
                <w:sz w:val="20"/>
                <w:szCs w:val="20"/>
              </w:rPr>
              <w:t>Deputy Minister of Revenue Qu</w:t>
            </w:r>
            <w:r w:rsidR="00DE642D" w:rsidRPr="0041579D">
              <w:rPr>
                <w:rFonts w:cs="Times New Roman"/>
                <w:b/>
                <w:sz w:val="20"/>
                <w:szCs w:val="20"/>
              </w:rPr>
              <w:t>e</w:t>
            </w:r>
            <w:r w:rsidRPr="0041579D">
              <w:rPr>
                <w:rFonts w:cs="Times New Roman"/>
                <w:b/>
                <w:sz w:val="20"/>
                <w:szCs w:val="20"/>
              </w:rPr>
              <w:t>bec</w:t>
            </w:r>
            <w:r w:rsidR="005C086A" w:rsidRPr="0041579D">
              <w:rPr>
                <w:rFonts w:cs="Times New Roman"/>
                <w:b/>
                <w:sz w:val="20"/>
                <w:szCs w:val="20"/>
              </w:rPr>
              <w:t xml:space="preserve"> (</w:t>
            </w:r>
            <w:r w:rsidRPr="0041579D">
              <w:rPr>
                <w:rFonts w:cs="Times New Roman"/>
                <w:b/>
                <w:sz w:val="20"/>
                <w:szCs w:val="20"/>
              </w:rPr>
              <w:t>Que</w:t>
            </w:r>
            <w:r w:rsidR="005C086A" w:rsidRPr="0041579D">
              <w:rPr>
                <w:rFonts w:cs="Times New Roman"/>
                <w:b/>
                <w:sz w:val="20"/>
                <w:szCs w:val="20"/>
              </w:rPr>
              <w:t>.)</w:t>
            </w:r>
          </w:p>
          <w:p w:rsidR="005C086A" w:rsidRPr="00484BEC" w:rsidRDefault="005C086A" w:rsidP="004D4629">
            <w:pPr>
              <w:keepNext/>
              <w:keepLines/>
              <w:tabs>
                <w:tab w:val="left" w:pos="-1440"/>
                <w:tab w:val="left" w:pos="-720"/>
              </w:tabs>
              <w:rPr>
                <w:rFonts w:cs="Times New Roman"/>
                <w:sz w:val="20"/>
                <w:szCs w:val="20"/>
                <w:lang w:val="fr-CA"/>
              </w:rPr>
            </w:pPr>
            <w:r w:rsidRPr="0041579D">
              <w:rPr>
                <w:rFonts w:cs="Times New Roman"/>
                <w:sz w:val="20"/>
                <w:szCs w:val="20"/>
              </w:rPr>
              <w:tab/>
            </w:r>
            <w:r w:rsidR="00484BEC" w:rsidRPr="00484BEC">
              <w:rPr>
                <w:rFonts w:cs="Times New Roman"/>
                <w:sz w:val="20"/>
                <w:szCs w:val="20"/>
                <w:lang w:val="fr-CA"/>
              </w:rPr>
              <w:t>Alan-François Meunier</w:t>
            </w:r>
          </w:p>
          <w:p w:rsidR="005C086A" w:rsidRPr="0041579D" w:rsidRDefault="005C086A" w:rsidP="004D4629">
            <w:pPr>
              <w:keepNext/>
              <w:keepLines/>
              <w:tabs>
                <w:tab w:val="left" w:pos="-1440"/>
                <w:tab w:val="left" w:pos="-720"/>
              </w:tabs>
              <w:rPr>
                <w:rFonts w:cs="Times New Roman"/>
                <w:sz w:val="20"/>
                <w:szCs w:val="20"/>
                <w:lang w:val="fr-CA"/>
              </w:rPr>
            </w:pPr>
            <w:r w:rsidRPr="00484BEC">
              <w:rPr>
                <w:rFonts w:cs="Times New Roman"/>
                <w:sz w:val="20"/>
                <w:szCs w:val="20"/>
                <w:lang w:val="fr-CA"/>
              </w:rPr>
              <w:tab/>
            </w:r>
            <w:r w:rsidR="00484BEC" w:rsidRPr="0041579D">
              <w:rPr>
                <w:rFonts w:cs="Times New Roman"/>
                <w:sz w:val="20"/>
                <w:szCs w:val="20"/>
                <w:lang w:val="fr-CA"/>
              </w:rPr>
              <w:t xml:space="preserve">Meunier, </w:t>
            </w:r>
            <w:proofErr w:type="spellStart"/>
            <w:r w:rsidR="00484BEC" w:rsidRPr="0041579D">
              <w:rPr>
                <w:rFonts w:cs="Times New Roman"/>
                <w:sz w:val="20"/>
                <w:szCs w:val="20"/>
                <w:lang w:val="fr-CA"/>
              </w:rPr>
              <w:t>Larivière</w:t>
            </w:r>
            <w:proofErr w:type="spellEnd"/>
          </w:p>
          <w:p w:rsidR="005C086A" w:rsidRPr="0041579D" w:rsidRDefault="005C086A" w:rsidP="004D4629">
            <w:pPr>
              <w:keepNext/>
              <w:keepLines/>
              <w:tabs>
                <w:tab w:val="left" w:pos="-1440"/>
                <w:tab w:val="left" w:pos="-720"/>
              </w:tabs>
              <w:rPr>
                <w:rFonts w:cs="Times New Roman"/>
                <w:sz w:val="20"/>
                <w:szCs w:val="20"/>
                <w:lang w:val="fr-CA"/>
              </w:rPr>
            </w:pPr>
          </w:p>
          <w:p w:rsidR="005C086A" w:rsidRPr="0041579D" w:rsidRDefault="005C086A" w:rsidP="004D4629">
            <w:pPr>
              <w:rPr>
                <w:rFonts w:cs="Times New Roman"/>
                <w:sz w:val="20"/>
                <w:szCs w:val="20"/>
                <w:lang w:val="fr-CA"/>
              </w:rPr>
            </w:pPr>
            <w:r w:rsidRPr="0041579D">
              <w:rPr>
                <w:rFonts w:cs="Times New Roman"/>
                <w:sz w:val="20"/>
                <w:szCs w:val="20"/>
                <w:lang w:val="fr-CA"/>
              </w:rPr>
              <w:t>FILING DATE:</w:t>
            </w:r>
            <w:r w:rsidR="00484BEC" w:rsidRPr="0041579D">
              <w:rPr>
                <w:rFonts w:cs="Times New Roman"/>
                <w:sz w:val="20"/>
                <w:szCs w:val="20"/>
                <w:lang w:val="fr-CA"/>
              </w:rPr>
              <w:t>27.10.2010</w:t>
            </w:r>
            <w:r w:rsidRPr="0041579D">
              <w:rPr>
                <w:rFonts w:cs="Times New Roman"/>
                <w:sz w:val="20"/>
                <w:szCs w:val="20"/>
                <w:lang w:val="fr-CA"/>
              </w:rPr>
              <w:t xml:space="preserve"> </w:t>
            </w:r>
            <w:r w:rsidR="00857426" w:rsidRPr="00857426">
              <w:rPr>
                <w:rFonts w:cs="Times New Roman"/>
                <w:sz w:val="20"/>
                <w:szCs w:val="20"/>
                <w:lang w:val="fr-CA"/>
              </w:rPr>
              <w:pict>
                <v:rect id="_x0000_i1034" style="width:108pt;height:1pt" o:hrpct="0" o:hralign="center" o:hrstd="t" o:hrnoshade="t" o:hr="t" fillcolor="black [3213]" stroked="f"/>
              </w:pict>
            </w:r>
          </w:p>
        </w:tc>
      </w:tr>
    </w:tbl>
    <w:p w:rsidR="006C3F47" w:rsidRPr="0041579D" w:rsidRDefault="006C3F47" w:rsidP="0095096B">
      <w:pPr>
        <w:tabs>
          <w:tab w:val="right" w:pos="9360"/>
        </w:tabs>
        <w:rPr>
          <w:sz w:val="20"/>
          <w:szCs w:val="20"/>
          <w:lang w:val="fr-CA"/>
        </w:rPr>
      </w:pPr>
    </w:p>
    <w:p w:rsidR="00242AEE" w:rsidRPr="0041579D" w:rsidRDefault="00242AEE" w:rsidP="0095096B">
      <w:pPr>
        <w:tabs>
          <w:tab w:val="right" w:pos="9360"/>
        </w:tabs>
        <w:rPr>
          <w:sz w:val="20"/>
          <w:szCs w:val="20"/>
          <w:lang w:val="fr-CA"/>
        </w:rPr>
      </w:pPr>
    </w:p>
    <w:p w:rsidR="00242AEE" w:rsidRPr="0041579D" w:rsidRDefault="00242AEE" w:rsidP="0095096B">
      <w:pPr>
        <w:tabs>
          <w:tab w:val="right" w:pos="9360"/>
        </w:tabs>
        <w:rPr>
          <w:sz w:val="20"/>
          <w:szCs w:val="20"/>
          <w:lang w:val="fr-CA"/>
        </w:rPr>
        <w:sectPr w:rsidR="00242AEE" w:rsidRPr="0041579D" w:rsidSect="00A713BF">
          <w:headerReference w:type="default" r:id="rId15"/>
          <w:footerReference w:type="default" r:id="rId16"/>
          <w:headerReference w:type="first" r:id="rId17"/>
          <w:footerReference w:type="first" r:id="rId18"/>
          <w:pgSz w:w="12240" w:h="15840"/>
          <w:pgMar w:top="720" w:right="965" w:bottom="1080" w:left="1656" w:header="706" w:footer="706" w:gutter="0"/>
          <w:pgNumType w:start="1497"/>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1C2F5E"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852EB2" w:rsidP="002E2327">
      <w:pPr>
        <w:widowControl w:val="0"/>
        <w:rPr>
          <w:b/>
          <w:sz w:val="20"/>
          <w:szCs w:val="20"/>
        </w:rPr>
      </w:pPr>
      <w:r>
        <w:rPr>
          <w:b/>
          <w:sz w:val="20"/>
          <w:szCs w:val="20"/>
        </w:rPr>
        <w:t xml:space="preserve">NOVEMBER </w:t>
      </w:r>
      <w:r w:rsidR="002E2327" w:rsidRPr="00C50A5C">
        <w:rPr>
          <w:b/>
          <w:sz w:val="20"/>
          <w:szCs w:val="20"/>
        </w:rPr>
        <w:t>2</w:t>
      </w:r>
      <w:r>
        <w:rPr>
          <w:b/>
          <w:sz w:val="20"/>
          <w:szCs w:val="20"/>
        </w:rPr>
        <w:t>2</w:t>
      </w:r>
      <w:r w:rsidR="002E2327" w:rsidRPr="00C50A5C">
        <w:rPr>
          <w:b/>
          <w:sz w:val="20"/>
          <w:szCs w:val="20"/>
        </w:rPr>
        <w:t>, 2010 / LE 2</w:t>
      </w:r>
      <w:r>
        <w:rPr>
          <w:b/>
          <w:sz w:val="20"/>
          <w:szCs w:val="20"/>
        </w:rPr>
        <w:t>2 NOVEMBRE</w:t>
      </w:r>
      <w:r w:rsidR="002E2327" w:rsidRPr="00C50A5C">
        <w:rPr>
          <w:b/>
          <w:sz w:val="20"/>
          <w:szCs w:val="20"/>
        </w:rPr>
        <w:t xml:space="preserve"> 2010</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Pr="00C50A5C">
        <w:rPr>
          <w:b/>
          <w:sz w:val="20"/>
          <w:szCs w:val="20"/>
        </w:rPr>
        <w:t>Abella</w:t>
      </w:r>
      <w:proofErr w:type="spellEnd"/>
      <w:r w:rsidRPr="00C50A5C">
        <w:rPr>
          <w:b/>
          <w:sz w:val="20"/>
          <w:szCs w:val="20"/>
        </w:rPr>
        <w:t xml:space="preserve"> and Cromwell JJ.</w:t>
      </w:r>
    </w:p>
    <w:p w:rsidR="002E2327" w:rsidRPr="00C50A5C" w:rsidRDefault="002E2327" w:rsidP="002E2327">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Abella et Cromwell</w:t>
      </w:r>
    </w:p>
    <w:p w:rsidR="002E2327" w:rsidRPr="00C50A5C" w:rsidRDefault="002E2327" w:rsidP="002E2327">
      <w:pPr>
        <w:widowControl w:val="0"/>
        <w:rPr>
          <w:sz w:val="20"/>
          <w:szCs w:val="20"/>
          <w:lang w:val="fr-CA"/>
        </w:rPr>
      </w:pPr>
    </w:p>
    <w:p w:rsidR="002E2327" w:rsidRPr="00C50A5C" w:rsidRDefault="00395741" w:rsidP="00C50A5C">
      <w:pPr>
        <w:pStyle w:val="ListParagraph"/>
        <w:widowControl w:val="0"/>
        <w:numPr>
          <w:ilvl w:val="0"/>
          <w:numId w:val="1"/>
        </w:numPr>
        <w:ind w:hanging="720"/>
        <w:jc w:val="both"/>
        <w:rPr>
          <w:sz w:val="20"/>
          <w:szCs w:val="20"/>
        </w:rPr>
      </w:pPr>
      <w:r w:rsidRPr="00AF5526">
        <w:rPr>
          <w:i/>
          <w:sz w:val="20"/>
          <w:szCs w:val="20"/>
        </w:rPr>
        <w:t xml:space="preserve">Glen </w:t>
      </w:r>
      <w:proofErr w:type="spellStart"/>
      <w:r w:rsidRPr="00AF5526">
        <w:rPr>
          <w:i/>
          <w:sz w:val="20"/>
          <w:szCs w:val="20"/>
        </w:rPr>
        <w:t>Crangle</w:t>
      </w:r>
      <w:proofErr w:type="spellEnd"/>
      <w:r w:rsidRPr="00AF5526">
        <w:rPr>
          <w:i/>
          <w:sz w:val="20"/>
          <w:szCs w:val="20"/>
        </w:rPr>
        <w:t xml:space="preserve"> v. Her Majesty the Queen</w:t>
      </w:r>
      <w:r w:rsidRPr="00395741">
        <w:rPr>
          <w:sz w:val="20"/>
          <w:szCs w:val="20"/>
        </w:rPr>
        <w:t xml:space="preserve"> (Ont.) (Crim</w:t>
      </w:r>
      <w:r w:rsidR="00AF5526">
        <w:rPr>
          <w:sz w:val="20"/>
          <w:szCs w:val="20"/>
        </w:rPr>
        <w:t>.</w:t>
      </w:r>
      <w:r w:rsidRPr="00395741">
        <w:rPr>
          <w:sz w:val="20"/>
          <w:szCs w:val="20"/>
        </w:rPr>
        <w:t>) (By Leave)</w:t>
      </w:r>
      <w:r w:rsidRPr="00C50A5C">
        <w:rPr>
          <w:sz w:val="20"/>
          <w:szCs w:val="20"/>
        </w:rPr>
        <w:t xml:space="preserve"> </w:t>
      </w:r>
      <w:r w:rsidR="002E2327" w:rsidRPr="00C50A5C">
        <w:rPr>
          <w:sz w:val="20"/>
          <w:szCs w:val="20"/>
        </w:rPr>
        <w:t>(33</w:t>
      </w:r>
      <w:r w:rsidR="00882D17">
        <w:rPr>
          <w:sz w:val="20"/>
          <w:szCs w:val="20"/>
        </w:rPr>
        <w:t>768</w:t>
      </w:r>
      <w:r w:rsidR="002E2327" w:rsidRPr="00C50A5C">
        <w:rPr>
          <w:sz w:val="20"/>
          <w:szCs w:val="20"/>
        </w:rPr>
        <w:t>)</w:t>
      </w:r>
    </w:p>
    <w:p w:rsidR="002E2327" w:rsidRPr="00C50A5C" w:rsidRDefault="002E2327" w:rsidP="00C50A5C">
      <w:pPr>
        <w:widowControl w:val="0"/>
        <w:jc w:val="both"/>
        <w:rPr>
          <w:sz w:val="20"/>
          <w:szCs w:val="20"/>
        </w:rPr>
      </w:pPr>
    </w:p>
    <w:p w:rsidR="002E2327" w:rsidRPr="00395741" w:rsidRDefault="00395741" w:rsidP="00C50A5C">
      <w:pPr>
        <w:pStyle w:val="ListParagraph"/>
        <w:widowControl w:val="0"/>
        <w:numPr>
          <w:ilvl w:val="0"/>
          <w:numId w:val="1"/>
        </w:numPr>
        <w:ind w:hanging="720"/>
        <w:jc w:val="both"/>
        <w:rPr>
          <w:sz w:val="20"/>
          <w:szCs w:val="20"/>
          <w:lang w:val="fr-CA"/>
        </w:rPr>
      </w:pPr>
      <w:r w:rsidRPr="00AF5526">
        <w:rPr>
          <w:i/>
          <w:sz w:val="20"/>
          <w:szCs w:val="20"/>
          <w:lang w:val="fr-CA"/>
        </w:rPr>
        <w:t xml:space="preserve">Roger Touchette c. Les frères des écoles chrétiennes d'Ottawa </w:t>
      </w:r>
      <w:proofErr w:type="spellStart"/>
      <w:r w:rsidRPr="00AF5526">
        <w:rPr>
          <w:i/>
          <w:sz w:val="20"/>
          <w:szCs w:val="20"/>
          <w:lang w:val="fr-CA"/>
        </w:rPr>
        <w:t>inc</w:t>
      </w:r>
      <w:proofErr w:type="spellEnd"/>
      <w:r w:rsidRPr="00AF5526">
        <w:rPr>
          <w:i/>
          <w:sz w:val="20"/>
          <w:szCs w:val="20"/>
          <w:lang w:val="fr-CA"/>
        </w:rPr>
        <w:t xml:space="preserve">. </w:t>
      </w:r>
      <w:r w:rsidR="00AF5526">
        <w:rPr>
          <w:i/>
          <w:sz w:val="20"/>
          <w:szCs w:val="20"/>
          <w:lang w:val="fr-CA"/>
        </w:rPr>
        <w:t>e</w:t>
      </w:r>
      <w:r w:rsidRPr="00AF5526">
        <w:rPr>
          <w:i/>
          <w:sz w:val="20"/>
          <w:szCs w:val="20"/>
          <w:lang w:val="fr-CA"/>
        </w:rPr>
        <w:t>t</w:t>
      </w:r>
      <w:r w:rsidR="00AF5526">
        <w:rPr>
          <w:i/>
          <w:sz w:val="20"/>
          <w:szCs w:val="20"/>
          <w:lang w:val="fr-CA"/>
        </w:rPr>
        <w:t xml:space="preserve"> autres</w:t>
      </w:r>
      <w:r>
        <w:rPr>
          <w:sz w:val="20"/>
          <w:szCs w:val="20"/>
          <w:lang w:val="fr-CA"/>
        </w:rPr>
        <w:t xml:space="preserve"> </w:t>
      </w:r>
      <w:r w:rsidRPr="00395741">
        <w:rPr>
          <w:sz w:val="20"/>
          <w:szCs w:val="20"/>
          <w:lang w:val="fr-CA"/>
        </w:rPr>
        <w:t xml:space="preserve">(Ont.) (Civile) (Autorisation) </w:t>
      </w:r>
      <w:r w:rsidR="002E2327" w:rsidRPr="00395741">
        <w:rPr>
          <w:sz w:val="20"/>
          <w:szCs w:val="20"/>
          <w:lang w:val="fr-CA"/>
        </w:rPr>
        <w:t>(33</w:t>
      </w:r>
      <w:r w:rsidR="00882D17" w:rsidRPr="00395741">
        <w:rPr>
          <w:sz w:val="20"/>
          <w:szCs w:val="20"/>
          <w:lang w:val="fr-CA"/>
        </w:rPr>
        <w:t>869</w:t>
      </w:r>
      <w:r w:rsidR="002E2327" w:rsidRPr="00395741">
        <w:rPr>
          <w:sz w:val="20"/>
          <w:szCs w:val="20"/>
          <w:lang w:val="fr-CA"/>
        </w:rPr>
        <w:t>)</w:t>
      </w:r>
    </w:p>
    <w:p w:rsidR="002E2327" w:rsidRPr="00395741" w:rsidRDefault="002E2327" w:rsidP="00C50A5C">
      <w:pPr>
        <w:widowControl w:val="0"/>
        <w:jc w:val="both"/>
        <w:rPr>
          <w:sz w:val="20"/>
          <w:szCs w:val="20"/>
          <w:lang w:val="fr-CA"/>
        </w:rPr>
      </w:pPr>
    </w:p>
    <w:p w:rsidR="00CE22CB" w:rsidRDefault="00395741" w:rsidP="00C50A5C">
      <w:pPr>
        <w:pStyle w:val="ListParagraph"/>
        <w:widowControl w:val="0"/>
        <w:numPr>
          <w:ilvl w:val="0"/>
          <w:numId w:val="1"/>
        </w:numPr>
        <w:ind w:hanging="720"/>
        <w:jc w:val="both"/>
        <w:rPr>
          <w:sz w:val="20"/>
          <w:szCs w:val="20"/>
        </w:rPr>
      </w:pPr>
      <w:r w:rsidRPr="00AF5526">
        <w:rPr>
          <w:i/>
          <w:sz w:val="20"/>
          <w:szCs w:val="20"/>
        </w:rPr>
        <w:t>Alice Dicks et al. v. Heidi Scott as Executrix of the Estate of John Joseph Dicks</w:t>
      </w:r>
      <w:r>
        <w:rPr>
          <w:sz w:val="20"/>
          <w:szCs w:val="20"/>
        </w:rPr>
        <w:t xml:space="preserve"> </w:t>
      </w:r>
      <w:r w:rsidRPr="00395741">
        <w:rPr>
          <w:sz w:val="20"/>
          <w:szCs w:val="20"/>
        </w:rPr>
        <w:t>(N.L.) (Civil) (By Leave)</w:t>
      </w:r>
      <w:r w:rsidRPr="00F166D7">
        <w:rPr>
          <w:sz w:val="20"/>
          <w:szCs w:val="20"/>
        </w:rPr>
        <w:t xml:space="preserve"> </w:t>
      </w:r>
      <w:r w:rsidR="002E2327" w:rsidRPr="00F166D7">
        <w:rPr>
          <w:sz w:val="20"/>
          <w:szCs w:val="20"/>
        </w:rPr>
        <w:t>(33</w:t>
      </w:r>
      <w:r w:rsidR="00882D17">
        <w:rPr>
          <w:sz w:val="20"/>
          <w:szCs w:val="20"/>
        </w:rPr>
        <w:t>809)</w:t>
      </w:r>
    </w:p>
    <w:p w:rsidR="00882D17" w:rsidRDefault="00882D17" w:rsidP="00882D17">
      <w:pPr>
        <w:widowControl w:val="0"/>
        <w:jc w:val="both"/>
        <w:rPr>
          <w:sz w:val="20"/>
          <w:szCs w:val="20"/>
        </w:rPr>
      </w:pPr>
    </w:p>
    <w:p w:rsidR="002E2327" w:rsidRDefault="00395741" w:rsidP="00C50A5C">
      <w:pPr>
        <w:pStyle w:val="ListParagraph"/>
        <w:widowControl w:val="0"/>
        <w:numPr>
          <w:ilvl w:val="0"/>
          <w:numId w:val="1"/>
        </w:numPr>
        <w:ind w:hanging="720"/>
        <w:jc w:val="both"/>
        <w:rPr>
          <w:sz w:val="20"/>
          <w:szCs w:val="20"/>
        </w:rPr>
      </w:pPr>
      <w:r w:rsidRPr="00AF5526">
        <w:rPr>
          <w:i/>
          <w:sz w:val="20"/>
          <w:szCs w:val="20"/>
        </w:rPr>
        <w:t xml:space="preserve">Noel </w:t>
      </w:r>
      <w:proofErr w:type="spellStart"/>
      <w:r w:rsidRPr="00AF5526">
        <w:rPr>
          <w:i/>
          <w:sz w:val="20"/>
          <w:szCs w:val="20"/>
        </w:rPr>
        <w:t>Ayangma</w:t>
      </w:r>
      <w:proofErr w:type="spellEnd"/>
      <w:r w:rsidRPr="00AF5526">
        <w:rPr>
          <w:i/>
          <w:sz w:val="20"/>
          <w:szCs w:val="20"/>
        </w:rPr>
        <w:t xml:space="preserve"> v. The French School Board et al.</w:t>
      </w:r>
      <w:r w:rsidRPr="00395741">
        <w:rPr>
          <w:sz w:val="20"/>
          <w:szCs w:val="20"/>
        </w:rPr>
        <w:t xml:space="preserve"> </w:t>
      </w:r>
      <w:r w:rsidRPr="003C1082">
        <w:rPr>
          <w:sz w:val="20"/>
          <w:szCs w:val="20"/>
        </w:rPr>
        <w:t xml:space="preserve">(P.E.I.) </w:t>
      </w:r>
      <w:r w:rsidRPr="00395741">
        <w:rPr>
          <w:sz w:val="20"/>
          <w:szCs w:val="20"/>
        </w:rPr>
        <w:t>(Civil) (By Leave)</w:t>
      </w:r>
      <w:r w:rsidRPr="00C50A5C">
        <w:rPr>
          <w:sz w:val="20"/>
          <w:szCs w:val="20"/>
        </w:rPr>
        <w:t xml:space="preserve"> </w:t>
      </w:r>
      <w:r w:rsidR="002E2327" w:rsidRPr="00C50A5C">
        <w:rPr>
          <w:sz w:val="20"/>
          <w:szCs w:val="20"/>
        </w:rPr>
        <w:t>(33</w:t>
      </w:r>
      <w:r w:rsidR="00882D17">
        <w:rPr>
          <w:sz w:val="20"/>
          <w:szCs w:val="20"/>
        </w:rPr>
        <w:t>896</w:t>
      </w:r>
      <w:r w:rsidR="002E2327" w:rsidRPr="00C50A5C">
        <w:rPr>
          <w:sz w:val="20"/>
          <w:szCs w:val="20"/>
        </w:rPr>
        <w:t>)</w:t>
      </w:r>
    </w:p>
    <w:p w:rsidR="00882D17" w:rsidRDefault="00882D17" w:rsidP="00882D17">
      <w:pPr>
        <w:pStyle w:val="ListParagraph"/>
        <w:widowControl w:val="0"/>
        <w:ind w:left="0"/>
        <w:jc w:val="both"/>
        <w:rPr>
          <w:sz w:val="20"/>
          <w:szCs w:val="20"/>
        </w:rPr>
      </w:pPr>
    </w:p>
    <w:p w:rsidR="00395741" w:rsidRDefault="00395741" w:rsidP="00882D17">
      <w:pPr>
        <w:pStyle w:val="ListParagraph"/>
        <w:widowControl w:val="0"/>
        <w:ind w:left="0"/>
        <w:jc w:val="both"/>
        <w:rPr>
          <w:sz w:val="20"/>
          <w:szCs w:val="20"/>
        </w:rPr>
      </w:pPr>
    </w:p>
    <w:p w:rsidR="00882D17" w:rsidRPr="00C50A5C" w:rsidRDefault="00882D17" w:rsidP="00882D17">
      <w:pPr>
        <w:widowControl w:val="0"/>
        <w:jc w:val="center"/>
        <w:rPr>
          <w:b/>
          <w:sz w:val="20"/>
          <w:szCs w:val="20"/>
        </w:rPr>
      </w:pPr>
      <w:r w:rsidRPr="00C50A5C">
        <w:rPr>
          <w:b/>
          <w:sz w:val="20"/>
          <w:szCs w:val="20"/>
        </w:rPr>
        <w:t xml:space="preserve">CORAM: </w:t>
      </w:r>
      <w:proofErr w:type="spellStart"/>
      <w:r w:rsidRPr="00C50A5C">
        <w:rPr>
          <w:b/>
          <w:sz w:val="20"/>
          <w:szCs w:val="20"/>
        </w:rPr>
        <w:t>Binnie</w:t>
      </w:r>
      <w:proofErr w:type="spellEnd"/>
      <w:r w:rsidRPr="00C50A5C">
        <w:rPr>
          <w:b/>
          <w:sz w:val="20"/>
          <w:szCs w:val="20"/>
        </w:rPr>
        <w:t>, Fish and Rothstein JJ.</w:t>
      </w:r>
    </w:p>
    <w:p w:rsidR="00882D17" w:rsidRPr="00C50A5C" w:rsidRDefault="00882D17" w:rsidP="00882D17">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Binnie</w:t>
      </w:r>
      <w:proofErr w:type="spellEnd"/>
      <w:r w:rsidRPr="00C50A5C">
        <w:rPr>
          <w:b/>
          <w:sz w:val="20"/>
          <w:szCs w:val="20"/>
          <w:lang w:val="fr-CA"/>
        </w:rPr>
        <w:t xml:space="preserve">, Fish et </w:t>
      </w:r>
      <w:proofErr w:type="spellStart"/>
      <w:r w:rsidRPr="00C50A5C">
        <w:rPr>
          <w:b/>
          <w:sz w:val="20"/>
          <w:szCs w:val="20"/>
          <w:lang w:val="fr-CA"/>
        </w:rPr>
        <w:t>Rothstein</w:t>
      </w:r>
      <w:proofErr w:type="spellEnd"/>
    </w:p>
    <w:p w:rsidR="00882D17" w:rsidRPr="00C50A5C" w:rsidRDefault="00882D17" w:rsidP="00882D17">
      <w:pPr>
        <w:widowControl w:val="0"/>
        <w:rPr>
          <w:sz w:val="20"/>
          <w:szCs w:val="20"/>
          <w:lang w:val="fr-CA"/>
        </w:rPr>
      </w:pPr>
    </w:p>
    <w:p w:rsidR="002E2327" w:rsidRPr="00C50A5C" w:rsidRDefault="00395741" w:rsidP="00C50A5C">
      <w:pPr>
        <w:pStyle w:val="ListParagraph"/>
        <w:widowControl w:val="0"/>
        <w:numPr>
          <w:ilvl w:val="0"/>
          <w:numId w:val="1"/>
        </w:numPr>
        <w:ind w:hanging="720"/>
        <w:jc w:val="both"/>
        <w:rPr>
          <w:sz w:val="20"/>
          <w:szCs w:val="20"/>
        </w:rPr>
      </w:pPr>
      <w:r w:rsidRPr="00AF5526">
        <w:rPr>
          <w:i/>
          <w:sz w:val="20"/>
          <w:szCs w:val="20"/>
        </w:rPr>
        <w:t xml:space="preserve">Ronnie </w:t>
      </w:r>
      <w:proofErr w:type="spellStart"/>
      <w:r w:rsidRPr="00AF5526">
        <w:rPr>
          <w:i/>
          <w:sz w:val="20"/>
          <w:szCs w:val="20"/>
        </w:rPr>
        <w:t>Grunwald</w:t>
      </w:r>
      <w:proofErr w:type="spellEnd"/>
      <w:r w:rsidRPr="00AF5526">
        <w:rPr>
          <w:i/>
          <w:sz w:val="20"/>
          <w:szCs w:val="20"/>
        </w:rPr>
        <w:t xml:space="preserve"> v. Her Majesty the Queen</w:t>
      </w:r>
      <w:r>
        <w:rPr>
          <w:sz w:val="20"/>
          <w:szCs w:val="20"/>
        </w:rPr>
        <w:t xml:space="preserve"> </w:t>
      </w:r>
      <w:r w:rsidRPr="00395741">
        <w:rPr>
          <w:sz w:val="20"/>
          <w:szCs w:val="20"/>
        </w:rPr>
        <w:t>(B.C.) (Crim</w:t>
      </w:r>
      <w:r w:rsidR="00AF5526">
        <w:rPr>
          <w:sz w:val="20"/>
          <w:szCs w:val="20"/>
        </w:rPr>
        <w:t>.</w:t>
      </w:r>
      <w:r w:rsidRPr="00395741">
        <w:rPr>
          <w:sz w:val="20"/>
          <w:szCs w:val="20"/>
        </w:rPr>
        <w:t>) (By Leave)</w:t>
      </w:r>
      <w:r w:rsidRPr="00C50A5C">
        <w:rPr>
          <w:sz w:val="20"/>
          <w:szCs w:val="20"/>
        </w:rPr>
        <w:t xml:space="preserve"> </w:t>
      </w:r>
      <w:r w:rsidR="002E2327" w:rsidRPr="00C50A5C">
        <w:rPr>
          <w:sz w:val="20"/>
          <w:szCs w:val="20"/>
        </w:rPr>
        <w:t>(33</w:t>
      </w:r>
      <w:r w:rsidR="00882D17">
        <w:rPr>
          <w:sz w:val="20"/>
          <w:szCs w:val="20"/>
        </w:rPr>
        <w:t>836</w:t>
      </w:r>
      <w:r w:rsidR="002E2327" w:rsidRPr="00C50A5C">
        <w:rPr>
          <w:sz w:val="20"/>
          <w:szCs w:val="20"/>
        </w:rPr>
        <w:t>)</w:t>
      </w:r>
    </w:p>
    <w:p w:rsidR="002E2327" w:rsidRPr="00C50A5C" w:rsidRDefault="002E2327" w:rsidP="002E2327">
      <w:pPr>
        <w:widowControl w:val="0"/>
        <w:rPr>
          <w:sz w:val="20"/>
          <w:szCs w:val="20"/>
        </w:rPr>
      </w:pPr>
    </w:p>
    <w:p w:rsidR="002E2327" w:rsidRPr="00C50A5C" w:rsidRDefault="00395741" w:rsidP="00C50A5C">
      <w:pPr>
        <w:pStyle w:val="ListParagraph"/>
        <w:widowControl w:val="0"/>
        <w:numPr>
          <w:ilvl w:val="0"/>
          <w:numId w:val="1"/>
        </w:numPr>
        <w:ind w:hanging="720"/>
        <w:jc w:val="both"/>
        <w:rPr>
          <w:sz w:val="20"/>
          <w:szCs w:val="20"/>
          <w:lang w:val="fr-CA"/>
        </w:rPr>
      </w:pPr>
      <w:r w:rsidRPr="00AF5526">
        <w:rPr>
          <w:i/>
          <w:sz w:val="20"/>
          <w:szCs w:val="20"/>
        </w:rPr>
        <w:t xml:space="preserve">Corporation of the City of Burlington v. Marjory Arlene </w:t>
      </w:r>
      <w:proofErr w:type="spellStart"/>
      <w:r w:rsidRPr="00AF5526">
        <w:rPr>
          <w:i/>
          <w:sz w:val="20"/>
          <w:szCs w:val="20"/>
        </w:rPr>
        <w:t>Cartner</w:t>
      </w:r>
      <w:proofErr w:type="spellEnd"/>
      <w:r w:rsidRPr="00AF5526">
        <w:rPr>
          <w:i/>
          <w:sz w:val="20"/>
          <w:szCs w:val="20"/>
        </w:rPr>
        <w:t xml:space="preserve"> et al.</w:t>
      </w:r>
      <w:r w:rsidRPr="00395741">
        <w:rPr>
          <w:sz w:val="20"/>
          <w:szCs w:val="20"/>
        </w:rPr>
        <w:t xml:space="preserve"> (Ont.) (Civil) (By Leave)</w:t>
      </w:r>
      <w:r w:rsidRPr="00C50A5C">
        <w:rPr>
          <w:sz w:val="20"/>
          <w:szCs w:val="20"/>
          <w:lang w:val="fr-CA"/>
        </w:rPr>
        <w:t xml:space="preserve"> </w:t>
      </w:r>
      <w:r w:rsidR="002E2327" w:rsidRPr="00C50A5C">
        <w:rPr>
          <w:sz w:val="20"/>
          <w:szCs w:val="20"/>
          <w:lang w:val="fr-CA"/>
        </w:rPr>
        <w:t>(33</w:t>
      </w:r>
      <w:r w:rsidR="00882D17">
        <w:rPr>
          <w:sz w:val="20"/>
          <w:szCs w:val="20"/>
          <w:lang w:val="fr-CA"/>
        </w:rPr>
        <w:t>827</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395741" w:rsidP="00C50A5C">
      <w:pPr>
        <w:pStyle w:val="ListParagraph"/>
        <w:widowControl w:val="0"/>
        <w:numPr>
          <w:ilvl w:val="0"/>
          <w:numId w:val="1"/>
        </w:numPr>
        <w:ind w:hanging="720"/>
        <w:jc w:val="both"/>
        <w:rPr>
          <w:sz w:val="20"/>
          <w:szCs w:val="20"/>
          <w:lang w:val="fr-CA"/>
        </w:rPr>
      </w:pPr>
      <w:r w:rsidRPr="00AF5526">
        <w:rPr>
          <w:i/>
          <w:sz w:val="20"/>
          <w:szCs w:val="20"/>
        </w:rPr>
        <w:t>New Brunswick Human Rights Commission v. Province of New Brunswick, as represented by the Department of Social Development</w:t>
      </w:r>
      <w:r w:rsidRPr="00395741">
        <w:rPr>
          <w:sz w:val="20"/>
          <w:szCs w:val="20"/>
        </w:rPr>
        <w:t xml:space="preserve"> (N.B.) (Civil) (By Leave)</w:t>
      </w:r>
      <w:r w:rsidRPr="00C50A5C">
        <w:rPr>
          <w:sz w:val="20"/>
          <w:szCs w:val="20"/>
          <w:lang w:val="fr-CA"/>
        </w:rPr>
        <w:t xml:space="preserve"> </w:t>
      </w:r>
      <w:r w:rsidR="002E2327" w:rsidRPr="00C50A5C">
        <w:rPr>
          <w:sz w:val="20"/>
          <w:szCs w:val="20"/>
          <w:lang w:val="fr-CA"/>
        </w:rPr>
        <w:t>(33</w:t>
      </w:r>
      <w:r w:rsidR="00882D17">
        <w:rPr>
          <w:sz w:val="20"/>
          <w:szCs w:val="20"/>
          <w:lang w:val="fr-CA"/>
        </w:rPr>
        <w:t>820</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395741" w:rsidRDefault="00AF5526" w:rsidP="00C50A5C">
      <w:pPr>
        <w:pStyle w:val="ListParagraph"/>
        <w:widowControl w:val="0"/>
        <w:numPr>
          <w:ilvl w:val="0"/>
          <w:numId w:val="1"/>
        </w:numPr>
        <w:ind w:hanging="720"/>
        <w:jc w:val="both"/>
        <w:rPr>
          <w:sz w:val="20"/>
          <w:szCs w:val="20"/>
        </w:rPr>
      </w:pPr>
      <w:r w:rsidRPr="00AF5526">
        <w:rPr>
          <w:i/>
          <w:sz w:val="20"/>
          <w:szCs w:val="20"/>
        </w:rPr>
        <w:t>E</w:t>
      </w:r>
      <w:r w:rsidR="00395741" w:rsidRPr="00AF5526">
        <w:rPr>
          <w:i/>
          <w:sz w:val="20"/>
          <w:szCs w:val="20"/>
        </w:rPr>
        <w:t xml:space="preserve">leanor R. </w:t>
      </w:r>
      <w:proofErr w:type="spellStart"/>
      <w:r w:rsidR="00395741" w:rsidRPr="00AF5526">
        <w:rPr>
          <w:i/>
          <w:sz w:val="20"/>
          <w:szCs w:val="20"/>
        </w:rPr>
        <w:t>Clitheroe</w:t>
      </w:r>
      <w:proofErr w:type="spellEnd"/>
      <w:r w:rsidR="00395741" w:rsidRPr="00AF5526">
        <w:rPr>
          <w:i/>
          <w:sz w:val="20"/>
          <w:szCs w:val="20"/>
        </w:rPr>
        <w:t xml:space="preserve"> v. Hydro One Inc.</w:t>
      </w:r>
      <w:r w:rsidR="00395741" w:rsidRPr="00395741">
        <w:rPr>
          <w:sz w:val="20"/>
          <w:szCs w:val="20"/>
        </w:rPr>
        <w:t xml:space="preserve"> (Ont.) (Civil) (By Leave) </w:t>
      </w:r>
      <w:r w:rsidR="002E2327" w:rsidRPr="00395741">
        <w:rPr>
          <w:sz w:val="20"/>
          <w:szCs w:val="20"/>
        </w:rPr>
        <w:t>(33</w:t>
      </w:r>
      <w:r w:rsidR="00882D17" w:rsidRPr="00395741">
        <w:rPr>
          <w:sz w:val="20"/>
          <w:szCs w:val="20"/>
        </w:rPr>
        <w:t>834</w:t>
      </w:r>
      <w:r w:rsidR="002E2327" w:rsidRPr="00395741">
        <w:rPr>
          <w:sz w:val="20"/>
          <w:szCs w:val="20"/>
        </w:rPr>
        <w:t>)</w:t>
      </w:r>
    </w:p>
    <w:p w:rsidR="002E2327" w:rsidRDefault="002E2327" w:rsidP="002E2327">
      <w:pPr>
        <w:widowControl w:val="0"/>
        <w:rPr>
          <w:sz w:val="20"/>
          <w:szCs w:val="20"/>
        </w:rPr>
      </w:pPr>
    </w:p>
    <w:p w:rsidR="00AF5526" w:rsidRPr="00395741" w:rsidRDefault="00AF5526" w:rsidP="002E2327">
      <w:pPr>
        <w:widowControl w:val="0"/>
        <w:rPr>
          <w:sz w:val="20"/>
          <w:szCs w:val="20"/>
        </w:rPr>
      </w:pPr>
    </w:p>
    <w:p w:rsidR="002E2327" w:rsidRPr="00C50A5C" w:rsidRDefault="002E2327" w:rsidP="002E2327">
      <w:pPr>
        <w:widowControl w:val="0"/>
        <w:jc w:val="center"/>
        <w:rPr>
          <w:b/>
          <w:sz w:val="20"/>
          <w:szCs w:val="20"/>
        </w:rPr>
      </w:pPr>
      <w:r w:rsidRPr="00C50A5C">
        <w:rPr>
          <w:b/>
          <w:sz w:val="20"/>
          <w:szCs w:val="20"/>
        </w:rPr>
        <w:t xml:space="preserve">CORAM: </w:t>
      </w:r>
      <w:proofErr w:type="spellStart"/>
      <w:r w:rsidRPr="00C50A5C">
        <w:rPr>
          <w:b/>
          <w:sz w:val="20"/>
          <w:szCs w:val="20"/>
        </w:rPr>
        <w:t>LeBel</w:t>
      </w:r>
      <w:proofErr w:type="spellEnd"/>
      <w:r w:rsidRPr="00C50A5C">
        <w:rPr>
          <w:b/>
          <w:sz w:val="20"/>
          <w:szCs w:val="20"/>
        </w:rPr>
        <w:t xml:space="preserve">, </w:t>
      </w:r>
      <w:proofErr w:type="spellStart"/>
      <w:r w:rsidRPr="00C50A5C">
        <w:rPr>
          <w:b/>
          <w:sz w:val="20"/>
          <w:szCs w:val="20"/>
        </w:rPr>
        <w:t>Deschamps</w:t>
      </w:r>
      <w:proofErr w:type="spellEnd"/>
      <w:r w:rsidRPr="00C50A5C">
        <w:rPr>
          <w:b/>
          <w:sz w:val="20"/>
          <w:szCs w:val="20"/>
        </w:rPr>
        <w:t xml:space="preserve"> and </w:t>
      </w:r>
      <w:proofErr w:type="spellStart"/>
      <w:r w:rsidRPr="00C50A5C">
        <w:rPr>
          <w:b/>
          <w:sz w:val="20"/>
          <w:szCs w:val="20"/>
        </w:rPr>
        <w:t>Charron</w:t>
      </w:r>
      <w:proofErr w:type="spellEnd"/>
      <w:r w:rsidRPr="00C50A5C">
        <w:rPr>
          <w:b/>
          <w:sz w:val="20"/>
          <w:szCs w:val="20"/>
        </w:rPr>
        <w:t xml:space="preserve"> JJ.</w:t>
      </w:r>
    </w:p>
    <w:p w:rsidR="002E2327" w:rsidRPr="00C50A5C" w:rsidRDefault="002E2327" w:rsidP="002E2327">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LeBel</w:t>
      </w:r>
      <w:proofErr w:type="spellEnd"/>
      <w:r w:rsidRPr="00C50A5C">
        <w:rPr>
          <w:b/>
          <w:sz w:val="20"/>
          <w:szCs w:val="20"/>
          <w:lang w:val="fr-CA"/>
        </w:rPr>
        <w:t>, Deschamps et Charron</w:t>
      </w:r>
    </w:p>
    <w:p w:rsidR="002E2327" w:rsidRPr="00C50A5C" w:rsidRDefault="002E2327" w:rsidP="002E2327">
      <w:pPr>
        <w:widowControl w:val="0"/>
        <w:rPr>
          <w:sz w:val="20"/>
          <w:szCs w:val="20"/>
          <w:lang w:val="fr-CA"/>
        </w:rPr>
      </w:pPr>
    </w:p>
    <w:p w:rsidR="002E2327" w:rsidRPr="00AF5526" w:rsidRDefault="00AF5526" w:rsidP="00C50A5C">
      <w:pPr>
        <w:pStyle w:val="ListParagraph"/>
        <w:widowControl w:val="0"/>
        <w:numPr>
          <w:ilvl w:val="0"/>
          <w:numId w:val="1"/>
        </w:numPr>
        <w:ind w:hanging="720"/>
        <w:jc w:val="both"/>
        <w:rPr>
          <w:sz w:val="20"/>
          <w:szCs w:val="20"/>
        </w:rPr>
      </w:pPr>
      <w:proofErr w:type="spellStart"/>
      <w:r w:rsidRPr="00AF5526">
        <w:rPr>
          <w:i/>
          <w:sz w:val="20"/>
          <w:szCs w:val="20"/>
        </w:rPr>
        <w:t>Thornhill</w:t>
      </w:r>
      <w:proofErr w:type="spellEnd"/>
      <w:r w:rsidRPr="00AF5526">
        <w:rPr>
          <w:i/>
          <w:sz w:val="20"/>
          <w:szCs w:val="20"/>
        </w:rPr>
        <w:t xml:space="preserve"> Green Co-Operative Homes Inc. et al. v. Regional Municipality of York</w:t>
      </w:r>
      <w:r w:rsidRPr="00395741">
        <w:rPr>
          <w:sz w:val="20"/>
          <w:szCs w:val="20"/>
        </w:rPr>
        <w:t xml:space="preserve"> (Ont.) (Civil) (By Leave)</w:t>
      </w:r>
      <w:r w:rsidRPr="00AF5526">
        <w:rPr>
          <w:sz w:val="20"/>
          <w:szCs w:val="20"/>
        </w:rPr>
        <w:t xml:space="preserve"> </w:t>
      </w:r>
      <w:r w:rsidR="002E2327" w:rsidRPr="00AF5526">
        <w:rPr>
          <w:sz w:val="20"/>
          <w:szCs w:val="20"/>
        </w:rPr>
        <w:t>(33</w:t>
      </w:r>
      <w:r w:rsidR="00882D17" w:rsidRPr="00AF5526">
        <w:rPr>
          <w:sz w:val="20"/>
          <w:szCs w:val="20"/>
        </w:rPr>
        <w:t>821</w:t>
      </w:r>
      <w:r w:rsidR="002E2327" w:rsidRPr="00AF5526">
        <w:rPr>
          <w:sz w:val="20"/>
          <w:szCs w:val="20"/>
        </w:rPr>
        <w:t>)</w:t>
      </w:r>
    </w:p>
    <w:p w:rsidR="002E2327" w:rsidRPr="00AF5526" w:rsidRDefault="002E2327" w:rsidP="00C50A5C">
      <w:pPr>
        <w:widowControl w:val="0"/>
        <w:jc w:val="both"/>
        <w:rPr>
          <w:sz w:val="20"/>
          <w:szCs w:val="20"/>
        </w:rPr>
      </w:pPr>
    </w:p>
    <w:p w:rsidR="002E2327" w:rsidRPr="00C50A5C" w:rsidRDefault="00AF5526" w:rsidP="00C50A5C">
      <w:pPr>
        <w:pStyle w:val="ListParagraph"/>
        <w:widowControl w:val="0"/>
        <w:numPr>
          <w:ilvl w:val="0"/>
          <w:numId w:val="1"/>
        </w:numPr>
        <w:ind w:hanging="720"/>
        <w:jc w:val="both"/>
        <w:rPr>
          <w:sz w:val="20"/>
          <w:szCs w:val="20"/>
          <w:lang w:val="fr-CA"/>
        </w:rPr>
      </w:pPr>
      <w:r w:rsidRPr="00AF5526">
        <w:rPr>
          <w:i/>
          <w:sz w:val="20"/>
          <w:szCs w:val="20"/>
          <w:lang w:val="fr-CA"/>
        </w:rPr>
        <w:t>Fédération des producteurs acéricoles du Québec c. Henri Bourgoin et autre</w:t>
      </w:r>
      <w:r>
        <w:rPr>
          <w:i/>
          <w:sz w:val="20"/>
          <w:szCs w:val="20"/>
          <w:lang w:val="fr-CA"/>
        </w:rPr>
        <w:t>s</w:t>
      </w:r>
      <w:r w:rsidRPr="00395741">
        <w:rPr>
          <w:sz w:val="20"/>
          <w:szCs w:val="20"/>
          <w:lang w:val="fr-CA"/>
        </w:rPr>
        <w:t xml:space="preserve"> (</w:t>
      </w:r>
      <w:proofErr w:type="spellStart"/>
      <w:r w:rsidRPr="00395741">
        <w:rPr>
          <w:sz w:val="20"/>
          <w:szCs w:val="20"/>
          <w:lang w:val="fr-CA"/>
        </w:rPr>
        <w:t>Qc</w:t>
      </w:r>
      <w:proofErr w:type="spellEnd"/>
      <w:r w:rsidRPr="00395741">
        <w:rPr>
          <w:sz w:val="20"/>
          <w:szCs w:val="20"/>
          <w:lang w:val="fr-CA"/>
        </w:rPr>
        <w:t>) (Civile) (Autorisation)</w:t>
      </w:r>
      <w:r w:rsidRPr="00C50A5C">
        <w:rPr>
          <w:sz w:val="20"/>
          <w:szCs w:val="20"/>
          <w:lang w:val="fr-CA"/>
        </w:rPr>
        <w:t xml:space="preserve"> </w:t>
      </w:r>
      <w:r w:rsidR="002E2327" w:rsidRPr="00C50A5C">
        <w:rPr>
          <w:sz w:val="20"/>
          <w:szCs w:val="20"/>
          <w:lang w:val="fr-CA"/>
        </w:rPr>
        <w:t>(33</w:t>
      </w:r>
      <w:r w:rsidR="00882D17">
        <w:rPr>
          <w:sz w:val="20"/>
          <w:szCs w:val="20"/>
          <w:lang w:val="fr-CA"/>
        </w:rPr>
        <w:t>903</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AF5526" w:rsidRDefault="00AF5526" w:rsidP="00C50A5C">
      <w:pPr>
        <w:pStyle w:val="ListParagraph"/>
        <w:widowControl w:val="0"/>
        <w:numPr>
          <w:ilvl w:val="0"/>
          <w:numId w:val="1"/>
        </w:numPr>
        <w:ind w:hanging="720"/>
        <w:jc w:val="both"/>
        <w:rPr>
          <w:sz w:val="20"/>
          <w:szCs w:val="20"/>
        </w:rPr>
      </w:pPr>
      <w:r w:rsidRPr="00AF5526">
        <w:rPr>
          <w:i/>
          <w:sz w:val="20"/>
          <w:szCs w:val="20"/>
        </w:rPr>
        <w:t>Philip E. Johnston v. Chubb Canada</w:t>
      </w:r>
      <w:r>
        <w:rPr>
          <w:sz w:val="20"/>
          <w:szCs w:val="20"/>
        </w:rPr>
        <w:t xml:space="preserve"> </w:t>
      </w:r>
      <w:r w:rsidRPr="00395741">
        <w:rPr>
          <w:sz w:val="20"/>
          <w:szCs w:val="20"/>
        </w:rPr>
        <w:t>(Que.) (Civil) (By Leave)</w:t>
      </w:r>
      <w:r w:rsidRPr="00AF5526">
        <w:rPr>
          <w:sz w:val="20"/>
          <w:szCs w:val="20"/>
        </w:rPr>
        <w:t xml:space="preserve"> </w:t>
      </w:r>
      <w:r w:rsidR="002E2327" w:rsidRPr="00AF5526">
        <w:rPr>
          <w:sz w:val="20"/>
          <w:szCs w:val="20"/>
        </w:rPr>
        <w:t>(33</w:t>
      </w:r>
      <w:r w:rsidR="00882D17" w:rsidRPr="00AF5526">
        <w:rPr>
          <w:sz w:val="20"/>
          <w:szCs w:val="20"/>
        </w:rPr>
        <w:t>810</w:t>
      </w:r>
      <w:r w:rsidR="002E2327" w:rsidRPr="00AF5526">
        <w:rPr>
          <w:sz w:val="20"/>
          <w:szCs w:val="20"/>
        </w:rPr>
        <w:t>)</w:t>
      </w:r>
    </w:p>
    <w:p w:rsidR="002E2327" w:rsidRPr="00AF5526" w:rsidRDefault="002E2327" w:rsidP="002E2327">
      <w:pPr>
        <w:widowControl w:val="0"/>
        <w:rPr>
          <w:sz w:val="20"/>
          <w:szCs w:val="20"/>
        </w:rPr>
      </w:pPr>
    </w:p>
    <w:p w:rsidR="002E2327" w:rsidRPr="00395741" w:rsidRDefault="002E2327" w:rsidP="002E2327">
      <w:pPr>
        <w:widowControl w:val="0"/>
        <w:rPr>
          <w:sz w:val="20"/>
          <w:szCs w:val="20"/>
        </w:rPr>
      </w:pPr>
    </w:p>
    <w:p w:rsidR="002E2327" w:rsidRPr="00C50A5C" w:rsidRDefault="00857426" w:rsidP="002E2327">
      <w:pPr>
        <w:widowControl w:val="0"/>
        <w:rPr>
          <w:sz w:val="20"/>
          <w:szCs w:val="20"/>
        </w:rPr>
      </w:pPr>
      <w:r w:rsidRPr="00857426">
        <w:rPr>
          <w:sz w:val="20"/>
          <w:szCs w:val="20"/>
        </w:rPr>
        <w:pict>
          <v:rect id="_x0000_i1037"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1C2F5E"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7F53EF" w:rsidP="008D292F">
      <w:pPr>
        <w:rPr>
          <w:b/>
          <w:sz w:val="20"/>
          <w:szCs w:val="20"/>
        </w:rPr>
      </w:pPr>
      <w:r>
        <w:rPr>
          <w:b/>
          <w:sz w:val="20"/>
          <w:szCs w:val="20"/>
        </w:rPr>
        <w:t>NOVEMBER 25</w:t>
      </w:r>
      <w:r w:rsidR="008D292F" w:rsidRPr="00C50A5C">
        <w:rPr>
          <w:b/>
          <w:sz w:val="20"/>
          <w:szCs w:val="20"/>
        </w:rPr>
        <w:t>, 2010 / LE 2</w:t>
      </w:r>
      <w:r>
        <w:rPr>
          <w:b/>
          <w:sz w:val="20"/>
          <w:szCs w:val="20"/>
        </w:rPr>
        <w:t>5 NOVEMBRE</w:t>
      </w:r>
      <w:r w:rsidR="008D292F" w:rsidRPr="00C50A5C">
        <w:rPr>
          <w:b/>
          <w:sz w:val="20"/>
          <w:szCs w:val="20"/>
        </w:rPr>
        <w:t xml:space="preserve"> 2010</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32D44" w:rsidRPr="001C2F5E" w:rsidTr="00132D44">
        <w:trPr>
          <w:cantSplit/>
        </w:trPr>
        <w:tc>
          <w:tcPr>
            <w:tcW w:w="1458" w:type="dxa"/>
          </w:tcPr>
          <w:p w:rsidR="00132D44" w:rsidRPr="00132D44" w:rsidRDefault="00132D44" w:rsidP="00132D44">
            <w:pPr>
              <w:rPr>
                <w:sz w:val="20"/>
                <w:szCs w:val="20"/>
              </w:rPr>
            </w:pPr>
            <w:r w:rsidRPr="00132D44">
              <w:rPr>
                <w:rStyle w:val="SCCFileNumberChar"/>
                <w:sz w:val="20"/>
                <w:szCs w:val="20"/>
              </w:rPr>
              <w:t>33304</w:t>
            </w:r>
          </w:p>
          <w:p w:rsidR="00132D44" w:rsidRPr="00132D44" w:rsidRDefault="00132D44" w:rsidP="00132D44">
            <w:pPr>
              <w:rPr>
                <w:b/>
                <w:sz w:val="20"/>
                <w:szCs w:val="20"/>
                <w:lang w:val="fr-CA"/>
              </w:rPr>
            </w:pPr>
          </w:p>
        </w:tc>
        <w:tc>
          <w:tcPr>
            <w:tcW w:w="8118" w:type="dxa"/>
          </w:tcPr>
          <w:p w:rsidR="00132D44" w:rsidRPr="00132D44" w:rsidRDefault="00132D44" w:rsidP="00132D44">
            <w:pPr>
              <w:jc w:val="both"/>
              <w:rPr>
                <w:sz w:val="20"/>
                <w:szCs w:val="20"/>
                <w:lang w:val="fr-CA"/>
              </w:rPr>
            </w:pPr>
            <w:r w:rsidRPr="00132D44">
              <w:rPr>
                <w:rStyle w:val="SCCLsocChar"/>
                <w:sz w:val="20"/>
                <w:szCs w:val="20"/>
              </w:rPr>
              <w:t xml:space="preserve">Groupe Polygone Éditeurs </w:t>
            </w:r>
            <w:proofErr w:type="spellStart"/>
            <w:r w:rsidRPr="00132D44">
              <w:rPr>
                <w:rStyle w:val="SCCLsocChar"/>
                <w:sz w:val="20"/>
                <w:szCs w:val="20"/>
              </w:rPr>
              <w:t>inc</w:t>
            </w:r>
            <w:proofErr w:type="spellEnd"/>
            <w:r w:rsidRPr="00132D44">
              <w:rPr>
                <w:rStyle w:val="SCCLsocChar"/>
                <w:sz w:val="20"/>
                <w:szCs w:val="20"/>
              </w:rPr>
              <w:t>.</w:t>
            </w:r>
            <w:r>
              <w:rPr>
                <w:rStyle w:val="SCCLsocChar"/>
                <w:sz w:val="20"/>
                <w:szCs w:val="20"/>
              </w:rPr>
              <w:t xml:space="preserve"> et </w:t>
            </w:r>
            <w:r w:rsidRPr="00132D44">
              <w:rPr>
                <w:rStyle w:val="SCCLsocChar"/>
                <w:sz w:val="20"/>
                <w:szCs w:val="20"/>
              </w:rPr>
              <w:t xml:space="preserve"> Patrick Lemay c. </w:t>
            </w:r>
            <w:proofErr w:type="spellStart"/>
            <w:r w:rsidRPr="00132D44">
              <w:rPr>
                <w:rStyle w:val="SCCLsocChar"/>
                <w:sz w:val="20"/>
                <w:szCs w:val="20"/>
              </w:rPr>
              <w:t>Gesca</w:t>
            </w:r>
            <w:proofErr w:type="spellEnd"/>
            <w:r w:rsidRPr="00132D44">
              <w:rPr>
                <w:rStyle w:val="SCCLsocChar"/>
                <w:sz w:val="20"/>
                <w:szCs w:val="20"/>
              </w:rPr>
              <w:t xml:space="preserve"> Limitée, </w:t>
            </w:r>
            <w:proofErr w:type="spellStart"/>
            <w:r w:rsidRPr="00132D44">
              <w:rPr>
                <w:rStyle w:val="SCCLsocChar"/>
                <w:sz w:val="20"/>
                <w:szCs w:val="20"/>
              </w:rPr>
              <w:t>Joë</w:t>
            </w:r>
            <w:proofErr w:type="spellEnd"/>
            <w:r w:rsidRPr="00132D44">
              <w:rPr>
                <w:rStyle w:val="SCCLsocChar"/>
                <w:sz w:val="20"/>
                <w:szCs w:val="20"/>
              </w:rPr>
              <w:t xml:space="preserve">-Denis </w:t>
            </w:r>
            <w:proofErr w:type="spellStart"/>
            <w:r w:rsidRPr="00132D44">
              <w:rPr>
                <w:rStyle w:val="SCCLsocChar"/>
                <w:sz w:val="20"/>
                <w:szCs w:val="20"/>
              </w:rPr>
              <w:t>Bellavance</w:t>
            </w:r>
            <w:proofErr w:type="spellEnd"/>
            <w:r>
              <w:rPr>
                <w:rStyle w:val="SCCLsocChar"/>
                <w:sz w:val="20"/>
                <w:szCs w:val="20"/>
              </w:rPr>
              <w:t xml:space="preserve"> et</w:t>
            </w:r>
            <w:r w:rsidRPr="00132D44">
              <w:rPr>
                <w:rStyle w:val="SCCLsocChar"/>
                <w:sz w:val="20"/>
                <w:szCs w:val="20"/>
              </w:rPr>
              <w:t xml:space="preserve"> Procureur général du Canada</w:t>
            </w:r>
            <w:r w:rsidRPr="00132D44">
              <w:rPr>
                <w:sz w:val="20"/>
                <w:szCs w:val="20"/>
                <w:lang w:val="fr-CA"/>
              </w:rPr>
              <w:t xml:space="preserve"> (</w:t>
            </w:r>
            <w:proofErr w:type="spellStart"/>
            <w:r w:rsidRPr="00132D44">
              <w:rPr>
                <w:sz w:val="20"/>
                <w:szCs w:val="20"/>
                <w:lang w:val="fr-CA"/>
              </w:rPr>
              <w:t>Qc</w:t>
            </w:r>
            <w:proofErr w:type="spellEnd"/>
            <w:r w:rsidRPr="00132D44">
              <w:rPr>
                <w:sz w:val="20"/>
                <w:szCs w:val="20"/>
                <w:lang w:val="fr-CA"/>
              </w:rPr>
              <w:t>) (Civile) (Autorisation)</w:t>
            </w:r>
          </w:p>
          <w:p w:rsidR="00132D44" w:rsidRPr="00132D44" w:rsidRDefault="00132D44" w:rsidP="00132D44">
            <w:pPr>
              <w:rPr>
                <w:sz w:val="20"/>
                <w:szCs w:val="20"/>
                <w:lang w:val="fr-CA"/>
              </w:rPr>
            </w:pPr>
          </w:p>
        </w:tc>
      </w:tr>
      <w:tr w:rsidR="00132D44" w:rsidRPr="001C2F5E" w:rsidTr="00132D44">
        <w:trPr>
          <w:cantSplit/>
        </w:trPr>
        <w:tc>
          <w:tcPr>
            <w:tcW w:w="1458" w:type="dxa"/>
          </w:tcPr>
          <w:p w:rsidR="00132D44" w:rsidRPr="00132D44" w:rsidRDefault="00132D44" w:rsidP="00132D44">
            <w:pPr>
              <w:rPr>
                <w:sz w:val="20"/>
                <w:szCs w:val="20"/>
                <w:lang w:val="fr-CA"/>
              </w:rPr>
            </w:pPr>
            <w:r w:rsidRPr="00132D44">
              <w:rPr>
                <w:sz w:val="20"/>
                <w:szCs w:val="20"/>
                <w:lang w:val="fr-CA"/>
              </w:rPr>
              <w:t>Coram :</w:t>
            </w:r>
          </w:p>
        </w:tc>
        <w:tc>
          <w:tcPr>
            <w:tcW w:w="8118" w:type="dxa"/>
          </w:tcPr>
          <w:p w:rsidR="00132D44" w:rsidRPr="00132D44" w:rsidRDefault="00132D44" w:rsidP="00132D44">
            <w:pPr>
              <w:rPr>
                <w:sz w:val="20"/>
                <w:szCs w:val="20"/>
                <w:lang w:val="fr-CA"/>
              </w:rPr>
            </w:pPr>
            <w:r w:rsidRPr="00132D44">
              <w:rPr>
                <w:rStyle w:val="SCCCoramChar"/>
                <w:sz w:val="20"/>
                <w:szCs w:val="20"/>
              </w:rPr>
              <w:t xml:space="preserve">Les juges </w:t>
            </w:r>
            <w:proofErr w:type="spellStart"/>
            <w:r w:rsidRPr="00132D44">
              <w:rPr>
                <w:rStyle w:val="SCCCoramChar"/>
                <w:sz w:val="20"/>
                <w:szCs w:val="20"/>
              </w:rPr>
              <w:t>Binnie</w:t>
            </w:r>
            <w:proofErr w:type="spellEnd"/>
            <w:r w:rsidRPr="00132D44">
              <w:rPr>
                <w:rStyle w:val="SCCCoramChar"/>
                <w:sz w:val="20"/>
                <w:szCs w:val="20"/>
              </w:rPr>
              <w:t>, Fish et Charron</w:t>
            </w:r>
          </w:p>
          <w:p w:rsidR="00132D44" w:rsidRPr="00132D44" w:rsidRDefault="00132D44" w:rsidP="00132D44">
            <w:pPr>
              <w:rPr>
                <w:sz w:val="20"/>
                <w:szCs w:val="20"/>
                <w:u w:val="single"/>
                <w:lang w:val="fr-CA"/>
              </w:rPr>
            </w:pPr>
          </w:p>
        </w:tc>
      </w:tr>
      <w:tr w:rsidR="00132D44" w:rsidRPr="00132D44" w:rsidTr="00132D44">
        <w:trPr>
          <w:cantSplit/>
        </w:trPr>
        <w:tc>
          <w:tcPr>
            <w:tcW w:w="9576" w:type="dxa"/>
            <w:gridSpan w:val="2"/>
          </w:tcPr>
          <w:p w:rsidR="00132D44" w:rsidRPr="00132D44" w:rsidRDefault="00132D44" w:rsidP="00132D44">
            <w:pPr>
              <w:pStyle w:val="SCCShortJudgment"/>
              <w:rPr>
                <w:szCs w:val="20"/>
                <w:lang w:val="fr-CA"/>
              </w:rPr>
            </w:pPr>
            <w:r w:rsidRPr="00132D44">
              <w:rPr>
                <w:szCs w:val="20"/>
                <w:lang w:val="fr-CA"/>
              </w:rPr>
              <w:t>La demande d’autorisation d’appel de l’arrêt de la Cour d’appel du Québec (Montréal), numéro 500-09-019668-094, 2009 QCCA 1534, daté du 13 août 2009, est rejetée avec dépens.</w:t>
            </w:r>
          </w:p>
          <w:p w:rsidR="00132D44" w:rsidRPr="00132D44" w:rsidRDefault="00132D44" w:rsidP="00132D44">
            <w:pPr>
              <w:pStyle w:val="SCCShortJudgment"/>
              <w:ind w:firstLine="0"/>
              <w:rPr>
                <w:szCs w:val="20"/>
                <w:lang w:val="fr-CA"/>
              </w:rPr>
            </w:pPr>
          </w:p>
          <w:p w:rsidR="00132D44" w:rsidRPr="00132D44" w:rsidRDefault="00132D44" w:rsidP="00132D44">
            <w:pPr>
              <w:pStyle w:val="SCCShortJudgment"/>
              <w:rPr>
                <w:szCs w:val="20"/>
              </w:rPr>
            </w:pPr>
            <w:r w:rsidRPr="00132D44">
              <w:rPr>
                <w:szCs w:val="20"/>
              </w:rPr>
              <w:t>The application for leave to appeal from the judgment of the Court of Appeal of Quebec (Montréal), Number 500-09-019668-094, 2009 ACCA 1534, dated August 13, 2009 is dismissed with costs.</w:t>
            </w:r>
          </w:p>
        </w:tc>
      </w:tr>
    </w:tbl>
    <w:p w:rsidR="003B4777" w:rsidRDefault="003B4777" w:rsidP="003B4777">
      <w:pPr>
        <w:widowControl w:val="0"/>
        <w:jc w:val="both"/>
        <w:rPr>
          <w:sz w:val="20"/>
        </w:rPr>
      </w:pPr>
    </w:p>
    <w:p w:rsidR="003B4777" w:rsidRPr="007F53EF" w:rsidRDefault="003B4777" w:rsidP="003B4777">
      <w:pPr>
        <w:rPr>
          <w:sz w:val="20"/>
          <w:szCs w:val="20"/>
          <w:u w:val="single"/>
        </w:rPr>
      </w:pPr>
      <w:r w:rsidRPr="007F53EF">
        <w:rPr>
          <w:sz w:val="20"/>
          <w:szCs w:val="20"/>
          <w:u w:val="single"/>
        </w:rPr>
        <w:t>CASE SUMMARY</w:t>
      </w:r>
    </w:p>
    <w:p w:rsidR="003B4777" w:rsidRDefault="003B4777" w:rsidP="003B4777">
      <w:pPr>
        <w:widowControl w:val="0"/>
        <w:jc w:val="both"/>
        <w:rPr>
          <w:sz w:val="20"/>
        </w:rPr>
      </w:pPr>
    </w:p>
    <w:p w:rsidR="003B4777" w:rsidRDefault="003B4777" w:rsidP="003B4777">
      <w:pPr>
        <w:widowControl w:val="0"/>
        <w:jc w:val="both"/>
        <w:rPr>
          <w:sz w:val="20"/>
        </w:rPr>
      </w:pPr>
      <w:r>
        <w:rPr>
          <w:sz w:val="20"/>
        </w:rPr>
        <w:t xml:space="preserve">Quebec Charter - Freedom of expression - Privacy - Civil procedure - Publication bans - Whether Court of Appeal erred in concluding that publication of articles revealing existence and content of confidential out-of-court settlement negotiations between Applicants and Attorney General of Canada had not been and was not prejudicial to Applicants or administration of justice - Whether Court of Appeal erred in applying </w:t>
      </w:r>
      <w:proofErr w:type="spellStart"/>
      <w:r>
        <w:rPr>
          <w:i/>
          <w:sz w:val="20"/>
        </w:rPr>
        <w:t>Dagenais</w:t>
      </w:r>
      <w:proofErr w:type="spellEnd"/>
      <w:r>
        <w:rPr>
          <w:i/>
          <w:sz w:val="20"/>
        </w:rPr>
        <w:t>/</w:t>
      </w:r>
      <w:proofErr w:type="spellStart"/>
      <w:r>
        <w:rPr>
          <w:i/>
          <w:sz w:val="20"/>
        </w:rPr>
        <w:t>Mentuck</w:t>
      </w:r>
      <w:proofErr w:type="spellEnd"/>
      <w:r>
        <w:rPr>
          <w:sz w:val="20"/>
        </w:rPr>
        <w:t xml:space="preserve"> test even though published information was not of interest to public - Whether Court of Appeal erred in failing to take account of fact that information had been obtained by reporter through commission of unlawful act by his source and therefore in failing to exclude or vary </w:t>
      </w:r>
      <w:proofErr w:type="spellStart"/>
      <w:r>
        <w:rPr>
          <w:i/>
          <w:sz w:val="20"/>
        </w:rPr>
        <w:t>Dagenais</w:t>
      </w:r>
      <w:proofErr w:type="spellEnd"/>
      <w:r>
        <w:rPr>
          <w:i/>
          <w:sz w:val="20"/>
        </w:rPr>
        <w:t>/</w:t>
      </w:r>
      <w:proofErr w:type="spellStart"/>
      <w:r>
        <w:rPr>
          <w:i/>
          <w:sz w:val="20"/>
        </w:rPr>
        <w:t>Mentuck</w:t>
      </w:r>
      <w:proofErr w:type="spellEnd"/>
      <w:r>
        <w:rPr>
          <w:i/>
          <w:sz w:val="20"/>
        </w:rPr>
        <w:t xml:space="preserve"> </w:t>
      </w:r>
      <w:r>
        <w:rPr>
          <w:sz w:val="20"/>
        </w:rPr>
        <w:t xml:space="preserve">test on this basis - Application of  </w:t>
      </w:r>
      <w:proofErr w:type="spellStart"/>
      <w:r>
        <w:rPr>
          <w:i/>
          <w:sz w:val="20"/>
        </w:rPr>
        <w:t>Dagenais</w:t>
      </w:r>
      <w:proofErr w:type="spellEnd"/>
      <w:r>
        <w:rPr>
          <w:i/>
          <w:sz w:val="20"/>
        </w:rPr>
        <w:t xml:space="preserve"> v. Canadian Broadcasting Corp.</w:t>
      </w:r>
      <w:r>
        <w:rPr>
          <w:sz w:val="20"/>
        </w:rPr>
        <w:t xml:space="preserve">, [1994] 3 S.C.R. 835, </w:t>
      </w:r>
      <w:r>
        <w:rPr>
          <w:i/>
          <w:sz w:val="20"/>
        </w:rPr>
        <w:t xml:space="preserve">R. v. </w:t>
      </w:r>
      <w:proofErr w:type="spellStart"/>
      <w:r>
        <w:rPr>
          <w:i/>
          <w:sz w:val="20"/>
        </w:rPr>
        <w:t>Mentuck</w:t>
      </w:r>
      <w:proofErr w:type="spellEnd"/>
      <w:r>
        <w:rPr>
          <w:sz w:val="20"/>
        </w:rPr>
        <w:t xml:space="preserve">, [2001] 3 S.C.R. 442, and </w:t>
      </w:r>
      <w:r>
        <w:rPr>
          <w:i/>
          <w:sz w:val="20"/>
        </w:rPr>
        <w:t xml:space="preserve">Lac </w:t>
      </w:r>
      <w:proofErr w:type="spellStart"/>
      <w:r>
        <w:rPr>
          <w:i/>
          <w:sz w:val="20"/>
        </w:rPr>
        <w:t>d’Amiante</w:t>
      </w:r>
      <w:proofErr w:type="spellEnd"/>
      <w:r>
        <w:rPr>
          <w:i/>
          <w:sz w:val="20"/>
        </w:rPr>
        <w:t xml:space="preserve"> du Québec </w:t>
      </w:r>
      <w:proofErr w:type="spellStart"/>
      <w:r>
        <w:rPr>
          <w:i/>
          <w:sz w:val="20"/>
        </w:rPr>
        <w:t>Ltée</w:t>
      </w:r>
      <w:proofErr w:type="spellEnd"/>
      <w:r>
        <w:rPr>
          <w:i/>
          <w:sz w:val="20"/>
        </w:rPr>
        <w:t xml:space="preserve"> v. 2858-0702 Québec Inc.</w:t>
      </w:r>
      <w:r>
        <w:rPr>
          <w:sz w:val="20"/>
        </w:rPr>
        <w:t>, [2001] 2 S.C.R. 743.</w:t>
      </w:r>
    </w:p>
    <w:p w:rsidR="003B4777" w:rsidRDefault="003B4777" w:rsidP="003B4777">
      <w:pPr>
        <w:widowControl w:val="0"/>
        <w:jc w:val="both"/>
        <w:rPr>
          <w:sz w:val="20"/>
        </w:rPr>
      </w:pPr>
    </w:p>
    <w:p w:rsidR="003B4777" w:rsidRDefault="003B4777" w:rsidP="003B4777">
      <w:pPr>
        <w:widowControl w:val="0"/>
        <w:jc w:val="both"/>
        <w:rPr>
          <w:sz w:val="20"/>
        </w:rPr>
      </w:pPr>
      <w:r>
        <w:rPr>
          <w:sz w:val="20"/>
        </w:rPr>
        <w:t xml:space="preserve">The Commission of Inquiry into the Sponsorship Program and Advertising Activities provides the backdrop for this application.  In 2005, the Attorney General of Canada filed several million dollars’ worth of claims against various defendants, including the Applicant </w:t>
      </w:r>
      <w:proofErr w:type="spellStart"/>
      <w:r>
        <w:rPr>
          <w:sz w:val="20"/>
        </w:rPr>
        <w:t>Groupe</w:t>
      </w:r>
      <w:proofErr w:type="spellEnd"/>
      <w:r>
        <w:rPr>
          <w:sz w:val="20"/>
        </w:rPr>
        <w:t xml:space="preserve"> </w:t>
      </w:r>
      <w:proofErr w:type="spellStart"/>
      <w:r>
        <w:rPr>
          <w:sz w:val="20"/>
        </w:rPr>
        <w:t>Polygone</w:t>
      </w:r>
      <w:proofErr w:type="spellEnd"/>
      <w:r>
        <w:rPr>
          <w:sz w:val="20"/>
        </w:rPr>
        <w:t xml:space="preserve"> </w:t>
      </w:r>
      <w:proofErr w:type="spellStart"/>
      <w:r>
        <w:rPr>
          <w:sz w:val="20"/>
        </w:rPr>
        <w:t>Éditeurs</w:t>
      </w:r>
      <w:proofErr w:type="spellEnd"/>
      <w:r>
        <w:rPr>
          <w:sz w:val="20"/>
        </w:rPr>
        <w:t xml:space="preserve">, seeking the resolution of certain contracts and the reimbursement of amounts paid under those contracts.  In the context of the litigation, the parties considered the possibility of negotiating an out-of-court settlement agreement and agreed that the existence and content of the negotiations would be and remain confidential.  Only the settlement agreement, if any, was to be made public.  On April 1, 2009, after receiving information from a government source, the Respondent Mr. </w:t>
      </w:r>
      <w:proofErr w:type="spellStart"/>
      <w:r>
        <w:rPr>
          <w:sz w:val="20"/>
        </w:rPr>
        <w:t>Bellavance</w:t>
      </w:r>
      <w:proofErr w:type="spellEnd"/>
      <w:r>
        <w:rPr>
          <w:sz w:val="20"/>
        </w:rPr>
        <w:t xml:space="preserve">, a reporter with </w:t>
      </w:r>
      <w:r>
        <w:rPr>
          <w:i/>
          <w:sz w:val="20"/>
        </w:rPr>
        <w:t xml:space="preserve">La </w:t>
      </w:r>
      <w:proofErr w:type="spellStart"/>
      <w:r>
        <w:rPr>
          <w:i/>
          <w:sz w:val="20"/>
        </w:rPr>
        <w:t>Presse</w:t>
      </w:r>
      <w:proofErr w:type="spellEnd"/>
      <w:r>
        <w:rPr>
          <w:sz w:val="20"/>
        </w:rPr>
        <w:t>, published an article referring to the negotiations between the parties to the case.  In response, the Applicants brought a motion in the Superior Court for an order of non-interference with civil litigation.  The motion was allowed.  The Court of Appeal allowed the appeal.</w:t>
      </w:r>
    </w:p>
    <w:p w:rsidR="003B4777" w:rsidRDefault="003B4777" w:rsidP="003B4777">
      <w:pPr>
        <w:widowControl w:val="0"/>
        <w:rPr>
          <w:sz w:val="20"/>
        </w:rPr>
      </w:pPr>
    </w:p>
    <w:tbl>
      <w:tblPr>
        <w:tblW w:w="0" w:type="auto"/>
        <w:tblLayout w:type="fixed"/>
        <w:tblCellMar>
          <w:left w:w="0" w:type="dxa"/>
          <w:right w:w="0" w:type="dxa"/>
        </w:tblCellMar>
        <w:tblLook w:val="0000"/>
      </w:tblPr>
      <w:tblGrid>
        <w:gridCol w:w="4536"/>
        <w:gridCol w:w="288"/>
        <w:gridCol w:w="4536"/>
      </w:tblGrid>
      <w:tr w:rsidR="003B4777" w:rsidTr="002D51BE">
        <w:tc>
          <w:tcPr>
            <w:tcW w:w="4536" w:type="dxa"/>
            <w:tcMar>
              <w:left w:w="0" w:type="dxa"/>
              <w:right w:w="0" w:type="dxa"/>
            </w:tcMar>
          </w:tcPr>
          <w:p w:rsidR="003B4777" w:rsidRDefault="003B4777" w:rsidP="002D51BE">
            <w:pPr>
              <w:keepNext/>
              <w:keepLines/>
              <w:widowControl w:val="0"/>
              <w:rPr>
                <w:sz w:val="20"/>
              </w:rPr>
            </w:pPr>
            <w:r>
              <w:rPr>
                <w:sz w:val="20"/>
              </w:rPr>
              <w:t>April 17, 2009</w:t>
            </w:r>
          </w:p>
          <w:p w:rsidR="003B4777" w:rsidRDefault="003B4777" w:rsidP="002D51BE">
            <w:pPr>
              <w:keepNext/>
              <w:keepLines/>
              <w:widowControl w:val="0"/>
              <w:rPr>
                <w:sz w:val="20"/>
              </w:rPr>
            </w:pPr>
            <w:r>
              <w:rPr>
                <w:sz w:val="20"/>
              </w:rPr>
              <w:t>Quebec Superior Court</w:t>
            </w:r>
          </w:p>
          <w:p w:rsidR="003B4777" w:rsidRDefault="003B4777" w:rsidP="002D51BE">
            <w:pPr>
              <w:keepNext/>
              <w:keepLines/>
              <w:widowControl w:val="0"/>
              <w:rPr>
                <w:sz w:val="20"/>
              </w:rPr>
            </w:pPr>
            <w:r>
              <w:rPr>
                <w:sz w:val="20"/>
              </w:rPr>
              <w:t>(</w:t>
            </w:r>
            <w:proofErr w:type="gramStart"/>
            <w:r>
              <w:rPr>
                <w:sz w:val="20"/>
              </w:rPr>
              <w:t>de</w:t>
            </w:r>
            <w:proofErr w:type="gramEnd"/>
            <w:r>
              <w:rPr>
                <w:sz w:val="20"/>
              </w:rPr>
              <w:t xml:space="preserve"> </w:t>
            </w:r>
            <w:proofErr w:type="spellStart"/>
            <w:r>
              <w:rPr>
                <w:sz w:val="20"/>
              </w:rPr>
              <w:t>Grandpré</w:t>
            </w:r>
            <w:proofErr w:type="spellEnd"/>
            <w:r>
              <w:rPr>
                <w:sz w:val="20"/>
              </w:rPr>
              <w:t xml:space="preserve"> J.)</w:t>
            </w:r>
          </w:p>
          <w:p w:rsidR="003B4777" w:rsidRDefault="003B4777" w:rsidP="002D51BE">
            <w:pPr>
              <w:keepNext/>
              <w:keepLines/>
              <w:widowControl w:val="0"/>
              <w:rPr>
                <w:sz w:val="20"/>
              </w:rPr>
            </w:pPr>
            <w:r>
              <w:rPr>
                <w:sz w:val="20"/>
              </w:rPr>
              <w:t>Neutral citation: 2009 QCCS 1624</w:t>
            </w:r>
          </w:p>
        </w:tc>
        <w:tc>
          <w:tcPr>
            <w:tcW w:w="288" w:type="dxa"/>
            <w:tcMar>
              <w:left w:w="0" w:type="dxa"/>
              <w:right w:w="0" w:type="dxa"/>
            </w:tcMar>
          </w:tcPr>
          <w:p w:rsidR="003B4777" w:rsidRDefault="003B4777" w:rsidP="002D51BE">
            <w:pPr>
              <w:keepLines/>
              <w:widowControl w:val="0"/>
              <w:rPr>
                <w:sz w:val="20"/>
              </w:rPr>
            </w:pPr>
          </w:p>
        </w:tc>
        <w:tc>
          <w:tcPr>
            <w:tcW w:w="4536" w:type="dxa"/>
            <w:tcMar>
              <w:left w:w="0" w:type="dxa"/>
              <w:right w:w="0" w:type="dxa"/>
            </w:tcMar>
          </w:tcPr>
          <w:p w:rsidR="003B4777" w:rsidRDefault="003B4777" w:rsidP="004B3466">
            <w:pPr>
              <w:keepLines/>
              <w:widowControl w:val="0"/>
              <w:jc w:val="both"/>
              <w:rPr>
                <w:sz w:val="20"/>
              </w:rPr>
            </w:pPr>
            <w:r>
              <w:rPr>
                <w:sz w:val="20"/>
              </w:rPr>
              <w:t>Motion for order of non-interference with civil litigation allowed</w:t>
            </w:r>
          </w:p>
        </w:tc>
      </w:tr>
    </w:tbl>
    <w:p w:rsidR="003B4777" w:rsidRDefault="003B4777" w:rsidP="003B4777">
      <w:pPr>
        <w:widowControl w:val="0"/>
        <w:rPr>
          <w:sz w:val="20"/>
        </w:rPr>
      </w:pPr>
    </w:p>
    <w:tbl>
      <w:tblPr>
        <w:tblW w:w="0" w:type="auto"/>
        <w:tblLayout w:type="fixed"/>
        <w:tblCellMar>
          <w:left w:w="0" w:type="dxa"/>
          <w:right w:w="0" w:type="dxa"/>
        </w:tblCellMar>
        <w:tblLook w:val="0000"/>
      </w:tblPr>
      <w:tblGrid>
        <w:gridCol w:w="4536"/>
        <w:gridCol w:w="288"/>
        <w:gridCol w:w="4536"/>
      </w:tblGrid>
      <w:tr w:rsidR="003B4777" w:rsidTr="002D51BE">
        <w:tc>
          <w:tcPr>
            <w:tcW w:w="4536" w:type="dxa"/>
            <w:tcMar>
              <w:left w:w="0" w:type="dxa"/>
              <w:right w:w="0" w:type="dxa"/>
            </w:tcMar>
          </w:tcPr>
          <w:p w:rsidR="003B4777" w:rsidRDefault="003B4777" w:rsidP="002D51BE">
            <w:pPr>
              <w:keepNext/>
              <w:keepLines/>
              <w:widowControl w:val="0"/>
              <w:rPr>
                <w:sz w:val="20"/>
              </w:rPr>
            </w:pPr>
            <w:r>
              <w:rPr>
                <w:sz w:val="20"/>
              </w:rPr>
              <w:t>August 13, 2009</w:t>
            </w:r>
          </w:p>
          <w:p w:rsidR="003B4777" w:rsidRDefault="003B4777" w:rsidP="002D51BE">
            <w:pPr>
              <w:keepNext/>
              <w:keepLines/>
              <w:widowControl w:val="0"/>
              <w:rPr>
                <w:sz w:val="20"/>
              </w:rPr>
            </w:pPr>
            <w:r>
              <w:rPr>
                <w:sz w:val="20"/>
              </w:rPr>
              <w:t>Quebec Court of Appeal</w:t>
            </w:r>
          </w:p>
          <w:p w:rsidR="003B4777" w:rsidRDefault="003B4777" w:rsidP="002D51BE">
            <w:pPr>
              <w:keepNext/>
              <w:keepLines/>
              <w:widowControl w:val="0"/>
              <w:rPr>
                <w:sz w:val="20"/>
              </w:rPr>
            </w:pPr>
            <w:r>
              <w:rPr>
                <w:sz w:val="20"/>
              </w:rPr>
              <w:t xml:space="preserve">(Robert, Hilton and </w:t>
            </w:r>
            <w:proofErr w:type="spellStart"/>
            <w:r>
              <w:rPr>
                <w:sz w:val="20"/>
              </w:rPr>
              <w:t>Dalphond</w:t>
            </w:r>
            <w:proofErr w:type="spellEnd"/>
            <w:r>
              <w:rPr>
                <w:sz w:val="20"/>
              </w:rPr>
              <w:t xml:space="preserve"> JJ.A.)</w:t>
            </w:r>
          </w:p>
          <w:p w:rsidR="003B4777" w:rsidRDefault="003B4777" w:rsidP="002D51BE">
            <w:pPr>
              <w:keepNext/>
              <w:keepLines/>
              <w:widowControl w:val="0"/>
              <w:rPr>
                <w:sz w:val="20"/>
              </w:rPr>
            </w:pPr>
            <w:r>
              <w:rPr>
                <w:sz w:val="20"/>
              </w:rPr>
              <w:t>Neutral citation: 2009 QCCA 1534</w:t>
            </w:r>
          </w:p>
        </w:tc>
        <w:tc>
          <w:tcPr>
            <w:tcW w:w="288" w:type="dxa"/>
            <w:tcMar>
              <w:left w:w="0" w:type="dxa"/>
              <w:right w:w="0" w:type="dxa"/>
            </w:tcMar>
          </w:tcPr>
          <w:p w:rsidR="003B4777" w:rsidRDefault="003B4777" w:rsidP="002D51BE">
            <w:pPr>
              <w:keepLines/>
              <w:widowControl w:val="0"/>
              <w:rPr>
                <w:sz w:val="20"/>
              </w:rPr>
            </w:pPr>
          </w:p>
        </w:tc>
        <w:tc>
          <w:tcPr>
            <w:tcW w:w="4536" w:type="dxa"/>
            <w:tcMar>
              <w:left w:w="0" w:type="dxa"/>
              <w:right w:w="0" w:type="dxa"/>
            </w:tcMar>
          </w:tcPr>
          <w:p w:rsidR="003B4777" w:rsidRDefault="003B4777" w:rsidP="002D51BE">
            <w:pPr>
              <w:keepLines/>
              <w:widowControl w:val="0"/>
              <w:rPr>
                <w:sz w:val="20"/>
              </w:rPr>
            </w:pPr>
            <w:r>
              <w:rPr>
                <w:sz w:val="20"/>
              </w:rPr>
              <w:t>Appeal allowed</w:t>
            </w:r>
          </w:p>
        </w:tc>
      </w:tr>
    </w:tbl>
    <w:p w:rsidR="003B4777" w:rsidRDefault="003B4777" w:rsidP="003B4777">
      <w:pPr>
        <w:widowControl w:val="0"/>
        <w:rPr>
          <w:sz w:val="20"/>
        </w:rPr>
      </w:pPr>
    </w:p>
    <w:tbl>
      <w:tblPr>
        <w:tblW w:w="0" w:type="auto"/>
        <w:tblLayout w:type="fixed"/>
        <w:tblCellMar>
          <w:left w:w="0" w:type="dxa"/>
          <w:right w:w="0" w:type="dxa"/>
        </w:tblCellMar>
        <w:tblLook w:val="0000"/>
      </w:tblPr>
      <w:tblGrid>
        <w:gridCol w:w="4536"/>
        <w:gridCol w:w="288"/>
        <w:gridCol w:w="4536"/>
      </w:tblGrid>
      <w:tr w:rsidR="003B4777" w:rsidTr="002D51BE">
        <w:tc>
          <w:tcPr>
            <w:tcW w:w="4536" w:type="dxa"/>
            <w:tcMar>
              <w:left w:w="0" w:type="dxa"/>
              <w:right w:w="0" w:type="dxa"/>
            </w:tcMar>
          </w:tcPr>
          <w:p w:rsidR="003B4777" w:rsidRDefault="003B4777" w:rsidP="002D51BE">
            <w:pPr>
              <w:keepNext/>
              <w:keepLines/>
              <w:widowControl w:val="0"/>
              <w:rPr>
                <w:sz w:val="20"/>
              </w:rPr>
            </w:pPr>
            <w:r>
              <w:rPr>
                <w:sz w:val="20"/>
              </w:rPr>
              <w:t>August 28, 2009</w:t>
            </w:r>
          </w:p>
          <w:p w:rsidR="003B4777" w:rsidRDefault="003B4777" w:rsidP="002D51BE">
            <w:pPr>
              <w:keepNext/>
              <w:keepLines/>
              <w:widowControl w:val="0"/>
              <w:rPr>
                <w:sz w:val="20"/>
              </w:rPr>
            </w:pPr>
            <w:r>
              <w:rPr>
                <w:sz w:val="20"/>
              </w:rPr>
              <w:t>Supreme Court of Canada</w:t>
            </w:r>
          </w:p>
        </w:tc>
        <w:tc>
          <w:tcPr>
            <w:tcW w:w="288" w:type="dxa"/>
            <w:tcMar>
              <w:left w:w="0" w:type="dxa"/>
              <w:right w:w="0" w:type="dxa"/>
            </w:tcMar>
          </w:tcPr>
          <w:p w:rsidR="003B4777" w:rsidRDefault="003B4777" w:rsidP="002D51BE">
            <w:pPr>
              <w:keepLines/>
              <w:widowControl w:val="0"/>
              <w:rPr>
                <w:sz w:val="20"/>
              </w:rPr>
            </w:pPr>
          </w:p>
        </w:tc>
        <w:tc>
          <w:tcPr>
            <w:tcW w:w="4536" w:type="dxa"/>
            <w:tcMar>
              <w:left w:w="0" w:type="dxa"/>
              <w:right w:w="0" w:type="dxa"/>
            </w:tcMar>
          </w:tcPr>
          <w:p w:rsidR="003B4777" w:rsidRDefault="003B4777" w:rsidP="004B3466">
            <w:pPr>
              <w:keepLines/>
              <w:widowControl w:val="0"/>
              <w:jc w:val="both"/>
              <w:rPr>
                <w:sz w:val="20"/>
              </w:rPr>
            </w:pPr>
            <w:r>
              <w:rPr>
                <w:sz w:val="20"/>
              </w:rPr>
              <w:t>Application for leave to appeal and motion for joint hearing filed</w:t>
            </w:r>
          </w:p>
        </w:tc>
      </w:tr>
    </w:tbl>
    <w:p w:rsidR="003B4777" w:rsidRPr="00631AAB" w:rsidRDefault="003B4777" w:rsidP="003B4777">
      <w:pPr>
        <w:widowControl w:val="0"/>
        <w:rPr>
          <w:sz w:val="20"/>
        </w:rPr>
      </w:pPr>
    </w:p>
    <w:p w:rsidR="007F53EF" w:rsidRPr="007F53EF" w:rsidRDefault="00857426" w:rsidP="008D292F">
      <w:pPr>
        <w:rPr>
          <w:sz w:val="20"/>
          <w:szCs w:val="20"/>
        </w:rPr>
      </w:pPr>
      <w:r w:rsidRPr="00857426">
        <w:rPr>
          <w:sz w:val="20"/>
          <w:szCs w:val="20"/>
          <w:lang w:val="fr-CA"/>
        </w:rPr>
        <w:pict>
          <v:rect id="_x0000_i1040" style="width:2in;height:1pt" o:hrpct="0" o:hralign="center" o:hrstd="t" o:hrnoshade="t" o:hr="t" fillcolor="black [3213]" stroked="f"/>
        </w:pict>
      </w:r>
    </w:p>
    <w:p w:rsidR="007F53EF" w:rsidRPr="007F53EF" w:rsidRDefault="007F53EF" w:rsidP="008D292F">
      <w:pPr>
        <w:rPr>
          <w:sz w:val="20"/>
          <w:szCs w:val="20"/>
        </w:rPr>
      </w:pPr>
    </w:p>
    <w:p w:rsidR="008D292F" w:rsidRPr="001E6992" w:rsidRDefault="007F53EF" w:rsidP="00C50A5C">
      <w:pPr>
        <w:jc w:val="both"/>
        <w:rPr>
          <w:sz w:val="20"/>
          <w:szCs w:val="20"/>
          <w:lang w:val="fr-CA"/>
        </w:rPr>
      </w:pPr>
      <w:r w:rsidRPr="001E6992">
        <w:rPr>
          <w:sz w:val="20"/>
          <w:szCs w:val="20"/>
          <w:u w:val="single"/>
          <w:lang w:val="fr-CA"/>
        </w:rPr>
        <w:lastRenderedPageBreak/>
        <w:t>RÉSUMÉ DE L’AFFAIRE</w:t>
      </w:r>
    </w:p>
    <w:p w:rsidR="008D292F" w:rsidRPr="001E6992" w:rsidRDefault="008D292F" w:rsidP="008D292F">
      <w:pPr>
        <w:rPr>
          <w:sz w:val="20"/>
          <w:szCs w:val="20"/>
          <w:lang w:val="fr-CA"/>
        </w:rPr>
      </w:pPr>
    </w:p>
    <w:p w:rsidR="003B4777" w:rsidRDefault="003B4777" w:rsidP="003B4777">
      <w:pPr>
        <w:widowControl w:val="0"/>
        <w:jc w:val="both"/>
        <w:rPr>
          <w:sz w:val="20"/>
          <w:lang w:val="fr-CA"/>
        </w:rPr>
      </w:pPr>
      <w:r>
        <w:rPr>
          <w:sz w:val="20"/>
          <w:lang w:val="fr-CA"/>
        </w:rPr>
        <w:t xml:space="preserve">Charte québécoise - Liberté d’expression - Respect de la vie privée - Procédure civile - Ordonnances de non-publication - La Cour d’appel a-t-elle fait erreur en concluant que la publication des articles dévoilant l’existence et le contenu des négociations confidentielles de règlement hors cour entre les demandeurs et le procureur général du Canada n’avait pas causé et ne causait pas de préjudice aux demandeurs ou à l’administration de la justice? - La Cour d’appel a-t-elle fait erreur en appliquant le test des arrêts </w:t>
      </w:r>
      <w:proofErr w:type="spellStart"/>
      <w:r>
        <w:rPr>
          <w:i/>
          <w:sz w:val="20"/>
          <w:lang w:val="fr-CA"/>
        </w:rPr>
        <w:t>Dagenais</w:t>
      </w:r>
      <w:proofErr w:type="spellEnd"/>
      <w:r>
        <w:rPr>
          <w:sz w:val="20"/>
          <w:lang w:val="fr-CA"/>
        </w:rPr>
        <w:t xml:space="preserve"> et </w:t>
      </w:r>
      <w:proofErr w:type="spellStart"/>
      <w:r>
        <w:rPr>
          <w:i/>
          <w:sz w:val="20"/>
          <w:lang w:val="fr-CA"/>
        </w:rPr>
        <w:t>Mentuck</w:t>
      </w:r>
      <w:proofErr w:type="spellEnd"/>
      <w:r>
        <w:rPr>
          <w:sz w:val="20"/>
          <w:lang w:val="fr-CA"/>
        </w:rPr>
        <w:t xml:space="preserve">, alors que les informations publiées n’étaient pas d’intérêt pour le public? - La Cour d’appel a-t-elle fait erreur en omettant de tenir compte du fait que l’information avait été obtenue par le journaliste suite à la commission d’un acte illégal par sa source et, en conséquence, avait omis d’en tenir compte pour écarter ou modifier en conséquence le test </w:t>
      </w:r>
      <w:proofErr w:type="spellStart"/>
      <w:r>
        <w:rPr>
          <w:i/>
          <w:sz w:val="20"/>
          <w:lang w:val="fr-CA"/>
        </w:rPr>
        <w:t>Dagenais</w:t>
      </w:r>
      <w:proofErr w:type="spellEnd"/>
      <w:r>
        <w:rPr>
          <w:sz w:val="20"/>
          <w:lang w:val="fr-CA"/>
        </w:rPr>
        <w:t>/</w:t>
      </w:r>
      <w:proofErr w:type="spellStart"/>
      <w:r>
        <w:rPr>
          <w:i/>
          <w:sz w:val="20"/>
          <w:lang w:val="fr-CA"/>
        </w:rPr>
        <w:t>Mentuck</w:t>
      </w:r>
      <w:proofErr w:type="spellEnd"/>
      <w:r>
        <w:rPr>
          <w:sz w:val="20"/>
          <w:lang w:val="fr-CA"/>
        </w:rPr>
        <w:t xml:space="preserve">? - Application des arrêts  </w:t>
      </w:r>
      <w:proofErr w:type="spellStart"/>
      <w:r>
        <w:rPr>
          <w:i/>
          <w:sz w:val="20"/>
          <w:lang w:val="fr-CA"/>
        </w:rPr>
        <w:t>Dagenais</w:t>
      </w:r>
      <w:proofErr w:type="spellEnd"/>
      <w:r>
        <w:rPr>
          <w:i/>
          <w:sz w:val="20"/>
          <w:lang w:val="fr-CA"/>
        </w:rPr>
        <w:t xml:space="preserve"> c. Société Radio-Canada</w:t>
      </w:r>
      <w:r>
        <w:rPr>
          <w:sz w:val="20"/>
          <w:lang w:val="fr-CA"/>
        </w:rPr>
        <w:t xml:space="preserve">, [1994] 3 R.C.S. 835, </w:t>
      </w:r>
      <w:r>
        <w:rPr>
          <w:i/>
          <w:sz w:val="20"/>
          <w:lang w:val="fr-CA"/>
        </w:rPr>
        <w:t xml:space="preserve">R. c. </w:t>
      </w:r>
      <w:proofErr w:type="spellStart"/>
      <w:r>
        <w:rPr>
          <w:i/>
          <w:sz w:val="20"/>
          <w:lang w:val="fr-CA"/>
        </w:rPr>
        <w:t>Mentuck</w:t>
      </w:r>
      <w:proofErr w:type="spellEnd"/>
      <w:r>
        <w:rPr>
          <w:sz w:val="20"/>
          <w:lang w:val="fr-CA"/>
        </w:rPr>
        <w:t xml:space="preserve">, [2001] 3 R.C.S. 442 et </w:t>
      </w:r>
      <w:r>
        <w:rPr>
          <w:i/>
          <w:sz w:val="20"/>
          <w:lang w:val="fr-CA"/>
        </w:rPr>
        <w:t xml:space="preserve">Lac d’Amiante du Québec </w:t>
      </w:r>
      <w:proofErr w:type="spellStart"/>
      <w:r>
        <w:rPr>
          <w:i/>
          <w:sz w:val="20"/>
          <w:lang w:val="fr-CA"/>
        </w:rPr>
        <w:t>Ltée</w:t>
      </w:r>
      <w:proofErr w:type="spellEnd"/>
      <w:r>
        <w:rPr>
          <w:i/>
          <w:sz w:val="20"/>
          <w:lang w:val="fr-CA"/>
        </w:rPr>
        <w:t xml:space="preserve"> c. 2858-0702 Québec Inc.</w:t>
      </w:r>
      <w:r>
        <w:rPr>
          <w:sz w:val="20"/>
          <w:lang w:val="fr-CA"/>
        </w:rPr>
        <w:t>, [2001] 2 R.C.S. 743.</w:t>
      </w:r>
    </w:p>
    <w:p w:rsidR="003B4777" w:rsidRDefault="003B4777" w:rsidP="003B4777">
      <w:pPr>
        <w:widowControl w:val="0"/>
        <w:jc w:val="both"/>
        <w:rPr>
          <w:sz w:val="20"/>
          <w:lang w:val="fr-CA"/>
        </w:rPr>
      </w:pPr>
    </w:p>
    <w:p w:rsidR="003B4777" w:rsidRDefault="003B4777" w:rsidP="003B4777">
      <w:pPr>
        <w:widowControl w:val="0"/>
        <w:jc w:val="both"/>
        <w:rPr>
          <w:sz w:val="20"/>
          <w:lang w:val="fr-CA"/>
        </w:rPr>
      </w:pPr>
      <w:r>
        <w:rPr>
          <w:sz w:val="20"/>
          <w:lang w:val="fr-CA"/>
        </w:rPr>
        <w:t>La Commission d’enquête sur le programme de commandites et les activités publicitaires sert de toile de fond de la présente demande. En 2005, le procureur général du Canada a introduit des demandes de plusieurs millions de dollars contre divers défendeurs, y compris le demandeur Groupe Polygone Éditeurs (« Polygone »), sollicitant la résolution de certains contrats et le remboursement de sommes payées en vertu de ces contrats. Dans le cadre de ce litige, les parties envisagent la possibilité de négocier une entente de règlement hors cour et elles ont convenu que l’existence et le contenu de ces négociations soient et demeurent confidentiels. Seule l’entente de règlement sera, le cas échéant, rendue publique. Le 1</w:t>
      </w:r>
      <w:r>
        <w:rPr>
          <w:sz w:val="20"/>
          <w:vertAlign w:val="superscript"/>
          <w:lang w:val="fr-CA"/>
        </w:rPr>
        <w:t>er</w:t>
      </w:r>
      <w:r>
        <w:rPr>
          <w:sz w:val="20"/>
          <w:lang w:val="fr-CA"/>
        </w:rPr>
        <w:t xml:space="preserve"> avril 2009, l’intimé M. </w:t>
      </w:r>
      <w:proofErr w:type="spellStart"/>
      <w:r>
        <w:rPr>
          <w:sz w:val="20"/>
          <w:lang w:val="fr-CA"/>
        </w:rPr>
        <w:t>Bellavance</w:t>
      </w:r>
      <w:proofErr w:type="spellEnd"/>
      <w:r>
        <w:rPr>
          <w:sz w:val="20"/>
          <w:lang w:val="fr-CA"/>
        </w:rPr>
        <w:t xml:space="preserve">, journaliste pour </w:t>
      </w:r>
      <w:r>
        <w:rPr>
          <w:i/>
          <w:sz w:val="20"/>
          <w:lang w:val="fr-CA"/>
        </w:rPr>
        <w:t>La Presse</w:t>
      </w:r>
      <w:r>
        <w:rPr>
          <w:sz w:val="20"/>
          <w:lang w:val="fr-CA"/>
        </w:rPr>
        <w:t>, ayant reçu de l’information d’une source gouvernementale, a publié, un article faisant état des négociations entre les parties au litige. En réponse, les demandeurs ont présenté devant la Cour supérieure une requête pour une ordonnance de non-interférence dans un litige civil. La requête a été accordée. La Cour d’appel a accueilli l’appel.</w:t>
      </w:r>
    </w:p>
    <w:p w:rsidR="003B4777" w:rsidRDefault="003B4777" w:rsidP="003B4777">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3B4777" w:rsidRPr="001C2F5E" w:rsidTr="002D51BE">
        <w:tc>
          <w:tcPr>
            <w:tcW w:w="4536" w:type="dxa"/>
            <w:tcMar>
              <w:left w:w="0" w:type="dxa"/>
              <w:right w:w="0" w:type="dxa"/>
            </w:tcMar>
          </w:tcPr>
          <w:p w:rsidR="003B4777" w:rsidRDefault="003B4777" w:rsidP="002D51BE">
            <w:pPr>
              <w:keepNext/>
              <w:keepLines/>
              <w:widowControl w:val="0"/>
              <w:rPr>
                <w:sz w:val="20"/>
                <w:lang w:val="fr-CA"/>
              </w:rPr>
            </w:pPr>
            <w:r>
              <w:rPr>
                <w:sz w:val="20"/>
                <w:lang w:val="fr-CA"/>
              </w:rPr>
              <w:t>Le 17 avril 2009</w:t>
            </w:r>
          </w:p>
          <w:p w:rsidR="003B4777" w:rsidRDefault="003B4777" w:rsidP="002D51BE">
            <w:pPr>
              <w:keepNext/>
              <w:keepLines/>
              <w:widowControl w:val="0"/>
              <w:rPr>
                <w:sz w:val="20"/>
                <w:lang w:val="fr-CA"/>
              </w:rPr>
            </w:pPr>
            <w:r>
              <w:rPr>
                <w:sz w:val="20"/>
                <w:lang w:val="fr-CA"/>
              </w:rPr>
              <w:t>Cour supérieure du Québec</w:t>
            </w:r>
          </w:p>
          <w:p w:rsidR="003B4777" w:rsidRDefault="003B4777" w:rsidP="002D51BE">
            <w:pPr>
              <w:keepNext/>
              <w:keepLines/>
              <w:widowControl w:val="0"/>
              <w:rPr>
                <w:sz w:val="20"/>
                <w:lang w:val="fr-CA"/>
              </w:rPr>
            </w:pPr>
            <w:r>
              <w:rPr>
                <w:sz w:val="20"/>
                <w:lang w:val="fr-CA"/>
              </w:rPr>
              <w:t xml:space="preserve">(Le juge de </w:t>
            </w:r>
            <w:proofErr w:type="spellStart"/>
            <w:r>
              <w:rPr>
                <w:sz w:val="20"/>
                <w:lang w:val="fr-CA"/>
              </w:rPr>
              <w:t>Grandpré</w:t>
            </w:r>
            <w:proofErr w:type="spellEnd"/>
            <w:r>
              <w:rPr>
                <w:sz w:val="20"/>
                <w:lang w:val="fr-CA"/>
              </w:rPr>
              <w:t>)</w:t>
            </w:r>
          </w:p>
          <w:p w:rsidR="003B4777" w:rsidRDefault="003B4777" w:rsidP="002D51BE">
            <w:pPr>
              <w:keepNext/>
              <w:keepLines/>
              <w:widowControl w:val="0"/>
              <w:rPr>
                <w:sz w:val="20"/>
                <w:lang w:val="fr-CA"/>
              </w:rPr>
            </w:pPr>
            <w:r>
              <w:rPr>
                <w:sz w:val="20"/>
                <w:lang w:val="fr-CA"/>
              </w:rPr>
              <w:t>Référence neutre : 2009 QCCS 1624</w:t>
            </w:r>
          </w:p>
        </w:tc>
        <w:tc>
          <w:tcPr>
            <w:tcW w:w="288" w:type="dxa"/>
            <w:tcMar>
              <w:left w:w="0" w:type="dxa"/>
              <w:right w:w="0" w:type="dxa"/>
            </w:tcMar>
          </w:tcPr>
          <w:p w:rsidR="003B4777" w:rsidRDefault="003B4777" w:rsidP="002D51BE">
            <w:pPr>
              <w:keepLines/>
              <w:widowControl w:val="0"/>
              <w:rPr>
                <w:sz w:val="20"/>
                <w:lang w:val="fr-CA"/>
              </w:rPr>
            </w:pPr>
          </w:p>
        </w:tc>
        <w:tc>
          <w:tcPr>
            <w:tcW w:w="4536" w:type="dxa"/>
            <w:tcMar>
              <w:left w:w="0" w:type="dxa"/>
              <w:right w:w="0" w:type="dxa"/>
            </w:tcMar>
          </w:tcPr>
          <w:p w:rsidR="003B4777" w:rsidRDefault="003B4777" w:rsidP="004B3466">
            <w:pPr>
              <w:keepLines/>
              <w:widowControl w:val="0"/>
              <w:jc w:val="both"/>
              <w:rPr>
                <w:sz w:val="20"/>
                <w:lang w:val="fr-CA"/>
              </w:rPr>
            </w:pPr>
            <w:r>
              <w:rPr>
                <w:sz w:val="20"/>
                <w:lang w:val="fr-CA"/>
              </w:rPr>
              <w:t>Requête pour ordonnance de non-interférence dans un litige civil accordée</w:t>
            </w:r>
          </w:p>
        </w:tc>
      </w:tr>
    </w:tbl>
    <w:p w:rsidR="003B4777" w:rsidRDefault="003B4777" w:rsidP="003B4777">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3B4777" w:rsidTr="002D51BE">
        <w:tc>
          <w:tcPr>
            <w:tcW w:w="4536" w:type="dxa"/>
            <w:tcMar>
              <w:left w:w="0" w:type="dxa"/>
              <w:right w:w="0" w:type="dxa"/>
            </w:tcMar>
          </w:tcPr>
          <w:p w:rsidR="003B4777" w:rsidRDefault="003B4777" w:rsidP="002D51BE">
            <w:pPr>
              <w:keepNext/>
              <w:keepLines/>
              <w:widowControl w:val="0"/>
              <w:rPr>
                <w:sz w:val="20"/>
                <w:lang w:val="fr-CA"/>
              </w:rPr>
            </w:pPr>
            <w:r>
              <w:rPr>
                <w:sz w:val="20"/>
                <w:lang w:val="fr-CA"/>
              </w:rPr>
              <w:t>Le 13 août 2009</w:t>
            </w:r>
          </w:p>
          <w:p w:rsidR="003B4777" w:rsidRDefault="003B4777" w:rsidP="002D51BE">
            <w:pPr>
              <w:keepNext/>
              <w:keepLines/>
              <w:widowControl w:val="0"/>
              <w:rPr>
                <w:sz w:val="20"/>
                <w:lang w:val="fr-CA"/>
              </w:rPr>
            </w:pPr>
            <w:r>
              <w:rPr>
                <w:sz w:val="20"/>
                <w:lang w:val="fr-CA"/>
              </w:rPr>
              <w:t>Cour d’appel du Québec</w:t>
            </w:r>
          </w:p>
          <w:p w:rsidR="003B4777" w:rsidRDefault="003B4777" w:rsidP="002D51BE">
            <w:pPr>
              <w:keepNext/>
              <w:keepLines/>
              <w:widowControl w:val="0"/>
              <w:rPr>
                <w:sz w:val="20"/>
                <w:lang w:val="fr-CA"/>
              </w:rPr>
            </w:pPr>
            <w:r>
              <w:rPr>
                <w:sz w:val="20"/>
                <w:lang w:val="fr-CA"/>
              </w:rPr>
              <w:t xml:space="preserve">(Les juges Robert, Hilton et </w:t>
            </w:r>
            <w:proofErr w:type="spellStart"/>
            <w:r>
              <w:rPr>
                <w:sz w:val="20"/>
                <w:lang w:val="fr-CA"/>
              </w:rPr>
              <w:t>Dalphond</w:t>
            </w:r>
            <w:proofErr w:type="spellEnd"/>
            <w:r>
              <w:rPr>
                <w:sz w:val="20"/>
                <w:lang w:val="fr-CA"/>
              </w:rPr>
              <w:t>)</w:t>
            </w:r>
          </w:p>
          <w:p w:rsidR="003B4777" w:rsidRDefault="003B4777" w:rsidP="002D51BE">
            <w:pPr>
              <w:keepNext/>
              <w:keepLines/>
              <w:widowControl w:val="0"/>
              <w:rPr>
                <w:sz w:val="20"/>
                <w:lang w:val="fr-CA"/>
              </w:rPr>
            </w:pPr>
            <w:r>
              <w:rPr>
                <w:sz w:val="20"/>
                <w:lang w:val="fr-CA"/>
              </w:rPr>
              <w:t>Référence neutre : 2009 QCCA 1534</w:t>
            </w:r>
          </w:p>
        </w:tc>
        <w:tc>
          <w:tcPr>
            <w:tcW w:w="288" w:type="dxa"/>
            <w:tcMar>
              <w:left w:w="0" w:type="dxa"/>
              <w:right w:w="0" w:type="dxa"/>
            </w:tcMar>
          </w:tcPr>
          <w:p w:rsidR="003B4777" w:rsidRDefault="003B4777" w:rsidP="002D51BE">
            <w:pPr>
              <w:keepLines/>
              <w:widowControl w:val="0"/>
              <w:rPr>
                <w:sz w:val="20"/>
                <w:lang w:val="fr-CA"/>
              </w:rPr>
            </w:pPr>
          </w:p>
        </w:tc>
        <w:tc>
          <w:tcPr>
            <w:tcW w:w="4536" w:type="dxa"/>
            <w:tcMar>
              <w:left w:w="0" w:type="dxa"/>
              <w:right w:w="0" w:type="dxa"/>
            </w:tcMar>
          </w:tcPr>
          <w:p w:rsidR="003B4777" w:rsidRDefault="003B4777" w:rsidP="002D51BE">
            <w:pPr>
              <w:keepLines/>
              <w:widowControl w:val="0"/>
              <w:rPr>
                <w:sz w:val="20"/>
                <w:lang w:val="fr-CA"/>
              </w:rPr>
            </w:pPr>
            <w:r>
              <w:rPr>
                <w:sz w:val="20"/>
                <w:lang w:val="fr-CA"/>
              </w:rPr>
              <w:t>Appel accueilli</w:t>
            </w:r>
          </w:p>
        </w:tc>
      </w:tr>
    </w:tbl>
    <w:p w:rsidR="003B4777" w:rsidRDefault="003B4777" w:rsidP="003B4777">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3B4777" w:rsidRPr="001C2F5E" w:rsidTr="002D51BE">
        <w:tc>
          <w:tcPr>
            <w:tcW w:w="4536" w:type="dxa"/>
            <w:tcMar>
              <w:left w:w="0" w:type="dxa"/>
              <w:right w:w="0" w:type="dxa"/>
            </w:tcMar>
          </w:tcPr>
          <w:p w:rsidR="003B4777" w:rsidRDefault="003B4777" w:rsidP="002D51BE">
            <w:pPr>
              <w:keepNext/>
              <w:keepLines/>
              <w:widowControl w:val="0"/>
              <w:rPr>
                <w:sz w:val="20"/>
                <w:lang w:val="fr-CA"/>
              </w:rPr>
            </w:pPr>
            <w:r>
              <w:rPr>
                <w:sz w:val="20"/>
                <w:lang w:val="fr-CA"/>
              </w:rPr>
              <w:t>Le 28 août 2009</w:t>
            </w:r>
          </w:p>
          <w:p w:rsidR="003B4777" w:rsidRDefault="003B4777" w:rsidP="002D51BE">
            <w:pPr>
              <w:keepNext/>
              <w:keepLines/>
              <w:widowControl w:val="0"/>
              <w:rPr>
                <w:sz w:val="20"/>
                <w:lang w:val="fr-CA"/>
              </w:rPr>
            </w:pPr>
            <w:r>
              <w:rPr>
                <w:sz w:val="20"/>
                <w:lang w:val="fr-CA"/>
              </w:rPr>
              <w:t>Cour suprême du Canada</w:t>
            </w:r>
          </w:p>
        </w:tc>
        <w:tc>
          <w:tcPr>
            <w:tcW w:w="288" w:type="dxa"/>
            <w:tcMar>
              <w:left w:w="0" w:type="dxa"/>
              <w:right w:w="0" w:type="dxa"/>
            </w:tcMar>
          </w:tcPr>
          <w:p w:rsidR="003B4777" w:rsidRDefault="003B4777" w:rsidP="002D51BE">
            <w:pPr>
              <w:keepLines/>
              <w:widowControl w:val="0"/>
              <w:rPr>
                <w:sz w:val="20"/>
                <w:lang w:val="fr-CA"/>
              </w:rPr>
            </w:pPr>
          </w:p>
        </w:tc>
        <w:tc>
          <w:tcPr>
            <w:tcW w:w="4536" w:type="dxa"/>
            <w:tcMar>
              <w:left w:w="0" w:type="dxa"/>
              <w:right w:w="0" w:type="dxa"/>
            </w:tcMar>
          </w:tcPr>
          <w:p w:rsidR="003B4777" w:rsidRDefault="003B4777" w:rsidP="004B3466">
            <w:pPr>
              <w:keepLines/>
              <w:widowControl w:val="0"/>
              <w:jc w:val="both"/>
              <w:rPr>
                <w:sz w:val="20"/>
                <w:lang w:val="fr-CA"/>
              </w:rPr>
            </w:pPr>
            <w:r>
              <w:rPr>
                <w:sz w:val="20"/>
                <w:lang w:val="fr-CA"/>
              </w:rPr>
              <w:t>Demande d’autorisation d’appel et requête pour audition conjointe déposées</w:t>
            </w:r>
          </w:p>
        </w:tc>
      </w:tr>
    </w:tbl>
    <w:p w:rsidR="003B4777" w:rsidRDefault="003B4777" w:rsidP="003B4777">
      <w:pPr>
        <w:widowControl w:val="0"/>
        <w:rPr>
          <w:sz w:val="20"/>
          <w:lang w:val="fr-CA"/>
        </w:rPr>
      </w:pPr>
    </w:p>
    <w:p w:rsidR="008D292F" w:rsidRPr="00C50A5C" w:rsidRDefault="00857426" w:rsidP="008D292F">
      <w:pPr>
        <w:rPr>
          <w:sz w:val="20"/>
          <w:szCs w:val="20"/>
        </w:rPr>
      </w:pPr>
      <w:r w:rsidRPr="00857426">
        <w:rPr>
          <w:sz w:val="20"/>
          <w:szCs w:val="20"/>
          <w:lang w:val="fr-CA"/>
        </w:rPr>
        <w:pict>
          <v:rect id="_x0000_i1041" style="width:2in;height:1pt" o:hrpct="0" o:hralign="center" o:hrstd="t" o:hrnoshade="t" o:hr="t" fillcolor="black [3213]" stroked="f"/>
        </w:pict>
      </w:r>
    </w:p>
    <w:p w:rsidR="008D292F" w:rsidRDefault="008D292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32D44" w:rsidRPr="00132D44" w:rsidTr="00132D44">
        <w:trPr>
          <w:cantSplit/>
        </w:trPr>
        <w:tc>
          <w:tcPr>
            <w:tcW w:w="1458" w:type="dxa"/>
          </w:tcPr>
          <w:p w:rsidR="00132D44" w:rsidRPr="00132D44" w:rsidRDefault="00132D44" w:rsidP="00132D44">
            <w:pPr>
              <w:rPr>
                <w:sz w:val="20"/>
                <w:szCs w:val="20"/>
              </w:rPr>
            </w:pPr>
            <w:r w:rsidRPr="00132D44">
              <w:rPr>
                <w:rStyle w:val="SCCFileNumberChar"/>
                <w:sz w:val="20"/>
                <w:szCs w:val="20"/>
              </w:rPr>
              <w:t>33641</w:t>
            </w:r>
          </w:p>
          <w:p w:rsidR="00132D44" w:rsidRPr="00132D44" w:rsidRDefault="00132D44" w:rsidP="00132D44">
            <w:pPr>
              <w:rPr>
                <w:b/>
                <w:sz w:val="20"/>
                <w:szCs w:val="20"/>
                <w:lang w:val="fr-CA"/>
              </w:rPr>
            </w:pPr>
          </w:p>
        </w:tc>
        <w:tc>
          <w:tcPr>
            <w:tcW w:w="8118" w:type="dxa"/>
          </w:tcPr>
          <w:p w:rsidR="00132D44" w:rsidRPr="00132D44" w:rsidRDefault="00132D44" w:rsidP="00132D44">
            <w:pPr>
              <w:rPr>
                <w:sz w:val="20"/>
                <w:szCs w:val="20"/>
              </w:rPr>
            </w:pPr>
            <w:proofErr w:type="spellStart"/>
            <w:r w:rsidRPr="00132D44">
              <w:rPr>
                <w:rStyle w:val="SCCLsocChar"/>
                <w:sz w:val="20"/>
                <w:szCs w:val="20"/>
                <w:lang w:val="en-CA"/>
              </w:rPr>
              <w:t>Randeep</w:t>
            </w:r>
            <w:proofErr w:type="spellEnd"/>
            <w:r w:rsidRPr="00132D44">
              <w:rPr>
                <w:rStyle w:val="SCCLsocChar"/>
                <w:sz w:val="20"/>
                <w:szCs w:val="20"/>
                <w:lang w:val="en-CA"/>
              </w:rPr>
              <w:t xml:space="preserve"> Ricky </w:t>
            </w:r>
            <w:proofErr w:type="spellStart"/>
            <w:r w:rsidRPr="00132D44">
              <w:rPr>
                <w:rStyle w:val="SCCLsocChar"/>
                <w:sz w:val="20"/>
                <w:szCs w:val="20"/>
                <w:lang w:val="en-CA"/>
              </w:rPr>
              <w:t>Sihota</w:t>
            </w:r>
            <w:proofErr w:type="spellEnd"/>
            <w:r w:rsidRPr="00132D44">
              <w:rPr>
                <w:rStyle w:val="SCCLsocChar"/>
                <w:sz w:val="20"/>
                <w:szCs w:val="20"/>
                <w:lang w:val="en-CA"/>
              </w:rPr>
              <w:t xml:space="preserve"> v. Her Majesty the Queen</w:t>
            </w:r>
            <w:r w:rsidRPr="00132D44">
              <w:rPr>
                <w:sz w:val="20"/>
                <w:szCs w:val="20"/>
              </w:rPr>
              <w:t xml:space="preserve"> (B.C.) (Criminal) (By Leave)</w:t>
            </w:r>
          </w:p>
          <w:p w:rsidR="00132D44" w:rsidRPr="00132D44" w:rsidRDefault="00132D44" w:rsidP="00132D44">
            <w:pPr>
              <w:rPr>
                <w:sz w:val="20"/>
                <w:szCs w:val="20"/>
              </w:rPr>
            </w:pPr>
          </w:p>
        </w:tc>
      </w:tr>
      <w:tr w:rsidR="00132D44" w:rsidRPr="00132D44" w:rsidTr="00132D44">
        <w:trPr>
          <w:cantSplit/>
        </w:trPr>
        <w:tc>
          <w:tcPr>
            <w:tcW w:w="1458" w:type="dxa"/>
          </w:tcPr>
          <w:p w:rsidR="00132D44" w:rsidRPr="00132D44" w:rsidRDefault="00132D44" w:rsidP="00132D44">
            <w:pPr>
              <w:rPr>
                <w:sz w:val="20"/>
                <w:szCs w:val="20"/>
              </w:rPr>
            </w:pPr>
            <w:r w:rsidRPr="00132D44">
              <w:rPr>
                <w:sz w:val="20"/>
                <w:szCs w:val="20"/>
              </w:rPr>
              <w:t>Coram :</w:t>
            </w:r>
          </w:p>
        </w:tc>
        <w:tc>
          <w:tcPr>
            <w:tcW w:w="8118" w:type="dxa"/>
          </w:tcPr>
          <w:p w:rsidR="00132D44" w:rsidRPr="00132D44" w:rsidRDefault="00132D44" w:rsidP="00132D44">
            <w:pPr>
              <w:rPr>
                <w:sz w:val="20"/>
                <w:szCs w:val="20"/>
              </w:rPr>
            </w:pPr>
            <w:proofErr w:type="spellStart"/>
            <w:r w:rsidRPr="00132D44">
              <w:rPr>
                <w:rStyle w:val="SCCCoramChar"/>
                <w:sz w:val="20"/>
                <w:szCs w:val="20"/>
                <w:lang w:val="en-CA"/>
              </w:rPr>
              <w:t>McLachlin</w:t>
            </w:r>
            <w:proofErr w:type="spellEnd"/>
            <w:r w:rsidRPr="00132D44">
              <w:rPr>
                <w:rStyle w:val="SCCCoramChar"/>
                <w:sz w:val="20"/>
                <w:szCs w:val="20"/>
                <w:lang w:val="en-CA"/>
              </w:rPr>
              <w:t xml:space="preserve"> C.J. and </w:t>
            </w:r>
            <w:proofErr w:type="spellStart"/>
            <w:r w:rsidRPr="00132D44">
              <w:rPr>
                <w:rStyle w:val="SCCCoramChar"/>
                <w:sz w:val="20"/>
                <w:szCs w:val="20"/>
                <w:lang w:val="en-CA"/>
              </w:rPr>
              <w:t>Abella</w:t>
            </w:r>
            <w:proofErr w:type="spellEnd"/>
            <w:r w:rsidRPr="00132D44">
              <w:rPr>
                <w:rStyle w:val="SCCCoramChar"/>
                <w:sz w:val="20"/>
                <w:szCs w:val="20"/>
                <w:lang w:val="en-CA"/>
              </w:rPr>
              <w:t xml:space="preserve"> and Cromwell JJ.</w:t>
            </w:r>
          </w:p>
          <w:p w:rsidR="00132D44" w:rsidRPr="00132D44" w:rsidRDefault="00132D44" w:rsidP="00132D44">
            <w:pPr>
              <w:rPr>
                <w:sz w:val="20"/>
                <w:szCs w:val="20"/>
                <w:u w:val="single"/>
              </w:rPr>
            </w:pPr>
          </w:p>
        </w:tc>
      </w:tr>
      <w:tr w:rsidR="00132D44" w:rsidRPr="001C2F5E" w:rsidTr="00132D44">
        <w:trPr>
          <w:cantSplit/>
        </w:trPr>
        <w:tc>
          <w:tcPr>
            <w:tcW w:w="9576" w:type="dxa"/>
            <w:gridSpan w:val="2"/>
          </w:tcPr>
          <w:p w:rsidR="00132D44" w:rsidRPr="00132D44" w:rsidRDefault="00132D44" w:rsidP="00132D44">
            <w:pPr>
              <w:pStyle w:val="SCCShortJudgment"/>
              <w:rPr>
                <w:szCs w:val="20"/>
              </w:rPr>
            </w:pPr>
            <w:r w:rsidRPr="00132D44">
              <w:rPr>
                <w:szCs w:val="20"/>
              </w:rPr>
              <w:t>The application for leave to appeal from the judgment of the Court of Appeal for British Columbia (Vancouver), Number CA036838, 2010 BCCA 92, dated February 24, 2010, is dismissed without costs.</w:t>
            </w:r>
          </w:p>
          <w:p w:rsidR="00132D44" w:rsidRPr="00132D44" w:rsidRDefault="00132D44" w:rsidP="00132D44">
            <w:pPr>
              <w:pStyle w:val="SCCShortJudgment"/>
              <w:ind w:firstLine="0"/>
              <w:rPr>
                <w:szCs w:val="20"/>
              </w:rPr>
            </w:pPr>
          </w:p>
          <w:p w:rsidR="00132D44" w:rsidRPr="00132D44" w:rsidRDefault="00132D44" w:rsidP="00132D44">
            <w:pPr>
              <w:pStyle w:val="SCCShortJudgment"/>
              <w:rPr>
                <w:szCs w:val="20"/>
                <w:lang w:val="fr-CA"/>
              </w:rPr>
            </w:pPr>
            <w:r w:rsidRPr="00132D44">
              <w:rPr>
                <w:szCs w:val="20"/>
                <w:lang w:val="fr-CA"/>
              </w:rPr>
              <w:t>La demande d’autorisation d’appel de l’arrêt de la Cour d’appel de la Colombie-Britannique (Vancouver), numéro CA036838, 2010 BCCA 92, daté du 24 février 2010, est rejetée sans dépens.</w:t>
            </w:r>
          </w:p>
        </w:tc>
      </w:tr>
    </w:tbl>
    <w:p w:rsidR="007F53EF" w:rsidRDefault="007F53EF" w:rsidP="008D292F">
      <w:pPr>
        <w:rPr>
          <w:sz w:val="20"/>
          <w:szCs w:val="20"/>
          <w:lang w:val="fr-CA"/>
        </w:rPr>
      </w:pPr>
    </w:p>
    <w:p w:rsidR="007F53EF" w:rsidRPr="007F53EF" w:rsidRDefault="007F53EF" w:rsidP="007F53EF">
      <w:pPr>
        <w:rPr>
          <w:sz w:val="20"/>
          <w:szCs w:val="20"/>
          <w:u w:val="single"/>
        </w:rPr>
      </w:pPr>
      <w:r w:rsidRPr="007F53EF">
        <w:rPr>
          <w:sz w:val="20"/>
          <w:szCs w:val="20"/>
          <w:u w:val="single"/>
        </w:rPr>
        <w:t>CASE SUMMARY</w:t>
      </w:r>
    </w:p>
    <w:p w:rsidR="007F53EF" w:rsidRPr="00E42B92" w:rsidRDefault="007F53EF" w:rsidP="008D292F">
      <w:pPr>
        <w:rPr>
          <w:sz w:val="20"/>
          <w:szCs w:val="20"/>
        </w:rPr>
      </w:pPr>
    </w:p>
    <w:p w:rsidR="00E42B92" w:rsidRDefault="00E42B92" w:rsidP="00E42B92">
      <w:pPr>
        <w:widowControl w:val="0"/>
        <w:jc w:val="both"/>
        <w:rPr>
          <w:sz w:val="20"/>
        </w:rPr>
      </w:pPr>
      <w:r>
        <w:rPr>
          <w:sz w:val="20"/>
        </w:rPr>
        <w:t xml:space="preserve">Criminal law - Evidence - Accomplice evidence - Circumstantial evidence - Whether </w:t>
      </w:r>
      <w:proofErr w:type="gramStart"/>
      <w:r>
        <w:rPr>
          <w:sz w:val="20"/>
        </w:rPr>
        <w:t>the  Court</w:t>
      </w:r>
      <w:proofErr w:type="gramEnd"/>
      <w:r>
        <w:rPr>
          <w:sz w:val="20"/>
        </w:rPr>
        <w:t xml:space="preserve"> of Appeal erred in law in failing to find that the trial judge erred in relying on the evidence from accomplices which was not legally </w:t>
      </w:r>
      <w:r>
        <w:rPr>
          <w:sz w:val="20"/>
        </w:rPr>
        <w:lastRenderedPageBreak/>
        <w:t>corroborated - Whether the Court of Appeal erred in law in failing to apply the proper test for evaluating whether a verdict based on circumstantial evidence is unreasonable.</w:t>
      </w:r>
    </w:p>
    <w:p w:rsidR="00E42B92" w:rsidRDefault="00E42B92" w:rsidP="00E42B92">
      <w:pPr>
        <w:widowControl w:val="0"/>
        <w:jc w:val="both"/>
        <w:rPr>
          <w:sz w:val="20"/>
        </w:rPr>
      </w:pPr>
    </w:p>
    <w:p w:rsidR="00E42B92" w:rsidRDefault="00E42B92" w:rsidP="00E42B92">
      <w:pPr>
        <w:widowControl w:val="0"/>
        <w:jc w:val="both"/>
        <w:rPr>
          <w:sz w:val="20"/>
        </w:rPr>
      </w:pPr>
      <w:r>
        <w:rPr>
          <w:sz w:val="20"/>
        </w:rPr>
        <w:t>The Applicant and two other men broke and entered the victim’s home.  The three men began to ransack the house looking for the cash they believed to be hidden there.  In the course of their search for the cash, the victim was brutally beaten to death.  The trial judge found that the two assailants participated in the fatal beating of the victim and that one of the two assailants was the Applicant. The Applicant was convicted of second degree murder and attempted robbery.  The Court of Appeal dismissed the appeal.</w:t>
      </w:r>
    </w:p>
    <w:p w:rsidR="00E42B92" w:rsidRDefault="00E42B92" w:rsidP="00E42B92">
      <w:pPr>
        <w:widowControl w:val="0"/>
        <w:rPr>
          <w:sz w:val="20"/>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rPr>
            </w:pPr>
            <w:r>
              <w:rPr>
                <w:sz w:val="20"/>
              </w:rPr>
              <w:t>January 7, 2009</w:t>
            </w:r>
          </w:p>
          <w:p w:rsidR="00E42B92" w:rsidRDefault="00E42B92" w:rsidP="002D51BE">
            <w:pPr>
              <w:keepNext/>
              <w:keepLines/>
              <w:widowControl w:val="0"/>
              <w:rPr>
                <w:sz w:val="20"/>
              </w:rPr>
            </w:pPr>
            <w:r>
              <w:rPr>
                <w:sz w:val="20"/>
              </w:rPr>
              <w:t>Supreme Court of British Columbia</w:t>
            </w:r>
          </w:p>
          <w:p w:rsidR="00E42B92" w:rsidRDefault="00E42B92" w:rsidP="002D51BE">
            <w:pPr>
              <w:keepNext/>
              <w:keepLines/>
              <w:widowControl w:val="0"/>
              <w:rPr>
                <w:sz w:val="20"/>
              </w:rPr>
            </w:pPr>
            <w:r>
              <w:rPr>
                <w:sz w:val="20"/>
              </w:rPr>
              <w:t>(Humphries J.)</w:t>
            </w:r>
          </w:p>
          <w:p w:rsidR="00E42B92" w:rsidRDefault="00E42B92" w:rsidP="002D51BE">
            <w:pPr>
              <w:keepNext/>
              <w:keepLines/>
              <w:widowControl w:val="0"/>
              <w:rPr>
                <w:sz w:val="20"/>
              </w:rPr>
            </w:pPr>
            <w:r>
              <w:rPr>
                <w:sz w:val="20"/>
              </w:rPr>
              <w:t>Neutral citation: 2009 BCSC 12</w:t>
            </w:r>
          </w:p>
        </w:tc>
        <w:tc>
          <w:tcPr>
            <w:tcW w:w="288" w:type="dxa"/>
            <w:tcMar>
              <w:left w:w="0" w:type="dxa"/>
              <w:right w:w="0" w:type="dxa"/>
            </w:tcMar>
          </w:tcPr>
          <w:p w:rsidR="00E42B92" w:rsidRDefault="00E42B92" w:rsidP="002D51BE">
            <w:pPr>
              <w:keepLines/>
              <w:widowControl w:val="0"/>
              <w:rPr>
                <w:sz w:val="20"/>
              </w:rPr>
            </w:pPr>
          </w:p>
        </w:tc>
        <w:tc>
          <w:tcPr>
            <w:tcW w:w="4536" w:type="dxa"/>
            <w:tcMar>
              <w:left w:w="0" w:type="dxa"/>
              <w:right w:w="0" w:type="dxa"/>
            </w:tcMar>
          </w:tcPr>
          <w:p w:rsidR="00E42B92" w:rsidRDefault="00E42B92" w:rsidP="002D51BE">
            <w:pPr>
              <w:keepLines/>
              <w:widowControl w:val="0"/>
              <w:rPr>
                <w:sz w:val="20"/>
              </w:rPr>
            </w:pPr>
            <w:r>
              <w:rPr>
                <w:sz w:val="20"/>
              </w:rPr>
              <w:t>Conviction: second degree murder, attempted robbery</w:t>
            </w:r>
          </w:p>
        </w:tc>
      </w:tr>
    </w:tbl>
    <w:p w:rsidR="00E42B92" w:rsidRDefault="00E42B92" w:rsidP="00E42B92">
      <w:pPr>
        <w:widowControl w:val="0"/>
        <w:rPr>
          <w:sz w:val="20"/>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rPr>
            </w:pPr>
            <w:r>
              <w:rPr>
                <w:sz w:val="20"/>
              </w:rPr>
              <w:t>February 24, 2010</w:t>
            </w:r>
          </w:p>
          <w:p w:rsidR="00E42B92" w:rsidRDefault="00E42B92" w:rsidP="002D51BE">
            <w:pPr>
              <w:keepNext/>
              <w:keepLines/>
              <w:widowControl w:val="0"/>
              <w:rPr>
                <w:sz w:val="20"/>
              </w:rPr>
            </w:pPr>
            <w:r>
              <w:rPr>
                <w:sz w:val="20"/>
              </w:rPr>
              <w:t>Court of Appeal for British Columbia</w:t>
            </w:r>
          </w:p>
          <w:p w:rsidR="00E42B92" w:rsidRDefault="00E42B92" w:rsidP="002D51BE">
            <w:pPr>
              <w:keepNext/>
              <w:keepLines/>
              <w:widowControl w:val="0"/>
              <w:rPr>
                <w:sz w:val="20"/>
              </w:rPr>
            </w:pPr>
            <w:r>
              <w:rPr>
                <w:sz w:val="20"/>
              </w:rPr>
              <w:t>(Vancouver)</w:t>
            </w:r>
          </w:p>
          <w:p w:rsidR="00E42B92" w:rsidRDefault="00E42B92" w:rsidP="002D51BE">
            <w:pPr>
              <w:keepNext/>
              <w:keepLines/>
              <w:widowControl w:val="0"/>
              <w:rPr>
                <w:sz w:val="20"/>
              </w:rPr>
            </w:pPr>
            <w:r>
              <w:rPr>
                <w:sz w:val="20"/>
              </w:rPr>
              <w:t>(</w:t>
            </w:r>
            <w:proofErr w:type="spellStart"/>
            <w:r>
              <w:rPr>
                <w:sz w:val="20"/>
              </w:rPr>
              <w:t>Chiasson</w:t>
            </w:r>
            <w:proofErr w:type="spellEnd"/>
            <w:r>
              <w:rPr>
                <w:sz w:val="20"/>
              </w:rPr>
              <w:t>, Smith and Garson JJ.A.)</w:t>
            </w:r>
          </w:p>
          <w:p w:rsidR="00E42B92" w:rsidRDefault="00E42B92" w:rsidP="002D51BE">
            <w:pPr>
              <w:keepNext/>
              <w:keepLines/>
              <w:widowControl w:val="0"/>
              <w:rPr>
                <w:sz w:val="20"/>
              </w:rPr>
            </w:pPr>
            <w:r>
              <w:rPr>
                <w:sz w:val="20"/>
              </w:rPr>
              <w:t>Neutral citation: 2010 BCCA 92</w:t>
            </w:r>
          </w:p>
        </w:tc>
        <w:tc>
          <w:tcPr>
            <w:tcW w:w="288" w:type="dxa"/>
            <w:tcMar>
              <w:left w:w="0" w:type="dxa"/>
              <w:right w:w="0" w:type="dxa"/>
            </w:tcMar>
          </w:tcPr>
          <w:p w:rsidR="00E42B92" w:rsidRDefault="00E42B92" w:rsidP="002D51BE">
            <w:pPr>
              <w:keepLines/>
              <w:widowControl w:val="0"/>
              <w:rPr>
                <w:sz w:val="20"/>
              </w:rPr>
            </w:pPr>
          </w:p>
        </w:tc>
        <w:tc>
          <w:tcPr>
            <w:tcW w:w="4536" w:type="dxa"/>
            <w:tcMar>
              <w:left w:w="0" w:type="dxa"/>
              <w:right w:w="0" w:type="dxa"/>
            </w:tcMar>
          </w:tcPr>
          <w:p w:rsidR="00E42B92" w:rsidRDefault="00E42B92" w:rsidP="002D51BE">
            <w:pPr>
              <w:keepLines/>
              <w:widowControl w:val="0"/>
              <w:rPr>
                <w:sz w:val="20"/>
              </w:rPr>
            </w:pPr>
            <w:r>
              <w:rPr>
                <w:sz w:val="20"/>
              </w:rPr>
              <w:t>Appeal against conviction dismissed</w:t>
            </w:r>
          </w:p>
        </w:tc>
      </w:tr>
    </w:tbl>
    <w:p w:rsidR="00E42B92" w:rsidRDefault="00E42B92" w:rsidP="00E42B92">
      <w:pPr>
        <w:widowControl w:val="0"/>
        <w:rPr>
          <w:sz w:val="20"/>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rPr>
            </w:pPr>
            <w:r>
              <w:rPr>
                <w:sz w:val="20"/>
              </w:rPr>
              <w:t>April 13, 2010</w:t>
            </w:r>
          </w:p>
          <w:p w:rsidR="00E42B92" w:rsidRDefault="00E42B92" w:rsidP="002D51BE">
            <w:pPr>
              <w:keepNext/>
              <w:keepLines/>
              <w:widowControl w:val="0"/>
              <w:rPr>
                <w:sz w:val="20"/>
              </w:rPr>
            </w:pPr>
            <w:r>
              <w:rPr>
                <w:sz w:val="20"/>
              </w:rPr>
              <w:t>Supreme Court of Canada</w:t>
            </w:r>
          </w:p>
        </w:tc>
        <w:tc>
          <w:tcPr>
            <w:tcW w:w="288" w:type="dxa"/>
            <w:tcMar>
              <w:left w:w="0" w:type="dxa"/>
              <w:right w:w="0" w:type="dxa"/>
            </w:tcMar>
          </w:tcPr>
          <w:p w:rsidR="00E42B92" w:rsidRDefault="00E42B92" w:rsidP="002D51BE">
            <w:pPr>
              <w:keepLines/>
              <w:widowControl w:val="0"/>
              <w:rPr>
                <w:sz w:val="20"/>
              </w:rPr>
            </w:pPr>
          </w:p>
        </w:tc>
        <w:tc>
          <w:tcPr>
            <w:tcW w:w="4536" w:type="dxa"/>
            <w:tcMar>
              <w:left w:w="0" w:type="dxa"/>
              <w:right w:w="0" w:type="dxa"/>
            </w:tcMar>
          </w:tcPr>
          <w:p w:rsidR="00E42B92" w:rsidRDefault="00E42B92" w:rsidP="002D51BE">
            <w:pPr>
              <w:keepLines/>
              <w:widowControl w:val="0"/>
              <w:rPr>
                <w:sz w:val="20"/>
              </w:rPr>
            </w:pPr>
            <w:r>
              <w:rPr>
                <w:sz w:val="20"/>
              </w:rPr>
              <w:t>Application for leave to appeal filed</w:t>
            </w:r>
          </w:p>
        </w:tc>
      </w:tr>
    </w:tbl>
    <w:p w:rsidR="00E42B92" w:rsidRPr="00E726E1" w:rsidRDefault="00E42B92" w:rsidP="00E42B92">
      <w:pPr>
        <w:widowControl w:val="0"/>
        <w:rPr>
          <w:sz w:val="20"/>
        </w:rPr>
      </w:pPr>
    </w:p>
    <w:p w:rsidR="008D292F" w:rsidRDefault="00857426" w:rsidP="008D292F">
      <w:pPr>
        <w:rPr>
          <w:sz w:val="20"/>
          <w:szCs w:val="20"/>
          <w:lang w:val="fr-CA"/>
        </w:rPr>
      </w:pPr>
      <w:r w:rsidRPr="00857426">
        <w:rPr>
          <w:sz w:val="20"/>
          <w:szCs w:val="20"/>
          <w:lang w:val="fr-CA"/>
        </w:rPr>
        <w:pict>
          <v:rect id="_x0000_i1042" style="width:2in;height:1pt" o:hrpct="0" o:hralign="center" o:hrstd="t" o:hrnoshade="t" o:hr="t" fillcolor="black [3213]" stroked="f"/>
        </w:pict>
      </w:r>
    </w:p>
    <w:p w:rsidR="007F53EF" w:rsidRDefault="007F53EF" w:rsidP="008D292F">
      <w:pPr>
        <w:rPr>
          <w:sz w:val="20"/>
          <w:szCs w:val="20"/>
          <w:lang w:val="fr-CA"/>
        </w:rPr>
      </w:pPr>
    </w:p>
    <w:p w:rsidR="007F53EF" w:rsidRPr="00E42B92" w:rsidRDefault="007F53EF" w:rsidP="007F53EF">
      <w:pPr>
        <w:jc w:val="both"/>
        <w:rPr>
          <w:sz w:val="20"/>
          <w:szCs w:val="20"/>
          <w:lang w:val="fr-CA"/>
        </w:rPr>
      </w:pPr>
      <w:r w:rsidRPr="00E42B92">
        <w:rPr>
          <w:sz w:val="20"/>
          <w:szCs w:val="20"/>
          <w:u w:val="single"/>
          <w:lang w:val="fr-CA"/>
        </w:rPr>
        <w:t>RÉSUMÉ DE L’AFFAIRE</w:t>
      </w:r>
    </w:p>
    <w:p w:rsidR="007F53EF" w:rsidRPr="00E42B92" w:rsidRDefault="007F53EF" w:rsidP="007F53EF">
      <w:pPr>
        <w:rPr>
          <w:sz w:val="20"/>
          <w:szCs w:val="20"/>
          <w:lang w:val="fr-CA"/>
        </w:rPr>
      </w:pPr>
    </w:p>
    <w:p w:rsidR="00E42B92" w:rsidRDefault="00E42B92" w:rsidP="00E42B92">
      <w:pPr>
        <w:widowControl w:val="0"/>
        <w:jc w:val="both"/>
        <w:rPr>
          <w:sz w:val="20"/>
          <w:lang w:val="fr-CA"/>
        </w:rPr>
      </w:pPr>
      <w:r>
        <w:rPr>
          <w:sz w:val="20"/>
          <w:lang w:val="fr-CA"/>
        </w:rPr>
        <w:t>Droit criminel - Preuve - Témoignage d’un complice - Preuve circonstancielle - La Cour d’appel a-t-elle commis une erreur de droit en omettant de conclure que le juge du procès avait eu tort de s’appuyer sur les témoignages de complices qui n’ont pas été légalement corroborés? - La Cour d’appel a-t-elle commis une erreur de droit en omettant d’appliquer le bon critère pour évaluer si un verdict fondé sur une preuve circonstancielle est déraisonnable?</w:t>
      </w:r>
    </w:p>
    <w:p w:rsidR="00E42B92" w:rsidRDefault="00E42B92" w:rsidP="00E42B92">
      <w:pPr>
        <w:widowControl w:val="0"/>
        <w:jc w:val="both"/>
        <w:rPr>
          <w:sz w:val="20"/>
          <w:lang w:val="fr-CA"/>
        </w:rPr>
      </w:pPr>
    </w:p>
    <w:p w:rsidR="00E42B92" w:rsidRDefault="00E42B92" w:rsidP="00E42B92">
      <w:pPr>
        <w:widowControl w:val="0"/>
        <w:jc w:val="both"/>
        <w:rPr>
          <w:sz w:val="20"/>
          <w:lang w:val="fr-CA"/>
        </w:rPr>
      </w:pPr>
      <w:r>
        <w:rPr>
          <w:sz w:val="20"/>
          <w:lang w:val="fr-CA"/>
        </w:rPr>
        <w:t xml:space="preserve">Le demandeur et deux autres hommes sont entrés par effraction chez la victime.  Les trois hommes ont commencé à saccager la maison, à la recherche d’argent comptant qu’ils croyaient </w:t>
      </w:r>
      <w:proofErr w:type="gramStart"/>
      <w:r>
        <w:rPr>
          <w:sz w:val="20"/>
          <w:lang w:val="fr-CA"/>
        </w:rPr>
        <w:t>caché</w:t>
      </w:r>
      <w:proofErr w:type="gramEnd"/>
      <w:r>
        <w:rPr>
          <w:sz w:val="20"/>
          <w:lang w:val="fr-CA"/>
        </w:rPr>
        <w:t xml:space="preserve"> sur les lieux.  Alors qu’ils cherchaient l’argent, la victime a été brutalement battue à mort.  Le juge du procès a conclu que les deux agresseurs avaient participé à l’attaque mortelle contre la victime et que l’un d’eux était le demandeur.  Le demandeur a été déclaré coupable de meurtre au deuxième degré et de tentative de vol qualifié.  La Cour d’appel a rejeté l’appel.</w:t>
      </w:r>
    </w:p>
    <w:p w:rsidR="00E42B92" w:rsidRDefault="00E42B92" w:rsidP="00E42B92">
      <w:pPr>
        <w:widowControl w:val="0"/>
        <w:jc w:val="both"/>
        <w:rPr>
          <w:sz w:val="20"/>
          <w:lang w:val="fr-CA"/>
        </w:rPr>
      </w:pPr>
    </w:p>
    <w:tbl>
      <w:tblPr>
        <w:tblW w:w="0" w:type="auto"/>
        <w:tblLayout w:type="fixed"/>
        <w:tblCellMar>
          <w:left w:w="0" w:type="dxa"/>
          <w:right w:w="0" w:type="dxa"/>
        </w:tblCellMar>
        <w:tblLook w:val="0000"/>
      </w:tblPr>
      <w:tblGrid>
        <w:gridCol w:w="4536"/>
        <w:gridCol w:w="288"/>
        <w:gridCol w:w="4536"/>
      </w:tblGrid>
      <w:tr w:rsidR="00E42B92" w:rsidRPr="001C2F5E" w:rsidTr="002D51BE">
        <w:tc>
          <w:tcPr>
            <w:tcW w:w="4536" w:type="dxa"/>
            <w:tcMar>
              <w:left w:w="0" w:type="dxa"/>
              <w:right w:w="0" w:type="dxa"/>
            </w:tcMar>
          </w:tcPr>
          <w:p w:rsidR="00E42B92" w:rsidRDefault="00E42B92" w:rsidP="002D51BE">
            <w:pPr>
              <w:keepNext/>
              <w:keepLines/>
              <w:widowControl w:val="0"/>
              <w:jc w:val="both"/>
              <w:rPr>
                <w:sz w:val="20"/>
                <w:lang w:val="fr-CA"/>
              </w:rPr>
            </w:pPr>
            <w:r>
              <w:rPr>
                <w:sz w:val="20"/>
                <w:lang w:val="fr-CA"/>
              </w:rPr>
              <w:t>7 janvier 2009</w:t>
            </w:r>
          </w:p>
          <w:p w:rsidR="00E42B92" w:rsidRDefault="00E42B92" w:rsidP="002D51BE">
            <w:pPr>
              <w:keepNext/>
              <w:keepLines/>
              <w:widowControl w:val="0"/>
              <w:jc w:val="both"/>
              <w:rPr>
                <w:sz w:val="20"/>
                <w:lang w:val="fr-CA"/>
              </w:rPr>
            </w:pPr>
            <w:r>
              <w:rPr>
                <w:sz w:val="20"/>
                <w:lang w:val="fr-CA"/>
              </w:rPr>
              <w:t>Cour suprême de la Colombie-Britannique</w:t>
            </w:r>
          </w:p>
          <w:p w:rsidR="00E42B92" w:rsidRDefault="00E42B92" w:rsidP="002D51BE">
            <w:pPr>
              <w:keepNext/>
              <w:keepLines/>
              <w:widowControl w:val="0"/>
              <w:jc w:val="both"/>
              <w:rPr>
                <w:sz w:val="20"/>
                <w:lang w:val="fr-CA"/>
              </w:rPr>
            </w:pPr>
            <w:r>
              <w:rPr>
                <w:sz w:val="20"/>
                <w:lang w:val="fr-CA"/>
              </w:rPr>
              <w:t xml:space="preserve">(Juge </w:t>
            </w:r>
            <w:proofErr w:type="spellStart"/>
            <w:r>
              <w:rPr>
                <w:sz w:val="20"/>
                <w:lang w:val="fr-CA"/>
              </w:rPr>
              <w:t>Humphries</w:t>
            </w:r>
            <w:proofErr w:type="spellEnd"/>
            <w:r>
              <w:rPr>
                <w:sz w:val="20"/>
                <w:lang w:val="fr-CA"/>
              </w:rPr>
              <w:t>)</w:t>
            </w:r>
          </w:p>
          <w:p w:rsidR="00E42B92" w:rsidRDefault="00E42B92" w:rsidP="002D51BE">
            <w:pPr>
              <w:keepNext/>
              <w:keepLines/>
              <w:widowControl w:val="0"/>
              <w:jc w:val="both"/>
              <w:rPr>
                <w:sz w:val="20"/>
                <w:lang w:val="fr-CA"/>
              </w:rPr>
            </w:pPr>
            <w:r>
              <w:rPr>
                <w:sz w:val="20"/>
                <w:lang w:val="fr-CA"/>
              </w:rPr>
              <w:t>Référence neutre : 2009 BCSC 12</w:t>
            </w:r>
          </w:p>
        </w:tc>
        <w:tc>
          <w:tcPr>
            <w:tcW w:w="288" w:type="dxa"/>
            <w:tcMar>
              <w:left w:w="0" w:type="dxa"/>
              <w:right w:w="0" w:type="dxa"/>
            </w:tcMar>
          </w:tcPr>
          <w:p w:rsidR="00E42B92" w:rsidRDefault="00E42B92" w:rsidP="002D51BE">
            <w:pPr>
              <w:keepLines/>
              <w:widowControl w:val="0"/>
              <w:jc w:val="both"/>
              <w:rPr>
                <w:sz w:val="20"/>
                <w:lang w:val="fr-CA"/>
              </w:rPr>
            </w:pPr>
          </w:p>
        </w:tc>
        <w:tc>
          <w:tcPr>
            <w:tcW w:w="4536" w:type="dxa"/>
            <w:tcMar>
              <w:left w:w="0" w:type="dxa"/>
              <w:right w:w="0" w:type="dxa"/>
            </w:tcMar>
          </w:tcPr>
          <w:p w:rsidR="00E42B92" w:rsidRDefault="00E42B92" w:rsidP="002D51BE">
            <w:pPr>
              <w:keepLines/>
              <w:widowControl w:val="0"/>
              <w:jc w:val="both"/>
              <w:rPr>
                <w:sz w:val="20"/>
                <w:lang w:val="fr-CA"/>
              </w:rPr>
            </w:pPr>
            <w:r>
              <w:rPr>
                <w:sz w:val="20"/>
                <w:lang w:val="fr-CA"/>
              </w:rPr>
              <w:t>Déclaration de culpabilité de meurtre au deuxième degré et de tentative de vol qualifié</w:t>
            </w:r>
          </w:p>
        </w:tc>
      </w:tr>
    </w:tbl>
    <w:p w:rsidR="00E42B92" w:rsidRDefault="00E42B92" w:rsidP="00E42B92">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E42B92" w:rsidRPr="001C2F5E" w:rsidTr="002D51BE">
        <w:tc>
          <w:tcPr>
            <w:tcW w:w="4536" w:type="dxa"/>
            <w:tcMar>
              <w:left w:w="0" w:type="dxa"/>
              <w:right w:w="0" w:type="dxa"/>
            </w:tcMar>
          </w:tcPr>
          <w:p w:rsidR="00E42B92" w:rsidRDefault="00E42B92" w:rsidP="002D51BE">
            <w:pPr>
              <w:keepNext/>
              <w:keepLines/>
              <w:widowControl w:val="0"/>
              <w:rPr>
                <w:sz w:val="20"/>
                <w:lang w:val="fr-CA"/>
              </w:rPr>
            </w:pPr>
            <w:r>
              <w:rPr>
                <w:sz w:val="20"/>
                <w:lang w:val="fr-CA"/>
              </w:rPr>
              <w:t>24 février 2010</w:t>
            </w:r>
          </w:p>
          <w:p w:rsidR="00E42B92" w:rsidRDefault="00E42B92" w:rsidP="002D51BE">
            <w:pPr>
              <w:keepNext/>
              <w:keepLines/>
              <w:widowControl w:val="0"/>
              <w:rPr>
                <w:sz w:val="20"/>
                <w:lang w:val="fr-CA"/>
              </w:rPr>
            </w:pPr>
            <w:r>
              <w:rPr>
                <w:sz w:val="20"/>
                <w:lang w:val="fr-CA"/>
              </w:rPr>
              <w:t>Cour d’appel de la Colombie-Britannique</w:t>
            </w:r>
          </w:p>
          <w:p w:rsidR="00E42B92" w:rsidRDefault="00E42B92" w:rsidP="002D51BE">
            <w:pPr>
              <w:keepNext/>
              <w:keepLines/>
              <w:widowControl w:val="0"/>
              <w:rPr>
                <w:sz w:val="20"/>
                <w:lang w:val="fr-CA"/>
              </w:rPr>
            </w:pPr>
            <w:r>
              <w:rPr>
                <w:sz w:val="20"/>
                <w:lang w:val="fr-CA"/>
              </w:rPr>
              <w:t>(Vancouver)</w:t>
            </w:r>
          </w:p>
          <w:p w:rsidR="00E42B92" w:rsidRDefault="00E42B92" w:rsidP="002D51BE">
            <w:pPr>
              <w:keepNext/>
              <w:keepLines/>
              <w:widowControl w:val="0"/>
              <w:rPr>
                <w:sz w:val="20"/>
                <w:lang w:val="fr-CA"/>
              </w:rPr>
            </w:pPr>
            <w:r>
              <w:rPr>
                <w:sz w:val="20"/>
                <w:lang w:val="fr-CA"/>
              </w:rPr>
              <w:t xml:space="preserve">(Juges Chiasson, Smith et </w:t>
            </w:r>
            <w:proofErr w:type="spellStart"/>
            <w:r>
              <w:rPr>
                <w:sz w:val="20"/>
                <w:lang w:val="fr-CA"/>
              </w:rPr>
              <w:t>Garson</w:t>
            </w:r>
            <w:proofErr w:type="spellEnd"/>
            <w:r>
              <w:rPr>
                <w:sz w:val="20"/>
                <w:lang w:val="fr-CA"/>
              </w:rPr>
              <w:t>)</w:t>
            </w:r>
          </w:p>
          <w:p w:rsidR="00E42B92" w:rsidRDefault="00E42B92" w:rsidP="002D51BE">
            <w:pPr>
              <w:keepNext/>
              <w:keepLines/>
              <w:widowControl w:val="0"/>
              <w:rPr>
                <w:sz w:val="20"/>
                <w:lang w:val="fr-CA"/>
              </w:rPr>
            </w:pPr>
            <w:r>
              <w:rPr>
                <w:sz w:val="20"/>
                <w:lang w:val="fr-CA"/>
              </w:rPr>
              <w:t>Référence neutre : 2010 BCCA 92</w:t>
            </w:r>
          </w:p>
        </w:tc>
        <w:tc>
          <w:tcPr>
            <w:tcW w:w="288" w:type="dxa"/>
            <w:tcMar>
              <w:left w:w="0" w:type="dxa"/>
              <w:right w:w="0" w:type="dxa"/>
            </w:tcMar>
          </w:tcPr>
          <w:p w:rsidR="00E42B92" w:rsidRDefault="00E42B92" w:rsidP="002D51BE">
            <w:pPr>
              <w:keepLines/>
              <w:widowControl w:val="0"/>
              <w:rPr>
                <w:sz w:val="20"/>
                <w:lang w:val="fr-CA"/>
              </w:rPr>
            </w:pPr>
          </w:p>
        </w:tc>
        <w:tc>
          <w:tcPr>
            <w:tcW w:w="4536" w:type="dxa"/>
            <w:tcMar>
              <w:left w:w="0" w:type="dxa"/>
              <w:right w:w="0" w:type="dxa"/>
            </w:tcMar>
          </w:tcPr>
          <w:p w:rsidR="00E42B92" w:rsidRDefault="00E42B92" w:rsidP="002D51BE">
            <w:pPr>
              <w:keepLines/>
              <w:widowControl w:val="0"/>
              <w:rPr>
                <w:sz w:val="20"/>
                <w:lang w:val="fr-CA"/>
              </w:rPr>
            </w:pPr>
            <w:r>
              <w:rPr>
                <w:sz w:val="20"/>
                <w:lang w:val="fr-CA"/>
              </w:rPr>
              <w:t>Appel de la déclaration de culpabilité, rejeté</w:t>
            </w:r>
          </w:p>
        </w:tc>
      </w:tr>
    </w:tbl>
    <w:p w:rsidR="00E42B92" w:rsidRDefault="00E42B92" w:rsidP="00E42B92">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lang w:val="fr-CA"/>
              </w:rPr>
            </w:pPr>
            <w:r>
              <w:rPr>
                <w:sz w:val="20"/>
                <w:lang w:val="fr-CA"/>
              </w:rPr>
              <w:t>13 avril 2010</w:t>
            </w:r>
          </w:p>
          <w:p w:rsidR="00E42B92" w:rsidRDefault="00E42B92" w:rsidP="002D51BE">
            <w:pPr>
              <w:keepNext/>
              <w:keepLines/>
              <w:widowControl w:val="0"/>
              <w:rPr>
                <w:sz w:val="20"/>
                <w:lang w:val="fr-CA"/>
              </w:rPr>
            </w:pPr>
            <w:r>
              <w:rPr>
                <w:sz w:val="20"/>
                <w:lang w:val="fr-CA"/>
              </w:rPr>
              <w:t>Cour suprême du Canada</w:t>
            </w:r>
          </w:p>
        </w:tc>
        <w:tc>
          <w:tcPr>
            <w:tcW w:w="288" w:type="dxa"/>
            <w:tcMar>
              <w:left w:w="0" w:type="dxa"/>
              <w:right w:w="0" w:type="dxa"/>
            </w:tcMar>
          </w:tcPr>
          <w:p w:rsidR="00E42B92" w:rsidRDefault="00E42B92" w:rsidP="002D51BE">
            <w:pPr>
              <w:keepLines/>
              <w:widowControl w:val="0"/>
              <w:rPr>
                <w:sz w:val="20"/>
                <w:lang w:val="fr-CA"/>
              </w:rPr>
            </w:pPr>
          </w:p>
        </w:tc>
        <w:tc>
          <w:tcPr>
            <w:tcW w:w="4536" w:type="dxa"/>
            <w:tcMar>
              <w:left w:w="0" w:type="dxa"/>
              <w:right w:w="0" w:type="dxa"/>
            </w:tcMar>
          </w:tcPr>
          <w:p w:rsidR="00E42B92" w:rsidRDefault="00E42B92" w:rsidP="002D51BE">
            <w:pPr>
              <w:keepLines/>
              <w:widowControl w:val="0"/>
              <w:rPr>
                <w:sz w:val="20"/>
                <w:lang w:val="fr-CA"/>
              </w:rPr>
            </w:pPr>
            <w:r>
              <w:rPr>
                <w:sz w:val="20"/>
                <w:lang w:val="fr-CA"/>
              </w:rPr>
              <w:t>Demande d’autorisation d’appel, déposée</w:t>
            </w:r>
          </w:p>
        </w:tc>
      </w:tr>
    </w:tbl>
    <w:p w:rsidR="00E42B92" w:rsidRPr="001C53F2" w:rsidRDefault="00E42B92" w:rsidP="00E42B92">
      <w:pPr>
        <w:widowControl w:val="0"/>
        <w:ind w:left="720" w:hanging="720"/>
        <w:rPr>
          <w:sz w:val="20"/>
        </w:rPr>
      </w:pPr>
    </w:p>
    <w:p w:rsidR="007F53EF" w:rsidRPr="00C50A5C" w:rsidRDefault="00857426" w:rsidP="007F53EF">
      <w:pPr>
        <w:rPr>
          <w:sz w:val="20"/>
          <w:szCs w:val="20"/>
        </w:rPr>
      </w:pPr>
      <w:r w:rsidRPr="00857426">
        <w:rPr>
          <w:sz w:val="20"/>
          <w:szCs w:val="20"/>
          <w:lang w:val="fr-CA"/>
        </w:rPr>
        <w:pict>
          <v:rect id="_x0000_i1043" style="width:2in;height:1pt" o:hrpct="0" o:hralign="center" o:hrstd="t" o:hrnoshade="t" o:hr="t" fillcolor="black [3213]" stroked="f"/>
        </w:pict>
      </w:r>
    </w:p>
    <w:p w:rsidR="007F53EF" w:rsidRDefault="007F53E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53465" w:rsidRPr="00132D44" w:rsidTr="00D53465">
        <w:trPr>
          <w:cantSplit/>
        </w:trPr>
        <w:tc>
          <w:tcPr>
            <w:tcW w:w="1458" w:type="dxa"/>
          </w:tcPr>
          <w:p w:rsidR="00D53465" w:rsidRPr="00132D44" w:rsidRDefault="00D53465" w:rsidP="00D53465">
            <w:pPr>
              <w:rPr>
                <w:sz w:val="20"/>
                <w:szCs w:val="20"/>
              </w:rPr>
            </w:pPr>
            <w:r w:rsidRPr="00132D44">
              <w:rPr>
                <w:rStyle w:val="SCCFileNumberChar"/>
                <w:sz w:val="20"/>
                <w:szCs w:val="20"/>
              </w:rPr>
              <w:lastRenderedPageBreak/>
              <w:t>33729</w:t>
            </w:r>
          </w:p>
          <w:p w:rsidR="00D53465" w:rsidRPr="00132D44" w:rsidRDefault="00D53465" w:rsidP="00D53465">
            <w:pPr>
              <w:rPr>
                <w:b/>
                <w:sz w:val="20"/>
                <w:szCs w:val="20"/>
                <w:lang w:val="fr-CA"/>
              </w:rPr>
            </w:pPr>
          </w:p>
        </w:tc>
        <w:tc>
          <w:tcPr>
            <w:tcW w:w="8118" w:type="dxa"/>
          </w:tcPr>
          <w:p w:rsidR="00D53465" w:rsidRPr="00132D44" w:rsidRDefault="00D53465" w:rsidP="00D53465">
            <w:pPr>
              <w:rPr>
                <w:sz w:val="20"/>
                <w:szCs w:val="20"/>
              </w:rPr>
            </w:pPr>
            <w:r w:rsidRPr="00132D44">
              <w:rPr>
                <w:rStyle w:val="SCCLsocChar"/>
                <w:sz w:val="20"/>
                <w:szCs w:val="20"/>
                <w:lang w:val="en-CA"/>
              </w:rPr>
              <w:t>Scott Graham v. Her Majesty the Queen</w:t>
            </w:r>
            <w:r w:rsidRPr="00132D44">
              <w:rPr>
                <w:sz w:val="20"/>
                <w:szCs w:val="20"/>
              </w:rPr>
              <w:t xml:space="preserve"> (Ont.) (Criminal) (By Leave)</w:t>
            </w:r>
          </w:p>
          <w:p w:rsidR="00D53465" w:rsidRPr="00132D44" w:rsidRDefault="00D53465" w:rsidP="00D53465">
            <w:pPr>
              <w:rPr>
                <w:sz w:val="20"/>
                <w:szCs w:val="20"/>
              </w:rPr>
            </w:pPr>
          </w:p>
        </w:tc>
      </w:tr>
      <w:tr w:rsidR="00D53465" w:rsidRPr="00132D44" w:rsidTr="00D53465">
        <w:trPr>
          <w:cantSplit/>
        </w:trPr>
        <w:tc>
          <w:tcPr>
            <w:tcW w:w="1458" w:type="dxa"/>
          </w:tcPr>
          <w:p w:rsidR="00D53465" w:rsidRPr="00132D44" w:rsidRDefault="00D53465" w:rsidP="00D53465">
            <w:pPr>
              <w:rPr>
                <w:sz w:val="20"/>
                <w:szCs w:val="20"/>
              </w:rPr>
            </w:pPr>
            <w:r w:rsidRPr="00132D44">
              <w:rPr>
                <w:sz w:val="20"/>
                <w:szCs w:val="20"/>
              </w:rPr>
              <w:t>Coram :</w:t>
            </w:r>
          </w:p>
        </w:tc>
        <w:tc>
          <w:tcPr>
            <w:tcW w:w="8118" w:type="dxa"/>
          </w:tcPr>
          <w:p w:rsidR="00D53465" w:rsidRPr="00132D44" w:rsidRDefault="00D53465" w:rsidP="00D53465">
            <w:pPr>
              <w:rPr>
                <w:sz w:val="20"/>
                <w:szCs w:val="20"/>
              </w:rPr>
            </w:pPr>
            <w:proofErr w:type="spellStart"/>
            <w:r w:rsidRPr="00132D44">
              <w:rPr>
                <w:rStyle w:val="SCCCoramChar"/>
                <w:sz w:val="20"/>
                <w:szCs w:val="20"/>
                <w:lang w:val="en-CA"/>
              </w:rPr>
              <w:t>McLachlin</w:t>
            </w:r>
            <w:proofErr w:type="spellEnd"/>
            <w:r w:rsidRPr="00132D44">
              <w:rPr>
                <w:rStyle w:val="SCCCoramChar"/>
                <w:sz w:val="20"/>
                <w:szCs w:val="20"/>
                <w:lang w:val="en-CA"/>
              </w:rPr>
              <w:t xml:space="preserve"> C.J. and </w:t>
            </w:r>
            <w:proofErr w:type="spellStart"/>
            <w:r w:rsidRPr="00132D44">
              <w:rPr>
                <w:rStyle w:val="SCCCoramChar"/>
                <w:sz w:val="20"/>
                <w:szCs w:val="20"/>
                <w:lang w:val="en-CA"/>
              </w:rPr>
              <w:t>Abella</w:t>
            </w:r>
            <w:proofErr w:type="spellEnd"/>
            <w:r w:rsidRPr="00132D44">
              <w:rPr>
                <w:rStyle w:val="SCCCoramChar"/>
                <w:sz w:val="20"/>
                <w:szCs w:val="20"/>
                <w:lang w:val="en-CA"/>
              </w:rPr>
              <w:t xml:space="preserve"> and Cromwell JJ.</w:t>
            </w:r>
          </w:p>
          <w:p w:rsidR="00D53465" w:rsidRPr="00132D44" w:rsidRDefault="00D53465" w:rsidP="00D53465">
            <w:pPr>
              <w:rPr>
                <w:sz w:val="20"/>
                <w:szCs w:val="20"/>
                <w:u w:val="single"/>
              </w:rPr>
            </w:pPr>
          </w:p>
        </w:tc>
      </w:tr>
      <w:tr w:rsidR="00132D44" w:rsidRPr="001C2F5E" w:rsidTr="00132D44">
        <w:trPr>
          <w:cantSplit/>
        </w:trPr>
        <w:tc>
          <w:tcPr>
            <w:tcW w:w="9576" w:type="dxa"/>
            <w:gridSpan w:val="2"/>
          </w:tcPr>
          <w:p w:rsidR="00132D44" w:rsidRPr="00132D44" w:rsidRDefault="00132D44" w:rsidP="00132D44">
            <w:pPr>
              <w:pStyle w:val="SCCShortJudgment"/>
              <w:rPr>
                <w:szCs w:val="20"/>
              </w:rPr>
            </w:pPr>
            <w:r w:rsidRPr="00132D44">
              <w:rPr>
                <w:szCs w:val="20"/>
              </w:rPr>
              <w:t>The motion to appoint counsel is dismissed. The application for leave to appeal from the judgment of the Court of Appeal for Ontario, Number C50755, dated April 21, 2010, is dismissed without costs.</w:t>
            </w:r>
          </w:p>
          <w:p w:rsidR="00132D44" w:rsidRPr="00132D44" w:rsidRDefault="00132D44" w:rsidP="00132D44">
            <w:pPr>
              <w:pStyle w:val="SCCShortJudgment"/>
              <w:ind w:firstLine="0"/>
              <w:rPr>
                <w:szCs w:val="20"/>
              </w:rPr>
            </w:pPr>
          </w:p>
          <w:p w:rsidR="00132D44" w:rsidRPr="00132D44" w:rsidRDefault="00132D44" w:rsidP="00132D44">
            <w:pPr>
              <w:pStyle w:val="SCCShortJudgment"/>
              <w:rPr>
                <w:szCs w:val="20"/>
                <w:lang w:val="fr-CA"/>
              </w:rPr>
            </w:pPr>
            <w:r w:rsidRPr="00132D44">
              <w:rPr>
                <w:szCs w:val="20"/>
                <w:lang w:val="fr-CA"/>
              </w:rPr>
              <w:t>La requête pour nommer un avocat est rejetée.  La demande d’autorisation d’appel de l’arrêt de la Cour d’appel de l’Ontario, numéro C50755, daté du 21 avril 2010, est rejetée sans dépens.</w:t>
            </w:r>
          </w:p>
        </w:tc>
      </w:tr>
    </w:tbl>
    <w:p w:rsidR="00D53465" w:rsidRPr="00661748" w:rsidRDefault="00D53465" w:rsidP="00D53465">
      <w:pPr>
        <w:rPr>
          <w:sz w:val="20"/>
          <w:szCs w:val="20"/>
          <w:lang w:val="fr-CA"/>
        </w:rPr>
      </w:pPr>
    </w:p>
    <w:p w:rsidR="00D53465" w:rsidRDefault="00D53465" w:rsidP="00D53465">
      <w:pPr>
        <w:rPr>
          <w:sz w:val="20"/>
          <w:szCs w:val="20"/>
          <w:u w:val="single"/>
        </w:rPr>
      </w:pPr>
      <w:r w:rsidRPr="007F53EF">
        <w:rPr>
          <w:sz w:val="20"/>
          <w:szCs w:val="20"/>
          <w:u w:val="single"/>
        </w:rPr>
        <w:t>CASE SUMMARY</w:t>
      </w:r>
    </w:p>
    <w:p w:rsidR="00D53465" w:rsidRDefault="00D53465" w:rsidP="00E42B92">
      <w:pPr>
        <w:widowControl w:val="0"/>
        <w:jc w:val="both"/>
        <w:rPr>
          <w:sz w:val="20"/>
        </w:rPr>
      </w:pPr>
    </w:p>
    <w:p w:rsidR="00E42B92" w:rsidRDefault="00E42B92" w:rsidP="00E42B92">
      <w:pPr>
        <w:widowControl w:val="0"/>
        <w:jc w:val="both"/>
        <w:rPr>
          <w:sz w:val="20"/>
        </w:rPr>
      </w:pPr>
      <w:r>
        <w:rPr>
          <w:sz w:val="20"/>
        </w:rPr>
        <w:t xml:space="preserve">Charter of Rights - Criminal law - Arbitrary detention - Search and seizure - Evidence - Whether the trial judge erred in fact, on her ruling in the </w:t>
      </w:r>
      <w:proofErr w:type="spellStart"/>
      <w:r>
        <w:rPr>
          <w:i/>
          <w:sz w:val="20"/>
        </w:rPr>
        <w:t>voir</w:t>
      </w:r>
      <w:proofErr w:type="spellEnd"/>
      <w:r>
        <w:rPr>
          <w:i/>
          <w:sz w:val="20"/>
        </w:rPr>
        <w:t xml:space="preserve"> dire</w:t>
      </w:r>
      <w:r>
        <w:rPr>
          <w:sz w:val="20"/>
        </w:rPr>
        <w:t xml:space="preserve">, that cannot be supported by the inconsistent evidence of the arresting officer - Whether the trial judge's misapprehension of the evidence would affect her analysis of s. 9 of the </w:t>
      </w:r>
      <w:r>
        <w:rPr>
          <w:i/>
          <w:sz w:val="20"/>
        </w:rPr>
        <w:t xml:space="preserve">Canadian Charter of Rights and Freedoms </w:t>
      </w:r>
      <w:r>
        <w:rPr>
          <w:sz w:val="20"/>
        </w:rPr>
        <w:t xml:space="preserve">- Whether the trial judge erred in law with respect to her analysis of s. 8 of the </w:t>
      </w:r>
      <w:r>
        <w:rPr>
          <w:i/>
          <w:sz w:val="20"/>
        </w:rPr>
        <w:t xml:space="preserve">Canadian Charter of Rights and Freedoms </w:t>
      </w:r>
      <w:r>
        <w:rPr>
          <w:sz w:val="20"/>
        </w:rPr>
        <w:t>- Whether the conviction was founded upon findings of fact that were tainted by errors and therefore resulted in an unfair trial.</w:t>
      </w:r>
    </w:p>
    <w:p w:rsidR="00E42B92" w:rsidRDefault="00E42B92" w:rsidP="00E42B92">
      <w:pPr>
        <w:widowControl w:val="0"/>
        <w:jc w:val="both"/>
        <w:rPr>
          <w:sz w:val="20"/>
        </w:rPr>
      </w:pPr>
    </w:p>
    <w:p w:rsidR="00E42B92" w:rsidRDefault="00E42B92" w:rsidP="00E42B92">
      <w:pPr>
        <w:widowControl w:val="0"/>
        <w:jc w:val="both"/>
        <w:rPr>
          <w:sz w:val="20"/>
        </w:rPr>
      </w:pPr>
      <w:r>
        <w:rPr>
          <w:sz w:val="20"/>
        </w:rPr>
        <w:t xml:space="preserve">The applicant was a passenger in a vehicle stopped by police. The driver indicated that the applicant had hidden drugs in the car. Drugs were found under the seat where the applicant was sitting and on his person after his arrest. At trial, the applicant applied to have the evidence excluded due to a breach of his s. 8, 9 and 10 </w:t>
      </w:r>
      <w:r>
        <w:rPr>
          <w:i/>
          <w:sz w:val="20"/>
        </w:rPr>
        <w:t>Charter</w:t>
      </w:r>
      <w:r>
        <w:rPr>
          <w:sz w:val="20"/>
        </w:rPr>
        <w:t xml:space="preserve"> rights. He argued that the vehicle was not stopped for speeding, as stated by the police, but rather the police targeted the vehicle based on an informer’s tip. He argued that the police improperly questioned and searched him and the vehicle. The trial judge found that there was no </w:t>
      </w:r>
      <w:r>
        <w:rPr>
          <w:i/>
          <w:sz w:val="20"/>
        </w:rPr>
        <w:t xml:space="preserve">Charter </w:t>
      </w:r>
      <w:r>
        <w:rPr>
          <w:sz w:val="20"/>
        </w:rPr>
        <w:t xml:space="preserve">violation, admitted the evidence, and the applicant was convicted on all counts. His appeal was dismissed. </w:t>
      </w:r>
    </w:p>
    <w:p w:rsidR="00E42B92" w:rsidRDefault="00E42B92" w:rsidP="00E42B92">
      <w:pPr>
        <w:widowControl w:val="0"/>
        <w:rPr>
          <w:sz w:val="20"/>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rPr>
            </w:pPr>
            <w:r>
              <w:rPr>
                <w:sz w:val="20"/>
              </w:rPr>
              <w:t>May 15, 2009</w:t>
            </w:r>
          </w:p>
          <w:p w:rsidR="00E42B92" w:rsidRDefault="00E42B92" w:rsidP="002D51BE">
            <w:pPr>
              <w:keepNext/>
              <w:keepLines/>
              <w:widowControl w:val="0"/>
              <w:rPr>
                <w:sz w:val="20"/>
              </w:rPr>
            </w:pPr>
            <w:r>
              <w:rPr>
                <w:sz w:val="20"/>
              </w:rPr>
              <w:t>Ontario Superior Court of Justice</w:t>
            </w:r>
          </w:p>
          <w:p w:rsidR="00E42B92" w:rsidRDefault="00E42B92" w:rsidP="002D51BE">
            <w:pPr>
              <w:keepNext/>
              <w:keepLines/>
              <w:widowControl w:val="0"/>
              <w:rPr>
                <w:sz w:val="20"/>
              </w:rPr>
            </w:pPr>
            <w:r>
              <w:rPr>
                <w:sz w:val="20"/>
              </w:rPr>
              <w:t>(</w:t>
            </w:r>
            <w:proofErr w:type="spellStart"/>
            <w:r>
              <w:rPr>
                <w:sz w:val="20"/>
              </w:rPr>
              <w:t>Dunnet</w:t>
            </w:r>
            <w:proofErr w:type="spellEnd"/>
            <w:r>
              <w:rPr>
                <w:sz w:val="20"/>
              </w:rPr>
              <w:t xml:space="preserve"> J.)</w:t>
            </w:r>
          </w:p>
        </w:tc>
        <w:tc>
          <w:tcPr>
            <w:tcW w:w="288" w:type="dxa"/>
            <w:tcMar>
              <w:left w:w="0" w:type="dxa"/>
              <w:right w:w="0" w:type="dxa"/>
            </w:tcMar>
          </w:tcPr>
          <w:p w:rsidR="00E42B92" w:rsidRDefault="00E42B92" w:rsidP="002D51BE">
            <w:pPr>
              <w:keepLines/>
              <w:widowControl w:val="0"/>
              <w:rPr>
                <w:sz w:val="20"/>
              </w:rPr>
            </w:pPr>
          </w:p>
        </w:tc>
        <w:tc>
          <w:tcPr>
            <w:tcW w:w="4536" w:type="dxa"/>
            <w:tcMar>
              <w:left w:w="0" w:type="dxa"/>
              <w:right w:w="0" w:type="dxa"/>
            </w:tcMar>
          </w:tcPr>
          <w:p w:rsidR="00E42B92" w:rsidRDefault="00E42B92" w:rsidP="002D51BE">
            <w:pPr>
              <w:keepLines/>
              <w:widowControl w:val="0"/>
              <w:rPr>
                <w:sz w:val="20"/>
              </w:rPr>
            </w:pPr>
            <w:r>
              <w:rPr>
                <w:sz w:val="20"/>
              </w:rPr>
              <w:t>Guilty of possession for the purpose of trafficking</w:t>
            </w:r>
          </w:p>
        </w:tc>
      </w:tr>
    </w:tbl>
    <w:p w:rsidR="00E42B92" w:rsidRDefault="00E42B92" w:rsidP="00E42B92">
      <w:pPr>
        <w:widowControl w:val="0"/>
        <w:rPr>
          <w:sz w:val="20"/>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rPr>
            </w:pPr>
            <w:r>
              <w:rPr>
                <w:sz w:val="20"/>
              </w:rPr>
              <w:t>April 21, 2010</w:t>
            </w:r>
          </w:p>
          <w:p w:rsidR="00E42B92" w:rsidRDefault="00E42B92" w:rsidP="002D51BE">
            <w:pPr>
              <w:keepNext/>
              <w:keepLines/>
              <w:widowControl w:val="0"/>
              <w:rPr>
                <w:sz w:val="20"/>
              </w:rPr>
            </w:pPr>
            <w:r>
              <w:rPr>
                <w:sz w:val="20"/>
              </w:rPr>
              <w:t>Court of Appeal for Ontario</w:t>
            </w:r>
          </w:p>
          <w:p w:rsidR="00E42B92" w:rsidRDefault="00E42B92" w:rsidP="002D51BE">
            <w:pPr>
              <w:keepNext/>
              <w:keepLines/>
              <w:widowControl w:val="0"/>
              <w:rPr>
                <w:sz w:val="20"/>
              </w:rPr>
            </w:pPr>
            <w:r>
              <w:rPr>
                <w:sz w:val="20"/>
              </w:rPr>
              <w:t>(</w:t>
            </w:r>
            <w:proofErr w:type="spellStart"/>
            <w:r>
              <w:rPr>
                <w:sz w:val="20"/>
              </w:rPr>
              <w:t>Weiler</w:t>
            </w:r>
            <w:proofErr w:type="spellEnd"/>
            <w:r>
              <w:rPr>
                <w:sz w:val="20"/>
              </w:rPr>
              <w:t xml:space="preserve">, </w:t>
            </w:r>
            <w:proofErr w:type="spellStart"/>
            <w:r>
              <w:rPr>
                <w:sz w:val="20"/>
              </w:rPr>
              <w:t>MacPherson</w:t>
            </w:r>
            <w:proofErr w:type="spellEnd"/>
            <w:r>
              <w:rPr>
                <w:sz w:val="20"/>
              </w:rPr>
              <w:t xml:space="preserve"> and Armstrong JJ.A.)</w:t>
            </w:r>
          </w:p>
        </w:tc>
        <w:tc>
          <w:tcPr>
            <w:tcW w:w="288" w:type="dxa"/>
            <w:tcMar>
              <w:left w:w="0" w:type="dxa"/>
              <w:right w:w="0" w:type="dxa"/>
            </w:tcMar>
          </w:tcPr>
          <w:p w:rsidR="00E42B92" w:rsidRDefault="00E42B92" w:rsidP="002D51BE">
            <w:pPr>
              <w:keepLines/>
              <w:widowControl w:val="0"/>
              <w:rPr>
                <w:sz w:val="20"/>
              </w:rPr>
            </w:pPr>
          </w:p>
        </w:tc>
        <w:tc>
          <w:tcPr>
            <w:tcW w:w="4536" w:type="dxa"/>
            <w:tcMar>
              <w:left w:w="0" w:type="dxa"/>
              <w:right w:w="0" w:type="dxa"/>
            </w:tcMar>
          </w:tcPr>
          <w:p w:rsidR="00E42B92" w:rsidRDefault="00E42B92" w:rsidP="002D51BE">
            <w:pPr>
              <w:keepLines/>
              <w:widowControl w:val="0"/>
              <w:rPr>
                <w:sz w:val="20"/>
              </w:rPr>
            </w:pPr>
            <w:r>
              <w:rPr>
                <w:sz w:val="20"/>
              </w:rPr>
              <w:t>Appeal as to conviction and sentence dismissed.</w:t>
            </w:r>
          </w:p>
        </w:tc>
      </w:tr>
    </w:tbl>
    <w:p w:rsidR="00E42B92" w:rsidRDefault="00E42B92" w:rsidP="00E42B92">
      <w:pPr>
        <w:widowControl w:val="0"/>
        <w:rPr>
          <w:sz w:val="20"/>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rPr>
            </w:pPr>
            <w:r>
              <w:rPr>
                <w:sz w:val="20"/>
              </w:rPr>
              <w:t>June 9, 2010</w:t>
            </w:r>
          </w:p>
          <w:p w:rsidR="00E42B92" w:rsidRDefault="00E42B92" w:rsidP="002D51BE">
            <w:pPr>
              <w:keepNext/>
              <w:keepLines/>
              <w:widowControl w:val="0"/>
              <w:rPr>
                <w:sz w:val="20"/>
              </w:rPr>
            </w:pPr>
            <w:r>
              <w:rPr>
                <w:sz w:val="20"/>
              </w:rPr>
              <w:t>Supreme Court of Canada</w:t>
            </w:r>
          </w:p>
        </w:tc>
        <w:tc>
          <w:tcPr>
            <w:tcW w:w="288" w:type="dxa"/>
            <w:tcMar>
              <w:left w:w="0" w:type="dxa"/>
              <w:right w:w="0" w:type="dxa"/>
            </w:tcMar>
          </w:tcPr>
          <w:p w:rsidR="00E42B92" w:rsidRDefault="00E42B92" w:rsidP="002D51BE">
            <w:pPr>
              <w:keepLines/>
              <w:widowControl w:val="0"/>
              <w:rPr>
                <w:sz w:val="20"/>
              </w:rPr>
            </w:pPr>
          </w:p>
        </w:tc>
        <w:tc>
          <w:tcPr>
            <w:tcW w:w="4536" w:type="dxa"/>
            <w:tcMar>
              <w:left w:w="0" w:type="dxa"/>
              <w:right w:w="0" w:type="dxa"/>
            </w:tcMar>
          </w:tcPr>
          <w:p w:rsidR="00E42B92" w:rsidRDefault="00E42B92" w:rsidP="004B3466">
            <w:pPr>
              <w:keepLines/>
              <w:widowControl w:val="0"/>
              <w:jc w:val="both"/>
              <w:rPr>
                <w:sz w:val="20"/>
              </w:rPr>
            </w:pPr>
            <w:r>
              <w:rPr>
                <w:sz w:val="20"/>
              </w:rPr>
              <w:t>Application for leave to appeal and motion to appoint counsel filed</w:t>
            </w:r>
          </w:p>
        </w:tc>
      </w:tr>
    </w:tbl>
    <w:p w:rsidR="00E42B92" w:rsidRDefault="00E42B92" w:rsidP="00E42B92">
      <w:pPr>
        <w:widowControl w:val="0"/>
        <w:rPr>
          <w:sz w:val="20"/>
        </w:rPr>
      </w:pPr>
    </w:p>
    <w:p w:rsidR="007F53EF" w:rsidRPr="007F53EF" w:rsidRDefault="00857426" w:rsidP="007F53EF">
      <w:pPr>
        <w:rPr>
          <w:sz w:val="20"/>
          <w:szCs w:val="20"/>
        </w:rPr>
      </w:pPr>
      <w:r w:rsidRPr="00857426">
        <w:rPr>
          <w:sz w:val="20"/>
          <w:szCs w:val="20"/>
          <w:lang w:val="fr-CA"/>
        </w:rPr>
        <w:pict>
          <v:rect id="_x0000_i1044" style="width:2in;height:1pt" o:hrpct="0" o:hralign="center" o:hrstd="t" o:hrnoshade="t" o:hr="t" fillcolor="black [3213]" stroked="f"/>
        </w:pict>
      </w:r>
    </w:p>
    <w:p w:rsidR="007F53EF" w:rsidRPr="007F53EF" w:rsidRDefault="007F53EF" w:rsidP="007F53EF">
      <w:pPr>
        <w:rPr>
          <w:sz w:val="20"/>
          <w:szCs w:val="20"/>
        </w:rPr>
      </w:pPr>
    </w:p>
    <w:p w:rsidR="007F53EF" w:rsidRPr="00E42B92" w:rsidRDefault="007F53EF" w:rsidP="007F53EF">
      <w:pPr>
        <w:jc w:val="both"/>
        <w:rPr>
          <w:sz w:val="20"/>
          <w:szCs w:val="20"/>
          <w:lang w:val="fr-CA"/>
        </w:rPr>
      </w:pPr>
      <w:r w:rsidRPr="00E42B92">
        <w:rPr>
          <w:sz w:val="20"/>
          <w:szCs w:val="20"/>
          <w:u w:val="single"/>
          <w:lang w:val="fr-CA"/>
        </w:rPr>
        <w:t>RÉSUMÉ DE L’AFFAIRE</w:t>
      </w:r>
    </w:p>
    <w:p w:rsidR="007F53EF" w:rsidRPr="00E42B92" w:rsidRDefault="007F53EF" w:rsidP="007F53EF">
      <w:pPr>
        <w:rPr>
          <w:sz w:val="20"/>
          <w:szCs w:val="20"/>
          <w:lang w:val="fr-CA"/>
        </w:rPr>
      </w:pPr>
    </w:p>
    <w:p w:rsidR="00E42B92" w:rsidRDefault="00E42B92" w:rsidP="00E42B92">
      <w:pPr>
        <w:widowControl w:val="0"/>
        <w:jc w:val="both"/>
        <w:rPr>
          <w:sz w:val="20"/>
          <w:lang w:val="fr-CA"/>
        </w:rPr>
      </w:pPr>
      <w:r>
        <w:rPr>
          <w:sz w:val="20"/>
          <w:lang w:val="fr-CA"/>
        </w:rPr>
        <w:t xml:space="preserve">Charte des droits - Droit criminel - Détention arbitraire - Fouilles et perquisitions - Preuve - La juge du procès a-t-elle commis une erreur de fait, dans la décision qu’elle a rendue dans le cadre d’un voir-dire, qui ne peut être appuyée par la preuve contradictoire de l’agent qui a procédé à l’arrestation? - L’interprétation erronée de la preuve par la juge du procès a-t-elle eu une incidence sur son analyse de l’art. 9 de la </w:t>
      </w:r>
      <w:r>
        <w:rPr>
          <w:i/>
          <w:sz w:val="20"/>
          <w:lang w:val="fr-CA"/>
        </w:rPr>
        <w:t>Charte canadienne des droits et libertés</w:t>
      </w:r>
      <w:r>
        <w:rPr>
          <w:sz w:val="20"/>
          <w:lang w:val="fr-CA"/>
        </w:rPr>
        <w:t xml:space="preserve">? - La juge de première instance a-t-elle commis une erreur de droit en ce qui a trait à son analyse de l’art. 8 de la </w:t>
      </w:r>
      <w:r>
        <w:rPr>
          <w:i/>
          <w:sz w:val="20"/>
          <w:lang w:val="fr-CA"/>
        </w:rPr>
        <w:t>Charte canadienne des droits et libertés</w:t>
      </w:r>
      <w:r>
        <w:rPr>
          <w:sz w:val="20"/>
          <w:lang w:val="fr-CA"/>
        </w:rPr>
        <w:t>? - La déclaration de culpabilité était-elle fondée sur des conclusions de fait viciées par des erreurs, ce qui a donné lieu à un procès inéquitable?</w:t>
      </w:r>
    </w:p>
    <w:p w:rsidR="00E42B92" w:rsidRDefault="00E42B92" w:rsidP="00E42B92">
      <w:pPr>
        <w:widowControl w:val="0"/>
        <w:jc w:val="both"/>
        <w:rPr>
          <w:sz w:val="20"/>
          <w:lang w:val="fr-CA"/>
        </w:rPr>
      </w:pPr>
    </w:p>
    <w:p w:rsidR="007F53EF" w:rsidRDefault="00E42B92" w:rsidP="00E42B92">
      <w:pPr>
        <w:jc w:val="both"/>
        <w:rPr>
          <w:sz w:val="20"/>
          <w:szCs w:val="20"/>
        </w:rPr>
      </w:pPr>
      <w:r>
        <w:rPr>
          <w:sz w:val="20"/>
          <w:lang w:val="fr-CA"/>
        </w:rPr>
        <w:t xml:space="preserve">Le demandeur était passager à bord d’un véhicule intercepté par la police.  Le conducteur a fait savoir que le demandeur avait caché de la drogue dans la voiture.  De la drogue a été trouvée sous le siège occupé par le demandeur et sur sa personne après son arrestation.  Au procès, le demandeur a demandé l’exclusion de la preuve en raison d’une </w:t>
      </w:r>
      <w:r>
        <w:rPr>
          <w:sz w:val="20"/>
          <w:lang w:val="fr-CA"/>
        </w:rPr>
        <w:lastRenderedPageBreak/>
        <w:t xml:space="preserve">violation de ses droits garantis par </w:t>
      </w:r>
      <w:proofErr w:type="gramStart"/>
      <w:r>
        <w:rPr>
          <w:sz w:val="20"/>
          <w:lang w:val="fr-CA"/>
        </w:rPr>
        <w:t>les art</w:t>
      </w:r>
      <w:proofErr w:type="gramEnd"/>
      <w:r>
        <w:rPr>
          <w:sz w:val="20"/>
          <w:lang w:val="fr-CA"/>
        </w:rPr>
        <w:t xml:space="preserve">. 8, 9 et 10 de la </w:t>
      </w:r>
      <w:r>
        <w:rPr>
          <w:i/>
          <w:sz w:val="20"/>
          <w:lang w:val="fr-CA"/>
        </w:rPr>
        <w:t>Charte</w:t>
      </w:r>
      <w:r>
        <w:rPr>
          <w:sz w:val="20"/>
          <w:lang w:val="fr-CA"/>
        </w:rPr>
        <w:t xml:space="preserve">.  Il a plaidé que le véhicule n’avait pas été intercepté pour excès de vitesse, comme l’affirme la police, mais plutôt parce que la police avait ciblé le véhicule sur la foi du tuyau d’un dénonciateur.  Il a soutenu que la police l’avait illégalement interrogé et fouillé, lui et son véhicule. La juge de première instance a conclu qu’il n’y avait pas eu de violation de la </w:t>
      </w:r>
      <w:r>
        <w:rPr>
          <w:i/>
          <w:sz w:val="20"/>
          <w:lang w:val="fr-CA"/>
        </w:rPr>
        <w:t>Charte</w:t>
      </w:r>
      <w:r>
        <w:rPr>
          <w:sz w:val="20"/>
          <w:lang w:val="fr-CA"/>
        </w:rPr>
        <w:t>, elle a admis la preuve et le demandeur a été déclaré coupable sous tous les chefs. Son appel a été rejeté.</w:t>
      </w:r>
    </w:p>
    <w:p w:rsidR="007F53EF" w:rsidRDefault="007F53EF" w:rsidP="007F53EF">
      <w:pPr>
        <w:rPr>
          <w:sz w:val="20"/>
          <w:szCs w:val="20"/>
        </w:rPr>
      </w:pPr>
    </w:p>
    <w:tbl>
      <w:tblPr>
        <w:tblW w:w="0" w:type="auto"/>
        <w:tblLayout w:type="fixed"/>
        <w:tblCellMar>
          <w:left w:w="0" w:type="dxa"/>
          <w:right w:w="0" w:type="dxa"/>
        </w:tblCellMar>
        <w:tblLook w:val="0000"/>
      </w:tblPr>
      <w:tblGrid>
        <w:gridCol w:w="4536"/>
        <w:gridCol w:w="288"/>
        <w:gridCol w:w="4536"/>
      </w:tblGrid>
      <w:tr w:rsidR="00E42B92" w:rsidRPr="001C2F5E" w:rsidTr="002D51BE">
        <w:tc>
          <w:tcPr>
            <w:tcW w:w="4536" w:type="dxa"/>
            <w:tcMar>
              <w:left w:w="0" w:type="dxa"/>
              <w:right w:w="0" w:type="dxa"/>
            </w:tcMar>
          </w:tcPr>
          <w:p w:rsidR="00E42B92" w:rsidRDefault="00E42B92" w:rsidP="002D51BE">
            <w:pPr>
              <w:keepNext/>
              <w:keepLines/>
              <w:widowControl w:val="0"/>
              <w:rPr>
                <w:sz w:val="20"/>
                <w:lang w:val="fr-CA"/>
              </w:rPr>
            </w:pPr>
            <w:r>
              <w:rPr>
                <w:sz w:val="20"/>
                <w:lang w:val="fr-CA"/>
              </w:rPr>
              <w:t>15 mai 2009</w:t>
            </w:r>
          </w:p>
          <w:p w:rsidR="00E42B92" w:rsidRDefault="00E42B92" w:rsidP="002D51BE">
            <w:pPr>
              <w:keepNext/>
              <w:keepLines/>
              <w:widowControl w:val="0"/>
              <w:rPr>
                <w:sz w:val="20"/>
                <w:lang w:val="fr-CA"/>
              </w:rPr>
            </w:pPr>
            <w:r>
              <w:rPr>
                <w:sz w:val="20"/>
                <w:lang w:val="fr-CA"/>
              </w:rPr>
              <w:t>Cour supérieure de justice de l’Ontario</w:t>
            </w:r>
          </w:p>
          <w:p w:rsidR="00E42B92" w:rsidRDefault="00E42B92" w:rsidP="002D51BE">
            <w:pPr>
              <w:keepNext/>
              <w:keepLines/>
              <w:widowControl w:val="0"/>
              <w:rPr>
                <w:sz w:val="20"/>
                <w:lang w:val="fr-CA"/>
              </w:rPr>
            </w:pPr>
            <w:r>
              <w:rPr>
                <w:sz w:val="20"/>
                <w:lang w:val="fr-CA"/>
              </w:rPr>
              <w:t xml:space="preserve">(Juge </w:t>
            </w:r>
            <w:proofErr w:type="spellStart"/>
            <w:r>
              <w:rPr>
                <w:sz w:val="20"/>
                <w:lang w:val="fr-CA"/>
              </w:rPr>
              <w:t>Dunnet</w:t>
            </w:r>
            <w:proofErr w:type="spellEnd"/>
            <w:r>
              <w:rPr>
                <w:sz w:val="20"/>
                <w:lang w:val="fr-CA"/>
              </w:rPr>
              <w:t>)</w:t>
            </w:r>
          </w:p>
        </w:tc>
        <w:tc>
          <w:tcPr>
            <w:tcW w:w="288" w:type="dxa"/>
            <w:tcMar>
              <w:left w:w="0" w:type="dxa"/>
              <w:right w:w="0" w:type="dxa"/>
            </w:tcMar>
          </w:tcPr>
          <w:p w:rsidR="00E42B92" w:rsidRDefault="00E42B92" w:rsidP="002D51BE">
            <w:pPr>
              <w:keepLines/>
              <w:widowControl w:val="0"/>
              <w:rPr>
                <w:sz w:val="20"/>
                <w:lang w:val="fr-CA"/>
              </w:rPr>
            </w:pPr>
          </w:p>
        </w:tc>
        <w:tc>
          <w:tcPr>
            <w:tcW w:w="4536" w:type="dxa"/>
            <w:tcMar>
              <w:left w:w="0" w:type="dxa"/>
              <w:right w:w="0" w:type="dxa"/>
            </w:tcMar>
          </w:tcPr>
          <w:p w:rsidR="00E42B92" w:rsidRDefault="00E42B92" w:rsidP="004B3466">
            <w:pPr>
              <w:keepLines/>
              <w:widowControl w:val="0"/>
              <w:jc w:val="both"/>
              <w:rPr>
                <w:sz w:val="20"/>
                <w:lang w:val="fr-CA"/>
              </w:rPr>
            </w:pPr>
            <w:r>
              <w:rPr>
                <w:sz w:val="20"/>
                <w:lang w:val="fr-CA"/>
              </w:rPr>
              <w:t>Déclaration de culpabilité de possession en vue du trafic</w:t>
            </w:r>
          </w:p>
        </w:tc>
      </w:tr>
    </w:tbl>
    <w:p w:rsidR="00E42B92" w:rsidRDefault="00E42B92" w:rsidP="00E42B92">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E42B92" w:rsidRPr="001C2F5E" w:rsidTr="002D51BE">
        <w:tc>
          <w:tcPr>
            <w:tcW w:w="4536" w:type="dxa"/>
            <w:tcMar>
              <w:left w:w="0" w:type="dxa"/>
              <w:right w:w="0" w:type="dxa"/>
            </w:tcMar>
          </w:tcPr>
          <w:p w:rsidR="00E42B92" w:rsidRDefault="00E42B92" w:rsidP="002D51BE">
            <w:pPr>
              <w:keepNext/>
              <w:keepLines/>
              <w:widowControl w:val="0"/>
              <w:rPr>
                <w:sz w:val="20"/>
                <w:lang w:val="fr-CA"/>
              </w:rPr>
            </w:pPr>
            <w:r>
              <w:rPr>
                <w:sz w:val="20"/>
                <w:lang w:val="fr-CA"/>
              </w:rPr>
              <w:t>21 avril 2010</w:t>
            </w:r>
          </w:p>
          <w:p w:rsidR="00E42B92" w:rsidRDefault="00E42B92" w:rsidP="002D51BE">
            <w:pPr>
              <w:keepNext/>
              <w:keepLines/>
              <w:widowControl w:val="0"/>
              <w:rPr>
                <w:sz w:val="20"/>
                <w:lang w:val="fr-CA"/>
              </w:rPr>
            </w:pPr>
            <w:r>
              <w:rPr>
                <w:sz w:val="20"/>
                <w:lang w:val="fr-CA"/>
              </w:rPr>
              <w:t>Cour d’appel de l’Ontario</w:t>
            </w:r>
          </w:p>
          <w:p w:rsidR="00E42B92" w:rsidRDefault="00E42B92" w:rsidP="002D51BE">
            <w:pPr>
              <w:keepNext/>
              <w:keepLines/>
              <w:widowControl w:val="0"/>
              <w:rPr>
                <w:sz w:val="20"/>
                <w:lang w:val="fr-CA"/>
              </w:rPr>
            </w:pPr>
            <w:r>
              <w:rPr>
                <w:sz w:val="20"/>
                <w:lang w:val="fr-CA"/>
              </w:rPr>
              <w:t xml:space="preserve">(Juges </w:t>
            </w:r>
            <w:proofErr w:type="spellStart"/>
            <w:r>
              <w:rPr>
                <w:sz w:val="20"/>
                <w:lang w:val="fr-CA"/>
              </w:rPr>
              <w:t>Weiler</w:t>
            </w:r>
            <w:proofErr w:type="spellEnd"/>
            <w:r>
              <w:rPr>
                <w:sz w:val="20"/>
                <w:lang w:val="fr-CA"/>
              </w:rPr>
              <w:t xml:space="preserve">, </w:t>
            </w:r>
            <w:proofErr w:type="spellStart"/>
            <w:r>
              <w:rPr>
                <w:sz w:val="20"/>
                <w:lang w:val="fr-CA"/>
              </w:rPr>
              <w:t>MacPherson</w:t>
            </w:r>
            <w:proofErr w:type="spellEnd"/>
            <w:r>
              <w:rPr>
                <w:sz w:val="20"/>
                <w:lang w:val="fr-CA"/>
              </w:rPr>
              <w:t xml:space="preserve"> et Armstrong)</w:t>
            </w:r>
          </w:p>
        </w:tc>
        <w:tc>
          <w:tcPr>
            <w:tcW w:w="288" w:type="dxa"/>
            <w:tcMar>
              <w:left w:w="0" w:type="dxa"/>
              <w:right w:w="0" w:type="dxa"/>
            </w:tcMar>
          </w:tcPr>
          <w:p w:rsidR="00E42B92" w:rsidRDefault="00E42B92" w:rsidP="002D51BE">
            <w:pPr>
              <w:keepLines/>
              <w:widowControl w:val="0"/>
              <w:rPr>
                <w:sz w:val="20"/>
                <w:lang w:val="fr-CA"/>
              </w:rPr>
            </w:pPr>
          </w:p>
        </w:tc>
        <w:tc>
          <w:tcPr>
            <w:tcW w:w="4536" w:type="dxa"/>
            <w:tcMar>
              <w:left w:w="0" w:type="dxa"/>
              <w:right w:w="0" w:type="dxa"/>
            </w:tcMar>
          </w:tcPr>
          <w:p w:rsidR="00E42B92" w:rsidRDefault="00E42B92" w:rsidP="002D51BE">
            <w:pPr>
              <w:keepLines/>
              <w:widowControl w:val="0"/>
              <w:rPr>
                <w:sz w:val="20"/>
                <w:lang w:val="fr-CA"/>
              </w:rPr>
            </w:pPr>
            <w:r>
              <w:rPr>
                <w:sz w:val="20"/>
                <w:lang w:val="fr-CA"/>
              </w:rPr>
              <w:t>Appels de la condamnation et de la peine, rejetés.</w:t>
            </w:r>
          </w:p>
        </w:tc>
      </w:tr>
    </w:tbl>
    <w:p w:rsidR="00E42B92" w:rsidRDefault="00E42B92" w:rsidP="00E42B92">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E42B92" w:rsidRPr="009E3D8C" w:rsidTr="002D51BE">
        <w:tc>
          <w:tcPr>
            <w:tcW w:w="4536" w:type="dxa"/>
            <w:tcMar>
              <w:left w:w="0" w:type="dxa"/>
              <w:right w:w="0" w:type="dxa"/>
            </w:tcMar>
          </w:tcPr>
          <w:p w:rsidR="00E42B92" w:rsidRDefault="00E42B92" w:rsidP="002D51BE">
            <w:pPr>
              <w:keepNext/>
              <w:keepLines/>
              <w:widowControl w:val="0"/>
              <w:rPr>
                <w:sz w:val="20"/>
                <w:lang w:val="fr-CA"/>
              </w:rPr>
            </w:pPr>
            <w:r>
              <w:rPr>
                <w:sz w:val="20"/>
                <w:lang w:val="fr-CA"/>
              </w:rPr>
              <w:t>9 juin 2010</w:t>
            </w:r>
          </w:p>
          <w:p w:rsidR="00E42B92" w:rsidRDefault="00E42B92" w:rsidP="002D51BE">
            <w:pPr>
              <w:keepNext/>
              <w:keepLines/>
              <w:widowControl w:val="0"/>
              <w:rPr>
                <w:sz w:val="20"/>
                <w:lang w:val="fr-CA"/>
              </w:rPr>
            </w:pPr>
            <w:r>
              <w:rPr>
                <w:sz w:val="20"/>
                <w:lang w:val="fr-CA"/>
              </w:rPr>
              <w:t>Cour suprême du Canada</w:t>
            </w:r>
          </w:p>
        </w:tc>
        <w:tc>
          <w:tcPr>
            <w:tcW w:w="288" w:type="dxa"/>
            <w:tcMar>
              <w:left w:w="0" w:type="dxa"/>
              <w:right w:w="0" w:type="dxa"/>
            </w:tcMar>
          </w:tcPr>
          <w:p w:rsidR="00E42B92" w:rsidRDefault="00E42B92" w:rsidP="002D51BE">
            <w:pPr>
              <w:keepLines/>
              <w:widowControl w:val="0"/>
              <w:rPr>
                <w:sz w:val="20"/>
                <w:lang w:val="fr-CA"/>
              </w:rPr>
            </w:pPr>
          </w:p>
        </w:tc>
        <w:tc>
          <w:tcPr>
            <w:tcW w:w="4536" w:type="dxa"/>
            <w:tcMar>
              <w:left w:w="0" w:type="dxa"/>
              <w:right w:w="0" w:type="dxa"/>
            </w:tcMar>
          </w:tcPr>
          <w:p w:rsidR="00E42B92" w:rsidRDefault="00E42B92" w:rsidP="004B3466">
            <w:pPr>
              <w:keepLines/>
              <w:widowControl w:val="0"/>
              <w:jc w:val="both"/>
              <w:rPr>
                <w:sz w:val="20"/>
                <w:lang w:val="fr-CA"/>
              </w:rPr>
            </w:pPr>
            <w:r>
              <w:rPr>
                <w:sz w:val="20"/>
                <w:lang w:val="fr-CA"/>
              </w:rPr>
              <w:t xml:space="preserve">Demande d’autorisation d’appel et requête en nomination d’un avocat, </w:t>
            </w:r>
            <w:proofErr w:type="gramStart"/>
            <w:r>
              <w:rPr>
                <w:sz w:val="20"/>
                <w:lang w:val="fr-CA"/>
              </w:rPr>
              <w:t>déposées</w:t>
            </w:r>
            <w:proofErr w:type="gramEnd"/>
          </w:p>
        </w:tc>
      </w:tr>
    </w:tbl>
    <w:p w:rsidR="00E42B92" w:rsidRDefault="00E42B92" w:rsidP="00E42B92">
      <w:pPr>
        <w:widowControl w:val="0"/>
        <w:rPr>
          <w:sz w:val="20"/>
          <w:lang w:val="fr-CA"/>
        </w:rPr>
      </w:pPr>
    </w:p>
    <w:p w:rsidR="007F53EF" w:rsidRPr="00C50A5C" w:rsidRDefault="00857426" w:rsidP="007F53EF">
      <w:pPr>
        <w:rPr>
          <w:sz w:val="20"/>
          <w:szCs w:val="20"/>
        </w:rPr>
      </w:pPr>
      <w:r w:rsidRPr="00857426">
        <w:rPr>
          <w:sz w:val="20"/>
          <w:szCs w:val="20"/>
          <w:lang w:val="fr-CA"/>
        </w:rPr>
        <w:pict>
          <v:rect id="_x0000_i1045" style="width:2in;height:1pt" o:hrpct="0" o:hralign="center" o:hrstd="t" o:hrnoshade="t" o:hr="t" fillcolor="black [3213]" stroked="f"/>
        </w:pict>
      </w:r>
    </w:p>
    <w:p w:rsidR="007F53EF" w:rsidRDefault="007F53EF" w:rsidP="007F53E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32D44" w:rsidRPr="00132D44" w:rsidTr="00132D44">
        <w:trPr>
          <w:cantSplit/>
        </w:trPr>
        <w:tc>
          <w:tcPr>
            <w:tcW w:w="1458" w:type="dxa"/>
          </w:tcPr>
          <w:p w:rsidR="00132D44" w:rsidRPr="00132D44" w:rsidRDefault="00132D44" w:rsidP="00132D44">
            <w:pPr>
              <w:rPr>
                <w:sz w:val="20"/>
                <w:szCs w:val="20"/>
              </w:rPr>
            </w:pPr>
            <w:r w:rsidRPr="00132D44">
              <w:rPr>
                <w:rStyle w:val="SCCFileNumberChar"/>
                <w:sz w:val="20"/>
                <w:szCs w:val="20"/>
              </w:rPr>
              <w:t>33734</w:t>
            </w:r>
          </w:p>
          <w:p w:rsidR="00132D44" w:rsidRPr="00132D44" w:rsidRDefault="00132D44" w:rsidP="00132D44">
            <w:pPr>
              <w:rPr>
                <w:b/>
                <w:sz w:val="20"/>
                <w:szCs w:val="20"/>
                <w:lang w:val="fr-CA"/>
              </w:rPr>
            </w:pPr>
          </w:p>
        </w:tc>
        <w:tc>
          <w:tcPr>
            <w:tcW w:w="8118" w:type="dxa"/>
          </w:tcPr>
          <w:p w:rsidR="00132D44" w:rsidRPr="00132D44" w:rsidRDefault="00132D44" w:rsidP="00DE5FB3">
            <w:pPr>
              <w:jc w:val="both"/>
              <w:rPr>
                <w:sz w:val="20"/>
                <w:szCs w:val="20"/>
              </w:rPr>
            </w:pPr>
            <w:r w:rsidRPr="00132D44">
              <w:rPr>
                <w:rStyle w:val="SCCLsocChar"/>
                <w:sz w:val="20"/>
                <w:szCs w:val="20"/>
                <w:lang w:val="en-CA"/>
              </w:rPr>
              <w:t>R.S.W.H. Vegetable Farmers Inc.</w:t>
            </w:r>
            <w:r w:rsidR="00DE5FB3">
              <w:rPr>
                <w:rStyle w:val="SCCLsocChar"/>
                <w:sz w:val="20"/>
                <w:szCs w:val="20"/>
                <w:lang w:val="en-CA"/>
              </w:rPr>
              <w:t xml:space="preserve"> and</w:t>
            </w:r>
            <w:r w:rsidRPr="00132D44">
              <w:rPr>
                <w:rStyle w:val="SCCLsocChar"/>
                <w:sz w:val="20"/>
                <w:szCs w:val="20"/>
                <w:lang w:val="en-CA"/>
              </w:rPr>
              <w:t xml:space="preserve"> 1427868 Ontario Ltd. v. </w:t>
            </w:r>
            <w:proofErr w:type="spellStart"/>
            <w:r w:rsidRPr="00132D44">
              <w:rPr>
                <w:rStyle w:val="SCCLsocChar"/>
                <w:sz w:val="20"/>
                <w:szCs w:val="20"/>
                <w:lang w:val="en-CA"/>
              </w:rPr>
              <w:t>Bayerische</w:t>
            </w:r>
            <w:proofErr w:type="spellEnd"/>
            <w:r w:rsidRPr="00132D44">
              <w:rPr>
                <w:rStyle w:val="SCCLsocChar"/>
                <w:sz w:val="20"/>
                <w:szCs w:val="20"/>
                <w:lang w:val="en-CA"/>
              </w:rPr>
              <w:t xml:space="preserve"> </w:t>
            </w:r>
            <w:proofErr w:type="spellStart"/>
            <w:r w:rsidRPr="00132D44">
              <w:rPr>
                <w:rStyle w:val="SCCLsocChar"/>
                <w:sz w:val="20"/>
                <w:szCs w:val="20"/>
                <w:lang w:val="en-CA"/>
              </w:rPr>
              <w:t>Landesbank</w:t>
            </w:r>
            <w:proofErr w:type="spellEnd"/>
            <w:r w:rsidRPr="00132D44">
              <w:rPr>
                <w:rStyle w:val="SCCLsocChar"/>
                <w:sz w:val="20"/>
                <w:szCs w:val="20"/>
                <w:lang w:val="en-CA"/>
              </w:rPr>
              <w:t xml:space="preserve"> </w:t>
            </w:r>
            <w:proofErr w:type="spellStart"/>
            <w:r w:rsidRPr="00132D44">
              <w:rPr>
                <w:rStyle w:val="SCCLsocChar"/>
                <w:sz w:val="20"/>
                <w:szCs w:val="20"/>
                <w:lang w:val="en-CA"/>
              </w:rPr>
              <w:t>Girozentrale</w:t>
            </w:r>
            <w:proofErr w:type="spellEnd"/>
            <w:r w:rsidR="00DE5FB3">
              <w:rPr>
                <w:rStyle w:val="SCCLsocChar"/>
                <w:sz w:val="20"/>
                <w:szCs w:val="20"/>
                <w:lang w:val="en-CA"/>
              </w:rPr>
              <w:t xml:space="preserve"> and</w:t>
            </w:r>
            <w:r w:rsidRPr="00132D44">
              <w:rPr>
                <w:rStyle w:val="SCCLsocChar"/>
                <w:sz w:val="20"/>
                <w:szCs w:val="20"/>
                <w:lang w:val="en-CA"/>
              </w:rPr>
              <w:t xml:space="preserve"> Ontario Peninsula Farms Ltd.</w:t>
            </w:r>
            <w:r w:rsidRPr="00132D44">
              <w:rPr>
                <w:sz w:val="20"/>
                <w:szCs w:val="20"/>
              </w:rPr>
              <w:t xml:space="preserve"> (Ont.) (Civil) (By Leave)</w:t>
            </w:r>
          </w:p>
          <w:p w:rsidR="00132D44" w:rsidRPr="00132D44" w:rsidRDefault="00132D44" w:rsidP="00132D44">
            <w:pPr>
              <w:rPr>
                <w:sz w:val="20"/>
                <w:szCs w:val="20"/>
              </w:rPr>
            </w:pPr>
          </w:p>
        </w:tc>
      </w:tr>
      <w:tr w:rsidR="00132D44" w:rsidRPr="00132D44" w:rsidTr="00132D44">
        <w:trPr>
          <w:cantSplit/>
        </w:trPr>
        <w:tc>
          <w:tcPr>
            <w:tcW w:w="1458" w:type="dxa"/>
          </w:tcPr>
          <w:p w:rsidR="00132D44" w:rsidRPr="00132D44" w:rsidRDefault="00132D44" w:rsidP="00132D44">
            <w:pPr>
              <w:rPr>
                <w:sz w:val="20"/>
                <w:szCs w:val="20"/>
              </w:rPr>
            </w:pPr>
            <w:r w:rsidRPr="00132D44">
              <w:rPr>
                <w:sz w:val="20"/>
                <w:szCs w:val="20"/>
              </w:rPr>
              <w:t>Coram :</w:t>
            </w:r>
          </w:p>
        </w:tc>
        <w:tc>
          <w:tcPr>
            <w:tcW w:w="8118" w:type="dxa"/>
          </w:tcPr>
          <w:p w:rsidR="00132D44" w:rsidRPr="00132D44" w:rsidRDefault="00132D44" w:rsidP="00132D44">
            <w:pPr>
              <w:rPr>
                <w:sz w:val="20"/>
                <w:szCs w:val="20"/>
              </w:rPr>
            </w:pPr>
            <w:proofErr w:type="spellStart"/>
            <w:r w:rsidRPr="00132D44">
              <w:rPr>
                <w:rStyle w:val="SCCCoramChar"/>
                <w:sz w:val="20"/>
                <w:szCs w:val="20"/>
                <w:lang w:val="en-CA"/>
              </w:rPr>
              <w:t>McLachlin</w:t>
            </w:r>
            <w:proofErr w:type="spellEnd"/>
            <w:r w:rsidRPr="00132D44">
              <w:rPr>
                <w:rStyle w:val="SCCCoramChar"/>
                <w:sz w:val="20"/>
                <w:szCs w:val="20"/>
                <w:lang w:val="en-CA"/>
              </w:rPr>
              <w:t xml:space="preserve"> C.J. and </w:t>
            </w:r>
            <w:proofErr w:type="spellStart"/>
            <w:r w:rsidRPr="00132D44">
              <w:rPr>
                <w:rStyle w:val="SCCCoramChar"/>
                <w:sz w:val="20"/>
                <w:szCs w:val="20"/>
                <w:lang w:val="en-CA"/>
              </w:rPr>
              <w:t>Abella</w:t>
            </w:r>
            <w:proofErr w:type="spellEnd"/>
            <w:r w:rsidRPr="00132D44">
              <w:rPr>
                <w:rStyle w:val="SCCCoramChar"/>
                <w:sz w:val="20"/>
                <w:szCs w:val="20"/>
                <w:lang w:val="en-CA"/>
              </w:rPr>
              <w:t xml:space="preserve"> and Cromwell JJ.</w:t>
            </w:r>
          </w:p>
          <w:p w:rsidR="00132D44" w:rsidRPr="00132D44" w:rsidRDefault="00132D44" w:rsidP="00132D44">
            <w:pPr>
              <w:rPr>
                <w:sz w:val="20"/>
                <w:szCs w:val="20"/>
                <w:u w:val="single"/>
              </w:rPr>
            </w:pPr>
          </w:p>
        </w:tc>
      </w:tr>
      <w:tr w:rsidR="00132D44" w:rsidRPr="00132D44" w:rsidTr="00132D44">
        <w:trPr>
          <w:cantSplit/>
        </w:trPr>
        <w:tc>
          <w:tcPr>
            <w:tcW w:w="9576" w:type="dxa"/>
            <w:gridSpan w:val="2"/>
          </w:tcPr>
          <w:p w:rsidR="00132D44" w:rsidRPr="00132D44" w:rsidRDefault="00132D44" w:rsidP="00132D44">
            <w:pPr>
              <w:pStyle w:val="SCCShortJudgment"/>
              <w:rPr>
                <w:szCs w:val="20"/>
              </w:rPr>
            </w:pPr>
            <w:r w:rsidRPr="00132D44">
              <w:rPr>
                <w:szCs w:val="20"/>
              </w:rPr>
              <w:t>The application for an extension of time to serve and file the application for leave to appeal is granted. The application for leave to appeal from the judgment of the Court of Appeal for Ontario, Number C51175, 2010 ONCA 258, dated April 6, 2010, is dismissed with costs.  The applications for leave to cross-appeal are dismissed without costs.</w:t>
            </w:r>
          </w:p>
          <w:p w:rsidR="00132D44" w:rsidRPr="00132D44" w:rsidRDefault="00132D44" w:rsidP="00132D44">
            <w:pPr>
              <w:pStyle w:val="SCCShortJudgment"/>
              <w:ind w:firstLine="0"/>
              <w:rPr>
                <w:szCs w:val="20"/>
              </w:rPr>
            </w:pPr>
          </w:p>
          <w:p w:rsidR="00132D44" w:rsidRPr="00132D44" w:rsidRDefault="00132D44" w:rsidP="00DE5FB3">
            <w:pPr>
              <w:pStyle w:val="SCCShortJudgment"/>
              <w:rPr>
                <w:szCs w:val="20"/>
              </w:rPr>
            </w:pPr>
            <w:r w:rsidRPr="00132D44">
              <w:rPr>
                <w:szCs w:val="20"/>
                <w:lang w:val="fr-CA"/>
              </w:rPr>
              <w:t xml:space="preserve">La demande en prorogation du délai de signification et de dépôt de la demande d’autorisation d’appel est accordée. La demande d’autorisation d’appel de l’arrêt de la Cour d’appel de l’Ontario, numéro C51175, 2010 ONCA 258, daté du 6 avril 2010, est rejetée avec dépens. </w:t>
            </w:r>
            <w:r w:rsidRPr="00132D44">
              <w:rPr>
                <w:szCs w:val="20"/>
              </w:rPr>
              <w:t xml:space="preserve">Les </w:t>
            </w:r>
            <w:proofErr w:type="spellStart"/>
            <w:r w:rsidRPr="00132D44">
              <w:rPr>
                <w:szCs w:val="20"/>
              </w:rPr>
              <w:t>demandes</w:t>
            </w:r>
            <w:proofErr w:type="spellEnd"/>
            <w:r w:rsidRPr="00132D44">
              <w:rPr>
                <w:szCs w:val="20"/>
              </w:rPr>
              <w:t xml:space="preserve"> </w:t>
            </w:r>
            <w:proofErr w:type="spellStart"/>
            <w:r w:rsidRPr="00132D44">
              <w:rPr>
                <w:szCs w:val="20"/>
              </w:rPr>
              <w:t>d’autorisation</w:t>
            </w:r>
            <w:proofErr w:type="spellEnd"/>
            <w:r w:rsidRPr="00132D44">
              <w:rPr>
                <w:szCs w:val="20"/>
              </w:rPr>
              <w:t xml:space="preserve"> </w:t>
            </w:r>
            <w:proofErr w:type="spellStart"/>
            <w:r w:rsidRPr="00132D44">
              <w:rPr>
                <w:szCs w:val="20"/>
              </w:rPr>
              <w:t>d’appel</w:t>
            </w:r>
            <w:proofErr w:type="spellEnd"/>
            <w:r w:rsidRPr="00132D44">
              <w:rPr>
                <w:szCs w:val="20"/>
              </w:rPr>
              <w:t xml:space="preserve"> incident </w:t>
            </w:r>
            <w:proofErr w:type="spellStart"/>
            <w:r w:rsidRPr="00132D44">
              <w:rPr>
                <w:szCs w:val="20"/>
              </w:rPr>
              <w:t>sont</w:t>
            </w:r>
            <w:proofErr w:type="spellEnd"/>
            <w:r w:rsidRPr="00132D44">
              <w:rPr>
                <w:szCs w:val="20"/>
              </w:rPr>
              <w:t xml:space="preserve"> </w:t>
            </w:r>
            <w:proofErr w:type="spellStart"/>
            <w:r w:rsidRPr="00132D44">
              <w:rPr>
                <w:szCs w:val="20"/>
              </w:rPr>
              <w:t>rejetées</w:t>
            </w:r>
            <w:proofErr w:type="spellEnd"/>
            <w:r w:rsidRPr="00132D44">
              <w:rPr>
                <w:szCs w:val="20"/>
              </w:rPr>
              <w:t xml:space="preserve"> sans </w:t>
            </w:r>
            <w:proofErr w:type="spellStart"/>
            <w:r w:rsidRPr="00132D44">
              <w:rPr>
                <w:szCs w:val="20"/>
              </w:rPr>
              <w:t>dépens</w:t>
            </w:r>
            <w:proofErr w:type="spellEnd"/>
            <w:r w:rsidRPr="00132D44">
              <w:rPr>
                <w:szCs w:val="20"/>
              </w:rPr>
              <w:t>.</w:t>
            </w:r>
          </w:p>
        </w:tc>
      </w:tr>
    </w:tbl>
    <w:p w:rsidR="00E42B92" w:rsidRDefault="00E42B92" w:rsidP="00E42B92">
      <w:pPr>
        <w:rPr>
          <w:sz w:val="20"/>
          <w:szCs w:val="20"/>
        </w:rPr>
      </w:pPr>
    </w:p>
    <w:p w:rsidR="007F53EF" w:rsidRPr="007F53EF" w:rsidRDefault="007F53EF" w:rsidP="007F53EF">
      <w:pPr>
        <w:rPr>
          <w:sz w:val="20"/>
          <w:szCs w:val="20"/>
          <w:u w:val="single"/>
        </w:rPr>
      </w:pPr>
      <w:r w:rsidRPr="007F53EF">
        <w:rPr>
          <w:sz w:val="20"/>
          <w:szCs w:val="20"/>
          <w:u w:val="single"/>
        </w:rPr>
        <w:t>CASE SUMMARY</w:t>
      </w:r>
    </w:p>
    <w:p w:rsidR="007F53EF" w:rsidRDefault="007F53EF" w:rsidP="007F53EF">
      <w:pPr>
        <w:rPr>
          <w:sz w:val="20"/>
          <w:szCs w:val="20"/>
        </w:rPr>
      </w:pPr>
    </w:p>
    <w:p w:rsidR="00E42B92" w:rsidRDefault="00E42B92" w:rsidP="00E42B92">
      <w:pPr>
        <w:widowControl w:val="0"/>
        <w:jc w:val="both"/>
        <w:rPr>
          <w:sz w:val="20"/>
        </w:rPr>
      </w:pPr>
      <w:r>
        <w:rPr>
          <w:sz w:val="20"/>
        </w:rPr>
        <w:t xml:space="preserve">Civil procedure – </w:t>
      </w:r>
      <w:proofErr w:type="spellStart"/>
      <w:r>
        <w:rPr>
          <w:sz w:val="20"/>
        </w:rPr>
        <w:t>Estoppel</w:t>
      </w:r>
      <w:proofErr w:type="spellEnd"/>
      <w:r>
        <w:rPr>
          <w:sz w:val="20"/>
        </w:rPr>
        <w:t xml:space="preserve"> – </w:t>
      </w:r>
      <w:r>
        <w:rPr>
          <w:i/>
          <w:sz w:val="20"/>
        </w:rPr>
        <w:t xml:space="preserve">Res </w:t>
      </w:r>
      <w:proofErr w:type="spellStart"/>
      <w:r>
        <w:rPr>
          <w:i/>
          <w:sz w:val="20"/>
        </w:rPr>
        <w:t>judicata</w:t>
      </w:r>
      <w:proofErr w:type="spellEnd"/>
      <w:r>
        <w:rPr>
          <w:i/>
          <w:sz w:val="20"/>
        </w:rPr>
        <w:t xml:space="preserve"> </w:t>
      </w:r>
      <w:r>
        <w:rPr>
          <w:sz w:val="20"/>
        </w:rPr>
        <w:t xml:space="preserve">– Whether a determination, made within an interlocutory motion for security of costs, is final and therefore not open to be determined in a subsequent hearing – Whether there is a conflict in the authorities as to whether </w:t>
      </w:r>
      <w:r>
        <w:rPr>
          <w:i/>
          <w:sz w:val="20"/>
        </w:rPr>
        <w:t xml:space="preserve">res </w:t>
      </w:r>
      <w:proofErr w:type="spellStart"/>
      <w:r>
        <w:rPr>
          <w:i/>
          <w:sz w:val="20"/>
        </w:rPr>
        <w:t>judicata</w:t>
      </w:r>
      <w:proofErr w:type="spellEnd"/>
      <w:r>
        <w:rPr>
          <w:i/>
          <w:sz w:val="20"/>
        </w:rPr>
        <w:t xml:space="preserve"> </w:t>
      </w:r>
      <w:r>
        <w:rPr>
          <w:sz w:val="20"/>
        </w:rPr>
        <w:t xml:space="preserve">arises from a prior interlocutory ruling in a case. </w:t>
      </w:r>
    </w:p>
    <w:p w:rsidR="00E42B92" w:rsidRDefault="00E42B92" w:rsidP="00E42B92">
      <w:pPr>
        <w:widowControl w:val="0"/>
        <w:jc w:val="both"/>
        <w:rPr>
          <w:sz w:val="20"/>
        </w:rPr>
      </w:pPr>
    </w:p>
    <w:p w:rsidR="007F53EF" w:rsidRDefault="00E42B92" w:rsidP="00E42B92">
      <w:pPr>
        <w:jc w:val="both"/>
        <w:rPr>
          <w:sz w:val="20"/>
          <w:szCs w:val="20"/>
        </w:rPr>
      </w:pPr>
      <w:r>
        <w:rPr>
          <w:sz w:val="20"/>
        </w:rPr>
        <w:t xml:space="preserve">The issue in this case is whether Justice Price’s determination, made within an interlocutory motion for security of costs, that the applicant, R.S.W.H. Vegetable Farmers Inc. was a farmer alone, or in conjunction with 1427868 Ontario Ltd. within the meaning of the </w:t>
      </w:r>
      <w:r>
        <w:rPr>
          <w:i/>
          <w:sz w:val="20"/>
        </w:rPr>
        <w:t>Farm Debt Mediation Act</w:t>
      </w:r>
      <w:r>
        <w:rPr>
          <w:sz w:val="20"/>
        </w:rPr>
        <w:t xml:space="preserve">, S.C. 1997, c. 21, is final and therefore not open to be determined in a subsequent hearing.  The lower courts concluded Justice Price’s decision was not </w:t>
      </w:r>
      <w:r>
        <w:rPr>
          <w:i/>
          <w:sz w:val="20"/>
        </w:rPr>
        <w:t xml:space="preserve">res </w:t>
      </w:r>
      <w:proofErr w:type="spellStart"/>
      <w:r>
        <w:rPr>
          <w:i/>
          <w:sz w:val="20"/>
        </w:rPr>
        <w:t>judicata</w:t>
      </w:r>
      <w:proofErr w:type="spellEnd"/>
      <w:r>
        <w:rPr>
          <w:i/>
          <w:sz w:val="20"/>
        </w:rPr>
        <w:t xml:space="preserve"> </w:t>
      </w:r>
      <w:r>
        <w:rPr>
          <w:sz w:val="20"/>
        </w:rPr>
        <w:t>and went on to find that RSWH was not a farmer under the Act.</w:t>
      </w:r>
    </w:p>
    <w:p w:rsidR="007F53EF" w:rsidRDefault="007F53EF" w:rsidP="007F53EF">
      <w:pPr>
        <w:rPr>
          <w:sz w:val="20"/>
          <w:szCs w:val="20"/>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rPr>
            </w:pPr>
            <w:r>
              <w:rPr>
                <w:sz w:val="20"/>
              </w:rPr>
              <w:t>October 13, 2009</w:t>
            </w:r>
          </w:p>
          <w:p w:rsidR="00E42B92" w:rsidRDefault="00E42B92" w:rsidP="002D51BE">
            <w:pPr>
              <w:keepNext/>
              <w:keepLines/>
              <w:widowControl w:val="0"/>
              <w:rPr>
                <w:sz w:val="20"/>
              </w:rPr>
            </w:pPr>
            <w:r>
              <w:rPr>
                <w:sz w:val="20"/>
              </w:rPr>
              <w:t>Ontario Superior Court of Justice</w:t>
            </w:r>
          </w:p>
          <w:p w:rsidR="00E42B92" w:rsidRDefault="00E42B92" w:rsidP="002D51BE">
            <w:pPr>
              <w:keepNext/>
              <w:keepLines/>
              <w:widowControl w:val="0"/>
              <w:rPr>
                <w:sz w:val="20"/>
              </w:rPr>
            </w:pPr>
            <w:r>
              <w:rPr>
                <w:sz w:val="20"/>
              </w:rPr>
              <w:t xml:space="preserve">(Gray J.) </w:t>
            </w:r>
          </w:p>
        </w:tc>
        <w:tc>
          <w:tcPr>
            <w:tcW w:w="288" w:type="dxa"/>
            <w:tcMar>
              <w:left w:w="0" w:type="dxa"/>
              <w:right w:w="0" w:type="dxa"/>
            </w:tcMar>
          </w:tcPr>
          <w:p w:rsidR="00E42B92" w:rsidRDefault="00E42B92" w:rsidP="002D51BE">
            <w:pPr>
              <w:keepLines/>
              <w:widowControl w:val="0"/>
              <w:rPr>
                <w:sz w:val="20"/>
              </w:rPr>
            </w:pPr>
          </w:p>
        </w:tc>
        <w:tc>
          <w:tcPr>
            <w:tcW w:w="4536" w:type="dxa"/>
            <w:tcMar>
              <w:left w:w="0" w:type="dxa"/>
              <w:right w:w="0" w:type="dxa"/>
            </w:tcMar>
          </w:tcPr>
          <w:p w:rsidR="00E42B92" w:rsidRDefault="00E42B92" w:rsidP="002D51BE">
            <w:pPr>
              <w:keepLines/>
              <w:widowControl w:val="0"/>
              <w:rPr>
                <w:sz w:val="20"/>
              </w:rPr>
            </w:pPr>
            <w:r>
              <w:rPr>
                <w:sz w:val="20"/>
              </w:rPr>
              <w:t>Applicants’ application dismissed</w:t>
            </w:r>
          </w:p>
        </w:tc>
      </w:tr>
    </w:tbl>
    <w:p w:rsidR="00E42B92" w:rsidRDefault="00E42B92" w:rsidP="00E42B92">
      <w:pPr>
        <w:widowControl w:val="0"/>
        <w:rPr>
          <w:sz w:val="20"/>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rPr>
            </w:pPr>
            <w:r>
              <w:rPr>
                <w:sz w:val="20"/>
              </w:rPr>
              <w:lastRenderedPageBreak/>
              <w:t>April 6, 2010</w:t>
            </w:r>
          </w:p>
          <w:p w:rsidR="00E42B92" w:rsidRDefault="00E42B92" w:rsidP="002D51BE">
            <w:pPr>
              <w:keepNext/>
              <w:keepLines/>
              <w:widowControl w:val="0"/>
              <w:rPr>
                <w:sz w:val="20"/>
              </w:rPr>
            </w:pPr>
            <w:r>
              <w:rPr>
                <w:sz w:val="20"/>
              </w:rPr>
              <w:t>Court of Appeal for Ontario</w:t>
            </w:r>
          </w:p>
          <w:p w:rsidR="00E42B92" w:rsidRDefault="00E42B92" w:rsidP="002D51BE">
            <w:pPr>
              <w:keepNext/>
              <w:keepLines/>
              <w:widowControl w:val="0"/>
              <w:rPr>
                <w:sz w:val="20"/>
              </w:rPr>
            </w:pPr>
            <w:r>
              <w:rPr>
                <w:sz w:val="20"/>
              </w:rPr>
              <w:t>(</w:t>
            </w:r>
            <w:proofErr w:type="spellStart"/>
            <w:r>
              <w:rPr>
                <w:sz w:val="20"/>
              </w:rPr>
              <w:t>Gillese</w:t>
            </w:r>
            <w:proofErr w:type="spellEnd"/>
            <w:r>
              <w:rPr>
                <w:sz w:val="20"/>
              </w:rPr>
              <w:t xml:space="preserve">, Lang and </w:t>
            </w:r>
            <w:proofErr w:type="spellStart"/>
            <w:r>
              <w:rPr>
                <w:sz w:val="20"/>
              </w:rPr>
              <w:t>Rouleau</w:t>
            </w:r>
            <w:proofErr w:type="spellEnd"/>
            <w:r>
              <w:rPr>
                <w:sz w:val="20"/>
              </w:rPr>
              <w:t xml:space="preserve"> JJ.A.)</w:t>
            </w:r>
          </w:p>
          <w:p w:rsidR="00E42B92" w:rsidRDefault="00E42B92" w:rsidP="002D51BE">
            <w:pPr>
              <w:keepNext/>
              <w:keepLines/>
              <w:widowControl w:val="0"/>
              <w:rPr>
                <w:sz w:val="20"/>
              </w:rPr>
            </w:pPr>
            <w:r>
              <w:rPr>
                <w:sz w:val="20"/>
              </w:rPr>
              <w:t>Neutral citation: 2010 ONCA 258</w:t>
            </w:r>
          </w:p>
        </w:tc>
        <w:tc>
          <w:tcPr>
            <w:tcW w:w="288" w:type="dxa"/>
            <w:tcMar>
              <w:left w:w="0" w:type="dxa"/>
              <w:right w:w="0" w:type="dxa"/>
            </w:tcMar>
          </w:tcPr>
          <w:p w:rsidR="00E42B92" w:rsidRDefault="00E42B92" w:rsidP="002D51BE">
            <w:pPr>
              <w:keepLines/>
              <w:widowControl w:val="0"/>
              <w:rPr>
                <w:sz w:val="20"/>
              </w:rPr>
            </w:pPr>
          </w:p>
        </w:tc>
        <w:tc>
          <w:tcPr>
            <w:tcW w:w="4536" w:type="dxa"/>
            <w:tcMar>
              <w:left w:w="0" w:type="dxa"/>
              <w:right w:w="0" w:type="dxa"/>
            </w:tcMar>
          </w:tcPr>
          <w:p w:rsidR="00E42B92" w:rsidRDefault="00E42B92" w:rsidP="002D51BE">
            <w:pPr>
              <w:keepLines/>
              <w:widowControl w:val="0"/>
              <w:rPr>
                <w:sz w:val="20"/>
              </w:rPr>
            </w:pPr>
            <w:r>
              <w:rPr>
                <w:sz w:val="20"/>
              </w:rPr>
              <w:t>Appeal and cross-appeal dismissed</w:t>
            </w:r>
          </w:p>
        </w:tc>
      </w:tr>
    </w:tbl>
    <w:p w:rsidR="00E42B92" w:rsidRDefault="00E42B92" w:rsidP="00E42B92">
      <w:pPr>
        <w:widowControl w:val="0"/>
        <w:rPr>
          <w:sz w:val="20"/>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rPr>
            </w:pPr>
            <w:r>
              <w:rPr>
                <w:sz w:val="20"/>
              </w:rPr>
              <w:t>June 15, 2010</w:t>
            </w:r>
          </w:p>
          <w:p w:rsidR="00E42B92" w:rsidRDefault="00E42B92" w:rsidP="00E42B92">
            <w:pPr>
              <w:keepNext/>
              <w:keepLines/>
              <w:widowControl w:val="0"/>
              <w:rPr>
                <w:sz w:val="20"/>
              </w:rPr>
            </w:pPr>
            <w:r>
              <w:rPr>
                <w:sz w:val="20"/>
              </w:rPr>
              <w:t>Supreme Court of Canada</w:t>
            </w:r>
          </w:p>
        </w:tc>
        <w:tc>
          <w:tcPr>
            <w:tcW w:w="288" w:type="dxa"/>
            <w:tcMar>
              <w:left w:w="0" w:type="dxa"/>
              <w:right w:w="0" w:type="dxa"/>
            </w:tcMar>
          </w:tcPr>
          <w:p w:rsidR="00E42B92" w:rsidRDefault="00E42B92" w:rsidP="002D51BE">
            <w:pPr>
              <w:keepNext/>
              <w:keepLines/>
              <w:widowControl w:val="0"/>
              <w:rPr>
                <w:sz w:val="20"/>
              </w:rPr>
            </w:pPr>
          </w:p>
        </w:tc>
        <w:tc>
          <w:tcPr>
            <w:tcW w:w="4536" w:type="dxa"/>
            <w:tcMar>
              <w:left w:w="0" w:type="dxa"/>
              <w:right w:w="0" w:type="dxa"/>
            </w:tcMar>
          </w:tcPr>
          <w:p w:rsidR="00E42B92" w:rsidRDefault="00E42B92" w:rsidP="004B3466">
            <w:pPr>
              <w:keepLines/>
              <w:widowControl w:val="0"/>
              <w:jc w:val="both"/>
              <w:rPr>
                <w:sz w:val="20"/>
              </w:rPr>
            </w:pPr>
            <w:r>
              <w:rPr>
                <w:sz w:val="20"/>
              </w:rPr>
              <w:t>Application for leave to appeal and applicants’ motion to extend time filed</w:t>
            </w:r>
          </w:p>
        </w:tc>
      </w:tr>
    </w:tbl>
    <w:p w:rsidR="00E42B92" w:rsidRDefault="00E42B92"/>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rPr>
            </w:pPr>
            <w:r>
              <w:rPr>
                <w:sz w:val="20"/>
              </w:rPr>
              <w:t>August 12, 2010</w:t>
            </w:r>
          </w:p>
          <w:p w:rsidR="00E42B92" w:rsidRDefault="00E42B92" w:rsidP="002D51BE">
            <w:pPr>
              <w:keepNext/>
              <w:keepLines/>
              <w:widowControl w:val="0"/>
              <w:rPr>
                <w:sz w:val="20"/>
              </w:rPr>
            </w:pPr>
            <w:r>
              <w:rPr>
                <w:sz w:val="20"/>
              </w:rPr>
              <w:t>Supreme Court of Canada</w:t>
            </w:r>
          </w:p>
        </w:tc>
        <w:tc>
          <w:tcPr>
            <w:tcW w:w="288" w:type="dxa"/>
            <w:tcMar>
              <w:left w:w="0" w:type="dxa"/>
              <w:right w:w="0" w:type="dxa"/>
            </w:tcMar>
          </w:tcPr>
          <w:p w:rsidR="00E42B92" w:rsidRDefault="00E42B92" w:rsidP="002D51BE">
            <w:pPr>
              <w:keepLines/>
              <w:widowControl w:val="0"/>
              <w:rPr>
                <w:sz w:val="20"/>
              </w:rPr>
            </w:pPr>
          </w:p>
        </w:tc>
        <w:tc>
          <w:tcPr>
            <w:tcW w:w="4536" w:type="dxa"/>
            <w:tcMar>
              <w:left w:w="0" w:type="dxa"/>
              <w:right w:w="0" w:type="dxa"/>
            </w:tcMar>
          </w:tcPr>
          <w:p w:rsidR="00E42B92" w:rsidRDefault="00E42B92" w:rsidP="002D51BE">
            <w:pPr>
              <w:keepLines/>
              <w:widowControl w:val="0"/>
              <w:rPr>
                <w:sz w:val="20"/>
              </w:rPr>
            </w:pPr>
            <w:r>
              <w:rPr>
                <w:sz w:val="20"/>
              </w:rPr>
              <w:t>Application for conditional leave to cross-appeal filed</w:t>
            </w:r>
          </w:p>
        </w:tc>
      </w:tr>
    </w:tbl>
    <w:p w:rsidR="00E42B92" w:rsidRDefault="00E42B92" w:rsidP="00E42B92">
      <w:pPr>
        <w:widowControl w:val="0"/>
        <w:rPr>
          <w:sz w:val="20"/>
        </w:rPr>
      </w:pPr>
    </w:p>
    <w:p w:rsidR="007F53EF" w:rsidRPr="007F53EF" w:rsidRDefault="00857426" w:rsidP="007F53EF">
      <w:pPr>
        <w:rPr>
          <w:sz w:val="20"/>
          <w:szCs w:val="20"/>
        </w:rPr>
      </w:pPr>
      <w:r w:rsidRPr="00857426">
        <w:rPr>
          <w:sz w:val="20"/>
          <w:szCs w:val="20"/>
          <w:lang w:val="fr-CA"/>
        </w:rPr>
        <w:pict>
          <v:rect id="_x0000_i1046" style="width:2in;height:1pt" o:hrpct="0" o:hralign="center" o:hrstd="t" o:hrnoshade="t" o:hr="t" fillcolor="black [3213]" stroked="f"/>
        </w:pict>
      </w:r>
    </w:p>
    <w:p w:rsidR="007F53EF" w:rsidRDefault="007F53EF" w:rsidP="007F53EF">
      <w:pPr>
        <w:rPr>
          <w:sz w:val="20"/>
          <w:szCs w:val="20"/>
        </w:rPr>
      </w:pPr>
    </w:p>
    <w:p w:rsidR="007F53EF" w:rsidRPr="00E42B92" w:rsidRDefault="007F53EF" w:rsidP="007F53EF">
      <w:pPr>
        <w:jc w:val="both"/>
        <w:rPr>
          <w:sz w:val="20"/>
          <w:szCs w:val="20"/>
          <w:lang w:val="fr-CA"/>
        </w:rPr>
      </w:pPr>
      <w:r w:rsidRPr="00E42B92">
        <w:rPr>
          <w:sz w:val="20"/>
          <w:szCs w:val="20"/>
          <w:u w:val="single"/>
          <w:lang w:val="fr-CA"/>
        </w:rPr>
        <w:t>RÉSUMÉ DE L’AFFAIRE</w:t>
      </w:r>
    </w:p>
    <w:p w:rsidR="007F53EF" w:rsidRPr="00E42B92" w:rsidRDefault="007F53EF" w:rsidP="007F53EF">
      <w:pPr>
        <w:rPr>
          <w:sz w:val="20"/>
          <w:szCs w:val="20"/>
          <w:lang w:val="fr-CA"/>
        </w:rPr>
      </w:pPr>
    </w:p>
    <w:p w:rsidR="00E42B92" w:rsidRDefault="00E42B92" w:rsidP="00E42B92">
      <w:pPr>
        <w:widowControl w:val="0"/>
        <w:jc w:val="both"/>
        <w:rPr>
          <w:sz w:val="20"/>
          <w:lang w:val="fr-CA"/>
        </w:rPr>
      </w:pPr>
      <w:r>
        <w:rPr>
          <w:sz w:val="20"/>
          <w:lang w:val="fr-CA"/>
        </w:rPr>
        <w:t xml:space="preserve">Procédure civile – </w:t>
      </w:r>
      <w:proofErr w:type="spellStart"/>
      <w:r>
        <w:rPr>
          <w:sz w:val="20"/>
          <w:lang w:val="fr-CA"/>
        </w:rPr>
        <w:t>Préclusion</w:t>
      </w:r>
      <w:proofErr w:type="spellEnd"/>
      <w:r>
        <w:rPr>
          <w:sz w:val="20"/>
          <w:lang w:val="fr-CA"/>
        </w:rPr>
        <w:t xml:space="preserve"> – Chose jugée – La décision rendue dans le cadre d’une motion interlocutoire visant à obtenir un cautionnement pour dépens est-elle finale, si bien qu’elle ne puisse pas être révisée dans une audience subséquente? – La jurisprudence est-elle contradictoire sur la question de savoir si une décision interlocutoire rendue dans une affaire est chose jugée?</w:t>
      </w:r>
    </w:p>
    <w:p w:rsidR="00E42B92" w:rsidRDefault="00E42B92" w:rsidP="00E42B92">
      <w:pPr>
        <w:widowControl w:val="0"/>
        <w:jc w:val="both"/>
        <w:rPr>
          <w:sz w:val="20"/>
          <w:lang w:val="fr-CA"/>
        </w:rPr>
      </w:pPr>
    </w:p>
    <w:p w:rsidR="00E42B92" w:rsidRDefault="00E42B92" w:rsidP="00E42B92">
      <w:pPr>
        <w:widowControl w:val="0"/>
        <w:jc w:val="both"/>
        <w:rPr>
          <w:sz w:val="20"/>
          <w:lang w:val="fr-CA"/>
        </w:rPr>
      </w:pPr>
      <w:r>
        <w:rPr>
          <w:sz w:val="20"/>
          <w:lang w:val="fr-CA"/>
        </w:rPr>
        <w:t xml:space="preserve">La question en litige est de savoir si la décision du juge Price, rendue dans le cadre d’une motion interlocutoire visant à obtenir un cautionnement pour dépens, selon laquelle la demanderesse, R.S.W.H. </w:t>
      </w:r>
      <w:proofErr w:type="spellStart"/>
      <w:r>
        <w:rPr>
          <w:sz w:val="20"/>
          <w:lang w:val="fr-CA"/>
        </w:rPr>
        <w:t>Vegetable</w:t>
      </w:r>
      <w:proofErr w:type="spellEnd"/>
      <w:r>
        <w:rPr>
          <w:sz w:val="20"/>
          <w:lang w:val="fr-CA"/>
        </w:rPr>
        <w:t xml:space="preserve"> </w:t>
      </w:r>
      <w:proofErr w:type="spellStart"/>
      <w:r>
        <w:rPr>
          <w:sz w:val="20"/>
          <w:lang w:val="fr-CA"/>
        </w:rPr>
        <w:t>Farmers</w:t>
      </w:r>
      <w:proofErr w:type="spellEnd"/>
      <w:r>
        <w:rPr>
          <w:sz w:val="20"/>
          <w:lang w:val="fr-CA"/>
        </w:rPr>
        <w:t xml:space="preserve"> Inc. était un agriculteur agissant seul, ou en association avec 1427868 Ontario Ltd. au sens de la </w:t>
      </w:r>
      <w:r>
        <w:rPr>
          <w:i/>
          <w:sz w:val="20"/>
          <w:lang w:val="fr-CA"/>
        </w:rPr>
        <w:t>Loi sur la médiation en matière d’endettement agricole</w:t>
      </w:r>
      <w:r>
        <w:rPr>
          <w:sz w:val="20"/>
          <w:lang w:val="fr-CA"/>
        </w:rPr>
        <w:t xml:space="preserve">, L.C. 1997, c. 21, est finale, si bien qu’elle ne puisse pas être révisée dans une audience subséquente.  Les juridictions inférieures ont conclu que la décision du juge Price n’était pas chose jugée et ont conclu par la suite que RSWH n’était pas un agriculteur en vertu de la loi. </w:t>
      </w:r>
    </w:p>
    <w:p w:rsidR="00E42B92" w:rsidRDefault="00E42B92" w:rsidP="00E42B92">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lang w:val="fr-CA"/>
              </w:rPr>
            </w:pPr>
            <w:r>
              <w:rPr>
                <w:sz w:val="20"/>
                <w:lang w:val="fr-CA"/>
              </w:rPr>
              <w:t>13 octobre 2009</w:t>
            </w:r>
          </w:p>
          <w:p w:rsidR="00E42B92" w:rsidRDefault="00E42B92" w:rsidP="002D51BE">
            <w:pPr>
              <w:keepNext/>
              <w:keepLines/>
              <w:widowControl w:val="0"/>
              <w:rPr>
                <w:sz w:val="20"/>
                <w:lang w:val="fr-CA"/>
              </w:rPr>
            </w:pPr>
            <w:r>
              <w:rPr>
                <w:sz w:val="20"/>
                <w:lang w:val="fr-CA"/>
              </w:rPr>
              <w:t>Cour supérieure de justice de l’Ontario</w:t>
            </w:r>
          </w:p>
          <w:p w:rsidR="00E42B92" w:rsidRDefault="00E42B92" w:rsidP="002D51BE">
            <w:pPr>
              <w:keepNext/>
              <w:keepLines/>
              <w:widowControl w:val="0"/>
              <w:rPr>
                <w:sz w:val="20"/>
                <w:lang w:val="fr-CA"/>
              </w:rPr>
            </w:pPr>
            <w:r>
              <w:rPr>
                <w:sz w:val="20"/>
                <w:lang w:val="fr-CA"/>
              </w:rPr>
              <w:t xml:space="preserve">(Juge Gray) </w:t>
            </w:r>
          </w:p>
        </w:tc>
        <w:tc>
          <w:tcPr>
            <w:tcW w:w="288" w:type="dxa"/>
            <w:tcMar>
              <w:left w:w="0" w:type="dxa"/>
              <w:right w:w="0" w:type="dxa"/>
            </w:tcMar>
          </w:tcPr>
          <w:p w:rsidR="00E42B92" w:rsidRDefault="00E42B92" w:rsidP="002D51BE">
            <w:pPr>
              <w:keepLines/>
              <w:widowControl w:val="0"/>
              <w:rPr>
                <w:sz w:val="20"/>
                <w:lang w:val="fr-CA"/>
              </w:rPr>
            </w:pPr>
          </w:p>
        </w:tc>
        <w:tc>
          <w:tcPr>
            <w:tcW w:w="4536" w:type="dxa"/>
            <w:tcMar>
              <w:left w:w="0" w:type="dxa"/>
              <w:right w:w="0" w:type="dxa"/>
            </w:tcMar>
          </w:tcPr>
          <w:p w:rsidR="00E42B92" w:rsidRDefault="00E42B92" w:rsidP="002D51BE">
            <w:pPr>
              <w:keepLines/>
              <w:widowControl w:val="0"/>
              <w:rPr>
                <w:sz w:val="20"/>
                <w:lang w:val="fr-CA"/>
              </w:rPr>
            </w:pPr>
            <w:r>
              <w:rPr>
                <w:sz w:val="20"/>
                <w:lang w:val="fr-CA"/>
              </w:rPr>
              <w:t xml:space="preserve">Demande des </w:t>
            </w:r>
            <w:proofErr w:type="spellStart"/>
            <w:r>
              <w:rPr>
                <w:sz w:val="20"/>
                <w:lang w:val="fr-CA"/>
              </w:rPr>
              <w:t>demanderesses</w:t>
            </w:r>
            <w:proofErr w:type="spellEnd"/>
            <w:r>
              <w:rPr>
                <w:sz w:val="20"/>
                <w:lang w:val="fr-CA"/>
              </w:rPr>
              <w:t xml:space="preserve"> rejetée</w:t>
            </w:r>
          </w:p>
        </w:tc>
      </w:tr>
    </w:tbl>
    <w:p w:rsidR="00E42B92" w:rsidRDefault="00E42B92" w:rsidP="00E42B92">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E42B92" w:rsidRPr="001C2F5E" w:rsidTr="002D51BE">
        <w:tc>
          <w:tcPr>
            <w:tcW w:w="4536" w:type="dxa"/>
            <w:tcMar>
              <w:left w:w="0" w:type="dxa"/>
              <w:right w:w="0" w:type="dxa"/>
            </w:tcMar>
          </w:tcPr>
          <w:p w:rsidR="00E42B92" w:rsidRDefault="00E42B92" w:rsidP="002D51BE">
            <w:pPr>
              <w:keepNext/>
              <w:keepLines/>
              <w:widowControl w:val="0"/>
              <w:rPr>
                <w:sz w:val="20"/>
                <w:lang w:val="fr-CA"/>
              </w:rPr>
            </w:pPr>
            <w:r>
              <w:rPr>
                <w:sz w:val="20"/>
                <w:lang w:val="fr-CA"/>
              </w:rPr>
              <w:t>6 avril 2010</w:t>
            </w:r>
          </w:p>
          <w:p w:rsidR="00E42B92" w:rsidRDefault="00E42B92" w:rsidP="002D51BE">
            <w:pPr>
              <w:keepNext/>
              <w:keepLines/>
              <w:widowControl w:val="0"/>
              <w:rPr>
                <w:sz w:val="20"/>
                <w:lang w:val="fr-CA"/>
              </w:rPr>
            </w:pPr>
            <w:r>
              <w:rPr>
                <w:sz w:val="20"/>
                <w:lang w:val="fr-CA"/>
              </w:rPr>
              <w:t>Cour d’appel de l’Ontario</w:t>
            </w:r>
          </w:p>
          <w:p w:rsidR="00E42B92" w:rsidRDefault="00E42B92" w:rsidP="002D51BE">
            <w:pPr>
              <w:keepNext/>
              <w:keepLines/>
              <w:widowControl w:val="0"/>
              <w:rPr>
                <w:sz w:val="20"/>
                <w:lang w:val="fr-CA"/>
              </w:rPr>
            </w:pPr>
            <w:r>
              <w:rPr>
                <w:sz w:val="20"/>
                <w:lang w:val="fr-CA"/>
              </w:rPr>
              <w:t xml:space="preserve">(Juges </w:t>
            </w:r>
            <w:proofErr w:type="spellStart"/>
            <w:r>
              <w:rPr>
                <w:sz w:val="20"/>
                <w:lang w:val="fr-CA"/>
              </w:rPr>
              <w:t>Gillese</w:t>
            </w:r>
            <w:proofErr w:type="spellEnd"/>
            <w:r>
              <w:rPr>
                <w:sz w:val="20"/>
                <w:lang w:val="fr-CA"/>
              </w:rPr>
              <w:t>, Lang et Rouleau)</w:t>
            </w:r>
          </w:p>
          <w:p w:rsidR="00E42B92" w:rsidRDefault="00E42B92" w:rsidP="002D51BE">
            <w:pPr>
              <w:keepNext/>
              <w:keepLines/>
              <w:widowControl w:val="0"/>
              <w:rPr>
                <w:sz w:val="20"/>
                <w:lang w:val="fr-CA"/>
              </w:rPr>
            </w:pPr>
            <w:r>
              <w:rPr>
                <w:sz w:val="20"/>
                <w:lang w:val="fr-CA"/>
              </w:rPr>
              <w:t>Référence neutre : 2010 ONCA 258</w:t>
            </w:r>
          </w:p>
        </w:tc>
        <w:tc>
          <w:tcPr>
            <w:tcW w:w="288" w:type="dxa"/>
            <w:tcMar>
              <w:left w:w="0" w:type="dxa"/>
              <w:right w:w="0" w:type="dxa"/>
            </w:tcMar>
          </w:tcPr>
          <w:p w:rsidR="00E42B92" w:rsidRDefault="00E42B92" w:rsidP="002D51BE">
            <w:pPr>
              <w:keepLines/>
              <w:widowControl w:val="0"/>
              <w:rPr>
                <w:sz w:val="20"/>
                <w:lang w:val="fr-CA"/>
              </w:rPr>
            </w:pPr>
          </w:p>
        </w:tc>
        <w:tc>
          <w:tcPr>
            <w:tcW w:w="4536" w:type="dxa"/>
            <w:tcMar>
              <w:left w:w="0" w:type="dxa"/>
              <w:right w:w="0" w:type="dxa"/>
            </w:tcMar>
          </w:tcPr>
          <w:p w:rsidR="00E42B92" w:rsidRDefault="00E42B92" w:rsidP="002D51BE">
            <w:pPr>
              <w:keepLines/>
              <w:widowControl w:val="0"/>
              <w:rPr>
                <w:sz w:val="20"/>
                <w:lang w:val="fr-CA"/>
              </w:rPr>
            </w:pPr>
            <w:r>
              <w:rPr>
                <w:sz w:val="20"/>
                <w:lang w:val="fr-CA"/>
              </w:rPr>
              <w:t>Appel et appel incident rejetés</w:t>
            </w:r>
          </w:p>
        </w:tc>
      </w:tr>
    </w:tbl>
    <w:p w:rsidR="00E42B92" w:rsidRDefault="00E42B92" w:rsidP="00E42B92">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E42B92" w:rsidRPr="001C2F5E" w:rsidTr="002D51BE">
        <w:tc>
          <w:tcPr>
            <w:tcW w:w="4536" w:type="dxa"/>
            <w:tcMar>
              <w:left w:w="0" w:type="dxa"/>
              <w:right w:w="0" w:type="dxa"/>
            </w:tcMar>
          </w:tcPr>
          <w:p w:rsidR="00E42B92" w:rsidRDefault="00E42B92" w:rsidP="002D51BE">
            <w:pPr>
              <w:keepNext/>
              <w:keepLines/>
              <w:widowControl w:val="0"/>
              <w:rPr>
                <w:sz w:val="20"/>
                <w:lang w:val="fr-CA"/>
              </w:rPr>
            </w:pPr>
            <w:r>
              <w:rPr>
                <w:sz w:val="20"/>
                <w:lang w:val="fr-CA"/>
              </w:rPr>
              <w:t>15 juin 2010</w:t>
            </w:r>
          </w:p>
          <w:p w:rsidR="00E42B92" w:rsidRDefault="00E42B92" w:rsidP="002D51BE">
            <w:pPr>
              <w:keepNext/>
              <w:keepLines/>
              <w:widowControl w:val="0"/>
              <w:rPr>
                <w:sz w:val="20"/>
                <w:lang w:val="fr-CA"/>
              </w:rPr>
            </w:pPr>
            <w:r>
              <w:rPr>
                <w:sz w:val="20"/>
                <w:lang w:val="fr-CA"/>
              </w:rPr>
              <w:t>Cour suprême du Canada</w:t>
            </w:r>
          </w:p>
          <w:p w:rsidR="00E42B92" w:rsidRDefault="00E42B92" w:rsidP="002D51BE">
            <w:pPr>
              <w:keepNext/>
              <w:keepLines/>
              <w:widowControl w:val="0"/>
              <w:rPr>
                <w:sz w:val="20"/>
                <w:lang w:val="fr-CA"/>
              </w:rPr>
            </w:pPr>
          </w:p>
        </w:tc>
        <w:tc>
          <w:tcPr>
            <w:tcW w:w="288" w:type="dxa"/>
            <w:tcMar>
              <w:left w:w="0" w:type="dxa"/>
              <w:right w:w="0" w:type="dxa"/>
            </w:tcMar>
          </w:tcPr>
          <w:p w:rsidR="00E42B92" w:rsidRDefault="00E42B92" w:rsidP="002D51BE">
            <w:pPr>
              <w:keepLines/>
              <w:widowControl w:val="0"/>
              <w:rPr>
                <w:sz w:val="20"/>
                <w:lang w:val="fr-CA"/>
              </w:rPr>
            </w:pPr>
          </w:p>
        </w:tc>
        <w:tc>
          <w:tcPr>
            <w:tcW w:w="4536" w:type="dxa"/>
            <w:tcMar>
              <w:left w:w="0" w:type="dxa"/>
              <w:right w:w="0" w:type="dxa"/>
            </w:tcMar>
          </w:tcPr>
          <w:p w:rsidR="00E42B92" w:rsidRDefault="00E42B92" w:rsidP="004B3466">
            <w:pPr>
              <w:keepLines/>
              <w:widowControl w:val="0"/>
              <w:jc w:val="both"/>
              <w:rPr>
                <w:sz w:val="20"/>
                <w:lang w:val="fr-CA"/>
              </w:rPr>
            </w:pPr>
            <w:r>
              <w:rPr>
                <w:sz w:val="20"/>
                <w:lang w:val="fr-CA"/>
              </w:rPr>
              <w:t xml:space="preserve">Demande d’autorisation d’appel et requête en prorogation de délai des </w:t>
            </w:r>
            <w:proofErr w:type="spellStart"/>
            <w:r>
              <w:rPr>
                <w:sz w:val="20"/>
                <w:lang w:val="fr-CA"/>
              </w:rPr>
              <w:t>demanderesses</w:t>
            </w:r>
            <w:proofErr w:type="spellEnd"/>
            <w:r>
              <w:rPr>
                <w:sz w:val="20"/>
                <w:lang w:val="fr-CA"/>
              </w:rPr>
              <w:t>, déposées</w:t>
            </w:r>
          </w:p>
        </w:tc>
      </w:tr>
      <w:tr w:rsidR="00E42B92" w:rsidRPr="001C2F5E" w:rsidTr="002D51BE">
        <w:tc>
          <w:tcPr>
            <w:tcW w:w="4536" w:type="dxa"/>
            <w:tcMar>
              <w:left w:w="0" w:type="dxa"/>
              <w:right w:w="0" w:type="dxa"/>
            </w:tcMar>
          </w:tcPr>
          <w:p w:rsidR="00E42B92" w:rsidRDefault="00E42B92" w:rsidP="002D51BE">
            <w:pPr>
              <w:keepNext/>
              <w:keepLines/>
              <w:widowControl w:val="0"/>
              <w:rPr>
                <w:sz w:val="20"/>
                <w:lang w:val="fr-CA"/>
              </w:rPr>
            </w:pPr>
            <w:r>
              <w:rPr>
                <w:sz w:val="20"/>
                <w:lang w:val="fr-CA"/>
              </w:rPr>
              <w:t>12 août 2010</w:t>
            </w:r>
          </w:p>
          <w:p w:rsidR="00E42B92" w:rsidRDefault="00E42B92" w:rsidP="002D51BE">
            <w:pPr>
              <w:keepNext/>
              <w:keepLines/>
              <w:widowControl w:val="0"/>
              <w:rPr>
                <w:sz w:val="20"/>
                <w:lang w:val="fr-CA"/>
              </w:rPr>
            </w:pPr>
            <w:r>
              <w:rPr>
                <w:sz w:val="20"/>
                <w:lang w:val="fr-CA"/>
              </w:rPr>
              <w:t>Cour suprême du Canada</w:t>
            </w:r>
          </w:p>
        </w:tc>
        <w:tc>
          <w:tcPr>
            <w:tcW w:w="288" w:type="dxa"/>
            <w:tcMar>
              <w:left w:w="0" w:type="dxa"/>
              <w:right w:w="0" w:type="dxa"/>
            </w:tcMar>
          </w:tcPr>
          <w:p w:rsidR="00E42B92" w:rsidRDefault="00E42B92" w:rsidP="002D51BE">
            <w:pPr>
              <w:keepLines/>
              <w:widowControl w:val="0"/>
              <w:rPr>
                <w:sz w:val="20"/>
                <w:lang w:val="fr-CA"/>
              </w:rPr>
            </w:pPr>
          </w:p>
        </w:tc>
        <w:tc>
          <w:tcPr>
            <w:tcW w:w="4536" w:type="dxa"/>
            <w:tcMar>
              <w:left w:w="0" w:type="dxa"/>
              <w:right w:w="0" w:type="dxa"/>
            </w:tcMar>
          </w:tcPr>
          <w:p w:rsidR="00E42B92" w:rsidRDefault="00E42B92" w:rsidP="002D51BE">
            <w:pPr>
              <w:keepLines/>
              <w:widowControl w:val="0"/>
              <w:rPr>
                <w:sz w:val="20"/>
                <w:lang w:val="fr-CA"/>
              </w:rPr>
            </w:pPr>
            <w:r>
              <w:rPr>
                <w:sz w:val="20"/>
                <w:lang w:val="fr-CA"/>
              </w:rPr>
              <w:t>Demande d’autorisation conditionnelle d’appel incident, déposée</w:t>
            </w:r>
          </w:p>
        </w:tc>
      </w:tr>
    </w:tbl>
    <w:p w:rsidR="00E42B92" w:rsidRDefault="00E42B92" w:rsidP="00E42B92">
      <w:pPr>
        <w:widowControl w:val="0"/>
        <w:rPr>
          <w:sz w:val="20"/>
          <w:lang w:val="fr-CA"/>
        </w:rPr>
      </w:pPr>
    </w:p>
    <w:p w:rsidR="007F53EF" w:rsidRPr="00C50A5C" w:rsidRDefault="00857426" w:rsidP="007F53EF">
      <w:pPr>
        <w:rPr>
          <w:sz w:val="20"/>
          <w:szCs w:val="20"/>
        </w:rPr>
      </w:pPr>
      <w:r w:rsidRPr="00857426">
        <w:rPr>
          <w:sz w:val="20"/>
          <w:szCs w:val="20"/>
          <w:lang w:val="fr-CA"/>
        </w:rPr>
        <w:pict>
          <v:rect id="_x0000_i1047" style="width:2in;height:1pt" o:hrpct="0" o:hralign="center" o:hrstd="t" o:hrnoshade="t" o:hr="t" fillcolor="black [3213]" stroked="f"/>
        </w:pict>
      </w:r>
    </w:p>
    <w:p w:rsidR="00D53465" w:rsidRDefault="00D53465">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E5FB3" w:rsidRPr="00DE5FB3" w:rsidTr="00DE5FB3">
        <w:trPr>
          <w:cantSplit/>
        </w:trPr>
        <w:tc>
          <w:tcPr>
            <w:tcW w:w="1458" w:type="dxa"/>
          </w:tcPr>
          <w:p w:rsidR="00DE5FB3" w:rsidRPr="00DE5FB3" w:rsidRDefault="00DE5FB3" w:rsidP="00DE5FB3">
            <w:pPr>
              <w:rPr>
                <w:sz w:val="20"/>
                <w:szCs w:val="20"/>
              </w:rPr>
            </w:pPr>
            <w:r w:rsidRPr="00DE5FB3">
              <w:rPr>
                <w:rStyle w:val="SCCFileNumberChar"/>
                <w:sz w:val="20"/>
                <w:szCs w:val="20"/>
              </w:rPr>
              <w:lastRenderedPageBreak/>
              <w:t>33740</w:t>
            </w:r>
          </w:p>
          <w:p w:rsidR="00DE5FB3" w:rsidRPr="00DE5FB3" w:rsidRDefault="00DE5FB3" w:rsidP="00DE5FB3">
            <w:pPr>
              <w:rPr>
                <w:b/>
                <w:sz w:val="20"/>
                <w:szCs w:val="20"/>
                <w:lang w:val="fr-CA"/>
              </w:rPr>
            </w:pPr>
          </w:p>
        </w:tc>
        <w:tc>
          <w:tcPr>
            <w:tcW w:w="8118" w:type="dxa"/>
          </w:tcPr>
          <w:p w:rsidR="00DE5FB3" w:rsidRPr="00DE5FB3" w:rsidRDefault="00DE5FB3" w:rsidP="00DE5FB3">
            <w:pPr>
              <w:jc w:val="both"/>
              <w:rPr>
                <w:sz w:val="20"/>
                <w:szCs w:val="20"/>
              </w:rPr>
            </w:pPr>
            <w:r w:rsidRPr="00DE5FB3">
              <w:rPr>
                <w:rStyle w:val="SCCLsocChar"/>
                <w:sz w:val="20"/>
                <w:szCs w:val="20"/>
                <w:lang w:val="en-CA"/>
              </w:rPr>
              <w:t xml:space="preserve">Sealed Air (Canada) Co./Cie., </w:t>
            </w:r>
            <w:proofErr w:type="spellStart"/>
            <w:r w:rsidRPr="00DE5FB3">
              <w:rPr>
                <w:rStyle w:val="SCCLsocChar"/>
                <w:sz w:val="20"/>
                <w:szCs w:val="20"/>
                <w:lang w:val="en-CA"/>
              </w:rPr>
              <w:t>Intertek</w:t>
            </w:r>
            <w:proofErr w:type="spellEnd"/>
            <w:r w:rsidRPr="00DE5FB3">
              <w:rPr>
                <w:rStyle w:val="SCCLsocChar"/>
                <w:sz w:val="20"/>
                <w:szCs w:val="20"/>
                <w:lang w:val="en-CA"/>
              </w:rPr>
              <w:t xml:space="preserve"> Testing Services NA Ltd./Services </w:t>
            </w:r>
            <w:proofErr w:type="spellStart"/>
            <w:r w:rsidRPr="00DE5FB3">
              <w:rPr>
                <w:rStyle w:val="SCCLsocChar"/>
                <w:sz w:val="20"/>
                <w:szCs w:val="20"/>
                <w:lang w:val="en-CA"/>
              </w:rPr>
              <w:t>d'essais</w:t>
            </w:r>
            <w:proofErr w:type="spellEnd"/>
            <w:r w:rsidRPr="00DE5FB3">
              <w:rPr>
                <w:rStyle w:val="SCCLsocChar"/>
                <w:sz w:val="20"/>
                <w:szCs w:val="20"/>
                <w:lang w:val="en-CA"/>
              </w:rPr>
              <w:t xml:space="preserve"> </w:t>
            </w:r>
            <w:proofErr w:type="spellStart"/>
            <w:r w:rsidRPr="00DE5FB3">
              <w:rPr>
                <w:rStyle w:val="SCCLsocChar"/>
                <w:sz w:val="20"/>
                <w:szCs w:val="20"/>
                <w:lang w:val="en-CA"/>
              </w:rPr>
              <w:t>Intertek</w:t>
            </w:r>
            <w:proofErr w:type="spellEnd"/>
            <w:r w:rsidRPr="00DE5FB3">
              <w:rPr>
                <w:rStyle w:val="SCCLsocChar"/>
                <w:sz w:val="20"/>
                <w:szCs w:val="20"/>
                <w:lang w:val="en-CA"/>
              </w:rPr>
              <w:t xml:space="preserve"> AN </w:t>
            </w:r>
            <w:proofErr w:type="spellStart"/>
            <w:r w:rsidRPr="00DE5FB3">
              <w:rPr>
                <w:rStyle w:val="SCCLsocChar"/>
                <w:sz w:val="20"/>
                <w:szCs w:val="20"/>
                <w:lang w:val="en-CA"/>
              </w:rPr>
              <w:t>Ltée</w:t>
            </w:r>
            <w:proofErr w:type="spellEnd"/>
            <w:r w:rsidRPr="00DE5FB3">
              <w:rPr>
                <w:rStyle w:val="SCCLsocChar"/>
                <w:sz w:val="20"/>
                <w:szCs w:val="20"/>
                <w:lang w:val="en-CA"/>
              </w:rPr>
              <w:t xml:space="preserve">., 429641 BC Ltd., formerly known as CML Contracting Limited, Alliance Roofing Systems Ltd., Delta Pacific Landscaping Ltd., </w:t>
            </w:r>
            <w:proofErr w:type="spellStart"/>
            <w:r w:rsidRPr="00DE5FB3">
              <w:rPr>
                <w:rStyle w:val="SCCLsocChar"/>
                <w:sz w:val="20"/>
                <w:szCs w:val="20"/>
                <w:lang w:val="en-CA"/>
              </w:rPr>
              <w:t>Innovatech</w:t>
            </w:r>
            <w:proofErr w:type="spellEnd"/>
            <w:r w:rsidRPr="00DE5FB3">
              <w:rPr>
                <w:rStyle w:val="SCCLsocChar"/>
                <w:sz w:val="20"/>
                <w:szCs w:val="20"/>
                <w:lang w:val="en-CA"/>
              </w:rPr>
              <w:t xml:space="preserve"> Building Systems Limited, N.A.P. Commercial Limited, Jones </w:t>
            </w:r>
            <w:proofErr w:type="spellStart"/>
            <w:r w:rsidRPr="00DE5FB3">
              <w:rPr>
                <w:rStyle w:val="SCCLsocChar"/>
                <w:sz w:val="20"/>
                <w:szCs w:val="20"/>
                <w:lang w:val="en-CA"/>
              </w:rPr>
              <w:t>Kwong</w:t>
            </w:r>
            <w:proofErr w:type="spellEnd"/>
            <w:r w:rsidRPr="00DE5FB3">
              <w:rPr>
                <w:rStyle w:val="SCCLsocChar"/>
                <w:sz w:val="20"/>
                <w:szCs w:val="20"/>
                <w:lang w:val="en-CA"/>
              </w:rPr>
              <w:t xml:space="preserve"> </w:t>
            </w:r>
            <w:proofErr w:type="spellStart"/>
            <w:r w:rsidRPr="00DE5FB3">
              <w:rPr>
                <w:rStyle w:val="SCCLsocChar"/>
                <w:sz w:val="20"/>
                <w:szCs w:val="20"/>
                <w:lang w:val="en-CA"/>
              </w:rPr>
              <w:t>Kishi</w:t>
            </w:r>
            <w:proofErr w:type="spellEnd"/>
            <w:r w:rsidRPr="00DE5FB3">
              <w:rPr>
                <w:rStyle w:val="SCCLsocChar"/>
                <w:sz w:val="20"/>
                <w:szCs w:val="20"/>
                <w:lang w:val="en-CA"/>
              </w:rPr>
              <w:t xml:space="preserve"> (A Partnership), Thomas T.H. Wu, Mark Van </w:t>
            </w:r>
            <w:proofErr w:type="spellStart"/>
            <w:r w:rsidRPr="00DE5FB3">
              <w:rPr>
                <w:rStyle w:val="SCCLsocChar"/>
                <w:sz w:val="20"/>
                <w:szCs w:val="20"/>
                <w:lang w:val="en-CA"/>
              </w:rPr>
              <w:t>Bockhoven</w:t>
            </w:r>
            <w:proofErr w:type="spellEnd"/>
            <w:r w:rsidRPr="00DE5FB3">
              <w:rPr>
                <w:rStyle w:val="SCCLsocChar"/>
                <w:sz w:val="20"/>
                <w:szCs w:val="20"/>
                <w:lang w:val="en-CA"/>
              </w:rPr>
              <w:t xml:space="preserve">, James G. </w:t>
            </w:r>
            <w:proofErr w:type="spellStart"/>
            <w:r w:rsidRPr="00DE5FB3">
              <w:rPr>
                <w:rStyle w:val="SCCLsocChar"/>
                <w:sz w:val="20"/>
                <w:szCs w:val="20"/>
                <w:lang w:val="en-CA"/>
              </w:rPr>
              <w:t>Mutrie</w:t>
            </w:r>
            <w:proofErr w:type="spellEnd"/>
            <w:r w:rsidRPr="00DE5FB3">
              <w:rPr>
                <w:rStyle w:val="SCCLsocChar"/>
                <w:sz w:val="20"/>
                <w:szCs w:val="20"/>
                <w:lang w:val="en-CA"/>
              </w:rPr>
              <w:t xml:space="preserve">, J.G. </w:t>
            </w:r>
            <w:proofErr w:type="spellStart"/>
            <w:r w:rsidRPr="00DE5FB3">
              <w:rPr>
                <w:rStyle w:val="SCCLsocChar"/>
                <w:sz w:val="20"/>
                <w:szCs w:val="20"/>
                <w:lang w:val="en-CA"/>
              </w:rPr>
              <w:t>Mutrie</w:t>
            </w:r>
            <w:proofErr w:type="spellEnd"/>
            <w:r w:rsidRPr="00DE5FB3">
              <w:rPr>
                <w:rStyle w:val="SCCLsocChar"/>
                <w:sz w:val="20"/>
                <w:szCs w:val="20"/>
                <w:lang w:val="en-CA"/>
              </w:rPr>
              <w:t xml:space="preserve"> &amp; Associates Ltd., W. </w:t>
            </w:r>
            <w:proofErr w:type="spellStart"/>
            <w:r w:rsidRPr="00DE5FB3">
              <w:rPr>
                <w:rStyle w:val="SCCLsocChar"/>
                <w:sz w:val="20"/>
                <w:szCs w:val="20"/>
                <w:lang w:val="en-CA"/>
              </w:rPr>
              <w:t>Hou</w:t>
            </w:r>
            <w:proofErr w:type="spellEnd"/>
            <w:r w:rsidRPr="00DE5FB3">
              <w:rPr>
                <w:rStyle w:val="SCCLsocChar"/>
                <w:sz w:val="20"/>
                <w:szCs w:val="20"/>
                <w:lang w:val="en-CA"/>
              </w:rPr>
              <w:t xml:space="preserve"> </w:t>
            </w:r>
            <w:proofErr w:type="spellStart"/>
            <w:r w:rsidRPr="00DE5FB3">
              <w:rPr>
                <w:rStyle w:val="SCCLsocChar"/>
                <w:sz w:val="20"/>
                <w:szCs w:val="20"/>
                <w:lang w:val="en-CA"/>
              </w:rPr>
              <w:t>Kwong</w:t>
            </w:r>
            <w:proofErr w:type="spellEnd"/>
            <w:r w:rsidRPr="00DE5FB3">
              <w:rPr>
                <w:rStyle w:val="SCCLsocChar"/>
                <w:sz w:val="20"/>
                <w:szCs w:val="20"/>
                <w:lang w:val="en-CA"/>
              </w:rPr>
              <w:t xml:space="preserve">, </w:t>
            </w:r>
            <w:proofErr w:type="spellStart"/>
            <w:r w:rsidRPr="00DE5FB3">
              <w:rPr>
                <w:rStyle w:val="SCCLsocChar"/>
                <w:sz w:val="20"/>
                <w:szCs w:val="20"/>
                <w:lang w:val="en-CA"/>
              </w:rPr>
              <w:t>Hou</w:t>
            </w:r>
            <w:proofErr w:type="spellEnd"/>
            <w:r w:rsidRPr="00DE5FB3">
              <w:rPr>
                <w:rStyle w:val="SCCLsocChar"/>
                <w:sz w:val="20"/>
                <w:szCs w:val="20"/>
                <w:lang w:val="en-CA"/>
              </w:rPr>
              <w:t xml:space="preserve"> </w:t>
            </w:r>
            <w:proofErr w:type="spellStart"/>
            <w:r w:rsidRPr="00DE5FB3">
              <w:rPr>
                <w:rStyle w:val="SCCLsocChar"/>
                <w:sz w:val="20"/>
                <w:szCs w:val="20"/>
                <w:lang w:val="en-CA"/>
              </w:rPr>
              <w:t>Kwong</w:t>
            </w:r>
            <w:proofErr w:type="spellEnd"/>
            <w:r w:rsidRPr="00DE5FB3">
              <w:rPr>
                <w:rStyle w:val="SCCLsocChar"/>
                <w:sz w:val="20"/>
                <w:szCs w:val="20"/>
                <w:lang w:val="en-CA"/>
              </w:rPr>
              <w:t xml:space="preserve"> &amp; Associates Ltd., S.I. Taylor &amp; Associates Limited</w:t>
            </w:r>
            <w:r>
              <w:rPr>
                <w:rStyle w:val="SCCLsocChar"/>
                <w:sz w:val="20"/>
                <w:szCs w:val="20"/>
                <w:lang w:val="en-CA"/>
              </w:rPr>
              <w:t xml:space="preserve"> and </w:t>
            </w:r>
            <w:r w:rsidRPr="00DE5FB3">
              <w:rPr>
                <w:rStyle w:val="SCCLsocChar"/>
                <w:sz w:val="20"/>
                <w:szCs w:val="20"/>
                <w:lang w:val="en-CA"/>
              </w:rPr>
              <w:t xml:space="preserve">Vincent </w:t>
            </w:r>
            <w:proofErr w:type="spellStart"/>
            <w:r w:rsidRPr="00DE5FB3">
              <w:rPr>
                <w:rStyle w:val="SCCLsocChar"/>
                <w:sz w:val="20"/>
                <w:szCs w:val="20"/>
                <w:lang w:val="en-CA"/>
              </w:rPr>
              <w:t>Donegan</w:t>
            </w:r>
            <w:proofErr w:type="spellEnd"/>
            <w:r w:rsidRPr="00DE5FB3">
              <w:rPr>
                <w:rStyle w:val="SCCLsocChar"/>
                <w:sz w:val="20"/>
                <w:szCs w:val="20"/>
                <w:lang w:val="en-CA"/>
              </w:rPr>
              <w:t xml:space="preserve"> &amp; Associates Ltd</w:t>
            </w:r>
            <w:r>
              <w:rPr>
                <w:rStyle w:val="SCCLsocChar"/>
                <w:sz w:val="20"/>
                <w:szCs w:val="20"/>
                <w:lang w:val="en-CA"/>
              </w:rPr>
              <w:t>.</w:t>
            </w:r>
            <w:r w:rsidRPr="00DE5FB3">
              <w:rPr>
                <w:rStyle w:val="SCCLsocChar"/>
                <w:sz w:val="20"/>
                <w:szCs w:val="20"/>
                <w:lang w:val="en-CA"/>
              </w:rPr>
              <w:t xml:space="preserve"> v. Scott Management Ltd.</w:t>
            </w:r>
            <w:r>
              <w:rPr>
                <w:rStyle w:val="SCCLsocChar"/>
                <w:sz w:val="20"/>
                <w:szCs w:val="20"/>
                <w:lang w:val="en-CA"/>
              </w:rPr>
              <w:t xml:space="preserve"> and</w:t>
            </w:r>
            <w:r w:rsidRPr="00DE5FB3">
              <w:rPr>
                <w:rStyle w:val="SCCLsocChar"/>
                <w:sz w:val="20"/>
                <w:szCs w:val="20"/>
                <w:lang w:val="en-CA"/>
              </w:rPr>
              <w:t xml:space="preserve"> J.C. Scott Construction Ltd.</w:t>
            </w:r>
            <w:r w:rsidRPr="00DE5FB3">
              <w:rPr>
                <w:sz w:val="20"/>
                <w:szCs w:val="20"/>
              </w:rPr>
              <w:t xml:space="preserve"> (B.C.) (Civil) (By Leave)</w:t>
            </w:r>
          </w:p>
          <w:p w:rsidR="00DE5FB3" w:rsidRPr="00DE5FB3" w:rsidRDefault="00DE5FB3" w:rsidP="00DE5FB3">
            <w:pPr>
              <w:rPr>
                <w:sz w:val="20"/>
                <w:szCs w:val="20"/>
              </w:rPr>
            </w:pPr>
          </w:p>
        </w:tc>
      </w:tr>
      <w:tr w:rsidR="00DE5FB3" w:rsidRPr="00DE5FB3" w:rsidTr="00DE5FB3">
        <w:trPr>
          <w:cantSplit/>
        </w:trPr>
        <w:tc>
          <w:tcPr>
            <w:tcW w:w="1458" w:type="dxa"/>
          </w:tcPr>
          <w:p w:rsidR="00DE5FB3" w:rsidRPr="00DE5FB3" w:rsidRDefault="00DE5FB3" w:rsidP="00DE5FB3">
            <w:pPr>
              <w:rPr>
                <w:sz w:val="20"/>
                <w:szCs w:val="20"/>
              </w:rPr>
            </w:pPr>
            <w:r w:rsidRPr="00DE5FB3">
              <w:rPr>
                <w:sz w:val="20"/>
                <w:szCs w:val="20"/>
              </w:rPr>
              <w:t>Coram :</w:t>
            </w:r>
          </w:p>
        </w:tc>
        <w:tc>
          <w:tcPr>
            <w:tcW w:w="8118" w:type="dxa"/>
          </w:tcPr>
          <w:p w:rsidR="00DE5FB3" w:rsidRPr="00DE5FB3" w:rsidRDefault="00DE5FB3" w:rsidP="00DE5FB3">
            <w:pPr>
              <w:rPr>
                <w:sz w:val="20"/>
                <w:szCs w:val="20"/>
              </w:rPr>
            </w:pPr>
            <w:proofErr w:type="spellStart"/>
            <w:r w:rsidRPr="00DE5FB3">
              <w:rPr>
                <w:rStyle w:val="SCCCoramChar"/>
                <w:sz w:val="20"/>
                <w:szCs w:val="20"/>
                <w:lang w:val="en-CA"/>
              </w:rPr>
              <w:t>McLachlin</w:t>
            </w:r>
            <w:proofErr w:type="spellEnd"/>
            <w:r w:rsidRPr="00DE5FB3">
              <w:rPr>
                <w:rStyle w:val="SCCCoramChar"/>
                <w:sz w:val="20"/>
                <w:szCs w:val="20"/>
                <w:lang w:val="en-CA"/>
              </w:rPr>
              <w:t xml:space="preserve"> C.J. and </w:t>
            </w:r>
            <w:proofErr w:type="spellStart"/>
            <w:r w:rsidRPr="00DE5FB3">
              <w:rPr>
                <w:rStyle w:val="SCCCoramChar"/>
                <w:sz w:val="20"/>
                <w:szCs w:val="20"/>
                <w:lang w:val="en-CA"/>
              </w:rPr>
              <w:t>Abella</w:t>
            </w:r>
            <w:proofErr w:type="spellEnd"/>
            <w:r w:rsidRPr="00DE5FB3">
              <w:rPr>
                <w:rStyle w:val="SCCCoramChar"/>
                <w:sz w:val="20"/>
                <w:szCs w:val="20"/>
                <w:lang w:val="en-CA"/>
              </w:rPr>
              <w:t xml:space="preserve"> and Cromwell JJ.</w:t>
            </w:r>
          </w:p>
          <w:p w:rsidR="00DE5FB3" w:rsidRPr="00DE5FB3" w:rsidRDefault="00DE5FB3" w:rsidP="00DE5FB3">
            <w:pPr>
              <w:rPr>
                <w:sz w:val="20"/>
                <w:szCs w:val="20"/>
                <w:u w:val="single"/>
              </w:rPr>
            </w:pPr>
          </w:p>
        </w:tc>
      </w:tr>
      <w:tr w:rsidR="00DE5FB3" w:rsidRPr="001C2F5E" w:rsidTr="00DE5FB3">
        <w:trPr>
          <w:cantSplit/>
        </w:trPr>
        <w:tc>
          <w:tcPr>
            <w:tcW w:w="9576" w:type="dxa"/>
            <w:gridSpan w:val="2"/>
          </w:tcPr>
          <w:p w:rsidR="00DE5FB3" w:rsidRPr="00DE5FB3" w:rsidRDefault="00DE5FB3" w:rsidP="00DE5FB3">
            <w:pPr>
              <w:pStyle w:val="SCCShortJudgment"/>
              <w:rPr>
                <w:szCs w:val="20"/>
              </w:rPr>
            </w:pPr>
            <w:r w:rsidRPr="00DE5FB3">
              <w:rPr>
                <w:szCs w:val="20"/>
              </w:rPr>
              <w:t>The application for leave to appeal from the judgment of the Court of Appeal for British Columbia (Vancouver), Numbers CA036561 and CA036778, 2010 BCCA 192, dated April 21, 2010, is dismissed with costs.</w:t>
            </w:r>
          </w:p>
          <w:p w:rsidR="00DE5FB3" w:rsidRPr="00DE5FB3" w:rsidRDefault="00DE5FB3" w:rsidP="00DE5FB3">
            <w:pPr>
              <w:pStyle w:val="SCCShortJudgment"/>
              <w:ind w:firstLine="0"/>
              <w:rPr>
                <w:szCs w:val="20"/>
              </w:rPr>
            </w:pPr>
          </w:p>
          <w:p w:rsidR="00DE5FB3" w:rsidRPr="00DE5FB3" w:rsidRDefault="00DE5FB3" w:rsidP="00DE5FB3">
            <w:pPr>
              <w:pStyle w:val="SCCShortJudgment"/>
              <w:rPr>
                <w:szCs w:val="20"/>
                <w:lang w:val="fr-CA"/>
              </w:rPr>
            </w:pPr>
            <w:r w:rsidRPr="00DE5FB3">
              <w:rPr>
                <w:szCs w:val="20"/>
                <w:lang w:val="fr-CA"/>
              </w:rPr>
              <w:t>La demande d’autorisation d’appel de l’arrêt de la Cour d’appel de la Colombie-Britannique (Vancouver), numéros CA036561 et CA036778, 2010 BCCA 192, daté du 21 avril 2010, est rejetée avec dépens.</w:t>
            </w:r>
          </w:p>
        </w:tc>
      </w:tr>
    </w:tbl>
    <w:p w:rsidR="00DE5FB3" w:rsidRPr="00DE5FB3" w:rsidRDefault="00DE5FB3" w:rsidP="007F53EF">
      <w:pPr>
        <w:rPr>
          <w:sz w:val="20"/>
          <w:szCs w:val="20"/>
          <w:lang w:val="fr-CA"/>
        </w:rPr>
      </w:pPr>
    </w:p>
    <w:p w:rsidR="007F53EF" w:rsidRPr="007F53EF" w:rsidRDefault="007F53EF" w:rsidP="007F53EF">
      <w:pPr>
        <w:rPr>
          <w:sz w:val="20"/>
          <w:szCs w:val="20"/>
          <w:u w:val="single"/>
        </w:rPr>
      </w:pPr>
      <w:r w:rsidRPr="007F53EF">
        <w:rPr>
          <w:sz w:val="20"/>
          <w:szCs w:val="20"/>
          <w:u w:val="single"/>
        </w:rPr>
        <w:t>CASE SUMMARY</w:t>
      </w:r>
    </w:p>
    <w:p w:rsidR="007F53EF" w:rsidRDefault="007F53EF" w:rsidP="007F53EF">
      <w:pPr>
        <w:rPr>
          <w:sz w:val="20"/>
          <w:szCs w:val="20"/>
        </w:rPr>
      </w:pPr>
    </w:p>
    <w:p w:rsidR="00E42B92" w:rsidRDefault="00E42B92" w:rsidP="00DE5FB3">
      <w:pPr>
        <w:widowControl w:val="0"/>
        <w:jc w:val="both"/>
        <w:rPr>
          <w:sz w:val="20"/>
        </w:rPr>
      </w:pPr>
      <w:r>
        <w:rPr>
          <w:sz w:val="20"/>
        </w:rPr>
        <w:t xml:space="preserve">Torts — Negligence — Action for contribution or indemnity from another </w:t>
      </w:r>
      <w:proofErr w:type="spellStart"/>
      <w:r>
        <w:rPr>
          <w:sz w:val="20"/>
        </w:rPr>
        <w:t>tortfeasor</w:t>
      </w:r>
      <w:proofErr w:type="spellEnd"/>
      <w:r>
        <w:rPr>
          <w:sz w:val="20"/>
        </w:rPr>
        <w:t xml:space="preserve"> — Applicable limitation period — Whether a person is immune from statutory claims for contribution and indemnity if that person cannot be held directly liable to the plaintiff by reason of an accrued limitation period.</w:t>
      </w:r>
    </w:p>
    <w:p w:rsidR="00E42B92" w:rsidRDefault="00E42B92" w:rsidP="00DE5FB3">
      <w:pPr>
        <w:widowControl w:val="0"/>
        <w:jc w:val="both"/>
        <w:rPr>
          <w:sz w:val="20"/>
        </w:rPr>
      </w:pPr>
    </w:p>
    <w:p w:rsidR="00E42B92" w:rsidRDefault="00E42B92" w:rsidP="00DE5FB3">
      <w:pPr>
        <w:widowControl w:val="0"/>
        <w:jc w:val="both"/>
        <w:rPr>
          <w:sz w:val="20"/>
        </w:rPr>
      </w:pPr>
      <w:r>
        <w:rPr>
          <w:sz w:val="20"/>
        </w:rPr>
        <w:t xml:space="preserve">The applicants participated in the construction of a condominium building in 1993 and 1994.  In 2000, the condominium owners commenced an action in negligence against the construction managers, the architect and the developer. No notice was given to the applicants of any potential claims against them.  An applicable 10-year limitation period is set out in the </w:t>
      </w:r>
      <w:r>
        <w:rPr>
          <w:i/>
          <w:sz w:val="20"/>
        </w:rPr>
        <w:t>Negligence Act</w:t>
      </w:r>
      <w:r>
        <w:rPr>
          <w:sz w:val="20"/>
        </w:rPr>
        <w:t xml:space="preserve">, R.S.B.C. 1996, </w:t>
      </w:r>
      <w:proofErr w:type="gramStart"/>
      <w:r>
        <w:rPr>
          <w:sz w:val="20"/>
        </w:rPr>
        <w:t>c</w:t>
      </w:r>
      <w:proofErr w:type="gramEnd"/>
      <w:r>
        <w:rPr>
          <w:sz w:val="20"/>
        </w:rPr>
        <w:t xml:space="preserve">. 333.  Twelve years after the construction, the condominium owners applied to join the applicants as defendants.  The application was dismissed.   On August 8, Scott Management Ltd., J.C. Scott Construction Ltd. and the architect issued third party notices claiming contribution and indemnity from the applicants and others under s. 4 of the </w:t>
      </w:r>
      <w:r>
        <w:rPr>
          <w:i/>
          <w:sz w:val="20"/>
        </w:rPr>
        <w:t>Negligence Act</w:t>
      </w:r>
      <w:r>
        <w:rPr>
          <w:sz w:val="20"/>
        </w:rPr>
        <w:t xml:space="preserve">, R.S.B.C. 1996, </w:t>
      </w:r>
      <w:proofErr w:type="gramStart"/>
      <w:r>
        <w:rPr>
          <w:sz w:val="20"/>
        </w:rPr>
        <w:t>c</w:t>
      </w:r>
      <w:proofErr w:type="gramEnd"/>
      <w:r>
        <w:rPr>
          <w:sz w:val="20"/>
        </w:rPr>
        <w:t xml:space="preserve">. 333. The applicants applied to have the third party notices struck out. </w:t>
      </w:r>
    </w:p>
    <w:p w:rsidR="00E42B92" w:rsidRDefault="00E42B92" w:rsidP="00E42B92">
      <w:pPr>
        <w:widowControl w:val="0"/>
        <w:rPr>
          <w:sz w:val="20"/>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rPr>
            </w:pPr>
            <w:r>
              <w:rPr>
                <w:sz w:val="20"/>
              </w:rPr>
              <w:t>October 15, 2008</w:t>
            </w:r>
          </w:p>
          <w:p w:rsidR="00E42B92" w:rsidRDefault="00E42B92" w:rsidP="002D51BE">
            <w:pPr>
              <w:keepNext/>
              <w:keepLines/>
              <w:widowControl w:val="0"/>
              <w:rPr>
                <w:sz w:val="20"/>
              </w:rPr>
            </w:pPr>
            <w:r>
              <w:rPr>
                <w:sz w:val="20"/>
              </w:rPr>
              <w:t>Supreme Court of British Columbia</w:t>
            </w:r>
          </w:p>
          <w:p w:rsidR="00E42B92" w:rsidRDefault="00E42B92" w:rsidP="002D51BE">
            <w:pPr>
              <w:keepNext/>
              <w:keepLines/>
              <w:widowControl w:val="0"/>
              <w:rPr>
                <w:sz w:val="20"/>
              </w:rPr>
            </w:pPr>
            <w:r>
              <w:rPr>
                <w:sz w:val="20"/>
              </w:rPr>
              <w:t>(Williams J.)</w:t>
            </w:r>
          </w:p>
          <w:p w:rsidR="00E42B92" w:rsidRDefault="00E42B92" w:rsidP="002D51BE">
            <w:pPr>
              <w:keepNext/>
              <w:keepLines/>
              <w:widowControl w:val="0"/>
              <w:rPr>
                <w:sz w:val="20"/>
              </w:rPr>
            </w:pPr>
            <w:r>
              <w:rPr>
                <w:sz w:val="20"/>
              </w:rPr>
              <w:t>2008 BCSC 1355</w:t>
            </w:r>
          </w:p>
        </w:tc>
        <w:tc>
          <w:tcPr>
            <w:tcW w:w="288" w:type="dxa"/>
            <w:tcMar>
              <w:left w:w="0" w:type="dxa"/>
              <w:right w:w="0" w:type="dxa"/>
            </w:tcMar>
          </w:tcPr>
          <w:p w:rsidR="00E42B92" w:rsidRDefault="00E42B92" w:rsidP="002D51BE">
            <w:pPr>
              <w:keepLines/>
              <w:widowControl w:val="0"/>
              <w:rPr>
                <w:sz w:val="20"/>
              </w:rPr>
            </w:pPr>
          </w:p>
        </w:tc>
        <w:tc>
          <w:tcPr>
            <w:tcW w:w="4536" w:type="dxa"/>
            <w:tcMar>
              <w:left w:w="0" w:type="dxa"/>
              <w:right w:w="0" w:type="dxa"/>
            </w:tcMar>
          </w:tcPr>
          <w:p w:rsidR="00E42B92" w:rsidRDefault="00E42B92" w:rsidP="002D51BE">
            <w:pPr>
              <w:keepLines/>
              <w:widowControl w:val="0"/>
              <w:rPr>
                <w:sz w:val="20"/>
              </w:rPr>
            </w:pPr>
            <w:r>
              <w:rPr>
                <w:sz w:val="20"/>
              </w:rPr>
              <w:t xml:space="preserve">Third party notice struck </w:t>
            </w:r>
          </w:p>
        </w:tc>
      </w:tr>
    </w:tbl>
    <w:p w:rsidR="00E42B92" w:rsidRDefault="00E42B92" w:rsidP="00E42B92">
      <w:pPr>
        <w:widowControl w:val="0"/>
        <w:rPr>
          <w:sz w:val="20"/>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rPr>
            </w:pPr>
            <w:r>
              <w:rPr>
                <w:sz w:val="20"/>
              </w:rPr>
              <w:t>December 24, 2008</w:t>
            </w:r>
          </w:p>
          <w:p w:rsidR="00E42B92" w:rsidRDefault="00E42B92" w:rsidP="002D51BE">
            <w:pPr>
              <w:keepNext/>
              <w:keepLines/>
              <w:widowControl w:val="0"/>
              <w:rPr>
                <w:sz w:val="20"/>
              </w:rPr>
            </w:pPr>
            <w:r>
              <w:rPr>
                <w:sz w:val="20"/>
              </w:rPr>
              <w:t>Supreme Court of British Columbia</w:t>
            </w:r>
          </w:p>
          <w:p w:rsidR="00E42B92" w:rsidRDefault="00E42B92" w:rsidP="002D51BE">
            <w:pPr>
              <w:keepNext/>
              <w:keepLines/>
              <w:widowControl w:val="0"/>
              <w:rPr>
                <w:sz w:val="20"/>
              </w:rPr>
            </w:pPr>
            <w:r>
              <w:rPr>
                <w:sz w:val="20"/>
              </w:rPr>
              <w:t xml:space="preserve">(Williamson J.) </w:t>
            </w:r>
          </w:p>
          <w:p w:rsidR="00E42B92" w:rsidRDefault="00E42B92" w:rsidP="002D51BE">
            <w:pPr>
              <w:keepNext/>
              <w:keepLines/>
              <w:widowControl w:val="0"/>
              <w:rPr>
                <w:sz w:val="20"/>
              </w:rPr>
            </w:pPr>
            <w:r>
              <w:rPr>
                <w:sz w:val="20"/>
              </w:rPr>
              <w:t>2008 BCSC 1779</w:t>
            </w:r>
          </w:p>
        </w:tc>
        <w:tc>
          <w:tcPr>
            <w:tcW w:w="288" w:type="dxa"/>
            <w:tcMar>
              <w:left w:w="0" w:type="dxa"/>
              <w:right w:w="0" w:type="dxa"/>
            </w:tcMar>
          </w:tcPr>
          <w:p w:rsidR="00E42B92" w:rsidRDefault="00E42B92" w:rsidP="002D51BE">
            <w:pPr>
              <w:keepLines/>
              <w:widowControl w:val="0"/>
              <w:rPr>
                <w:sz w:val="20"/>
              </w:rPr>
            </w:pPr>
          </w:p>
        </w:tc>
        <w:tc>
          <w:tcPr>
            <w:tcW w:w="4536" w:type="dxa"/>
            <w:tcMar>
              <w:left w:w="0" w:type="dxa"/>
              <w:right w:w="0" w:type="dxa"/>
            </w:tcMar>
          </w:tcPr>
          <w:p w:rsidR="00E42B92" w:rsidRDefault="00E42B92" w:rsidP="002D51BE">
            <w:pPr>
              <w:keepLines/>
              <w:widowControl w:val="0"/>
              <w:rPr>
                <w:sz w:val="20"/>
              </w:rPr>
            </w:pPr>
            <w:r>
              <w:rPr>
                <w:sz w:val="20"/>
              </w:rPr>
              <w:t xml:space="preserve">Third party notice struck </w:t>
            </w:r>
          </w:p>
        </w:tc>
      </w:tr>
    </w:tbl>
    <w:p w:rsidR="00E42B92" w:rsidRDefault="00E42B92" w:rsidP="00E42B92">
      <w:pPr>
        <w:widowControl w:val="0"/>
        <w:rPr>
          <w:sz w:val="20"/>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rPr>
            </w:pPr>
            <w:r>
              <w:rPr>
                <w:sz w:val="20"/>
              </w:rPr>
              <w:t>April 21, 2010</w:t>
            </w:r>
          </w:p>
          <w:p w:rsidR="00E42B92" w:rsidRDefault="00E42B92" w:rsidP="002D51BE">
            <w:pPr>
              <w:keepNext/>
              <w:keepLines/>
              <w:widowControl w:val="0"/>
              <w:rPr>
                <w:sz w:val="20"/>
              </w:rPr>
            </w:pPr>
            <w:r>
              <w:rPr>
                <w:sz w:val="20"/>
              </w:rPr>
              <w:t>Court of Appeal for British Columbia (Vancouver)</w:t>
            </w:r>
          </w:p>
          <w:p w:rsidR="00E42B92" w:rsidRDefault="00E42B92" w:rsidP="002D51BE">
            <w:pPr>
              <w:keepNext/>
              <w:keepLines/>
              <w:widowControl w:val="0"/>
              <w:rPr>
                <w:sz w:val="20"/>
              </w:rPr>
            </w:pPr>
            <w:r>
              <w:rPr>
                <w:sz w:val="20"/>
              </w:rPr>
              <w:t xml:space="preserve">(Saunders, Neilson, </w:t>
            </w:r>
            <w:proofErr w:type="spellStart"/>
            <w:r>
              <w:rPr>
                <w:sz w:val="20"/>
              </w:rPr>
              <w:t>Groberman</w:t>
            </w:r>
            <w:proofErr w:type="spellEnd"/>
            <w:r>
              <w:rPr>
                <w:sz w:val="20"/>
              </w:rPr>
              <w:t xml:space="preserve"> JJ.A.)</w:t>
            </w:r>
          </w:p>
          <w:p w:rsidR="00E42B92" w:rsidRDefault="00E42B92" w:rsidP="002D51BE">
            <w:pPr>
              <w:keepNext/>
              <w:keepLines/>
              <w:widowControl w:val="0"/>
              <w:rPr>
                <w:sz w:val="20"/>
              </w:rPr>
            </w:pPr>
            <w:r>
              <w:rPr>
                <w:sz w:val="20"/>
              </w:rPr>
              <w:t>2010 BCCA 192</w:t>
            </w:r>
          </w:p>
          <w:p w:rsidR="00E42B92" w:rsidRDefault="00E42B92" w:rsidP="002D51BE">
            <w:pPr>
              <w:keepNext/>
              <w:keepLines/>
              <w:widowControl w:val="0"/>
              <w:rPr>
                <w:sz w:val="20"/>
              </w:rPr>
            </w:pPr>
            <w:r>
              <w:rPr>
                <w:sz w:val="20"/>
              </w:rPr>
              <w:t>CA036561; CA036778</w:t>
            </w:r>
          </w:p>
        </w:tc>
        <w:tc>
          <w:tcPr>
            <w:tcW w:w="288" w:type="dxa"/>
            <w:tcMar>
              <w:left w:w="0" w:type="dxa"/>
              <w:right w:w="0" w:type="dxa"/>
            </w:tcMar>
          </w:tcPr>
          <w:p w:rsidR="00E42B92" w:rsidRDefault="00E42B92" w:rsidP="002D51BE">
            <w:pPr>
              <w:keepLines/>
              <w:widowControl w:val="0"/>
              <w:rPr>
                <w:sz w:val="20"/>
              </w:rPr>
            </w:pPr>
          </w:p>
        </w:tc>
        <w:tc>
          <w:tcPr>
            <w:tcW w:w="4536" w:type="dxa"/>
            <w:tcMar>
              <w:left w:w="0" w:type="dxa"/>
              <w:right w:w="0" w:type="dxa"/>
            </w:tcMar>
          </w:tcPr>
          <w:p w:rsidR="00E42B92" w:rsidRDefault="00E42B92" w:rsidP="004B3466">
            <w:pPr>
              <w:keepLines/>
              <w:widowControl w:val="0"/>
              <w:jc w:val="both"/>
              <w:rPr>
                <w:sz w:val="20"/>
              </w:rPr>
            </w:pPr>
            <w:r>
              <w:rPr>
                <w:sz w:val="20"/>
              </w:rPr>
              <w:t>Appeal by Scott Management Ltd. and J.C. Scott Construction Ltd. allowed, third party notices reinstated</w:t>
            </w:r>
          </w:p>
        </w:tc>
      </w:tr>
    </w:tbl>
    <w:p w:rsidR="00E42B92" w:rsidRDefault="00E42B92" w:rsidP="00E42B92">
      <w:pPr>
        <w:widowControl w:val="0"/>
        <w:rPr>
          <w:sz w:val="20"/>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rPr>
            </w:pPr>
            <w:r>
              <w:rPr>
                <w:sz w:val="20"/>
              </w:rPr>
              <w:t>June 17, 2010</w:t>
            </w:r>
          </w:p>
          <w:p w:rsidR="00E42B92" w:rsidRDefault="00E42B92" w:rsidP="002D51BE">
            <w:pPr>
              <w:keepNext/>
              <w:keepLines/>
              <w:widowControl w:val="0"/>
              <w:rPr>
                <w:sz w:val="20"/>
              </w:rPr>
            </w:pPr>
            <w:r>
              <w:rPr>
                <w:sz w:val="20"/>
              </w:rPr>
              <w:t>Supreme Court of Canada</w:t>
            </w:r>
          </w:p>
        </w:tc>
        <w:tc>
          <w:tcPr>
            <w:tcW w:w="288" w:type="dxa"/>
            <w:tcMar>
              <w:left w:w="0" w:type="dxa"/>
              <w:right w:w="0" w:type="dxa"/>
            </w:tcMar>
          </w:tcPr>
          <w:p w:rsidR="00E42B92" w:rsidRDefault="00E42B92" w:rsidP="002D51BE">
            <w:pPr>
              <w:keepLines/>
              <w:widowControl w:val="0"/>
              <w:rPr>
                <w:sz w:val="20"/>
              </w:rPr>
            </w:pPr>
          </w:p>
        </w:tc>
        <w:tc>
          <w:tcPr>
            <w:tcW w:w="4536" w:type="dxa"/>
            <w:tcMar>
              <w:left w:w="0" w:type="dxa"/>
              <w:right w:w="0" w:type="dxa"/>
            </w:tcMar>
          </w:tcPr>
          <w:p w:rsidR="00E42B92" w:rsidRDefault="00E42B92" w:rsidP="002D51BE">
            <w:pPr>
              <w:keepLines/>
              <w:widowControl w:val="0"/>
              <w:rPr>
                <w:sz w:val="20"/>
              </w:rPr>
            </w:pPr>
            <w:r>
              <w:rPr>
                <w:sz w:val="20"/>
              </w:rPr>
              <w:t>Application for leave to appeal filed</w:t>
            </w:r>
          </w:p>
        </w:tc>
      </w:tr>
    </w:tbl>
    <w:p w:rsidR="00E42B92" w:rsidRDefault="00E42B92" w:rsidP="00E42B92">
      <w:pPr>
        <w:widowControl w:val="0"/>
        <w:rPr>
          <w:sz w:val="20"/>
        </w:rPr>
      </w:pPr>
    </w:p>
    <w:p w:rsidR="007F53EF" w:rsidRPr="007F53EF" w:rsidRDefault="00857426" w:rsidP="007F53EF">
      <w:pPr>
        <w:rPr>
          <w:sz w:val="20"/>
          <w:szCs w:val="20"/>
        </w:rPr>
      </w:pPr>
      <w:r w:rsidRPr="00857426">
        <w:rPr>
          <w:sz w:val="20"/>
          <w:szCs w:val="20"/>
          <w:lang w:val="fr-CA"/>
        </w:rPr>
        <w:pict>
          <v:rect id="_x0000_i1048" style="width:2in;height:1pt" o:hrpct="0" o:hralign="center" o:hrstd="t" o:hrnoshade="t" o:hr="t" fillcolor="black [3213]" stroked="f"/>
        </w:pict>
      </w:r>
    </w:p>
    <w:p w:rsidR="00D53465" w:rsidRDefault="00D53465">
      <w:pPr>
        <w:rPr>
          <w:sz w:val="20"/>
          <w:szCs w:val="20"/>
        </w:rPr>
      </w:pPr>
      <w:r>
        <w:rPr>
          <w:sz w:val="20"/>
          <w:szCs w:val="20"/>
        </w:rPr>
        <w:br w:type="page"/>
      </w:r>
    </w:p>
    <w:p w:rsidR="007F53EF" w:rsidRPr="00E42B92" w:rsidRDefault="007F53EF" w:rsidP="007F53EF">
      <w:pPr>
        <w:jc w:val="both"/>
        <w:rPr>
          <w:sz w:val="20"/>
          <w:szCs w:val="20"/>
          <w:lang w:val="fr-CA"/>
        </w:rPr>
      </w:pPr>
      <w:r w:rsidRPr="00E42B92">
        <w:rPr>
          <w:sz w:val="20"/>
          <w:szCs w:val="20"/>
          <w:u w:val="single"/>
          <w:lang w:val="fr-CA"/>
        </w:rPr>
        <w:lastRenderedPageBreak/>
        <w:t>RÉSUMÉ DE L’AFFAIRE</w:t>
      </w:r>
    </w:p>
    <w:p w:rsidR="007F53EF" w:rsidRPr="00E42B92" w:rsidRDefault="007F53EF" w:rsidP="007F53EF">
      <w:pPr>
        <w:rPr>
          <w:sz w:val="20"/>
          <w:szCs w:val="20"/>
          <w:lang w:val="fr-CA"/>
        </w:rPr>
      </w:pPr>
    </w:p>
    <w:p w:rsidR="00E42B92" w:rsidRDefault="00E42B92" w:rsidP="00E42B92">
      <w:pPr>
        <w:widowControl w:val="0"/>
        <w:jc w:val="both"/>
        <w:rPr>
          <w:sz w:val="20"/>
          <w:lang w:val="fr-CA"/>
        </w:rPr>
      </w:pPr>
      <w:r>
        <w:rPr>
          <w:sz w:val="20"/>
          <w:lang w:val="fr-CA"/>
        </w:rPr>
        <w:t>Responsabilité délictuelle — Négligence — Action en contribution ou en indemnisation d’un autre  auteur de délit — Délai de prescription applicable — Une personne est-elle à l’abri de demandes légales en contribution et en indemnisation si elle ne peut être tenue directement responsable à l’égard du demandeur en raison d’un délai de prescription échu?</w:t>
      </w:r>
    </w:p>
    <w:p w:rsidR="00E42B92" w:rsidRDefault="00E42B92" w:rsidP="00E42B92">
      <w:pPr>
        <w:widowControl w:val="0"/>
        <w:jc w:val="both"/>
        <w:rPr>
          <w:sz w:val="20"/>
          <w:lang w:val="fr-CA"/>
        </w:rPr>
      </w:pPr>
    </w:p>
    <w:p w:rsidR="00E42B92" w:rsidRDefault="00E42B92" w:rsidP="00E42B92">
      <w:pPr>
        <w:widowControl w:val="0"/>
        <w:jc w:val="both"/>
        <w:rPr>
          <w:sz w:val="20"/>
          <w:lang w:val="fr-CA"/>
        </w:rPr>
      </w:pPr>
      <w:r>
        <w:rPr>
          <w:sz w:val="20"/>
          <w:lang w:val="fr-CA"/>
        </w:rPr>
        <w:t xml:space="preserve">Les demandeurs ont participé à la construction d’un condominium en 1993 et 1994.  En 2000, les propriétaires du condominium ont intenté une action en négligence contre les directeurs de la construction, l’architecte et le promoteur.  Aucun avis de réclamation éventuelle contre les demandeurs n’a été donné à ces derniers.  Un délai de prescription de dix ans est prévu dans la </w:t>
      </w:r>
      <w:proofErr w:type="spellStart"/>
      <w:r>
        <w:rPr>
          <w:i/>
          <w:sz w:val="20"/>
          <w:lang w:val="fr-CA"/>
        </w:rPr>
        <w:t>Negligence</w:t>
      </w:r>
      <w:proofErr w:type="spellEnd"/>
      <w:r>
        <w:rPr>
          <w:i/>
          <w:sz w:val="20"/>
          <w:lang w:val="fr-CA"/>
        </w:rPr>
        <w:t xml:space="preserve"> </w:t>
      </w:r>
      <w:proofErr w:type="spellStart"/>
      <w:r>
        <w:rPr>
          <w:i/>
          <w:sz w:val="20"/>
          <w:lang w:val="fr-CA"/>
        </w:rPr>
        <w:t>Act</w:t>
      </w:r>
      <w:proofErr w:type="spellEnd"/>
      <w:r>
        <w:rPr>
          <w:sz w:val="20"/>
          <w:lang w:val="fr-CA"/>
        </w:rPr>
        <w:t xml:space="preserve">, R.S.B.C. 1996, ch. 333.  Douze ans après la construction, les propriétaires du condominium ont présenté une demande pour mettre en cause les demandeurs comme défendeurs.  La demande a été rejetée.  Le 8 août, Scott Management Ltd., J.C. Scott Construction Ltd. et l’architecte ont délivré des avis de mise en cause demandant une contribution et une indemnisation des demandeurs et autres en vertu de l’art. 4 de la </w:t>
      </w:r>
      <w:proofErr w:type="spellStart"/>
      <w:r>
        <w:rPr>
          <w:i/>
          <w:sz w:val="20"/>
          <w:lang w:val="fr-CA"/>
        </w:rPr>
        <w:t>Negligence</w:t>
      </w:r>
      <w:proofErr w:type="spellEnd"/>
      <w:r>
        <w:rPr>
          <w:i/>
          <w:sz w:val="20"/>
          <w:lang w:val="fr-CA"/>
        </w:rPr>
        <w:t xml:space="preserve"> </w:t>
      </w:r>
      <w:proofErr w:type="spellStart"/>
      <w:r>
        <w:rPr>
          <w:i/>
          <w:sz w:val="20"/>
          <w:lang w:val="fr-CA"/>
        </w:rPr>
        <w:t>Act</w:t>
      </w:r>
      <w:proofErr w:type="spellEnd"/>
      <w:r>
        <w:rPr>
          <w:sz w:val="20"/>
          <w:lang w:val="fr-CA"/>
        </w:rPr>
        <w:t xml:space="preserve">, R.S.B.C. 1996, ch. 333.  Les demandeurs ont sollicité la radiation des avis de mise en cause. </w:t>
      </w:r>
    </w:p>
    <w:p w:rsidR="00E42B92" w:rsidRDefault="00E42B92" w:rsidP="00E42B92">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E42B92" w:rsidRPr="001C2F5E" w:rsidTr="002D51BE">
        <w:tc>
          <w:tcPr>
            <w:tcW w:w="4536" w:type="dxa"/>
            <w:tcMar>
              <w:left w:w="0" w:type="dxa"/>
              <w:right w:w="0" w:type="dxa"/>
            </w:tcMar>
          </w:tcPr>
          <w:p w:rsidR="00E42B92" w:rsidRDefault="00E42B92" w:rsidP="002D51BE">
            <w:pPr>
              <w:keepNext/>
              <w:keepLines/>
              <w:widowControl w:val="0"/>
              <w:rPr>
                <w:sz w:val="20"/>
                <w:lang w:val="fr-CA"/>
              </w:rPr>
            </w:pPr>
            <w:r>
              <w:rPr>
                <w:sz w:val="20"/>
                <w:lang w:val="fr-CA"/>
              </w:rPr>
              <w:t>15 octobre 2008</w:t>
            </w:r>
          </w:p>
          <w:p w:rsidR="00E42B92" w:rsidRDefault="00E42B92" w:rsidP="002D51BE">
            <w:pPr>
              <w:keepNext/>
              <w:keepLines/>
              <w:widowControl w:val="0"/>
              <w:rPr>
                <w:sz w:val="20"/>
                <w:lang w:val="fr-CA"/>
              </w:rPr>
            </w:pPr>
            <w:r>
              <w:rPr>
                <w:sz w:val="20"/>
                <w:lang w:val="fr-CA"/>
              </w:rPr>
              <w:t>Cour suprême de la Colombie-Britannique</w:t>
            </w:r>
          </w:p>
          <w:p w:rsidR="00E42B92" w:rsidRDefault="00E42B92" w:rsidP="002D51BE">
            <w:pPr>
              <w:keepNext/>
              <w:keepLines/>
              <w:widowControl w:val="0"/>
              <w:rPr>
                <w:sz w:val="20"/>
                <w:lang w:val="fr-CA"/>
              </w:rPr>
            </w:pPr>
            <w:r>
              <w:rPr>
                <w:sz w:val="20"/>
                <w:lang w:val="fr-CA"/>
              </w:rPr>
              <w:t>(Juge Williams)</w:t>
            </w:r>
          </w:p>
          <w:p w:rsidR="00E42B92" w:rsidRDefault="00E42B92" w:rsidP="002D51BE">
            <w:pPr>
              <w:keepNext/>
              <w:keepLines/>
              <w:widowControl w:val="0"/>
              <w:rPr>
                <w:sz w:val="20"/>
                <w:lang w:val="fr-CA"/>
              </w:rPr>
            </w:pPr>
            <w:r>
              <w:rPr>
                <w:sz w:val="20"/>
                <w:lang w:val="fr-CA"/>
              </w:rPr>
              <w:t>2008 BCSC 1355</w:t>
            </w:r>
          </w:p>
        </w:tc>
        <w:tc>
          <w:tcPr>
            <w:tcW w:w="288" w:type="dxa"/>
            <w:tcMar>
              <w:left w:w="0" w:type="dxa"/>
              <w:right w:w="0" w:type="dxa"/>
            </w:tcMar>
          </w:tcPr>
          <w:p w:rsidR="00E42B92" w:rsidRDefault="00E42B92" w:rsidP="002D51BE">
            <w:pPr>
              <w:keepLines/>
              <w:widowControl w:val="0"/>
              <w:rPr>
                <w:sz w:val="20"/>
                <w:lang w:val="fr-CA"/>
              </w:rPr>
            </w:pPr>
          </w:p>
        </w:tc>
        <w:tc>
          <w:tcPr>
            <w:tcW w:w="4536" w:type="dxa"/>
            <w:tcMar>
              <w:left w:w="0" w:type="dxa"/>
              <w:right w:w="0" w:type="dxa"/>
            </w:tcMar>
          </w:tcPr>
          <w:p w:rsidR="00E42B92" w:rsidRDefault="00E42B92" w:rsidP="002D51BE">
            <w:pPr>
              <w:keepLines/>
              <w:widowControl w:val="0"/>
              <w:rPr>
                <w:sz w:val="20"/>
                <w:lang w:val="fr-CA"/>
              </w:rPr>
            </w:pPr>
            <w:r>
              <w:rPr>
                <w:sz w:val="20"/>
                <w:lang w:val="fr-CA"/>
              </w:rPr>
              <w:t xml:space="preserve">Avis de mise en cause radié </w:t>
            </w:r>
          </w:p>
        </w:tc>
      </w:tr>
    </w:tbl>
    <w:p w:rsidR="00E42B92" w:rsidRDefault="00E42B92" w:rsidP="00E42B92">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E42B92" w:rsidRPr="001C2F5E" w:rsidTr="002D51BE">
        <w:tc>
          <w:tcPr>
            <w:tcW w:w="4536" w:type="dxa"/>
            <w:tcMar>
              <w:left w:w="0" w:type="dxa"/>
              <w:right w:w="0" w:type="dxa"/>
            </w:tcMar>
          </w:tcPr>
          <w:p w:rsidR="00E42B92" w:rsidRDefault="00E42B92" w:rsidP="002D51BE">
            <w:pPr>
              <w:keepNext/>
              <w:keepLines/>
              <w:widowControl w:val="0"/>
              <w:rPr>
                <w:sz w:val="20"/>
                <w:lang w:val="fr-CA"/>
              </w:rPr>
            </w:pPr>
            <w:r>
              <w:rPr>
                <w:sz w:val="20"/>
                <w:lang w:val="fr-CA"/>
              </w:rPr>
              <w:t>24 décembre 2008</w:t>
            </w:r>
          </w:p>
          <w:p w:rsidR="00E42B92" w:rsidRDefault="00E42B92" w:rsidP="002D51BE">
            <w:pPr>
              <w:keepNext/>
              <w:keepLines/>
              <w:widowControl w:val="0"/>
              <w:rPr>
                <w:sz w:val="20"/>
                <w:lang w:val="fr-CA"/>
              </w:rPr>
            </w:pPr>
            <w:r>
              <w:rPr>
                <w:sz w:val="20"/>
                <w:lang w:val="fr-CA"/>
              </w:rPr>
              <w:t>Cour suprême de la Colombie-Britannique</w:t>
            </w:r>
          </w:p>
          <w:p w:rsidR="00E42B92" w:rsidRDefault="00E42B92" w:rsidP="002D51BE">
            <w:pPr>
              <w:keepNext/>
              <w:keepLines/>
              <w:widowControl w:val="0"/>
              <w:rPr>
                <w:sz w:val="20"/>
                <w:lang w:val="fr-CA"/>
              </w:rPr>
            </w:pPr>
            <w:r>
              <w:rPr>
                <w:sz w:val="20"/>
                <w:lang w:val="fr-CA"/>
              </w:rPr>
              <w:t xml:space="preserve">(Juge Williamson) </w:t>
            </w:r>
          </w:p>
          <w:p w:rsidR="00E42B92" w:rsidRDefault="00E42B92" w:rsidP="002D51BE">
            <w:pPr>
              <w:keepNext/>
              <w:keepLines/>
              <w:widowControl w:val="0"/>
              <w:rPr>
                <w:sz w:val="20"/>
                <w:lang w:val="fr-CA"/>
              </w:rPr>
            </w:pPr>
            <w:r>
              <w:rPr>
                <w:sz w:val="20"/>
                <w:lang w:val="fr-CA"/>
              </w:rPr>
              <w:t>2008 BCSC 1779</w:t>
            </w:r>
          </w:p>
        </w:tc>
        <w:tc>
          <w:tcPr>
            <w:tcW w:w="288" w:type="dxa"/>
            <w:tcMar>
              <w:left w:w="0" w:type="dxa"/>
              <w:right w:w="0" w:type="dxa"/>
            </w:tcMar>
          </w:tcPr>
          <w:p w:rsidR="00E42B92" w:rsidRDefault="00E42B92" w:rsidP="002D51BE">
            <w:pPr>
              <w:keepLines/>
              <w:widowControl w:val="0"/>
              <w:rPr>
                <w:sz w:val="20"/>
                <w:lang w:val="fr-CA"/>
              </w:rPr>
            </w:pPr>
          </w:p>
        </w:tc>
        <w:tc>
          <w:tcPr>
            <w:tcW w:w="4536" w:type="dxa"/>
            <w:tcMar>
              <w:left w:w="0" w:type="dxa"/>
              <w:right w:w="0" w:type="dxa"/>
            </w:tcMar>
          </w:tcPr>
          <w:p w:rsidR="00E42B92" w:rsidRDefault="00E42B92" w:rsidP="002D51BE">
            <w:pPr>
              <w:keepLines/>
              <w:widowControl w:val="0"/>
              <w:rPr>
                <w:sz w:val="20"/>
                <w:lang w:val="fr-CA"/>
              </w:rPr>
            </w:pPr>
            <w:r>
              <w:rPr>
                <w:sz w:val="20"/>
                <w:lang w:val="fr-CA"/>
              </w:rPr>
              <w:t xml:space="preserve">Avis de mise en cause radié </w:t>
            </w:r>
          </w:p>
        </w:tc>
      </w:tr>
    </w:tbl>
    <w:p w:rsidR="00E42B92" w:rsidRDefault="00E42B92" w:rsidP="00E42B92">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E42B92" w:rsidRPr="001C2F5E" w:rsidTr="002D51BE">
        <w:tc>
          <w:tcPr>
            <w:tcW w:w="4536" w:type="dxa"/>
            <w:tcMar>
              <w:left w:w="0" w:type="dxa"/>
              <w:right w:w="0" w:type="dxa"/>
            </w:tcMar>
          </w:tcPr>
          <w:p w:rsidR="00E42B92" w:rsidRDefault="00E42B92" w:rsidP="002D51BE">
            <w:pPr>
              <w:keepNext/>
              <w:keepLines/>
              <w:widowControl w:val="0"/>
              <w:rPr>
                <w:sz w:val="20"/>
                <w:lang w:val="fr-CA"/>
              </w:rPr>
            </w:pPr>
            <w:r>
              <w:rPr>
                <w:sz w:val="20"/>
                <w:lang w:val="fr-CA"/>
              </w:rPr>
              <w:t>21 avril 2010</w:t>
            </w:r>
          </w:p>
          <w:p w:rsidR="00E42B92" w:rsidRDefault="00E42B92" w:rsidP="002D51BE">
            <w:pPr>
              <w:keepNext/>
              <w:keepLines/>
              <w:widowControl w:val="0"/>
              <w:rPr>
                <w:sz w:val="20"/>
                <w:lang w:val="fr-CA"/>
              </w:rPr>
            </w:pPr>
            <w:r>
              <w:rPr>
                <w:sz w:val="20"/>
                <w:lang w:val="fr-CA"/>
              </w:rPr>
              <w:t>Cour d’appel de la Colombie-Britannique (Vancouver)</w:t>
            </w:r>
          </w:p>
          <w:p w:rsidR="00E42B92" w:rsidRDefault="00E42B92" w:rsidP="002D51BE">
            <w:pPr>
              <w:keepNext/>
              <w:keepLines/>
              <w:widowControl w:val="0"/>
              <w:rPr>
                <w:sz w:val="20"/>
                <w:lang w:val="fr-CA"/>
              </w:rPr>
            </w:pPr>
            <w:r>
              <w:rPr>
                <w:sz w:val="20"/>
                <w:lang w:val="fr-CA"/>
              </w:rPr>
              <w:t xml:space="preserve">(Juges </w:t>
            </w:r>
            <w:proofErr w:type="spellStart"/>
            <w:r>
              <w:rPr>
                <w:sz w:val="20"/>
                <w:lang w:val="fr-CA"/>
              </w:rPr>
              <w:t>Saunders</w:t>
            </w:r>
            <w:proofErr w:type="spellEnd"/>
            <w:r>
              <w:rPr>
                <w:sz w:val="20"/>
                <w:lang w:val="fr-CA"/>
              </w:rPr>
              <w:t xml:space="preserve">, </w:t>
            </w:r>
            <w:proofErr w:type="spellStart"/>
            <w:r>
              <w:rPr>
                <w:sz w:val="20"/>
                <w:lang w:val="fr-CA"/>
              </w:rPr>
              <w:t>Neilson</w:t>
            </w:r>
            <w:proofErr w:type="spellEnd"/>
            <w:r>
              <w:rPr>
                <w:sz w:val="20"/>
                <w:lang w:val="fr-CA"/>
              </w:rPr>
              <w:t xml:space="preserve"> et </w:t>
            </w:r>
            <w:proofErr w:type="spellStart"/>
            <w:r>
              <w:rPr>
                <w:sz w:val="20"/>
                <w:lang w:val="fr-CA"/>
              </w:rPr>
              <w:t>Groberman</w:t>
            </w:r>
            <w:proofErr w:type="spellEnd"/>
            <w:r>
              <w:rPr>
                <w:sz w:val="20"/>
                <w:lang w:val="fr-CA"/>
              </w:rPr>
              <w:t>)</w:t>
            </w:r>
          </w:p>
          <w:p w:rsidR="00E42B92" w:rsidRDefault="00E42B92" w:rsidP="002D51BE">
            <w:pPr>
              <w:keepNext/>
              <w:keepLines/>
              <w:widowControl w:val="0"/>
              <w:rPr>
                <w:sz w:val="20"/>
                <w:lang w:val="fr-CA"/>
              </w:rPr>
            </w:pPr>
            <w:r>
              <w:rPr>
                <w:sz w:val="20"/>
                <w:lang w:val="fr-CA"/>
              </w:rPr>
              <w:t>2010 BCCA 192</w:t>
            </w:r>
          </w:p>
          <w:p w:rsidR="00E42B92" w:rsidRDefault="00E42B92" w:rsidP="002D51BE">
            <w:pPr>
              <w:keepNext/>
              <w:keepLines/>
              <w:widowControl w:val="0"/>
              <w:rPr>
                <w:sz w:val="20"/>
                <w:lang w:val="fr-CA"/>
              </w:rPr>
            </w:pPr>
            <w:r>
              <w:rPr>
                <w:sz w:val="20"/>
                <w:lang w:val="fr-CA"/>
              </w:rPr>
              <w:t>CA036561; CA036778</w:t>
            </w:r>
          </w:p>
        </w:tc>
        <w:tc>
          <w:tcPr>
            <w:tcW w:w="288" w:type="dxa"/>
            <w:tcMar>
              <w:left w:w="0" w:type="dxa"/>
              <w:right w:w="0" w:type="dxa"/>
            </w:tcMar>
          </w:tcPr>
          <w:p w:rsidR="00E42B92" w:rsidRDefault="00E42B92" w:rsidP="002D51BE">
            <w:pPr>
              <w:keepLines/>
              <w:widowControl w:val="0"/>
              <w:rPr>
                <w:sz w:val="20"/>
                <w:lang w:val="fr-CA"/>
              </w:rPr>
            </w:pPr>
          </w:p>
        </w:tc>
        <w:tc>
          <w:tcPr>
            <w:tcW w:w="4536" w:type="dxa"/>
            <w:tcMar>
              <w:left w:w="0" w:type="dxa"/>
              <w:right w:w="0" w:type="dxa"/>
            </w:tcMar>
          </w:tcPr>
          <w:p w:rsidR="00E42B92" w:rsidRDefault="00E42B92" w:rsidP="004B3466">
            <w:pPr>
              <w:keepLines/>
              <w:widowControl w:val="0"/>
              <w:jc w:val="both"/>
              <w:rPr>
                <w:sz w:val="20"/>
                <w:lang w:val="fr-CA"/>
              </w:rPr>
            </w:pPr>
            <w:r>
              <w:rPr>
                <w:sz w:val="20"/>
                <w:lang w:val="fr-CA"/>
              </w:rPr>
              <w:t>Appel de Scott Management Ltd. et J.C. Scott Construction Ltd. accueilli, avis de mise en cause rétablis</w:t>
            </w:r>
          </w:p>
        </w:tc>
      </w:tr>
    </w:tbl>
    <w:p w:rsidR="00E42B92" w:rsidRDefault="00E42B92" w:rsidP="00E42B92">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lang w:val="fr-CA"/>
              </w:rPr>
            </w:pPr>
            <w:r>
              <w:rPr>
                <w:sz w:val="20"/>
                <w:lang w:val="fr-CA"/>
              </w:rPr>
              <w:t>17 juin 2010</w:t>
            </w:r>
          </w:p>
          <w:p w:rsidR="00E42B92" w:rsidRDefault="00E42B92" w:rsidP="002D51BE">
            <w:pPr>
              <w:keepNext/>
              <w:keepLines/>
              <w:widowControl w:val="0"/>
              <w:rPr>
                <w:sz w:val="20"/>
                <w:lang w:val="fr-CA"/>
              </w:rPr>
            </w:pPr>
            <w:r>
              <w:rPr>
                <w:sz w:val="20"/>
                <w:lang w:val="fr-CA"/>
              </w:rPr>
              <w:t>Cour suprême du Canada</w:t>
            </w:r>
          </w:p>
        </w:tc>
        <w:tc>
          <w:tcPr>
            <w:tcW w:w="288" w:type="dxa"/>
            <w:tcMar>
              <w:left w:w="0" w:type="dxa"/>
              <w:right w:w="0" w:type="dxa"/>
            </w:tcMar>
          </w:tcPr>
          <w:p w:rsidR="00E42B92" w:rsidRDefault="00E42B92" w:rsidP="002D51BE">
            <w:pPr>
              <w:keepNext/>
              <w:keepLines/>
              <w:widowControl w:val="0"/>
              <w:rPr>
                <w:sz w:val="20"/>
                <w:lang w:val="fr-CA"/>
              </w:rPr>
            </w:pPr>
          </w:p>
        </w:tc>
        <w:tc>
          <w:tcPr>
            <w:tcW w:w="4536" w:type="dxa"/>
            <w:tcMar>
              <w:left w:w="0" w:type="dxa"/>
              <w:right w:w="0" w:type="dxa"/>
            </w:tcMar>
          </w:tcPr>
          <w:p w:rsidR="00E42B92" w:rsidRDefault="00E42B92" w:rsidP="002D51BE">
            <w:pPr>
              <w:keepLines/>
              <w:widowControl w:val="0"/>
              <w:rPr>
                <w:sz w:val="20"/>
                <w:lang w:val="fr-CA"/>
              </w:rPr>
            </w:pPr>
            <w:r>
              <w:rPr>
                <w:sz w:val="20"/>
                <w:lang w:val="fr-CA"/>
              </w:rPr>
              <w:t>Demande d’autorisation d’appel, déposée</w:t>
            </w:r>
          </w:p>
          <w:p w:rsidR="00E42B92" w:rsidRDefault="00E42B92" w:rsidP="002D51BE">
            <w:pPr>
              <w:widowControl w:val="0"/>
              <w:rPr>
                <w:sz w:val="20"/>
                <w:lang w:val="fr-CA"/>
              </w:rPr>
            </w:pPr>
          </w:p>
        </w:tc>
      </w:tr>
    </w:tbl>
    <w:p w:rsidR="00E42B92" w:rsidRDefault="00E42B92" w:rsidP="00E42B92">
      <w:pPr>
        <w:widowControl w:val="0"/>
        <w:rPr>
          <w:sz w:val="20"/>
          <w:lang w:val="fr-CA"/>
        </w:rPr>
      </w:pPr>
    </w:p>
    <w:p w:rsidR="007F53EF" w:rsidRPr="00C50A5C" w:rsidRDefault="00857426" w:rsidP="007F53EF">
      <w:pPr>
        <w:rPr>
          <w:sz w:val="20"/>
          <w:szCs w:val="20"/>
        </w:rPr>
      </w:pPr>
      <w:r w:rsidRPr="00857426">
        <w:rPr>
          <w:sz w:val="20"/>
          <w:szCs w:val="20"/>
          <w:lang w:val="fr-CA"/>
        </w:rPr>
        <w:pict>
          <v:rect id="_x0000_i1049" style="width:2in;height:1pt" o:hrpct="0" o:hralign="center" o:hrstd="t" o:hrnoshade="t" o:hr="t" fillcolor="black [3213]" stroked="f"/>
        </w:pict>
      </w:r>
    </w:p>
    <w:p w:rsidR="007F53EF" w:rsidRDefault="007F53EF" w:rsidP="007F53E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93B78" w:rsidRPr="00193B78" w:rsidTr="007514A6">
        <w:trPr>
          <w:cantSplit/>
        </w:trPr>
        <w:tc>
          <w:tcPr>
            <w:tcW w:w="1458" w:type="dxa"/>
          </w:tcPr>
          <w:p w:rsidR="00193B78" w:rsidRPr="00193B78" w:rsidRDefault="00193B78" w:rsidP="007514A6">
            <w:pPr>
              <w:rPr>
                <w:sz w:val="20"/>
                <w:szCs w:val="20"/>
              </w:rPr>
            </w:pPr>
            <w:r w:rsidRPr="00193B78">
              <w:rPr>
                <w:rStyle w:val="SCCFileNumberChar"/>
                <w:sz w:val="20"/>
                <w:szCs w:val="20"/>
              </w:rPr>
              <w:t>33745</w:t>
            </w:r>
          </w:p>
          <w:p w:rsidR="00193B78" w:rsidRPr="00193B78" w:rsidRDefault="00193B78" w:rsidP="007514A6">
            <w:pPr>
              <w:rPr>
                <w:b/>
                <w:sz w:val="20"/>
                <w:szCs w:val="20"/>
                <w:lang w:val="fr-CA"/>
              </w:rPr>
            </w:pPr>
          </w:p>
        </w:tc>
        <w:tc>
          <w:tcPr>
            <w:tcW w:w="8118" w:type="dxa"/>
          </w:tcPr>
          <w:p w:rsidR="00193B78" w:rsidRPr="00193B78" w:rsidRDefault="00193B78" w:rsidP="00193B78">
            <w:pPr>
              <w:jc w:val="both"/>
              <w:rPr>
                <w:sz w:val="20"/>
                <w:szCs w:val="20"/>
              </w:rPr>
            </w:pPr>
            <w:r w:rsidRPr="00193B78">
              <w:rPr>
                <w:rStyle w:val="SCCLsocChar"/>
                <w:sz w:val="20"/>
                <w:szCs w:val="20"/>
                <w:lang w:val="en-CA"/>
              </w:rPr>
              <w:t>Faculty Association of the University of British Columbia v. University of British Columbia</w:t>
            </w:r>
            <w:r w:rsidRPr="00193B78">
              <w:rPr>
                <w:sz w:val="20"/>
                <w:szCs w:val="20"/>
              </w:rPr>
              <w:t xml:space="preserve"> (B.C.) (Civil) (By Leave)</w:t>
            </w:r>
          </w:p>
          <w:p w:rsidR="00193B78" w:rsidRPr="00193B78" w:rsidRDefault="00193B78" w:rsidP="007514A6">
            <w:pPr>
              <w:rPr>
                <w:sz w:val="20"/>
                <w:szCs w:val="20"/>
              </w:rPr>
            </w:pPr>
          </w:p>
        </w:tc>
      </w:tr>
      <w:tr w:rsidR="00193B78" w:rsidRPr="00193B78" w:rsidTr="007514A6">
        <w:trPr>
          <w:cantSplit/>
        </w:trPr>
        <w:tc>
          <w:tcPr>
            <w:tcW w:w="1458" w:type="dxa"/>
          </w:tcPr>
          <w:p w:rsidR="00193B78" w:rsidRPr="00193B78" w:rsidRDefault="00193B78" w:rsidP="007514A6">
            <w:pPr>
              <w:rPr>
                <w:sz w:val="20"/>
                <w:szCs w:val="20"/>
              </w:rPr>
            </w:pPr>
            <w:r w:rsidRPr="00193B78">
              <w:rPr>
                <w:sz w:val="20"/>
                <w:szCs w:val="20"/>
              </w:rPr>
              <w:t>Coram :</w:t>
            </w:r>
          </w:p>
        </w:tc>
        <w:tc>
          <w:tcPr>
            <w:tcW w:w="8118" w:type="dxa"/>
          </w:tcPr>
          <w:p w:rsidR="00193B78" w:rsidRPr="00193B78" w:rsidRDefault="00193B78" w:rsidP="007514A6">
            <w:pPr>
              <w:rPr>
                <w:sz w:val="20"/>
                <w:szCs w:val="20"/>
              </w:rPr>
            </w:pPr>
            <w:proofErr w:type="spellStart"/>
            <w:r w:rsidRPr="00193B78">
              <w:rPr>
                <w:rStyle w:val="SCCCoramChar"/>
                <w:sz w:val="20"/>
                <w:szCs w:val="20"/>
                <w:lang w:val="en-CA"/>
              </w:rPr>
              <w:t>McLachlin</w:t>
            </w:r>
            <w:proofErr w:type="spellEnd"/>
            <w:r w:rsidRPr="00193B78">
              <w:rPr>
                <w:rStyle w:val="SCCCoramChar"/>
                <w:sz w:val="20"/>
                <w:szCs w:val="20"/>
                <w:lang w:val="en-CA"/>
              </w:rPr>
              <w:t xml:space="preserve"> C.J. and </w:t>
            </w:r>
            <w:proofErr w:type="spellStart"/>
            <w:r w:rsidRPr="00193B78">
              <w:rPr>
                <w:rStyle w:val="SCCCoramChar"/>
                <w:sz w:val="20"/>
                <w:szCs w:val="20"/>
                <w:lang w:val="en-CA"/>
              </w:rPr>
              <w:t>Abella</w:t>
            </w:r>
            <w:proofErr w:type="spellEnd"/>
            <w:r w:rsidRPr="00193B78">
              <w:rPr>
                <w:rStyle w:val="SCCCoramChar"/>
                <w:sz w:val="20"/>
                <w:szCs w:val="20"/>
                <w:lang w:val="en-CA"/>
              </w:rPr>
              <w:t xml:space="preserve"> and Cromwell JJ.</w:t>
            </w:r>
          </w:p>
          <w:p w:rsidR="00193B78" w:rsidRPr="00193B78" w:rsidRDefault="00193B78" w:rsidP="007514A6">
            <w:pPr>
              <w:rPr>
                <w:sz w:val="20"/>
                <w:szCs w:val="20"/>
                <w:u w:val="single"/>
              </w:rPr>
            </w:pPr>
          </w:p>
        </w:tc>
      </w:tr>
      <w:tr w:rsidR="00193B78" w:rsidRPr="001C2F5E" w:rsidTr="007514A6">
        <w:trPr>
          <w:cantSplit/>
        </w:trPr>
        <w:tc>
          <w:tcPr>
            <w:tcW w:w="9576" w:type="dxa"/>
            <w:gridSpan w:val="2"/>
          </w:tcPr>
          <w:p w:rsidR="00193B78" w:rsidRPr="00193B78" w:rsidRDefault="00193B78" w:rsidP="007514A6">
            <w:pPr>
              <w:pStyle w:val="SCCShortJudgment"/>
              <w:rPr>
                <w:szCs w:val="20"/>
              </w:rPr>
            </w:pPr>
            <w:r w:rsidRPr="00193B78">
              <w:rPr>
                <w:szCs w:val="20"/>
              </w:rPr>
              <w:t>The application for leave to appeal from the judgment of the Court of Appeal for British Columbia (Vancouver), Number CA035974, 2010 BCCA 189, dated April 20, 2010, is dismissed with costs.</w:t>
            </w:r>
          </w:p>
          <w:p w:rsidR="00193B78" w:rsidRPr="00193B78" w:rsidRDefault="00193B78" w:rsidP="007514A6">
            <w:pPr>
              <w:pStyle w:val="SCCShortJudgment"/>
              <w:ind w:firstLine="0"/>
              <w:rPr>
                <w:szCs w:val="20"/>
              </w:rPr>
            </w:pPr>
          </w:p>
          <w:p w:rsidR="00193B78" w:rsidRPr="00193B78" w:rsidRDefault="00193B78" w:rsidP="00193B78">
            <w:pPr>
              <w:pStyle w:val="SCCShortJudgment"/>
              <w:rPr>
                <w:szCs w:val="20"/>
                <w:lang w:val="fr-CA"/>
              </w:rPr>
            </w:pPr>
            <w:r w:rsidRPr="00193B78">
              <w:rPr>
                <w:szCs w:val="20"/>
                <w:lang w:val="fr-CA"/>
              </w:rPr>
              <w:t>La demande d’autorisation d’appel de l’arrêt de la Cour d’appel de la Colombie-Britannique (Vancouver), numéro CA035974, 2010 BCCA 189, daté du 20 avril 2010, est rejetée avec dépens.</w:t>
            </w:r>
          </w:p>
        </w:tc>
      </w:tr>
    </w:tbl>
    <w:p w:rsidR="00193B78" w:rsidRPr="00193B78" w:rsidRDefault="00193B78" w:rsidP="007F53EF">
      <w:pPr>
        <w:rPr>
          <w:sz w:val="20"/>
          <w:szCs w:val="20"/>
          <w:lang w:val="fr-CA"/>
        </w:rPr>
      </w:pPr>
    </w:p>
    <w:p w:rsidR="007F53EF" w:rsidRPr="007F53EF" w:rsidRDefault="007F53EF" w:rsidP="007F53EF">
      <w:pPr>
        <w:rPr>
          <w:sz w:val="20"/>
          <w:szCs w:val="20"/>
          <w:u w:val="single"/>
        </w:rPr>
      </w:pPr>
      <w:r w:rsidRPr="007F53EF">
        <w:rPr>
          <w:sz w:val="20"/>
          <w:szCs w:val="20"/>
          <w:u w:val="single"/>
        </w:rPr>
        <w:t>CASE SUMMARY</w:t>
      </w:r>
    </w:p>
    <w:p w:rsidR="007F53EF" w:rsidRDefault="007F53EF" w:rsidP="007F53EF">
      <w:pPr>
        <w:rPr>
          <w:sz w:val="20"/>
          <w:szCs w:val="20"/>
        </w:rPr>
      </w:pPr>
    </w:p>
    <w:p w:rsidR="00E42B92" w:rsidRPr="00E726E1" w:rsidRDefault="00E42B92" w:rsidP="00E42B92">
      <w:pPr>
        <w:widowControl w:val="0"/>
        <w:jc w:val="both"/>
        <w:rPr>
          <w:sz w:val="20"/>
        </w:rPr>
      </w:pPr>
      <w:r w:rsidRPr="00E726E1">
        <w:rPr>
          <w:sz w:val="20"/>
        </w:rPr>
        <w:t xml:space="preserve">Administrative law - Colleges &amp; universities - Jurisdiction - Statutes - Jurisdiction of Arbitration Board -  Arbitration Board does not have jurisdiction over the content of the UBC’s Senate’s Policy on student evaluations of teaching - Whether, assuming there was a conflict between provisions of the Policy and provisions of the Collective Agreement, </w:t>
      </w:r>
      <w:r w:rsidRPr="00E726E1">
        <w:rPr>
          <w:sz w:val="20"/>
        </w:rPr>
        <w:lastRenderedPageBreak/>
        <w:t xml:space="preserve">the Arbitration Board had jurisdiction over the Policy such that it could grant a final and binding resolution of the real dispute between the parties - What is the relationship between the statutory powers of an employer and the collective bargaining rights of its employees - Whether “harmonization” principle applicable - Freedom of association in the context of labour relations -  </w:t>
      </w:r>
      <w:r w:rsidRPr="00E726E1">
        <w:rPr>
          <w:i/>
          <w:sz w:val="20"/>
        </w:rPr>
        <w:t>University Act</w:t>
      </w:r>
      <w:r w:rsidRPr="00E726E1">
        <w:rPr>
          <w:sz w:val="20"/>
        </w:rPr>
        <w:t>, R.S.B.C. 1996, c. 468.</w:t>
      </w:r>
    </w:p>
    <w:p w:rsidR="00E42B92" w:rsidRPr="00E726E1" w:rsidRDefault="00E42B92" w:rsidP="00E42B92">
      <w:pPr>
        <w:widowControl w:val="0"/>
        <w:jc w:val="both"/>
        <w:rPr>
          <w:sz w:val="20"/>
        </w:rPr>
      </w:pPr>
    </w:p>
    <w:p w:rsidR="00E42B92" w:rsidRDefault="00E42B92" w:rsidP="00E42B92">
      <w:pPr>
        <w:widowControl w:val="0"/>
        <w:jc w:val="both"/>
        <w:rPr>
          <w:sz w:val="20"/>
          <w:lang w:val="fr-CA"/>
        </w:rPr>
      </w:pPr>
      <w:r w:rsidRPr="00E726E1">
        <w:rPr>
          <w:sz w:val="20"/>
        </w:rPr>
        <w:t xml:space="preserve">The Faculty Association of the University of British Columbia brought a grievance with respect to the University of British Columbia Senate Policy on Student Evaluation of Teaching (the Policy), alleging that the Policy is in violation of the Collective Agreement between the Faculty Association and the University of British Columbia (UBC). UBC raised a preliminary objection to the jurisdiction of the Arbitrator to review the Policy. The Arbitrator gave effect to the preliminary objection of UBC and concluded that this Arbitration Board does not have jurisdiction over the content of the UBC’s Policy. </w:t>
      </w:r>
      <w:r>
        <w:rPr>
          <w:sz w:val="20"/>
          <w:lang w:val="fr-CA"/>
        </w:rPr>
        <w:t xml:space="preserve">The Court of </w:t>
      </w:r>
      <w:proofErr w:type="spellStart"/>
      <w:r>
        <w:rPr>
          <w:sz w:val="20"/>
          <w:lang w:val="fr-CA"/>
        </w:rPr>
        <w:t>Appeal</w:t>
      </w:r>
      <w:proofErr w:type="spellEnd"/>
      <w:r>
        <w:rPr>
          <w:sz w:val="20"/>
          <w:lang w:val="fr-CA"/>
        </w:rPr>
        <w:t xml:space="preserve"> </w:t>
      </w:r>
      <w:proofErr w:type="spellStart"/>
      <w:r>
        <w:rPr>
          <w:sz w:val="20"/>
          <w:lang w:val="fr-CA"/>
        </w:rPr>
        <w:t>dismissed</w:t>
      </w:r>
      <w:proofErr w:type="spellEnd"/>
      <w:r>
        <w:rPr>
          <w:sz w:val="20"/>
          <w:lang w:val="fr-CA"/>
        </w:rPr>
        <w:t xml:space="preserve"> the </w:t>
      </w:r>
      <w:proofErr w:type="spellStart"/>
      <w:r>
        <w:rPr>
          <w:sz w:val="20"/>
          <w:lang w:val="fr-CA"/>
        </w:rPr>
        <w:t>appeal</w:t>
      </w:r>
      <w:proofErr w:type="spellEnd"/>
      <w:r>
        <w:rPr>
          <w:sz w:val="20"/>
          <w:lang w:val="fr-CA"/>
        </w:rPr>
        <w:t>.</w:t>
      </w:r>
    </w:p>
    <w:p w:rsidR="00E42B92" w:rsidRDefault="00E42B92" w:rsidP="00E42B92">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Pr="00E726E1" w:rsidRDefault="00E42B92" w:rsidP="002D51BE">
            <w:pPr>
              <w:keepNext/>
              <w:keepLines/>
              <w:widowControl w:val="0"/>
              <w:rPr>
                <w:sz w:val="20"/>
              </w:rPr>
            </w:pPr>
            <w:r w:rsidRPr="00E726E1">
              <w:rPr>
                <w:sz w:val="20"/>
              </w:rPr>
              <w:t>March 12, 2008</w:t>
            </w:r>
          </w:p>
          <w:p w:rsidR="00E42B92" w:rsidRPr="00E726E1" w:rsidRDefault="00E42B92" w:rsidP="002D51BE">
            <w:pPr>
              <w:keepNext/>
              <w:keepLines/>
              <w:widowControl w:val="0"/>
              <w:rPr>
                <w:sz w:val="20"/>
              </w:rPr>
            </w:pPr>
            <w:r w:rsidRPr="00E726E1">
              <w:rPr>
                <w:sz w:val="20"/>
              </w:rPr>
              <w:t>Vancouver Arbitration Board</w:t>
            </w:r>
          </w:p>
          <w:p w:rsidR="00E42B92" w:rsidRPr="00E726E1" w:rsidRDefault="00E42B92" w:rsidP="002D51BE">
            <w:pPr>
              <w:keepNext/>
              <w:keepLines/>
              <w:widowControl w:val="0"/>
              <w:rPr>
                <w:sz w:val="20"/>
              </w:rPr>
            </w:pPr>
            <w:r w:rsidRPr="00E726E1">
              <w:rPr>
                <w:sz w:val="20"/>
              </w:rPr>
              <w:t>(</w:t>
            </w:r>
            <w:proofErr w:type="spellStart"/>
            <w:r w:rsidRPr="00E726E1">
              <w:rPr>
                <w:sz w:val="20"/>
              </w:rPr>
              <w:t>McPhillips</w:t>
            </w:r>
            <w:proofErr w:type="spellEnd"/>
            <w:r w:rsidRPr="00E726E1">
              <w:rPr>
                <w:sz w:val="20"/>
              </w:rPr>
              <w:t>, Arbitrator)</w:t>
            </w:r>
          </w:p>
        </w:tc>
        <w:tc>
          <w:tcPr>
            <w:tcW w:w="288" w:type="dxa"/>
            <w:tcMar>
              <w:left w:w="0" w:type="dxa"/>
              <w:right w:w="0" w:type="dxa"/>
            </w:tcMar>
          </w:tcPr>
          <w:p w:rsidR="00E42B92" w:rsidRPr="00E726E1" w:rsidRDefault="00E42B92" w:rsidP="002D51BE">
            <w:pPr>
              <w:keepLines/>
              <w:widowControl w:val="0"/>
              <w:rPr>
                <w:sz w:val="20"/>
              </w:rPr>
            </w:pPr>
          </w:p>
        </w:tc>
        <w:tc>
          <w:tcPr>
            <w:tcW w:w="4536" w:type="dxa"/>
            <w:tcMar>
              <w:left w:w="0" w:type="dxa"/>
              <w:right w:w="0" w:type="dxa"/>
            </w:tcMar>
          </w:tcPr>
          <w:p w:rsidR="00E42B92" w:rsidRPr="00E726E1" w:rsidRDefault="00E42B92" w:rsidP="004B3466">
            <w:pPr>
              <w:keepLines/>
              <w:widowControl w:val="0"/>
              <w:jc w:val="both"/>
              <w:rPr>
                <w:sz w:val="20"/>
              </w:rPr>
            </w:pPr>
            <w:r w:rsidRPr="00E726E1">
              <w:rPr>
                <w:sz w:val="20"/>
              </w:rPr>
              <w:t>University’s objection upheld: Arbitration Board does not have jurisdiction over the content of the UBC’s Senate’s Policy on student evaluations of teaching</w:t>
            </w:r>
          </w:p>
        </w:tc>
      </w:tr>
    </w:tbl>
    <w:p w:rsidR="00E42B92" w:rsidRPr="00E726E1" w:rsidRDefault="00E42B92" w:rsidP="00E42B92">
      <w:pPr>
        <w:widowControl w:val="0"/>
        <w:rPr>
          <w:sz w:val="20"/>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Pr="00E726E1" w:rsidRDefault="00E42B92" w:rsidP="002D51BE">
            <w:pPr>
              <w:keepNext/>
              <w:keepLines/>
              <w:widowControl w:val="0"/>
              <w:rPr>
                <w:sz w:val="20"/>
              </w:rPr>
            </w:pPr>
            <w:r w:rsidRPr="00E726E1">
              <w:rPr>
                <w:sz w:val="20"/>
              </w:rPr>
              <w:t>April 20, 2010</w:t>
            </w:r>
          </w:p>
          <w:p w:rsidR="00E42B92" w:rsidRPr="00E726E1" w:rsidRDefault="00E42B92" w:rsidP="002D51BE">
            <w:pPr>
              <w:keepNext/>
              <w:keepLines/>
              <w:widowControl w:val="0"/>
              <w:rPr>
                <w:sz w:val="20"/>
              </w:rPr>
            </w:pPr>
            <w:r w:rsidRPr="00E726E1">
              <w:rPr>
                <w:sz w:val="20"/>
              </w:rPr>
              <w:t>Court of Appeal for British Columbia</w:t>
            </w:r>
          </w:p>
          <w:p w:rsidR="00E42B92" w:rsidRDefault="00E42B92" w:rsidP="002D51BE">
            <w:pPr>
              <w:keepNext/>
              <w:keepLines/>
              <w:widowControl w:val="0"/>
              <w:rPr>
                <w:sz w:val="20"/>
                <w:lang w:val="fr-CA"/>
              </w:rPr>
            </w:pPr>
            <w:r>
              <w:rPr>
                <w:sz w:val="20"/>
                <w:lang w:val="fr-CA"/>
              </w:rPr>
              <w:t>(Vancouver)</w:t>
            </w:r>
          </w:p>
          <w:p w:rsidR="00E42B92" w:rsidRDefault="00E42B92" w:rsidP="002D51BE">
            <w:pPr>
              <w:keepNext/>
              <w:keepLines/>
              <w:widowControl w:val="0"/>
              <w:rPr>
                <w:sz w:val="20"/>
                <w:lang w:val="fr-CA"/>
              </w:rPr>
            </w:pPr>
            <w:r>
              <w:rPr>
                <w:sz w:val="20"/>
                <w:lang w:val="fr-CA"/>
              </w:rPr>
              <w:t>(</w:t>
            </w:r>
            <w:proofErr w:type="spellStart"/>
            <w:r>
              <w:rPr>
                <w:sz w:val="20"/>
                <w:lang w:val="fr-CA"/>
              </w:rPr>
              <w:t>Prowse</w:t>
            </w:r>
            <w:proofErr w:type="spellEnd"/>
            <w:r>
              <w:rPr>
                <w:sz w:val="20"/>
                <w:lang w:val="fr-CA"/>
              </w:rPr>
              <w:t xml:space="preserve">, Lowry, </w:t>
            </w:r>
            <w:proofErr w:type="spellStart"/>
            <w:r>
              <w:rPr>
                <w:sz w:val="20"/>
                <w:lang w:val="fr-CA"/>
              </w:rPr>
              <w:t>Neilson</w:t>
            </w:r>
            <w:proofErr w:type="spellEnd"/>
            <w:r>
              <w:rPr>
                <w:sz w:val="20"/>
                <w:lang w:val="fr-CA"/>
              </w:rPr>
              <w:t xml:space="preserve"> JJ.A.)</w:t>
            </w:r>
          </w:p>
          <w:p w:rsidR="00E42B92" w:rsidRDefault="00E42B92" w:rsidP="002D51BE">
            <w:pPr>
              <w:keepNext/>
              <w:keepLines/>
              <w:widowControl w:val="0"/>
              <w:rPr>
                <w:sz w:val="20"/>
                <w:lang w:val="fr-CA"/>
              </w:rPr>
            </w:pPr>
            <w:r>
              <w:rPr>
                <w:sz w:val="20"/>
                <w:lang w:val="fr-CA"/>
              </w:rPr>
              <w:t>2010 BCCA 189</w:t>
            </w:r>
          </w:p>
        </w:tc>
        <w:tc>
          <w:tcPr>
            <w:tcW w:w="288" w:type="dxa"/>
            <w:tcMar>
              <w:left w:w="0" w:type="dxa"/>
              <w:right w:w="0" w:type="dxa"/>
            </w:tcMar>
          </w:tcPr>
          <w:p w:rsidR="00E42B92" w:rsidRDefault="00E42B92" w:rsidP="002D51BE">
            <w:pPr>
              <w:keepLines/>
              <w:widowControl w:val="0"/>
              <w:rPr>
                <w:sz w:val="20"/>
                <w:lang w:val="fr-CA"/>
              </w:rPr>
            </w:pPr>
          </w:p>
        </w:tc>
        <w:tc>
          <w:tcPr>
            <w:tcW w:w="4536" w:type="dxa"/>
            <w:tcMar>
              <w:left w:w="0" w:type="dxa"/>
              <w:right w:w="0" w:type="dxa"/>
            </w:tcMar>
          </w:tcPr>
          <w:p w:rsidR="00E42B92" w:rsidRDefault="00E42B92" w:rsidP="002D51BE">
            <w:pPr>
              <w:keepLines/>
              <w:widowControl w:val="0"/>
              <w:rPr>
                <w:sz w:val="20"/>
                <w:lang w:val="fr-CA"/>
              </w:rPr>
            </w:pPr>
            <w:proofErr w:type="spellStart"/>
            <w:r>
              <w:rPr>
                <w:sz w:val="20"/>
                <w:lang w:val="fr-CA"/>
              </w:rPr>
              <w:t>Appeal</w:t>
            </w:r>
            <w:proofErr w:type="spellEnd"/>
            <w:r>
              <w:rPr>
                <w:sz w:val="20"/>
                <w:lang w:val="fr-CA"/>
              </w:rPr>
              <w:t xml:space="preserve"> </w:t>
            </w:r>
            <w:proofErr w:type="spellStart"/>
            <w:r>
              <w:rPr>
                <w:sz w:val="20"/>
                <w:lang w:val="fr-CA"/>
              </w:rPr>
              <w:t>dismissed</w:t>
            </w:r>
            <w:proofErr w:type="spellEnd"/>
            <w:r>
              <w:rPr>
                <w:sz w:val="20"/>
                <w:lang w:val="fr-CA"/>
              </w:rPr>
              <w:t xml:space="preserve"> </w:t>
            </w:r>
            <w:proofErr w:type="spellStart"/>
            <w:r>
              <w:rPr>
                <w:sz w:val="20"/>
                <w:lang w:val="fr-CA"/>
              </w:rPr>
              <w:t>with</w:t>
            </w:r>
            <w:proofErr w:type="spellEnd"/>
            <w:r>
              <w:rPr>
                <w:sz w:val="20"/>
                <w:lang w:val="fr-CA"/>
              </w:rPr>
              <w:t xml:space="preserve"> </w:t>
            </w:r>
            <w:proofErr w:type="spellStart"/>
            <w:r>
              <w:rPr>
                <w:sz w:val="20"/>
                <w:lang w:val="fr-CA"/>
              </w:rPr>
              <w:t>costs</w:t>
            </w:r>
            <w:proofErr w:type="spellEnd"/>
          </w:p>
        </w:tc>
      </w:tr>
    </w:tbl>
    <w:p w:rsidR="00E42B92" w:rsidRDefault="00E42B92" w:rsidP="00E42B92">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Pr="00E726E1" w:rsidRDefault="00E42B92" w:rsidP="002D51BE">
            <w:pPr>
              <w:keepNext/>
              <w:keepLines/>
              <w:widowControl w:val="0"/>
              <w:rPr>
                <w:sz w:val="20"/>
              </w:rPr>
            </w:pPr>
            <w:r w:rsidRPr="00E726E1">
              <w:rPr>
                <w:sz w:val="20"/>
              </w:rPr>
              <w:t>June 21, 2010</w:t>
            </w:r>
          </w:p>
          <w:p w:rsidR="00E42B92" w:rsidRPr="00E726E1" w:rsidRDefault="00E42B92" w:rsidP="002D51BE">
            <w:pPr>
              <w:keepNext/>
              <w:keepLines/>
              <w:widowControl w:val="0"/>
              <w:rPr>
                <w:sz w:val="20"/>
              </w:rPr>
            </w:pPr>
            <w:r w:rsidRPr="00E726E1">
              <w:rPr>
                <w:sz w:val="20"/>
              </w:rPr>
              <w:t>Supreme Court of Canada</w:t>
            </w:r>
          </w:p>
        </w:tc>
        <w:tc>
          <w:tcPr>
            <w:tcW w:w="288" w:type="dxa"/>
            <w:tcMar>
              <w:left w:w="0" w:type="dxa"/>
              <w:right w:w="0" w:type="dxa"/>
            </w:tcMar>
          </w:tcPr>
          <w:p w:rsidR="00E42B92" w:rsidRPr="00E726E1" w:rsidRDefault="00E42B92" w:rsidP="002D51BE">
            <w:pPr>
              <w:keepLines/>
              <w:widowControl w:val="0"/>
              <w:rPr>
                <w:sz w:val="20"/>
              </w:rPr>
            </w:pPr>
          </w:p>
        </w:tc>
        <w:tc>
          <w:tcPr>
            <w:tcW w:w="4536" w:type="dxa"/>
            <w:tcMar>
              <w:left w:w="0" w:type="dxa"/>
              <w:right w:w="0" w:type="dxa"/>
            </w:tcMar>
          </w:tcPr>
          <w:p w:rsidR="00E42B92" w:rsidRPr="00E726E1" w:rsidRDefault="00E42B92" w:rsidP="002D51BE">
            <w:pPr>
              <w:keepLines/>
              <w:widowControl w:val="0"/>
              <w:rPr>
                <w:sz w:val="20"/>
              </w:rPr>
            </w:pPr>
            <w:r w:rsidRPr="00E726E1">
              <w:rPr>
                <w:sz w:val="20"/>
              </w:rPr>
              <w:t>Application for leave to appeal filed</w:t>
            </w:r>
          </w:p>
        </w:tc>
      </w:tr>
    </w:tbl>
    <w:p w:rsidR="00E42B92" w:rsidRPr="00E726E1" w:rsidRDefault="00E42B92" w:rsidP="00E42B92">
      <w:pPr>
        <w:widowControl w:val="0"/>
        <w:rPr>
          <w:sz w:val="20"/>
        </w:rPr>
      </w:pPr>
    </w:p>
    <w:p w:rsidR="007F53EF" w:rsidRPr="007F53EF" w:rsidRDefault="00857426" w:rsidP="007F53EF">
      <w:pPr>
        <w:rPr>
          <w:sz w:val="20"/>
          <w:szCs w:val="20"/>
        </w:rPr>
      </w:pPr>
      <w:r w:rsidRPr="00857426">
        <w:rPr>
          <w:sz w:val="20"/>
          <w:szCs w:val="20"/>
          <w:lang w:val="fr-CA"/>
        </w:rPr>
        <w:pict>
          <v:rect id="_x0000_i1050" style="width:2in;height:1pt" o:hrpct="0" o:hralign="center" o:hrstd="t" o:hrnoshade="t" o:hr="t" fillcolor="black [3213]" stroked="f"/>
        </w:pict>
      </w:r>
    </w:p>
    <w:p w:rsidR="007F53EF" w:rsidRDefault="007F53EF" w:rsidP="007F53EF">
      <w:pPr>
        <w:rPr>
          <w:sz w:val="20"/>
          <w:szCs w:val="20"/>
        </w:rPr>
      </w:pPr>
    </w:p>
    <w:p w:rsidR="007F53EF" w:rsidRPr="00E42B92" w:rsidRDefault="007F53EF" w:rsidP="007F53EF">
      <w:pPr>
        <w:jc w:val="both"/>
        <w:rPr>
          <w:sz w:val="20"/>
          <w:szCs w:val="20"/>
          <w:lang w:val="fr-CA"/>
        </w:rPr>
      </w:pPr>
      <w:r w:rsidRPr="00E42B92">
        <w:rPr>
          <w:sz w:val="20"/>
          <w:szCs w:val="20"/>
          <w:u w:val="single"/>
          <w:lang w:val="fr-CA"/>
        </w:rPr>
        <w:t>RÉSUMÉ DE L’AFFAIRE</w:t>
      </w:r>
    </w:p>
    <w:p w:rsidR="007F53EF" w:rsidRPr="00E42B92" w:rsidRDefault="007F53EF" w:rsidP="007F53EF">
      <w:pPr>
        <w:rPr>
          <w:sz w:val="20"/>
          <w:szCs w:val="20"/>
          <w:lang w:val="fr-CA"/>
        </w:rPr>
      </w:pPr>
    </w:p>
    <w:p w:rsidR="00E42B92" w:rsidRDefault="00E42B92" w:rsidP="00E42B92">
      <w:pPr>
        <w:widowControl w:val="0"/>
        <w:jc w:val="both"/>
        <w:rPr>
          <w:sz w:val="20"/>
          <w:lang w:val="fr-CA"/>
        </w:rPr>
      </w:pPr>
      <w:r>
        <w:rPr>
          <w:sz w:val="20"/>
          <w:lang w:val="fr-CA"/>
        </w:rPr>
        <w:t xml:space="preserve">Droit administratif - Collèges et universités - Compétence - Lois - Compétence du conseil d’arbitrage - Le conseil d’arbitrage n’a pas compétence à l’égard du contenu de la politique du sénat de l’université intimée portant sur les évaluations de l’enseignement par les étudiants - En présumant qu’il y avait un conflit entre les dispositions de la politique et les dispositions de la convention collective, le conseil d’arbitrage avait-il compétence à l’égard de la politique, lui permettant de rendre une sentence finale et obligatoire ayant pour effet de régler le différend réel opposant les parties? - Quel est le rapport entre les pouvoirs légaux de l’employeur et les droits de ses employés fondés sur la convention collective? - Le principe de l’ « harmonisation » est-il applicable? - Liberté d’association dans le contexte des relations du travail - </w:t>
      </w:r>
      <w:proofErr w:type="spellStart"/>
      <w:r>
        <w:rPr>
          <w:i/>
          <w:sz w:val="20"/>
          <w:lang w:val="fr-CA"/>
        </w:rPr>
        <w:t>University</w:t>
      </w:r>
      <w:proofErr w:type="spellEnd"/>
      <w:r>
        <w:rPr>
          <w:i/>
          <w:sz w:val="20"/>
          <w:lang w:val="fr-CA"/>
        </w:rPr>
        <w:t xml:space="preserve"> </w:t>
      </w:r>
      <w:proofErr w:type="spellStart"/>
      <w:r>
        <w:rPr>
          <w:i/>
          <w:sz w:val="20"/>
          <w:lang w:val="fr-CA"/>
        </w:rPr>
        <w:t>Act</w:t>
      </w:r>
      <w:proofErr w:type="spellEnd"/>
      <w:r>
        <w:rPr>
          <w:sz w:val="20"/>
          <w:lang w:val="fr-CA"/>
        </w:rPr>
        <w:t>, R.S.B.C. 1996, ch. 468.</w:t>
      </w:r>
    </w:p>
    <w:p w:rsidR="00E42B92" w:rsidRDefault="00E42B92" w:rsidP="00E42B92">
      <w:pPr>
        <w:widowControl w:val="0"/>
        <w:jc w:val="both"/>
        <w:rPr>
          <w:sz w:val="20"/>
          <w:lang w:val="fr-CA"/>
        </w:rPr>
      </w:pPr>
    </w:p>
    <w:p w:rsidR="00E42B92" w:rsidRDefault="00E42B92" w:rsidP="00E42B92">
      <w:pPr>
        <w:widowControl w:val="0"/>
        <w:jc w:val="both"/>
        <w:rPr>
          <w:sz w:val="20"/>
          <w:lang w:val="fr-CA"/>
        </w:rPr>
      </w:pPr>
      <w:r>
        <w:rPr>
          <w:sz w:val="20"/>
          <w:lang w:val="fr-CA"/>
        </w:rPr>
        <w:t>L’association des professeurs de l’université intimée (l’association) a déposé un grief à l’égard de la politique du sénat de l’université portant sur les évaluations de l’enseignement par les étudiants (la politique), alléguant que la politique violait la convention collective entre l’association et l’université.  L’université a soulevé une contestation préliminaire de la compétence de l’arbitre de contrôler la politique.  L’arbitre a accueilli la contestation préliminaire de l’université et a conclu que le conseil d’arbitrage en l’espèce n’avait pas compétence à l’égard du contenu de la politique de l’université.  La Cour d’appel a rejeté l’appel.</w:t>
      </w:r>
    </w:p>
    <w:p w:rsidR="00E42B92" w:rsidRDefault="00E42B92" w:rsidP="00E42B92">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E42B92" w:rsidRPr="001C2F5E" w:rsidTr="002D51BE">
        <w:tc>
          <w:tcPr>
            <w:tcW w:w="4536" w:type="dxa"/>
            <w:tcMar>
              <w:left w:w="0" w:type="dxa"/>
              <w:right w:w="0" w:type="dxa"/>
            </w:tcMar>
          </w:tcPr>
          <w:p w:rsidR="00E42B92" w:rsidRDefault="00E42B92" w:rsidP="002D51BE">
            <w:pPr>
              <w:keepNext/>
              <w:keepLines/>
              <w:widowControl w:val="0"/>
              <w:rPr>
                <w:sz w:val="20"/>
                <w:lang w:val="fr-CA"/>
              </w:rPr>
            </w:pPr>
            <w:r>
              <w:rPr>
                <w:sz w:val="20"/>
                <w:lang w:val="fr-CA"/>
              </w:rPr>
              <w:t>12 mars 2008</w:t>
            </w:r>
          </w:p>
          <w:p w:rsidR="00E42B92" w:rsidRDefault="00E42B92" w:rsidP="002D51BE">
            <w:pPr>
              <w:keepNext/>
              <w:keepLines/>
              <w:widowControl w:val="0"/>
              <w:rPr>
                <w:sz w:val="20"/>
                <w:lang w:val="fr-CA"/>
              </w:rPr>
            </w:pPr>
            <w:r>
              <w:rPr>
                <w:sz w:val="20"/>
                <w:lang w:val="fr-CA"/>
              </w:rPr>
              <w:t>Conseil d’arbitrage de Vancouver</w:t>
            </w:r>
          </w:p>
          <w:p w:rsidR="00E42B92" w:rsidRDefault="00E42B92" w:rsidP="002D51BE">
            <w:pPr>
              <w:keepNext/>
              <w:keepLines/>
              <w:widowControl w:val="0"/>
              <w:rPr>
                <w:sz w:val="20"/>
                <w:lang w:val="fr-CA"/>
              </w:rPr>
            </w:pPr>
            <w:r>
              <w:rPr>
                <w:sz w:val="20"/>
                <w:lang w:val="fr-CA"/>
              </w:rPr>
              <w:t xml:space="preserve">(Arbitre </w:t>
            </w:r>
            <w:proofErr w:type="spellStart"/>
            <w:r>
              <w:rPr>
                <w:sz w:val="20"/>
                <w:lang w:val="fr-CA"/>
              </w:rPr>
              <w:t>McPhillips</w:t>
            </w:r>
            <w:proofErr w:type="spellEnd"/>
            <w:r>
              <w:rPr>
                <w:sz w:val="20"/>
                <w:lang w:val="fr-CA"/>
              </w:rPr>
              <w:t>)</w:t>
            </w:r>
          </w:p>
        </w:tc>
        <w:tc>
          <w:tcPr>
            <w:tcW w:w="288" w:type="dxa"/>
            <w:tcMar>
              <w:left w:w="0" w:type="dxa"/>
              <w:right w:w="0" w:type="dxa"/>
            </w:tcMar>
          </w:tcPr>
          <w:p w:rsidR="00E42B92" w:rsidRDefault="00E42B92" w:rsidP="002D51BE">
            <w:pPr>
              <w:keepLines/>
              <w:widowControl w:val="0"/>
              <w:rPr>
                <w:sz w:val="20"/>
                <w:lang w:val="fr-CA"/>
              </w:rPr>
            </w:pPr>
          </w:p>
        </w:tc>
        <w:tc>
          <w:tcPr>
            <w:tcW w:w="4536" w:type="dxa"/>
            <w:tcMar>
              <w:left w:w="0" w:type="dxa"/>
              <w:right w:w="0" w:type="dxa"/>
            </w:tcMar>
          </w:tcPr>
          <w:p w:rsidR="00E42B92" w:rsidRDefault="00E42B92" w:rsidP="004B3466">
            <w:pPr>
              <w:keepLines/>
              <w:widowControl w:val="0"/>
              <w:jc w:val="both"/>
              <w:rPr>
                <w:sz w:val="20"/>
                <w:lang w:val="fr-CA"/>
              </w:rPr>
            </w:pPr>
            <w:r>
              <w:rPr>
                <w:sz w:val="20"/>
                <w:lang w:val="fr-CA"/>
              </w:rPr>
              <w:t xml:space="preserve">Objection de l’université accueillie: le conseil d’arbitrage n’a pas compétence à l’égard du contenu de la politique du sénat de l’université portant sur les évaluations de l’enseignement par les étudiants </w:t>
            </w:r>
          </w:p>
        </w:tc>
      </w:tr>
    </w:tbl>
    <w:p w:rsidR="00E42B92" w:rsidRDefault="00E42B92" w:rsidP="00E42B92">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lang w:val="fr-CA"/>
              </w:rPr>
            </w:pPr>
            <w:r>
              <w:rPr>
                <w:sz w:val="20"/>
                <w:lang w:val="fr-CA"/>
              </w:rPr>
              <w:lastRenderedPageBreak/>
              <w:t>20 avril 2010</w:t>
            </w:r>
          </w:p>
          <w:p w:rsidR="00E42B92" w:rsidRDefault="00E42B92" w:rsidP="002D51BE">
            <w:pPr>
              <w:keepNext/>
              <w:keepLines/>
              <w:widowControl w:val="0"/>
              <w:rPr>
                <w:sz w:val="20"/>
                <w:lang w:val="fr-CA"/>
              </w:rPr>
            </w:pPr>
            <w:r>
              <w:rPr>
                <w:sz w:val="20"/>
                <w:lang w:val="fr-CA"/>
              </w:rPr>
              <w:t>Cour d’appel de la Colombie-Britannique</w:t>
            </w:r>
          </w:p>
          <w:p w:rsidR="00E42B92" w:rsidRDefault="00E42B92" w:rsidP="002D51BE">
            <w:pPr>
              <w:keepNext/>
              <w:keepLines/>
              <w:widowControl w:val="0"/>
              <w:rPr>
                <w:sz w:val="20"/>
                <w:lang w:val="fr-CA"/>
              </w:rPr>
            </w:pPr>
            <w:r>
              <w:rPr>
                <w:sz w:val="20"/>
                <w:lang w:val="fr-CA"/>
              </w:rPr>
              <w:t>(Vancouver)</w:t>
            </w:r>
          </w:p>
          <w:p w:rsidR="00E42B92" w:rsidRDefault="00E42B92" w:rsidP="002D51BE">
            <w:pPr>
              <w:keepNext/>
              <w:keepLines/>
              <w:widowControl w:val="0"/>
              <w:rPr>
                <w:sz w:val="20"/>
                <w:lang w:val="fr-CA"/>
              </w:rPr>
            </w:pPr>
            <w:r>
              <w:rPr>
                <w:sz w:val="20"/>
                <w:lang w:val="fr-CA"/>
              </w:rPr>
              <w:t xml:space="preserve">(Juges </w:t>
            </w:r>
            <w:proofErr w:type="spellStart"/>
            <w:r>
              <w:rPr>
                <w:sz w:val="20"/>
                <w:lang w:val="fr-CA"/>
              </w:rPr>
              <w:t>Prowse</w:t>
            </w:r>
            <w:proofErr w:type="spellEnd"/>
            <w:r>
              <w:rPr>
                <w:sz w:val="20"/>
                <w:lang w:val="fr-CA"/>
              </w:rPr>
              <w:t xml:space="preserve">, Lowry et </w:t>
            </w:r>
            <w:proofErr w:type="spellStart"/>
            <w:r>
              <w:rPr>
                <w:sz w:val="20"/>
                <w:lang w:val="fr-CA"/>
              </w:rPr>
              <w:t>Neilson</w:t>
            </w:r>
            <w:proofErr w:type="spellEnd"/>
            <w:r>
              <w:rPr>
                <w:sz w:val="20"/>
                <w:lang w:val="fr-CA"/>
              </w:rPr>
              <w:t>)</w:t>
            </w:r>
          </w:p>
          <w:p w:rsidR="00E42B92" w:rsidRDefault="00E42B92" w:rsidP="002D51BE">
            <w:pPr>
              <w:keepNext/>
              <w:keepLines/>
              <w:widowControl w:val="0"/>
              <w:rPr>
                <w:sz w:val="20"/>
                <w:lang w:val="fr-CA"/>
              </w:rPr>
            </w:pPr>
            <w:r>
              <w:rPr>
                <w:sz w:val="20"/>
                <w:lang w:val="fr-CA"/>
              </w:rPr>
              <w:t>2010 BCCA 189</w:t>
            </w:r>
          </w:p>
        </w:tc>
        <w:tc>
          <w:tcPr>
            <w:tcW w:w="288" w:type="dxa"/>
            <w:tcMar>
              <w:left w:w="0" w:type="dxa"/>
              <w:right w:w="0" w:type="dxa"/>
            </w:tcMar>
          </w:tcPr>
          <w:p w:rsidR="00E42B92" w:rsidRDefault="00E42B92" w:rsidP="002D51BE">
            <w:pPr>
              <w:keepLines/>
              <w:widowControl w:val="0"/>
              <w:rPr>
                <w:sz w:val="20"/>
                <w:lang w:val="fr-CA"/>
              </w:rPr>
            </w:pPr>
          </w:p>
        </w:tc>
        <w:tc>
          <w:tcPr>
            <w:tcW w:w="4536" w:type="dxa"/>
            <w:tcMar>
              <w:left w:w="0" w:type="dxa"/>
              <w:right w:w="0" w:type="dxa"/>
            </w:tcMar>
          </w:tcPr>
          <w:p w:rsidR="00E42B92" w:rsidRDefault="00E42B92" w:rsidP="002D51BE">
            <w:pPr>
              <w:keepLines/>
              <w:widowControl w:val="0"/>
              <w:rPr>
                <w:sz w:val="20"/>
                <w:lang w:val="fr-CA"/>
              </w:rPr>
            </w:pPr>
            <w:r>
              <w:rPr>
                <w:sz w:val="20"/>
                <w:lang w:val="fr-CA"/>
              </w:rPr>
              <w:t>Appel rejeté avec dépens</w:t>
            </w:r>
          </w:p>
        </w:tc>
      </w:tr>
    </w:tbl>
    <w:p w:rsidR="00E42B92" w:rsidRDefault="00E42B92" w:rsidP="00E42B92">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E42B92" w:rsidTr="002D51BE">
        <w:tc>
          <w:tcPr>
            <w:tcW w:w="4536" w:type="dxa"/>
            <w:tcMar>
              <w:left w:w="0" w:type="dxa"/>
              <w:right w:w="0" w:type="dxa"/>
            </w:tcMar>
          </w:tcPr>
          <w:p w:rsidR="00E42B92" w:rsidRDefault="00E42B92" w:rsidP="002D51BE">
            <w:pPr>
              <w:keepNext/>
              <w:keepLines/>
              <w:widowControl w:val="0"/>
              <w:rPr>
                <w:sz w:val="20"/>
                <w:lang w:val="fr-CA"/>
              </w:rPr>
            </w:pPr>
            <w:r>
              <w:rPr>
                <w:sz w:val="20"/>
                <w:lang w:val="fr-CA"/>
              </w:rPr>
              <w:t>21 juin 2010</w:t>
            </w:r>
          </w:p>
          <w:p w:rsidR="00E42B92" w:rsidRDefault="00E42B92" w:rsidP="002D51BE">
            <w:pPr>
              <w:keepNext/>
              <w:keepLines/>
              <w:widowControl w:val="0"/>
              <w:rPr>
                <w:sz w:val="20"/>
                <w:lang w:val="fr-CA"/>
              </w:rPr>
            </w:pPr>
            <w:r>
              <w:rPr>
                <w:sz w:val="20"/>
                <w:lang w:val="fr-CA"/>
              </w:rPr>
              <w:t>Cour suprême du Canada</w:t>
            </w:r>
          </w:p>
        </w:tc>
        <w:tc>
          <w:tcPr>
            <w:tcW w:w="288" w:type="dxa"/>
            <w:tcMar>
              <w:left w:w="0" w:type="dxa"/>
              <w:right w:w="0" w:type="dxa"/>
            </w:tcMar>
          </w:tcPr>
          <w:p w:rsidR="00E42B92" w:rsidRDefault="00E42B92" w:rsidP="002D51BE">
            <w:pPr>
              <w:keepLines/>
              <w:widowControl w:val="0"/>
              <w:rPr>
                <w:sz w:val="20"/>
                <w:lang w:val="fr-CA"/>
              </w:rPr>
            </w:pPr>
          </w:p>
        </w:tc>
        <w:tc>
          <w:tcPr>
            <w:tcW w:w="4536" w:type="dxa"/>
            <w:tcMar>
              <w:left w:w="0" w:type="dxa"/>
              <w:right w:w="0" w:type="dxa"/>
            </w:tcMar>
          </w:tcPr>
          <w:p w:rsidR="00E42B92" w:rsidRDefault="00E42B92" w:rsidP="002D51BE">
            <w:pPr>
              <w:keepLines/>
              <w:widowControl w:val="0"/>
              <w:rPr>
                <w:sz w:val="20"/>
                <w:lang w:val="fr-CA"/>
              </w:rPr>
            </w:pPr>
            <w:r>
              <w:rPr>
                <w:sz w:val="20"/>
                <w:lang w:val="fr-CA"/>
              </w:rPr>
              <w:t>Demande d’autorisation d’appel, déposée</w:t>
            </w:r>
          </w:p>
        </w:tc>
      </w:tr>
    </w:tbl>
    <w:p w:rsidR="00E42B92" w:rsidRDefault="00E42B92" w:rsidP="00E42B92">
      <w:pPr>
        <w:widowControl w:val="0"/>
        <w:rPr>
          <w:sz w:val="20"/>
          <w:lang w:val="fr-CA"/>
        </w:rPr>
      </w:pPr>
    </w:p>
    <w:p w:rsidR="007F53EF" w:rsidRPr="00C50A5C" w:rsidRDefault="00857426" w:rsidP="007F53EF">
      <w:pPr>
        <w:rPr>
          <w:sz w:val="20"/>
          <w:szCs w:val="20"/>
        </w:rPr>
      </w:pPr>
      <w:r w:rsidRPr="00857426">
        <w:rPr>
          <w:sz w:val="20"/>
          <w:szCs w:val="20"/>
          <w:lang w:val="fr-CA"/>
        </w:rPr>
        <w:pict>
          <v:rect id="_x0000_i1051" style="width:2in;height:1pt" o:hrpct="0" o:hralign="center" o:hrstd="t" o:hrnoshade="t" o:hr="t" fillcolor="black [3213]" stroked="f"/>
        </w:pict>
      </w:r>
    </w:p>
    <w:p w:rsidR="004F35C1" w:rsidRDefault="004F35C1" w:rsidP="007F53E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514A6" w:rsidRPr="007514A6" w:rsidTr="007514A6">
        <w:trPr>
          <w:cantSplit/>
        </w:trPr>
        <w:tc>
          <w:tcPr>
            <w:tcW w:w="1458" w:type="dxa"/>
          </w:tcPr>
          <w:p w:rsidR="007514A6" w:rsidRPr="007514A6" w:rsidRDefault="007514A6" w:rsidP="007514A6">
            <w:pPr>
              <w:rPr>
                <w:sz w:val="20"/>
                <w:szCs w:val="20"/>
              </w:rPr>
            </w:pPr>
            <w:r w:rsidRPr="007514A6">
              <w:rPr>
                <w:rStyle w:val="SCCFileNumberChar"/>
                <w:sz w:val="20"/>
                <w:szCs w:val="20"/>
              </w:rPr>
              <w:t>33776</w:t>
            </w:r>
          </w:p>
          <w:p w:rsidR="007514A6" w:rsidRPr="007514A6" w:rsidRDefault="007514A6" w:rsidP="007514A6">
            <w:pPr>
              <w:rPr>
                <w:b/>
                <w:sz w:val="20"/>
                <w:szCs w:val="20"/>
                <w:lang w:val="fr-CA"/>
              </w:rPr>
            </w:pPr>
          </w:p>
        </w:tc>
        <w:tc>
          <w:tcPr>
            <w:tcW w:w="8118" w:type="dxa"/>
          </w:tcPr>
          <w:p w:rsidR="007514A6" w:rsidRPr="007514A6" w:rsidRDefault="007514A6" w:rsidP="007514A6">
            <w:pPr>
              <w:rPr>
                <w:sz w:val="20"/>
                <w:szCs w:val="20"/>
              </w:rPr>
            </w:pPr>
            <w:r w:rsidRPr="007514A6">
              <w:rPr>
                <w:rStyle w:val="SCCLsocChar"/>
                <w:sz w:val="20"/>
                <w:szCs w:val="20"/>
                <w:lang w:val="en-CA"/>
              </w:rPr>
              <w:t>R-D.B.</w:t>
            </w:r>
            <w:r>
              <w:rPr>
                <w:rStyle w:val="SCCLsocChar"/>
                <w:sz w:val="20"/>
                <w:szCs w:val="20"/>
                <w:lang w:val="en-CA"/>
              </w:rPr>
              <w:t xml:space="preserve"> and</w:t>
            </w:r>
            <w:r w:rsidRPr="007514A6">
              <w:rPr>
                <w:rStyle w:val="SCCLsocChar"/>
                <w:sz w:val="20"/>
                <w:szCs w:val="20"/>
                <w:lang w:val="en-CA"/>
              </w:rPr>
              <w:t xml:space="preserve"> R.F. v. Alberta (Director of Child, Youth and Family Enhancement)</w:t>
            </w:r>
            <w:r w:rsidRPr="007514A6">
              <w:rPr>
                <w:sz w:val="20"/>
                <w:szCs w:val="20"/>
              </w:rPr>
              <w:t xml:space="preserve"> (Alta.) (Civil) (By Leave)</w:t>
            </w:r>
          </w:p>
          <w:p w:rsidR="007514A6" w:rsidRPr="007514A6" w:rsidRDefault="007514A6" w:rsidP="007514A6">
            <w:pPr>
              <w:rPr>
                <w:sz w:val="20"/>
                <w:szCs w:val="20"/>
              </w:rPr>
            </w:pPr>
          </w:p>
        </w:tc>
      </w:tr>
      <w:tr w:rsidR="007514A6" w:rsidRPr="007514A6" w:rsidTr="007514A6">
        <w:trPr>
          <w:cantSplit/>
        </w:trPr>
        <w:tc>
          <w:tcPr>
            <w:tcW w:w="1458" w:type="dxa"/>
          </w:tcPr>
          <w:p w:rsidR="007514A6" w:rsidRPr="007514A6" w:rsidRDefault="007514A6" w:rsidP="007514A6">
            <w:pPr>
              <w:rPr>
                <w:sz w:val="20"/>
                <w:szCs w:val="20"/>
              </w:rPr>
            </w:pPr>
            <w:r w:rsidRPr="007514A6">
              <w:rPr>
                <w:sz w:val="20"/>
                <w:szCs w:val="20"/>
              </w:rPr>
              <w:t>Coram :</w:t>
            </w:r>
          </w:p>
        </w:tc>
        <w:tc>
          <w:tcPr>
            <w:tcW w:w="8118" w:type="dxa"/>
          </w:tcPr>
          <w:p w:rsidR="007514A6" w:rsidRPr="007514A6" w:rsidRDefault="007514A6" w:rsidP="007514A6">
            <w:pPr>
              <w:rPr>
                <w:sz w:val="20"/>
                <w:szCs w:val="20"/>
              </w:rPr>
            </w:pPr>
            <w:proofErr w:type="spellStart"/>
            <w:r w:rsidRPr="007514A6">
              <w:rPr>
                <w:rStyle w:val="SCCCoramChar"/>
                <w:sz w:val="20"/>
                <w:szCs w:val="20"/>
                <w:lang w:val="en-CA"/>
              </w:rPr>
              <w:t>McLachlin</w:t>
            </w:r>
            <w:proofErr w:type="spellEnd"/>
            <w:r w:rsidRPr="007514A6">
              <w:rPr>
                <w:rStyle w:val="SCCCoramChar"/>
                <w:sz w:val="20"/>
                <w:szCs w:val="20"/>
                <w:lang w:val="en-CA"/>
              </w:rPr>
              <w:t xml:space="preserve"> C.J. and </w:t>
            </w:r>
            <w:proofErr w:type="spellStart"/>
            <w:r w:rsidRPr="007514A6">
              <w:rPr>
                <w:rStyle w:val="SCCCoramChar"/>
                <w:sz w:val="20"/>
                <w:szCs w:val="20"/>
                <w:lang w:val="en-CA"/>
              </w:rPr>
              <w:t>Abella</w:t>
            </w:r>
            <w:proofErr w:type="spellEnd"/>
            <w:r w:rsidRPr="007514A6">
              <w:rPr>
                <w:rStyle w:val="SCCCoramChar"/>
                <w:sz w:val="20"/>
                <w:szCs w:val="20"/>
                <w:lang w:val="en-CA"/>
              </w:rPr>
              <w:t xml:space="preserve"> and Cromwell JJ.</w:t>
            </w:r>
          </w:p>
          <w:p w:rsidR="007514A6" w:rsidRPr="007514A6" w:rsidRDefault="007514A6" w:rsidP="007514A6">
            <w:pPr>
              <w:rPr>
                <w:sz w:val="20"/>
                <w:szCs w:val="20"/>
                <w:u w:val="single"/>
              </w:rPr>
            </w:pPr>
          </w:p>
        </w:tc>
      </w:tr>
      <w:tr w:rsidR="007514A6" w:rsidRPr="001C2F5E" w:rsidTr="007514A6">
        <w:trPr>
          <w:cantSplit/>
        </w:trPr>
        <w:tc>
          <w:tcPr>
            <w:tcW w:w="9576" w:type="dxa"/>
            <w:gridSpan w:val="2"/>
          </w:tcPr>
          <w:p w:rsidR="007514A6" w:rsidRPr="007514A6" w:rsidRDefault="007514A6" w:rsidP="007514A6">
            <w:pPr>
              <w:pStyle w:val="SCCShortJudgment"/>
              <w:rPr>
                <w:szCs w:val="20"/>
              </w:rPr>
            </w:pPr>
            <w:r w:rsidRPr="007514A6">
              <w:rPr>
                <w:szCs w:val="20"/>
              </w:rPr>
              <w:t>The application for leave to appeal from the judgment of the Court of Appeal of Alberta (Edmonton), Number 0903-0195-AC, 2010 ABCA 138, dated May 3, 2010, is dismissed without costs.</w:t>
            </w:r>
          </w:p>
          <w:p w:rsidR="007514A6" w:rsidRPr="007514A6" w:rsidRDefault="007514A6" w:rsidP="007514A6">
            <w:pPr>
              <w:pStyle w:val="SCCShortJudgment"/>
              <w:ind w:firstLine="0"/>
              <w:rPr>
                <w:szCs w:val="20"/>
              </w:rPr>
            </w:pPr>
          </w:p>
          <w:p w:rsidR="007514A6" w:rsidRPr="007514A6" w:rsidRDefault="007514A6" w:rsidP="007514A6">
            <w:pPr>
              <w:pStyle w:val="SCCShortJudgment"/>
              <w:rPr>
                <w:szCs w:val="20"/>
                <w:lang w:val="fr-CA"/>
              </w:rPr>
            </w:pPr>
            <w:r w:rsidRPr="007514A6">
              <w:rPr>
                <w:szCs w:val="20"/>
                <w:lang w:val="fr-CA"/>
              </w:rPr>
              <w:t>La demande d’autorisation d’appel de l’arrêt de la Cour d'appel de l’Alberta (Edmonton), numéro 0903-0195-AC, 2010 ABCA 138, daté du 3 mai 2010, est rejetée sans dépens.</w:t>
            </w:r>
          </w:p>
        </w:tc>
      </w:tr>
    </w:tbl>
    <w:p w:rsidR="007514A6" w:rsidRPr="007514A6" w:rsidRDefault="007514A6" w:rsidP="007F53EF">
      <w:pPr>
        <w:rPr>
          <w:sz w:val="20"/>
          <w:szCs w:val="20"/>
          <w:lang w:val="fr-CA"/>
        </w:rPr>
      </w:pPr>
    </w:p>
    <w:p w:rsidR="007F53EF" w:rsidRPr="007F53EF" w:rsidRDefault="007F53EF" w:rsidP="007F53EF">
      <w:pPr>
        <w:rPr>
          <w:sz w:val="20"/>
          <w:szCs w:val="20"/>
          <w:u w:val="single"/>
        </w:rPr>
      </w:pPr>
      <w:r w:rsidRPr="007F53EF">
        <w:rPr>
          <w:sz w:val="20"/>
          <w:szCs w:val="20"/>
          <w:u w:val="single"/>
        </w:rPr>
        <w:t>CASE SUMMARY</w:t>
      </w:r>
    </w:p>
    <w:p w:rsidR="007F53EF" w:rsidRDefault="007F53EF" w:rsidP="007F53EF">
      <w:pPr>
        <w:rPr>
          <w:sz w:val="20"/>
          <w:szCs w:val="20"/>
        </w:rPr>
      </w:pPr>
    </w:p>
    <w:p w:rsidR="004F35C1" w:rsidRPr="000B04FC" w:rsidRDefault="004F35C1" w:rsidP="004F35C1">
      <w:pPr>
        <w:widowControl w:val="0"/>
        <w:rPr>
          <w:sz w:val="20"/>
        </w:rPr>
      </w:pPr>
      <w:r w:rsidRPr="000B04FC">
        <w:rPr>
          <w:smallCaps/>
          <w:sz w:val="20"/>
        </w:rPr>
        <w:t>(Publication ban on party)</w:t>
      </w:r>
    </w:p>
    <w:p w:rsidR="004F35C1" w:rsidRPr="000B04FC" w:rsidRDefault="004F35C1" w:rsidP="004F35C1">
      <w:pPr>
        <w:widowControl w:val="0"/>
        <w:rPr>
          <w:sz w:val="20"/>
        </w:rPr>
      </w:pPr>
    </w:p>
    <w:p w:rsidR="004F35C1" w:rsidRPr="000B04FC" w:rsidRDefault="004F35C1" w:rsidP="004F35C1">
      <w:pPr>
        <w:widowControl w:val="0"/>
        <w:jc w:val="both"/>
        <w:rPr>
          <w:sz w:val="20"/>
        </w:rPr>
      </w:pPr>
      <w:r w:rsidRPr="000B04FC">
        <w:rPr>
          <w:sz w:val="20"/>
        </w:rPr>
        <w:t xml:space="preserve">Family law - Guardianship order - Child protection - Legislation - Interpretation - Should the lower courts have granted a further temporary guardianship order for the Applicants’ children - Should statutory provisions circumscribing the choice of remedies available to Courts be interpreted in light of and in keeping with, the best interests of the child - Do Courts have a duty to protect the best interests of children, and if so, does this duty provide them with authority to fashion and adopt measures not specifically provided in the legislation - </w:t>
      </w:r>
      <w:r w:rsidRPr="000B04FC">
        <w:rPr>
          <w:i/>
          <w:sz w:val="20"/>
        </w:rPr>
        <w:t>Child, Youth and Family Enhancement Act</w:t>
      </w:r>
      <w:r w:rsidRPr="000B04FC">
        <w:rPr>
          <w:sz w:val="20"/>
        </w:rPr>
        <w:t>, R.S.A. 2000, c. C-12, s. 33.</w:t>
      </w:r>
    </w:p>
    <w:p w:rsidR="004F35C1" w:rsidRPr="000B04FC" w:rsidRDefault="004F35C1" w:rsidP="004F35C1">
      <w:pPr>
        <w:widowControl w:val="0"/>
        <w:jc w:val="both"/>
        <w:rPr>
          <w:sz w:val="20"/>
        </w:rPr>
      </w:pPr>
    </w:p>
    <w:p w:rsidR="004F35C1" w:rsidRDefault="004F35C1" w:rsidP="004F35C1">
      <w:pPr>
        <w:widowControl w:val="0"/>
        <w:jc w:val="both"/>
        <w:rPr>
          <w:sz w:val="20"/>
          <w:lang w:val="fr-CA"/>
        </w:rPr>
      </w:pPr>
      <w:r w:rsidRPr="000B04FC">
        <w:rPr>
          <w:sz w:val="20"/>
        </w:rPr>
        <w:t xml:space="preserve">On September 30, 2006, the Applicants’ two infant children R.R.F. (born 14/01/2005) and R.K.J.F. (born 07/12/2005) were brought into the Respondent’s care under a custody agreement with the Applicants.  On December 19, 2006, the custody agreement was replaced by </w:t>
      </w:r>
      <w:proofErr w:type="gramStart"/>
      <w:r w:rsidRPr="000B04FC">
        <w:rPr>
          <w:sz w:val="20"/>
        </w:rPr>
        <w:t>a 3</w:t>
      </w:r>
      <w:proofErr w:type="gramEnd"/>
      <w:r w:rsidRPr="000B04FC">
        <w:rPr>
          <w:sz w:val="20"/>
        </w:rPr>
        <w:t xml:space="preserve">-month consent Temporary Guardianship Order (“TGO”), which was in turn replaced by a 6-month consent TGO on March 27, 2007.  On September 10, 2007 the Respondent applied for review of the TGO and sought to replace it with a permanent guardianship order respecting the children. </w:t>
      </w:r>
      <w:r>
        <w:rPr>
          <w:sz w:val="20"/>
          <w:lang w:val="fr-CA"/>
        </w:rPr>
        <w:t xml:space="preserve">The </w:t>
      </w:r>
      <w:proofErr w:type="spellStart"/>
      <w:r>
        <w:rPr>
          <w:sz w:val="20"/>
          <w:lang w:val="fr-CA"/>
        </w:rPr>
        <w:t>Applicants</w:t>
      </w:r>
      <w:proofErr w:type="spellEnd"/>
      <w:r>
        <w:rPr>
          <w:sz w:val="20"/>
          <w:lang w:val="fr-CA"/>
        </w:rPr>
        <w:t xml:space="preserve"> </w:t>
      </w:r>
      <w:proofErr w:type="spellStart"/>
      <w:r>
        <w:rPr>
          <w:sz w:val="20"/>
          <w:lang w:val="fr-CA"/>
        </w:rPr>
        <w:t>sought</w:t>
      </w:r>
      <w:proofErr w:type="spellEnd"/>
      <w:r>
        <w:rPr>
          <w:sz w:val="20"/>
          <w:lang w:val="fr-CA"/>
        </w:rPr>
        <w:t xml:space="preserve"> a </w:t>
      </w:r>
      <w:proofErr w:type="spellStart"/>
      <w:r>
        <w:rPr>
          <w:sz w:val="20"/>
          <w:lang w:val="fr-CA"/>
        </w:rPr>
        <w:t>further</w:t>
      </w:r>
      <w:proofErr w:type="spellEnd"/>
      <w:r>
        <w:rPr>
          <w:sz w:val="20"/>
          <w:lang w:val="fr-CA"/>
        </w:rPr>
        <w:t xml:space="preserve"> TGO.</w:t>
      </w:r>
    </w:p>
    <w:p w:rsidR="004F35C1" w:rsidRDefault="004F35C1" w:rsidP="004F35C1">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4F35C1" w:rsidTr="002D51BE">
        <w:tc>
          <w:tcPr>
            <w:tcW w:w="4536" w:type="dxa"/>
            <w:tcMar>
              <w:left w:w="0" w:type="dxa"/>
              <w:right w:w="0" w:type="dxa"/>
            </w:tcMar>
          </w:tcPr>
          <w:p w:rsidR="004F35C1" w:rsidRPr="000B04FC" w:rsidRDefault="004F35C1" w:rsidP="002D51BE">
            <w:pPr>
              <w:keepNext/>
              <w:keepLines/>
              <w:widowControl w:val="0"/>
              <w:rPr>
                <w:sz w:val="20"/>
              </w:rPr>
            </w:pPr>
            <w:r w:rsidRPr="000B04FC">
              <w:rPr>
                <w:sz w:val="20"/>
              </w:rPr>
              <w:t>October 23, 2008</w:t>
            </w:r>
          </w:p>
          <w:p w:rsidR="004F35C1" w:rsidRPr="000B04FC" w:rsidRDefault="004F35C1" w:rsidP="002D51BE">
            <w:pPr>
              <w:keepNext/>
              <w:keepLines/>
              <w:widowControl w:val="0"/>
              <w:rPr>
                <w:sz w:val="20"/>
              </w:rPr>
            </w:pPr>
            <w:r w:rsidRPr="000B04FC">
              <w:rPr>
                <w:sz w:val="20"/>
              </w:rPr>
              <w:t>Provincial Court of Albert</w:t>
            </w:r>
          </w:p>
          <w:p w:rsidR="004F35C1" w:rsidRPr="000B04FC" w:rsidRDefault="004F35C1" w:rsidP="002D51BE">
            <w:pPr>
              <w:keepNext/>
              <w:keepLines/>
              <w:widowControl w:val="0"/>
              <w:rPr>
                <w:sz w:val="20"/>
              </w:rPr>
            </w:pPr>
            <w:r w:rsidRPr="000B04FC">
              <w:rPr>
                <w:sz w:val="20"/>
              </w:rPr>
              <w:t>(Rae J.)</w:t>
            </w:r>
          </w:p>
        </w:tc>
        <w:tc>
          <w:tcPr>
            <w:tcW w:w="288" w:type="dxa"/>
            <w:tcMar>
              <w:left w:w="0" w:type="dxa"/>
              <w:right w:w="0" w:type="dxa"/>
            </w:tcMar>
          </w:tcPr>
          <w:p w:rsidR="004F35C1" w:rsidRPr="000B04FC" w:rsidRDefault="004F35C1" w:rsidP="002D51BE">
            <w:pPr>
              <w:keepNext/>
              <w:keepLines/>
              <w:widowControl w:val="0"/>
              <w:rPr>
                <w:sz w:val="20"/>
              </w:rPr>
            </w:pPr>
          </w:p>
        </w:tc>
        <w:tc>
          <w:tcPr>
            <w:tcW w:w="4536" w:type="dxa"/>
            <w:tcMar>
              <w:left w:w="0" w:type="dxa"/>
              <w:right w:w="0" w:type="dxa"/>
            </w:tcMar>
          </w:tcPr>
          <w:p w:rsidR="004F35C1" w:rsidRPr="000B04FC" w:rsidRDefault="004F35C1" w:rsidP="002D51BE">
            <w:pPr>
              <w:keepLines/>
              <w:widowControl w:val="0"/>
              <w:rPr>
                <w:sz w:val="20"/>
              </w:rPr>
            </w:pPr>
            <w:r w:rsidRPr="000B04FC">
              <w:rPr>
                <w:sz w:val="20"/>
              </w:rPr>
              <w:t>Order awarding Respondent permanent guardianship of Applicants’ children</w:t>
            </w:r>
          </w:p>
          <w:p w:rsidR="004F35C1" w:rsidRPr="000B04FC" w:rsidRDefault="004F35C1" w:rsidP="002D51BE">
            <w:pPr>
              <w:widowControl w:val="0"/>
              <w:rPr>
                <w:sz w:val="20"/>
              </w:rPr>
            </w:pPr>
          </w:p>
        </w:tc>
      </w:tr>
    </w:tbl>
    <w:p w:rsidR="004F35C1" w:rsidRPr="000B04FC" w:rsidRDefault="004F35C1" w:rsidP="004F35C1">
      <w:pPr>
        <w:widowControl w:val="0"/>
        <w:rPr>
          <w:sz w:val="20"/>
        </w:rPr>
      </w:pPr>
    </w:p>
    <w:tbl>
      <w:tblPr>
        <w:tblW w:w="0" w:type="auto"/>
        <w:tblLayout w:type="fixed"/>
        <w:tblCellMar>
          <w:left w:w="0" w:type="dxa"/>
          <w:right w:w="0" w:type="dxa"/>
        </w:tblCellMar>
        <w:tblLook w:val="0000"/>
      </w:tblPr>
      <w:tblGrid>
        <w:gridCol w:w="4536"/>
        <w:gridCol w:w="288"/>
        <w:gridCol w:w="4536"/>
      </w:tblGrid>
      <w:tr w:rsidR="004F35C1" w:rsidTr="002D51BE">
        <w:tc>
          <w:tcPr>
            <w:tcW w:w="4536" w:type="dxa"/>
            <w:tcMar>
              <w:left w:w="0" w:type="dxa"/>
              <w:right w:w="0" w:type="dxa"/>
            </w:tcMar>
          </w:tcPr>
          <w:p w:rsidR="004F35C1" w:rsidRPr="000B04FC" w:rsidRDefault="004F35C1" w:rsidP="002D51BE">
            <w:pPr>
              <w:keepNext/>
              <w:keepLines/>
              <w:widowControl w:val="0"/>
              <w:rPr>
                <w:sz w:val="20"/>
              </w:rPr>
            </w:pPr>
            <w:r w:rsidRPr="000B04FC">
              <w:rPr>
                <w:sz w:val="20"/>
              </w:rPr>
              <w:t>May 14, 2009</w:t>
            </w:r>
          </w:p>
          <w:p w:rsidR="004F35C1" w:rsidRPr="000B04FC" w:rsidRDefault="004F35C1" w:rsidP="002D51BE">
            <w:pPr>
              <w:keepNext/>
              <w:keepLines/>
              <w:widowControl w:val="0"/>
              <w:rPr>
                <w:sz w:val="20"/>
              </w:rPr>
            </w:pPr>
            <w:r w:rsidRPr="000B04FC">
              <w:rPr>
                <w:sz w:val="20"/>
              </w:rPr>
              <w:t>Court of Queen’s Bench of Alberta</w:t>
            </w:r>
          </w:p>
          <w:p w:rsidR="004F35C1" w:rsidRDefault="004F35C1" w:rsidP="002D51BE">
            <w:pPr>
              <w:keepNext/>
              <w:keepLines/>
              <w:widowControl w:val="0"/>
              <w:rPr>
                <w:sz w:val="20"/>
                <w:lang w:val="fr-CA"/>
              </w:rPr>
            </w:pPr>
            <w:r>
              <w:rPr>
                <w:sz w:val="20"/>
                <w:lang w:val="fr-CA"/>
              </w:rPr>
              <w:t>(Clackson J.)</w:t>
            </w:r>
          </w:p>
        </w:tc>
        <w:tc>
          <w:tcPr>
            <w:tcW w:w="288" w:type="dxa"/>
            <w:tcMar>
              <w:left w:w="0" w:type="dxa"/>
              <w:right w:w="0" w:type="dxa"/>
            </w:tcMar>
          </w:tcPr>
          <w:p w:rsidR="004F35C1" w:rsidRDefault="004F35C1" w:rsidP="002D51BE">
            <w:pPr>
              <w:keepLines/>
              <w:widowControl w:val="0"/>
              <w:rPr>
                <w:sz w:val="20"/>
                <w:lang w:val="fr-CA"/>
              </w:rPr>
            </w:pPr>
          </w:p>
        </w:tc>
        <w:tc>
          <w:tcPr>
            <w:tcW w:w="4536" w:type="dxa"/>
            <w:tcMar>
              <w:left w:w="0" w:type="dxa"/>
              <w:right w:w="0" w:type="dxa"/>
            </w:tcMar>
          </w:tcPr>
          <w:p w:rsidR="004F35C1" w:rsidRDefault="004F35C1" w:rsidP="002D51BE">
            <w:pPr>
              <w:keepLines/>
              <w:widowControl w:val="0"/>
              <w:rPr>
                <w:sz w:val="20"/>
                <w:lang w:val="fr-CA"/>
              </w:rPr>
            </w:pPr>
            <w:proofErr w:type="spellStart"/>
            <w:r>
              <w:rPr>
                <w:sz w:val="20"/>
                <w:lang w:val="fr-CA"/>
              </w:rPr>
              <w:t>Appeal</w:t>
            </w:r>
            <w:proofErr w:type="spellEnd"/>
            <w:r>
              <w:rPr>
                <w:sz w:val="20"/>
                <w:lang w:val="fr-CA"/>
              </w:rPr>
              <w:t xml:space="preserve"> </w:t>
            </w:r>
            <w:proofErr w:type="spellStart"/>
            <w:r>
              <w:rPr>
                <w:sz w:val="20"/>
                <w:lang w:val="fr-CA"/>
              </w:rPr>
              <w:t>dismissed</w:t>
            </w:r>
            <w:proofErr w:type="spellEnd"/>
          </w:p>
        </w:tc>
      </w:tr>
    </w:tbl>
    <w:p w:rsidR="004F35C1" w:rsidRDefault="004F35C1" w:rsidP="004F35C1">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4F35C1" w:rsidTr="002D51BE">
        <w:tc>
          <w:tcPr>
            <w:tcW w:w="4536" w:type="dxa"/>
            <w:tcMar>
              <w:left w:w="0" w:type="dxa"/>
              <w:right w:w="0" w:type="dxa"/>
            </w:tcMar>
          </w:tcPr>
          <w:p w:rsidR="004F35C1" w:rsidRPr="000B04FC" w:rsidRDefault="004F35C1" w:rsidP="002D51BE">
            <w:pPr>
              <w:keepNext/>
              <w:keepLines/>
              <w:widowControl w:val="0"/>
              <w:rPr>
                <w:sz w:val="20"/>
              </w:rPr>
            </w:pPr>
            <w:r w:rsidRPr="000B04FC">
              <w:rPr>
                <w:sz w:val="20"/>
              </w:rPr>
              <w:t>May 3, 2010</w:t>
            </w:r>
          </w:p>
          <w:p w:rsidR="004F35C1" w:rsidRPr="000B04FC" w:rsidRDefault="004F35C1" w:rsidP="002D51BE">
            <w:pPr>
              <w:keepNext/>
              <w:keepLines/>
              <w:widowControl w:val="0"/>
              <w:rPr>
                <w:sz w:val="20"/>
              </w:rPr>
            </w:pPr>
            <w:r w:rsidRPr="000B04FC">
              <w:rPr>
                <w:sz w:val="20"/>
              </w:rPr>
              <w:t>Court of Appeal of Alberta (Edmonton)</w:t>
            </w:r>
          </w:p>
          <w:p w:rsidR="004F35C1" w:rsidRPr="000B04FC" w:rsidRDefault="004F35C1" w:rsidP="002D51BE">
            <w:pPr>
              <w:keepNext/>
              <w:keepLines/>
              <w:widowControl w:val="0"/>
              <w:rPr>
                <w:sz w:val="20"/>
              </w:rPr>
            </w:pPr>
            <w:r w:rsidRPr="000B04FC">
              <w:rPr>
                <w:sz w:val="20"/>
              </w:rPr>
              <w:t>(</w:t>
            </w:r>
            <w:proofErr w:type="spellStart"/>
            <w:r w:rsidRPr="000B04FC">
              <w:rPr>
                <w:sz w:val="20"/>
              </w:rPr>
              <w:t>McFadyen</w:t>
            </w:r>
            <w:proofErr w:type="spellEnd"/>
            <w:r w:rsidRPr="000B04FC">
              <w:rPr>
                <w:sz w:val="20"/>
              </w:rPr>
              <w:t>, Berger (dissenting) and Ritter JJ.A.)</w:t>
            </w:r>
          </w:p>
          <w:p w:rsidR="004F35C1" w:rsidRDefault="004F35C1" w:rsidP="002D51BE">
            <w:pPr>
              <w:keepNext/>
              <w:keepLines/>
              <w:widowControl w:val="0"/>
              <w:rPr>
                <w:sz w:val="20"/>
                <w:lang w:val="fr-CA"/>
              </w:rPr>
            </w:pPr>
            <w:r>
              <w:rPr>
                <w:sz w:val="20"/>
                <w:lang w:val="fr-CA"/>
              </w:rPr>
              <w:t>2010 ABCA 138; 0903-0195-AC</w:t>
            </w:r>
          </w:p>
        </w:tc>
        <w:tc>
          <w:tcPr>
            <w:tcW w:w="288" w:type="dxa"/>
            <w:tcMar>
              <w:left w:w="0" w:type="dxa"/>
              <w:right w:w="0" w:type="dxa"/>
            </w:tcMar>
          </w:tcPr>
          <w:p w:rsidR="004F35C1" w:rsidRDefault="004F35C1" w:rsidP="002D51BE">
            <w:pPr>
              <w:keepLines/>
              <w:widowControl w:val="0"/>
              <w:rPr>
                <w:sz w:val="20"/>
                <w:lang w:val="fr-CA"/>
              </w:rPr>
            </w:pPr>
          </w:p>
        </w:tc>
        <w:tc>
          <w:tcPr>
            <w:tcW w:w="4536" w:type="dxa"/>
            <w:tcMar>
              <w:left w:w="0" w:type="dxa"/>
              <w:right w:w="0" w:type="dxa"/>
            </w:tcMar>
          </w:tcPr>
          <w:p w:rsidR="004F35C1" w:rsidRDefault="004F35C1" w:rsidP="002D51BE">
            <w:pPr>
              <w:keepLines/>
              <w:widowControl w:val="0"/>
              <w:rPr>
                <w:sz w:val="20"/>
                <w:lang w:val="fr-CA"/>
              </w:rPr>
            </w:pPr>
            <w:proofErr w:type="spellStart"/>
            <w:r>
              <w:rPr>
                <w:sz w:val="20"/>
                <w:lang w:val="fr-CA"/>
              </w:rPr>
              <w:t>Appeal</w:t>
            </w:r>
            <w:proofErr w:type="spellEnd"/>
            <w:r>
              <w:rPr>
                <w:sz w:val="20"/>
                <w:lang w:val="fr-CA"/>
              </w:rPr>
              <w:t xml:space="preserve"> </w:t>
            </w:r>
            <w:proofErr w:type="spellStart"/>
            <w:r>
              <w:rPr>
                <w:sz w:val="20"/>
                <w:lang w:val="fr-CA"/>
              </w:rPr>
              <w:t>dismissed</w:t>
            </w:r>
            <w:proofErr w:type="spellEnd"/>
          </w:p>
        </w:tc>
      </w:tr>
    </w:tbl>
    <w:p w:rsidR="004F35C1" w:rsidRDefault="004F35C1" w:rsidP="004F35C1">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4F35C1" w:rsidTr="002D51BE">
        <w:tc>
          <w:tcPr>
            <w:tcW w:w="4536" w:type="dxa"/>
            <w:tcMar>
              <w:left w:w="0" w:type="dxa"/>
              <w:right w:w="0" w:type="dxa"/>
            </w:tcMar>
          </w:tcPr>
          <w:p w:rsidR="004F35C1" w:rsidRPr="000B04FC" w:rsidRDefault="004F35C1" w:rsidP="002D51BE">
            <w:pPr>
              <w:keepNext/>
              <w:keepLines/>
              <w:widowControl w:val="0"/>
              <w:rPr>
                <w:sz w:val="20"/>
              </w:rPr>
            </w:pPr>
            <w:r w:rsidRPr="000B04FC">
              <w:rPr>
                <w:sz w:val="20"/>
              </w:rPr>
              <w:lastRenderedPageBreak/>
              <w:t>July 29, 2010</w:t>
            </w:r>
          </w:p>
          <w:p w:rsidR="004F35C1" w:rsidRPr="000B04FC" w:rsidRDefault="004F35C1" w:rsidP="002D51BE">
            <w:pPr>
              <w:keepNext/>
              <w:keepLines/>
              <w:widowControl w:val="0"/>
              <w:rPr>
                <w:sz w:val="20"/>
              </w:rPr>
            </w:pPr>
            <w:r w:rsidRPr="000B04FC">
              <w:rPr>
                <w:sz w:val="20"/>
              </w:rPr>
              <w:t>Supreme Court of Canada</w:t>
            </w:r>
          </w:p>
        </w:tc>
        <w:tc>
          <w:tcPr>
            <w:tcW w:w="288" w:type="dxa"/>
            <w:tcMar>
              <w:left w:w="0" w:type="dxa"/>
              <w:right w:w="0" w:type="dxa"/>
            </w:tcMar>
          </w:tcPr>
          <w:p w:rsidR="004F35C1" w:rsidRPr="000B04FC" w:rsidRDefault="004F35C1" w:rsidP="002D51BE">
            <w:pPr>
              <w:keepLines/>
              <w:widowControl w:val="0"/>
              <w:rPr>
                <w:sz w:val="20"/>
              </w:rPr>
            </w:pPr>
          </w:p>
        </w:tc>
        <w:tc>
          <w:tcPr>
            <w:tcW w:w="4536" w:type="dxa"/>
            <w:tcMar>
              <w:left w:w="0" w:type="dxa"/>
              <w:right w:w="0" w:type="dxa"/>
            </w:tcMar>
          </w:tcPr>
          <w:p w:rsidR="004F35C1" w:rsidRPr="000B04FC" w:rsidRDefault="004F35C1" w:rsidP="002D51BE">
            <w:pPr>
              <w:keepLines/>
              <w:widowControl w:val="0"/>
              <w:rPr>
                <w:sz w:val="20"/>
              </w:rPr>
            </w:pPr>
            <w:r w:rsidRPr="000B04FC">
              <w:rPr>
                <w:sz w:val="20"/>
              </w:rPr>
              <w:t>Application for leave to appeal filed</w:t>
            </w:r>
          </w:p>
        </w:tc>
      </w:tr>
    </w:tbl>
    <w:p w:rsidR="007F53EF" w:rsidRDefault="007F53EF" w:rsidP="007F53EF">
      <w:pPr>
        <w:rPr>
          <w:sz w:val="20"/>
          <w:szCs w:val="20"/>
        </w:rPr>
      </w:pPr>
    </w:p>
    <w:p w:rsidR="007F53EF" w:rsidRPr="007F53EF" w:rsidRDefault="00857426" w:rsidP="007F53EF">
      <w:pPr>
        <w:rPr>
          <w:sz w:val="20"/>
          <w:szCs w:val="20"/>
        </w:rPr>
      </w:pPr>
      <w:r w:rsidRPr="00857426">
        <w:rPr>
          <w:sz w:val="20"/>
          <w:szCs w:val="20"/>
          <w:lang w:val="fr-CA"/>
        </w:rPr>
        <w:pict>
          <v:rect id="_x0000_i1052" style="width:2in;height:1pt" o:hrpct="0" o:hralign="center" o:hrstd="t" o:hrnoshade="t" o:hr="t" fillcolor="black [3213]" stroked="f"/>
        </w:pict>
      </w:r>
    </w:p>
    <w:p w:rsidR="007F53EF" w:rsidRDefault="007F53EF" w:rsidP="007F53EF">
      <w:pPr>
        <w:rPr>
          <w:sz w:val="20"/>
          <w:szCs w:val="20"/>
        </w:rPr>
      </w:pPr>
    </w:p>
    <w:p w:rsidR="007F53EF" w:rsidRPr="004F35C1" w:rsidRDefault="007F53EF" w:rsidP="007F53EF">
      <w:pPr>
        <w:jc w:val="both"/>
        <w:rPr>
          <w:sz w:val="20"/>
          <w:szCs w:val="20"/>
          <w:lang w:val="fr-CA"/>
        </w:rPr>
      </w:pPr>
      <w:r w:rsidRPr="004F35C1">
        <w:rPr>
          <w:sz w:val="20"/>
          <w:szCs w:val="20"/>
          <w:u w:val="single"/>
          <w:lang w:val="fr-CA"/>
        </w:rPr>
        <w:t>RÉSUMÉ DE L’AFFAIRE</w:t>
      </w:r>
    </w:p>
    <w:p w:rsidR="007F53EF" w:rsidRPr="004F35C1" w:rsidRDefault="007F53EF" w:rsidP="007F53EF">
      <w:pPr>
        <w:rPr>
          <w:sz w:val="20"/>
          <w:szCs w:val="20"/>
          <w:lang w:val="fr-CA"/>
        </w:rPr>
      </w:pPr>
    </w:p>
    <w:p w:rsidR="004F35C1" w:rsidRDefault="004F35C1" w:rsidP="004F35C1">
      <w:pPr>
        <w:widowControl w:val="0"/>
        <w:rPr>
          <w:sz w:val="20"/>
          <w:lang w:val="fr-CA"/>
        </w:rPr>
      </w:pPr>
      <w:r>
        <w:rPr>
          <w:smallCaps/>
          <w:sz w:val="20"/>
          <w:lang w:val="fr-CA"/>
        </w:rPr>
        <w:t>(Ordonnance de non-publication visant une partie)</w:t>
      </w:r>
    </w:p>
    <w:p w:rsidR="004F35C1" w:rsidRDefault="004F35C1" w:rsidP="004F35C1">
      <w:pPr>
        <w:widowControl w:val="0"/>
        <w:rPr>
          <w:sz w:val="20"/>
          <w:lang w:val="fr-CA"/>
        </w:rPr>
      </w:pPr>
    </w:p>
    <w:p w:rsidR="004F35C1" w:rsidRDefault="004F35C1" w:rsidP="004F35C1">
      <w:pPr>
        <w:widowControl w:val="0"/>
        <w:jc w:val="both"/>
        <w:rPr>
          <w:sz w:val="20"/>
          <w:lang w:val="fr-CA"/>
        </w:rPr>
      </w:pPr>
      <w:r>
        <w:rPr>
          <w:sz w:val="20"/>
          <w:lang w:val="fr-CA"/>
        </w:rPr>
        <w:t xml:space="preserve">Droit de la famille - Ordonnance de tutelle - Protection de l’enfance - Législation - Interprétation - Les juridictions inférieures auraient-elles dû prononcer une autre ordonnance de tutelle temporaire relativement aux enfants des demandeurs? - Les dispositions légales qui circonscrivent le choix des réparations à la disposition des tribunaux peuvent-elles être interprétées à la lumière de l’intérêt supérieur de l’enfant et conformément à cet intérêt? - Les tribunaux ont-ils l’obligation de protéger l’intérêt supérieur des enfants et, dans l’affirmative, cette obligation leur confère-t-elle la compétence d’élaborer et d’adopter des mesures qui ne sont pas expressément prévues dans la loi? - </w:t>
      </w:r>
      <w:r>
        <w:rPr>
          <w:i/>
          <w:sz w:val="20"/>
          <w:lang w:val="fr-CA"/>
        </w:rPr>
        <w:t xml:space="preserve">Child, </w:t>
      </w:r>
      <w:proofErr w:type="spellStart"/>
      <w:r>
        <w:rPr>
          <w:i/>
          <w:sz w:val="20"/>
          <w:lang w:val="fr-CA"/>
        </w:rPr>
        <w:t>Youth</w:t>
      </w:r>
      <w:proofErr w:type="spellEnd"/>
      <w:r>
        <w:rPr>
          <w:i/>
          <w:sz w:val="20"/>
          <w:lang w:val="fr-CA"/>
        </w:rPr>
        <w:t xml:space="preserve"> and </w:t>
      </w:r>
      <w:proofErr w:type="spellStart"/>
      <w:r>
        <w:rPr>
          <w:i/>
          <w:sz w:val="20"/>
          <w:lang w:val="fr-CA"/>
        </w:rPr>
        <w:t>Family</w:t>
      </w:r>
      <w:proofErr w:type="spellEnd"/>
      <w:r>
        <w:rPr>
          <w:i/>
          <w:sz w:val="20"/>
          <w:lang w:val="fr-CA"/>
        </w:rPr>
        <w:t xml:space="preserve"> </w:t>
      </w:r>
      <w:proofErr w:type="spellStart"/>
      <w:r>
        <w:rPr>
          <w:i/>
          <w:sz w:val="20"/>
          <w:lang w:val="fr-CA"/>
        </w:rPr>
        <w:t>Enhancement</w:t>
      </w:r>
      <w:proofErr w:type="spellEnd"/>
      <w:r>
        <w:rPr>
          <w:i/>
          <w:sz w:val="20"/>
          <w:lang w:val="fr-CA"/>
        </w:rPr>
        <w:t xml:space="preserve"> </w:t>
      </w:r>
      <w:proofErr w:type="spellStart"/>
      <w:r>
        <w:rPr>
          <w:i/>
          <w:sz w:val="20"/>
          <w:lang w:val="fr-CA"/>
        </w:rPr>
        <w:t>Act</w:t>
      </w:r>
      <w:proofErr w:type="spellEnd"/>
      <w:r>
        <w:rPr>
          <w:sz w:val="20"/>
          <w:lang w:val="fr-CA"/>
        </w:rPr>
        <w:t>, R.S.A. 2000, ch. C-12, art. 33.</w:t>
      </w:r>
    </w:p>
    <w:p w:rsidR="004F35C1" w:rsidRDefault="004F35C1" w:rsidP="004F35C1">
      <w:pPr>
        <w:widowControl w:val="0"/>
        <w:jc w:val="both"/>
        <w:rPr>
          <w:sz w:val="20"/>
          <w:lang w:val="fr-CA"/>
        </w:rPr>
      </w:pPr>
    </w:p>
    <w:p w:rsidR="004F35C1" w:rsidRDefault="004F35C1" w:rsidP="004F35C1">
      <w:pPr>
        <w:widowControl w:val="0"/>
        <w:jc w:val="both"/>
        <w:rPr>
          <w:sz w:val="20"/>
          <w:lang w:val="fr-CA"/>
        </w:rPr>
      </w:pPr>
      <w:r>
        <w:rPr>
          <w:sz w:val="20"/>
          <w:lang w:val="fr-CA"/>
        </w:rPr>
        <w:t>Le 30 septembre 2006, les deux enfants en bas âge des demandeurs, R.R.F (né le 14-01-2005) et R.K.J.F. (né le 07-12-2005) ont été placés sous les soins de l’intimé en vertu d’une entente de garde conclue avec les demandeurs.  Le 19 décembre 2006, l’entente de garde a été remplacée par une ordonnance de tutelle temporaire de 3 mois, qui a été remplacée le 27 mars 2007 par une ordonnance temporaire de 6 mois.  Le 10 septembre 2007, l’intimé a demandé qu’il soit substitué à l’ordonnance temporaire une ordonnance de tutelle permanente relativement aux enfants.  Les demandeurs ont demandé une autre ordonnance temporaire.</w:t>
      </w:r>
    </w:p>
    <w:p w:rsidR="004F35C1" w:rsidRDefault="004F35C1" w:rsidP="004F35C1">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4F35C1" w:rsidRPr="001C2F5E" w:rsidTr="002D51BE">
        <w:tc>
          <w:tcPr>
            <w:tcW w:w="4536" w:type="dxa"/>
            <w:tcMar>
              <w:left w:w="0" w:type="dxa"/>
              <w:right w:w="0" w:type="dxa"/>
            </w:tcMar>
          </w:tcPr>
          <w:p w:rsidR="004F35C1" w:rsidRDefault="004F35C1" w:rsidP="002D51BE">
            <w:pPr>
              <w:keepNext/>
              <w:keepLines/>
              <w:widowControl w:val="0"/>
              <w:rPr>
                <w:sz w:val="20"/>
                <w:lang w:val="fr-CA"/>
              </w:rPr>
            </w:pPr>
            <w:r>
              <w:rPr>
                <w:sz w:val="20"/>
                <w:lang w:val="fr-CA"/>
              </w:rPr>
              <w:t>23 octobre 2008</w:t>
            </w:r>
          </w:p>
          <w:p w:rsidR="004F35C1" w:rsidRDefault="004F35C1" w:rsidP="002D51BE">
            <w:pPr>
              <w:keepNext/>
              <w:keepLines/>
              <w:widowControl w:val="0"/>
              <w:rPr>
                <w:sz w:val="20"/>
                <w:lang w:val="fr-CA"/>
              </w:rPr>
            </w:pPr>
            <w:r>
              <w:rPr>
                <w:sz w:val="20"/>
                <w:lang w:val="fr-CA"/>
              </w:rPr>
              <w:t>Cour provinciale de l’Alberta</w:t>
            </w:r>
          </w:p>
          <w:p w:rsidR="004F35C1" w:rsidRDefault="004F35C1" w:rsidP="002D51BE">
            <w:pPr>
              <w:keepNext/>
              <w:keepLines/>
              <w:widowControl w:val="0"/>
              <w:rPr>
                <w:sz w:val="20"/>
                <w:lang w:val="fr-CA"/>
              </w:rPr>
            </w:pPr>
            <w:r>
              <w:rPr>
                <w:sz w:val="20"/>
                <w:lang w:val="fr-CA"/>
              </w:rPr>
              <w:t>(Juge Rae)</w:t>
            </w:r>
          </w:p>
        </w:tc>
        <w:tc>
          <w:tcPr>
            <w:tcW w:w="288" w:type="dxa"/>
            <w:tcMar>
              <w:left w:w="0" w:type="dxa"/>
              <w:right w:w="0" w:type="dxa"/>
            </w:tcMar>
          </w:tcPr>
          <w:p w:rsidR="004F35C1" w:rsidRDefault="004F35C1" w:rsidP="002D51BE">
            <w:pPr>
              <w:keepNext/>
              <w:keepLines/>
              <w:widowControl w:val="0"/>
              <w:rPr>
                <w:sz w:val="20"/>
                <w:lang w:val="fr-CA"/>
              </w:rPr>
            </w:pPr>
          </w:p>
        </w:tc>
        <w:tc>
          <w:tcPr>
            <w:tcW w:w="4536" w:type="dxa"/>
            <w:tcMar>
              <w:left w:w="0" w:type="dxa"/>
              <w:right w:w="0" w:type="dxa"/>
            </w:tcMar>
          </w:tcPr>
          <w:p w:rsidR="004F35C1" w:rsidRDefault="004F35C1" w:rsidP="00716AD0">
            <w:pPr>
              <w:keepLines/>
              <w:widowControl w:val="0"/>
              <w:jc w:val="both"/>
              <w:rPr>
                <w:sz w:val="20"/>
                <w:lang w:val="fr-CA"/>
              </w:rPr>
            </w:pPr>
            <w:r>
              <w:rPr>
                <w:sz w:val="20"/>
                <w:lang w:val="fr-CA"/>
              </w:rPr>
              <w:t>Ordonnance accordant à l’intimé la tutelle permanente des enfants des demandeurs</w:t>
            </w:r>
          </w:p>
        </w:tc>
      </w:tr>
    </w:tbl>
    <w:p w:rsidR="004F35C1" w:rsidRDefault="004F35C1" w:rsidP="004F35C1">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4F35C1" w:rsidTr="002D51BE">
        <w:tc>
          <w:tcPr>
            <w:tcW w:w="4536" w:type="dxa"/>
            <w:tcMar>
              <w:left w:w="0" w:type="dxa"/>
              <w:right w:w="0" w:type="dxa"/>
            </w:tcMar>
          </w:tcPr>
          <w:p w:rsidR="004F35C1" w:rsidRDefault="004F35C1" w:rsidP="002D51BE">
            <w:pPr>
              <w:keepNext/>
              <w:keepLines/>
              <w:widowControl w:val="0"/>
              <w:rPr>
                <w:sz w:val="20"/>
                <w:lang w:val="fr-CA"/>
              </w:rPr>
            </w:pPr>
            <w:r>
              <w:rPr>
                <w:sz w:val="20"/>
                <w:lang w:val="fr-CA"/>
              </w:rPr>
              <w:t>14 mai 2009</w:t>
            </w:r>
          </w:p>
          <w:p w:rsidR="004F35C1" w:rsidRDefault="004F35C1" w:rsidP="002D51BE">
            <w:pPr>
              <w:keepNext/>
              <w:keepLines/>
              <w:widowControl w:val="0"/>
              <w:rPr>
                <w:sz w:val="20"/>
                <w:lang w:val="fr-CA"/>
              </w:rPr>
            </w:pPr>
            <w:r>
              <w:rPr>
                <w:sz w:val="20"/>
                <w:lang w:val="fr-CA"/>
              </w:rPr>
              <w:t>Cour du Banc de la Reine de l’Alberta</w:t>
            </w:r>
          </w:p>
          <w:p w:rsidR="004F35C1" w:rsidRDefault="004F35C1" w:rsidP="002D51BE">
            <w:pPr>
              <w:keepNext/>
              <w:keepLines/>
              <w:widowControl w:val="0"/>
              <w:rPr>
                <w:sz w:val="20"/>
                <w:lang w:val="fr-CA"/>
              </w:rPr>
            </w:pPr>
            <w:r>
              <w:rPr>
                <w:sz w:val="20"/>
                <w:lang w:val="fr-CA"/>
              </w:rPr>
              <w:t>(Juges Clackson)</w:t>
            </w:r>
          </w:p>
        </w:tc>
        <w:tc>
          <w:tcPr>
            <w:tcW w:w="288" w:type="dxa"/>
            <w:tcMar>
              <w:left w:w="0" w:type="dxa"/>
              <w:right w:w="0" w:type="dxa"/>
            </w:tcMar>
          </w:tcPr>
          <w:p w:rsidR="004F35C1" w:rsidRDefault="004F35C1" w:rsidP="002D51BE">
            <w:pPr>
              <w:keepLines/>
              <w:widowControl w:val="0"/>
              <w:rPr>
                <w:sz w:val="20"/>
                <w:lang w:val="fr-CA"/>
              </w:rPr>
            </w:pPr>
          </w:p>
        </w:tc>
        <w:tc>
          <w:tcPr>
            <w:tcW w:w="4536" w:type="dxa"/>
            <w:tcMar>
              <w:left w:w="0" w:type="dxa"/>
              <w:right w:w="0" w:type="dxa"/>
            </w:tcMar>
          </w:tcPr>
          <w:p w:rsidR="004F35C1" w:rsidRDefault="004F35C1" w:rsidP="002D51BE">
            <w:pPr>
              <w:keepLines/>
              <w:widowControl w:val="0"/>
              <w:rPr>
                <w:sz w:val="20"/>
                <w:lang w:val="fr-CA"/>
              </w:rPr>
            </w:pPr>
            <w:r>
              <w:rPr>
                <w:sz w:val="20"/>
                <w:lang w:val="fr-CA"/>
              </w:rPr>
              <w:t>Appel rejeté</w:t>
            </w:r>
          </w:p>
        </w:tc>
      </w:tr>
    </w:tbl>
    <w:p w:rsidR="004F35C1" w:rsidRDefault="004F35C1" w:rsidP="004F35C1">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4F35C1" w:rsidTr="002D51BE">
        <w:tc>
          <w:tcPr>
            <w:tcW w:w="4536" w:type="dxa"/>
            <w:tcMar>
              <w:left w:w="0" w:type="dxa"/>
              <w:right w:w="0" w:type="dxa"/>
            </w:tcMar>
          </w:tcPr>
          <w:p w:rsidR="004F35C1" w:rsidRDefault="004F35C1" w:rsidP="002D51BE">
            <w:pPr>
              <w:keepNext/>
              <w:keepLines/>
              <w:widowControl w:val="0"/>
              <w:rPr>
                <w:sz w:val="20"/>
                <w:lang w:val="fr-CA"/>
              </w:rPr>
            </w:pPr>
            <w:r>
              <w:rPr>
                <w:sz w:val="20"/>
                <w:lang w:val="fr-CA"/>
              </w:rPr>
              <w:t>3 mai 2010</w:t>
            </w:r>
          </w:p>
          <w:p w:rsidR="004F35C1" w:rsidRDefault="004F35C1" w:rsidP="002D51BE">
            <w:pPr>
              <w:keepNext/>
              <w:keepLines/>
              <w:widowControl w:val="0"/>
              <w:rPr>
                <w:sz w:val="20"/>
                <w:lang w:val="fr-CA"/>
              </w:rPr>
            </w:pPr>
            <w:r>
              <w:rPr>
                <w:sz w:val="20"/>
                <w:lang w:val="fr-CA"/>
              </w:rPr>
              <w:t>Cour d’appel de l’Alberta (Edmonton)</w:t>
            </w:r>
          </w:p>
          <w:p w:rsidR="004F35C1" w:rsidRDefault="004F35C1" w:rsidP="002D51BE">
            <w:pPr>
              <w:keepNext/>
              <w:keepLines/>
              <w:widowControl w:val="0"/>
              <w:rPr>
                <w:sz w:val="20"/>
                <w:lang w:val="fr-CA"/>
              </w:rPr>
            </w:pPr>
            <w:r>
              <w:rPr>
                <w:sz w:val="20"/>
                <w:lang w:val="fr-CA"/>
              </w:rPr>
              <w:t xml:space="preserve">(Juges </w:t>
            </w:r>
            <w:proofErr w:type="spellStart"/>
            <w:r>
              <w:rPr>
                <w:sz w:val="20"/>
                <w:lang w:val="fr-CA"/>
              </w:rPr>
              <w:t>McFadyen</w:t>
            </w:r>
            <w:proofErr w:type="spellEnd"/>
            <w:r>
              <w:rPr>
                <w:sz w:val="20"/>
                <w:lang w:val="fr-CA"/>
              </w:rPr>
              <w:t>, Berger (dissident) et Ritter)</w:t>
            </w:r>
          </w:p>
          <w:p w:rsidR="004F35C1" w:rsidRDefault="004F35C1" w:rsidP="002D51BE">
            <w:pPr>
              <w:keepNext/>
              <w:keepLines/>
              <w:widowControl w:val="0"/>
              <w:rPr>
                <w:sz w:val="20"/>
                <w:lang w:val="fr-CA"/>
              </w:rPr>
            </w:pPr>
            <w:r>
              <w:rPr>
                <w:sz w:val="20"/>
                <w:lang w:val="fr-CA"/>
              </w:rPr>
              <w:t>2101 ABCA 138; 0903-0195-AC</w:t>
            </w:r>
          </w:p>
        </w:tc>
        <w:tc>
          <w:tcPr>
            <w:tcW w:w="288" w:type="dxa"/>
            <w:tcMar>
              <w:left w:w="0" w:type="dxa"/>
              <w:right w:w="0" w:type="dxa"/>
            </w:tcMar>
          </w:tcPr>
          <w:p w:rsidR="004F35C1" w:rsidRDefault="004F35C1" w:rsidP="002D51BE">
            <w:pPr>
              <w:keepLines/>
              <w:widowControl w:val="0"/>
              <w:rPr>
                <w:sz w:val="20"/>
                <w:lang w:val="fr-CA"/>
              </w:rPr>
            </w:pPr>
          </w:p>
        </w:tc>
        <w:tc>
          <w:tcPr>
            <w:tcW w:w="4536" w:type="dxa"/>
            <w:tcMar>
              <w:left w:w="0" w:type="dxa"/>
              <w:right w:w="0" w:type="dxa"/>
            </w:tcMar>
          </w:tcPr>
          <w:p w:rsidR="004F35C1" w:rsidRDefault="004F35C1" w:rsidP="002D51BE">
            <w:pPr>
              <w:keepLines/>
              <w:widowControl w:val="0"/>
              <w:rPr>
                <w:sz w:val="20"/>
                <w:lang w:val="fr-CA"/>
              </w:rPr>
            </w:pPr>
            <w:r>
              <w:rPr>
                <w:sz w:val="20"/>
                <w:lang w:val="fr-CA"/>
              </w:rPr>
              <w:t>Appel rejeté</w:t>
            </w:r>
          </w:p>
        </w:tc>
      </w:tr>
    </w:tbl>
    <w:p w:rsidR="004F35C1" w:rsidRDefault="004F35C1" w:rsidP="004F35C1">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4F35C1" w:rsidTr="002D51BE">
        <w:tc>
          <w:tcPr>
            <w:tcW w:w="4536" w:type="dxa"/>
            <w:tcMar>
              <w:left w:w="0" w:type="dxa"/>
              <w:right w:w="0" w:type="dxa"/>
            </w:tcMar>
          </w:tcPr>
          <w:p w:rsidR="004F35C1" w:rsidRDefault="004F35C1" w:rsidP="002D51BE">
            <w:pPr>
              <w:keepNext/>
              <w:keepLines/>
              <w:widowControl w:val="0"/>
              <w:rPr>
                <w:sz w:val="20"/>
                <w:lang w:val="fr-CA"/>
              </w:rPr>
            </w:pPr>
            <w:r>
              <w:rPr>
                <w:sz w:val="20"/>
                <w:lang w:val="fr-CA"/>
              </w:rPr>
              <w:t>29 juillet 2010</w:t>
            </w:r>
          </w:p>
          <w:p w:rsidR="004F35C1" w:rsidRDefault="004F35C1" w:rsidP="002D51BE">
            <w:pPr>
              <w:keepNext/>
              <w:keepLines/>
              <w:widowControl w:val="0"/>
              <w:rPr>
                <w:sz w:val="20"/>
                <w:lang w:val="fr-CA"/>
              </w:rPr>
            </w:pPr>
            <w:r>
              <w:rPr>
                <w:sz w:val="20"/>
                <w:lang w:val="fr-CA"/>
              </w:rPr>
              <w:t>Cour suprême du Canada</w:t>
            </w:r>
          </w:p>
        </w:tc>
        <w:tc>
          <w:tcPr>
            <w:tcW w:w="288" w:type="dxa"/>
            <w:tcMar>
              <w:left w:w="0" w:type="dxa"/>
              <w:right w:w="0" w:type="dxa"/>
            </w:tcMar>
          </w:tcPr>
          <w:p w:rsidR="004F35C1" w:rsidRDefault="004F35C1" w:rsidP="002D51BE">
            <w:pPr>
              <w:keepLines/>
              <w:widowControl w:val="0"/>
              <w:rPr>
                <w:sz w:val="20"/>
                <w:lang w:val="fr-CA"/>
              </w:rPr>
            </w:pPr>
          </w:p>
        </w:tc>
        <w:tc>
          <w:tcPr>
            <w:tcW w:w="4536" w:type="dxa"/>
            <w:tcMar>
              <w:left w:w="0" w:type="dxa"/>
              <w:right w:w="0" w:type="dxa"/>
            </w:tcMar>
          </w:tcPr>
          <w:p w:rsidR="004F35C1" w:rsidRDefault="004F35C1" w:rsidP="002D51BE">
            <w:pPr>
              <w:keepLines/>
              <w:widowControl w:val="0"/>
              <w:rPr>
                <w:sz w:val="20"/>
                <w:lang w:val="fr-CA"/>
              </w:rPr>
            </w:pPr>
            <w:r>
              <w:rPr>
                <w:sz w:val="20"/>
                <w:lang w:val="fr-CA"/>
              </w:rPr>
              <w:t>Demande d’autorisation d’appel, déposée</w:t>
            </w:r>
          </w:p>
        </w:tc>
      </w:tr>
    </w:tbl>
    <w:p w:rsidR="004F35C1" w:rsidRDefault="004F35C1" w:rsidP="004F35C1">
      <w:pPr>
        <w:widowControl w:val="0"/>
        <w:rPr>
          <w:sz w:val="20"/>
          <w:lang w:val="fr-CA"/>
        </w:rPr>
      </w:pPr>
    </w:p>
    <w:p w:rsidR="007F53EF" w:rsidRPr="00C50A5C" w:rsidRDefault="00857426" w:rsidP="007F53EF">
      <w:pPr>
        <w:rPr>
          <w:sz w:val="20"/>
          <w:szCs w:val="20"/>
        </w:rPr>
      </w:pPr>
      <w:r w:rsidRPr="00857426">
        <w:rPr>
          <w:sz w:val="20"/>
          <w:szCs w:val="20"/>
          <w:lang w:val="fr-CA"/>
        </w:rPr>
        <w:pict>
          <v:rect id="_x0000_i1053" style="width:2in;height:1pt" o:hrpct="0" o:hralign="center" o:hrstd="t" o:hrnoshade="t" o:hr="t" fillcolor="black [3213]" stroked="f"/>
        </w:pict>
      </w:r>
    </w:p>
    <w:p w:rsidR="007F53EF" w:rsidRDefault="007F53EF" w:rsidP="007F53E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514A6" w:rsidRPr="007514A6" w:rsidTr="007514A6">
        <w:trPr>
          <w:cantSplit/>
        </w:trPr>
        <w:tc>
          <w:tcPr>
            <w:tcW w:w="1458" w:type="dxa"/>
          </w:tcPr>
          <w:p w:rsidR="007514A6" w:rsidRPr="007514A6" w:rsidRDefault="007514A6" w:rsidP="007514A6">
            <w:pPr>
              <w:rPr>
                <w:sz w:val="20"/>
                <w:szCs w:val="20"/>
              </w:rPr>
            </w:pPr>
            <w:r w:rsidRPr="007514A6">
              <w:rPr>
                <w:rStyle w:val="SCCFileNumberChar"/>
                <w:sz w:val="20"/>
                <w:szCs w:val="20"/>
              </w:rPr>
              <w:t>33790</w:t>
            </w:r>
          </w:p>
          <w:p w:rsidR="007514A6" w:rsidRPr="007514A6" w:rsidRDefault="007514A6" w:rsidP="007514A6">
            <w:pPr>
              <w:rPr>
                <w:b/>
                <w:sz w:val="20"/>
                <w:szCs w:val="20"/>
                <w:lang w:val="fr-CA"/>
              </w:rPr>
            </w:pPr>
          </w:p>
        </w:tc>
        <w:tc>
          <w:tcPr>
            <w:tcW w:w="8118" w:type="dxa"/>
          </w:tcPr>
          <w:p w:rsidR="007514A6" w:rsidRPr="007514A6" w:rsidRDefault="007514A6" w:rsidP="007514A6">
            <w:pPr>
              <w:rPr>
                <w:sz w:val="20"/>
                <w:szCs w:val="20"/>
              </w:rPr>
            </w:pPr>
            <w:r w:rsidRPr="007514A6">
              <w:rPr>
                <w:rStyle w:val="SCCLsocChar"/>
                <w:sz w:val="20"/>
                <w:szCs w:val="20"/>
                <w:lang w:val="en-CA"/>
              </w:rPr>
              <w:t>Expedition Helicopters Inc. v. Honeywell Inc.</w:t>
            </w:r>
            <w:r w:rsidRPr="007514A6">
              <w:rPr>
                <w:sz w:val="20"/>
                <w:szCs w:val="20"/>
              </w:rPr>
              <w:t xml:space="preserve"> (Ont.) (Civil) (By Leave)</w:t>
            </w:r>
          </w:p>
          <w:p w:rsidR="007514A6" w:rsidRPr="007514A6" w:rsidRDefault="007514A6" w:rsidP="007514A6">
            <w:pPr>
              <w:rPr>
                <w:sz w:val="20"/>
                <w:szCs w:val="20"/>
              </w:rPr>
            </w:pPr>
          </w:p>
        </w:tc>
      </w:tr>
      <w:tr w:rsidR="007514A6" w:rsidRPr="007514A6" w:rsidTr="007514A6">
        <w:trPr>
          <w:cantSplit/>
        </w:trPr>
        <w:tc>
          <w:tcPr>
            <w:tcW w:w="1458" w:type="dxa"/>
          </w:tcPr>
          <w:p w:rsidR="007514A6" w:rsidRPr="007514A6" w:rsidRDefault="007514A6" w:rsidP="007514A6">
            <w:pPr>
              <w:rPr>
                <w:sz w:val="20"/>
                <w:szCs w:val="20"/>
              </w:rPr>
            </w:pPr>
            <w:r w:rsidRPr="007514A6">
              <w:rPr>
                <w:sz w:val="20"/>
                <w:szCs w:val="20"/>
              </w:rPr>
              <w:t>Coram :</w:t>
            </w:r>
          </w:p>
        </w:tc>
        <w:tc>
          <w:tcPr>
            <w:tcW w:w="8118" w:type="dxa"/>
          </w:tcPr>
          <w:p w:rsidR="007514A6" w:rsidRPr="007514A6" w:rsidRDefault="007514A6" w:rsidP="007514A6">
            <w:pPr>
              <w:rPr>
                <w:sz w:val="20"/>
                <w:szCs w:val="20"/>
              </w:rPr>
            </w:pPr>
            <w:proofErr w:type="spellStart"/>
            <w:r w:rsidRPr="007514A6">
              <w:rPr>
                <w:rStyle w:val="SCCCoramChar"/>
                <w:sz w:val="20"/>
                <w:szCs w:val="20"/>
                <w:lang w:val="en-CA"/>
              </w:rPr>
              <w:t>McLachlin</w:t>
            </w:r>
            <w:proofErr w:type="spellEnd"/>
            <w:r w:rsidRPr="007514A6">
              <w:rPr>
                <w:rStyle w:val="SCCCoramChar"/>
                <w:sz w:val="20"/>
                <w:szCs w:val="20"/>
                <w:lang w:val="en-CA"/>
              </w:rPr>
              <w:t xml:space="preserve"> C.J. and </w:t>
            </w:r>
            <w:proofErr w:type="spellStart"/>
            <w:r w:rsidRPr="007514A6">
              <w:rPr>
                <w:rStyle w:val="SCCCoramChar"/>
                <w:sz w:val="20"/>
                <w:szCs w:val="20"/>
                <w:lang w:val="en-CA"/>
              </w:rPr>
              <w:t>Abella</w:t>
            </w:r>
            <w:proofErr w:type="spellEnd"/>
            <w:r w:rsidRPr="007514A6">
              <w:rPr>
                <w:rStyle w:val="SCCCoramChar"/>
                <w:sz w:val="20"/>
                <w:szCs w:val="20"/>
                <w:lang w:val="en-CA"/>
              </w:rPr>
              <w:t xml:space="preserve"> and Cromwell JJ.</w:t>
            </w:r>
          </w:p>
          <w:p w:rsidR="007514A6" w:rsidRPr="007514A6" w:rsidRDefault="007514A6" w:rsidP="007514A6">
            <w:pPr>
              <w:rPr>
                <w:sz w:val="20"/>
                <w:szCs w:val="20"/>
                <w:u w:val="single"/>
              </w:rPr>
            </w:pPr>
          </w:p>
        </w:tc>
      </w:tr>
      <w:tr w:rsidR="007514A6" w:rsidRPr="001C2F5E" w:rsidTr="007514A6">
        <w:trPr>
          <w:cantSplit/>
        </w:trPr>
        <w:tc>
          <w:tcPr>
            <w:tcW w:w="9576" w:type="dxa"/>
            <w:gridSpan w:val="2"/>
          </w:tcPr>
          <w:p w:rsidR="007514A6" w:rsidRPr="007514A6" w:rsidRDefault="007514A6" w:rsidP="007514A6">
            <w:pPr>
              <w:pStyle w:val="SCCShortJudgment"/>
              <w:rPr>
                <w:szCs w:val="20"/>
              </w:rPr>
            </w:pPr>
            <w:r w:rsidRPr="007514A6">
              <w:rPr>
                <w:szCs w:val="20"/>
              </w:rPr>
              <w:t>The application for leave to appeal from the judgment of the Court of Appeal for Ontario, Number C51719, 2010 ONCA 351, dated May 14, 2010, is dismissed with costs.</w:t>
            </w:r>
          </w:p>
          <w:p w:rsidR="007514A6" w:rsidRPr="007514A6" w:rsidRDefault="007514A6" w:rsidP="007514A6">
            <w:pPr>
              <w:pStyle w:val="SCCShortJudgment"/>
              <w:ind w:firstLine="0"/>
              <w:rPr>
                <w:szCs w:val="20"/>
              </w:rPr>
            </w:pPr>
          </w:p>
          <w:p w:rsidR="007514A6" w:rsidRPr="007514A6" w:rsidRDefault="007514A6" w:rsidP="007514A6">
            <w:pPr>
              <w:pStyle w:val="SCCShortJudgment"/>
              <w:rPr>
                <w:szCs w:val="20"/>
                <w:lang w:val="fr-CA"/>
              </w:rPr>
            </w:pPr>
            <w:r w:rsidRPr="007514A6">
              <w:rPr>
                <w:szCs w:val="20"/>
                <w:lang w:val="fr-CA"/>
              </w:rPr>
              <w:t>La demande d’autorisation d’appel de l’arrêt de la Cour d’appel de l’Ontario, numéro C51719, 2010 ONCA 351, daté du 14 mai 2010, est rejetée avec dépens.</w:t>
            </w:r>
          </w:p>
        </w:tc>
      </w:tr>
    </w:tbl>
    <w:p w:rsidR="00D53465" w:rsidRDefault="00D53465" w:rsidP="007F53EF">
      <w:pPr>
        <w:rPr>
          <w:sz w:val="20"/>
          <w:szCs w:val="20"/>
          <w:lang w:val="fr-CA"/>
        </w:rPr>
      </w:pPr>
    </w:p>
    <w:p w:rsidR="00D53465" w:rsidRDefault="00D53465">
      <w:pPr>
        <w:rPr>
          <w:sz w:val="20"/>
          <w:szCs w:val="20"/>
          <w:lang w:val="fr-CA"/>
        </w:rPr>
      </w:pPr>
      <w:r>
        <w:rPr>
          <w:sz w:val="20"/>
          <w:szCs w:val="20"/>
          <w:lang w:val="fr-CA"/>
        </w:rPr>
        <w:br w:type="page"/>
      </w:r>
    </w:p>
    <w:p w:rsidR="007F53EF" w:rsidRPr="007F53EF" w:rsidRDefault="007F53EF" w:rsidP="007F53EF">
      <w:pPr>
        <w:rPr>
          <w:sz w:val="20"/>
          <w:szCs w:val="20"/>
          <w:u w:val="single"/>
        </w:rPr>
      </w:pPr>
      <w:r w:rsidRPr="007F53EF">
        <w:rPr>
          <w:sz w:val="20"/>
          <w:szCs w:val="20"/>
          <w:u w:val="single"/>
        </w:rPr>
        <w:lastRenderedPageBreak/>
        <w:t>CASE SUMMARY</w:t>
      </w:r>
    </w:p>
    <w:p w:rsidR="004F35C1" w:rsidRPr="004F35C1" w:rsidRDefault="004F35C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F35C1" w:rsidRPr="003856E2" w:rsidTr="002D51BE">
        <w:tc>
          <w:tcPr>
            <w:tcW w:w="5000" w:type="pct"/>
            <w:gridSpan w:val="3"/>
          </w:tcPr>
          <w:p w:rsidR="004F35C1" w:rsidRPr="003856E2" w:rsidRDefault="004F35C1" w:rsidP="002D51BE">
            <w:pPr>
              <w:jc w:val="both"/>
              <w:rPr>
                <w:rFonts w:eastAsia="Calibri"/>
                <w:sz w:val="20"/>
              </w:rPr>
            </w:pPr>
            <w:r w:rsidRPr="003856E2">
              <w:rPr>
                <w:rFonts w:eastAsia="Calibri"/>
                <w:sz w:val="20"/>
              </w:rPr>
              <w:t>Private international law – Choice of forum – Court having jurisdiction – Forum selection clause – Whether considerations of fairness and the interests of justice are still part of the “strong cause” test – As between contracting parties and the court, who has the final word on the assumption of jurisdiction and choice of forum</w:t>
            </w:r>
            <w:r>
              <w:rPr>
                <w:rFonts w:eastAsia="Calibri"/>
                <w:sz w:val="20"/>
              </w:rPr>
              <w:t>.</w:t>
            </w:r>
          </w:p>
          <w:p w:rsidR="004F35C1" w:rsidRPr="003856E2" w:rsidRDefault="004F35C1" w:rsidP="002D51BE">
            <w:pPr>
              <w:jc w:val="both"/>
              <w:rPr>
                <w:rFonts w:eastAsia="Calibri"/>
                <w:smallCaps/>
                <w:sz w:val="20"/>
              </w:rPr>
            </w:pPr>
          </w:p>
          <w:p w:rsidR="004F35C1" w:rsidRPr="003856E2" w:rsidRDefault="004F35C1" w:rsidP="002D51BE">
            <w:pPr>
              <w:jc w:val="both"/>
              <w:rPr>
                <w:rFonts w:eastAsia="Calibri"/>
                <w:sz w:val="20"/>
              </w:rPr>
            </w:pPr>
            <w:r w:rsidRPr="003856E2">
              <w:rPr>
                <w:rFonts w:eastAsia="Calibri"/>
                <w:sz w:val="20"/>
              </w:rPr>
              <w:t xml:space="preserve">The Respondent, Honeywell is a Delaware corporation which operates globally. It supplied a helicopter engine to the Applicant, Expedition Helicopters, </w:t>
            </w:r>
            <w:proofErr w:type="gramStart"/>
            <w:r w:rsidRPr="003856E2">
              <w:rPr>
                <w:rFonts w:eastAsia="Calibri"/>
                <w:sz w:val="20"/>
              </w:rPr>
              <w:t>an</w:t>
            </w:r>
            <w:proofErr w:type="gramEnd"/>
            <w:r w:rsidRPr="003856E2">
              <w:rPr>
                <w:rFonts w:eastAsia="Calibri"/>
                <w:sz w:val="20"/>
              </w:rPr>
              <w:t xml:space="preserve"> Ontario corporation.  A forum selection clause in the Bailment Agreement provided that the agreement was to be governed, controlled and interpreted under the law of the State of Arizona and that the federal court located in Phoenix, Arizona was to have exclusive jurisdiction to hear any action arising out of the agreement.  The clause stated:</w:t>
            </w:r>
          </w:p>
          <w:p w:rsidR="004F35C1" w:rsidRPr="003856E2" w:rsidRDefault="004F35C1" w:rsidP="002D51BE">
            <w:pPr>
              <w:jc w:val="both"/>
              <w:rPr>
                <w:rFonts w:eastAsia="Calibri"/>
                <w:sz w:val="20"/>
              </w:rPr>
            </w:pPr>
          </w:p>
          <w:p w:rsidR="004F35C1" w:rsidRPr="003856E2" w:rsidRDefault="004F35C1" w:rsidP="002D51BE">
            <w:pPr>
              <w:ind w:left="720"/>
              <w:jc w:val="both"/>
              <w:rPr>
                <w:rFonts w:eastAsia="Calibri"/>
                <w:sz w:val="20"/>
              </w:rPr>
            </w:pPr>
            <w:r w:rsidRPr="003856E2">
              <w:rPr>
                <w:rFonts w:eastAsia="Calibri"/>
                <w:sz w:val="20"/>
              </w:rPr>
              <w:t>CHOICE OF LAW.  THIS AGREEMENT SHALL BE GOVERNED, CONTROLLED AND INTERPRETED UNDER THE LAW OF THE STATE OF ARIZONA, EXCLUDING ITS CONFLICT OR CHOICE OF LAW PROVISIONS.  The parties (</w:t>
            </w:r>
            <w:proofErr w:type="spellStart"/>
            <w:r w:rsidRPr="003856E2">
              <w:rPr>
                <w:rFonts w:eastAsia="Calibri"/>
                <w:sz w:val="20"/>
              </w:rPr>
              <w:t>i</w:t>
            </w:r>
            <w:proofErr w:type="spellEnd"/>
            <w:r w:rsidRPr="003856E2">
              <w:rPr>
                <w:rFonts w:eastAsia="Calibri"/>
                <w:sz w:val="20"/>
              </w:rPr>
              <w:t xml:space="preserve">) agree that any state or federal court located in Phoenix, Arizona shall have exclusive jurisdiction to hear any suit, action or proceeding arising out of or in connection with this Agreement, and consent and submit to the exclusive jurisdiction of any such court in any such suit, action or proceeding and (ii) hereby waive, and agree not to assert, by way of motion, as a </w:t>
            </w:r>
            <w:proofErr w:type="spellStart"/>
            <w:r w:rsidRPr="003856E2">
              <w:rPr>
                <w:rFonts w:eastAsia="Calibri"/>
                <w:sz w:val="20"/>
              </w:rPr>
              <w:t>defense</w:t>
            </w:r>
            <w:proofErr w:type="spellEnd"/>
            <w:r w:rsidRPr="003856E2">
              <w:rPr>
                <w:rFonts w:eastAsia="Calibri"/>
                <w:sz w:val="20"/>
              </w:rPr>
              <w:t>, or otherwise, in any such suit, action or proceeding to the extent permitted by the applicable law, that the suit, action or proceeding is brought in an inconvenient forum, that the venue of the suit, action or proceeding is improper, or that this Agreement or any of the transactions contemplated hereby may not be enforced in or by such courts.</w:t>
            </w:r>
          </w:p>
          <w:p w:rsidR="004F35C1" w:rsidRPr="003856E2" w:rsidRDefault="004F35C1" w:rsidP="002D51BE">
            <w:pPr>
              <w:jc w:val="both"/>
              <w:rPr>
                <w:rFonts w:eastAsia="Calibri"/>
                <w:sz w:val="20"/>
              </w:rPr>
            </w:pPr>
          </w:p>
          <w:p w:rsidR="004F35C1" w:rsidRDefault="004F35C1" w:rsidP="004F35C1">
            <w:pPr>
              <w:jc w:val="both"/>
              <w:rPr>
                <w:rFonts w:eastAsia="Calibri"/>
                <w:sz w:val="20"/>
              </w:rPr>
            </w:pPr>
            <w:r w:rsidRPr="003856E2">
              <w:rPr>
                <w:rFonts w:eastAsia="Calibri"/>
                <w:sz w:val="20"/>
              </w:rPr>
              <w:t xml:space="preserve">The engine was installed in a helicopter that crashed in Saskatchewan.  Expedition Helicopters commenced an action against Honeywell in Ontario.  Honeywell brought a motion to enforce the forum selection clause. The motion was dismissed, however, the appeal to the Court of Appeal was allowed. </w:t>
            </w:r>
          </w:p>
          <w:p w:rsidR="004F35C1" w:rsidRPr="003856E2" w:rsidRDefault="004F35C1" w:rsidP="004F35C1">
            <w:pPr>
              <w:jc w:val="both"/>
              <w:rPr>
                <w:rFonts w:eastAsia="Calibri"/>
                <w:sz w:val="20"/>
              </w:rPr>
            </w:pPr>
          </w:p>
        </w:tc>
      </w:tr>
      <w:tr w:rsidR="004F35C1" w:rsidRPr="003856E2" w:rsidTr="002D51BE">
        <w:tc>
          <w:tcPr>
            <w:tcW w:w="2427" w:type="pct"/>
          </w:tcPr>
          <w:p w:rsidR="004F35C1" w:rsidRPr="003856E2" w:rsidRDefault="004F35C1" w:rsidP="002D51BE">
            <w:pPr>
              <w:jc w:val="both"/>
              <w:rPr>
                <w:rFonts w:eastAsia="Calibri"/>
                <w:sz w:val="20"/>
              </w:rPr>
            </w:pPr>
            <w:r w:rsidRPr="003856E2">
              <w:rPr>
                <w:rFonts w:eastAsia="Calibri"/>
                <w:sz w:val="20"/>
              </w:rPr>
              <w:t>January 21, 2010</w:t>
            </w:r>
          </w:p>
          <w:p w:rsidR="004F35C1" w:rsidRPr="003856E2" w:rsidRDefault="004F35C1" w:rsidP="002D51BE">
            <w:pPr>
              <w:jc w:val="both"/>
              <w:rPr>
                <w:rFonts w:eastAsia="Calibri"/>
                <w:sz w:val="20"/>
              </w:rPr>
            </w:pPr>
            <w:r w:rsidRPr="003856E2">
              <w:rPr>
                <w:rFonts w:eastAsia="Calibri"/>
                <w:sz w:val="20"/>
              </w:rPr>
              <w:t>Ontario Superior Court of Justice</w:t>
            </w:r>
          </w:p>
          <w:p w:rsidR="004F35C1" w:rsidRPr="003856E2" w:rsidRDefault="004F35C1" w:rsidP="002D51BE">
            <w:pPr>
              <w:jc w:val="both"/>
              <w:rPr>
                <w:rFonts w:eastAsia="Calibri"/>
                <w:sz w:val="20"/>
                <w:lang w:val="fr-CA"/>
              </w:rPr>
            </w:pPr>
            <w:r w:rsidRPr="003856E2">
              <w:rPr>
                <w:rFonts w:eastAsia="Calibri"/>
                <w:sz w:val="20"/>
                <w:lang w:val="fr-CA"/>
              </w:rPr>
              <w:t>(Gauthier J.)</w:t>
            </w:r>
          </w:p>
          <w:p w:rsidR="004F35C1" w:rsidRPr="003856E2" w:rsidRDefault="004F35C1" w:rsidP="004F35C1">
            <w:pPr>
              <w:jc w:val="both"/>
              <w:rPr>
                <w:rFonts w:eastAsia="Calibri"/>
                <w:sz w:val="20"/>
              </w:rPr>
            </w:pPr>
            <w:proofErr w:type="spellStart"/>
            <w:r w:rsidRPr="003856E2">
              <w:rPr>
                <w:rFonts w:eastAsia="Calibri"/>
                <w:sz w:val="20"/>
                <w:lang w:val="fr-CA"/>
              </w:rPr>
              <w:t>Neutral</w:t>
            </w:r>
            <w:proofErr w:type="spellEnd"/>
            <w:r w:rsidRPr="003856E2">
              <w:rPr>
                <w:rFonts w:eastAsia="Calibri"/>
                <w:sz w:val="20"/>
                <w:lang w:val="fr-CA"/>
              </w:rPr>
              <w:t xml:space="preserve"> citation: 2010 ONSC 732</w:t>
            </w:r>
          </w:p>
        </w:tc>
        <w:tc>
          <w:tcPr>
            <w:tcW w:w="243" w:type="pct"/>
          </w:tcPr>
          <w:p w:rsidR="004F35C1" w:rsidRDefault="004F35C1" w:rsidP="002D51BE">
            <w:pPr>
              <w:jc w:val="both"/>
              <w:rPr>
                <w:rFonts w:eastAsia="Calibri"/>
                <w:sz w:val="20"/>
              </w:rPr>
            </w:pPr>
          </w:p>
          <w:p w:rsidR="004F35C1" w:rsidRDefault="004F35C1" w:rsidP="002D51BE">
            <w:pPr>
              <w:jc w:val="both"/>
              <w:rPr>
                <w:rFonts w:eastAsia="Calibri"/>
                <w:sz w:val="20"/>
              </w:rPr>
            </w:pPr>
          </w:p>
          <w:p w:rsidR="004F35C1" w:rsidRDefault="004F35C1" w:rsidP="002D51BE">
            <w:pPr>
              <w:jc w:val="both"/>
              <w:rPr>
                <w:rFonts w:eastAsia="Calibri"/>
                <w:sz w:val="20"/>
              </w:rPr>
            </w:pPr>
          </w:p>
          <w:p w:rsidR="004F35C1" w:rsidRDefault="004F35C1" w:rsidP="002D51BE">
            <w:pPr>
              <w:jc w:val="both"/>
              <w:rPr>
                <w:rFonts w:eastAsia="Calibri"/>
                <w:sz w:val="20"/>
              </w:rPr>
            </w:pPr>
          </w:p>
          <w:p w:rsidR="004F35C1" w:rsidRPr="003856E2" w:rsidRDefault="004F35C1" w:rsidP="002D51BE">
            <w:pPr>
              <w:jc w:val="both"/>
              <w:rPr>
                <w:rFonts w:eastAsia="Calibri"/>
                <w:sz w:val="20"/>
              </w:rPr>
            </w:pPr>
          </w:p>
        </w:tc>
        <w:tc>
          <w:tcPr>
            <w:tcW w:w="2330" w:type="pct"/>
          </w:tcPr>
          <w:p w:rsidR="004F35C1" w:rsidRPr="003856E2" w:rsidRDefault="004F35C1" w:rsidP="004F35C1">
            <w:pPr>
              <w:jc w:val="both"/>
              <w:rPr>
                <w:rFonts w:eastAsia="Calibri"/>
                <w:sz w:val="20"/>
              </w:rPr>
            </w:pPr>
            <w:r w:rsidRPr="003856E2">
              <w:rPr>
                <w:rFonts w:eastAsia="Calibri"/>
                <w:sz w:val="20"/>
              </w:rPr>
              <w:t>Motion for stay of proceedings for lack of jurisdiction dismissed</w:t>
            </w:r>
          </w:p>
        </w:tc>
      </w:tr>
      <w:tr w:rsidR="004F35C1" w:rsidRPr="003856E2" w:rsidTr="002D51BE">
        <w:tc>
          <w:tcPr>
            <w:tcW w:w="2427" w:type="pct"/>
          </w:tcPr>
          <w:p w:rsidR="004F35C1" w:rsidRPr="003856E2" w:rsidRDefault="004F35C1" w:rsidP="002D51BE">
            <w:pPr>
              <w:jc w:val="both"/>
              <w:rPr>
                <w:rFonts w:eastAsia="Calibri"/>
                <w:sz w:val="20"/>
              </w:rPr>
            </w:pPr>
            <w:r w:rsidRPr="003856E2">
              <w:rPr>
                <w:rFonts w:eastAsia="Calibri"/>
                <w:sz w:val="20"/>
              </w:rPr>
              <w:t>May 14, 2010</w:t>
            </w:r>
          </w:p>
          <w:p w:rsidR="004F35C1" w:rsidRPr="003856E2" w:rsidRDefault="004F35C1" w:rsidP="002D51BE">
            <w:pPr>
              <w:jc w:val="both"/>
              <w:rPr>
                <w:rFonts w:eastAsia="Calibri"/>
                <w:sz w:val="20"/>
              </w:rPr>
            </w:pPr>
            <w:r w:rsidRPr="003856E2">
              <w:rPr>
                <w:rFonts w:eastAsia="Calibri"/>
                <w:sz w:val="20"/>
              </w:rPr>
              <w:t>Court of Appeal for Ontario</w:t>
            </w:r>
          </w:p>
          <w:p w:rsidR="004F35C1" w:rsidRPr="003856E2" w:rsidRDefault="004F35C1" w:rsidP="002D51BE">
            <w:pPr>
              <w:jc w:val="both"/>
              <w:rPr>
                <w:rFonts w:eastAsia="Calibri"/>
                <w:sz w:val="20"/>
              </w:rPr>
            </w:pPr>
            <w:r w:rsidRPr="003856E2">
              <w:rPr>
                <w:rFonts w:eastAsia="Calibri"/>
                <w:sz w:val="20"/>
              </w:rPr>
              <w:t xml:space="preserve">(O’Connor A.C.J.O., </w:t>
            </w:r>
            <w:proofErr w:type="spellStart"/>
            <w:r w:rsidRPr="003856E2">
              <w:rPr>
                <w:rFonts w:eastAsia="Calibri"/>
                <w:sz w:val="20"/>
              </w:rPr>
              <w:t>Gillese</w:t>
            </w:r>
            <w:proofErr w:type="spellEnd"/>
            <w:r w:rsidRPr="003856E2">
              <w:rPr>
                <w:rFonts w:eastAsia="Calibri"/>
                <w:sz w:val="20"/>
              </w:rPr>
              <w:t xml:space="preserve"> and </w:t>
            </w:r>
            <w:proofErr w:type="spellStart"/>
            <w:r w:rsidRPr="003856E2">
              <w:rPr>
                <w:rFonts w:eastAsia="Calibri"/>
                <w:sz w:val="20"/>
              </w:rPr>
              <w:t>Juriansz</w:t>
            </w:r>
            <w:proofErr w:type="spellEnd"/>
            <w:r w:rsidRPr="003856E2">
              <w:rPr>
                <w:rFonts w:eastAsia="Calibri"/>
                <w:sz w:val="20"/>
              </w:rPr>
              <w:t xml:space="preserve"> JJ.A.)</w:t>
            </w:r>
          </w:p>
          <w:p w:rsidR="004F35C1" w:rsidRPr="003856E2" w:rsidRDefault="004F35C1" w:rsidP="004F35C1">
            <w:pPr>
              <w:jc w:val="both"/>
              <w:rPr>
                <w:rFonts w:eastAsia="Calibri"/>
                <w:sz w:val="20"/>
              </w:rPr>
            </w:pPr>
            <w:r w:rsidRPr="003856E2">
              <w:rPr>
                <w:rFonts w:eastAsia="Calibri"/>
                <w:sz w:val="20"/>
              </w:rPr>
              <w:t>Neutral citation: 2010 ONCA 351</w:t>
            </w:r>
          </w:p>
        </w:tc>
        <w:tc>
          <w:tcPr>
            <w:tcW w:w="243" w:type="pct"/>
          </w:tcPr>
          <w:p w:rsidR="004F35C1" w:rsidRDefault="004F35C1" w:rsidP="002D51BE">
            <w:pPr>
              <w:jc w:val="both"/>
              <w:rPr>
                <w:rFonts w:eastAsia="Calibri"/>
                <w:sz w:val="20"/>
              </w:rPr>
            </w:pPr>
          </w:p>
          <w:p w:rsidR="004F35C1" w:rsidRDefault="004F35C1" w:rsidP="002D51BE">
            <w:pPr>
              <w:jc w:val="both"/>
              <w:rPr>
                <w:rFonts w:eastAsia="Calibri"/>
                <w:sz w:val="20"/>
              </w:rPr>
            </w:pPr>
          </w:p>
          <w:p w:rsidR="004F35C1" w:rsidRDefault="004F35C1" w:rsidP="002D51BE">
            <w:pPr>
              <w:jc w:val="both"/>
              <w:rPr>
                <w:rFonts w:eastAsia="Calibri"/>
                <w:sz w:val="20"/>
              </w:rPr>
            </w:pPr>
          </w:p>
          <w:p w:rsidR="004F35C1" w:rsidRDefault="004F35C1" w:rsidP="002D51BE">
            <w:pPr>
              <w:jc w:val="both"/>
              <w:rPr>
                <w:rFonts w:eastAsia="Calibri"/>
                <w:sz w:val="20"/>
              </w:rPr>
            </w:pPr>
          </w:p>
          <w:p w:rsidR="004F35C1" w:rsidRPr="003856E2" w:rsidRDefault="004F35C1" w:rsidP="002D51BE">
            <w:pPr>
              <w:jc w:val="both"/>
              <w:rPr>
                <w:rFonts w:eastAsia="Calibri"/>
                <w:sz w:val="20"/>
              </w:rPr>
            </w:pPr>
          </w:p>
        </w:tc>
        <w:tc>
          <w:tcPr>
            <w:tcW w:w="2330" w:type="pct"/>
          </w:tcPr>
          <w:p w:rsidR="004F35C1" w:rsidRPr="003856E2" w:rsidRDefault="004F35C1" w:rsidP="004F35C1">
            <w:pPr>
              <w:jc w:val="both"/>
              <w:rPr>
                <w:rFonts w:eastAsia="Calibri"/>
                <w:sz w:val="20"/>
              </w:rPr>
            </w:pPr>
            <w:r w:rsidRPr="003856E2">
              <w:rPr>
                <w:rFonts w:eastAsia="Calibri"/>
                <w:sz w:val="20"/>
              </w:rPr>
              <w:t>Appeal allowed</w:t>
            </w:r>
          </w:p>
        </w:tc>
      </w:tr>
      <w:tr w:rsidR="004F35C1" w:rsidRPr="003856E2" w:rsidTr="002D51BE">
        <w:tc>
          <w:tcPr>
            <w:tcW w:w="2427" w:type="pct"/>
          </w:tcPr>
          <w:p w:rsidR="004F35C1" w:rsidRPr="003856E2" w:rsidRDefault="004F35C1" w:rsidP="002D51BE">
            <w:pPr>
              <w:jc w:val="both"/>
              <w:rPr>
                <w:rFonts w:eastAsia="Calibri"/>
                <w:sz w:val="20"/>
              </w:rPr>
            </w:pPr>
            <w:r w:rsidRPr="003856E2">
              <w:rPr>
                <w:rFonts w:eastAsia="Calibri"/>
                <w:sz w:val="20"/>
              </w:rPr>
              <w:t>August 12, 2010</w:t>
            </w:r>
          </w:p>
          <w:p w:rsidR="004F35C1" w:rsidRPr="003856E2" w:rsidRDefault="004F35C1" w:rsidP="002D51BE">
            <w:pPr>
              <w:jc w:val="both"/>
              <w:rPr>
                <w:rFonts w:eastAsia="Calibri"/>
                <w:sz w:val="20"/>
              </w:rPr>
            </w:pPr>
            <w:r w:rsidRPr="003856E2">
              <w:rPr>
                <w:rFonts w:eastAsia="Calibri"/>
                <w:sz w:val="20"/>
              </w:rPr>
              <w:t>Supreme Court of Canada</w:t>
            </w:r>
          </w:p>
        </w:tc>
        <w:tc>
          <w:tcPr>
            <w:tcW w:w="243" w:type="pct"/>
          </w:tcPr>
          <w:p w:rsidR="004F35C1" w:rsidRPr="003856E2" w:rsidRDefault="004F35C1" w:rsidP="002D51BE">
            <w:pPr>
              <w:jc w:val="both"/>
              <w:rPr>
                <w:rFonts w:eastAsia="Calibri"/>
                <w:sz w:val="20"/>
              </w:rPr>
            </w:pPr>
          </w:p>
        </w:tc>
        <w:tc>
          <w:tcPr>
            <w:tcW w:w="2330" w:type="pct"/>
          </w:tcPr>
          <w:p w:rsidR="004F35C1" w:rsidRPr="003856E2" w:rsidRDefault="004F35C1" w:rsidP="002D51BE">
            <w:pPr>
              <w:jc w:val="both"/>
              <w:rPr>
                <w:rFonts w:eastAsia="Calibri"/>
                <w:sz w:val="20"/>
              </w:rPr>
            </w:pPr>
            <w:r w:rsidRPr="003856E2">
              <w:rPr>
                <w:rFonts w:eastAsia="Calibri"/>
                <w:sz w:val="20"/>
              </w:rPr>
              <w:t>Application for leave to appeal filed</w:t>
            </w:r>
          </w:p>
          <w:p w:rsidR="004F35C1" w:rsidRPr="003856E2" w:rsidRDefault="004F35C1" w:rsidP="002D51BE">
            <w:pPr>
              <w:jc w:val="both"/>
              <w:rPr>
                <w:rFonts w:eastAsia="Calibri"/>
                <w:sz w:val="20"/>
              </w:rPr>
            </w:pPr>
          </w:p>
        </w:tc>
      </w:tr>
    </w:tbl>
    <w:p w:rsidR="004F35C1" w:rsidRPr="003856E2" w:rsidRDefault="004F35C1" w:rsidP="004F35C1">
      <w:pPr>
        <w:jc w:val="both"/>
        <w:rPr>
          <w:rFonts w:eastAsia="Calibri"/>
          <w:sz w:val="20"/>
        </w:rPr>
      </w:pPr>
    </w:p>
    <w:p w:rsidR="007F53EF" w:rsidRPr="007F53EF" w:rsidRDefault="00857426" w:rsidP="007F53EF">
      <w:pPr>
        <w:rPr>
          <w:sz w:val="20"/>
          <w:szCs w:val="20"/>
        </w:rPr>
      </w:pPr>
      <w:r w:rsidRPr="00857426">
        <w:rPr>
          <w:sz w:val="20"/>
          <w:szCs w:val="20"/>
          <w:lang w:val="fr-CA"/>
        </w:rPr>
        <w:pict>
          <v:rect id="_x0000_i1054" style="width:2in;height:1pt" o:hrpct="0" o:hralign="center" o:hrstd="t" o:hrnoshade="t" o:hr="t" fillcolor="black [3213]" stroked="f"/>
        </w:pict>
      </w:r>
    </w:p>
    <w:p w:rsidR="007F53EF" w:rsidRDefault="007F53EF" w:rsidP="007F53EF">
      <w:pPr>
        <w:rPr>
          <w:sz w:val="20"/>
          <w:szCs w:val="20"/>
        </w:rPr>
      </w:pPr>
    </w:p>
    <w:p w:rsidR="007F53EF" w:rsidRPr="007F53EF" w:rsidRDefault="007F53EF" w:rsidP="007F53EF">
      <w:pPr>
        <w:jc w:val="both"/>
        <w:rPr>
          <w:sz w:val="20"/>
          <w:szCs w:val="20"/>
        </w:rPr>
      </w:pPr>
      <w:r>
        <w:rPr>
          <w:sz w:val="20"/>
          <w:szCs w:val="20"/>
          <w:u w:val="single"/>
        </w:rPr>
        <w:t>RÉSUMÉ DE L’AFFAIRE</w:t>
      </w:r>
    </w:p>
    <w:p w:rsidR="007F53EF" w:rsidRDefault="007F53EF" w:rsidP="007F53E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4F35C1" w:rsidRPr="001C2F5E" w:rsidTr="002D51BE">
        <w:tc>
          <w:tcPr>
            <w:tcW w:w="5000" w:type="pct"/>
            <w:gridSpan w:val="3"/>
          </w:tcPr>
          <w:p w:rsidR="004F35C1" w:rsidRPr="003856E2" w:rsidRDefault="004F35C1" w:rsidP="002D51BE">
            <w:pPr>
              <w:jc w:val="both"/>
              <w:rPr>
                <w:rFonts w:eastAsia="Calibri"/>
                <w:sz w:val="20"/>
                <w:lang w:val="fr-CA"/>
              </w:rPr>
            </w:pPr>
            <w:r w:rsidRPr="003856E2">
              <w:rPr>
                <w:rFonts w:eastAsia="Calibri"/>
                <w:sz w:val="20"/>
                <w:lang w:val="fr-CA"/>
              </w:rPr>
              <w:t>Droit international privé – Choix du tribunal – Juridiction compétente – Clause d’élection de for – Les considérations d’équité et l’intérêt de la justice font-ils encore partie du critère des « motifs sérieux » – Entre les parties contractantes et le tribunal, qui a le dernier mot sur l’appropriation de compétence et le choix du tribunal?</w:t>
            </w:r>
          </w:p>
          <w:p w:rsidR="004F35C1" w:rsidRPr="003856E2" w:rsidRDefault="004F35C1" w:rsidP="002D51BE">
            <w:pPr>
              <w:jc w:val="both"/>
              <w:rPr>
                <w:rFonts w:eastAsia="Calibri"/>
                <w:smallCaps/>
                <w:sz w:val="20"/>
                <w:lang w:val="fr-CA"/>
              </w:rPr>
            </w:pPr>
          </w:p>
          <w:p w:rsidR="004F35C1" w:rsidRPr="003856E2" w:rsidRDefault="004F35C1" w:rsidP="002D51BE">
            <w:pPr>
              <w:jc w:val="both"/>
              <w:rPr>
                <w:rFonts w:eastAsia="Calibri"/>
                <w:sz w:val="20"/>
                <w:lang w:val="fr-CA"/>
              </w:rPr>
            </w:pPr>
            <w:r w:rsidRPr="003856E2">
              <w:rPr>
                <w:rFonts w:eastAsia="Calibri"/>
                <w:sz w:val="20"/>
                <w:lang w:val="fr-CA"/>
              </w:rPr>
              <w:t xml:space="preserve">L’intimée Honeywell est une société du Delaware qui exerce ses activités à l’échelle mondiale. Elle a fourni un moteur d’hélicoptère à la demanderesse, </w:t>
            </w:r>
            <w:proofErr w:type="spellStart"/>
            <w:r w:rsidRPr="003856E2">
              <w:rPr>
                <w:rFonts w:eastAsia="Calibri"/>
                <w:sz w:val="20"/>
                <w:lang w:val="fr-CA"/>
              </w:rPr>
              <w:t>Expedition</w:t>
            </w:r>
            <w:proofErr w:type="spellEnd"/>
            <w:r w:rsidRPr="003856E2">
              <w:rPr>
                <w:rFonts w:eastAsia="Calibri"/>
                <w:sz w:val="20"/>
                <w:lang w:val="fr-CA"/>
              </w:rPr>
              <w:t xml:space="preserve"> </w:t>
            </w:r>
            <w:proofErr w:type="spellStart"/>
            <w:r w:rsidRPr="003856E2">
              <w:rPr>
                <w:rFonts w:eastAsia="Calibri"/>
                <w:sz w:val="20"/>
                <w:lang w:val="fr-CA"/>
              </w:rPr>
              <w:t>Helicopters</w:t>
            </w:r>
            <w:proofErr w:type="spellEnd"/>
            <w:r w:rsidRPr="003856E2">
              <w:rPr>
                <w:rFonts w:eastAsia="Calibri"/>
                <w:sz w:val="20"/>
                <w:lang w:val="fr-CA"/>
              </w:rPr>
              <w:t xml:space="preserve">, une société de l’Ontario. En vertu d’une clause d’élection de for stipulée dans le contrat de bail, le contrat devait être régi et interprété conformément au droit de l’état d’Arizona et la cour fédérale siégeant à Phoenix (Arizona) devait avoir compétence exclusive pour connaître de toute action </w:t>
            </w:r>
            <w:r w:rsidRPr="003856E2">
              <w:rPr>
                <w:rFonts w:eastAsia="Calibri"/>
                <w:sz w:val="20"/>
                <w:lang w:val="fr-CA"/>
              </w:rPr>
              <w:lastRenderedPageBreak/>
              <w:t>découlant du contrat. La clause prévoyait ce qui suit :</w:t>
            </w:r>
          </w:p>
          <w:p w:rsidR="004F35C1" w:rsidRPr="003856E2" w:rsidRDefault="004F35C1" w:rsidP="002D51BE">
            <w:pPr>
              <w:jc w:val="both"/>
              <w:rPr>
                <w:rFonts w:eastAsia="Calibri"/>
                <w:sz w:val="20"/>
                <w:lang w:val="fr-CA"/>
              </w:rPr>
            </w:pPr>
          </w:p>
          <w:p w:rsidR="004F35C1" w:rsidRPr="003856E2" w:rsidRDefault="004F35C1" w:rsidP="002D51BE">
            <w:pPr>
              <w:ind w:left="720"/>
              <w:jc w:val="both"/>
              <w:rPr>
                <w:rFonts w:eastAsia="Calibri"/>
                <w:sz w:val="20"/>
                <w:lang w:val="fr-CA"/>
              </w:rPr>
            </w:pPr>
            <w:r w:rsidRPr="003856E2">
              <w:rPr>
                <w:rFonts w:eastAsia="Calibri"/>
                <w:sz w:val="20"/>
                <w:lang w:val="fr-CA"/>
              </w:rPr>
              <w:t>[</w:t>
            </w:r>
            <w:r w:rsidRPr="003856E2">
              <w:rPr>
                <w:rFonts w:eastAsia="Calibri"/>
                <w:smallCaps/>
                <w:sz w:val="20"/>
                <w:lang w:val="fr-CA"/>
              </w:rPr>
              <w:t>traduction</w:t>
            </w:r>
            <w:r w:rsidRPr="003856E2">
              <w:rPr>
                <w:rFonts w:eastAsia="Calibri"/>
                <w:sz w:val="20"/>
                <w:lang w:val="fr-CA"/>
              </w:rPr>
              <w:t xml:space="preserve">] </w:t>
            </w:r>
            <w:r w:rsidRPr="003856E2">
              <w:rPr>
                <w:rFonts w:eastAsia="Calibri"/>
                <w:caps/>
                <w:sz w:val="20"/>
                <w:lang w:val="fr-CA"/>
              </w:rPr>
              <w:t>Choix de la loi applicable.  Le présent contrat est régi et interprété conformément au droit de l’état d’Arizona, à l’exclusion de ses dispositions sur les conflits de lois ou sur le choix de la loi applicable</w:t>
            </w:r>
            <w:r w:rsidRPr="003856E2">
              <w:rPr>
                <w:rFonts w:eastAsia="Calibri"/>
                <w:sz w:val="20"/>
                <w:lang w:val="fr-CA"/>
              </w:rPr>
              <w:t>.  Les parties (i) stipulent que les tribunaux d’état ou les tribunaux fédéraux siégeant à Phoenix (Arizona) ont compétence exclusive pour connaître de toute poursuite, action ou instance liée au présent contrat ou découlant de celui-ci, et acquiescent de la compétence juridictionnelle exclusive de ces tribunaux de connaître de ces poursuites, actions ou instances; (ii) renoncent par les présentes à plaider, par voie de requête, moyen de défense ou autrement, dans une telle poursuite, action ou instance dans la mesure permise par le droit applicable, que la poursuite, action ou instance est introduite devant un tribunal peu propice ou que le présent contrat ou une opération visée par celui-ci ne peut être exécuté par le tribunal en question.</w:t>
            </w:r>
          </w:p>
          <w:p w:rsidR="004F35C1" w:rsidRPr="003856E2" w:rsidRDefault="004F35C1" w:rsidP="002D51BE">
            <w:pPr>
              <w:jc w:val="both"/>
              <w:rPr>
                <w:rFonts w:eastAsia="Calibri"/>
                <w:sz w:val="20"/>
                <w:lang w:val="fr-CA"/>
              </w:rPr>
            </w:pPr>
          </w:p>
          <w:p w:rsidR="004F35C1" w:rsidRDefault="004F35C1" w:rsidP="002D51BE">
            <w:pPr>
              <w:jc w:val="both"/>
              <w:rPr>
                <w:rFonts w:eastAsia="Calibri"/>
                <w:sz w:val="20"/>
                <w:lang w:val="fr-CA"/>
              </w:rPr>
            </w:pPr>
            <w:r w:rsidRPr="003856E2">
              <w:rPr>
                <w:rFonts w:eastAsia="Calibri"/>
                <w:sz w:val="20"/>
                <w:lang w:val="fr-CA"/>
              </w:rPr>
              <w:t xml:space="preserve">Le moteur a été installé dans un hélicoptère qui s’est écrasé en Saskatchewan. </w:t>
            </w:r>
            <w:proofErr w:type="spellStart"/>
            <w:r w:rsidRPr="003856E2">
              <w:rPr>
                <w:rFonts w:eastAsia="Calibri"/>
                <w:sz w:val="20"/>
                <w:lang w:val="fr-CA"/>
              </w:rPr>
              <w:t>Expedition</w:t>
            </w:r>
            <w:proofErr w:type="spellEnd"/>
            <w:r w:rsidRPr="003856E2">
              <w:rPr>
                <w:rFonts w:eastAsia="Calibri"/>
                <w:sz w:val="20"/>
                <w:lang w:val="fr-CA"/>
              </w:rPr>
              <w:t xml:space="preserve"> </w:t>
            </w:r>
            <w:proofErr w:type="spellStart"/>
            <w:r w:rsidRPr="003856E2">
              <w:rPr>
                <w:rFonts w:eastAsia="Calibri"/>
                <w:sz w:val="20"/>
                <w:lang w:val="fr-CA"/>
              </w:rPr>
              <w:t>Helicopters</w:t>
            </w:r>
            <w:proofErr w:type="spellEnd"/>
            <w:r w:rsidRPr="003856E2">
              <w:rPr>
                <w:rFonts w:eastAsia="Calibri"/>
                <w:sz w:val="20"/>
                <w:lang w:val="fr-CA"/>
              </w:rPr>
              <w:t xml:space="preserve"> a intenté une action contre Honeywell en Ontario. Honeywell a présenté une motion pour exécuter la clause d’élection de for. La motion a été rejetée, mais la Cour d’appel a accueilli l’appel. </w:t>
            </w:r>
          </w:p>
          <w:p w:rsidR="004F35C1" w:rsidRPr="003856E2" w:rsidRDefault="004F35C1" w:rsidP="002D51BE">
            <w:pPr>
              <w:jc w:val="both"/>
              <w:rPr>
                <w:rFonts w:eastAsia="Calibri"/>
                <w:sz w:val="20"/>
                <w:lang w:val="fr-CA"/>
              </w:rPr>
            </w:pPr>
          </w:p>
        </w:tc>
      </w:tr>
      <w:tr w:rsidR="004F35C1" w:rsidRPr="001C2F5E" w:rsidTr="002D51BE">
        <w:tc>
          <w:tcPr>
            <w:tcW w:w="2427" w:type="pct"/>
          </w:tcPr>
          <w:p w:rsidR="004F35C1" w:rsidRPr="003856E2" w:rsidRDefault="004F35C1" w:rsidP="002D51BE">
            <w:pPr>
              <w:jc w:val="both"/>
              <w:rPr>
                <w:rFonts w:eastAsia="Calibri"/>
                <w:sz w:val="20"/>
                <w:lang w:val="fr-CA"/>
              </w:rPr>
            </w:pPr>
            <w:r w:rsidRPr="003856E2">
              <w:rPr>
                <w:rFonts w:eastAsia="Calibri"/>
                <w:sz w:val="20"/>
                <w:lang w:val="fr-CA"/>
              </w:rPr>
              <w:lastRenderedPageBreak/>
              <w:t>21 janvier 2010</w:t>
            </w:r>
          </w:p>
          <w:p w:rsidR="004F35C1" w:rsidRPr="003856E2" w:rsidRDefault="004F35C1" w:rsidP="002D51BE">
            <w:pPr>
              <w:jc w:val="both"/>
              <w:rPr>
                <w:rFonts w:eastAsia="Calibri"/>
                <w:sz w:val="20"/>
                <w:lang w:val="fr-CA"/>
              </w:rPr>
            </w:pPr>
            <w:r w:rsidRPr="003856E2">
              <w:rPr>
                <w:rFonts w:eastAsia="Calibri"/>
                <w:sz w:val="20"/>
                <w:lang w:val="fr-CA"/>
              </w:rPr>
              <w:t>Cour supérieure de justice de l’Ontario</w:t>
            </w:r>
          </w:p>
          <w:p w:rsidR="004F35C1" w:rsidRPr="003856E2" w:rsidRDefault="004F35C1" w:rsidP="002D51BE">
            <w:pPr>
              <w:jc w:val="both"/>
              <w:rPr>
                <w:rFonts w:eastAsia="Calibri"/>
                <w:sz w:val="20"/>
                <w:lang w:val="fr-CA"/>
              </w:rPr>
            </w:pPr>
            <w:r w:rsidRPr="003856E2">
              <w:rPr>
                <w:rFonts w:eastAsia="Calibri"/>
                <w:sz w:val="20"/>
                <w:lang w:val="fr-CA"/>
              </w:rPr>
              <w:t>(Juge Gauthier)</w:t>
            </w:r>
          </w:p>
          <w:p w:rsidR="004F35C1" w:rsidRPr="003856E2" w:rsidRDefault="004F35C1" w:rsidP="004F35C1">
            <w:pPr>
              <w:jc w:val="both"/>
              <w:rPr>
                <w:rFonts w:eastAsia="Calibri"/>
                <w:sz w:val="20"/>
                <w:lang w:val="fr-CA"/>
              </w:rPr>
            </w:pPr>
            <w:r w:rsidRPr="003856E2">
              <w:rPr>
                <w:rFonts w:eastAsia="Calibri"/>
                <w:sz w:val="20"/>
                <w:lang w:val="fr-CA"/>
              </w:rPr>
              <w:t>Référence neutre : 2010 ONSC 732</w:t>
            </w:r>
          </w:p>
        </w:tc>
        <w:tc>
          <w:tcPr>
            <w:tcW w:w="243" w:type="pct"/>
          </w:tcPr>
          <w:p w:rsidR="004F35C1" w:rsidRDefault="004F35C1" w:rsidP="002D51BE">
            <w:pPr>
              <w:jc w:val="both"/>
              <w:rPr>
                <w:rFonts w:eastAsia="Calibri"/>
                <w:sz w:val="20"/>
                <w:lang w:val="fr-CA"/>
              </w:rPr>
            </w:pPr>
          </w:p>
          <w:p w:rsidR="004F35C1" w:rsidRDefault="004F35C1" w:rsidP="002D51BE">
            <w:pPr>
              <w:jc w:val="both"/>
              <w:rPr>
                <w:rFonts w:eastAsia="Calibri"/>
                <w:sz w:val="20"/>
                <w:lang w:val="fr-CA"/>
              </w:rPr>
            </w:pPr>
          </w:p>
          <w:p w:rsidR="004F35C1" w:rsidRDefault="004F35C1" w:rsidP="002D51BE">
            <w:pPr>
              <w:jc w:val="both"/>
              <w:rPr>
                <w:rFonts w:eastAsia="Calibri"/>
                <w:sz w:val="20"/>
                <w:lang w:val="fr-CA"/>
              </w:rPr>
            </w:pPr>
          </w:p>
          <w:p w:rsidR="004F35C1" w:rsidRDefault="004F35C1" w:rsidP="002D51BE">
            <w:pPr>
              <w:jc w:val="both"/>
              <w:rPr>
                <w:rFonts w:eastAsia="Calibri"/>
                <w:sz w:val="20"/>
                <w:lang w:val="fr-CA"/>
              </w:rPr>
            </w:pPr>
          </w:p>
          <w:p w:rsidR="004F35C1" w:rsidRPr="003856E2" w:rsidRDefault="004F35C1" w:rsidP="002D51BE">
            <w:pPr>
              <w:jc w:val="both"/>
              <w:rPr>
                <w:rFonts w:eastAsia="Calibri"/>
                <w:sz w:val="20"/>
                <w:lang w:val="fr-CA"/>
              </w:rPr>
            </w:pPr>
          </w:p>
        </w:tc>
        <w:tc>
          <w:tcPr>
            <w:tcW w:w="2330" w:type="pct"/>
          </w:tcPr>
          <w:p w:rsidR="004F35C1" w:rsidRPr="003856E2" w:rsidRDefault="004F35C1" w:rsidP="004F35C1">
            <w:pPr>
              <w:jc w:val="both"/>
              <w:rPr>
                <w:rFonts w:eastAsia="Calibri"/>
                <w:sz w:val="20"/>
                <w:lang w:val="fr-CA"/>
              </w:rPr>
            </w:pPr>
            <w:r w:rsidRPr="003856E2">
              <w:rPr>
                <w:rFonts w:eastAsia="Calibri"/>
                <w:sz w:val="20"/>
                <w:lang w:val="fr-CA"/>
              </w:rPr>
              <w:t>Motion en suspension d’instance pour défaut de compétence, rejetée</w:t>
            </w:r>
          </w:p>
        </w:tc>
      </w:tr>
      <w:tr w:rsidR="004F35C1" w:rsidRPr="003856E2" w:rsidTr="002D51BE">
        <w:tc>
          <w:tcPr>
            <w:tcW w:w="2427" w:type="pct"/>
          </w:tcPr>
          <w:p w:rsidR="004F35C1" w:rsidRPr="003856E2" w:rsidRDefault="004F35C1" w:rsidP="002D51BE">
            <w:pPr>
              <w:jc w:val="both"/>
              <w:rPr>
                <w:rFonts w:eastAsia="Calibri"/>
                <w:sz w:val="20"/>
                <w:lang w:val="fr-CA"/>
              </w:rPr>
            </w:pPr>
            <w:r w:rsidRPr="003856E2">
              <w:rPr>
                <w:rFonts w:eastAsia="Calibri"/>
                <w:sz w:val="20"/>
                <w:lang w:val="fr-CA"/>
              </w:rPr>
              <w:t>14 mai 2010</w:t>
            </w:r>
          </w:p>
          <w:p w:rsidR="004F35C1" w:rsidRPr="003856E2" w:rsidRDefault="004F35C1" w:rsidP="002D51BE">
            <w:pPr>
              <w:jc w:val="both"/>
              <w:rPr>
                <w:rFonts w:eastAsia="Calibri"/>
                <w:sz w:val="20"/>
                <w:lang w:val="fr-CA"/>
              </w:rPr>
            </w:pPr>
            <w:r w:rsidRPr="003856E2">
              <w:rPr>
                <w:rFonts w:eastAsia="Calibri"/>
                <w:sz w:val="20"/>
                <w:lang w:val="fr-CA"/>
              </w:rPr>
              <w:t>Cour d’appel de l’Ontario</w:t>
            </w:r>
          </w:p>
          <w:p w:rsidR="004F35C1" w:rsidRPr="003856E2" w:rsidRDefault="004F35C1" w:rsidP="002D51BE">
            <w:pPr>
              <w:jc w:val="both"/>
              <w:rPr>
                <w:rFonts w:eastAsia="Calibri"/>
                <w:sz w:val="20"/>
                <w:lang w:val="fr-CA"/>
              </w:rPr>
            </w:pPr>
            <w:r w:rsidRPr="003856E2">
              <w:rPr>
                <w:rFonts w:eastAsia="Calibri"/>
                <w:sz w:val="20"/>
                <w:lang w:val="fr-CA"/>
              </w:rPr>
              <w:t xml:space="preserve">(Juge en chef adjoint </w:t>
            </w:r>
            <w:proofErr w:type="spellStart"/>
            <w:r w:rsidRPr="003856E2">
              <w:rPr>
                <w:rFonts w:eastAsia="Calibri"/>
                <w:sz w:val="20"/>
                <w:lang w:val="fr-CA"/>
              </w:rPr>
              <w:t>O’Connor</w:t>
            </w:r>
            <w:proofErr w:type="spellEnd"/>
            <w:r w:rsidRPr="003856E2">
              <w:rPr>
                <w:rFonts w:eastAsia="Calibri"/>
                <w:sz w:val="20"/>
                <w:lang w:val="fr-CA"/>
              </w:rPr>
              <w:t xml:space="preserve">, juges </w:t>
            </w:r>
            <w:proofErr w:type="spellStart"/>
            <w:r w:rsidRPr="003856E2">
              <w:rPr>
                <w:rFonts w:eastAsia="Calibri"/>
                <w:sz w:val="20"/>
                <w:lang w:val="fr-CA"/>
              </w:rPr>
              <w:t>Gillese</w:t>
            </w:r>
            <w:proofErr w:type="spellEnd"/>
            <w:r w:rsidRPr="003856E2">
              <w:rPr>
                <w:rFonts w:eastAsia="Calibri"/>
                <w:sz w:val="20"/>
                <w:lang w:val="fr-CA"/>
              </w:rPr>
              <w:t xml:space="preserve"> et </w:t>
            </w:r>
            <w:proofErr w:type="spellStart"/>
            <w:r w:rsidRPr="003856E2">
              <w:rPr>
                <w:rFonts w:eastAsia="Calibri"/>
                <w:sz w:val="20"/>
                <w:lang w:val="fr-CA"/>
              </w:rPr>
              <w:t>Juriansz</w:t>
            </w:r>
            <w:proofErr w:type="spellEnd"/>
            <w:r w:rsidRPr="003856E2">
              <w:rPr>
                <w:rFonts w:eastAsia="Calibri"/>
                <w:sz w:val="20"/>
                <w:lang w:val="fr-CA"/>
              </w:rPr>
              <w:t>)</w:t>
            </w:r>
          </w:p>
          <w:p w:rsidR="004F35C1" w:rsidRPr="003856E2" w:rsidRDefault="004F35C1" w:rsidP="004F35C1">
            <w:pPr>
              <w:jc w:val="both"/>
              <w:rPr>
                <w:rFonts w:eastAsia="Calibri"/>
                <w:sz w:val="20"/>
                <w:lang w:val="fr-CA"/>
              </w:rPr>
            </w:pPr>
            <w:r w:rsidRPr="003856E2">
              <w:rPr>
                <w:rFonts w:eastAsia="Calibri"/>
                <w:sz w:val="20"/>
                <w:lang w:val="fr-CA"/>
              </w:rPr>
              <w:t>Référence neutre : 2010 ONCA 351</w:t>
            </w:r>
          </w:p>
        </w:tc>
        <w:tc>
          <w:tcPr>
            <w:tcW w:w="243" w:type="pct"/>
          </w:tcPr>
          <w:p w:rsidR="004F35C1" w:rsidRDefault="004F35C1" w:rsidP="002D51BE">
            <w:pPr>
              <w:jc w:val="both"/>
              <w:rPr>
                <w:rFonts w:eastAsia="Calibri"/>
                <w:sz w:val="20"/>
                <w:lang w:val="fr-CA"/>
              </w:rPr>
            </w:pPr>
          </w:p>
          <w:p w:rsidR="004F35C1" w:rsidRDefault="004F35C1" w:rsidP="002D51BE">
            <w:pPr>
              <w:jc w:val="both"/>
              <w:rPr>
                <w:rFonts w:eastAsia="Calibri"/>
                <w:sz w:val="20"/>
                <w:lang w:val="fr-CA"/>
              </w:rPr>
            </w:pPr>
          </w:p>
          <w:p w:rsidR="004F35C1" w:rsidRDefault="004F35C1" w:rsidP="002D51BE">
            <w:pPr>
              <w:jc w:val="both"/>
              <w:rPr>
                <w:rFonts w:eastAsia="Calibri"/>
                <w:sz w:val="20"/>
                <w:lang w:val="fr-CA"/>
              </w:rPr>
            </w:pPr>
          </w:p>
          <w:p w:rsidR="004F35C1" w:rsidRDefault="004F35C1" w:rsidP="002D51BE">
            <w:pPr>
              <w:jc w:val="both"/>
              <w:rPr>
                <w:rFonts w:eastAsia="Calibri"/>
                <w:sz w:val="20"/>
                <w:lang w:val="fr-CA"/>
              </w:rPr>
            </w:pPr>
          </w:p>
          <w:p w:rsidR="004F35C1" w:rsidRDefault="004F35C1" w:rsidP="002D51BE">
            <w:pPr>
              <w:jc w:val="both"/>
              <w:rPr>
                <w:rFonts w:eastAsia="Calibri"/>
                <w:sz w:val="20"/>
                <w:lang w:val="fr-CA"/>
              </w:rPr>
            </w:pPr>
          </w:p>
          <w:p w:rsidR="004F35C1" w:rsidRPr="003856E2" w:rsidRDefault="004F35C1" w:rsidP="002D51BE">
            <w:pPr>
              <w:jc w:val="both"/>
              <w:rPr>
                <w:rFonts w:eastAsia="Calibri"/>
                <w:sz w:val="20"/>
                <w:lang w:val="fr-CA"/>
              </w:rPr>
            </w:pPr>
          </w:p>
        </w:tc>
        <w:tc>
          <w:tcPr>
            <w:tcW w:w="2330" w:type="pct"/>
          </w:tcPr>
          <w:p w:rsidR="004F35C1" w:rsidRPr="003856E2" w:rsidRDefault="004F35C1" w:rsidP="004F35C1">
            <w:pPr>
              <w:jc w:val="both"/>
              <w:rPr>
                <w:rFonts w:eastAsia="Calibri"/>
                <w:sz w:val="20"/>
                <w:lang w:val="fr-CA"/>
              </w:rPr>
            </w:pPr>
            <w:r w:rsidRPr="003856E2">
              <w:rPr>
                <w:rFonts w:eastAsia="Calibri"/>
                <w:sz w:val="20"/>
                <w:lang w:val="fr-CA"/>
              </w:rPr>
              <w:t>Appel accueilli</w:t>
            </w:r>
          </w:p>
        </w:tc>
      </w:tr>
      <w:tr w:rsidR="004F35C1" w:rsidRPr="003856E2" w:rsidTr="002D51BE">
        <w:tc>
          <w:tcPr>
            <w:tcW w:w="2427" w:type="pct"/>
          </w:tcPr>
          <w:p w:rsidR="004F35C1" w:rsidRPr="003856E2" w:rsidRDefault="004F35C1" w:rsidP="002D51BE">
            <w:pPr>
              <w:jc w:val="both"/>
              <w:rPr>
                <w:rFonts w:eastAsia="Calibri"/>
                <w:sz w:val="20"/>
                <w:lang w:val="fr-CA"/>
              </w:rPr>
            </w:pPr>
            <w:r w:rsidRPr="003856E2">
              <w:rPr>
                <w:rFonts w:eastAsia="Calibri"/>
                <w:sz w:val="20"/>
                <w:lang w:val="fr-CA"/>
              </w:rPr>
              <w:t>12 août 2010</w:t>
            </w:r>
          </w:p>
          <w:p w:rsidR="004F35C1" w:rsidRPr="003856E2" w:rsidRDefault="004F35C1" w:rsidP="002D51BE">
            <w:pPr>
              <w:jc w:val="both"/>
              <w:rPr>
                <w:rFonts w:eastAsia="Calibri"/>
                <w:sz w:val="20"/>
                <w:lang w:val="fr-CA"/>
              </w:rPr>
            </w:pPr>
            <w:r w:rsidRPr="003856E2">
              <w:rPr>
                <w:rFonts w:eastAsia="Calibri"/>
                <w:sz w:val="20"/>
                <w:lang w:val="fr-CA"/>
              </w:rPr>
              <w:t>Cour suprême du Canada</w:t>
            </w:r>
          </w:p>
        </w:tc>
        <w:tc>
          <w:tcPr>
            <w:tcW w:w="243" w:type="pct"/>
          </w:tcPr>
          <w:p w:rsidR="004F35C1" w:rsidRPr="003856E2" w:rsidRDefault="004F35C1" w:rsidP="002D51BE">
            <w:pPr>
              <w:jc w:val="both"/>
              <w:rPr>
                <w:rFonts w:eastAsia="Calibri"/>
                <w:sz w:val="20"/>
                <w:lang w:val="fr-CA"/>
              </w:rPr>
            </w:pPr>
          </w:p>
        </w:tc>
        <w:tc>
          <w:tcPr>
            <w:tcW w:w="2330" w:type="pct"/>
          </w:tcPr>
          <w:p w:rsidR="004F35C1" w:rsidRPr="003856E2" w:rsidRDefault="004F35C1" w:rsidP="002D51BE">
            <w:pPr>
              <w:jc w:val="both"/>
              <w:rPr>
                <w:rFonts w:eastAsia="Calibri"/>
                <w:sz w:val="20"/>
                <w:lang w:val="fr-CA"/>
              </w:rPr>
            </w:pPr>
            <w:r w:rsidRPr="003856E2">
              <w:rPr>
                <w:rFonts w:eastAsia="Calibri"/>
                <w:sz w:val="20"/>
                <w:lang w:val="fr-CA"/>
              </w:rPr>
              <w:t>Demande d’autorisation d’appel, déposée</w:t>
            </w:r>
          </w:p>
          <w:p w:rsidR="004F35C1" w:rsidRPr="003856E2" w:rsidRDefault="004F35C1" w:rsidP="002D51BE">
            <w:pPr>
              <w:jc w:val="both"/>
              <w:rPr>
                <w:rFonts w:eastAsia="Calibri"/>
                <w:sz w:val="20"/>
                <w:lang w:val="fr-CA"/>
              </w:rPr>
            </w:pPr>
          </w:p>
        </w:tc>
      </w:tr>
    </w:tbl>
    <w:p w:rsidR="007F53EF" w:rsidRDefault="007F53EF" w:rsidP="007F53EF">
      <w:pPr>
        <w:rPr>
          <w:sz w:val="20"/>
          <w:szCs w:val="20"/>
        </w:rPr>
      </w:pPr>
    </w:p>
    <w:p w:rsidR="007F53EF" w:rsidRPr="00C50A5C" w:rsidRDefault="00857426" w:rsidP="007F53EF">
      <w:pPr>
        <w:rPr>
          <w:sz w:val="20"/>
          <w:szCs w:val="20"/>
        </w:rPr>
      </w:pPr>
      <w:r w:rsidRPr="00857426">
        <w:rPr>
          <w:sz w:val="20"/>
          <w:szCs w:val="20"/>
          <w:lang w:val="fr-CA"/>
        </w:rPr>
        <w:pict>
          <v:rect id="_x0000_i1055" style="width:2in;height:1pt" o:hrpct="0" o:hralign="center" o:hrstd="t" o:hrnoshade="t" o:hr="t" fillcolor="black [3213]" stroked="f"/>
        </w:pict>
      </w:r>
    </w:p>
    <w:p w:rsidR="00E32432" w:rsidRDefault="00E32432" w:rsidP="00E3243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514A6" w:rsidRPr="007514A6" w:rsidTr="007514A6">
        <w:trPr>
          <w:cantSplit/>
        </w:trPr>
        <w:tc>
          <w:tcPr>
            <w:tcW w:w="1458" w:type="dxa"/>
          </w:tcPr>
          <w:p w:rsidR="007514A6" w:rsidRPr="007514A6" w:rsidRDefault="007514A6" w:rsidP="007514A6">
            <w:pPr>
              <w:rPr>
                <w:sz w:val="20"/>
                <w:szCs w:val="20"/>
              </w:rPr>
            </w:pPr>
            <w:r w:rsidRPr="007514A6">
              <w:rPr>
                <w:rStyle w:val="SCCFileNumberChar"/>
                <w:sz w:val="20"/>
                <w:szCs w:val="20"/>
              </w:rPr>
              <w:t>33797</w:t>
            </w:r>
          </w:p>
          <w:p w:rsidR="007514A6" w:rsidRPr="007514A6" w:rsidRDefault="007514A6" w:rsidP="007514A6">
            <w:pPr>
              <w:rPr>
                <w:b/>
                <w:sz w:val="20"/>
                <w:szCs w:val="20"/>
                <w:lang w:val="fr-CA"/>
              </w:rPr>
            </w:pPr>
          </w:p>
        </w:tc>
        <w:tc>
          <w:tcPr>
            <w:tcW w:w="8118" w:type="dxa"/>
          </w:tcPr>
          <w:p w:rsidR="007514A6" w:rsidRPr="007514A6" w:rsidRDefault="007514A6" w:rsidP="007514A6">
            <w:pPr>
              <w:jc w:val="both"/>
              <w:rPr>
                <w:sz w:val="20"/>
                <w:szCs w:val="20"/>
              </w:rPr>
            </w:pPr>
            <w:r w:rsidRPr="007514A6">
              <w:rPr>
                <w:rStyle w:val="SCCLsocChar"/>
                <w:sz w:val="20"/>
                <w:szCs w:val="20"/>
                <w:lang w:val="en-CA"/>
              </w:rPr>
              <w:t xml:space="preserve">Her Majesty the Queen in Right of the Province of Newfoundland and Labrador v. </w:t>
            </w:r>
            <w:proofErr w:type="spellStart"/>
            <w:r w:rsidRPr="007514A6">
              <w:rPr>
                <w:rStyle w:val="SCCLsocChar"/>
                <w:sz w:val="20"/>
                <w:szCs w:val="20"/>
                <w:lang w:val="en-CA"/>
              </w:rPr>
              <w:t>Abitibibowater</w:t>
            </w:r>
            <w:proofErr w:type="spellEnd"/>
            <w:r w:rsidRPr="007514A6">
              <w:rPr>
                <w:rStyle w:val="SCCLsocChar"/>
                <w:sz w:val="20"/>
                <w:szCs w:val="20"/>
                <w:lang w:val="en-CA"/>
              </w:rPr>
              <w:t xml:space="preserve"> Inc., Abitibi-Consolidated Inc., Bowater Canadian Holdings Inc., Ad Hoc Committee of Bondholders, Ad Hoc Committee of Senior Secured </w:t>
            </w:r>
            <w:proofErr w:type="spellStart"/>
            <w:r w:rsidRPr="007514A6">
              <w:rPr>
                <w:rStyle w:val="SCCLsocChar"/>
                <w:sz w:val="20"/>
                <w:szCs w:val="20"/>
                <w:lang w:val="en-CA"/>
              </w:rPr>
              <w:t>Noteholders</w:t>
            </w:r>
            <w:proofErr w:type="spellEnd"/>
            <w:r w:rsidRPr="007514A6">
              <w:rPr>
                <w:rStyle w:val="SCCLsocChar"/>
                <w:sz w:val="20"/>
                <w:szCs w:val="20"/>
                <w:lang w:val="en-CA"/>
              </w:rPr>
              <w:t xml:space="preserve"> and U.S. Bank National Association (Indenture Trustee for the Senior Secured </w:t>
            </w:r>
            <w:proofErr w:type="spellStart"/>
            <w:r w:rsidRPr="007514A6">
              <w:rPr>
                <w:rStyle w:val="SCCLsocChar"/>
                <w:sz w:val="20"/>
                <w:szCs w:val="20"/>
                <w:lang w:val="en-CA"/>
              </w:rPr>
              <w:t>Noteholders</w:t>
            </w:r>
            <w:proofErr w:type="spellEnd"/>
            <w:r w:rsidRPr="007514A6">
              <w:rPr>
                <w:rStyle w:val="SCCLsocChar"/>
                <w:sz w:val="20"/>
                <w:szCs w:val="20"/>
                <w:lang w:val="en-CA"/>
              </w:rPr>
              <w:t>)</w:t>
            </w:r>
            <w:r w:rsidRPr="007514A6">
              <w:rPr>
                <w:sz w:val="20"/>
                <w:szCs w:val="20"/>
              </w:rPr>
              <w:t xml:space="preserve"> (Que.) (Civil) (By Leave)</w:t>
            </w:r>
          </w:p>
          <w:p w:rsidR="007514A6" w:rsidRPr="007514A6" w:rsidRDefault="007514A6" w:rsidP="007514A6">
            <w:pPr>
              <w:rPr>
                <w:sz w:val="20"/>
                <w:szCs w:val="20"/>
              </w:rPr>
            </w:pPr>
          </w:p>
        </w:tc>
      </w:tr>
      <w:tr w:rsidR="007514A6" w:rsidRPr="007514A6" w:rsidTr="007514A6">
        <w:trPr>
          <w:cantSplit/>
        </w:trPr>
        <w:tc>
          <w:tcPr>
            <w:tcW w:w="1458" w:type="dxa"/>
          </w:tcPr>
          <w:p w:rsidR="007514A6" w:rsidRPr="007514A6" w:rsidRDefault="007514A6" w:rsidP="007514A6">
            <w:pPr>
              <w:rPr>
                <w:sz w:val="20"/>
                <w:szCs w:val="20"/>
              </w:rPr>
            </w:pPr>
            <w:r w:rsidRPr="007514A6">
              <w:rPr>
                <w:sz w:val="20"/>
                <w:szCs w:val="20"/>
              </w:rPr>
              <w:t>Coram :</w:t>
            </w:r>
          </w:p>
        </w:tc>
        <w:tc>
          <w:tcPr>
            <w:tcW w:w="8118" w:type="dxa"/>
          </w:tcPr>
          <w:p w:rsidR="007514A6" w:rsidRPr="007514A6" w:rsidRDefault="007514A6" w:rsidP="007514A6">
            <w:pPr>
              <w:rPr>
                <w:sz w:val="20"/>
                <w:szCs w:val="20"/>
              </w:rPr>
            </w:pPr>
            <w:proofErr w:type="spellStart"/>
            <w:r w:rsidRPr="007514A6">
              <w:rPr>
                <w:rStyle w:val="SCCCoramChar"/>
                <w:sz w:val="20"/>
                <w:szCs w:val="20"/>
                <w:lang w:val="en-CA"/>
              </w:rPr>
              <w:t>Binnie</w:t>
            </w:r>
            <w:proofErr w:type="spellEnd"/>
            <w:r w:rsidRPr="007514A6">
              <w:rPr>
                <w:rStyle w:val="SCCCoramChar"/>
                <w:sz w:val="20"/>
                <w:szCs w:val="20"/>
                <w:lang w:val="en-CA"/>
              </w:rPr>
              <w:t>, Fish and Rothstein JJ.</w:t>
            </w:r>
          </w:p>
          <w:p w:rsidR="007514A6" w:rsidRPr="007514A6" w:rsidRDefault="007514A6" w:rsidP="007514A6">
            <w:pPr>
              <w:rPr>
                <w:sz w:val="20"/>
                <w:szCs w:val="20"/>
                <w:u w:val="single"/>
              </w:rPr>
            </w:pPr>
          </w:p>
        </w:tc>
      </w:tr>
      <w:tr w:rsidR="007514A6" w:rsidRPr="001C2F5E" w:rsidTr="007514A6">
        <w:trPr>
          <w:cantSplit/>
        </w:trPr>
        <w:tc>
          <w:tcPr>
            <w:tcW w:w="9576" w:type="dxa"/>
            <w:gridSpan w:val="2"/>
          </w:tcPr>
          <w:p w:rsidR="007514A6" w:rsidRPr="007514A6" w:rsidRDefault="007514A6" w:rsidP="007514A6">
            <w:pPr>
              <w:pStyle w:val="SCCShortJudgment"/>
              <w:rPr>
                <w:szCs w:val="20"/>
              </w:rPr>
            </w:pPr>
            <w:r w:rsidRPr="007514A6">
              <w:rPr>
                <w:szCs w:val="20"/>
              </w:rPr>
              <w:t xml:space="preserve">The application for leave to appeal from the judgment of the Court of Appeal of Quebec (Montreal), Number 500-09-020594-107, </w:t>
            </w:r>
            <w:proofErr w:type="gramStart"/>
            <w:r w:rsidRPr="007514A6">
              <w:rPr>
                <w:szCs w:val="20"/>
              </w:rPr>
              <w:t>2010</w:t>
            </w:r>
            <w:proofErr w:type="gramEnd"/>
            <w:r w:rsidRPr="007514A6">
              <w:rPr>
                <w:szCs w:val="20"/>
              </w:rPr>
              <w:t xml:space="preserve"> QCCA 965, dated May 18, 2010, is granted with costs in the cause.</w:t>
            </w:r>
          </w:p>
          <w:p w:rsidR="007514A6" w:rsidRPr="007514A6" w:rsidRDefault="007514A6" w:rsidP="007514A6">
            <w:pPr>
              <w:pStyle w:val="SCCShortJudgment"/>
              <w:ind w:firstLine="0"/>
              <w:rPr>
                <w:szCs w:val="20"/>
              </w:rPr>
            </w:pPr>
          </w:p>
          <w:p w:rsidR="007514A6" w:rsidRPr="007514A6" w:rsidRDefault="007514A6" w:rsidP="007514A6">
            <w:pPr>
              <w:pStyle w:val="SCCShortJudgment"/>
              <w:rPr>
                <w:szCs w:val="20"/>
                <w:lang w:val="fr-CA"/>
              </w:rPr>
            </w:pPr>
            <w:r w:rsidRPr="007514A6">
              <w:rPr>
                <w:szCs w:val="20"/>
                <w:lang w:val="fr-CA"/>
              </w:rPr>
              <w:t>La demande d’autorisation d’appel de l’arrêt de la Cour d’appel du Québec (Montréal), numéro 500-09-020594-107, 2010 QCCA 965, daté du 18 mai 2010, est accordée avec dépens suivant l’issue de la cause.</w:t>
            </w:r>
          </w:p>
          <w:p w:rsidR="007514A6" w:rsidRPr="007514A6" w:rsidRDefault="007514A6" w:rsidP="007514A6">
            <w:pPr>
              <w:rPr>
                <w:sz w:val="20"/>
                <w:szCs w:val="20"/>
                <w:lang w:val="fr-CA"/>
              </w:rPr>
            </w:pPr>
          </w:p>
        </w:tc>
      </w:tr>
    </w:tbl>
    <w:p w:rsidR="00E32432" w:rsidRPr="007F53EF" w:rsidRDefault="00E32432" w:rsidP="00E32432">
      <w:pPr>
        <w:rPr>
          <w:sz w:val="20"/>
          <w:szCs w:val="20"/>
          <w:u w:val="single"/>
        </w:rPr>
      </w:pPr>
      <w:r w:rsidRPr="007F53EF">
        <w:rPr>
          <w:sz w:val="20"/>
          <w:szCs w:val="20"/>
          <w:u w:val="single"/>
        </w:rPr>
        <w:t>CASE SUMMARY</w:t>
      </w:r>
    </w:p>
    <w:p w:rsidR="00E32432" w:rsidRDefault="00E32432" w:rsidP="00E3243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D51BE" w:rsidRPr="00FE0169" w:rsidTr="002D51BE">
        <w:tc>
          <w:tcPr>
            <w:tcW w:w="5000" w:type="pct"/>
            <w:gridSpan w:val="3"/>
          </w:tcPr>
          <w:p w:rsidR="002D51BE" w:rsidRDefault="002D51BE" w:rsidP="002D51BE">
            <w:pPr>
              <w:jc w:val="both"/>
              <w:rPr>
                <w:rFonts w:eastAsia="Calibri"/>
                <w:sz w:val="20"/>
              </w:rPr>
            </w:pPr>
            <w:r w:rsidRPr="00FE0169">
              <w:rPr>
                <w:rFonts w:eastAsia="Calibri"/>
                <w:sz w:val="20"/>
              </w:rPr>
              <w:t xml:space="preserve">Bankruptcy and Insolvency – Environmental Law – </w:t>
            </w:r>
            <w:r w:rsidRPr="00FE0169">
              <w:rPr>
                <w:rFonts w:eastAsia="Calibri"/>
                <w:i/>
                <w:sz w:val="20"/>
              </w:rPr>
              <w:t>Companies’ Creditors Arrangement Act</w:t>
            </w:r>
            <w:r w:rsidRPr="00FE0169">
              <w:rPr>
                <w:rFonts w:eastAsia="Calibri"/>
                <w:sz w:val="20"/>
              </w:rPr>
              <w:t xml:space="preserve">, R.S.C. 1985, c. C-36 – Compromises and Arrangements – Claims – Nature of ministerial orders pursuant to s. 99 of </w:t>
            </w:r>
            <w:r w:rsidRPr="00FE0169">
              <w:rPr>
                <w:rFonts w:eastAsia="Calibri"/>
                <w:i/>
                <w:sz w:val="20"/>
              </w:rPr>
              <w:t xml:space="preserve">Environmental </w:t>
            </w:r>
            <w:r w:rsidRPr="00FE0169">
              <w:rPr>
                <w:rFonts w:eastAsia="Calibri"/>
                <w:i/>
                <w:sz w:val="20"/>
              </w:rPr>
              <w:lastRenderedPageBreak/>
              <w:t>Protection Act</w:t>
            </w:r>
            <w:r w:rsidRPr="00FE0169">
              <w:rPr>
                <w:rFonts w:eastAsia="Calibri"/>
                <w:sz w:val="20"/>
              </w:rPr>
              <w:t xml:space="preserve">, S.N.L. 2002, c. E-14.2 – Whether a statutory duty to remove environmental contamination may be extinguished under the </w:t>
            </w:r>
            <w:r w:rsidRPr="00FE0169">
              <w:rPr>
                <w:rFonts w:eastAsia="Calibri"/>
                <w:i/>
                <w:sz w:val="20"/>
              </w:rPr>
              <w:t>Companies’ Creditors Arrangement Act</w:t>
            </w:r>
            <w:r w:rsidRPr="00FE0169">
              <w:rPr>
                <w:rFonts w:eastAsia="Calibri"/>
                <w:sz w:val="20"/>
              </w:rPr>
              <w:t xml:space="preserve"> like a commercial debt.</w:t>
            </w:r>
          </w:p>
          <w:p w:rsidR="002D51BE" w:rsidRPr="00FE0169" w:rsidRDefault="002D51BE" w:rsidP="002D51BE">
            <w:pPr>
              <w:jc w:val="both"/>
              <w:rPr>
                <w:rFonts w:eastAsia="Calibri"/>
                <w:sz w:val="20"/>
              </w:rPr>
            </w:pPr>
          </w:p>
        </w:tc>
      </w:tr>
      <w:tr w:rsidR="002D51BE" w:rsidRPr="00FE0169" w:rsidTr="002D51BE">
        <w:tc>
          <w:tcPr>
            <w:tcW w:w="5000" w:type="pct"/>
            <w:gridSpan w:val="3"/>
          </w:tcPr>
          <w:p w:rsidR="002D51BE" w:rsidRDefault="002D51BE" w:rsidP="002D51BE">
            <w:pPr>
              <w:jc w:val="both"/>
              <w:rPr>
                <w:rFonts w:eastAsia="Calibri"/>
                <w:sz w:val="20"/>
              </w:rPr>
            </w:pPr>
            <w:r w:rsidRPr="00FE0169">
              <w:rPr>
                <w:rFonts w:eastAsia="Calibri"/>
                <w:sz w:val="20"/>
              </w:rPr>
              <w:lastRenderedPageBreak/>
              <w:t>The Minister of Environment and Conservation of Newfoundland and Labrador issued five ministerial orders (“</w:t>
            </w:r>
            <w:r w:rsidRPr="00FE0169">
              <w:rPr>
                <w:rFonts w:eastAsia="Calibri"/>
                <w:i/>
                <w:sz w:val="20"/>
              </w:rPr>
              <w:t>EPA</w:t>
            </w:r>
            <w:r w:rsidRPr="00FE0169">
              <w:rPr>
                <w:rFonts w:eastAsia="Calibri"/>
                <w:sz w:val="20"/>
              </w:rPr>
              <w:t xml:space="preserve"> orders”) pursuant to s. 99 of the </w:t>
            </w:r>
            <w:r w:rsidRPr="00FE0169">
              <w:rPr>
                <w:rFonts w:eastAsia="Calibri"/>
                <w:i/>
                <w:sz w:val="20"/>
              </w:rPr>
              <w:t>Environmental Protection Act</w:t>
            </w:r>
            <w:r w:rsidRPr="00FE0169">
              <w:rPr>
                <w:rFonts w:eastAsia="Calibri"/>
                <w:sz w:val="20"/>
              </w:rPr>
              <w:t xml:space="preserve">, S.N.L. 2002, c. E-14.2, against Abitibi, requiring it to, among other things, complete environmental remediation of sites where it conducted large-scale industrial activities. At the time the orders were issued, the respondent Abitibi had filed for protection under the </w:t>
            </w:r>
            <w:r w:rsidRPr="00FE0169">
              <w:rPr>
                <w:rFonts w:eastAsia="Calibri"/>
                <w:i/>
                <w:sz w:val="20"/>
              </w:rPr>
              <w:t>Companies’ Creditors Arrangement Act</w:t>
            </w:r>
            <w:r w:rsidRPr="00FE0169">
              <w:rPr>
                <w:rFonts w:eastAsia="Calibri"/>
                <w:sz w:val="20"/>
              </w:rPr>
              <w:t xml:space="preserve">, R.S.C. 1985, </w:t>
            </w:r>
            <w:proofErr w:type="gramStart"/>
            <w:r w:rsidRPr="00FE0169">
              <w:rPr>
                <w:rFonts w:eastAsia="Calibri"/>
                <w:sz w:val="20"/>
              </w:rPr>
              <w:t>c</w:t>
            </w:r>
            <w:proofErr w:type="gramEnd"/>
            <w:r w:rsidRPr="00FE0169">
              <w:rPr>
                <w:rFonts w:eastAsia="Calibri"/>
                <w:sz w:val="20"/>
              </w:rPr>
              <w:t>. C-36 (“</w:t>
            </w:r>
            <w:r w:rsidRPr="00FE0169">
              <w:rPr>
                <w:rFonts w:eastAsia="Calibri"/>
                <w:i/>
                <w:sz w:val="20"/>
              </w:rPr>
              <w:t>CCAA</w:t>
            </w:r>
            <w:r w:rsidRPr="00FE0169">
              <w:rPr>
                <w:rFonts w:eastAsia="Calibri"/>
                <w:sz w:val="20"/>
              </w:rPr>
              <w:t xml:space="preserve">”). A claims procedure order was subsequently made, directing Abitibi’s creditors to file their proofs of claim by the claims bar date. The Province of Newfoundland and Labrador moved for an order declaring that the </w:t>
            </w:r>
            <w:r w:rsidRPr="00FE0169">
              <w:rPr>
                <w:rFonts w:eastAsia="Calibri"/>
                <w:i/>
                <w:sz w:val="20"/>
              </w:rPr>
              <w:t>EP</w:t>
            </w:r>
            <w:r w:rsidRPr="00FE0169">
              <w:rPr>
                <w:rFonts w:eastAsia="Calibri"/>
                <w:sz w:val="20"/>
              </w:rPr>
              <w:t xml:space="preserve">A orders were not barred or extinguished and their enforceability was not affected by that claims procedure order. The Province argued, among other things, that the statutory duty to remediate contaminated lands could not be considered a “claim” under the claims procedure order or the </w:t>
            </w:r>
            <w:r w:rsidRPr="00FE0169">
              <w:rPr>
                <w:rFonts w:eastAsia="Calibri"/>
                <w:i/>
                <w:sz w:val="20"/>
              </w:rPr>
              <w:t>CCAA</w:t>
            </w:r>
            <w:r w:rsidRPr="00FE0169">
              <w:rPr>
                <w:rFonts w:eastAsia="Calibri"/>
                <w:sz w:val="20"/>
              </w:rPr>
              <w:t xml:space="preserve">. In its view, the </w:t>
            </w:r>
            <w:r w:rsidRPr="00FE0169">
              <w:rPr>
                <w:rFonts w:eastAsia="Calibri"/>
                <w:i/>
                <w:sz w:val="20"/>
              </w:rPr>
              <w:t>EPA</w:t>
            </w:r>
            <w:r w:rsidRPr="00FE0169">
              <w:rPr>
                <w:rFonts w:eastAsia="Calibri"/>
                <w:sz w:val="20"/>
              </w:rPr>
              <w:t xml:space="preserve"> orders were in relation to the environment and did not fall within the definition of “claim” contained in the </w:t>
            </w:r>
            <w:r w:rsidRPr="00FE0169">
              <w:rPr>
                <w:rFonts w:eastAsia="Calibri"/>
                <w:i/>
                <w:sz w:val="20"/>
              </w:rPr>
              <w:t>CCAA</w:t>
            </w:r>
            <w:r w:rsidRPr="00FE0169">
              <w:rPr>
                <w:rFonts w:eastAsia="Calibri"/>
                <w:sz w:val="20"/>
              </w:rPr>
              <w:t>. The Superior Court dismissed the motion. The Court of Appeal denied leave to appeal.</w:t>
            </w:r>
          </w:p>
          <w:p w:rsidR="002D51BE" w:rsidRPr="00FE0169" w:rsidRDefault="002D51BE" w:rsidP="002D51BE">
            <w:pPr>
              <w:jc w:val="both"/>
              <w:rPr>
                <w:rFonts w:eastAsia="Calibri"/>
                <w:sz w:val="20"/>
              </w:rPr>
            </w:pPr>
          </w:p>
        </w:tc>
      </w:tr>
      <w:tr w:rsidR="002D51BE" w:rsidRPr="00FE0169" w:rsidTr="002D51BE">
        <w:tc>
          <w:tcPr>
            <w:tcW w:w="2427" w:type="pct"/>
          </w:tcPr>
          <w:p w:rsidR="002D51BE" w:rsidRPr="00FE0169" w:rsidRDefault="002D51BE" w:rsidP="002D51BE">
            <w:pPr>
              <w:jc w:val="both"/>
              <w:rPr>
                <w:rFonts w:eastAsia="Calibri"/>
                <w:sz w:val="20"/>
              </w:rPr>
            </w:pPr>
            <w:r w:rsidRPr="00FE0169">
              <w:rPr>
                <w:rFonts w:eastAsia="Calibri"/>
                <w:sz w:val="20"/>
              </w:rPr>
              <w:t>March 31, 2010</w:t>
            </w:r>
          </w:p>
          <w:p w:rsidR="002D51BE" w:rsidRPr="00FE0169" w:rsidRDefault="002D51BE" w:rsidP="002D51BE">
            <w:pPr>
              <w:jc w:val="both"/>
              <w:rPr>
                <w:rFonts w:eastAsia="Calibri"/>
                <w:sz w:val="20"/>
              </w:rPr>
            </w:pPr>
            <w:r w:rsidRPr="00FE0169">
              <w:rPr>
                <w:rFonts w:eastAsia="Calibri"/>
                <w:sz w:val="20"/>
              </w:rPr>
              <w:t>Superior Court of Quebec</w:t>
            </w:r>
          </w:p>
          <w:p w:rsidR="002D51BE" w:rsidRPr="00FE0169" w:rsidRDefault="002D51BE" w:rsidP="002D51BE">
            <w:pPr>
              <w:jc w:val="both"/>
              <w:rPr>
                <w:rFonts w:eastAsia="Calibri"/>
                <w:sz w:val="20"/>
              </w:rPr>
            </w:pPr>
            <w:r w:rsidRPr="00FE0169">
              <w:rPr>
                <w:rFonts w:eastAsia="Calibri"/>
                <w:sz w:val="20"/>
              </w:rPr>
              <w:t>(</w:t>
            </w:r>
            <w:proofErr w:type="spellStart"/>
            <w:r w:rsidRPr="00FE0169">
              <w:rPr>
                <w:rFonts w:eastAsia="Calibri"/>
                <w:sz w:val="20"/>
              </w:rPr>
              <w:t>Gascon</w:t>
            </w:r>
            <w:proofErr w:type="spellEnd"/>
            <w:r w:rsidRPr="00FE0169">
              <w:rPr>
                <w:rFonts w:eastAsia="Calibri"/>
                <w:sz w:val="20"/>
              </w:rPr>
              <w:t xml:space="preserve"> J.)</w:t>
            </w:r>
          </w:p>
          <w:p w:rsidR="002D51BE" w:rsidRPr="00FE0169" w:rsidRDefault="002D51BE" w:rsidP="002D51BE">
            <w:pPr>
              <w:jc w:val="both"/>
              <w:rPr>
                <w:rFonts w:eastAsia="Calibri"/>
                <w:sz w:val="20"/>
              </w:rPr>
            </w:pPr>
            <w:r w:rsidRPr="00FE0169">
              <w:rPr>
                <w:rFonts w:eastAsia="Calibri"/>
                <w:sz w:val="20"/>
              </w:rPr>
              <w:t>2010 QCCS 1261</w:t>
            </w:r>
          </w:p>
        </w:tc>
        <w:tc>
          <w:tcPr>
            <w:tcW w:w="243" w:type="pct"/>
          </w:tcPr>
          <w:p w:rsidR="002D51BE" w:rsidRDefault="002D51BE" w:rsidP="002D51BE">
            <w:pPr>
              <w:jc w:val="both"/>
              <w:rPr>
                <w:rFonts w:eastAsia="Calibri"/>
                <w:sz w:val="20"/>
              </w:rPr>
            </w:pPr>
          </w:p>
          <w:p w:rsidR="002D51BE" w:rsidRDefault="002D51BE" w:rsidP="002D51BE">
            <w:pPr>
              <w:jc w:val="both"/>
              <w:rPr>
                <w:rFonts w:eastAsia="Calibri"/>
                <w:sz w:val="20"/>
              </w:rPr>
            </w:pPr>
          </w:p>
          <w:p w:rsidR="002D51BE" w:rsidRDefault="002D51BE" w:rsidP="002D51BE">
            <w:pPr>
              <w:jc w:val="both"/>
              <w:rPr>
                <w:rFonts w:eastAsia="Calibri"/>
                <w:sz w:val="20"/>
              </w:rPr>
            </w:pPr>
          </w:p>
          <w:p w:rsidR="002D51BE" w:rsidRDefault="002D51BE" w:rsidP="002D51BE">
            <w:pPr>
              <w:jc w:val="both"/>
              <w:rPr>
                <w:rFonts w:eastAsia="Calibri"/>
                <w:sz w:val="20"/>
              </w:rPr>
            </w:pPr>
          </w:p>
          <w:p w:rsidR="002D51BE" w:rsidRPr="00FE0169" w:rsidRDefault="002D51BE" w:rsidP="002D51BE">
            <w:pPr>
              <w:jc w:val="both"/>
              <w:rPr>
                <w:rFonts w:eastAsia="Calibri"/>
                <w:sz w:val="20"/>
              </w:rPr>
            </w:pPr>
          </w:p>
        </w:tc>
        <w:tc>
          <w:tcPr>
            <w:tcW w:w="2330" w:type="pct"/>
          </w:tcPr>
          <w:p w:rsidR="002D51BE" w:rsidRPr="00FE0169" w:rsidRDefault="002D51BE" w:rsidP="002D51BE">
            <w:pPr>
              <w:jc w:val="both"/>
              <w:rPr>
                <w:rFonts w:eastAsia="Calibri"/>
                <w:sz w:val="20"/>
              </w:rPr>
            </w:pPr>
            <w:r w:rsidRPr="00FE0169">
              <w:rPr>
                <w:rFonts w:eastAsia="Calibri"/>
                <w:sz w:val="20"/>
              </w:rPr>
              <w:t xml:space="preserve">Motion for declaration that orders issued under s. 99 of </w:t>
            </w:r>
            <w:r w:rsidRPr="00FE0169">
              <w:rPr>
                <w:rFonts w:eastAsia="Calibri"/>
                <w:i/>
                <w:sz w:val="20"/>
              </w:rPr>
              <w:t>Environmental Protection Act</w:t>
            </w:r>
            <w:r w:rsidRPr="00FE0169">
              <w:rPr>
                <w:rFonts w:eastAsia="Calibri"/>
                <w:sz w:val="20"/>
              </w:rPr>
              <w:t xml:space="preserve">, S.N.L. 2002, c. E-14.2, are not “claims” under </w:t>
            </w:r>
            <w:r w:rsidRPr="00FE0169">
              <w:rPr>
                <w:rFonts w:eastAsia="Calibri"/>
                <w:i/>
                <w:sz w:val="20"/>
              </w:rPr>
              <w:t>Companies’ Creditors Arrangement Act</w:t>
            </w:r>
            <w:r w:rsidRPr="00FE0169">
              <w:rPr>
                <w:rFonts w:eastAsia="Calibri"/>
                <w:sz w:val="20"/>
              </w:rPr>
              <w:t xml:space="preserve">, R.S.C., 1985, c. C-36, dismissed </w:t>
            </w:r>
          </w:p>
        </w:tc>
      </w:tr>
      <w:tr w:rsidR="002D51BE" w:rsidRPr="00FE0169" w:rsidTr="002D51BE">
        <w:tc>
          <w:tcPr>
            <w:tcW w:w="2427" w:type="pct"/>
          </w:tcPr>
          <w:p w:rsidR="002D51BE" w:rsidRPr="00FE0169" w:rsidRDefault="002D51BE" w:rsidP="002D51BE">
            <w:pPr>
              <w:jc w:val="both"/>
              <w:rPr>
                <w:rFonts w:eastAsia="Calibri"/>
                <w:sz w:val="20"/>
              </w:rPr>
            </w:pPr>
            <w:r w:rsidRPr="00FE0169">
              <w:rPr>
                <w:rFonts w:eastAsia="Calibri"/>
                <w:sz w:val="20"/>
              </w:rPr>
              <w:t>May 18, 2010</w:t>
            </w:r>
          </w:p>
          <w:p w:rsidR="002D51BE" w:rsidRPr="00FE0169" w:rsidRDefault="002D51BE" w:rsidP="002D51BE">
            <w:pPr>
              <w:jc w:val="both"/>
              <w:rPr>
                <w:rFonts w:eastAsia="Calibri"/>
                <w:sz w:val="20"/>
              </w:rPr>
            </w:pPr>
            <w:r w:rsidRPr="00FE0169">
              <w:rPr>
                <w:rFonts w:eastAsia="Calibri"/>
                <w:sz w:val="20"/>
              </w:rPr>
              <w:t>Court of Appeal of Quebec (Montréal)</w:t>
            </w:r>
          </w:p>
          <w:p w:rsidR="002D51BE" w:rsidRPr="00FE0169" w:rsidRDefault="002D51BE" w:rsidP="002D51BE">
            <w:pPr>
              <w:jc w:val="both"/>
              <w:rPr>
                <w:rFonts w:eastAsia="Calibri"/>
                <w:sz w:val="20"/>
              </w:rPr>
            </w:pPr>
            <w:r w:rsidRPr="00FE0169">
              <w:rPr>
                <w:rFonts w:eastAsia="Calibri"/>
                <w:sz w:val="20"/>
              </w:rPr>
              <w:t>(</w:t>
            </w:r>
            <w:proofErr w:type="spellStart"/>
            <w:r w:rsidRPr="00FE0169">
              <w:rPr>
                <w:rFonts w:eastAsia="Calibri"/>
                <w:sz w:val="20"/>
              </w:rPr>
              <w:t>Chamberland</w:t>
            </w:r>
            <w:proofErr w:type="spellEnd"/>
            <w:r w:rsidRPr="00FE0169">
              <w:rPr>
                <w:rFonts w:eastAsia="Calibri"/>
                <w:sz w:val="20"/>
              </w:rPr>
              <w:t xml:space="preserve"> J.A.)</w:t>
            </w:r>
          </w:p>
          <w:p w:rsidR="002D51BE" w:rsidRPr="00FE0169" w:rsidRDefault="002D51BE" w:rsidP="002D51BE">
            <w:pPr>
              <w:jc w:val="both"/>
              <w:rPr>
                <w:rFonts w:eastAsia="Calibri"/>
                <w:sz w:val="20"/>
              </w:rPr>
            </w:pPr>
            <w:r w:rsidRPr="00FE0169">
              <w:rPr>
                <w:rFonts w:eastAsia="Calibri"/>
                <w:sz w:val="20"/>
              </w:rPr>
              <w:t>2010 QCCA 965</w:t>
            </w:r>
          </w:p>
        </w:tc>
        <w:tc>
          <w:tcPr>
            <w:tcW w:w="243" w:type="pct"/>
          </w:tcPr>
          <w:p w:rsidR="002D51BE" w:rsidRDefault="002D51BE" w:rsidP="002D51BE">
            <w:pPr>
              <w:jc w:val="both"/>
              <w:rPr>
                <w:rFonts w:eastAsia="Calibri"/>
                <w:sz w:val="20"/>
              </w:rPr>
            </w:pPr>
          </w:p>
          <w:p w:rsidR="002D51BE" w:rsidRDefault="002D51BE" w:rsidP="002D51BE">
            <w:pPr>
              <w:jc w:val="both"/>
              <w:rPr>
                <w:rFonts w:eastAsia="Calibri"/>
                <w:sz w:val="20"/>
              </w:rPr>
            </w:pPr>
          </w:p>
          <w:p w:rsidR="002D51BE" w:rsidRDefault="002D51BE" w:rsidP="002D51BE">
            <w:pPr>
              <w:jc w:val="both"/>
              <w:rPr>
                <w:rFonts w:eastAsia="Calibri"/>
                <w:sz w:val="20"/>
              </w:rPr>
            </w:pPr>
          </w:p>
          <w:p w:rsidR="002D51BE" w:rsidRDefault="002D51BE" w:rsidP="002D51BE">
            <w:pPr>
              <w:jc w:val="both"/>
              <w:rPr>
                <w:rFonts w:eastAsia="Calibri"/>
                <w:sz w:val="20"/>
              </w:rPr>
            </w:pPr>
          </w:p>
          <w:p w:rsidR="002D51BE" w:rsidRPr="00FE0169" w:rsidRDefault="002D51BE" w:rsidP="002D51BE">
            <w:pPr>
              <w:jc w:val="both"/>
              <w:rPr>
                <w:rFonts w:eastAsia="Calibri"/>
                <w:sz w:val="20"/>
              </w:rPr>
            </w:pPr>
          </w:p>
        </w:tc>
        <w:tc>
          <w:tcPr>
            <w:tcW w:w="2330" w:type="pct"/>
          </w:tcPr>
          <w:p w:rsidR="002D51BE" w:rsidRPr="00FE0169" w:rsidRDefault="002D51BE" w:rsidP="002D51BE">
            <w:pPr>
              <w:jc w:val="both"/>
              <w:rPr>
                <w:rFonts w:eastAsia="Calibri"/>
                <w:sz w:val="20"/>
              </w:rPr>
            </w:pPr>
            <w:r w:rsidRPr="00FE0169">
              <w:rPr>
                <w:rFonts w:eastAsia="Calibri"/>
                <w:sz w:val="20"/>
              </w:rPr>
              <w:t>Leave to appeal denied</w:t>
            </w:r>
          </w:p>
        </w:tc>
      </w:tr>
      <w:tr w:rsidR="002D51BE" w:rsidRPr="00FE0169" w:rsidTr="002D51BE">
        <w:tc>
          <w:tcPr>
            <w:tcW w:w="2427" w:type="pct"/>
          </w:tcPr>
          <w:p w:rsidR="002D51BE" w:rsidRPr="00FE0169" w:rsidRDefault="002D51BE" w:rsidP="002D51BE">
            <w:pPr>
              <w:jc w:val="both"/>
              <w:rPr>
                <w:rFonts w:eastAsia="Calibri"/>
                <w:sz w:val="20"/>
              </w:rPr>
            </w:pPr>
            <w:r w:rsidRPr="00FE0169">
              <w:rPr>
                <w:rFonts w:eastAsia="Calibri"/>
                <w:sz w:val="20"/>
              </w:rPr>
              <w:t>August 16, 2010</w:t>
            </w:r>
          </w:p>
          <w:p w:rsidR="002D51BE" w:rsidRPr="00FE0169" w:rsidRDefault="002D51BE" w:rsidP="002D51BE">
            <w:pPr>
              <w:jc w:val="both"/>
              <w:rPr>
                <w:rFonts w:eastAsia="Calibri"/>
                <w:sz w:val="20"/>
              </w:rPr>
            </w:pPr>
            <w:r w:rsidRPr="00FE0169">
              <w:rPr>
                <w:rFonts w:eastAsia="Calibri"/>
                <w:sz w:val="20"/>
              </w:rPr>
              <w:t>Supreme Court of Canada</w:t>
            </w:r>
          </w:p>
        </w:tc>
        <w:tc>
          <w:tcPr>
            <w:tcW w:w="243" w:type="pct"/>
          </w:tcPr>
          <w:p w:rsidR="002D51BE" w:rsidRPr="00FE0169" w:rsidRDefault="002D51BE" w:rsidP="002D51BE">
            <w:pPr>
              <w:jc w:val="both"/>
              <w:rPr>
                <w:rFonts w:eastAsia="Calibri"/>
                <w:sz w:val="20"/>
              </w:rPr>
            </w:pPr>
          </w:p>
        </w:tc>
        <w:tc>
          <w:tcPr>
            <w:tcW w:w="2330" w:type="pct"/>
          </w:tcPr>
          <w:p w:rsidR="002D51BE" w:rsidRPr="00FE0169" w:rsidRDefault="002D51BE" w:rsidP="002D51BE">
            <w:pPr>
              <w:jc w:val="both"/>
              <w:rPr>
                <w:rFonts w:eastAsia="Calibri"/>
                <w:sz w:val="20"/>
              </w:rPr>
            </w:pPr>
            <w:r w:rsidRPr="00FE0169">
              <w:rPr>
                <w:rFonts w:eastAsia="Calibri"/>
                <w:sz w:val="20"/>
              </w:rPr>
              <w:t>Application for leave to appeal filed</w:t>
            </w:r>
          </w:p>
          <w:p w:rsidR="002D51BE" w:rsidRPr="00FE0169" w:rsidRDefault="002D51BE" w:rsidP="002D51BE">
            <w:pPr>
              <w:jc w:val="both"/>
              <w:rPr>
                <w:rFonts w:eastAsia="Calibri"/>
                <w:sz w:val="20"/>
              </w:rPr>
            </w:pPr>
          </w:p>
        </w:tc>
      </w:tr>
    </w:tbl>
    <w:p w:rsidR="00E32432" w:rsidRDefault="00E32432" w:rsidP="00E32432">
      <w:pPr>
        <w:rPr>
          <w:sz w:val="20"/>
          <w:szCs w:val="20"/>
        </w:rPr>
      </w:pPr>
    </w:p>
    <w:p w:rsidR="00E32432" w:rsidRPr="007F53EF" w:rsidRDefault="00857426" w:rsidP="00E32432">
      <w:pPr>
        <w:rPr>
          <w:sz w:val="20"/>
          <w:szCs w:val="20"/>
        </w:rPr>
      </w:pPr>
      <w:r w:rsidRPr="00857426">
        <w:rPr>
          <w:sz w:val="20"/>
          <w:szCs w:val="20"/>
          <w:lang w:val="fr-CA"/>
        </w:rPr>
        <w:pict>
          <v:rect id="_x0000_i1056" style="width:2in;height:1pt" o:hrpct="0" o:hralign="center" o:hrstd="t" o:hrnoshade="t" o:hr="t" fillcolor="black [3213]" stroked="f"/>
        </w:pict>
      </w:r>
    </w:p>
    <w:p w:rsidR="00E32432" w:rsidRDefault="00E32432" w:rsidP="00E32432">
      <w:pPr>
        <w:rPr>
          <w:sz w:val="20"/>
          <w:szCs w:val="20"/>
        </w:rPr>
      </w:pPr>
    </w:p>
    <w:p w:rsidR="00E32432" w:rsidRPr="007F53EF" w:rsidRDefault="00E32432" w:rsidP="00E32432">
      <w:pPr>
        <w:jc w:val="both"/>
        <w:rPr>
          <w:sz w:val="20"/>
          <w:szCs w:val="20"/>
        </w:rPr>
      </w:pPr>
      <w:r>
        <w:rPr>
          <w:sz w:val="20"/>
          <w:szCs w:val="20"/>
          <w:u w:val="single"/>
        </w:rPr>
        <w:t>RÉSUMÉ DE L’AFFAIRE</w:t>
      </w:r>
    </w:p>
    <w:p w:rsidR="00E32432" w:rsidRDefault="00E32432" w:rsidP="00E32432">
      <w:pPr>
        <w:rPr>
          <w:sz w:val="20"/>
          <w:szCs w:val="20"/>
        </w:rPr>
      </w:pPr>
    </w:p>
    <w:tbl>
      <w:tblPr>
        <w:tblW w:w="4952" w:type="pct"/>
        <w:tblInd w:w="2" w:type="dxa"/>
        <w:tblLayout w:type="fixed"/>
        <w:tblCellMar>
          <w:left w:w="0" w:type="dxa"/>
          <w:bottom w:w="99" w:type="dxa"/>
          <w:right w:w="0" w:type="dxa"/>
        </w:tblCellMar>
        <w:tblLook w:val="00A0"/>
      </w:tblPr>
      <w:tblGrid>
        <w:gridCol w:w="9527"/>
      </w:tblGrid>
      <w:tr w:rsidR="002D51BE" w:rsidRPr="001C2F5E" w:rsidTr="002D51BE">
        <w:tc>
          <w:tcPr>
            <w:tcW w:w="5000" w:type="pct"/>
          </w:tcPr>
          <w:p w:rsidR="002D51BE" w:rsidRPr="00FE0169" w:rsidRDefault="002D51BE" w:rsidP="00D53465">
            <w:pPr>
              <w:jc w:val="both"/>
              <w:rPr>
                <w:rFonts w:eastAsia="Calibri"/>
                <w:sz w:val="20"/>
                <w:lang w:val="fr-CA"/>
              </w:rPr>
            </w:pPr>
            <w:r w:rsidRPr="00FE0169">
              <w:rPr>
                <w:rFonts w:eastAsia="Calibri"/>
                <w:sz w:val="20"/>
                <w:lang w:val="fr-CA"/>
              </w:rPr>
              <w:t xml:space="preserve">Faillite et insolvabilité – Droit de l’environnement – </w:t>
            </w:r>
            <w:r w:rsidRPr="00FE0169">
              <w:rPr>
                <w:rFonts w:eastAsia="Calibri"/>
                <w:i/>
                <w:iCs/>
                <w:sz w:val="20"/>
                <w:lang w:val="fr-CA"/>
              </w:rPr>
              <w:t>Loi sur les arrangements avec les créanciers des compagnies</w:t>
            </w:r>
            <w:r w:rsidRPr="00FE0169">
              <w:rPr>
                <w:rFonts w:eastAsia="Calibri"/>
                <w:sz w:val="20"/>
                <w:lang w:val="fr-CA"/>
              </w:rPr>
              <w:t>, L.R.C. 1985, ch. C-36 – Transactions et arrangements – Réclamations – Nature des arrêtés ministériels pris en application de l’art. 99 de l’</w:t>
            </w:r>
            <w:proofErr w:type="spellStart"/>
            <w:r w:rsidRPr="00FE0169">
              <w:rPr>
                <w:rFonts w:eastAsia="Calibri"/>
                <w:i/>
                <w:iCs/>
                <w:sz w:val="20"/>
                <w:lang w:val="fr-CA"/>
              </w:rPr>
              <w:t>Environmental</w:t>
            </w:r>
            <w:proofErr w:type="spellEnd"/>
            <w:r w:rsidRPr="00FE0169">
              <w:rPr>
                <w:rFonts w:eastAsia="Calibri"/>
                <w:i/>
                <w:iCs/>
                <w:sz w:val="20"/>
                <w:lang w:val="fr-CA"/>
              </w:rPr>
              <w:t xml:space="preserve"> Protection </w:t>
            </w:r>
            <w:proofErr w:type="spellStart"/>
            <w:r w:rsidRPr="00FE0169">
              <w:rPr>
                <w:rFonts w:eastAsia="Calibri"/>
                <w:i/>
                <w:iCs/>
                <w:sz w:val="20"/>
                <w:lang w:val="fr-CA"/>
              </w:rPr>
              <w:t>Act</w:t>
            </w:r>
            <w:proofErr w:type="spellEnd"/>
            <w:r w:rsidRPr="00FE0169">
              <w:rPr>
                <w:rFonts w:eastAsia="Calibri"/>
                <w:sz w:val="20"/>
                <w:lang w:val="fr-CA"/>
              </w:rPr>
              <w:t xml:space="preserve">, S.N.L. 2002, ch. E-14.2 – Une obligation légale d’éliminer une contamination environnementale peut elle être éteinte en vertu de la </w:t>
            </w:r>
            <w:r w:rsidRPr="00FE0169">
              <w:rPr>
                <w:rFonts w:eastAsia="Calibri"/>
                <w:i/>
                <w:iCs/>
                <w:sz w:val="20"/>
                <w:lang w:val="fr-CA"/>
              </w:rPr>
              <w:t>Loi sur les arrangements avec les créanciers des compagnies</w:t>
            </w:r>
            <w:r w:rsidRPr="00FE0169">
              <w:rPr>
                <w:rFonts w:eastAsia="Calibri"/>
                <w:sz w:val="20"/>
                <w:lang w:val="fr-CA"/>
              </w:rPr>
              <w:t xml:space="preserve"> comme une dette commerciale?</w:t>
            </w:r>
          </w:p>
        </w:tc>
      </w:tr>
    </w:tbl>
    <w:p w:rsidR="00D53465" w:rsidRPr="00661748" w:rsidRDefault="00D53465">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2D51BE" w:rsidRPr="001C2F5E" w:rsidTr="002D51BE">
        <w:tc>
          <w:tcPr>
            <w:tcW w:w="5000" w:type="pct"/>
            <w:gridSpan w:val="3"/>
          </w:tcPr>
          <w:p w:rsidR="002D51BE" w:rsidRPr="00FE0169" w:rsidRDefault="002D51BE" w:rsidP="00D53465">
            <w:pPr>
              <w:jc w:val="both"/>
              <w:rPr>
                <w:rFonts w:eastAsia="Calibri"/>
                <w:sz w:val="20"/>
                <w:lang w:val="fr-CA"/>
              </w:rPr>
            </w:pPr>
            <w:r w:rsidRPr="00FE0169">
              <w:rPr>
                <w:rFonts w:eastAsia="Calibri"/>
                <w:sz w:val="20"/>
                <w:lang w:val="fr-CA"/>
              </w:rPr>
              <w:t>Le ministre de l’Environnement et de la Conservation de Terre-Neuve-et-Labrador a pris cinq arrêtés ministériels (« les arrêtés pris en vertu de l’</w:t>
            </w:r>
            <w:r w:rsidRPr="00FE0169">
              <w:rPr>
                <w:rFonts w:eastAsia="Calibri"/>
                <w:i/>
                <w:iCs/>
                <w:sz w:val="20"/>
                <w:lang w:val="fr-CA"/>
              </w:rPr>
              <w:t>EPA</w:t>
            </w:r>
            <w:r w:rsidRPr="00FE0169">
              <w:rPr>
                <w:rFonts w:eastAsia="Calibri"/>
                <w:sz w:val="20"/>
                <w:lang w:val="fr-CA"/>
              </w:rPr>
              <w:t xml:space="preserve"> ») en vertu de l’art. 99 de </w:t>
            </w:r>
            <w:proofErr w:type="gramStart"/>
            <w:r w:rsidRPr="00FE0169">
              <w:rPr>
                <w:rFonts w:eastAsia="Calibri"/>
                <w:sz w:val="20"/>
                <w:lang w:val="fr-CA"/>
              </w:rPr>
              <w:t xml:space="preserve">la </w:t>
            </w:r>
            <w:proofErr w:type="spellStart"/>
            <w:r w:rsidRPr="00FE0169">
              <w:rPr>
                <w:rFonts w:eastAsia="Calibri"/>
                <w:i/>
                <w:iCs/>
                <w:sz w:val="20"/>
                <w:lang w:val="fr-CA"/>
              </w:rPr>
              <w:t>Environmental</w:t>
            </w:r>
            <w:proofErr w:type="spellEnd"/>
            <w:proofErr w:type="gramEnd"/>
            <w:r w:rsidRPr="00FE0169">
              <w:rPr>
                <w:rFonts w:eastAsia="Calibri"/>
                <w:i/>
                <w:iCs/>
                <w:sz w:val="20"/>
                <w:lang w:val="fr-CA"/>
              </w:rPr>
              <w:t xml:space="preserve"> Protection </w:t>
            </w:r>
            <w:proofErr w:type="spellStart"/>
            <w:r w:rsidRPr="00FE0169">
              <w:rPr>
                <w:rFonts w:eastAsia="Calibri"/>
                <w:i/>
                <w:iCs/>
                <w:sz w:val="20"/>
                <w:lang w:val="fr-CA"/>
              </w:rPr>
              <w:t>Act</w:t>
            </w:r>
            <w:proofErr w:type="spellEnd"/>
            <w:r w:rsidRPr="00FE0169">
              <w:rPr>
                <w:rFonts w:eastAsia="Calibri"/>
                <w:sz w:val="20"/>
                <w:lang w:val="fr-CA"/>
              </w:rPr>
              <w:t xml:space="preserve">, S.N.L. 2002, ch. E-14.2, contre Abitibi, l’obligeant notamment à achever la restauration environnementale de sites où elle avait exercé des activités industrielles à grande échelle. Au moment où les arrêtés avaient été pris, l’intimée Abitibi avait demandé la protection en vertu de la </w:t>
            </w:r>
            <w:r w:rsidRPr="00FE0169">
              <w:rPr>
                <w:rFonts w:eastAsia="Calibri"/>
                <w:i/>
                <w:iCs/>
                <w:sz w:val="20"/>
                <w:lang w:val="fr-CA"/>
              </w:rPr>
              <w:t>Loi sur les arrangements avec les créanciers des compagnies</w:t>
            </w:r>
            <w:r w:rsidRPr="00FE0169">
              <w:rPr>
                <w:rFonts w:eastAsia="Calibri"/>
                <w:sz w:val="20"/>
                <w:lang w:val="fr-CA"/>
              </w:rPr>
              <w:t>, L.R.C. 1985, ch. C-36 (la « </w:t>
            </w:r>
            <w:r w:rsidRPr="00FE0169">
              <w:rPr>
                <w:rFonts w:eastAsia="Calibri"/>
                <w:i/>
                <w:iCs/>
                <w:sz w:val="20"/>
                <w:lang w:val="fr-CA"/>
              </w:rPr>
              <w:t>LACC </w:t>
            </w:r>
            <w:r w:rsidRPr="00FE0169">
              <w:rPr>
                <w:rFonts w:eastAsia="Calibri"/>
                <w:sz w:val="20"/>
                <w:lang w:val="fr-CA"/>
              </w:rPr>
              <w:t>»). Une ordonnance de procédure de réclamation a été rendue par la suite, sommant les créanciers d’Abitibi de produire leurs preuves de réclamation dans le délai imparti. La Province de Terre-Neuve-et-Labrador a demandé par requête une ordonnance déclarant que les arrêtés pris en vertu de l’</w:t>
            </w:r>
            <w:r w:rsidRPr="00FE0169">
              <w:rPr>
                <w:rFonts w:eastAsia="Calibri"/>
                <w:i/>
                <w:iCs/>
                <w:sz w:val="20"/>
                <w:lang w:val="fr-CA"/>
              </w:rPr>
              <w:t>EP</w:t>
            </w:r>
            <w:r w:rsidRPr="00FE0169">
              <w:rPr>
                <w:rFonts w:eastAsia="Calibri"/>
                <w:sz w:val="20"/>
                <w:lang w:val="fr-CA"/>
              </w:rPr>
              <w:t xml:space="preserve">A n’étaient pas caducs ou éteints et que l’ordonnance de procédure de réclamation n’avait aucune incidence sur leur caractère exécutoire. La Province a plaidé entre autres que l’obligation légale de restaurer des terrains contaminés ne pouvait être considérée comme une « réclamation » en vertu de l’ordonnance de procédure de réclamation ou de la </w:t>
            </w:r>
            <w:r w:rsidRPr="00FE0169">
              <w:rPr>
                <w:rFonts w:eastAsia="Calibri"/>
                <w:i/>
                <w:iCs/>
                <w:sz w:val="20"/>
                <w:lang w:val="fr-CA"/>
              </w:rPr>
              <w:t>LACC</w:t>
            </w:r>
            <w:r w:rsidRPr="00FE0169">
              <w:rPr>
                <w:rFonts w:eastAsia="Calibri"/>
                <w:sz w:val="20"/>
                <w:lang w:val="fr-CA"/>
              </w:rPr>
              <w:t>. À son avis, les arrêtés pris en vertu de l’</w:t>
            </w:r>
            <w:r w:rsidRPr="00FE0169">
              <w:rPr>
                <w:rFonts w:eastAsia="Calibri"/>
                <w:i/>
                <w:iCs/>
                <w:sz w:val="20"/>
                <w:lang w:val="fr-CA"/>
              </w:rPr>
              <w:t>EPA</w:t>
            </w:r>
            <w:r w:rsidRPr="00FE0169">
              <w:rPr>
                <w:rFonts w:eastAsia="Calibri"/>
                <w:sz w:val="20"/>
                <w:lang w:val="fr-CA"/>
              </w:rPr>
              <w:t xml:space="preserve"> avaient trait à l’environnement et ne pouvaient être assimilés à une « réclamation » au sens de la </w:t>
            </w:r>
            <w:r w:rsidRPr="00FE0169">
              <w:rPr>
                <w:rFonts w:eastAsia="Calibri"/>
                <w:i/>
                <w:iCs/>
                <w:sz w:val="20"/>
                <w:lang w:val="fr-CA"/>
              </w:rPr>
              <w:t>LACC</w:t>
            </w:r>
            <w:r w:rsidRPr="00FE0169">
              <w:rPr>
                <w:rFonts w:eastAsia="Calibri"/>
                <w:sz w:val="20"/>
                <w:lang w:val="fr-CA"/>
              </w:rPr>
              <w:t>. La Cour supérieure a rejeté la requête. La Cour d’appel a refusé l’autorisation d’appel.</w:t>
            </w:r>
          </w:p>
        </w:tc>
      </w:tr>
      <w:tr w:rsidR="002D51BE" w:rsidRPr="00FE0169" w:rsidTr="002D51BE">
        <w:tc>
          <w:tcPr>
            <w:tcW w:w="2427" w:type="pct"/>
          </w:tcPr>
          <w:p w:rsidR="002D51BE" w:rsidRPr="00FE0169" w:rsidRDefault="002D51BE" w:rsidP="002D51BE">
            <w:pPr>
              <w:jc w:val="both"/>
              <w:rPr>
                <w:rFonts w:eastAsia="Calibri"/>
                <w:sz w:val="20"/>
                <w:lang w:val="fr-CA"/>
              </w:rPr>
            </w:pPr>
            <w:r w:rsidRPr="00FE0169">
              <w:rPr>
                <w:rFonts w:eastAsia="Calibri"/>
                <w:sz w:val="20"/>
                <w:lang w:val="fr-CA"/>
              </w:rPr>
              <w:lastRenderedPageBreak/>
              <w:t>31 mars 2010</w:t>
            </w:r>
          </w:p>
          <w:p w:rsidR="002D51BE" w:rsidRPr="00FE0169" w:rsidRDefault="002D51BE" w:rsidP="002D51BE">
            <w:pPr>
              <w:jc w:val="both"/>
              <w:rPr>
                <w:rFonts w:eastAsia="Calibri"/>
                <w:sz w:val="20"/>
                <w:lang w:val="fr-CA"/>
              </w:rPr>
            </w:pPr>
            <w:r w:rsidRPr="00FE0169">
              <w:rPr>
                <w:rFonts w:eastAsia="Calibri"/>
                <w:sz w:val="20"/>
                <w:lang w:val="fr-CA"/>
              </w:rPr>
              <w:t>Cour supérieure du Québec</w:t>
            </w:r>
          </w:p>
          <w:p w:rsidR="002D51BE" w:rsidRPr="00FE0169" w:rsidRDefault="002D51BE" w:rsidP="002D51BE">
            <w:pPr>
              <w:jc w:val="both"/>
              <w:rPr>
                <w:rFonts w:eastAsia="Calibri"/>
                <w:sz w:val="20"/>
                <w:lang w:val="fr-CA"/>
              </w:rPr>
            </w:pPr>
            <w:r w:rsidRPr="00FE0169">
              <w:rPr>
                <w:rFonts w:eastAsia="Calibri"/>
                <w:sz w:val="20"/>
                <w:lang w:val="fr-CA"/>
              </w:rPr>
              <w:t>(Juge Gascon)</w:t>
            </w:r>
          </w:p>
          <w:p w:rsidR="002D51BE" w:rsidRPr="00FE0169" w:rsidRDefault="002D51BE" w:rsidP="002D51BE">
            <w:pPr>
              <w:jc w:val="both"/>
              <w:rPr>
                <w:rFonts w:eastAsia="Calibri"/>
                <w:sz w:val="20"/>
                <w:lang w:val="fr-CA"/>
              </w:rPr>
            </w:pPr>
            <w:r w:rsidRPr="00FE0169">
              <w:rPr>
                <w:rFonts w:eastAsia="Calibri"/>
                <w:sz w:val="20"/>
                <w:lang w:val="fr-CA"/>
              </w:rPr>
              <w:t>2010 QCCS 1261</w:t>
            </w:r>
          </w:p>
        </w:tc>
        <w:tc>
          <w:tcPr>
            <w:tcW w:w="243" w:type="pct"/>
          </w:tcPr>
          <w:p w:rsidR="002D51BE" w:rsidRDefault="002D51BE" w:rsidP="002D51BE">
            <w:pPr>
              <w:jc w:val="both"/>
              <w:rPr>
                <w:rFonts w:eastAsia="Calibri"/>
                <w:sz w:val="20"/>
                <w:lang w:val="fr-CA"/>
              </w:rPr>
            </w:pPr>
          </w:p>
          <w:p w:rsidR="002D51BE" w:rsidRDefault="002D51BE" w:rsidP="002D51BE">
            <w:pPr>
              <w:jc w:val="both"/>
              <w:rPr>
                <w:rFonts w:eastAsia="Calibri"/>
                <w:sz w:val="20"/>
                <w:lang w:val="fr-CA"/>
              </w:rPr>
            </w:pPr>
          </w:p>
          <w:p w:rsidR="002D51BE" w:rsidRDefault="002D51BE" w:rsidP="002D51BE">
            <w:pPr>
              <w:jc w:val="both"/>
              <w:rPr>
                <w:rFonts w:eastAsia="Calibri"/>
                <w:sz w:val="20"/>
                <w:lang w:val="fr-CA"/>
              </w:rPr>
            </w:pPr>
          </w:p>
          <w:p w:rsidR="002D51BE" w:rsidRDefault="002D51BE" w:rsidP="002D51BE">
            <w:pPr>
              <w:jc w:val="both"/>
              <w:rPr>
                <w:rFonts w:eastAsia="Calibri"/>
                <w:sz w:val="20"/>
                <w:lang w:val="fr-CA"/>
              </w:rPr>
            </w:pPr>
          </w:p>
          <w:p w:rsidR="002D51BE" w:rsidRDefault="002D51BE" w:rsidP="002D51BE">
            <w:pPr>
              <w:jc w:val="both"/>
              <w:rPr>
                <w:rFonts w:eastAsia="Calibri"/>
                <w:sz w:val="20"/>
                <w:lang w:val="fr-CA"/>
              </w:rPr>
            </w:pPr>
          </w:p>
          <w:p w:rsidR="002D51BE" w:rsidRDefault="002D51BE" w:rsidP="002D51BE">
            <w:pPr>
              <w:jc w:val="both"/>
              <w:rPr>
                <w:rFonts w:eastAsia="Calibri"/>
                <w:sz w:val="20"/>
                <w:lang w:val="fr-CA"/>
              </w:rPr>
            </w:pPr>
          </w:p>
          <w:p w:rsidR="002D51BE" w:rsidRPr="00FE0169" w:rsidRDefault="002D51BE" w:rsidP="002D51BE">
            <w:pPr>
              <w:jc w:val="both"/>
              <w:rPr>
                <w:rFonts w:eastAsia="Calibri"/>
                <w:sz w:val="20"/>
                <w:lang w:val="fr-CA"/>
              </w:rPr>
            </w:pPr>
          </w:p>
        </w:tc>
        <w:tc>
          <w:tcPr>
            <w:tcW w:w="2330" w:type="pct"/>
          </w:tcPr>
          <w:p w:rsidR="002D51BE" w:rsidRPr="00FE0169" w:rsidRDefault="002D51BE" w:rsidP="002D51BE">
            <w:pPr>
              <w:jc w:val="both"/>
              <w:rPr>
                <w:rFonts w:eastAsia="Calibri"/>
                <w:sz w:val="20"/>
                <w:lang w:val="fr-CA"/>
              </w:rPr>
            </w:pPr>
            <w:r w:rsidRPr="00FE0169">
              <w:rPr>
                <w:rFonts w:eastAsia="Calibri"/>
                <w:sz w:val="20"/>
                <w:lang w:val="fr-CA"/>
              </w:rPr>
              <w:t xml:space="preserve">Requête en jugement déclaratoire portant que les arrêtés pris en vertu de l’art. 99 de la </w:t>
            </w:r>
            <w:proofErr w:type="spellStart"/>
            <w:r w:rsidRPr="00FE0169">
              <w:rPr>
                <w:rFonts w:eastAsia="Calibri"/>
                <w:i/>
                <w:iCs/>
                <w:sz w:val="20"/>
                <w:lang w:val="fr-CA"/>
              </w:rPr>
              <w:t>Environmental</w:t>
            </w:r>
            <w:proofErr w:type="spellEnd"/>
            <w:r w:rsidRPr="00FE0169">
              <w:rPr>
                <w:rFonts w:eastAsia="Calibri"/>
                <w:i/>
                <w:iCs/>
                <w:sz w:val="20"/>
                <w:lang w:val="fr-CA"/>
              </w:rPr>
              <w:t xml:space="preserve"> Protection </w:t>
            </w:r>
            <w:proofErr w:type="spellStart"/>
            <w:r w:rsidRPr="00FE0169">
              <w:rPr>
                <w:rFonts w:eastAsia="Calibri"/>
                <w:i/>
                <w:iCs/>
                <w:sz w:val="20"/>
                <w:lang w:val="fr-CA"/>
              </w:rPr>
              <w:t>Act</w:t>
            </w:r>
            <w:proofErr w:type="spellEnd"/>
            <w:r w:rsidRPr="00FE0169">
              <w:rPr>
                <w:rFonts w:eastAsia="Calibri"/>
                <w:sz w:val="20"/>
                <w:lang w:val="fr-CA"/>
              </w:rPr>
              <w:t xml:space="preserve">, S.N.L. 2002, ch. E-14.2 ne sont pas des « réclamations » en vertu de la </w:t>
            </w:r>
            <w:r w:rsidRPr="00FE0169">
              <w:rPr>
                <w:rFonts w:eastAsia="Calibri"/>
                <w:i/>
                <w:iCs/>
                <w:sz w:val="20"/>
                <w:lang w:val="fr-CA"/>
              </w:rPr>
              <w:t>Loi sur les arrangements avec les créanciers des compagnies</w:t>
            </w:r>
            <w:r w:rsidRPr="00FE0169">
              <w:rPr>
                <w:rFonts w:eastAsia="Calibri"/>
                <w:sz w:val="20"/>
                <w:lang w:val="fr-CA"/>
              </w:rPr>
              <w:t xml:space="preserve">, L.R.C., 1985, ch. C-36, rejetée </w:t>
            </w:r>
          </w:p>
        </w:tc>
      </w:tr>
      <w:tr w:rsidR="002D51BE" w:rsidRPr="00FE0169" w:rsidTr="002D51BE">
        <w:tc>
          <w:tcPr>
            <w:tcW w:w="2427" w:type="pct"/>
          </w:tcPr>
          <w:p w:rsidR="002D51BE" w:rsidRPr="00FE0169" w:rsidRDefault="002D51BE" w:rsidP="002D51BE">
            <w:pPr>
              <w:jc w:val="both"/>
              <w:rPr>
                <w:rFonts w:eastAsia="Calibri"/>
                <w:sz w:val="20"/>
                <w:lang w:val="fr-CA"/>
              </w:rPr>
            </w:pPr>
            <w:r w:rsidRPr="00FE0169">
              <w:rPr>
                <w:rFonts w:eastAsia="Calibri"/>
                <w:sz w:val="20"/>
                <w:lang w:val="fr-CA"/>
              </w:rPr>
              <w:t>18 mai 2010</w:t>
            </w:r>
          </w:p>
          <w:p w:rsidR="002D51BE" w:rsidRPr="00FE0169" w:rsidRDefault="002D51BE" w:rsidP="002D51BE">
            <w:pPr>
              <w:jc w:val="both"/>
              <w:rPr>
                <w:rFonts w:eastAsia="Calibri"/>
                <w:sz w:val="20"/>
                <w:lang w:val="fr-CA"/>
              </w:rPr>
            </w:pPr>
            <w:r w:rsidRPr="00FE0169">
              <w:rPr>
                <w:rFonts w:eastAsia="Calibri"/>
                <w:sz w:val="20"/>
                <w:lang w:val="fr-CA"/>
              </w:rPr>
              <w:t>Cour d’appel du Québec (Montréal)</w:t>
            </w:r>
          </w:p>
          <w:p w:rsidR="002D51BE" w:rsidRPr="00FE0169" w:rsidRDefault="002D51BE" w:rsidP="002D51BE">
            <w:pPr>
              <w:jc w:val="both"/>
              <w:rPr>
                <w:rFonts w:eastAsia="Calibri"/>
                <w:sz w:val="20"/>
                <w:lang w:val="fr-CA"/>
              </w:rPr>
            </w:pPr>
            <w:r w:rsidRPr="00FE0169">
              <w:rPr>
                <w:rFonts w:eastAsia="Calibri"/>
                <w:sz w:val="20"/>
                <w:lang w:val="fr-CA"/>
              </w:rPr>
              <w:t>(Juge Chamberland)</w:t>
            </w:r>
          </w:p>
          <w:p w:rsidR="002D51BE" w:rsidRPr="00FE0169" w:rsidRDefault="002D51BE" w:rsidP="002D51BE">
            <w:pPr>
              <w:jc w:val="both"/>
              <w:rPr>
                <w:rFonts w:eastAsia="Calibri"/>
                <w:sz w:val="20"/>
                <w:lang w:val="fr-CA"/>
              </w:rPr>
            </w:pPr>
            <w:r w:rsidRPr="00FE0169">
              <w:rPr>
                <w:rFonts w:eastAsia="Calibri"/>
                <w:sz w:val="20"/>
                <w:lang w:val="fr-CA"/>
              </w:rPr>
              <w:t>2010 QCCA 965</w:t>
            </w:r>
          </w:p>
        </w:tc>
        <w:tc>
          <w:tcPr>
            <w:tcW w:w="243" w:type="pct"/>
          </w:tcPr>
          <w:p w:rsidR="002D51BE" w:rsidRDefault="002D51BE" w:rsidP="002D51BE">
            <w:pPr>
              <w:jc w:val="both"/>
              <w:rPr>
                <w:rFonts w:eastAsia="Calibri"/>
                <w:sz w:val="20"/>
                <w:lang w:val="fr-CA"/>
              </w:rPr>
            </w:pPr>
          </w:p>
          <w:p w:rsidR="002D51BE" w:rsidRDefault="002D51BE" w:rsidP="002D51BE">
            <w:pPr>
              <w:jc w:val="both"/>
              <w:rPr>
                <w:rFonts w:eastAsia="Calibri"/>
                <w:sz w:val="20"/>
                <w:lang w:val="fr-CA"/>
              </w:rPr>
            </w:pPr>
          </w:p>
          <w:p w:rsidR="002D51BE" w:rsidRDefault="002D51BE" w:rsidP="002D51BE">
            <w:pPr>
              <w:jc w:val="both"/>
              <w:rPr>
                <w:rFonts w:eastAsia="Calibri"/>
                <w:sz w:val="20"/>
                <w:lang w:val="fr-CA"/>
              </w:rPr>
            </w:pPr>
          </w:p>
          <w:p w:rsidR="002D51BE" w:rsidRDefault="002D51BE" w:rsidP="002D51BE">
            <w:pPr>
              <w:jc w:val="both"/>
              <w:rPr>
                <w:rFonts w:eastAsia="Calibri"/>
                <w:sz w:val="20"/>
                <w:lang w:val="fr-CA"/>
              </w:rPr>
            </w:pPr>
          </w:p>
          <w:p w:rsidR="002D51BE" w:rsidRPr="00FE0169" w:rsidRDefault="002D51BE" w:rsidP="002D51BE">
            <w:pPr>
              <w:jc w:val="both"/>
              <w:rPr>
                <w:rFonts w:eastAsia="Calibri"/>
                <w:sz w:val="20"/>
                <w:lang w:val="fr-CA"/>
              </w:rPr>
            </w:pPr>
          </w:p>
        </w:tc>
        <w:tc>
          <w:tcPr>
            <w:tcW w:w="2330" w:type="pct"/>
          </w:tcPr>
          <w:p w:rsidR="002D51BE" w:rsidRPr="00FE0169" w:rsidRDefault="002D51BE" w:rsidP="002D51BE">
            <w:pPr>
              <w:jc w:val="both"/>
              <w:rPr>
                <w:rFonts w:eastAsia="Calibri"/>
                <w:sz w:val="20"/>
                <w:lang w:val="fr-CA"/>
              </w:rPr>
            </w:pPr>
            <w:r w:rsidRPr="00FE0169">
              <w:rPr>
                <w:rFonts w:eastAsia="Calibri"/>
                <w:sz w:val="20"/>
                <w:lang w:val="fr-CA"/>
              </w:rPr>
              <w:t>Autorisation d’appel refusée</w:t>
            </w:r>
          </w:p>
        </w:tc>
      </w:tr>
      <w:tr w:rsidR="002D51BE" w:rsidRPr="00FE0169" w:rsidTr="002D51BE">
        <w:tc>
          <w:tcPr>
            <w:tcW w:w="2427" w:type="pct"/>
          </w:tcPr>
          <w:p w:rsidR="002D51BE" w:rsidRPr="00FE0169" w:rsidRDefault="002D51BE" w:rsidP="002D51BE">
            <w:pPr>
              <w:jc w:val="both"/>
              <w:rPr>
                <w:rFonts w:eastAsia="Calibri"/>
                <w:sz w:val="20"/>
                <w:lang w:val="fr-CA"/>
              </w:rPr>
            </w:pPr>
            <w:r w:rsidRPr="00FE0169">
              <w:rPr>
                <w:rFonts w:eastAsia="Calibri"/>
                <w:sz w:val="20"/>
                <w:lang w:val="fr-CA"/>
              </w:rPr>
              <w:t>16 août 2010</w:t>
            </w:r>
          </w:p>
          <w:p w:rsidR="002D51BE" w:rsidRPr="00FE0169" w:rsidRDefault="002D51BE" w:rsidP="002D51BE">
            <w:pPr>
              <w:jc w:val="both"/>
              <w:rPr>
                <w:rFonts w:eastAsia="Calibri"/>
                <w:sz w:val="20"/>
                <w:lang w:val="fr-CA"/>
              </w:rPr>
            </w:pPr>
            <w:r w:rsidRPr="00FE0169">
              <w:rPr>
                <w:rFonts w:eastAsia="Calibri"/>
                <w:sz w:val="20"/>
                <w:lang w:val="fr-CA"/>
              </w:rPr>
              <w:t>Cour suprême du Canada</w:t>
            </w:r>
          </w:p>
        </w:tc>
        <w:tc>
          <w:tcPr>
            <w:tcW w:w="243" w:type="pct"/>
          </w:tcPr>
          <w:p w:rsidR="002D51BE" w:rsidRPr="00FE0169" w:rsidRDefault="002D51BE" w:rsidP="002D51BE">
            <w:pPr>
              <w:jc w:val="both"/>
              <w:rPr>
                <w:rFonts w:eastAsia="Calibri"/>
                <w:sz w:val="20"/>
                <w:lang w:val="fr-CA"/>
              </w:rPr>
            </w:pPr>
          </w:p>
        </w:tc>
        <w:tc>
          <w:tcPr>
            <w:tcW w:w="2330" w:type="pct"/>
          </w:tcPr>
          <w:p w:rsidR="002D51BE" w:rsidRPr="00FE0169" w:rsidRDefault="002D51BE" w:rsidP="002D51BE">
            <w:pPr>
              <w:jc w:val="both"/>
              <w:rPr>
                <w:rFonts w:eastAsia="Calibri"/>
                <w:sz w:val="20"/>
                <w:lang w:val="fr-CA"/>
              </w:rPr>
            </w:pPr>
            <w:r w:rsidRPr="00FE0169">
              <w:rPr>
                <w:rFonts w:eastAsia="Calibri"/>
                <w:sz w:val="20"/>
                <w:lang w:val="fr-CA"/>
              </w:rPr>
              <w:t>Demande d’autorisation d’appel, déposée</w:t>
            </w:r>
          </w:p>
          <w:p w:rsidR="002D51BE" w:rsidRPr="00FE0169" w:rsidRDefault="002D51BE" w:rsidP="002D51BE">
            <w:pPr>
              <w:jc w:val="both"/>
              <w:rPr>
                <w:rFonts w:eastAsia="Calibri"/>
                <w:sz w:val="20"/>
                <w:lang w:val="fr-CA"/>
              </w:rPr>
            </w:pPr>
          </w:p>
        </w:tc>
      </w:tr>
    </w:tbl>
    <w:p w:rsidR="00E32432" w:rsidRDefault="00E32432" w:rsidP="00E32432">
      <w:pPr>
        <w:rPr>
          <w:sz w:val="20"/>
          <w:szCs w:val="20"/>
        </w:rPr>
      </w:pPr>
    </w:p>
    <w:p w:rsidR="00E32432" w:rsidRPr="00C50A5C" w:rsidRDefault="00857426" w:rsidP="00E32432">
      <w:pPr>
        <w:rPr>
          <w:sz w:val="20"/>
          <w:szCs w:val="20"/>
        </w:rPr>
      </w:pPr>
      <w:r w:rsidRPr="00857426">
        <w:rPr>
          <w:sz w:val="20"/>
          <w:szCs w:val="20"/>
          <w:lang w:val="fr-CA"/>
        </w:rPr>
        <w:pict>
          <v:rect id="_x0000_i1057" style="width:2in;height:1pt" o:hrpct="0" o:hralign="center" o:hrstd="t" o:hrnoshade="t" o:hr="t" fillcolor="black [3213]" stroked="f"/>
        </w:pict>
      </w:r>
    </w:p>
    <w:p w:rsidR="00E32432" w:rsidRDefault="00E32432" w:rsidP="00E32432">
      <w:pPr>
        <w:rPr>
          <w:sz w:val="20"/>
          <w:szCs w:val="20"/>
        </w:rPr>
      </w:pPr>
    </w:p>
    <w:p w:rsidR="002D51BE" w:rsidRPr="00E726E1" w:rsidRDefault="002D51BE" w:rsidP="00C60A41">
      <w:pPr>
        <w:widowControl w:val="0"/>
        <w:ind w:left="720" w:hanging="720"/>
        <w:rPr>
          <w:sz w:val="20"/>
        </w:rPr>
      </w:pPr>
      <w:proofErr w:type="gramStart"/>
      <w:r w:rsidRPr="00E726E1">
        <w:rPr>
          <w:b/>
          <w:sz w:val="20"/>
        </w:rPr>
        <w:t>33801</w:t>
      </w:r>
      <w:r w:rsidRPr="00E726E1">
        <w:rPr>
          <w:sz w:val="20"/>
        </w:rPr>
        <w:tab/>
      </w:r>
      <w:r w:rsidR="00C60A41">
        <w:rPr>
          <w:sz w:val="20"/>
        </w:rPr>
        <w:tab/>
      </w:r>
      <w:r w:rsidRPr="00C60A41">
        <w:rPr>
          <w:b/>
          <w:sz w:val="20"/>
          <w:u w:val="single"/>
        </w:rPr>
        <w:t>Stephen Michael Robinson v.</w:t>
      </w:r>
      <w:proofErr w:type="gramEnd"/>
      <w:r w:rsidRPr="00C60A41">
        <w:rPr>
          <w:b/>
          <w:sz w:val="20"/>
          <w:u w:val="single"/>
        </w:rPr>
        <w:t xml:space="preserve"> Her Majesty the Queen</w:t>
      </w:r>
      <w:r w:rsidR="00C60A41">
        <w:rPr>
          <w:b/>
          <w:sz w:val="20"/>
        </w:rPr>
        <w:t xml:space="preserve"> </w:t>
      </w:r>
      <w:r w:rsidRPr="00E726E1">
        <w:rPr>
          <w:sz w:val="20"/>
        </w:rPr>
        <w:t>(Ont.) (Criminal) (By Leave)</w:t>
      </w:r>
    </w:p>
    <w:p w:rsidR="002D51BE" w:rsidRDefault="002D51BE" w:rsidP="00E32432">
      <w:pPr>
        <w:rPr>
          <w:sz w:val="20"/>
          <w:szCs w:val="20"/>
        </w:rPr>
      </w:pPr>
    </w:p>
    <w:p w:rsidR="001A57C9" w:rsidRPr="00C60A41" w:rsidRDefault="00C60A41" w:rsidP="00E32432">
      <w:pPr>
        <w:rPr>
          <w:sz w:val="20"/>
          <w:szCs w:val="20"/>
        </w:rPr>
      </w:pPr>
      <w:r w:rsidRPr="00C60A41">
        <w:rPr>
          <w:sz w:val="20"/>
          <w:szCs w:val="20"/>
        </w:rPr>
        <w:t xml:space="preserve">Coram: </w:t>
      </w:r>
      <w:r>
        <w:rPr>
          <w:sz w:val="20"/>
          <w:szCs w:val="20"/>
        </w:rPr>
        <w:tab/>
      </w:r>
      <w:r>
        <w:rPr>
          <w:sz w:val="20"/>
          <w:szCs w:val="20"/>
        </w:rPr>
        <w:tab/>
      </w:r>
      <w:proofErr w:type="spellStart"/>
      <w:r w:rsidRPr="00C60A41">
        <w:rPr>
          <w:sz w:val="20"/>
          <w:szCs w:val="20"/>
          <w:u w:val="single"/>
        </w:rPr>
        <w:t>McLachlin</w:t>
      </w:r>
      <w:proofErr w:type="spellEnd"/>
      <w:r w:rsidRPr="00C60A41">
        <w:rPr>
          <w:sz w:val="20"/>
          <w:szCs w:val="20"/>
          <w:u w:val="single"/>
        </w:rPr>
        <w:t xml:space="preserve"> C.J. and </w:t>
      </w:r>
      <w:proofErr w:type="spellStart"/>
      <w:r w:rsidRPr="00C60A41">
        <w:rPr>
          <w:sz w:val="20"/>
          <w:szCs w:val="20"/>
          <w:u w:val="single"/>
        </w:rPr>
        <w:t>Abella</w:t>
      </w:r>
      <w:proofErr w:type="spellEnd"/>
      <w:r w:rsidRPr="00C60A41">
        <w:rPr>
          <w:sz w:val="20"/>
          <w:szCs w:val="20"/>
          <w:u w:val="single"/>
        </w:rPr>
        <w:t xml:space="preserve"> and Cromwell JJ.</w:t>
      </w:r>
    </w:p>
    <w:p w:rsidR="001A57C9" w:rsidRPr="00C60A41" w:rsidRDefault="001A57C9" w:rsidP="00E32432">
      <w:pPr>
        <w:rPr>
          <w:sz w:val="20"/>
          <w:szCs w:val="20"/>
        </w:rPr>
      </w:pPr>
    </w:p>
    <w:p w:rsidR="001A57C9" w:rsidRPr="00C60A41" w:rsidRDefault="00C60A41" w:rsidP="00E32432">
      <w:pPr>
        <w:rPr>
          <w:sz w:val="20"/>
          <w:szCs w:val="20"/>
        </w:rPr>
      </w:pPr>
      <w:r>
        <w:rPr>
          <w:sz w:val="20"/>
          <w:szCs w:val="20"/>
        </w:rPr>
        <w:tab/>
      </w:r>
      <w:r w:rsidRPr="00C60A41">
        <w:rPr>
          <w:sz w:val="20"/>
          <w:szCs w:val="20"/>
        </w:rPr>
        <w:t>The application for an extension of time to serve and file the application for leave to appeal from the judgment of the Court of Appeal for Ontario, Number C38206, 190 O.A.C. 271, dated September 29, 2004, is dismissed without costs.</w:t>
      </w:r>
    </w:p>
    <w:p w:rsidR="00C60A41" w:rsidRDefault="00C60A41" w:rsidP="00E32432">
      <w:pPr>
        <w:rPr>
          <w:sz w:val="20"/>
          <w:szCs w:val="20"/>
        </w:rPr>
      </w:pPr>
    </w:p>
    <w:p w:rsidR="00C60A41" w:rsidRDefault="00C60A41" w:rsidP="00C60A41">
      <w:pPr>
        <w:jc w:val="both"/>
        <w:rPr>
          <w:sz w:val="20"/>
          <w:szCs w:val="20"/>
          <w:lang w:val="fr-CA"/>
        </w:rPr>
      </w:pPr>
      <w:r w:rsidRPr="001E6992">
        <w:rPr>
          <w:sz w:val="20"/>
          <w:szCs w:val="20"/>
        </w:rPr>
        <w:tab/>
      </w:r>
      <w:r w:rsidRPr="00C60A41">
        <w:rPr>
          <w:sz w:val="20"/>
          <w:szCs w:val="20"/>
          <w:lang w:val="fr-CA"/>
        </w:rPr>
        <w:t>La demande en prorogation du délai de signification et de dépôt de la demande d’autorisation d’appel de l’arrêt de la Cour d’appel de l’Ontario, numéro C38206, 190 O.A.C. 271, daté du 29 septembre 2004, est rejetée sans dépens.</w:t>
      </w:r>
    </w:p>
    <w:p w:rsidR="00C60A41" w:rsidRPr="00C60A41" w:rsidRDefault="00C60A41" w:rsidP="00C60A41">
      <w:pPr>
        <w:jc w:val="both"/>
        <w:rPr>
          <w:sz w:val="20"/>
          <w:szCs w:val="20"/>
          <w:lang w:val="fr-CA"/>
        </w:rPr>
      </w:pPr>
    </w:p>
    <w:p w:rsidR="00E32432" w:rsidRPr="007F53EF" w:rsidRDefault="00E32432" w:rsidP="00E32432">
      <w:pPr>
        <w:rPr>
          <w:sz w:val="20"/>
          <w:szCs w:val="20"/>
          <w:u w:val="single"/>
        </w:rPr>
      </w:pPr>
      <w:r w:rsidRPr="007F53EF">
        <w:rPr>
          <w:sz w:val="20"/>
          <w:szCs w:val="20"/>
          <w:u w:val="single"/>
        </w:rPr>
        <w:t>CASE SUMMARY</w:t>
      </w:r>
    </w:p>
    <w:p w:rsidR="00E32432" w:rsidRDefault="00E32432" w:rsidP="00E32432">
      <w:pPr>
        <w:rPr>
          <w:sz w:val="20"/>
          <w:szCs w:val="20"/>
        </w:rPr>
      </w:pPr>
    </w:p>
    <w:p w:rsidR="002D51BE" w:rsidRPr="00E726E1" w:rsidRDefault="002D51BE" w:rsidP="002D51BE">
      <w:pPr>
        <w:widowControl w:val="0"/>
        <w:rPr>
          <w:smallCaps/>
          <w:sz w:val="20"/>
        </w:rPr>
      </w:pPr>
      <w:r w:rsidRPr="00E726E1">
        <w:rPr>
          <w:smallCaps/>
          <w:sz w:val="20"/>
        </w:rPr>
        <w:t>(Publication ban in case)</w:t>
      </w:r>
    </w:p>
    <w:p w:rsidR="002D51BE" w:rsidRPr="00E726E1" w:rsidRDefault="002D51BE" w:rsidP="002D51BE">
      <w:pPr>
        <w:widowControl w:val="0"/>
        <w:rPr>
          <w:smallCaps/>
          <w:sz w:val="20"/>
        </w:rPr>
      </w:pPr>
    </w:p>
    <w:p w:rsidR="002D51BE" w:rsidRPr="00E726E1" w:rsidRDefault="002D51BE" w:rsidP="002D51BE">
      <w:pPr>
        <w:widowControl w:val="0"/>
        <w:jc w:val="both"/>
        <w:rPr>
          <w:sz w:val="20"/>
        </w:rPr>
      </w:pPr>
      <w:r w:rsidRPr="00E726E1">
        <w:rPr>
          <w:sz w:val="20"/>
        </w:rPr>
        <w:t>Criminal law - Charge to jury - Jury unanimity - Accused convicted of assault and sexual assault - Complainant providing conflicting statements to police - Accused declared a dangerous offender and given indeterminate sentence -Whether the court of appeal erred in dismissing the appeal against conviction for assault and sexual assault and in dismissing the appeal against sentence.</w:t>
      </w:r>
    </w:p>
    <w:p w:rsidR="002D51BE" w:rsidRPr="00E726E1" w:rsidRDefault="002D51BE" w:rsidP="002D51BE">
      <w:pPr>
        <w:widowControl w:val="0"/>
        <w:jc w:val="both"/>
        <w:rPr>
          <w:sz w:val="20"/>
        </w:rPr>
      </w:pPr>
    </w:p>
    <w:p w:rsidR="002D51BE" w:rsidRPr="00E726E1" w:rsidRDefault="002D51BE" w:rsidP="002D51BE">
      <w:pPr>
        <w:widowControl w:val="0"/>
        <w:jc w:val="both"/>
        <w:rPr>
          <w:sz w:val="20"/>
        </w:rPr>
      </w:pPr>
      <w:r w:rsidRPr="00E726E1">
        <w:rPr>
          <w:sz w:val="20"/>
        </w:rPr>
        <w:t>In 1998, a few weeks after Mr. Robinson met the complainant, he broke into her home while she was out with her son.  She asked Mr</w:t>
      </w:r>
      <w:r>
        <w:rPr>
          <w:sz w:val="20"/>
        </w:rPr>
        <w:t>.</w:t>
      </w:r>
      <w:r w:rsidRPr="00E726E1">
        <w:rPr>
          <w:sz w:val="20"/>
        </w:rPr>
        <w:t xml:space="preserve"> Robinson to leave but he became angry and for the next hour and a half, he physically and sexually assaulted the complainant and terrorized her son.  At one point, she managed to call 911, but before she could say anything, Mr. Robinson ripped the telephone out of the wall.  Nevertheless, the police arrived a few minutes later and found the complainant bleeding from her injuries.  The police arrested Mr. Robinson and took the complainant and her son to the hospital.  Afterward, the complainant provided a reluctant videotaped statement to the police, expressing her fear that Mr. Robinson would kill her.  She begged the officer not to let Mr. Robinson view the videotape.  Later, when she realized that the police had disclosed her statement to him, the complainant indicated that she would not cooperate with the police or testify against Mr. Robinson.  At the preliminary hearing, the complainant gave a watered down version of what had happened and recanted most of her allegations.  A month later, she contacted the Crown and gave a second videotaped statement, adopting her first statement.  Nine months after that, she gave a third statement with new allegations of forced fellatio at knife point and threatened anal intercourse.  At trial, she explained her prior inconsistent statements as motivated by her fear of Mr. Robinson.  The Crown warned the jury in its closing address to use caution in dealing with her evidence and to look for corroborative evidence.  </w:t>
      </w:r>
    </w:p>
    <w:p w:rsidR="002D51BE" w:rsidRPr="00E726E1" w:rsidRDefault="002D51BE" w:rsidP="002D51BE">
      <w:pPr>
        <w:widowControl w:val="0"/>
        <w:rPr>
          <w:sz w:val="20"/>
        </w:rPr>
      </w:pPr>
    </w:p>
    <w:tbl>
      <w:tblPr>
        <w:tblW w:w="0" w:type="auto"/>
        <w:tblLayout w:type="fixed"/>
        <w:tblCellMar>
          <w:left w:w="0" w:type="dxa"/>
          <w:right w:w="0" w:type="dxa"/>
        </w:tblCellMar>
        <w:tblLook w:val="0000"/>
      </w:tblPr>
      <w:tblGrid>
        <w:gridCol w:w="4536"/>
        <w:gridCol w:w="288"/>
        <w:gridCol w:w="4536"/>
      </w:tblGrid>
      <w:tr w:rsidR="002D51BE" w:rsidTr="002D51BE">
        <w:tc>
          <w:tcPr>
            <w:tcW w:w="4536" w:type="dxa"/>
            <w:tcMar>
              <w:left w:w="0" w:type="dxa"/>
              <w:right w:w="0" w:type="dxa"/>
            </w:tcMar>
          </w:tcPr>
          <w:p w:rsidR="002D51BE" w:rsidRPr="000B04FC" w:rsidRDefault="002D51BE" w:rsidP="002D51BE">
            <w:pPr>
              <w:keepNext/>
              <w:keepLines/>
              <w:widowControl w:val="0"/>
              <w:rPr>
                <w:sz w:val="20"/>
              </w:rPr>
            </w:pPr>
            <w:r w:rsidRPr="000B04FC">
              <w:rPr>
                <w:sz w:val="20"/>
              </w:rPr>
              <w:lastRenderedPageBreak/>
              <w:t>June 21, 2000</w:t>
            </w:r>
          </w:p>
          <w:p w:rsidR="002D51BE" w:rsidRPr="000B04FC" w:rsidRDefault="002D51BE" w:rsidP="002D51BE">
            <w:pPr>
              <w:keepNext/>
              <w:keepLines/>
              <w:widowControl w:val="0"/>
              <w:rPr>
                <w:sz w:val="20"/>
              </w:rPr>
            </w:pPr>
            <w:r w:rsidRPr="000B04FC">
              <w:rPr>
                <w:sz w:val="20"/>
              </w:rPr>
              <w:t>Ontario Superior Court of Justice</w:t>
            </w:r>
          </w:p>
          <w:p w:rsidR="002D51BE" w:rsidRPr="000B04FC" w:rsidRDefault="002D51BE" w:rsidP="002D51BE">
            <w:pPr>
              <w:keepNext/>
              <w:keepLines/>
              <w:widowControl w:val="0"/>
              <w:rPr>
                <w:sz w:val="20"/>
              </w:rPr>
            </w:pPr>
            <w:r w:rsidRPr="000B04FC">
              <w:rPr>
                <w:sz w:val="20"/>
              </w:rPr>
              <w:t>(Morrison J.)</w:t>
            </w:r>
          </w:p>
          <w:p w:rsidR="002D51BE" w:rsidRPr="000B04FC" w:rsidRDefault="002D51BE" w:rsidP="002D51BE">
            <w:pPr>
              <w:keepNext/>
              <w:keepLines/>
              <w:widowControl w:val="0"/>
              <w:rPr>
                <w:sz w:val="20"/>
              </w:rPr>
            </w:pPr>
            <w:r w:rsidRPr="000B04FC">
              <w:rPr>
                <w:sz w:val="20"/>
              </w:rPr>
              <w:t>[2002] O.J. No. 652</w:t>
            </w:r>
          </w:p>
        </w:tc>
        <w:tc>
          <w:tcPr>
            <w:tcW w:w="288" w:type="dxa"/>
            <w:tcMar>
              <w:left w:w="0" w:type="dxa"/>
              <w:right w:w="0" w:type="dxa"/>
            </w:tcMar>
          </w:tcPr>
          <w:p w:rsidR="002D51BE" w:rsidRPr="000B04FC" w:rsidRDefault="002D51BE" w:rsidP="002D51BE">
            <w:pPr>
              <w:keepLines/>
              <w:widowControl w:val="0"/>
              <w:rPr>
                <w:sz w:val="20"/>
              </w:rPr>
            </w:pPr>
          </w:p>
        </w:tc>
        <w:tc>
          <w:tcPr>
            <w:tcW w:w="4536" w:type="dxa"/>
            <w:tcMar>
              <w:left w:w="0" w:type="dxa"/>
              <w:right w:w="0" w:type="dxa"/>
            </w:tcMar>
          </w:tcPr>
          <w:p w:rsidR="002D51BE" w:rsidRPr="000B04FC" w:rsidRDefault="002D51BE" w:rsidP="00716AD0">
            <w:pPr>
              <w:keepLines/>
              <w:widowControl w:val="0"/>
              <w:jc w:val="both"/>
              <w:rPr>
                <w:sz w:val="20"/>
              </w:rPr>
            </w:pPr>
            <w:r w:rsidRPr="000B04FC">
              <w:rPr>
                <w:sz w:val="20"/>
              </w:rPr>
              <w:t>Accused convicted of assault, two counts of unlawful confinement and sexual assault; Accused declared dangerous offender</w:t>
            </w:r>
          </w:p>
        </w:tc>
      </w:tr>
    </w:tbl>
    <w:p w:rsidR="002D51BE" w:rsidRPr="000B04FC" w:rsidRDefault="002D51BE" w:rsidP="002D51BE">
      <w:pPr>
        <w:widowControl w:val="0"/>
        <w:rPr>
          <w:sz w:val="20"/>
        </w:rPr>
      </w:pPr>
    </w:p>
    <w:tbl>
      <w:tblPr>
        <w:tblW w:w="0" w:type="auto"/>
        <w:tblLayout w:type="fixed"/>
        <w:tblCellMar>
          <w:left w:w="0" w:type="dxa"/>
          <w:right w:w="0" w:type="dxa"/>
        </w:tblCellMar>
        <w:tblLook w:val="0000"/>
      </w:tblPr>
      <w:tblGrid>
        <w:gridCol w:w="4536"/>
        <w:gridCol w:w="288"/>
        <w:gridCol w:w="4536"/>
      </w:tblGrid>
      <w:tr w:rsidR="002D51BE" w:rsidTr="002D51BE">
        <w:tc>
          <w:tcPr>
            <w:tcW w:w="4536" w:type="dxa"/>
            <w:tcMar>
              <w:left w:w="0" w:type="dxa"/>
              <w:right w:w="0" w:type="dxa"/>
            </w:tcMar>
          </w:tcPr>
          <w:p w:rsidR="002D51BE" w:rsidRPr="000B04FC" w:rsidRDefault="002D51BE" w:rsidP="002D51BE">
            <w:pPr>
              <w:keepNext/>
              <w:keepLines/>
              <w:widowControl w:val="0"/>
              <w:rPr>
                <w:sz w:val="20"/>
              </w:rPr>
            </w:pPr>
            <w:r w:rsidRPr="000B04FC">
              <w:rPr>
                <w:sz w:val="20"/>
              </w:rPr>
              <w:t>September 29, 2004</w:t>
            </w:r>
          </w:p>
          <w:p w:rsidR="002D51BE" w:rsidRPr="000B04FC" w:rsidRDefault="002D51BE" w:rsidP="002D51BE">
            <w:pPr>
              <w:keepNext/>
              <w:keepLines/>
              <w:widowControl w:val="0"/>
              <w:rPr>
                <w:sz w:val="20"/>
              </w:rPr>
            </w:pPr>
            <w:r w:rsidRPr="000B04FC">
              <w:rPr>
                <w:sz w:val="20"/>
              </w:rPr>
              <w:t>Court of Appeal for Ontario</w:t>
            </w:r>
          </w:p>
          <w:p w:rsidR="002D51BE" w:rsidRPr="000B04FC" w:rsidRDefault="002D51BE" w:rsidP="002D51BE">
            <w:pPr>
              <w:keepNext/>
              <w:keepLines/>
              <w:widowControl w:val="0"/>
              <w:rPr>
                <w:sz w:val="20"/>
              </w:rPr>
            </w:pPr>
            <w:r w:rsidRPr="000B04FC">
              <w:rPr>
                <w:sz w:val="20"/>
              </w:rPr>
              <w:t xml:space="preserve">(Doherty, </w:t>
            </w:r>
            <w:proofErr w:type="spellStart"/>
            <w:r w:rsidRPr="000B04FC">
              <w:rPr>
                <w:sz w:val="20"/>
              </w:rPr>
              <w:t>Laskin</w:t>
            </w:r>
            <w:proofErr w:type="spellEnd"/>
            <w:r w:rsidRPr="000B04FC">
              <w:rPr>
                <w:sz w:val="20"/>
              </w:rPr>
              <w:t xml:space="preserve"> and </w:t>
            </w:r>
            <w:proofErr w:type="spellStart"/>
            <w:r w:rsidRPr="000B04FC">
              <w:rPr>
                <w:sz w:val="20"/>
              </w:rPr>
              <w:t>Juriansz</w:t>
            </w:r>
            <w:proofErr w:type="spellEnd"/>
            <w:r w:rsidRPr="000B04FC">
              <w:rPr>
                <w:sz w:val="20"/>
              </w:rPr>
              <w:t xml:space="preserve"> JJ.A.)</w:t>
            </w:r>
          </w:p>
          <w:p w:rsidR="002D51BE" w:rsidRDefault="002D51BE" w:rsidP="002D51BE">
            <w:pPr>
              <w:keepNext/>
              <w:keepLines/>
              <w:widowControl w:val="0"/>
              <w:rPr>
                <w:sz w:val="20"/>
                <w:lang w:val="fr-CA"/>
              </w:rPr>
            </w:pPr>
            <w:r>
              <w:rPr>
                <w:sz w:val="20"/>
                <w:lang w:val="fr-CA"/>
              </w:rPr>
              <w:t>[2004] O.J. No. 3988</w:t>
            </w:r>
          </w:p>
        </w:tc>
        <w:tc>
          <w:tcPr>
            <w:tcW w:w="288" w:type="dxa"/>
            <w:tcMar>
              <w:left w:w="0" w:type="dxa"/>
              <w:right w:w="0" w:type="dxa"/>
            </w:tcMar>
          </w:tcPr>
          <w:p w:rsidR="002D51BE" w:rsidRDefault="002D51BE" w:rsidP="002D51BE">
            <w:pPr>
              <w:keepLines/>
              <w:widowControl w:val="0"/>
              <w:rPr>
                <w:sz w:val="20"/>
                <w:lang w:val="fr-CA"/>
              </w:rPr>
            </w:pPr>
          </w:p>
        </w:tc>
        <w:tc>
          <w:tcPr>
            <w:tcW w:w="4536" w:type="dxa"/>
            <w:tcMar>
              <w:left w:w="0" w:type="dxa"/>
              <w:right w:w="0" w:type="dxa"/>
            </w:tcMar>
          </w:tcPr>
          <w:p w:rsidR="002D51BE" w:rsidRDefault="002D51BE" w:rsidP="00716AD0">
            <w:pPr>
              <w:keepLines/>
              <w:widowControl w:val="0"/>
              <w:jc w:val="both"/>
              <w:rPr>
                <w:sz w:val="20"/>
                <w:lang w:val="fr-CA"/>
              </w:rPr>
            </w:pPr>
            <w:r w:rsidRPr="000B04FC">
              <w:rPr>
                <w:sz w:val="20"/>
              </w:rPr>
              <w:t xml:space="preserve">Convictions for unlawful confinement quashed; new trial ordered; Appeal dismissed on convictions for assault and sexual assault.  </w:t>
            </w:r>
            <w:proofErr w:type="spellStart"/>
            <w:r>
              <w:rPr>
                <w:sz w:val="20"/>
                <w:lang w:val="fr-CA"/>
              </w:rPr>
              <w:t>Indeterminate</w:t>
            </w:r>
            <w:proofErr w:type="spellEnd"/>
            <w:r>
              <w:rPr>
                <w:sz w:val="20"/>
                <w:lang w:val="fr-CA"/>
              </w:rPr>
              <w:t xml:space="preserve"> sentence </w:t>
            </w:r>
            <w:proofErr w:type="spellStart"/>
            <w:r>
              <w:rPr>
                <w:sz w:val="20"/>
                <w:lang w:val="fr-CA"/>
              </w:rPr>
              <w:t>upheld</w:t>
            </w:r>
            <w:proofErr w:type="spellEnd"/>
            <w:r>
              <w:rPr>
                <w:sz w:val="20"/>
                <w:lang w:val="fr-CA"/>
              </w:rPr>
              <w:t>.</w:t>
            </w:r>
          </w:p>
        </w:tc>
      </w:tr>
    </w:tbl>
    <w:p w:rsidR="002D51BE" w:rsidRDefault="002D51BE" w:rsidP="002D51BE">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2D51BE" w:rsidTr="002D51BE">
        <w:tc>
          <w:tcPr>
            <w:tcW w:w="4536" w:type="dxa"/>
            <w:tcMar>
              <w:left w:w="0" w:type="dxa"/>
              <w:right w:w="0" w:type="dxa"/>
            </w:tcMar>
          </w:tcPr>
          <w:p w:rsidR="002D51BE" w:rsidRDefault="002D51BE" w:rsidP="002D51BE">
            <w:pPr>
              <w:keepNext/>
              <w:keepLines/>
              <w:widowControl w:val="0"/>
              <w:rPr>
                <w:sz w:val="20"/>
                <w:lang w:val="fr-CA"/>
              </w:rPr>
            </w:pPr>
            <w:r>
              <w:rPr>
                <w:sz w:val="20"/>
                <w:lang w:val="fr-CA"/>
              </w:rPr>
              <w:t>August 19, 2010</w:t>
            </w:r>
          </w:p>
          <w:p w:rsidR="002D51BE" w:rsidRDefault="002D51BE" w:rsidP="002D51BE">
            <w:pPr>
              <w:keepNext/>
              <w:keepLines/>
              <w:widowControl w:val="0"/>
              <w:rPr>
                <w:sz w:val="20"/>
                <w:lang w:val="fr-CA"/>
              </w:rPr>
            </w:pPr>
            <w:proofErr w:type="spellStart"/>
            <w:r>
              <w:rPr>
                <w:sz w:val="20"/>
                <w:lang w:val="fr-CA"/>
              </w:rPr>
              <w:t>Supreme</w:t>
            </w:r>
            <w:proofErr w:type="spellEnd"/>
            <w:r>
              <w:rPr>
                <w:sz w:val="20"/>
                <w:lang w:val="fr-CA"/>
              </w:rPr>
              <w:t xml:space="preserve"> Court of Canada</w:t>
            </w:r>
          </w:p>
          <w:p w:rsidR="002D51BE" w:rsidRDefault="002D51BE" w:rsidP="002D51BE">
            <w:pPr>
              <w:keepNext/>
              <w:keepLines/>
              <w:widowControl w:val="0"/>
              <w:rPr>
                <w:sz w:val="20"/>
                <w:lang w:val="fr-CA"/>
              </w:rPr>
            </w:pPr>
          </w:p>
        </w:tc>
        <w:tc>
          <w:tcPr>
            <w:tcW w:w="288" w:type="dxa"/>
            <w:tcMar>
              <w:left w:w="0" w:type="dxa"/>
              <w:right w:w="0" w:type="dxa"/>
            </w:tcMar>
          </w:tcPr>
          <w:p w:rsidR="002D51BE" w:rsidRDefault="002D51BE" w:rsidP="002D51BE">
            <w:pPr>
              <w:keepLines/>
              <w:widowControl w:val="0"/>
              <w:rPr>
                <w:sz w:val="20"/>
                <w:lang w:val="fr-CA"/>
              </w:rPr>
            </w:pPr>
          </w:p>
        </w:tc>
        <w:tc>
          <w:tcPr>
            <w:tcW w:w="4536" w:type="dxa"/>
            <w:tcMar>
              <w:left w:w="0" w:type="dxa"/>
              <w:right w:w="0" w:type="dxa"/>
            </w:tcMar>
          </w:tcPr>
          <w:p w:rsidR="002D51BE" w:rsidRPr="000B04FC" w:rsidRDefault="002D51BE" w:rsidP="00716AD0">
            <w:pPr>
              <w:keepLines/>
              <w:widowControl w:val="0"/>
              <w:jc w:val="both"/>
              <w:rPr>
                <w:sz w:val="20"/>
              </w:rPr>
            </w:pPr>
            <w:r w:rsidRPr="000B04FC">
              <w:rPr>
                <w:sz w:val="20"/>
              </w:rPr>
              <w:t>Application for leave to appeal and motion for extension of time in which to serve and file application for leave to appeal filed</w:t>
            </w:r>
          </w:p>
        </w:tc>
      </w:tr>
    </w:tbl>
    <w:p w:rsidR="002D51BE" w:rsidRPr="002D51BE" w:rsidRDefault="002D51BE" w:rsidP="002D51BE">
      <w:pPr>
        <w:widowControl w:val="0"/>
        <w:ind w:left="720" w:hanging="720"/>
        <w:rPr>
          <w:sz w:val="20"/>
        </w:rPr>
      </w:pPr>
    </w:p>
    <w:p w:rsidR="00E32432" w:rsidRPr="007F53EF" w:rsidRDefault="00857426" w:rsidP="00E32432">
      <w:pPr>
        <w:rPr>
          <w:sz w:val="20"/>
          <w:szCs w:val="20"/>
        </w:rPr>
      </w:pPr>
      <w:r w:rsidRPr="00857426">
        <w:rPr>
          <w:sz w:val="20"/>
          <w:szCs w:val="20"/>
          <w:lang w:val="fr-CA"/>
        </w:rPr>
        <w:pict>
          <v:rect id="_x0000_i1058" style="width:2in;height:1pt" o:hrpct="0" o:hralign="center" o:hrstd="t" o:hrnoshade="t" o:hr="t" fillcolor="black [3213]" stroked="f"/>
        </w:pict>
      </w:r>
    </w:p>
    <w:p w:rsidR="00E32432" w:rsidRDefault="00E32432" w:rsidP="00E32432">
      <w:pPr>
        <w:rPr>
          <w:sz w:val="20"/>
          <w:szCs w:val="20"/>
        </w:rPr>
      </w:pPr>
    </w:p>
    <w:p w:rsidR="00E32432" w:rsidRPr="002D51BE" w:rsidRDefault="00E32432" w:rsidP="00E32432">
      <w:pPr>
        <w:jc w:val="both"/>
        <w:rPr>
          <w:sz w:val="20"/>
          <w:szCs w:val="20"/>
          <w:lang w:val="fr-CA"/>
        </w:rPr>
      </w:pPr>
      <w:r w:rsidRPr="002D51BE">
        <w:rPr>
          <w:sz w:val="20"/>
          <w:szCs w:val="20"/>
          <w:u w:val="single"/>
          <w:lang w:val="fr-CA"/>
        </w:rPr>
        <w:t>RÉSUMÉ DE L’AFFAIRE</w:t>
      </w:r>
    </w:p>
    <w:p w:rsidR="00E32432" w:rsidRPr="002D51BE" w:rsidRDefault="00E32432" w:rsidP="00E32432">
      <w:pPr>
        <w:rPr>
          <w:sz w:val="20"/>
          <w:szCs w:val="20"/>
          <w:lang w:val="fr-CA"/>
        </w:rPr>
      </w:pPr>
    </w:p>
    <w:p w:rsidR="002D51BE" w:rsidRDefault="002D51BE" w:rsidP="002D51BE">
      <w:pPr>
        <w:widowControl w:val="0"/>
        <w:rPr>
          <w:smallCaps/>
          <w:sz w:val="20"/>
          <w:lang w:val="fr-CA"/>
        </w:rPr>
      </w:pPr>
      <w:r>
        <w:rPr>
          <w:smallCaps/>
          <w:sz w:val="20"/>
          <w:lang w:val="fr-CA"/>
        </w:rPr>
        <w:t>(Ordonnance de non-publication dans le dossier)</w:t>
      </w:r>
    </w:p>
    <w:p w:rsidR="002D51BE" w:rsidRDefault="002D51BE" w:rsidP="002D51BE">
      <w:pPr>
        <w:widowControl w:val="0"/>
        <w:rPr>
          <w:smallCaps/>
          <w:sz w:val="20"/>
          <w:lang w:val="fr-CA"/>
        </w:rPr>
      </w:pPr>
    </w:p>
    <w:p w:rsidR="002D51BE" w:rsidRDefault="002D51BE" w:rsidP="00C934F7">
      <w:pPr>
        <w:widowControl w:val="0"/>
        <w:jc w:val="both"/>
        <w:rPr>
          <w:sz w:val="20"/>
          <w:lang w:val="fr-CA"/>
        </w:rPr>
      </w:pPr>
      <w:r>
        <w:rPr>
          <w:sz w:val="20"/>
          <w:lang w:val="fr-CA"/>
        </w:rPr>
        <w:t>Droit criminel - Exposé au jury - Unanimité du jury - Accusé déclaré coupable de voies de fait et d’agression sexuelle - La plaignante avait donné des dépositions contradictoires à la police - Accusé déclaré délinquant dangereux et condamné à purger une peine d’une durée indéterminée - La Cour d’appel a-t-elle eu tort de rejeter l’appel de la déclaration de culpabilité pour voies de fait et agression sexuelle et de rejeter l’appel de la peine?</w:t>
      </w:r>
    </w:p>
    <w:p w:rsidR="002D51BE" w:rsidRDefault="002D51BE" w:rsidP="00C934F7">
      <w:pPr>
        <w:widowControl w:val="0"/>
        <w:jc w:val="both"/>
        <w:rPr>
          <w:sz w:val="20"/>
          <w:lang w:val="fr-CA"/>
        </w:rPr>
      </w:pPr>
    </w:p>
    <w:p w:rsidR="002D51BE" w:rsidRDefault="002D51BE" w:rsidP="00C934F7">
      <w:pPr>
        <w:widowControl w:val="0"/>
        <w:jc w:val="both"/>
        <w:rPr>
          <w:sz w:val="20"/>
          <w:lang w:val="fr-CA"/>
        </w:rPr>
      </w:pPr>
      <w:r>
        <w:rPr>
          <w:sz w:val="20"/>
          <w:lang w:val="fr-CA"/>
        </w:rPr>
        <w:t xml:space="preserve">En 1998, quelques semaines après avoir rencontré la plaignante, M. Robinson est entrée chez elle par effraction alors qu’elle était sortie avec son fils.  Elle a demandé à M. Robinson de quitter, mais ce dernier s’est fâché puis, pendant une heure et demie, il a physiquement et sexuellement agressé la plaignante et terrorisé son fils.  À un moment donné, elle a réussi à appeler le 911, mais avant qu’elle n’ait pu dire quoi que ce soit, M. Robinson a arraché le téléphone du mur.  Néanmoins, la police est arrivée quelques minutes plus tard et a trouvé la plaignante, ensanglantée de ses blessures.  La police a arrêté M. Robinson et a accompagné la plaignante et son fils à l’hôpital.  Par la suite, la plaignante a fourni avec réticence une déposition enregistrée sur bande vidéo à la police, exprimant sa crainte que M. Robinson la tue.  Elle a supplié le policier de ne pas laisser M. Robinson voir la bande.  Plus tard, lorsqu’elle s’est rendue compte que le policier avait divulgué sa déposition à M. Robinson, la plaignante a fait savoir qu’elle ne collaborerait pas avec la police et ne témoignerait pas contre M. Robinson.  À l’enquête préliminaire, la plaignante a donné une version atténuée de ce qui s’était passé et s’est rétractée de la plupart de ses allégations.  Un mois plus tard, elle a communiqué avec le ministère public et a fait une deuxième déposition enregistrée sur bande vidéo, adoptant sa première déposition.  Neuf mois plus tard, elle a communiqué avec le ministère public et a fait une troisième déposition avec de nouvelles allégations de fellation forcée à la pointe du couteau et de menaces de coït anal.  Au procès, elle a expliqué que ses dépositions contradictoires précédentes avaient été motivées par sa peur de M. Robinson.  Le ministère public a averti le jury dans son exposé final qu’il y avait lieu de traiter le témoignage de la plaignante avec prudence et qu’il fallait chercher une preuve </w:t>
      </w:r>
      <w:proofErr w:type="spellStart"/>
      <w:r>
        <w:rPr>
          <w:sz w:val="20"/>
          <w:lang w:val="fr-CA"/>
        </w:rPr>
        <w:t>corroborante</w:t>
      </w:r>
      <w:proofErr w:type="spellEnd"/>
      <w:r>
        <w:rPr>
          <w:sz w:val="20"/>
          <w:lang w:val="fr-CA"/>
        </w:rPr>
        <w:t>.</w:t>
      </w:r>
    </w:p>
    <w:p w:rsidR="002D51BE" w:rsidRDefault="002D51BE" w:rsidP="002D51BE">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2D51BE" w:rsidRPr="001C2F5E" w:rsidTr="002D51BE">
        <w:tc>
          <w:tcPr>
            <w:tcW w:w="4536" w:type="dxa"/>
            <w:tcMar>
              <w:left w:w="0" w:type="dxa"/>
              <w:right w:w="0" w:type="dxa"/>
            </w:tcMar>
          </w:tcPr>
          <w:p w:rsidR="002D51BE" w:rsidRDefault="002D51BE" w:rsidP="002D51BE">
            <w:pPr>
              <w:keepNext/>
              <w:keepLines/>
              <w:widowControl w:val="0"/>
              <w:rPr>
                <w:sz w:val="20"/>
                <w:lang w:val="fr-CA"/>
              </w:rPr>
            </w:pPr>
            <w:r>
              <w:rPr>
                <w:sz w:val="20"/>
                <w:lang w:val="fr-CA"/>
              </w:rPr>
              <w:t>21 juin 2000</w:t>
            </w:r>
          </w:p>
          <w:p w:rsidR="002D51BE" w:rsidRDefault="002D51BE" w:rsidP="002D51BE">
            <w:pPr>
              <w:keepNext/>
              <w:keepLines/>
              <w:widowControl w:val="0"/>
              <w:rPr>
                <w:sz w:val="20"/>
                <w:lang w:val="fr-CA"/>
              </w:rPr>
            </w:pPr>
            <w:r>
              <w:rPr>
                <w:sz w:val="20"/>
                <w:lang w:val="fr-CA"/>
              </w:rPr>
              <w:t>Cour supérieure de justice de l’Ontario</w:t>
            </w:r>
          </w:p>
          <w:p w:rsidR="002D51BE" w:rsidRPr="000B04FC" w:rsidRDefault="002D51BE" w:rsidP="002D51BE">
            <w:pPr>
              <w:keepNext/>
              <w:keepLines/>
              <w:widowControl w:val="0"/>
              <w:rPr>
                <w:sz w:val="20"/>
              </w:rPr>
            </w:pPr>
            <w:r w:rsidRPr="000B04FC">
              <w:rPr>
                <w:sz w:val="20"/>
              </w:rPr>
              <w:t>(</w:t>
            </w:r>
            <w:proofErr w:type="spellStart"/>
            <w:r w:rsidRPr="000B04FC">
              <w:rPr>
                <w:sz w:val="20"/>
              </w:rPr>
              <w:t>Juge</w:t>
            </w:r>
            <w:proofErr w:type="spellEnd"/>
            <w:r w:rsidRPr="000B04FC">
              <w:rPr>
                <w:sz w:val="20"/>
              </w:rPr>
              <w:t xml:space="preserve"> Morrison)</w:t>
            </w:r>
          </w:p>
          <w:p w:rsidR="002D51BE" w:rsidRPr="000B04FC" w:rsidRDefault="002D51BE" w:rsidP="002D51BE">
            <w:pPr>
              <w:keepNext/>
              <w:keepLines/>
              <w:widowControl w:val="0"/>
              <w:rPr>
                <w:sz w:val="20"/>
              </w:rPr>
            </w:pPr>
            <w:r w:rsidRPr="000B04FC">
              <w:rPr>
                <w:sz w:val="20"/>
              </w:rPr>
              <w:t>[2002] O.J. No. 652</w:t>
            </w:r>
          </w:p>
        </w:tc>
        <w:tc>
          <w:tcPr>
            <w:tcW w:w="288" w:type="dxa"/>
            <w:tcMar>
              <w:left w:w="0" w:type="dxa"/>
              <w:right w:w="0" w:type="dxa"/>
            </w:tcMar>
          </w:tcPr>
          <w:p w:rsidR="002D51BE" w:rsidRPr="000B04FC" w:rsidRDefault="002D51BE" w:rsidP="002D51BE">
            <w:pPr>
              <w:keepLines/>
              <w:widowControl w:val="0"/>
              <w:rPr>
                <w:sz w:val="20"/>
              </w:rPr>
            </w:pPr>
          </w:p>
        </w:tc>
        <w:tc>
          <w:tcPr>
            <w:tcW w:w="4536" w:type="dxa"/>
            <w:tcMar>
              <w:left w:w="0" w:type="dxa"/>
              <w:right w:w="0" w:type="dxa"/>
            </w:tcMar>
          </w:tcPr>
          <w:p w:rsidR="002D51BE" w:rsidRDefault="002D51BE" w:rsidP="00716AD0">
            <w:pPr>
              <w:keepLines/>
              <w:widowControl w:val="0"/>
              <w:jc w:val="both"/>
              <w:rPr>
                <w:sz w:val="20"/>
                <w:lang w:val="fr-CA"/>
              </w:rPr>
            </w:pPr>
            <w:r>
              <w:rPr>
                <w:sz w:val="20"/>
                <w:lang w:val="fr-CA"/>
              </w:rPr>
              <w:t>Accusé déclaré coupable de voies de fait, sous deux chefs de séquestration et d’agression sexuelle; accusé déclaré délinquant dangereux</w:t>
            </w:r>
          </w:p>
        </w:tc>
      </w:tr>
    </w:tbl>
    <w:p w:rsidR="002D51BE" w:rsidRDefault="002D51BE" w:rsidP="002D51BE">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2D51BE" w:rsidTr="002D51BE">
        <w:tc>
          <w:tcPr>
            <w:tcW w:w="4536" w:type="dxa"/>
            <w:tcMar>
              <w:left w:w="0" w:type="dxa"/>
              <w:right w:w="0" w:type="dxa"/>
            </w:tcMar>
          </w:tcPr>
          <w:p w:rsidR="002D51BE" w:rsidRDefault="002D51BE" w:rsidP="002D51BE">
            <w:pPr>
              <w:keepNext/>
              <w:keepLines/>
              <w:widowControl w:val="0"/>
              <w:rPr>
                <w:sz w:val="20"/>
                <w:lang w:val="fr-CA"/>
              </w:rPr>
            </w:pPr>
            <w:r>
              <w:rPr>
                <w:sz w:val="20"/>
                <w:lang w:val="fr-CA"/>
              </w:rPr>
              <w:t>29 septembre 2004</w:t>
            </w:r>
          </w:p>
          <w:p w:rsidR="002D51BE" w:rsidRDefault="002D51BE" w:rsidP="002D51BE">
            <w:pPr>
              <w:keepNext/>
              <w:keepLines/>
              <w:widowControl w:val="0"/>
              <w:rPr>
                <w:sz w:val="20"/>
                <w:lang w:val="fr-CA"/>
              </w:rPr>
            </w:pPr>
            <w:r>
              <w:rPr>
                <w:sz w:val="20"/>
                <w:lang w:val="fr-CA"/>
              </w:rPr>
              <w:t>Cour d’appel de l’Ontario</w:t>
            </w:r>
          </w:p>
          <w:p w:rsidR="002D51BE" w:rsidRDefault="002D51BE" w:rsidP="002D51BE">
            <w:pPr>
              <w:keepNext/>
              <w:keepLines/>
              <w:widowControl w:val="0"/>
              <w:rPr>
                <w:sz w:val="20"/>
                <w:lang w:val="fr-CA"/>
              </w:rPr>
            </w:pPr>
            <w:r>
              <w:rPr>
                <w:sz w:val="20"/>
                <w:lang w:val="fr-CA"/>
              </w:rPr>
              <w:t xml:space="preserve">(Juges Doherty, </w:t>
            </w:r>
            <w:proofErr w:type="spellStart"/>
            <w:r>
              <w:rPr>
                <w:sz w:val="20"/>
                <w:lang w:val="fr-CA"/>
              </w:rPr>
              <w:t>Laskin</w:t>
            </w:r>
            <w:proofErr w:type="spellEnd"/>
            <w:r>
              <w:rPr>
                <w:sz w:val="20"/>
                <w:lang w:val="fr-CA"/>
              </w:rPr>
              <w:t xml:space="preserve"> et </w:t>
            </w:r>
            <w:proofErr w:type="spellStart"/>
            <w:r>
              <w:rPr>
                <w:sz w:val="20"/>
                <w:lang w:val="fr-CA"/>
              </w:rPr>
              <w:t>Juriansz</w:t>
            </w:r>
            <w:proofErr w:type="spellEnd"/>
            <w:r>
              <w:rPr>
                <w:sz w:val="20"/>
                <w:lang w:val="fr-CA"/>
              </w:rPr>
              <w:t>)</w:t>
            </w:r>
          </w:p>
          <w:p w:rsidR="002D51BE" w:rsidRDefault="002D51BE" w:rsidP="002D51BE">
            <w:pPr>
              <w:keepNext/>
              <w:keepLines/>
              <w:widowControl w:val="0"/>
              <w:rPr>
                <w:sz w:val="20"/>
                <w:lang w:val="fr-CA"/>
              </w:rPr>
            </w:pPr>
            <w:r>
              <w:rPr>
                <w:sz w:val="20"/>
                <w:lang w:val="fr-CA"/>
              </w:rPr>
              <w:t>[2004] O.J. No. 3988</w:t>
            </w:r>
          </w:p>
        </w:tc>
        <w:tc>
          <w:tcPr>
            <w:tcW w:w="288" w:type="dxa"/>
            <w:tcMar>
              <w:left w:w="0" w:type="dxa"/>
              <w:right w:w="0" w:type="dxa"/>
            </w:tcMar>
          </w:tcPr>
          <w:p w:rsidR="002D51BE" w:rsidRDefault="002D51BE" w:rsidP="002D51BE">
            <w:pPr>
              <w:keepLines/>
              <w:widowControl w:val="0"/>
              <w:rPr>
                <w:sz w:val="20"/>
                <w:lang w:val="fr-CA"/>
              </w:rPr>
            </w:pPr>
          </w:p>
        </w:tc>
        <w:tc>
          <w:tcPr>
            <w:tcW w:w="4536" w:type="dxa"/>
            <w:tcMar>
              <w:left w:w="0" w:type="dxa"/>
              <w:right w:w="0" w:type="dxa"/>
            </w:tcMar>
          </w:tcPr>
          <w:p w:rsidR="002D51BE" w:rsidRDefault="002D51BE" w:rsidP="00716AD0">
            <w:pPr>
              <w:keepLines/>
              <w:widowControl w:val="0"/>
              <w:jc w:val="both"/>
              <w:rPr>
                <w:sz w:val="20"/>
                <w:lang w:val="fr-CA"/>
              </w:rPr>
            </w:pPr>
            <w:r>
              <w:rPr>
                <w:sz w:val="20"/>
                <w:lang w:val="fr-CA"/>
              </w:rPr>
              <w:t>Déclarations de culpabilité pour séquestration, annulées; nouveau procès annulé; appel rejeté relativement aux déclarations de culpabilité pour voies de fait et agression sexuelle.  Peine de durée indéterminée, confirmée.</w:t>
            </w:r>
          </w:p>
        </w:tc>
      </w:tr>
    </w:tbl>
    <w:p w:rsidR="002D51BE" w:rsidRDefault="002D51BE" w:rsidP="002D51BE">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2D51BE" w:rsidRPr="001C2F5E" w:rsidTr="002D51BE">
        <w:tc>
          <w:tcPr>
            <w:tcW w:w="4536" w:type="dxa"/>
            <w:tcMar>
              <w:left w:w="0" w:type="dxa"/>
              <w:right w:w="0" w:type="dxa"/>
            </w:tcMar>
          </w:tcPr>
          <w:p w:rsidR="002D51BE" w:rsidRDefault="002D51BE" w:rsidP="002D51BE">
            <w:pPr>
              <w:keepNext/>
              <w:keepLines/>
              <w:widowControl w:val="0"/>
              <w:rPr>
                <w:sz w:val="20"/>
                <w:lang w:val="fr-CA"/>
              </w:rPr>
            </w:pPr>
            <w:r>
              <w:rPr>
                <w:sz w:val="20"/>
                <w:lang w:val="fr-CA"/>
              </w:rPr>
              <w:lastRenderedPageBreak/>
              <w:t>19 août 2010</w:t>
            </w:r>
          </w:p>
          <w:p w:rsidR="002D51BE" w:rsidRDefault="002D51BE" w:rsidP="002D51BE">
            <w:pPr>
              <w:keepNext/>
              <w:keepLines/>
              <w:widowControl w:val="0"/>
              <w:rPr>
                <w:sz w:val="20"/>
                <w:lang w:val="fr-CA"/>
              </w:rPr>
            </w:pPr>
            <w:r>
              <w:rPr>
                <w:sz w:val="20"/>
                <w:lang w:val="fr-CA"/>
              </w:rPr>
              <w:t>Cour suprême du Canada</w:t>
            </w:r>
          </w:p>
          <w:p w:rsidR="002D51BE" w:rsidRDefault="002D51BE" w:rsidP="002D51BE">
            <w:pPr>
              <w:keepNext/>
              <w:keepLines/>
              <w:widowControl w:val="0"/>
              <w:rPr>
                <w:sz w:val="20"/>
                <w:lang w:val="fr-CA"/>
              </w:rPr>
            </w:pPr>
          </w:p>
        </w:tc>
        <w:tc>
          <w:tcPr>
            <w:tcW w:w="288" w:type="dxa"/>
            <w:tcMar>
              <w:left w:w="0" w:type="dxa"/>
              <w:right w:w="0" w:type="dxa"/>
            </w:tcMar>
          </w:tcPr>
          <w:p w:rsidR="002D51BE" w:rsidRDefault="002D51BE" w:rsidP="002D51BE">
            <w:pPr>
              <w:keepLines/>
              <w:widowControl w:val="0"/>
              <w:rPr>
                <w:sz w:val="20"/>
                <w:lang w:val="fr-CA"/>
              </w:rPr>
            </w:pPr>
          </w:p>
        </w:tc>
        <w:tc>
          <w:tcPr>
            <w:tcW w:w="4536" w:type="dxa"/>
            <w:tcMar>
              <w:left w:w="0" w:type="dxa"/>
              <w:right w:w="0" w:type="dxa"/>
            </w:tcMar>
          </w:tcPr>
          <w:p w:rsidR="002D51BE" w:rsidRDefault="002D51BE" w:rsidP="00716AD0">
            <w:pPr>
              <w:keepLines/>
              <w:widowControl w:val="0"/>
              <w:jc w:val="both"/>
              <w:rPr>
                <w:sz w:val="20"/>
                <w:lang w:val="fr-CA"/>
              </w:rPr>
            </w:pPr>
            <w:r>
              <w:rPr>
                <w:sz w:val="20"/>
                <w:lang w:val="fr-CA"/>
              </w:rPr>
              <w:t>Demande d’autorisation d’appel et requête en prorogation du délai de signification et de dépôt de la demande d’autorisation d’appel, déposées</w:t>
            </w:r>
          </w:p>
        </w:tc>
      </w:tr>
    </w:tbl>
    <w:p w:rsidR="002D51BE" w:rsidRDefault="002D51BE" w:rsidP="002D51BE">
      <w:pPr>
        <w:widowControl w:val="0"/>
        <w:rPr>
          <w:sz w:val="20"/>
          <w:lang w:val="fr-CA"/>
        </w:rPr>
      </w:pPr>
    </w:p>
    <w:p w:rsidR="00E32432" w:rsidRPr="00C50A5C" w:rsidRDefault="00857426" w:rsidP="00E32432">
      <w:pPr>
        <w:rPr>
          <w:sz w:val="20"/>
          <w:szCs w:val="20"/>
        </w:rPr>
      </w:pPr>
      <w:r w:rsidRPr="00857426">
        <w:rPr>
          <w:sz w:val="20"/>
          <w:szCs w:val="20"/>
          <w:lang w:val="fr-CA"/>
        </w:rPr>
        <w:pict>
          <v:rect id="_x0000_i1059" style="width:2in;height:1pt" o:hrpct="0" o:hralign="center" o:hrstd="t" o:hrnoshade="t" o:hr="t" fillcolor="black [3213]" stroked="f"/>
        </w:pict>
      </w:r>
    </w:p>
    <w:p w:rsidR="00E32432" w:rsidRDefault="00E32432" w:rsidP="00E3243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A57C9" w:rsidRPr="001A57C9" w:rsidTr="001A57C9">
        <w:trPr>
          <w:cantSplit/>
        </w:trPr>
        <w:tc>
          <w:tcPr>
            <w:tcW w:w="1458" w:type="dxa"/>
          </w:tcPr>
          <w:p w:rsidR="001A57C9" w:rsidRPr="001A57C9" w:rsidRDefault="001A57C9" w:rsidP="001A57C9">
            <w:pPr>
              <w:rPr>
                <w:sz w:val="20"/>
                <w:szCs w:val="20"/>
              </w:rPr>
            </w:pPr>
            <w:r w:rsidRPr="001A57C9">
              <w:rPr>
                <w:rStyle w:val="SCCFileNumberChar"/>
                <w:sz w:val="20"/>
                <w:szCs w:val="20"/>
              </w:rPr>
              <w:t>33804</w:t>
            </w:r>
          </w:p>
          <w:p w:rsidR="001A57C9" w:rsidRPr="001A57C9" w:rsidRDefault="001A57C9" w:rsidP="001A57C9">
            <w:pPr>
              <w:rPr>
                <w:b/>
                <w:sz w:val="20"/>
                <w:szCs w:val="20"/>
                <w:lang w:val="fr-CA"/>
              </w:rPr>
            </w:pPr>
          </w:p>
        </w:tc>
        <w:tc>
          <w:tcPr>
            <w:tcW w:w="8118" w:type="dxa"/>
          </w:tcPr>
          <w:p w:rsidR="001A57C9" w:rsidRPr="001A57C9" w:rsidRDefault="001A57C9" w:rsidP="001A57C9">
            <w:pPr>
              <w:rPr>
                <w:sz w:val="20"/>
                <w:szCs w:val="20"/>
              </w:rPr>
            </w:pPr>
            <w:r w:rsidRPr="001A57C9">
              <w:rPr>
                <w:rStyle w:val="SCCLsocChar"/>
                <w:sz w:val="20"/>
                <w:szCs w:val="20"/>
                <w:lang w:val="en-CA"/>
              </w:rPr>
              <w:t>City of Calgary v. Her Majesty the Queen</w:t>
            </w:r>
            <w:r w:rsidRPr="001A57C9">
              <w:rPr>
                <w:sz w:val="20"/>
                <w:szCs w:val="20"/>
              </w:rPr>
              <w:t xml:space="preserve"> (F</w:t>
            </w:r>
            <w:r>
              <w:rPr>
                <w:sz w:val="20"/>
                <w:szCs w:val="20"/>
              </w:rPr>
              <w:t>.</w:t>
            </w:r>
            <w:r w:rsidRPr="001A57C9">
              <w:rPr>
                <w:sz w:val="20"/>
                <w:szCs w:val="20"/>
              </w:rPr>
              <w:t>C</w:t>
            </w:r>
            <w:r>
              <w:rPr>
                <w:sz w:val="20"/>
                <w:szCs w:val="20"/>
              </w:rPr>
              <w:t>.</w:t>
            </w:r>
            <w:r w:rsidRPr="001A57C9">
              <w:rPr>
                <w:sz w:val="20"/>
                <w:szCs w:val="20"/>
              </w:rPr>
              <w:t>) (Civil) (By Leave)</w:t>
            </w:r>
          </w:p>
          <w:p w:rsidR="001A57C9" w:rsidRPr="001A57C9" w:rsidRDefault="001A57C9" w:rsidP="001A57C9">
            <w:pPr>
              <w:rPr>
                <w:sz w:val="20"/>
                <w:szCs w:val="20"/>
              </w:rPr>
            </w:pPr>
          </w:p>
        </w:tc>
      </w:tr>
      <w:tr w:rsidR="001A57C9" w:rsidRPr="001A57C9" w:rsidTr="001A57C9">
        <w:trPr>
          <w:cantSplit/>
        </w:trPr>
        <w:tc>
          <w:tcPr>
            <w:tcW w:w="1458" w:type="dxa"/>
          </w:tcPr>
          <w:p w:rsidR="001A57C9" w:rsidRPr="001A57C9" w:rsidRDefault="001A57C9" w:rsidP="001A57C9">
            <w:pPr>
              <w:rPr>
                <w:sz w:val="20"/>
                <w:szCs w:val="20"/>
              </w:rPr>
            </w:pPr>
            <w:r w:rsidRPr="001A57C9">
              <w:rPr>
                <w:sz w:val="20"/>
                <w:szCs w:val="20"/>
              </w:rPr>
              <w:t>Coram :</w:t>
            </w:r>
          </w:p>
        </w:tc>
        <w:tc>
          <w:tcPr>
            <w:tcW w:w="8118" w:type="dxa"/>
          </w:tcPr>
          <w:p w:rsidR="001A57C9" w:rsidRPr="001A57C9" w:rsidRDefault="001A57C9" w:rsidP="001A57C9">
            <w:pPr>
              <w:rPr>
                <w:sz w:val="20"/>
                <w:szCs w:val="20"/>
              </w:rPr>
            </w:pPr>
            <w:proofErr w:type="spellStart"/>
            <w:r w:rsidRPr="001A57C9">
              <w:rPr>
                <w:rStyle w:val="SCCCoramChar"/>
                <w:sz w:val="20"/>
                <w:szCs w:val="20"/>
                <w:lang w:val="en-CA"/>
              </w:rPr>
              <w:t>Binnie</w:t>
            </w:r>
            <w:proofErr w:type="spellEnd"/>
            <w:r w:rsidRPr="001A57C9">
              <w:rPr>
                <w:rStyle w:val="SCCCoramChar"/>
                <w:sz w:val="20"/>
                <w:szCs w:val="20"/>
                <w:lang w:val="en-CA"/>
              </w:rPr>
              <w:t>, Fish and Rothstein JJ.</w:t>
            </w:r>
          </w:p>
          <w:p w:rsidR="001A57C9" w:rsidRPr="001A57C9" w:rsidRDefault="001A57C9" w:rsidP="001A57C9">
            <w:pPr>
              <w:rPr>
                <w:sz w:val="20"/>
                <w:szCs w:val="20"/>
                <w:u w:val="single"/>
              </w:rPr>
            </w:pPr>
          </w:p>
        </w:tc>
      </w:tr>
      <w:tr w:rsidR="001A57C9" w:rsidRPr="001C2F5E" w:rsidTr="001A57C9">
        <w:trPr>
          <w:cantSplit/>
        </w:trPr>
        <w:tc>
          <w:tcPr>
            <w:tcW w:w="9576" w:type="dxa"/>
            <w:gridSpan w:val="2"/>
          </w:tcPr>
          <w:p w:rsidR="001A57C9" w:rsidRPr="001A57C9" w:rsidRDefault="001A57C9" w:rsidP="001A57C9">
            <w:pPr>
              <w:pStyle w:val="SCCShortJudgment"/>
              <w:rPr>
                <w:szCs w:val="20"/>
              </w:rPr>
            </w:pPr>
            <w:r w:rsidRPr="001A57C9">
              <w:rPr>
                <w:szCs w:val="20"/>
              </w:rPr>
              <w:t>The application for leave to appeal from the judgment of the Federal Court of Appeal, Number A-250-09, 2010 FCA 127, dated May 21, 2010, is granted with costs in the cause.</w:t>
            </w:r>
          </w:p>
          <w:p w:rsidR="001A57C9" w:rsidRPr="001A57C9" w:rsidRDefault="001A57C9" w:rsidP="001A57C9">
            <w:pPr>
              <w:pStyle w:val="SCCShortJudgment"/>
              <w:ind w:firstLine="0"/>
              <w:rPr>
                <w:szCs w:val="20"/>
              </w:rPr>
            </w:pPr>
          </w:p>
          <w:p w:rsidR="001A57C9" w:rsidRPr="001A57C9" w:rsidRDefault="001A57C9" w:rsidP="001A57C9">
            <w:pPr>
              <w:pStyle w:val="SCCShortJudgment"/>
              <w:rPr>
                <w:szCs w:val="20"/>
                <w:lang w:val="fr-CA"/>
              </w:rPr>
            </w:pPr>
            <w:r w:rsidRPr="001A57C9">
              <w:rPr>
                <w:szCs w:val="20"/>
                <w:lang w:val="fr-CA"/>
              </w:rPr>
              <w:t>La demande d’autorisation d’appel de l’arrêt de la Cour d’appel fédérale, numéro A-250-09, 2010 CAF 127, daté du 21 mai 2010, est accordée avec dépens suivant l’issue de la cause.</w:t>
            </w:r>
          </w:p>
          <w:p w:rsidR="001A57C9" w:rsidRPr="001A57C9" w:rsidRDefault="001A57C9" w:rsidP="001A57C9">
            <w:pPr>
              <w:rPr>
                <w:sz w:val="20"/>
                <w:szCs w:val="20"/>
                <w:lang w:val="fr-CA"/>
              </w:rPr>
            </w:pPr>
          </w:p>
        </w:tc>
      </w:tr>
    </w:tbl>
    <w:p w:rsidR="00E32432" w:rsidRPr="007F53EF" w:rsidRDefault="00E32432" w:rsidP="00E32432">
      <w:pPr>
        <w:rPr>
          <w:sz w:val="20"/>
          <w:szCs w:val="20"/>
          <w:u w:val="single"/>
        </w:rPr>
      </w:pPr>
      <w:r w:rsidRPr="007F53EF">
        <w:rPr>
          <w:sz w:val="20"/>
          <w:szCs w:val="20"/>
          <w:u w:val="single"/>
        </w:rPr>
        <w:t>CASE SUMMARY</w:t>
      </w:r>
    </w:p>
    <w:p w:rsidR="00E32432" w:rsidRDefault="00E32432" w:rsidP="00E3243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16AD0" w:rsidRPr="008F342D" w:rsidTr="00716AD0">
        <w:tc>
          <w:tcPr>
            <w:tcW w:w="5000" w:type="pct"/>
            <w:gridSpan w:val="3"/>
          </w:tcPr>
          <w:p w:rsidR="00716AD0" w:rsidRDefault="00716AD0" w:rsidP="00716AD0">
            <w:pPr>
              <w:jc w:val="both"/>
              <w:rPr>
                <w:rFonts w:eastAsia="Calibri"/>
                <w:sz w:val="20"/>
              </w:rPr>
            </w:pPr>
            <w:r w:rsidRPr="008F342D">
              <w:rPr>
                <w:rFonts w:eastAsia="Calibri"/>
                <w:sz w:val="20"/>
              </w:rPr>
              <w:t xml:space="preserve">Taxation – Goods and services tax – Whether the Applicant was entitled to an input tax credit for GST paid in relation to the construction of a municipal transit system - Whether the Federal Court of Appeal erred in concluding that the Applicant could not claim an input tax credit because the construction was a statutory obligation and an exempt supply - In determining if a grant or subsidy is consideration for a supply, and thus potentially subject to GST, must one always consider, interpret and apply the statutory definitions of “supply”, “service”, “consideration”, “recipient” and “business” and the existing GST jurisprudence, or are those considerations unnecessary where the person receiving the grant does not have an obligation under the grant funding agreement to provide a good or service to the grantor - Whether the Court has adopted an unduly restrictive interpretation of the statutory definition of “supply” in establishing the principle that a person providing a good or service to another must have an obligation to do so in order for a supply to occur - </w:t>
            </w:r>
            <w:r w:rsidRPr="008F342D">
              <w:rPr>
                <w:rFonts w:eastAsia="Calibri"/>
                <w:i/>
                <w:sz w:val="20"/>
              </w:rPr>
              <w:t>Excise Tax Act</w:t>
            </w:r>
            <w:r w:rsidRPr="008F342D">
              <w:rPr>
                <w:rFonts w:eastAsia="Calibri"/>
                <w:sz w:val="20"/>
              </w:rPr>
              <w:t>, R.S.C. 1985, c. E-15 (the “</w:t>
            </w:r>
            <w:r w:rsidRPr="008F342D">
              <w:rPr>
                <w:rFonts w:eastAsia="Calibri"/>
                <w:i/>
                <w:sz w:val="20"/>
              </w:rPr>
              <w:t>Act</w:t>
            </w:r>
            <w:r w:rsidRPr="008F342D">
              <w:rPr>
                <w:rFonts w:eastAsia="Calibri"/>
                <w:sz w:val="20"/>
              </w:rPr>
              <w:t xml:space="preserve">”) - </w:t>
            </w:r>
            <w:r w:rsidRPr="008F342D">
              <w:rPr>
                <w:rFonts w:eastAsia="Calibri"/>
                <w:i/>
                <w:sz w:val="20"/>
              </w:rPr>
              <w:t>City Transportation Act,</w:t>
            </w:r>
            <w:r w:rsidRPr="008F342D">
              <w:rPr>
                <w:rFonts w:eastAsia="Calibri"/>
                <w:sz w:val="20"/>
              </w:rPr>
              <w:t xml:space="preserve"> R.S.A. 2000, c. C-14 (the “</w:t>
            </w:r>
            <w:r w:rsidRPr="008F342D">
              <w:rPr>
                <w:rFonts w:eastAsia="Calibri"/>
                <w:i/>
                <w:sz w:val="20"/>
              </w:rPr>
              <w:t>CTA</w:t>
            </w:r>
            <w:r w:rsidRPr="008F342D">
              <w:rPr>
                <w:rFonts w:eastAsia="Calibri"/>
                <w:sz w:val="20"/>
              </w:rPr>
              <w:t>”).</w:t>
            </w:r>
          </w:p>
          <w:p w:rsidR="00716AD0" w:rsidRPr="008F342D" w:rsidRDefault="00716AD0" w:rsidP="00716AD0">
            <w:pPr>
              <w:jc w:val="both"/>
              <w:rPr>
                <w:rFonts w:eastAsia="Calibri"/>
                <w:sz w:val="20"/>
              </w:rPr>
            </w:pPr>
          </w:p>
        </w:tc>
      </w:tr>
      <w:tr w:rsidR="00716AD0" w:rsidRPr="008F342D" w:rsidTr="00716AD0">
        <w:tc>
          <w:tcPr>
            <w:tcW w:w="5000" w:type="pct"/>
            <w:gridSpan w:val="3"/>
          </w:tcPr>
          <w:p w:rsidR="00716AD0" w:rsidRPr="008F342D" w:rsidRDefault="00716AD0" w:rsidP="00716AD0">
            <w:pPr>
              <w:jc w:val="both"/>
              <w:rPr>
                <w:rFonts w:eastAsia="Calibri"/>
                <w:sz w:val="20"/>
              </w:rPr>
            </w:pPr>
            <w:r w:rsidRPr="008F342D">
              <w:rPr>
                <w:rFonts w:eastAsia="Calibri"/>
                <w:sz w:val="20"/>
              </w:rPr>
              <w:t xml:space="preserve">The Applicant constructed a municipal transit system for the use of the residents of Calgary pursuant to the </w:t>
            </w:r>
            <w:r w:rsidRPr="008F342D">
              <w:rPr>
                <w:rFonts w:eastAsia="Calibri"/>
                <w:i/>
                <w:sz w:val="20"/>
              </w:rPr>
              <w:t>CTA</w:t>
            </w:r>
            <w:r w:rsidRPr="008F342D">
              <w:rPr>
                <w:rFonts w:eastAsia="Calibri"/>
                <w:sz w:val="20"/>
              </w:rPr>
              <w:t xml:space="preserve">. The Province of Alberta (the “Province”) entered into funding agreements (the “Agreements”) with the Applicant. The Applicant paid GST on purchases made for the construction of the transit system, and later claimed input tax credits in respect thereof. Under the terms of the </w:t>
            </w:r>
            <w:r w:rsidRPr="008F342D">
              <w:rPr>
                <w:rFonts w:eastAsia="Calibri"/>
                <w:i/>
                <w:sz w:val="20"/>
              </w:rPr>
              <w:t>Act</w:t>
            </w:r>
            <w:r w:rsidRPr="008F342D">
              <w:rPr>
                <w:rFonts w:eastAsia="Calibri"/>
                <w:sz w:val="20"/>
              </w:rPr>
              <w:t>, the provision of a municipal transit service is an exempt supply, which does not entitle the supplier to input tax credits in respect of purchases made in providing the exempt supply. The Applicant took the position that the construction of the transit system was a separate supply to the Province pursuant to contractual obligations under the Agreements, for which the Province paid consideration. The Minister of National Revenue rejected the Applicant’s position in the assessment. The Applicant appealed that decision.</w:t>
            </w:r>
          </w:p>
          <w:p w:rsidR="00716AD0" w:rsidRPr="008F342D" w:rsidRDefault="00716AD0" w:rsidP="00716AD0">
            <w:pPr>
              <w:jc w:val="both"/>
              <w:rPr>
                <w:rFonts w:eastAsia="Calibri"/>
                <w:sz w:val="20"/>
              </w:rPr>
            </w:pPr>
          </w:p>
        </w:tc>
      </w:tr>
      <w:tr w:rsidR="00716AD0" w:rsidRPr="008F342D" w:rsidTr="00716AD0">
        <w:tc>
          <w:tcPr>
            <w:tcW w:w="2427" w:type="pct"/>
          </w:tcPr>
          <w:p w:rsidR="00716AD0" w:rsidRPr="008F342D" w:rsidRDefault="00716AD0" w:rsidP="00716AD0">
            <w:pPr>
              <w:jc w:val="both"/>
              <w:rPr>
                <w:rFonts w:eastAsia="Calibri"/>
                <w:sz w:val="20"/>
              </w:rPr>
            </w:pPr>
            <w:r w:rsidRPr="008F342D">
              <w:rPr>
                <w:rFonts w:eastAsia="Calibri"/>
                <w:sz w:val="20"/>
              </w:rPr>
              <w:t>November 27, 2008</w:t>
            </w:r>
          </w:p>
          <w:p w:rsidR="00716AD0" w:rsidRPr="008F342D" w:rsidRDefault="00716AD0" w:rsidP="00716AD0">
            <w:pPr>
              <w:jc w:val="both"/>
              <w:rPr>
                <w:rFonts w:eastAsia="Calibri"/>
                <w:sz w:val="20"/>
              </w:rPr>
            </w:pPr>
            <w:r w:rsidRPr="008F342D">
              <w:rPr>
                <w:rFonts w:eastAsia="Calibri"/>
                <w:sz w:val="20"/>
              </w:rPr>
              <w:t>Tax Court of Canada</w:t>
            </w:r>
          </w:p>
          <w:p w:rsidR="00716AD0" w:rsidRPr="008F342D" w:rsidRDefault="00716AD0" w:rsidP="00716AD0">
            <w:pPr>
              <w:jc w:val="both"/>
              <w:rPr>
                <w:rFonts w:eastAsia="Calibri"/>
                <w:sz w:val="20"/>
              </w:rPr>
            </w:pPr>
            <w:r w:rsidRPr="008F342D">
              <w:rPr>
                <w:rFonts w:eastAsia="Calibri"/>
                <w:sz w:val="20"/>
              </w:rPr>
              <w:t>(</w:t>
            </w:r>
            <w:proofErr w:type="spellStart"/>
            <w:r w:rsidRPr="008F342D">
              <w:rPr>
                <w:rFonts w:eastAsia="Calibri"/>
                <w:sz w:val="20"/>
              </w:rPr>
              <w:t>Rossiter</w:t>
            </w:r>
            <w:proofErr w:type="spellEnd"/>
            <w:r w:rsidRPr="008F342D">
              <w:rPr>
                <w:rFonts w:eastAsia="Calibri"/>
                <w:sz w:val="20"/>
              </w:rPr>
              <w:t xml:space="preserve"> A.C.J.)</w:t>
            </w:r>
          </w:p>
          <w:p w:rsidR="00716AD0" w:rsidRPr="008F342D" w:rsidRDefault="00716AD0" w:rsidP="00716AD0">
            <w:pPr>
              <w:jc w:val="both"/>
              <w:rPr>
                <w:rFonts w:eastAsia="Calibri"/>
                <w:sz w:val="20"/>
              </w:rPr>
            </w:pPr>
            <w:r w:rsidRPr="008F342D">
              <w:rPr>
                <w:rFonts w:eastAsia="Calibri"/>
                <w:sz w:val="20"/>
              </w:rPr>
              <w:t>2009 TCC 272</w:t>
            </w:r>
          </w:p>
        </w:tc>
        <w:tc>
          <w:tcPr>
            <w:tcW w:w="243" w:type="pct"/>
          </w:tcPr>
          <w:p w:rsidR="00716AD0" w:rsidRDefault="00716AD0" w:rsidP="00716AD0">
            <w:pPr>
              <w:jc w:val="both"/>
              <w:rPr>
                <w:rFonts w:eastAsia="Calibri"/>
                <w:sz w:val="20"/>
              </w:rPr>
            </w:pPr>
          </w:p>
          <w:p w:rsidR="00716AD0" w:rsidRDefault="00716AD0" w:rsidP="00716AD0">
            <w:pPr>
              <w:jc w:val="both"/>
              <w:rPr>
                <w:rFonts w:eastAsia="Calibri"/>
                <w:sz w:val="20"/>
              </w:rPr>
            </w:pPr>
          </w:p>
          <w:p w:rsidR="00716AD0" w:rsidRDefault="00716AD0" w:rsidP="00716AD0">
            <w:pPr>
              <w:jc w:val="both"/>
              <w:rPr>
                <w:rFonts w:eastAsia="Calibri"/>
                <w:sz w:val="20"/>
              </w:rPr>
            </w:pPr>
          </w:p>
          <w:p w:rsidR="00716AD0" w:rsidRDefault="00716AD0" w:rsidP="00716AD0">
            <w:pPr>
              <w:jc w:val="both"/>
              <w:rPr>
                <w:rFonts w:eastAsia="Calibri"/>
                <w:sz w:val="20"/>
              </w:rPr>
            </w:pPr>
          </w:p>
          <w:p w:rsidR="00716AD0" w:rsidRPr="008F342D" w:rsidRDefault="00716AD0" w:rsidP="00716AD0">
            <w:pPr>
              <w:jc w:val="both"/>
              <w:rPr>
                <w:rFonts w:eastAsia="Calibri"/>
                <w:sz w:val="20"/>
              </w:rPr>
            </w:pPr>
          </w:p>
        </w:tc>
        <w:tc>
          <w:tcPr>
            <w:tcW w:w="2330" w:type="pct"/>
          </w:tcPr>
          <w:p w:rsidR="00716AD0" w:rsidRPr="008F342D" w:rsidRDefault="00716AD0" w:rsidP="00716AD0">
            <w:pPr>
              <w:jc w:val="both"/>
              <w:rPr>
                <w:rFonts w:eastAsia="Calibri"/>
                <w:sz w:val="20"/>
              </w:rPr>
            </w:pPr>
            <w:r w:rsidRPr="008F342D">
              <w:rPr>
                <w:rFonts w:eastAsia="Calibri"/>
                <w:sz w:val="20"/>
              </w:rPr>
              <w:t>Appeal allowed, matter referred back to the Minister for reconsideration</w:t>
            </w:r>
          </w:p>
        </w:tc>
      </w:tr>
      <w:tr w:rsidR="00716AD0" w:rsidRPr="008F342D" w:rsidTr="00716AD0">
        <w:tc>
          <w:tcPr>
            <w:tcW w:w="2427" w:type="pct"/>
          </w:tcPr>
          <w:p w:rsidR="00716AD0" w:rsidRPr="008F342D" w:rsidRDefault="00716AD0" w:rsidP="00716AD0">
            <w:pPr>
              <w:jc w:val="both"/>
              <w:rPr>
                <w:rFonts w:eastAsia="Calibri"/>
                <w:sz w:val="20"/>
              </w:rPr>
            </w:pPr>
            <w:r w:rsidRPr="008F342D">
              <w:rPr>
                <w:rFonts w:eastAsia="Calibri"/>
                <w:sz w:val="20"/>
              </w:rPr>
              <w:t>May 21, 2010</w:t>
            </w:r>
          </w:p>
          <w:p w:rsidR="00716AD0" w:rsidRPr="008F342D" w:rsidRDefault="00716AD0" w:rsidP="00716AD0">
            <w:pPr>
              <w:jc w:val="both"/>
              <w:rPr>
                <w:rFonts w:eastAsia="Calibri"/>
                <w:sz w:val="20"/>
              </w:rPr>
            </w:pPr>
            <w:r w:rsidRPr="008F342D">
              <w:rPr>
                <w:rFonts w:eastAsia="Calibri"/>
                <w:sz w:val="20"/>
              </w:rPr>
              <w:t>Federal Court of Appeal</w:t>
            </w:r>
          </w:p>
          <w:p w:rsidR="00716AD0" w:rsidRPr="008F342D" w:rsidRDefault="00716AD0" w:rsidP="00716AD0">
            <w:pPr>
              <w:jc w:val="both"/>
              <w:rPr>
                <w:rFonts w:eastAsia="Calibri"/>
                <w:sz w:val="20"/>
              </w:rPr>
            </w:pPr>
            <w:r w:rsidRPr="008F342D">
              <w:rPr>
                <w:rFonts w:eastAsia="Calibri"/>
                <w:sz w:val="20"/>
              </w:rPr>
              <w:t>(</w:t>
            </w:r>
            <w:proofErr w:type="spellStart"/>
            <w:r w:rsidRPr="008F342D">
              <w:rPr>
                <w:rFonts w:eastAsia="Calibri"/>
                <w:sz w:val="20"/>
              </w:rPr>
              <w:t>Blais</w:t>
            </w:r>
            <w:proofErr w:type="spellEnd"/>
            <w:r w:rsidRPr="008F342D">
              <w:rPr>
                <w:rFonts w:eastAsia="Calibri"/>
                <w:sz w:val="20"/>
              </w:rPr>
              <w:t xml:space="preserve">, </w:t>
            </w:r>
            <w:proofErr w:type="spellStart"/>
            <w:r w:rsidRPr="008F342D">
              <w:rPr>
                <w:rFonts w:eastAsia="Calibri"/>
                <w:sz w:val="20"/>
              </w:rPr>
              <w:t>Sharlow</w:t>
            </w:r>
            <w:proofErr w:type="spellEnd"/>
            <w:r w:rsidRPr="008F342D">
              <w:rPr>
                <w:rFonts w:eastAsia="Calibri"/>
                <w:sz w:val="20"/>
              </w:rPr>
              <w:t xml:space="preserve"> and Pelletier JJ.A.)</w:t>
            </w:r>
          </w:p>
          <w:p w:rsidR="00716AD0" w:rsidRPr="008F342D" w:rsidRDefault="00716AD0" w:rsidP="00716AD0">
            <w:pPr>
              <w:jc w:val="both"/>
              <w:rPr>
                <w:rFonts w:eastAsia="Calibri"/>
                <w:sz w:val="20"/>
              </w:rPr>
            </w:pPr>
            <w:r w:rsidRPr="008F342D">
              <w:rPr>
                <w:rFonts w:eastAsia="Calibri"/>
                <w:sz w:val="20"/>
              </w:rPr>
              <w:t>2010 FCA 127; A-250-09</w:t>
            </w:r>
          </w:p>
        </w:tc>
        <w:tc>
          <w:tcPr>
            <w:tcW w:w="243" w:type="pct"/>
          </w:tcPr>
          <w:p w:rsidR="00716AD0" w:rsidRDefault="00716AD0" w:rsidP="00716AD0">
            <w:pPr>
              <w:jc w:val="both"/>
              <w:rPr>
                <w:rFonts w:eastAsia="Calibri"/>
                <w:sz w:val="20"/>
              </w:rPr>
            </w:pPr>
          </w:p>
          <w:p w:rsidR="00716AD0" w:rsidRDefault="00716AD0" w:rsidP="00716AD0">
            <w:pPr>
              <w:jc w:val="both"/>
              <w:rPr>
                <w:rFonts w:eastAsia="Calibri"/>
                <w:sz w:val="20"/>
              </w:rPr>
            </w:pPr>
          </w:p>
          <w:p w:rsidR="00716AD0" w:rsidRDefault="00716AD0" w:rsidP="00716AD0">
            <w:pPr>
              <w:jc w:val="both"/>
              <w:rPr>
                <w:rFonts w:eastAsia="Calibri"/>
                <w:sz w:val="20"/>
              </w:rPr>
            </w:pPr>
          </w:p>
          <w:p w:rsidR="00716AD0" w:rsidRDefault="00716AD0" w:rsidP="00716AD0">
            <w:pPr>
              <w:jc w:val="both"/>
              <w:rPr>
                <w:rFonts w:eastAsia="Calibri"/>
                <w:sz w:val="20"/>
              </w:rPr>
            </w:pPr>
          </w:p>
          <w:p w:rsidR="00716AD0" w:rsidRPr="008F342D" w:rsidRDefault="00716AD0" w:rsidP="00716AD0">
            <w:pPr>
              <w:jc w:val="both"/>
              <w:rPr>
                <w:rFonts w:eastAsia="Calibri"/>
                <w:sz w:val="20"/>
              </w:rPr>
            </w:pPr>
          </w:p>
        </w:tc>
        <w:tc>
          <w:tcPr>
            <w:tcW w:w="2330" w:type="pct"/>
          </w:tcPr>
          <w:p w:rsidR="00716AD0" w:rsidRPr="008F342D" w:rsidRDefault="00716AD0" w:rsidP="00716AD0">
            <w:pPr>
              <w:jc w:val="both"/>
              <w:rPr>
                <w:rFonts w:eastAsia="Calibri"/>
                <w:sz w:val="20"/>
              </w:rPr>
            </w:pPr>
            <w:r w:rsidRPr="008F342D">
              <w:rPr>
                <w:rFonts w:eastAsia="Calibri"/>
                <w:sz w:val="20"/>
              </w:rPr>
              <w:t xml:space="preserve">Appeal allowed, judgment of the Tax Court set aside and Minister’s assessment confirmed </w:t>
            </w:r>
          </w:p>
        </w:tc>
      </w:tr>
    </w:tbl>
    <w:p w:rsidR="00D53465" w:rsidRDefault="00D53465"/>
    <w:p w:rsidR="00D53465" w:rsidRDefault="00D53465">
      <w:r>
        <w:br w:type="page"/>
      </w:r>
    </w:p>
    <w:tbl>
      <w:tblPr>
        <w:tblW w:w="4952" w:type="pct"/>
        <w:tblLayout w:type="fixed"/>
        <w:tblCellMar>
          <w:left w:w="0" w:type="dxa"/>
          <w:bottom w:w="99" w:type="dxa"/>
          <w:right w:w="0" w:type="dxa"/>
        </w:tblCellMar>
        <w:tblLook w:val="04A0"/>
      </w:tblPr>
      <w:tblGrid>
        <w:gridCol w:w="4624"/>
        <w:gridCol w:w="463"/>
        <w:gridCol w:w="4440"/>
      </w:tblGrid>
      <w:tr w:rsidR="00716AD0" w:rsidRPr="008F342D" w:rsidTr="00716AD0">
        <w:tc>
          <w:tcPr>
            <w:tcW w:w="2427" w:type="pct"/>
          </w:tcPr>
          <w:p w:rsidR="00716AD0" w:rsidRPr="008F342D" w:rsidRDefault="00716AD0" w:rsidP="00716AD0">
            <w:pPr>
              <w:jc w:val="both"/>
              <w:rPr>
                <w:rFonts w:eastAsia="Calibri"/>
                <w:sz w:val="20"/>
              </w:rPr>
            </w:pPr>
            <w:r w:rsidRPr="008F342D">
              <w:rPr>
                <w:rFonts w:eastAsia="Calibri"/>
                <w:sz w:val="20"/>
              </w:rPr>
              <w:lastRenderedPageBreak/>
              <w:t>August 19, 2010</w:t>
            </w:r>
          </w:p>
          <w:p w:rsidR="00716AD0" w:rsidRPr="008F342D" w:rsidRDefault="00716AD0" w:rsidP="00716AD0">
            <w:pPr>
              <w:jc w:val="both"/>
              <w:rPr>
                <w:rFonts w:eastAsia="Calibri"/>
                <w:sz w:val="20"/>
              </w:rPr>
            </w:pPr>
            <w:r w:rsidRPr="008F342D">
              <w:rPr>
                <w:rFonts w:eastAsia="Calibri"/>
                <w:sz w:val="20"/>
              </w:rPr>
              <w:t>Supreme Court of Canada</w:t>
            </w:r>
          </w:p>
        </w:tc>
        <w:tc>
          <w:tcPr>
            <w:tcW w:w="243" w:type="pct"/>
          </w:tcPr>
          <w:p w:rsidR="00716AD0" w:rsidRPr="008F342D" w:rsidRDefault="00716AD0" w:rsidP="00716AD0">
            <w:pPr>
              <w:jc w:val="both"/>
              <w:rPr>
                <w:rFonts w:eastAsia="Calibri"/>
                <w:sz w:val="20"/>
              </w:rPr>
            </w:pPr>
          </w:p>
        </w:tc>
        <w:tc>
          <w:tcPr>
            <w:tcW w:w="2330" w:type="pct"/>
          </w:tcPr>
          <w:p w:rsidR="00716AD0" w:rsidRPr="008F342D" w:rsidRDefault="00716AD0" w:rsidP="00716AD0">
            <w:pPr>
              <w:jc w:val="both"/>
              <w:rPr>
                <w:rFonts w:eastAsia="Calibri"/>
                <w:sz w:val="20"/>
              </w:rPr>
            </w:pPr>
            <w:r w:rsidRPr="008F342D">
              <w:rPr>
                <w:rFonts w:eastAsia="Calibri"/>
                <w:sz w:val="20"/>
              </w:rPr>
              <w:t>Application for leave to appeal filed</w:t>
            </w:r>
          </w:p>
        </w:tc>
      </w:tr>
    </w:tbl>
    <w:p w:rsidR="00E32432" w:rsidRDefault="00E32432" w:rsidP="00E32432">
      <w:pPr>
        <w:rPr>
          <w:sz w:val="20"/>
          <w:szCs w:val="20"/>
        </w:rPr>
      </w:pPr>
    </w:p>
    <w:p w:rsidR="00E32432" w:rsidRPr="007F53EF" w:rsidRDefault="00857426" w:rsidP="00E32432">
      <w:pPr>
        <w:rPr>
          <w:sz w:val="20"/>
          <w:szCs w:val="20"/>
        </w:rPr>
      </w:pPr>
      <w:r w:rsidRPr="00857426">
        <w:rPr>
          <w:sz w:val="20"/>
          <w:szCs w:val="20"/>
          <w:lang w:val="fr-CA"/>
        </w:rPr>
        <w:pict>
          <v:rect id="_x0000_i1060" style="width:2in;height:1pt" o:hrpct="0" o:hralign="center" o:hrstd="t" o:hrnoshade="t" o:hr="t" fillcolor="black [3213]" stroked="f"/>
        </w:pict>
      </w:r>
    </w:p>
    <w:p w:rsidR="00E32432" w:rsidRDefault="00E32432" w:rsidP="00E32432">
      <w:pPr>
        <w:rPr>
          <w:sz w:val="20"/>
          <w:szCs w:val="20"/>
        </w:rPr>
      </w:pPr>
    </w:p>
    <w:p w:rsidR="00E32432" w:rsidRPr="007F53EF" w:rsidRDefault="00E32432" w:rsidP="00E32432">
      <w:pPr>
        <w:jc w:val="both"/>
        <w:rPr>
          <w:sz w:val="20"/>
          <w:szCs w:val="20"/>
        </w:rPr>
      </w:pPr>
      <w:r>
        <w:rPr>
          <w:sz w:val="20"/>
          <w:szCs w:val="20"/>
          <w:u w:val="single"/>
        </w:rPr>
        <w:t>RÉSUMÉ DE L’AFFAIRE</w:t>
      </w:r>
    </w:p>
    <w:p w:rsidR="00E32432" w:rsidRDefault="00E32432" w:rsidP="00E32432">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716AD0" w:rsidRPr="001C2F5E" w:rsidTr="00716AD0">
        <w:tc>
          <w:tcPr>
            <w:tcW w:w="5000" w:type="pct"/>
            <w:gridSpan w:val="3"/>
          </w:tcPr>
          <w:p w:rsidR="00716AD0" w:rsidRDefault="00716AD0" w:rsidP="00716AD0">
            <w:pPr>
              <w:jc w:val="both"/>
              <w:rPr>
                <w:rFonts w:eastAsia="Calibri"/>
                <w:sz w:val="20"/>
                <w:lang w:val="fr-CA"/>
              </w:rPr>
            </w:pPr>
            <w:r w:rsidRPr="008F342D">
              <w:rPr>
                <w:rFonts w:eastAsia="Calibri"/>
                <w:sz w:val="20"/>
                <w:lang w:val="fr-CA"/>
              </w:rPr>
              <w:t xml:space="preserve">Droit fiscal – Taxe sur les produits et services – La demanderesse avait-elle droit à un crédit de taxe sur les intrants à l’égard de la TPS payée en rapport avec la construction d’un réseau de transport municipal? – La Cour d’appel </w:t>
            </w:r>
            <w:proofErr w:type="gramStart"/>
            <w:r w:rsidRPr="008F342D">
              <w:rPr>
                <w:rFonts w:eastAsia="Calibri"/>
                <w:sz w:val="20"/>
                <w:lang w:val="fr-CA"/>
              </w:rPr>
              <w:t>fédérale</w:t>
            </w:r>
            <w:proofErr w:type="gramEnd"/>
            <w:r w:rsidRPr="008F342D">
              <w:rPr>
                <w:rFonts w:eastAsia="Calibri"/>
                <w:sz w:val="20"/>
                <w:lang w:val="fr-CA"/>
              </w:rPr>
              <w:t xml:space="preserve"> a-t-elle eu tort de conclure que la demanderesse ne pouvait pas demander un crédit de taxe sur les intrants parce que la construction était une obligation d’origine législative et une fourniture exonérée? – En statuant sur la question de savoir si une subvention est une contrepartie à l’égard d’une fourniture, et donc susceptible d’être assujettie à la TPS, doit-on toujours considérer, interpréter et appliquer les définitions  des termes « fourniture », « service », « contrepartie », « acquéreur » et « entreprise » prévues dans la loi et la jurisprudence actuelle en matière de TPS, ou bien est-ce que ces considérations sont inutiles lorsque la personne qui reçoit la subvention n’a aucune obligation, au titre de l’accord de financement par subvention, de fournir un produit ou service au </w:t>
            </w:r>
            <w:proofErr w:type="spellStart"/>
            <w:r w:rsidRPr="008F342D">
              <w:rPr>
                <w:rFonts w:eastAsia="Calibri"/>
                <w:sz w:val="20"/>
                <w:lang w:val="fr-CA"/>
              </w:rPr>
              <w:t>subventionneur</w:t>
            </w:r>
            <w:proofErr w:type="spellEnd"/>
            <w:r w:rsidRPr="008F342D">
              <w:rPr>
                <w:rFonts w:eastAsia="Calibri"/>
                <w:sz w:val="20"/>
                <w:lang w:val="fr-CA"/>
              </w:rPr>
              <w:t xml:space="preserve">? – La Cour a-t-elle adopté une interprétation indûment restrictive du terme « fourniture » prévu dans la loi en établissant le principe selon lequel une personne qui fournit un produit ou service à quelqu’un doit avoir l’obligation de le faire pour qu’il y ait fourniture? – </w:t>
            </w:r>
            <w:r w:rsidRPr="008F342D">
              <w:rPr>
                <w:rFonts w:eastAsia="Calibri"/>
                <w:i/>
                <w:iCs/>
                <w:sz w:val="20"/>
                <w:lang w:val="fr-CA"/>
              </w:rPr>
              <w:t>Loi sur la taxe d’accise</w:t>
            </w:r>
            <w:r w:rsidRPr="008F342D">
              <w:rPr>
                <w:rFonts w:eastAsia="Calibri"/>
                <w:sz w:val="20"/>
                <w:lang w:val="fr-CA"/>
              </w:rPr>
              <w:t>, L.R.C. 1985, ch. E-15 (la « </w:t>
            </w:r>
            <w:r w:rsidRPr="008F342D">
              <w:rPr>
                <w:rFonts w:eastAsia="Calibri"/>
                <w:i/>
                <w:iCs/>
                <w:sz w:val="20"/>
                <w:lang w:val="fr-CA"/>
              </w:rPr>
              <w:t>Loi</w:t>
            </w:r>
            <w:r w:rsidRPr="008F342D">
              <w:rPr>
                <w:rFonts w:eastAsia="Calibri"/>
                <w:sz w:val="20"/>
                <w:lang w:val="fr-CA"/>
              </w:rPr>
              <w:t xml:space="preserve"> ») - </w:t>
            </w:r>
            <w:r w:rsidRPr="008F342D">
              <w:rPr>
                <w:rFonts w:eastAsia="Calibri"/>
                <w:i/>
                <w:iCs/>
                <w:sz w:val="20"/>
                <w:lang w:val="fr-CA"/>
              </w:rPr>
              <w:t xml:space="preserve">City Transportation </w:t>
            </w:r>
            <w:proofErr w:type="spellStart"/>
            <w:r w:rsidRPr="008F342D">
              <w:rPr>
                <w:rFonts w:eastAsia="Calibri"/>
                <w:i/>
                <w:iCs/>
                <w:sz w:val="20"/>
                <w:lang w:val="fr-CA"/>
              </w:rPr>
              <w:t>Act</w:t>
            </w:r>
            <w:proofErr w:type="spellEnd"/>
            <w:r w:rsidRPr="008F342D">
              <w:rPr>
                <w:rFonts w:eastAsia="Calibri"/>
                <w:i/>
                <w:iCs/>
                <w:sz w:val="20"/>
                <w:lang w:val="fr-CA"/>
              </w:rPr>
              <w:t>,</w:t>
            </w:r>
            <w:r w:rsidRPr="008F342D">
              <w:rPr>
                <w:rFonts w:eastAsia="Calibri"/>
                <w:sz w:val="20"/>
                <w:lang w:val="fr-CA"/>
              </w:rPr>
              <w:t xml:space="preserve"> R.S.A. 2000, ch. C-14 (la « </w:t>
            </w:r>
            <w:r w:rsidRPr="008F342D">
              <w:rPr>
                <w:rFonts w:eastAsia="Calibri"/>
                <w:i/>
                <w:iCs/>
                <w:sz w:val="20"/>
                <w:lang w:val="fr-CA"/>
              </w:rPr>
              <w:t>CTA</w:t>
            </w:r>
            <w:r w:rsidRPr="008F342D">
              <w:rPr>
                <w:rFonts w:eastAsia="Calibri"/>
                <w:sz w:val="20"/>
                <w:lang w:val="fr-CA"/>
              </w:rPr>
              <w:t> »).</w:t>
            </w:r>
          </w:p>
          <w:p w:rsidR="00716AD0" w:rsidRPr="008F342D" w:rsidRDefault="00716AD0" w:rsidP="00716AD0">
            <w:pPr>
              <w:jc w:val="both"/>
              <w:rPr>
                <w:rFonts w:eastAsia="Calibri"/>
                <w:sz w:val="20"/>
                <w:lang w:val="fr-CA"/>
              </w:rPr>
            </w:pPr>
          </w:p>
        </w:tc>
      </w:tr>
      <w:tr w:rsidR="00716AD0" w:rsidRPr="008F342D" w:rsidTr="00716AD0">
        <w:tc>
          <w:tcPr>
            <w:tcW w:w="5000" w:type="pct"/>
            <w:gridSpan w:val="3"/>
          </w:tcPr>
          <w:p w:rsidR="00716AD0" w:rsidRPr="008F342D" w:rsidRDefault="00716AD0" w:rsidP="00716AD0">
            <w:pPr>
              <w:jc w:val="both"/>
              <w:rPr>
                <w:rFonts w:eastAsia="Calibri"/>
                <w:sz w:val="20"/>
                <w:lang w:val="fr-CA"/>
              </w:rPr>
            </w:pPr>
            <w:r w:rsidRPr="008F342D">
              <w:rPr>
                <w:rFonts w:eastAsia="Calibri"/>
                <w:sz w:val="20"/>
                <w:lang w:val="fr-CA"/>
              </w:rPr>
              <w:t xml:space="preserve">La demanderesse a construit un réseau de transport municipal destiné aux usagers de Calgary en vertu de la </w:t>
            </w:r>
            <w:r w:rsidRPr="008F342D">
              <w:rPr>
                <w:rFonts w:eastAsia="Calibri"/>
                <w:i/>
                <w:iCs/>
                <w:sz w:val="20"/>
                <w:lang w:val="fr-CA"/>
              </w:rPr>
              <w:t>CTA</w:t>
            </w:r>
            <w:r w:rsidRPr="008F342D">
              <w:rPr>
                <w:rFonts w:eastAsia="Calibri"/>
                <w:sz w:val="20"/>
                <w:lang w:val="fr-CA"/>
              </w:rPr>
              <w:t xml:space="preserve">. La Province d’Alberta (la « Province ») a conclu des accords de financement (les « accords ») avec la demanderesse. La demanderesse a payé la TPS à l’égard des achats faits dans le cadre de la construction du réseau de transport et a ensuite demandé des crédits de taxe sur les intrants à leur égard. En vertu de la </w:t>
            </w:r>
            <w:r w:rsidRPr="008F342D">
              <w:rPr>
                <w:rFonts w:eastAsia="Calibri"/>
                <w:i/>
                <w:iCs/>
                <w:sz w:val="20"/>
                <w:lang w:val="fr-CA"/>
              </w:rPr>
              <w:t>Loi</w:t>
            </w:r>
            <w:r w:rsidRPr="008F342D">
              <w:rPr>
                <w:rFonts w:eastAsia="Calibri"/>
                <w:sz w:val="20"/>
                <w:lang w:val="fr-CA"/>
              </w:rPr>
              <w:t>, la fourniture d’un service de transport municipal est une fourniture exonérée, qui ne permet pas au fournisseur de demander des crédits de taxe sur les intrants à l’égard des achats faits dans la fourniture de la fourniture exonérée. La demanderesse était d’avis que la construction du réseau de transport constituait une fourniture distincte à la province conformément aux obligations contractuelles en vertu des accords, à l’égard de laquelle la province a payé une contrepartie. Le ministre du Revenu national a rejeté l’argument de la demanderesse dans la cotisation. La demanderesse a interjeté appel de cette décision.</w:t>
            </w:r>
          </w:p>
          <w:p w:rsidR="00716AD0" w:rsidRPr="008F342D" w:rsidRDefault="00716AD0" w:rsidP="00716AD0">
            <w:pPr>
              <w:jc w:val="both"/>
              <w:rPr>
                <w:rFonts w:eastAsia="Calibri"/>
                <w:sz w:val="20"/>
                <w:lang w:val="fr-CA"/>
              </w:rPr>
            </w:pPr>
          </w:p>
        </w:tc>
      </w:tr>
      <w:tr w:rsidR="00716AD0" w:rsidRPr="001C2F5E" w:rsidTr="00716AD0">
        <w:tc>
          <w:tcPr>
            <w:tcW w:w="2427" w:type="pct"/>
          </w:tcPr>
          <w:p w:rsidR="00716AD0" w:rsidRPr="008F342D" w:rsidRDefault="00716AD0" w:rsidP="00716AD0">
            <w:pPr>
              <w:jc w:val="both"/>
              <w:rPr>
                <w:rFonts w:eastAsia="Calibri"/>
                <w:sz w:val="20"/>
                <w:lang w:val="fr-CA"/>
              </w:rPr>
            </w:pPr>
            <w:r w:rsidRPr="008F342D">
              <w:rPr>
                <w:rFonts w:eastAsia="Calibri"/>
                <w:sz w:val="20"/>
                <w:lang w:val="fr-CA"/>
              </w:rPr>
              <w:t>27 novembre 2008</w:t>
            </w:r>
          </w:p>
          <w:p w:rsidR="00716AD0" w:rsidRPr="008F342D" w:rsidRDefault="00716AD0" w:rsidP="00716AD0">
            <w:pPr>
              <w:jc w:val="both"/>
              <w:rPr>
                <w:rFonts w:eastAsia="Calibri"/>
                <w:sz w:val="20"/>
                <w:lang w:val="fr-CA"/>
              </w:rPr>
            </w:pPr>
            <w:r w:rsidRPr="008F342D">
              <w:rPr>
                <w:rFonts w:eastAsia="Calibri"/>
                <w:sz w:val="20"/>
                <w:lang w:val="fr-CA"/>
              </w:rPr>
              <w:t>Cour canadienne de l’impôt</w:t>
            </w:r>
          </w:p>
          <w:p w:rsidR="00716AD0" w:rsidRPr="008F342D" w:rsidRDefault="00716AD0" w:rsidP="00716AD0">
            <w:pPr>
              <w:jc w:val="both"/>
              <w:rPr>
                <w:rFonts w:eastAsia="Calibri"/>
                <w:sz w:val="20"/>
                <w:lang w:val="fr-CA"/>
              </w:rPr>
            </w:pPr>
            <w:r w:rsidRPr="008F342D">
              <w:rPr>
                <w:rFonts w:eastAsia="Calibri"/>
                <w:sz w:val="20"/>
                <w:lang w:val="fr-CA"/>
              </w:rPr>
              <w:t xml:space="preserve">(Juge en chef adjoint </w:t>
            </w:r>
            <w:proofErr w:type="spellStart"/>
            <w:r w:rsidRPr="008F342D">
              <w:rPr>
                <w:rFonts w:eastAsia="Calibri"/>
                <w:sz w:val="20"/>
                <w:lang w:val="fr-CA"/>
              </w:rPr>
              <w:t>Rossiter</w:t>
            </w:r>
            <w:proofErr w:type="spellEnd"/>
            <w:r w:rsidRPr="008F342D">
              <w:rPr>
                <w:rFonts w:eastAsia="Calibri"/>
                <w:sz w:val="20"/>
                <w:lang w:val="fr-CA"/>
              </w:rPr>
              <w:t>)</w:t>
            </w:r>
          </w:p>
          <w:p w:rsidR="00716AD0" w:rsidRPr="008F342D" w:rsidRDefault="00716AD0" w:rsidP="00716AD0">
            <w:pPr>
              <w:jc w:val="both"/>
              <w:rPr>
                <w:rFonts w:eastAsia="Calibri"/>
                <w:sz w:val="20"/>
                <w:lang w:val="fr-CA"/>
              </w:rPr>
            </w:pPr>
            <w:r w:rsidRPr="008F342D">
              <w:rPr>
                <w:rFonts w:eastAsia="Calibri"/>
                <w:sz w:val="20"/>
                <w:lang w:val="fr-CA"/>
              </w:rPr>
              <w:t>2009 TCC 272</w:t>
            </w:r>
          </w:p>
        </w:tc>
        <w:tc>
          <w:tcPr>
            <w:tcW w:w="243" w:type="pct"/>
          </w:tcPr>
          <w:p w:rsidR="00716AD0" w:rsidRDefault="00716AD0" w:rsidP="00716AD0">
            <w:pPr>
              <w:jc w:val="both"/>
              <w:rPr>
                <w:rFonts w:eastAsia="Calibri"/>
                <w:sz w:val="20"/>
                <w:lang w:val="fr-CA"/>
              </w:rPr>
            </w:pPr>
          </w:p>
          <w:p w:rsidR="00716AD0" w:rsidRDefault="00716AD0" w:rsidP="00716AD0">
            <w:pPr>
              <w:jc w:val="both"/>
              <w:rPr>
                <w:rFonts w:eastAsia="Calibri"/>
                <w:sz w:val="20"/>
                <w:lang w:val="fr-CA"/>
              </w:rPr>
            </w:pPr>
          </w:p>
          <w:p w:rsidR="00716AD0" w:rsidRDefault="00716AD0" w:rsidP="00716AD0">
            <w:pPr>
              <w:jc w:val="both"/>
              <w:rPr>
                <w:rFonts w:eastAsia="Calibri"/>
                <w:sz w:val="20"/>
                <w:lang w:val="fr-CA"/>
              </w:rPr>
            </w:pPr>
          </w:p>
          <w:p w:rsidR="00716AD0" w:rsidRDefault="00716AD0" w:rsidP="00716AD0">
            <w:pPr>
              <w:jc w:val="both"/>
              <w:rPr>
                <w:rFonts w:eastAsia="Calibri"/>
                <w:sz w:val="20"/>
                <w:lang w:val="fr-CA"/>
              </w:rPr>
            </w:pPr>
          </w:p>
          <w:p w:rsidR="00716AD0" w:rsidRPr="008F342D" w:rsidRDefault="00716AD0" w:rsidP="00716AD0">
            <w:pPr>
              <w:jc w:val="both"/>
              <w:rPr>
                <w:rFonts w:eastAsia="Calibri"/>
                <w:sz w:val="20"/>
                <w:lang w:val="fr-CA"/>
              </w:rPr>
            </w:pPr>
          </w:p>
        </w:tc>
        <w:tc>
          <w:tcPr>
            <w:tcW w:w="2330" w:type="pct"/>
          </w:tcPr>
          <w:p w:rsidR="00716AD0" w:rsidRPr="008F342D" w:rsidRDefault="00716AD0" w:rsidP="00716AD0">
            <w:pPr>
              <w:jc w:val="both"/>
              <w:rPr>
                <w:rFonts w:eastAsia="Calibri"/>
                <w:sz w:val="20"/>
                <w:lang w:val="fr-CA"/>
              </w:rPr>
            </w:pPr>
            <w:r w:rsidRPr="008F342D">
              <w:rPr>
                <w:rFonts w:eastAsia="Calibri"/>
                <w:sz w:val="20"/>
                <w:lang w:val="fr-CA"/>
              </w:rPr>
              <w:t>Appel accueilli, affaire renvoyée au ministre pour nouvel examen</w:t>
            </w:r>
          </w:p>
        </w:tc>
      </w:tr>
      <w:tr w:rsidR="00716AD0" w:rsidRPr="001C2F5E" w:rsidTr="00716AD0">
        <w:tc>
          <w:tcPr>
            <w:tcW w:w="2427" w:type="pct"/>
          </w:tcPr>
          <w:p w:rsidR="00716AD0" w:rsidRPr="008F342D" w:rsidRDefault="00716AD0" w:rsidP="00716AD0">
            <w:pPr>
              <w:jc w:val="both"/>
              <w:rPr>
                <w:rFonts w:eastAsia="Calibri"/>
                <w:sz w:val="20"/>
                <w:lang w:val="fr-CA"/>
              </w:rPr>
            </w:pPr>
            <w:r w:rsidRPr="008F342D">
              <w:rPr>
                <w:rFonts w:eastAsia="Calibri"/>
                <w:sz w:val="20"/>
                <w:lang w:val="fr-CA"/>
              </w:rPr>
              <w:t>21 mai 2010</w:t>
            </w:r>
          </w:p>
          <w:p w:rsidR="00716AD0" w:rsidRPr="008F342D" w:rsidRDefault="00716AD0" w:rsidP="00716AD0">
            <w:pPr>
              <w:jc w:val="both"/>
              <w:rPr>
                <w:rFonts w:eastAsia="Calibri"/>
                <w:sz w:val="20"/>
                <w:lang w:val="fr-CA"/>
              </w:rPr>
            </w:pPr>
            <w:r w:rsidRPr="008F342D">
              <w:rPr>
                <w:rFonts w:eastAsia="Calibri"/>
                <w:sz w:val="20"/>
                <w:lang w:val="fr-CA"/>
              </w:rPr>
              <w:t>Cour d’appel fédérale</w:t>
            </w:r>
          </w:p>
          <w:p w:rsidR="00716AD0" w:rsidRPr="008F342D" w:rsidRDefault="00716AD0" w:rsidP="00716AD0">
            <w:pPr>
              <w:jc w:val="both"/>
              <w:rPr>
                <w:rFonts w:eastAsia="Calibri"/>
                <w:sz w:val="20"/>
                <w:lang w:val="fr-CA"/>
              </w:rPr>
            </w:pPr>
            <w:r w:rsidRPr="008F342D">
              <w:rPr>
                <w:rFonts w:eastAsia="Calibri"/>
                <w:sz w:val="20"/>
                <w:lang w:val="fr-CA"/>
              </w:rPr>
              <w:t xml:space="preserve">(Juges Blais, </w:t>
            </w:r>
            <w:proofErr w:type="spellStart"/>
            <w:r w:rsidRPr="008F342D">
              <w:rPr>
                <w:rFonts w:eastAsia="Calibri"/>
                <w:sz w:val="20"/>
                <w:lang w:val="fr-CA"/>
              </w:rPr>
              <w:t>Sharlow</w:t>
            </w:r>
            <w:proofErr w:type="spellEnd"/>
            <w:r w:rsidRPr="008F342D">
              <w:rPr>
                <w:rFonts w:eastAsia="Calibri"/>
                <w:sz w:val="20"/>
                <w:lang w:val="fr-CA"/>
              </w:rPr>
              <w:t xml:space="preserve"> et Pelletier)</w:t>
            </w:r>
          </w:p>
          <w:p w:rsidR="00716AD0" w:rsidRPr="008F342D" w:rsidRDefault="00716AD0" w:rsidP="00716AD0">
            <w:pPr>
              <w:jc w:val="both"/>
              <w:rPr>
                <w:rFonts w:eastAsia="Calibri"/>
                <w:sz w:val="20"/>
                <w:lang w:val="fr-CA"/>
              </w:rPr>
            </w:pPr>
            <w:r w:rsidRPr="008F342D">
              <w:rPr>
                <w:rFonts w:eastAsia="Calibri"/>
                <w:sz w:val="20"/>
                <w:lang w:val="fr-CA"/>
              </w:rPr>
              <w:t>2010 FCA 127; A-250-09</w:t>
            </w:r>
          </w:p>
        </w:tc>
        <w:tc>
          <w:tcPr>
            <w:tcW w:w="243" w:type="pct"/>
          </w:tcPr>
          <w:p w:rsidR="00716AD0" w:rsidRDefault="00716AD0" w:rsidP="00716AD0">
            <w:pPr>
              <w:jc w:val="both"/>
              <w:rPr>
                <w:rFonts w:eastAsia="Calibri"/>
                <w:sz w:val="20"/>
                <w:lang w:val="fr-CA"/>
              </w:rPr>
            </w:pPr>
          </w:p>
          <w:p w:rsidR="00716AD0" w:rsidRDefault="00716AD0" w:rsidP="00716AD0">
            <w:pPr>
              <w:jc w:val="both"/>
              <w:rPr>
                <w:rFonts w:eastAsia="Calibri"/>
                <w:sz w:val="20"/>
                <w:lang w:val="fr-CA"/>
              </w:rPr>
            </w:pPr>
          </w:p>
          <w:p w:rsidR="00716AD0" w:rsidRDefault="00716AD0" w:rsidP="00716AD0">
            <w:pPr>
              <w:jc w:val="both"/>
              <w:rPr>
                <w:rFonts w:eastAsia="Calibri"/>
                <w:sz w:val="20"/>
                <w:lang w:val="fr-CA"/>
              </w:rPr>
            </w:pPr>
          </w:p>
          <w:p w:rsidR="00716AD0" w:rsidRDefault="00716AD0" w:rsidP="00716AD0">
            <w:pPr>
              <w:jc w:val="both"/>
              <w:rPr>
                <w:rFonts w:eastAsia="Calibri"/>
                <w:sz w:val="20"/>
                <w:lang w:val="fr-CA"/>
              </w:rPr>
            </w:pPr>
          </w:p>
          <w:p w:rsidR="00716AD0" w:rsidRPr="008F342D" w:rsidRDefault="00716AD0" w:rsidP="00716AD0">
            <w:pPr>
              <w:jc w:val="both"/>
              <w:rPr>
                <w:rFonts w:eastAsia="Calibri"/>
                <w:sz w:val="20"/>
                <w:lang w:val="fr-CA"/>
              </w:rPr>
            </w:pPr>
          </w:p>
        </w:tc>
        <w:tc>
          <w:tcPr>
            <w:tcW w:w="2330" w:type="pct"/>
          </w:tcPr>
          <w:p w:rsidR="00716AD0" w:rsidRPr="008F342D" w:rsidRDefault="00716AD0" w:rsidP="00716AD0">
            <w:pPr>
              <w:jc w:val="both"/>
              <w:rPr>
                <w:rFonts w:eastAsia="Calibri"/>
                <w:sz w:val="20"/>
                <w:lang w:val="fr-CA"/>
              </w:rPr>
            </w:pPr>
            <w:r w:rsidRPr="008F342D">
              <w:rPr>
                <w:rFonts w:eastAsia="Calibri"/>
                <w:sz w:val="20"/>
                <w:lang w:val="fr-CA"/>
              </w:rPr>
              <w:t>Appel accueilli, jugement de la Cour de l’impôt annulé et cotisation du ministre confirmée</w:t>
            </w:r>
          </w:p>
        </w:tc>
      </w:tr>
      <w:tr w:rsidR="00716AD0" w:rsidRPr="008F342D" w:rsidTr="00716AD0">
        <w:tc>
          <w:tcPr>
            <w:tcW w:w="2427" w:type="pct"/>
          </w:tcPr>
          <w:p w:rsidR="00716AD0" w:rsidRPr="008F342D" w:rsidRDefault="00716AD0" w:rsidP="00716AD0">
            <w:pPr>
              <w:jc w:val="both"/>
              <w:rPr>
                <w:rFonts w:eastAsia="Calibri"/>
                <w:sz w:val="20"/>
                <w:lang w:val="fr-CA"/>
              </w:rPr>
            </w:pPr>
            <w:r w:rsidRPr="008F342D">
              <w:rPr>
                <w:rFonts w:eastAsia="Calibri"/>
                <w:sz w:val="20"/>
                <w:lang w:val="fr-CA"/>
              </w:rPr>
              <w:t>19 août 2010</w:t>
            </w:r>
          </w:p>
          <w:p w:rsidR="00716AD0" w:rsidRPr="008F342D" w:rsidRDefault="00716AD0" w:rsidP="00716AD0">
            <w:pPr>
              <w:jc w:val="both"/>
              <w:rPr>
                <w:rFonts w:eastAsia="Calibri"/>
                <w:sz w:val="20"/>
                <w:lang w:val="fr-CA"/>
              </w:rPr>
            </w:pPr>
            <w:r w:rsidRPr="008F342D">
              <w:rPr>
                <w:rFonts w:eastAsia="Calibri"/>
                <w:sz w:val="20"/>
                <w:lang w:val="fr-CA"/>
              </w:rPr>
              <w:t>Cour suprême du Canada</w:t>
            </w:r>
          </w:p>
        </w:tc>
        <w:tc>
          <w:tcPr>
            <w:tcW w:w="243" w:type="pct"/>
          </w:tcPr>
          <w:p w:rsidR="00716AD0" w:rsidRPr="008F342D" w:rsidRDefault="00716AD0" w:rsidP="00716AD0">
            <w:pPr>
              <w:jc w:val="both"/>
              <w:rPr>
                <w:rFonts w:eastAsia="Calibri"/>
                <w:sz w:val="20"/>
                <w:lang w:val="fr-CA"/>
              </w:rPr>
            </w:pPr>
          </w:p>
        </w:tc>
        <w:tc>
          <w:tcPr>
            <w:tcW w:w="2330" w:type="pct"/>
          </w:tcPr>
          <w:p w:rsidR="00716AD0" w:rsidRPr="008F342D" w:rsidRDefault="00716AD0" w:rsidP="00716AD0">
            <w:pPr>
              <w:jc w:val="both"/>
              <w:rPr>
                <w:rFonts w:eastAsia="Calibri"/>
                <w:sz w:val="20"/>
                <w:lang w:val="fr-CA"/>
              </w:rPr>
            </w:pPr>
            <w:r w:rsidRPr="008F342D">
              <w:rPr>
                <w:rFonts w:eastAsia="Calibri"/>
                <w:sz w:val="20"/>
                <w:lang w:val="fr-CA"/>
              </w:rPr>
              <w:t>Demande d’autorisation d’appel, déposée</w:t>
            </w:r>
          </w:p>
        </w:tc>
      </w:tr>
    </w:tbl>
    <w:p w:rsidR="00E32432" w:rsidRDefault="00E32432" w:rsidP="00E32432">
      <w:pPr>
        <w:rPr>
          <w:sz w:val="20"/>
          <w:szCs w:val="20"/>
        </w:rPr>
      </w:pPr>
    </w:p>
    <w:p w:rsidR="00E32432" w:rsidRPr="00C50A5C" w:rsidRDefault="00857426" w:rsidP="00E32432">
      <w:pPr>
        <w:rPr>
          <w:sz w:val="20"/>
          <w:szCs w:val="20"/>
        </w:rPr>
      </w:pPr>
      <w:r w:rsidRPr="00857426">
        <w:rPr>
          <w:sz w:val="20"/>
          <w:szCs w:val="20"/>
          <w:lang w:val="fr-CA"/>
        </w:rPr>
        <w:pict>
          <v:rect id="_x0000_i1061" style="width:2in;height:1pt" o:hrpct="0" o:hralign="center" o:hrstd="t" o:hrnoshade="t" o:hr="t" fillcolor="black [3213]" stroked="f"/>
        </w:pict>
      </w:r>
    </w:p>
    <w:p w:rsidR="005F3A1E" w:rsidRDefault="005F3A1E">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A57C9" w:rsidRPr="001A57C9" w:rsidTr="001A57C9">
        <w:trPr>
          <w:cantSplit/>
        </w:trPr>
        <w:tc>
          <w:tcPr>
            <w:tcW w:w="1458" w:type="dxa"/>
          </w:tcPr>
          <w:p w:rsidR="001A57C9" w:rsidRPr="001A57C9" w:rsidRDefault="001A57C9" w:rsidP="001A57C9">
            <w:pPr>
              <w:rPr>
                <w:sz w:val="20"/>
                <w:szCs w:val="20"/>
              </w:rPr>
            </w:pPr>
            <w:r w:rsidRPr="001A57C9">
              <w:rPr>
                <w:rStyle w:val="SCCFileNumberChar"/>
                <w:sz w:val="20"/>
                <w:szCs w:val="20"/>
              </w:rPr>
              <w:lastRenderedPageBreak/>
              <w:t>33808</w:t>
            </w:r>
          </w:p>
          <w:p w:rsidR="001A57C9" w:rsidRPr="001A57C9" w:rsidRDefault="001A57C9" w:rsidP="001A57C9">
            <w:pPr>
              <w:rPr>
                <w:b/>
                <w:sz w:val="20"/>
                <w:szCs w:val="20"/>
                <w:lang w:val="fr-CA"/>
              </w:rPr>
            </w:pPr>
          </w:p>
        </w:tc>
        <w:tc>
          <w:tcPr>
            <w:tcW w:w="8118" w:type="dxa"/>
          </w:tcPr>
          <w:p w:rsidR="001A57C9" w:rsidRPr="001A57C9" w:rsidRDefault="001A57C9" w:rsidP="001A57C9">
            <w:pPr>
              <w:rPr>
                <w:sz w:val="20"/>
                <w:szCs w:val="20"/>
              </w:rPr>
            </w:pPr>
            <w:r w:rsidRPr="001A57C9">
              <w:rPr>
                <w:rStyle w:val="SCCLsocChar"/>
                <w:sz w:val="20"/>
                <w:szCs w:val="20"/>
                <w:lang w:val="en-CA"/>
              </w:rPr>
              <w:t>Kevin Patrick Hobbs v. Her Majesty the Queen</w:t>
            </w:r>
            <w:r w:rsidRPr="001A57C9">
              <w:rPr>
                <w:sz w:val="20"/>
                <w:szCs w:val="20"/>
              </w:rPr>
              <w:t xml:space="preserve"> (N.S.) (Criminal) (By Leave)</w:t>
            </w:r>
          </w:p>
          <w:p w:rsidR="001A57C9" w:rsidRPr="001A57C9" w:rsidRDefault="001A57C9" w:rsidP="001A57C9">
            <w:pPr>
              <w:rPr>
                <w:sz w:val="20"/>
                <w:szCs w:val="20"/>
              </w:rPr>
            </w:pPr>
          </w:p>
        </w:tc>
      </w:tr>
      <w:tr w:rsidR="001A57C9" w:rsidRPr="001A57C9" w:rsidTr="001A57C9">
        <w:trPr>
          <w:cantSplit/>
        </w:trPr>
        <w:tc>
          <w:tcPr>
            <w:tcW w:w="1458" w:type="dxa"/>
          </w:tcPr>
          <w:p w:rsidR="001A57C9" w:rsidRPr="001A57C9" w:rsidRDefault="001A57C9" w:rsidP="001A57C9">
            <w:pPr>
              <w:rPr>
                <w:sz w:val="20"/>
                <w:szCs w:val="20"/>
              </w:rPr>
            </w:pPr>
            <w:r w:rsidRPr="001A57C9">
              <w:rPr>
                <w:sz w:val="20"/>
                <w:szCs w:val="20"/>
              </w:rPr>
              <w:t>Coram :</w:t>
            </w:r>
          </w:p>
        </w:tc>
        <w:tc>
          <w:tcPr>
            <w:tcW w:w="8118" w:type="dxa"/>
          </w:tcPr>
          <w:p w:rsidR="001A57C9" w:rsidRPr="001A57C9" w:rsidRDefault="001A57C9" w:rsidP="001A57C9">
            <w:pPr>
              <w:rPr>
                <w:sz w:val="20"/>
                <w:szCs w:val="20"/>
              </w:rPr>
            </w:pPr>
            <w:proofErr w:type="spellStart"/>
            <w:r w:rsidRPr="001A57C9">
              <w:rPr>
                <w:rStyle w:val="SCCCoramChar"/>
                <w:sz w:val="20"/>
                <w:szCs w:val="20"/>
                <w:lang w:val="en-CA"/>
              </w:rPr>
              <w:t>McLachlin</w:t>
            </w:r>
            <w:proofErr w:type="spellEnd"/>
            <w:r w:rsidRPr="001A57C9">
              <w:rPr>
                <w:rStyle w:val="SCCCoramChar"/>
                <w:sz w:val="20"/>
                <w:szCs w:val="20"/>
                <w:lang w:val="en-CA"/>
              </w:rPr>
              <w:t xml:space="preserve"> C.J. and </w:t>
            </w:r>
            <w:proofErr w:type="spellStart"/>
            <w:r w:rsidRPr="001A57C9">
              <w:rPr>
                <w:rStyle w:val="SCCCoramChar"/>
                <w:sz w:val="20"/>
                <w:szCs w:val="20"/>
                <w:lang w:val="en-CA"/>
              </w:rPr>
              <w:t>Abella</w:t>
            </w:r>
            <w:proofErr w:type="spellEnd"/>
            <w:r w:rsidRPr="001A57C9">
              <w:rPr>
                <w:rStyle w:val="SCCCoramChar"/>
                <w:sz w:val="20"/>
                <w:szCs w:val="20"/>
                <w:lang w:val="en-CA"/>
              </w:rPr>
              <w:t xml:space="preserve"> and Cromwell JJ.</w:t>
            </w:r>
          </w:p>
          <w:p w:rsidR="001A57C9" w:rsidRPr="001A57C9" w:rsidRDefault="001A57C9" w:rsidP="001A57C9">
            <w:pPr>
              <w:rPr>
                <w:sz w:val="20"/>
                <w:szCs w:val="20"/>
                <w:u w:val="single"/>
              </w:rPr>
            </w:pPr>
          </w:p>
        </w:tc>
      </w:tr>
      <w:tr w:rsidR="001A57C9" w:rsidRPr="001C2F5E" w:rsidTr="001A57C9">
        <w:trPr>
          <w:cantSplit/>
        </w:trPr>
        <w:tc>
          <w:tcPr>
            <w:tcW w:w="9576" w:type="dxa"/>
            <w:gridSpan w:val="2"/>
          </w:tcPr>
          <w:p w:rsidR="001A57C9" w:rsidRPr="001A57C9" w:rsidRDefault="001A57C9" w:rsidP="001A57C9">
            <w:pPr>
              <w:pStyle w:val="SCCShortJudgment"/>
              <w:rPr>
                <w:szCs w:val="20"/>
              </w:rPr>
            </w:pPr>
            <w:r w:rsidRPr="001A57C9">
              <w:rPr>
                <w:szCs w:val="20"/>
              </w:rPr>
              <w:t>The application for leave to appeal from the judgment of the Nova Scotia Court of Appeal, Number CAC 302995, 2010 NSCA 53, dated June 16, 2010, is dismissed without costs.</w:t>
            </w:r>
          </w:p>
          <w:p w:rsidR="001A57C9" w:rsidRPr="001A57C9" w:rsidRDefault="001A57C9" w:rsidP="001A57C9">
            <w:pPr>
              <w:pStyle w:val="SCCShortJudgment"/>
              <w:ind w:firstLine="0"/>
              <w:rPr>
                <w:szCs w:val="20"/>
              </w:rPr>
            </w:pPr>
          </w:p>
          <w:p w:rsidR="001A57C9" w:rsidRPr="001A57C9" w:rsidRDefault="001A57C9" w:rsidP="001A57C9">
            <w:pPr>
              <w:pStyle w:val="SCCShortJudgment"/>
              <w:rPr>
                <w:szCs w:val="20"/>
                <w:lang w:val="fr-CA"/>
              </w:rPr>
            </w:pPr>
            <w:r w:rsidRPr="001A57C9">
              <w:rPr>
                <w:szCs w:val="20"/>
                <w:lang w:val="fr-CA"/>
              </w:rPr>
              <w:t>La demande d’autorisation d’appel de l’arrêt de la Cour d’appel de la Nouvelle-Écosse, numéro CAC 302995, 2010 NSCA 53, daté du 16 juin 2010, est rejetée sans dépens.</w:t>
            </w:r>
          </w:p>
          <w:p w:rsidR="001A57C9" w:rsidRPr="001A57C9" w:rsidRDefault="001A57C9" w:rsidP="001A57C9">
            <w:pPr>
              <w:rPr>
                <w:sz w:val="20"/>
                <w:szCs w:val="20"/>
                <w:lang w:val="fr-CA"/>
              </w:rPr>
            </w:pPr>
          </w:p>
        </w:tc>
      </w:tr>
    </w:tbl>
    <w:p w:rsidR="00E32432" w:rsidRPr="007F53EF" w:rsidRDefault="00E32432" w:rsidP="00E32432">
      <w:pPr>
        <w:rPr>
          <w:sz w:val="20"/>
          <w:szCs w:val="20"/>
          <w:u w:val="single"/>
        </w:rPr>
      </w:pPr>
      <w:r w:rsidRPr="007F53EF">
        <w:rPr>
          <w:sz w:val="20"/>
          <w:szCs w:val="20"/>
          <w:u w:val="single"/>
        </w:rPr>
        <w:t>CASE SUMMARY</w:t>
      </w:r>
    </w:p>
    <w:p w:rsidR="00E32432" w:rsidRDefault="00E32432" w:rsidP="00E3243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16AD0" w:rsidRPr="003856E2" w:rsidTr="00716AD0">
        <w:tc>
          <w:tcPr>
            <w:tcW w:w="5000" w:type="pct"/>
            <w:gridSpan w:val="3"/>
          </w:tcPr>
          <w:p w:rsidR="00716AD0" w:rsidRPr="003856E2" w:rsidRDefault="00716AD0" w:rsidP="00716AD0">
            <w:pPr>
              <w:jc w:val="both"/>
              <w:rPr>
                <w:rFonts w:eastAsia="Calibri"/>
                <w:sz w:val="20"/>
              </w:rPr>
            </w:pPr>
            <w:r w:rsidRPr="003856E2">
              <w:rPr>
                <w:rFonts w:eastAsia="Calibri"/>
                <w:i/>
                <w:sz w:val="20"/>
              </w:rPr>
              <w:t>Charter of Rights</w:t>
            </w:r>
            <w:r w:rsidRPr="003856E2">
              <w:rPr>
                <w:rFonts w:eastAsia="Calibri"/>
                <w:sz w:val="20"/>
              </w:rPr>
              <w:t xml:space="preserve"> - Criminal law – Evidence – Admissibility – Offences – Proceeds of crime – Accused convicted of possession and transportation of proceeds of crime - Whether subsequent, unrelated incidents should have been admitted as evidence at trial – Whether accused could be convicted of possessing and transporting proceeds of crime without prior conviction for another related crime</w:t>
            </w:r>
          </w:p>
          <w:p w:rsidR="00716AD0" w:rsidRPr="003856E2" w:rsidRDefault="00716AD0" w:rsidP="00716AD0">
            <w:pPr>
              <w:jc w:val="both"/>
              <w:rPr>
                <w:rFonts w:eastAsia="Calibri"/>
                <w:sz w:val="20"/>
              </w:rPr>
            </w:pPr>
          </w:p>
          <w:p w:rsidR="00716AD0" w:rsidRDefault="00716AD0" w:rsidP="00716AD0">
            <w:pPr>
              <w:jc w:val="both"/>
              <w:rPr>
                <w:rFonts w:eastAsia="Calibri"/>
                <w:sz w:val="20"/>
              </w:rPr>
            </w:pPr>
            <w:r w:rsidRPr="003856E2">
              <w:rPr>
                <w:rFonts w:eastAsia="Calibri"/>
                <w:sz w:val="20"/>
              </w:rPr>
              <w:t xml:space="preserve">In April of 2005, Mr. Hobbs purchased a return ticket to Vancouver departing from Halifax the following day.  At the time, he was under police surveillance and was observed checking a piece of luggage at the airport check-in counter.  His suitcase was tracked and placed with other randomly selected luggage processed for the same flight.  A police sniffer dog pointed to the bag tagged with Mr. Hobbs’ name and it was seized. The police suspected that it contained narcotics or money contaminated with narcotics. They obtained a search warrant and discovered clothing and $32,000 in cash inside. A subsequent scan of the clothing and suitcase indicated the presence of cocaine. In July of 2005, Mr. Hobbs was arrested in a hotel room New York City, where the police found 100 pounds of marihuana and $178,000 US.  After serving pre-trial time in prison there, Mr. Hobbs pled guilty to a felony conviction for possession of marihuana.  In August of 2005, the police executed a search warrant on a house leased to Mr. Hobbs in </w:t>
            </w:r>
            <w:proofErr w:type="gramStart"/>
            <w:r w:rsidRPr="003856E2">
              <w:rPr>
                <w:rFonts w:eastAsia="Calibri"/>
                <w:sz w:val="20"/>
              </w:rPr>
              <w:t>Halifax,</w:t>
            </w:r>
            <w:proofErr w:type="gramEnd"/>
            <w:r w:rsidRPr="003856E2">
              <w:rPr>
                <w:rFonts w:eastAsia="Calibri"/>
                <w:sz w:val="20"/>
              </w:rPr>
              <w:t xml:space="preserve"> where they discovered a marihuana grow operation in the basement. He was charged with possession for the purposes of trafficking and production of marihuana. Later that month, Mr. Hobbs was charged with possessing and transporting the proceeds of crime with respect to the money in the suitcase.</w:t>
            </w:r>
          </w:p>
          <w:p w:rsidR="00716AD0" w:rsidRPr="003856E2" w:rsidRDefault="00716AD0" w:rsidP="00716AD0">
            <w:pPr>
              <w:jc w:val="both"/>
              <w:rPr>
                <w:rFonts w:eastAsia="Calibri"/>
                <w:sz w:val="20"/>
              </w:rPr>
            </w:pPr>
          </w:p>
        </w:tc>
      </w:tr>
      <w:tr w:rsidR="00716AD0" w:rsidRPr="003856E2" w:rsidTr="00716AD0">
        <w:tc>
          <w:tcPr>
            <w:tcW w:w="2427" w:type="pct"/>
          </w:tcPr>
          <w:p w:rsidR="00716AD0" w:rsidRPr="003856E2" w:rsidRDefault="00716AD0" w:rsidP="00716AD0">
            <w:pPr>
              <w:jc w:val="both"/>
              <w:rPr>
                <w:rFonts w:eastAsia="Calibri"/>
                <w:sz w:val="20"/>
              </w:rPr>
            </w:pPr>
            <w:r w:rsidRPr="003856E2">
              <w:rPr>
                <w:rFonts w:eastAsia="Calibri"/>
                <w:sz w:val="20"/>
              </w:rPr>
              <w:t>May 5, 2008</w:t>
            </w:r>
          </w:p>
          <w:p w:rsidR="00716AD0" w:rsidRPr="003856E2" w:rsidRDefault="00716AD0" w:rsidP="00716AD0">
            <w:pPr>
              <w:jc w:val="both"/>
              <w:rPr>
                <w:rFonts w:eastAsia="Calibri"/>
                <w:sz w:val="20"/>
              </w:rPr>
            </w:pPr>
            <w:r w:rsidRPr="003856E2">
              <w:rPr>
                <w:rFonts w:eastAsia="Calibri"/>
                <w:sz w:val="20"/>
              </w:rPr>
              <w:t>Supreme Court of Nova Scotia, Trial Division</w:t>
            </w:r>
          </w:p>
          <w:p w:rsidR="00716AD0" w:rsidRPr="003856E2" w:rsidRDefault="00716AD0" w:rsidP="00716AD0">
            <w:pPr>
              <w:jc w:val="both"/>
              <w:rPr>
                <w:rFonts w:eastAsia="Calibri"/>
                <w:sz w:val="20"/>
              </w:rPr>
            </w:pPr>
            <w:r w:rsidRPr="003856E2">
              <w:rPr>
                <w:rFonts w:eastAsia="Calibri"/>
                <w:sz w:val="20"/>
              </w:rPr>
              <w:t>(</w:t>
            </w:r>
            <w:proofErr w:type="spellStart"/>
            <w:r w:rsidRPr="003856E2">
              <w:rPr>
                <w:rFonts w:eastAsia="Calibri"/>
                <w:sz w:val="20"/>
              </w:rPr>
              <w:t>Cacchione</w:t>
            </w:r>
            <w:proofErr w:type="spellEnd"/>
            <w:r w:rsidRPr="003856E2">
              <w:rPr>
                <w:rFonts w:eastAsia="Calibri"/>
                <w:sz w:val="20"/>
              </w:rPr>
              <w:t xml:space="preserve"> J.)</w:t>
            </w:r>
          </w:p>
          <w:p w:rsidR="00716AD0" w:rsidRPr="003856E2" w:rsidRDefault="00716AD0" w:rsidP="00716AD0">
            <w:pPr>
              <w:jc w:val="both"/>
              <w:rPr>
                <w:rFonts w:eastAsia="Calibri"/>
                <w:sz w:val="20"/>
              </w:rPr>
            </w:pPr>
            <w:r w:rsidRPr="003856E2">
              <w:rPr>
                <w:rFonts w:eastAsia="Calibri"/>
                <w:sz w:val="20"/>
              </w:rPr>
              <w:t>2008 NSSC 206</w:t>
            </w:r>
          </w:p>
        </w:tc>
        <w:tc>
          <w:tcPr>
            <w:tcW w:w="243" w:type="pct"/>
          </w:tcPr>
          <w:p w:rsidR="00716AD0" w:rsidRDefault="00716AD0" w:rsidP="00716AD0">
            <w:pPr>
              <w:jc w:val="both"/>
              <w:rPr>
                <w:rFonts w:eastAsia="Calibri"/>
                <w:sz w:val="20"/>
              </w:rPr>
            </w:pPr>
          </w:p>
          <w:p w:rsidR="00716AD0" w:rsidRDefault="00716AD0" w:rsidP="00716AD0">
            <w:pPr>
              <w:jc w:val="both"/>
              <w:rPr>
                <w:rFonts w:eastAsia="Calibri"/>
                <w:sz w:val="20"/>
              </w:rPr>
            </w:pPr>
          </w:p>
          <w:p w:rsidR="00716AD0" w:rsidRDefault="00716AD0" w:rsidP="00716AD0">
            <w:pPr>
              <w:jc w:val="both"/>
              <w:rPr>
                <w:rFonts w:eastAsia="Calibri"/>
                <w:sz w:val="20"/>
              </w:rPr>
            </w:pPr>
          </w:p>
          <w:p w:rsidR="00716AD0" w:rsidRDefault="00716AD0" w:rsidP="00716AD0">
            <w:pPr>
              <w:jc w:val="both"/>
              <w:rPr>
                <w:rFonts w:eastAsia="Calibri"/>
                <w:sz w:val="20"/>
              </w:rPr>
            </w:pPr>
          </w:p>
          <w:p w:rsidR="00716AD0" w:rsidRPr="003856E2" w:rsidRDefault="00716AD0" w:rsidP="00716AD0">
            <w:pPr>
              <w:jc w:val="both"/>
              <w:rPr>
                <w:rFonts w:eastAsia="Calibri"/>
                <w:sz w:val="20"/>
              </w:rPr>
            </w:pPr>
          </w:p>
        </w:tc>
        <w:tc>
          <w:tcPr>
            <w:tcW w:w="2330" w:type="pct"/>
          </w:tcPr>
          <w:p w:rsidR="00716AD0" w:rsidRPr="003856E2" w:rsidRDefault="00716AD0" w:rsidP="00716AD0">
            <w:pPr>
              <w:jc w:val="both"/>
              <w:rPr>
                <w:rFonts w:eastAsia="Calibri"/>
                <w:sz w:val="20"/>
              </w:rPr>
            </w:pPr>
            <w:r w:rsidRPr="003856E2">
              <w:rPr>
                <w:rFonts w:eastAsia="Calibri"/>
                <w:sz w:val="20"/>
              </w:rPr>
              <w:t>Order permitting Crown to lead prejudicial evidence relevant to the Crown’s theory of the case</w:t>
            </w:r>
          </w:p>
        </w:tc>
      </w:tr>
      <w:tr w:rsidR="00716AD0" w:rsidRPr="003856E2" w:rsidTr="00716AD0">
        <w:tc>
          <w:tcPr>
            <w:tcW w:w="2427" w:type="pct"/>
          </w:tcPr>
          <w:p w:rsidR="00716AD0" w:rsidRPr="003856E2" w:rsidRDefault="00716AD0" w:rsidP="00716AD0">
            <w:pPr>
              <w:jc w:val="both"/>
              <w:rPr>
                <w:rFonts w:eastAsia="Calibri"/>
                <w:sz w:val="20"/>
              </w:rPr>
            </w:pPr>
            <w:r w:rsidRPr="003856E2">
              <w:rPr>
                <w:rFonts w:eastAsia="Calibri"/>
                <w:sz w:val="20"/>
              </w:rPr>
              <w:t>October 10, 2008</w:t>
            </w:r>
          </w:p>
          <w:p w:rsidR="00716AD0" w:rsidRPr="003856E2" w:rsidRDefault="00716AD0" w:rsidP="00716AD0">
            <w:pPr>
              <w:jc w:val="both"/>
              <w:rPr>
                <w:rFonts w:eastAsia="Calibri"/>
                <w:sz w:val="20"/>
              </w:rPr>
            </w:pPr>
            <w:r w:rsidRPr="003856E2">
              <w:rPr>
                <w:rFonts w:eastAsia="Calibri"/>
                <w:sz w:val="20"/>
              </w:rPr>
              <w:t>Supreme Court of Nova Scotia, Trial Division</w:t>
            </w:r>
          </w:p>
          <w:p w:rsidR="00716AD0" w:rsidRPr="003856E2" w:rsidRDefault="00716AD0" w:rsidP="00716AD0">
            <w:pPr>
              <w:jc w:val="both"/>
              <w:rPr>
                <w:rFonts w:eastAsia="Calibri"/>
                <w:sz w:val="20"/>
              </w:rPr>
            </w:pPr>
            <w:r w:rsidRPr="003856E2">
              <w:rPr>
                <w:rFonts w:eastAsia="Calibri"/>
                <w:sz w:val="20"/>
              </w:rPr>
              <w:t>(</w:t>
            </w:r>
            <w:proofErr w:type="spellStart"/>
            <w:r w:rsidRPr="003856E2">
              <w:rPr>
                <w:rFonts w:eastAsia="Calibri"/>
                <w:sz w:val="20"/>
              </w:rPr>
              <w:t>Cacchione</w:t>
            </w:r>
            <w:proofErr w:type="spellEnd"/>
            <w:r w:rsidRPr="003856E2">
              <w:rPr>
                <w:rFonts w:eastAsia="Calibri"/>
                <w:sz w:val="20"/>
              </w:rPr>
              <w:t xml:space="preserve"> J.)</w:t>
            </w:r>
          </w:p>
          <w:p w:rsidR="00716AD0" w:rsidRPr="003856E2" w:rsidRDefault="00716AD0" w:rsidP="00716AD0">
            <w:pPr>
              <w:jc w:val="both"/>
              <w:rPr>
                <w:rFonts w:eastAsia="Calibri"/>
                <w:sz w:val="20"/>
              </w:rPr>
            </w:pPr>
            <w:r w:rsidRPr="003856E2">
              <w:rPr>
                <w:rFonts w:eastAsia="Calibri"/>
                <w:sz w:val="20"/>
              </w:rPr>
              <w:t>2008 NSSC 226</w:t>
            </w:r>
          </w:p>
        </w:tc>
        <w:tc>
          <w:tcPr>
            <w:tcW w:w="243" w:type="pct"/>
          </w:tcPr>
          <w:p w:rsidR="00716AD0" w:rsidRDefault="00716AD0" w:rsidP="00716AD0">
            <w:pPr>
              <w:jc w:val="both"/>
              <w:rPr>
                <w:rFonts w:eastAsia="Calibri"/>
                <w:sz w:val="20"/>
              </w:rPr>
            </w:pPr>
          </w:p>
          <w:p w:rsidR="00716AD0" w:rsidRDefault="00716AD0" w:rsidP="00716AD0">
            <w:pPr>
              <w:jc w:val="both"/>
              <w:rPr>
                <w:rFonts w:eastAsia="Calibri"/>
                <w:sz w:val="20"/>
              </w:rPr>
            </w:pPr>
          </w:p>
          <w:p w:rsidR="00716AD0" w:rsidRDefault="00716AD0" w:rsidP="00716AD0">
            <w:pPr>
              <w:jc w:val="both"/>
              <w:rPr>
                <w:rFonts w:eastAsia="Calibri"/>
                <w:sz w:val="20"/>
              </w:rPr>
            </w:pPr>
          </w:p>
          <w:p w:rsidR="00716AD0" w:rsidRDefault="00716AD0" w:rsidP="00716AD0">
            <w:pPr>
              <w:jc w:val="both"/>
              <w:rPr>
                <w:rFonts w:eastAsia="Calibri"/>
                <w:sz w:val="20"/>
              </w:rPr>
            </w:pPr>
          </w:p>
          <w:p w:rsidR="00716AD0" w:rsidRPr="003856E2" w:rsidRDefault="00716AD0" w:rsidP="00716AD0">
            <w:pPr>
              <w:jc w:val="both"/>
              <w:rPr>
                <w:rFonts w:eastAsia="Calibri"/>
                <w:sz w:val="20"/>
              </w:rPr>
            </w:pPr>
          </w:p>
        </w:tc>
        <w:tc>
          <w:tcPr>
            <w:tcW w:w="2330" w:type="pct"/>
          </w:tcPr>
          <w:p w:rsidR="00716AD0" w:rsidRPr="003856E2" w:rsidRDefault="00716AD0" w:rsidP="00716AD0">
            <w:pPr>
              <w:jc w:val="both"/>
              <w:rPr>
                <w:rFonts w:eastAsia="Calibri"/>
                <w:sz w:val="20"/>
              </w:rPr>
            </w:pPr>
            <w:r w:rsidRPr="003856E2">
              <w:rPr>
                <w:rFonts w:eastAsia="Calibri"/>
                <w:sz w:val="20"/>
              </w:rPr>
              <w:t>Accused convicted of possessing and transporting the proceeds of crime and sentenced to nine months in prison and two years’ probation</w:t>
            </w:r>
          </w:p>
        </w:tc>
      </w:tr>
      <w:tr w:rsidR="00716AD0" w:rsidRPr="003856E2" w:rsidTr="00716AD0">
        <w:tc>
          <w:tcPr>
            <w:tcW w:w="2427" w:type="pct"/>
          </w:tcPr>
          <w:p w:rsidR="00716AD0" w:rsidRPr="003856E2" w:rsidRDefault="00716AD0" w:rsidP="00716AD0">
            <w:pPr>
              <w:jc w:val="both"/>
              <w:rPr>
                <w:rFonts w:eastAsia="Calibri"/>
                <w:sz w:val="20"/>
              </w:rPr>
            </w:pPr>
            <w:r w:rsidRPr="003856E2">
              <w:rPr>
                <w:rFonts w:eastAsia="Calibri"/>
                <w:sz w:val="20"/>
              </w:rPr>
              <w:t>June 16, 2010</w:t>
            </w:r>
          </w:p>
          <w:p w:rsidR="00716AD0" w:rsidRPr="003856E2" w:rsidRDefault="00716AD0" w:rsidP="00716AD0">
            <w:pPr>
              <w:jc w:val="both"/>
              <w:rPr>
                <w:rFonts w:eastAsia="Calibri"/>
                <w:sz w:val="20"/>
              </w:rPr>
            </w:pPr>
            <w:r w:rsidRPr="003856E2">
              <w:rPr>
                <w:rFonts w:eastAsia="Calibri"/>
                <w:sz w:val="20"/>
              </w:rPr>
              <w:t>Nova Scotia Court of Appeal</w:t>
            </w:r>
          </w:p>
          <w:p w:rsidR="00716AD0" w:rsidRPr="003856E2" w:rsidRDefault="00716AD0" w:rsidP="00716AD0">
            <w:pPr>
              <w:jc w:val="both"/>
              <w:rPr>
                <w:rFonts w:eastAsia="Calibri"/>
                <w:sz w:val="20"/>
              </w:rPr>
            </w:pPr>
            <w:r w:rsidRPr="003856E2">
              <w:rPr>
                <w:rFonts w:eastAsia="Calibri"/>
                <w:sz w:val="20"/>
              </w:rPr>
              <w:t xml:space="preserve">(Bateman, Saunders and </w:t>
            </w:r>
            <w:proofErr w:type="spellStart"/>
            <w:r w:rsidRPr="003856E2">
              <w:rPr>
                <w:rFonts w:eastAsia="Calibri"/>
                <w:sz w:val="20"/>
              </w:rPr>
              <w:t>Fichaud</w:t>
            </w:r>
            <w:proofErr w:type="spellEnd"/>
            <w:r w:rsidRPr="003856E2">
              <w:rPr>
                <w:rFonts w:eastAsia="Calibri"/>
                <w:sz w:val="20"/>
              </w:rPr>
              <w:t xml:space="preserve"> JJ.A.)</w:t>
            </w:r>
          </w:p>
          <w:p w:rsidR="00716AD0" w:rsidRPr="003856E2" w:rsidRDefault="00716AD0" w:rsidP="00716AD0">
            <w:pPr>
              <w:jc w:val="both"/>
              <w:rPr>
                <w:rFonts w:eastAsia="Calibri"/>
                <w:sz w:val="20"/>
              </w:rPr>
            </w:pPr>
            <w:r w:rsidRPr="003856E2">
              <w:rPr>
                <w:rFonts w:eastAsia="Calibri"/>
                <w:sz w:val="20"/>
              </w:rPr>
              <w:t>2010 NSCA 53</w:t>
            </w:r>
          </w:p>
        </w:tc>
        <w:tc>
          <w:tcPr>
            <w:tcW w:w="243" w:type="pct"/>
          </w:tcPr>
          <w:p w:rsidR="00716AD0" w:rsidRDefault="00716AD0" w:rsidP="00716AD0">
            <w:pPr>
              <w:jc w:val="both"/>
              <w:rPr>
                <w:rFonts w:eastAsia="Calibri"/>
                <w:sz w:val="20"/>
              </w:rPr>
            </w:pPr>
          </w:p>
          <w:p w:rsidR="00716AD0" w:rsidRDefault="00716AD0" w:rsidP="00716AD0">
            <w:pPr>
              <w:jc w:val="both"/>
              <w:rPr>
                <w:rFonts w:eastAsia="Calibri"/>
                <w:sz w:val="20"/>
              </w:rPr>
            </w:pPr>
          </w:p>
          <w:p w:rsidR="00716AD0" w:rsidRDefault="00716AD0" w:rsidP="00716AD0">
            <w:pPr>
              <w:jc w:val="both"/>
              <w:rPr>
                <w:rFonts w:eastAsia="Calibri"/>
                <w:sz w:val="20"/>
              </w:rPr>
            </w:pPr>
          </w:p>
          <w:p w:rsidR="00716AD0" w:rsidRDefault="00716AD0" w:rsidP="00716AD0">
            <w:pPr>
              <w:jc w:val="both"/>
              <w:rPr>
                <w:rFonts w:eastAsia="Calibri"/>
                <w:sz w:val="20"/>
              </w:rPr>
            </w:pPr>
          </w:p>
          <w:p w:rsidR="00716AD0" w:rsidRPr="003856E2" w:rsidRDefault="00716AD0" w:rsidP="00716AD0">
            <w:pPr>
              <w:jc w:val="both"/>
              <w:rPr>
                <w:rFonts w:eastAsia="Calibri"/>
                <w:sz w:val="20"/>
              </w:rPr>
            </w:pPr>
          </w:p>
        </w:tc>
        <w:tc>
          <w:tcPr>
            <w:tcW w:w="2330" w:type="pct"/>
          </w:tcPr>
          <w:p w:rsidR="00716AD0" w:rsidRPr="003856E2" w:rsidRDefault="00716AD0" w:rsidP="00716AD0">
            <w:pPr>
              <w:jc w:val="both"/>
              <w:rPr>
                <w:rFonts w:eastAsia="Calibri"/>
                <w:sz w:val="20"/>
              </w:rPr>
            </w:pPr>
            <w:r w:rsidRPr="003856E2">
              <w:rPr>
                <w:rFonts w:eastAsia="Calibri"/>
                <w:sz w:val="20"/>
              </w:rPr>
              <w:t>Appeal dismissed</w:t>
            </w:r>
          </w:p>
        </w:tc>
      </w:tr>
      <w:tr w:rsidR="00716AD0" w:rsidRPr="003856E2" w:rsidTr="00716AD0">
        <w:tc>
          <w:tcPr>
            <w:tcW w:w="2427" w:type="pct"/>
          </w:tcPr>
          <w:p w:rsidR="00716AD0" w:rsidRPr="003856E2" w:rsidRDefault="00716AD0" w:rsidP="00716AD0">
            <w:pPr>
              <w:jc w:val="both"/>
              <w:rPr>
                <w:rFonts w:eastAsia="Calibri"/>
                <w:sz w:val="20"/>
              </w:rPr>
            </w:pPr>
            <w:r w:rsidRPr="003856E2">
              <w:rPr>
                <w:rFonts w:eastAsia="Calibri"/>
                <w:sz w:val="20"/>
              </w:rPr>
              <w:t>August 13, 2010</w:t>
            </w:r>
          </w:p>
          <w:p w:rsidR="00716AD0" w:rsidRPr="003856E2" w:rsidRDefault="00716AD0" w:rsidP="00716AD0">
            <w:pPr>
              <w:jc w:val="both"/>
              <w:rPr>
                <w:rFonts w:eastAsia="Calibri"/>
                <w:sz w:val="20"/>
              </w:rPr>
            </w:pPr>
            <w:r w:rsidRPr="003856E2">
              <w:rPr>
                <w:rFonts w:eastAsia="Calibri"/>
                <w:sz w:val="20"/>
              </w:rPr>
              <w:t>Supreme Court of Canada</w:t>
            </w:r>
          </w:p>
        </w:tc>
        <w:tc>
          <w:tcPr>
            <w:tcW w:w="243" w:type="pct"/>
          </w:tcPr>
          <w:p w:rsidR="00716AD0" w:rsidRPr="003856E2" w:rsidRDefault="00716AD0" w:rsidP="00716AD0">
            <w:pPr>
              <w:jc w:val="both"/>
              <w:rPr>
                <w:rFonts w:eastAsia="Calibri"/>
                <w:sz w:val="20"/>
              </w:rPr>
            </w:pPr>
          </w:p>
        </w:tc>
        <w:tc>
          <w:tcPr>
            <w:tcW w:w="2330" w:type="pct"/>
          </w:tcPr>
          <w:p w:rsidR="00716AD0" w:rsidRPr="003856E2" w:rsidRDefault="00716AD0" w:rsidP="00716AD0">
            <w:pPr>
              <w:jc w:val="both"/>
              <w:rPr>
                <w:rFonts w:eastAsia="Calibri"/>
                <w:sz w:val="20"/>
              </w:rPr>
            </w:pPr>
            <w:r w:rsidRPr="003856E2">
              <w:rPr>
                <w:rFonts w:eastAsia="Calibri"/>
                <w:sz w:val="20"/>
              </w:rPr>
              <w:t>Application for leave to appeal filed</w:t>
            </w:r>
          </w:p>
        </w:tc>
      </w:tr>
    </w:tbl>
    <w:p w:rsidR="00E32432" w:rsidRDefault="00E32432" w:rsidP="00E32432">
      <w:pPr>
        <w:rPr>
          <w:sz w:val="20"/>
          <w:szCs w:val="20"/>
        </w:rPr>
      </w:pPr>
    </w:p>
    <w:p w:rsidR="00E32432" w:rsidRPr="007F53EF" w:rsidRDefault="00857426" w:rsidP="00E32432">
      <w:pPr>
        <w:rPr>
          <w:sz w:val="20"/>
          <w:szCs w:val="20"/>
        </w:rPr>
      </w:pPr>
      <w:r w:rsidRPr="00857426">
        <w:rPr>
          <w:sz w:val="20"/>
          <w:szCs w:val="20"/>
          <w:lang w:val="fr-CA"/>
        </w:rPr>
        <w:pict>
          <v:rect id="_x0000_i1062" style="width:2in;height:1pt" o:hrpct="0" o:hralign="center" o:hrstd="t" o:hrnoshade="t" o:hr="t" fillcolor="black [3213]" stroked="f"/>
        </w:pict>
      </w:r>
    </w:p>
    <w:p w:rsidR="005F3A1E" w:rsidRDefault="005F3A1E">
      <w:pPr>
        <w:rPr>
          <w:sz w:val="20"/>
          <w:szCs w:val="20"/>
        </w:rPr>
      </w:pPr>
      <w:r>
        <w:rPr>
          <w:sz w:val="20"/>
          <w:szCs w:val="20"/>
        </w:rPr>
        <w:br w:type="page"/>
      </w:r>
    </w:p>
    <w:p w:rsidR="00E32432" w:rsidRPr="007F53EF" w:rsidRDefault="00E32432" w:rsidP="00E32432">
      <w:pPr>
        <w:jc w:val="both"/>
        <w:rPr>
          <w:sz w:val="20"/>
          <w:szCs w:val="20"/>
        </w:rPr>
      </w:pPr>
      <w:r>
        <w:rPr>
          <w:sz w:val="20"/>
          <w:szCs w:val="20"/>
          <w:u w:val="single"/>
        </w:rPr>
        <w:lastRenderedPageBreak/>
        <w:t>RÉSUMÉ DE L’AFFAIRE</w:t>
      </w:r>
    </w:p>
    <w:p w:rsidR="00E32432" w:rsidRDefault="00E32432" w:rsidP="00E32432">
      <w:pPr>
        <w:rPr>
          <w:sz w:val="20"/>
          <w:szCs w:val="20"/>
        </w:rPr>
      </w:pPr>
    </w:p>
    <w:tbl>
      <w:tblPr>
        <w:tblW w:w="4953" w:type="pct"/>
        <w:tblLayout w:type="fixed"/>
        <w:tblCellMar>
          <w:left w:w="0" w:type="dxa"/>
          <w:bottom w:w="99" w:type="dxa"/>
          <w:right w:w="0" w:type="dxa"/>
        </w:tblCellMar>
        <w:tblLook w:val="00A0"/>
      </w:tblPr>
      <w:tblGrid>
        <w:gridCol w:w="4625"/>
        <w:gridCol w:w="463"/>
        <w:gridCol w:w="4441"/>
      </w:tblGrid>
      <w:tr w:rsidR="00716AD0" w:rsidRPr="001C2F5E" w:rsidTr="00716AD0">
        <w:tc>
          <w:tcPr>
            <w:tcW w:w="5000" w:type="pct"/>
            <w:gridSpan w:val="3"/>
          </w:tcPr>
          <w:p w:rsidR="00716AD0" w:rsidRPr="003856E2" w:rsidRDefault="00716AD0" w:rsidP="00716AD0">
            <w:pPr>
              <w:jc w:val="both"/>
              <w:rPr>
                <w:rFonts w:eastAsia="Calibri"/>
                <w:sz w:val="20"/>
                <w:lang w:val="fr-CA"/>
              </w:rPr>
            </w:pPr>
            <w:r w:rsidRPr="003856E2">
              <w:rPr>
                <w:rFonts w:eastAsia="Calibri"/>
                <w:i/>
                <w:iCs/>
                <w:sz w:val="20"/>
                <w:lang w:val="fr-CA"/>
              </w:rPr>
              <w:t>Charte des droits</w:t>
            </w:r>
            <w:r w:rsidRPr="003856E2">
              <w:rPr>
                <w:rFonts w:eastAsia="Calibri"/>
                <w:sz w:val="20"/>
                <w:lang w:val="fr-CA"/>
              </w:rPr>
              <w:t xml:space="preserve"> – Droit criminel – Preuve – Admissibilité – Infractions – Produits de la criminalité – L’accusé a été déclaré coupable de possession et de transport de produits de la criminalité – Des incidents subséquents non liés auraient-ils dû être admis en preuve au procès? – L’accusé pouvait-il être déclaré coupable de possession et de transport de produits de la criminalité sans avoir été préalablement déclaré coupable d’un autre crime lié?</w:t>
            </w:r>
          </w:p>
          <w:p w:rsidR="00716AD0" w:rsidRPr="003856E2" w:rsidRDefault="00716AD0" w:rsidP="00716AD0">
            <w:pPr>
              <w:jc w:val="both"/>
              <w:rPr>
                <w:rFonts w:eastAsia="Calibri"/>
                <w:sz w:val="20"/>
                <w:lang w:val="fr-CA"/>
              </w:rPr>
            </w:pPr>
          </w:p>
          <w:p w:rsidR="00716AD0" w:rsidRDefault="00716AD0" w:rsidP="00716AD0">
            <w:pPr>
              <w:jc w:val="both"/>
              <w:rPr>
                <w:rFonts w:eastAsia="Calibri"/>
                <w:sz w:val="20"/>
                <w:lang w:val="fr-CA"/>
              </w:rPr>
            </w:pPr>
            <w:r w:rsidRPr="003856E2">
              <w:rPr>
                <w:rFonts w:eastAsia="Calibri"/>
                <w:sz w:val="20"/>
                <w:lang w:val="fr-CA"/>
              </w:rPr>
              <w:t xml:space="preserve">En avril 2005, M. Hobbs a acheté un billet aller-retour à destination de Vancouver avec départ de Halifax le jour suivant.  À l’époque, il faisait l’objet d’une surveillance policière et les policiers l’ont vu consigner une pièce de bagage au comptoir d’enregistrement de l’aéroport.  Sa valise a été suivie et placée avec d’autres bagages choisis au hasard traités pour le même vol. Un chien renifleur de la police a indiqué le sac étiqueté avec le nom de M. Hobbs et le sac a été saisi. La police soupçonnait que le sac renfermait des stupéfiants ou de l’argent contaminé par des stupéfiants. Ils ont obtenu un mandat de perquisition et ils ont découvert des vêtements et   32 000 $ en argent comptant à l’intérieur du sac. Une analyse subséquente des vêtements et de la valise a indiqué la présence de cocaïne. En juillet 2005, M. Hobbs a été arrêté dans une chambre d’hôtel à New York, où la police a trouvé 100 livres de marijuana et 178 000 $US.  Après avoir été détenu avant son procès à New York, M. Hobbs a plaidé coupable au crime de possession de marijuana. En août 2005, des policiers ont exécuté un mandat de perquisition dans une maison louée à M. Hobbs à Halifax, où ils ont découvert une opération de culture de marijuana au sous-sol. Il a été accusé de possession en vue du trafic et de production de marijuana. Plus tard le même mois, M. Hobbs a été accusé de possession et de transport de produits de la criminalité relativement à l’argent dans la valise. </w:t>
            </w:r>
          </w:p>
          <w:p w:rsidR="00716AD0" w:rsidRPr="003856E2" w:rsidRDefault="00716AD0" w:rsidP="00716AD0">
            <w:pPr>
              <w:jc w:val="both"/>
              <w:rPr>
                <w:rFonts w:eastAsia="Calibri"/>
                <w:sz w:val="20"/>
                <w:lang w:val="fr-CA"/>
              </w:rPr>
            </w:pPr>
          </w:p>
        </w:tc>
      </w:tr>
      <w:tr w:rsidR="00716AD0" w:rsidRPr="001C2F5E" w:rsidTr="00716AD0">
        <w:tc>
          <w:tcPr>
            <w:tcW w:w="2427" w:type="pct"/>
          </w:tcPr>
          <w:p w:rsidR="00716AD0" w:rsidRPr="003856E2" w:rsidRDefault="00716AD0" w:rsidP="00716AD0">
            <w:pPr>
              <w:jc w:val="both"/>
              <w:rPr>
                <w:rFonts w:eastAsia="Calibri"/>
                <w:sz w:val="20"/>
                <w:lang w:val="fr-CA"/>
              </w:rPr>
            </w:pPr>
            <w:r w:rsidRPr="003856E2">
              <w:rPr>
                <w:rFonts w:eastAsia="Calibri"/>
                <w:sz w:val="20"/>
                <w:lang w:val="fr-CA"/>
              </w:rPr>
              <w:t>5 mai 2008</w:t>
            </w:r>
          </w:p>
          <w:p w:rsidR="00716AD0" w:rsidRPr="003856E2" w:rsidRDefault="00716AD0" w:rsidP="00716AD0">
            <w:pPr>
              <w:jc w:val="both"/>
              <w:rPr>
                <w:rFonts w:eastAsia="Calibri"/>
                <w:sz w:val="20"/>
                <w:lang w:val="fr-CA"/>
              </w:rPr>
            </w:pPr>
            <w:r w:rsidRPr="003856E2">
              <w:rPr>
                <w:rFonts w:eastAsia="Calibri"/>
                <w:sz w:val="20"/>
                <w:lang w:val="fr-CA"/>
              </w:rPr>
              <w:t>Cour suprême de la Nouvelle-Écosse, Section de première instance</w:t>
            </w:r>
          </w:p>
          <w:p w:rsidR="00716AD0" w:rsidRPr="003856E2" w:rsidRDefault="00716AD0" w:rsidP="00716AD0">
            <w:pPr>
              <w:jc w:val="both"/>
              <w:rPr>
                <w:rFonts w:eastAsia="Calibri"/>
                <w:sz w:val="20"/>
                <w:lang w:val="fr-CA"/>
              </w:rPr>
            </w:pPr>
            <w:r w:rsidRPr="003856E2">
              <w:rPr>
                <w:rFonts w:eastAsia="Calibri"/>
                <w:sz w:val="20"/>
                <w:lang w:val="fr-CA"/>
              </w:rPr>
              <w:t xml:space="preserve">(Juge </w:t>
            </w:r>
            <w:proofErr w:type="spellStart"/>
            <w:r w:rsidRPr="003856E2">
              <w:rPr>
                <w:rFonts w:eastAsia="Calibri"/>
                <w:sz w:val="20"/>
                <w:lang w:val="fr-CA"/>
              </w:rPr>
              <w:t>Cacchione</w:t>
            </w:r>
            <w:proofErr w:type="spellEnd"/>
            <w:r w:rsidRPr="003856E2">
              <w:rPr>
                <w:rFonts w:eastAsia="Calibri"/>
                <w:sz w:val="20"/>
                <w:lang w:val="fr-CA"/>
              </w:rPr>
              <w:t>)</w:t>
            </w:r>
          </w:p>
          <w:p w:rsidR="00716AD0" w:rsidRPr="003856E2" w:rsidRDefault="00716AD0" w:rsidP="00716AD0">
            <w:pPr>
              <w:jc w:val="both"/>
              <w:rPr>
                <w:rFonts w:eastAsia="Calibri"/>
                <w:sz w:val="20"/>
                <w:lang w:val="fr-CA"/>
              </w:rPr>
            </w:pPr>
            <w:r w:rsidRPr="003856E2">
              <w:rPr>
                <w:rFonts w:eastAsia="Calibri"/>
                <w:sz w:val="20"/>
                <w:lang w:val="fr-CA"/>
              </w:rPr>
              <w:t>2008 NSSC 206</w:t>
            </w:r>
          </w:p>
        </w:tc>
        <w:tc>
          <w:tcPr>
            <w:tcW w:w="243" w:type="pct"/>
          </w:tcPr>
          <w:p w:rsidR="00716AD0" w:rsidRDefault="00716AD0" w:rsidP="00716AD0">
            <w:pPr>
              <w:jc w:val="both"/>
              <w:rPr>
                <w:rFonts w:eastAsia="Calibri"/>
                <w:sz w:val="20"/>
                <w:lang w:val="fr-CA"/>
              </w:rPr>
            </w:pPr>
          </w:p>
          <w:p w:rsidR="00716AD0" w:rsidRDefault="00716AD0" w:rsidP="00716AD0">
            <w:pPr>
              <w:jc w:val="both"/>
              <w:rPr>
                <w:rFonts w:eastAsia="Calibri"/>
                <w:sz w:val="20"/>
                <w:lang w:val="fr-CA"/>
              </w:rPr>
            </w:pPr>
          </w:p>
          <w:p w:rsidR="00716AD0" w:rsidRDefault="00716AD0" w:rsidP="00716AD0">
            <w:pPr>
              <w:jc w:val="both"/>
              <w:rPr>
                <w:rFonts w:eastAsia="Calibri"/>
                <w:sz w:val="20"/>
                <w:lang w:val="fr-CA"/>
              </w:rPr>
            </w:pPr>
          </w:p>
          <w:p w:rsidR="00716AD0" w:rsidRDefault="00716AD0" w:rsidP="00716AD0">
            <w:pPr>
              <w:jc w:val="both"/>
              <w:rPr>
                <w:rFonts w:eastAsia="Calibri"/>
                <w:sz w:val="20"/>
                <w:lang w:val="fr-CA"/>
              </w:rPr>
            </w:pPr>
          </w:p>
          <w:p w:rsidR="00716AD0" w:rsidRDefault="00716AD0" w:rsidP="00716AD0">
            <w:pPr>
              <w:jc w:val="both"/>
              <w:rPr>
                <w:rFonts w:eastAsia="Calibri"/>
                <w:sz w:val="20"/>
                <w:lang w:val="fr-CA"/>
              </w:rPr>
            </w:pPr>
          </w:p>
          <w:p w:rsidR="00716AD0" w:rsidRPr="003856E2" w:rsidRDefault="00716AD0" w:rsidP="00716AD0">
            <w:pPr>
              <w:jc w:val="both"/>
              <w:rPr>
                <w:rFonts w:eastAsia="Calibri"/>
                <w:sz w:val="20"/>
                <w:lang w:val="fr-CA"/>
              </w:rPr>
            </w:pPr>
          </w:p>
        </w:tc>
        <w:tc>
          <w:tcPr>
            <w:tcW w:w="2330" w:type="pct"/>
          </w:tcPr>
          <w:p w:rsidR="00716AD0" w:rsidRPr="003856E2" w:rsidRDefault="00716AD0" w:rsidP="00716AD0">
            <w:pPr>
              <w:jc w:val="both"/>
              <w:rPr>
                <w:rFonts w:eastAsia="Calibri"/>
                <w:sz w:val="20"/>
                <w:lang w:val="fr-CA"/>
              </w:rPr>
            </w:pPr>
            <w:r w:rsidRPr="003856E2">
              <w:rPr>
                <w:rFonts w:eastAsia="Calibri"/>
                <w:sz w:val="20"/>
                <w:lang w:val="fr-CA"/>
              </w:rPr>
              <w:t>Ordonnance autorisant le ministère public à présenter une preuve préjudiciable pertinente au soutien de sa thèse</w:t>
            </w:r>
          </w:p>
        </w:tc>
      </w:tr>
      <w:tr w:rsidR="00716AD0" w:rsidRPr="001C2F5E" w:rsidTr="00716AD0">
        <w:tc>
          <w:tcPr>
            <w:tcW w:w="2427" w:type="pct"/>
          </w:tcPr>
          <w:p w:rsidR="00716AD0" w:rsidRPr="003856E2" w:rsidRDefault="00716AD0" w:rsidP="00716AD0">
            <w:pPr>
              <w:jc w:val="both"/>
              <w:rPr>
                <w:rFonts w:eastAsia="Calibri"/>
                <w:sz w:val="20"/>
                <w:lang w:val="fr-CA"/>
              </w:rPr>
            </w:pPr>
            <w:r w:rsidRPr="003856E2">
              <w:rPr>
                <w:rFonts w:eastAsia="Calibri"/>
                <w:sz w:val="20"/>
                <w:lang w:val="fr-CA"/>
              </w:rPr>
              <w:t>10 octobre 2008</w:t>
            </w:r>
          </w:p>
          <w:p w:rsidR="00716AD0" w:rsidRPr="003856E2" w:rsidRDefault="00716AD0" w:rsidP="00716AD0">
            <w:pPr>
              <w:jc w:val="both"/>
              <w:rPr>
                <w:rFonts w:eastAsia="Calibri"/>
                <w:sz w:val="20"/>
                <w:lang w:val="fr-CA"/>
              </w:rPr>
            </w:pPr>
            <w:r w:rsidRPr="003856E2">
              <w:rPr>
                <w:rFonts w:eastAsia="Calibri"/>
                <w:sz w:val="20"/>
                <w:lang w:val="fr-CA"/>
              </w:rPr>
              <w:t>Cour suprême de la Nouvelle-Écosse, Section de première instance</w:t>
            </w:r>
          </w:p>
          <w:p w:rsidR="00716AD0" w:rsidRPr="003856E2" w:rsidRDefault="00716AD0" w:rsidP="00716AD0">
            <w:pPr>
              <w:jc w:val="both"/>
              <w:rPr>
                <w:rFonts w:eastAsia="Calibri"/>
                <w:sz w:val="20"/>
                <w:lang w:val="fr-CA"/>
              </w:rPr>
            </w:pPr>
            <w:r w:rsidRPr="003856E2">
              <w:rPr>
                <w:rFonts w:eastAsia="Calibri"/>
                <w:sz w:val="20"/>
                <w:lang w:val="fr-CA"/>
              </w:rPr>
              <w:t xml:space="preserve">(Juge </w:t>
            </w:r>
            <w:proofErr w:type="spellStart"/>
            <w:r w:rsidRPr="003856E2">
              <w:rPr>
                <w:rFonts w:eastAsia="Calibri"/>
                <w:sz w:val="20"/>
                <w:lang w:val="fr-CA"/>
              </w:rPr>
              <w:t>Cacchione</w:t>
            </w:r>
            <w:proofErr w:type="spellEnd"/>
            <w:r w:rsidRPr="003856E2">
              <w:rPr>
                <w:rFonts w:eastAsia="Calibri"/>
                <w:sz w:val="20"/>
                <w:lang w:val="fr-CA"/>
              </w:rPr>
              <w:t>)</w:t>
            </w:r>
          </w:p>
          <w:p w:rsidR="00716AD0" w:rsidRPr="003856E2" w:rsidRDefault="00716AD0" w:rsidP="00716AD0">
            <w:pPr>
              <w:jc w:val="both"/>
              <w:rPr>
                <w:rFonts w:eastAsia="Calibri"/>
                <w:sz w:val="20"/>
                <w:lang w:val="fr-CA"/>
              </w:rPr>
            </w:pPr>
            <w:r w:rsidRPr="003856E2">
              <w:rPr>
                <w:rFonts w:eastAsia="Calibri"/>
                <w:sz w:val="20"/>
                <w:lang w:val="fr-CA"/>
              </w:rPr>
              <w:t>2008 NSSC 226</w:t>
            </w:r>
          </w:p>
        </w:tc>
        <w:tc>
          <w:tcPr>
            <w:tcW w:w="243" w:type="pct"/>
          </w:tcPr>
          <w:p w:rsidR="00716AD0" w:rsidRDefault="00716AD0" w:rsidP="00716AD0">
            <w:pPr>
              <w:jc w:val="both"/>
              <w:rPr>
                <w:rFonts w:eastAsia="Calibri"/>
                <w:sz w:val="20"/>
                <w:lang w:val="fr-CA"/>
              </w:rPr>
            </w:pPr>
          </w:p>
          <w:p w:rsidR="00716AD0" w:rsidRDefault="00716AD0" w:rsidP="00716AD0">
            <w:pPr>
              <w:jc w:val="both"/>
              <w:rPr>
                <w:rFonts w:eastAsia="Calibri"/>
                <w:sz w:val="20"/>
                <w:lang w:val="fr-CA"/>
              </w:rPr>
            </w:pPr>
          </w:p>
          <w:p w:rsidR="00716AD0" w:rsidRDefault="00716AD0" w:rsidP="00716AD0">
            <w:pPr>
              <w:jc w:val="both"/>
              <w:rPr>
                <w:rFonts w:eastAsia="Calibri"/>
                <w:sz w:val="20"/>
                <w:lang w:val="fr-CA"/>
              </w:rPr>
            </w:pPr>
          </w:p>
          <w:p w:rsidR="00716AD0" w:rsidRDefault="00716AD0" w:rsidP="00716AD0">
            <w:pPr>
              <w:jc w:val="both"/>
              <w:rPr>
                <w:rFonts w:eastAsia="Calibri"/>
                <w:sz w:val="20"/>
                <w:lang w:val="fr-CA"/>
              </w:rPr>
            </w:pPr>
          </w:p>
          <w:p w:rsidR="00716AD0" w:rsidRDefault="00716AD0" w:rsidP="00716AD0">
            <w:pPr>
              <w:jc w:val="both"/>
              <w:rPr>
                <w:rFonts w:eastAsia="Calibri"/>
                <w:sz w:val="20"/>
                <w:lang w:val="fr-CA"/>
              </w:rPr>
            </w:pPr>
          </w:p>
          <w:p w:rsidR="00716AD0" w:rsidRPr="003856E2" w:rsidRDefault="00716AD0" w:rsidP="00716AD0">
            <w:pPr>
              <w:jc w:val="both"/>
              <w:rPr>
                <w:rFonts w:eastAsia="Calibri"/>
                <w:sz w:val="20"/>
                <w:lang w:val="fr-CA"/>
              </w:rPr>
            </w:pPr>
          </w:p>
        </w:tc>
        <w:tc>
          <w:tcPr>
            <w:tcW w:w="2330" w:type="pct"/>
          </w:tcPr>
          <w:p w:rsidR="00716AD0" w:rsidRPr="003856E2" w:rsidRDefault="00716AD0" w:rsidP="00716AD0">
            <w:pPr>
              <w:jc w:val="both"/>
              <w:rPr>
                <w:rFonts w:eastAsia="Calibri"/>
                <w:sz w:val="20"/>
                <w:lang w:val="fr-CA"/>
              </w:rPr>
            </w:pPr>
            <w:r w:rsidRPr="003856E2">
              <w:rPr>
                <w:rFonts w:eastAsia="Calibri"/>
                <w:sz w:val="20"/>
                <w:lang w:val="fr-CA"/>
              </w:rPr>
              <w:t>Accusé déclaré coupable de possession et de transport des produits de la criminalité et condamné à neuf mois de prison et de deux années de probation</w:t>
            </w:r>
          </w:p>
        </w:tc>
      </w:tr>
      <w:tr w:rsidR="00716AD0" w:rsidRPr="003856E2" w:rsidTr="00716AD0">
        <w:tc>
          <w:tcPr>
            <w:tcW w:w="2427" w:type="pct"/>
          </w:tcPr>
          <w:p w:rsidR="00716AD0" w:rsidRPr="003856E2" w:rsidRDefault="00716AD0" w:rsidP="00716AD0">
            <w:pPr>
              <w:jc w:val="both"/>
              <w:rPr>
                <w:rFonts w:eastAsia="Calibri"/>
                <w:sz w:val="20"/>
                <w:lang w:val="fr-CA"/>
              </w:rPr>
            </w:pPr>
            <w:r w:rsidRPr="003856E2">
              <w:rPr>
                <w:rFonts w:eastAsia="Calibri"/>
                <w:sz w:val="20"/>
                <w:lang w:val="fr-CA"/>
              </w:rPr>
              <w:t>16 juin 2010</w:t>
            </w:r>
          </w:p>
          <w:p w:rsidR="00716AD0" w:rsidRPr="003856E2" w:rsidRDefault="00716AD0" w:rsidP="00716AD0">
            <w:pPr>
              <w:jc w:val="both"/>
              <w:rPr>
                <w:rFonts w:eastAsia="Calibri"/>
                <w:sz w:val="20"/>
                <w:lang w:val="fr-CA"/>
              </w:rPr>
            </w:pPr>
            <w:r w:rsidRPr="003856E2">
              <w:rPr>
                <w:rFonts w:eastAsia="Calibri"/>
                <w:sz w:val="20"/>
                <w:lang w:val="fr-CA"/>
              </w:rPr>
              <w:t>Cour d’appel de la Nouvelle-Écosse</w:t>
            </w:r>
          </w:p>
          <w:p w:rsidR="00716AD0" w:rsidRPr="003856E2" w:rsidRDefault="00716AD0" w:rsidP="00716AD0">
            <w:pPr>
              <w:jc w:val="both"/>
              <w:rPr>
                <w:rFonts w:eastAsia="Calibri"/>
                <w:sz w:val="20"/>
                <w:lang w:val="fr-CA"/>
              </w:rPr>
            </w:pPr>
            <w:r w:rsidRPr="003856E2">
              <w:rPr>
                <w:rFonts w:eastAsia="Calibri"/>
                <w:sz w:val="20"/>
                <w:lang w:val="fr-CA"/>
              </w:rPr>
              <w:t xml:space="preserve">(Juges Bateman, </w:t>
            </w:r>
            <w:proofErr w:type="spellStart"/>
            <w:r w:rsidRPr="003856E2">
              <w:rPr>
                <w:rFonts w:eastAsia="Calibri"/>
                <w:sz w:val="20"/>
                <w:lang w:val="fr-CA"/>
              </w:rPr>
              <w:t>Saunders</w:t>
            </w:r>
            <w:proofErr w:type="spellEnd"/>
            <w:r w:rsidRPr="003856E2">
              <w:rPr>
                <w:rFonts w:eastAsia="Calibri"/>
                <w:sz w:val="20"/>
                <w:lang w:val="fr-CA"/>
              </w:rPr>
              <w:t xml:space="preserve"> et </w:t>
            </w:r>
            <w:proofErr w:type="spellStart"/>
            <w:r w:rsidRPr="003856E2">
              <w:rPr>
                <w:rFonts w:eastAsia="Calibri"/>
                <w:sz w:val="20"/>
                <w:lang w:val="fr-CA"/>
              </w:rPr>
              <w:t>Fichaud</w:t>
            </w:r>
            <w:proofErr w:type="spellEnd"/>
            <w:r w:rsidRPr="003856E2">
              <w:rPr>
                <w:rFonts w:eastAsia="Calibri"/>
                <w:sz w:val="20"/>
                <w:lang w:val="fr-CA"/>
              </w:rPr>
              <w:t>)</w:t>
            </w:r>
          </w:p>
          <w:p w:rsidR="00716AD0" w:rsidRPr="003856E2" w:rsidRDefault="00716AD0" w:rsidP="00716AD0">
            <w:pPr>
              <w:jc w:val="both"/>
              <w:rPr>
                <w:rFonts w:eastAsia="Calibri"/>
                <w:sz w:val="20"/>
                <w:lang w:val="fr-CA"/>
              </w:rPr>
            </w:pPr>
            <w:r w:rsidRPr="003856E2">
              <w:rPr>
                <w:rFonts w:eastAsia="Calibri"/>
                <w:sz w:val="20"/>
                <w:lang w:val="fr-CA"/>
              </w:rPr>
              <w:t>2010 NSCA 53</w:t>
            </w:r>
          </w:p>
        </w:tc>
        <w:tc>
          <w:tcPr>
            <w:tcW w:w="243" w:type="pct"/>
          </w:tcPr>
          <w:p w:rsidR="00716AD0" w:rsidRDefault="00716AD0" w:rsidP="00716AD0">
            <w:pPr>
              <w:jc w:val="both"/>
              <w:rPr>
                <w:rFonts w:eastAsia="Calibri"/>
                <w:sz w:val="20"/>
                <w:lang w:val="fr-CA"/>
              </w:rPr>
            </w:pPr>
          </w:p>
          <w:p w:rsidR="00716AD0" w:rsidRDefault="00716AD0" w:rsidP="00716AD0">
            <w:pPr>
              <w:jc w:val="both"/>
              <w:rPr>
                <w:rFonts w:eastAsia="Calibri"/>
                <w:sz w:val="20"/>
                <w:lang w:val="fr-CA"/>
              </w:rPr>
            </w:pPr>
          </w:p>
          <w:p w:rsidR="00716AD0" w:rsidRDefault="00716AD0" w:rsidP="00716AD0">
            <w:pPr>
              <w:jc w:val="both"/>
              <w:rPr>
                <w:rFonts w:eastAsia="Calibri"/>
                <w:sz w:val="20"/>
                <w:lang w:val="fr-CA"/>
              </w:rPr>
            </w:pPr>
          </w:p>
          <w:p w:rsidR="00716AD0" w:rsidRDefault="00716AD0" w:rsidP="00716AD0">
            <w:pPr>
              <w:jc w:val="both"/>
              <w:rPr>
                <w:rFonts w:eastAsia="Calibri"/>
                <w:sz w:val="20"/>
                <w:lang w:val="fr-CA"/>
              </w:rPr>
            </w:pPr>
          </w:p>
          <w:p w:rsidR="00716AD0" w:rsidRPr="003856E2" w:rsidRDefault="00716AD0" w:rsidP="00716AD0">
            <w:pPr>
              <w:jc w:val="both"/>
              <w:rPr>
                <w:rFonts w:eastAsia="Calibri"/>
                <w:sz w:val="20"/>
                <w:lang w:val="fr-CA"/>
              </w:rPr>
            </w:pPr>
          </w:p>
        </w:tc>
        <w:tc>
          <w:tcPr>
            <w:tcW w:w="2330" w:type="pct"/>
          </w:tcPr>
          <w:p w:rsidR="00716AD0" w:rsidRPr="003856E2" w:rsidRDefault="00716AD0" w:rsidP="00716AD0">
            <w:pPr>
              <w:jc w:val="both"/>
              <w:rPr>
                <w:rFonts w:eastAsia="Calibri"/>
                <w:sz w:val="20"/>
                <w:lang w:val="fr-CA"/>
              </w:rPr>
            </w:pPr>
            <w:r w:rsidRPr="003856E2">
              <w:rPr>
                <w:rFonts w:eastAsia="Calibri"/>
                <w:sz w:val="20"/>
                <w:lang w:val="fr-CA"/>
              </w:rPr>
              <w:t>Appel rejeté</w:t>
            </w:r>
          </w:p>
        </w:tc>
      </w:tr>
      <w:tr w:rsidR="00716AD0" w:rsidRPr="003856E2" w:rsidTr="00716AD0">
        <w:tc>
          <w:tcPr>
            <w:tcW w:w="2427" w:type="pct"/>
          </w:tcPr>
          <w:p w:rsidR="00716AD0" w:rsidRPr="003856E2" w:rsidRDefault="00716AD0" w:rsidP="00716AD0">
            <w:pPr>
              <w:jc w:val="both"/>
              <w:rPr>
                <w:rFonts w:eastAsia="Calibri"/>
                <w:sz w:val="20"/>
                <w:lang w:val="fr-CA"/>
              </w:rPr>
            </w:pPr>
            <w:r w:rsidRPr="003856E2">
              <w:rPr>
                <w:rFonts w:eastAsia="Calibri"/>
                <w:sz w:val="20"/>
                <w:lang w:val="fr-CA"/>
              </w:rPr>
              <w:t>13 août 2010</w:t>
            </w:r>
          </w:p>
          <w:p w:rsidR="00716AD0" w:rsidRPr="003856E2" w:rsidRDefault="00716AD0" w:rsidP="00716AD0">
            <w:pPr>
              <w:jc w:val="both"/>
              <w:rPr>
                <w:rFonts w:eastAsia="Calibri"/>
                <w:sz w:val="20"/>
                <w:lang w:val="fr-CA"/>
              </w:rPr>
            </w:pPr>
            <w:r w:rsidRPr="003856E2">
              <w:rPr>
                <w:rFonts w:eastAsia="Calibri"/>
                <w:sz w:val="20"/>
                <w:lang w:val="fr-CA"/>
              </w:rPr>
              <w:t>Cour suprême du Canada</w:t>
            </w:r>
          </w:p>
        </w:tc>
        <w:tc>
          <w:tcPr>
            <w:tcW w:w="243" w:type="pct"/>
          </w:tcPr>
          <w:p w:rsidR="00716AD0" w:rsidRPr="003856E2" w:rsidRDefault="00716AD0" w:rsidP="00716AD0">
            <w:pPr>
              <w:jc w:val="both"/>
              <w:rPr>
                <w:rFonts w:eastAsia="Calibri"/>
                <w:sz w:val="20"/>
                <w:lang w:val="fr-CA"/>
              </w:rPr>
            </w:pPr>
          </w:p>
        </w:tc>
        <w:tc>
          <w:tcPr>
            <w:tcW w:w="2330" w:type="pct"/>
          </w:tcPr>
          <w:p w:rsidR="00716AD0" w:rsidRPr="003856E2" w:rsidRDefault="00716AD0" w:rsidP="00716AD0">
            <w:pPr>
              <w:jc w:val="both"/>
              <w:rPr>
                <w:rFonts w:eastAsia="Calibri"/>
                <w:sz w:val="20"/>
                <w:lang w:val="fr-CA"/>
              </w:rPr>
            </w:pPr>
            <w:r w:rsidRPr="003856E2">
              <w:rPr>
                <w:rFonts w:eastAsia="Calibri"/>
                <w:sz w:val="20"/>
                <w:lang w:val="fr-CA"/>
              </w:rPr>
              <w:t>Demande d’autorisation d’appel, déposée</w:t>
            </w:r>
          </w:p>
          <w:p w:rsidR="00716AD0" w:rsidRPr="003856E2" w:rsidRDefault="00716AD0" w:rsidP="00716AD0">
            <w:pPr>
              <w:jc w:val="both"/>
              <w:rPr>
                <w:rFonts w:eastAsia="Calibri"/>
                <w:sz w:val="20"/>
                <w:lang w:val="fr-CA"/>
              </w:rPr>
            </w:pPr>
          </w:p>
        </w:tc>
      </w:tr>
    </w:tbl>
    <w:p w:rsidR="00E32432" w:rsidRDefault="00E32432" w:rsidP="00E32432">
      <w:pPr>
        <w:rPr>
          <w:sz w:val="20"/>
          <w:szCs w:val="20"/>
        </w:rPr>
      </w:pPr>
    </w:p>
    <w:p w:rsidR="00E32432" w:rsidRPr="00C50A5C" w:rsidRDefault="00857426" w:rsidP="00E32432">
      <w:pPr>
        <w:rPr>
          <w:sz w:val="20"/>
          <w:szCs w:val="20"/>
        </w:rPr>
      </w:pPr>
      <w:r w:rsidRPr="00857426">
        <w:rPr>
          <w:sz w:val="20"/>
          <w:szCs w:val="20"/>
          <w:lang w:val="fr-CA"/>
        </w:rPr>
        <w:pict>
          <v:rect id="_x0000_i1063" style="width:2in;height:1pt" o:hrpct="0" o:hralign="center" o:hrstd="t" o:hrnoshade="t" o:hr="t" fillcolor="black [3213]" stroked="f"/>
        </w:pict>
      </w:r>
    </w:p>
    <w:p w:rsidR="007F53EF" w:rsidRPr="00C50A5C" w:rsidRDefault="007F53E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DD01FC" w:rsidRDefault="00890FEB" w:rsidP="00890FEB">
      <w:pPr>
        <w:rPr>
          <w:sz w:val="20"/>
          <w:szCs w:val="20"/>
        </w:rPr>
      </w:pPr>
    </w:p>
    <w:p w:rsidR="00890FEB" w:rsidRPr="00DD01FC" w:rsidRDefault="00890FEB" w:rsidP="00890FEB">
      <w:pPr>
        <w:tabs>
          <w:tab w:val="left" w:pos="-1440"/>
          <w:tab w:val="left" w:pos="-720"/>
        </w:tabs>
        <w:spacing w:line="-19" w:lineRule="auto"/>
        <w:jc w:val="both"/>
        <w:rPr>
          <w:sz w:val="20"/>
          <w:szCs w:val="20"/>
        </w:rPr>
      </w:pPr>
    </w:p>
    <w:p w:rsidR="00281746" w:rsidRPr="00281746" w:rsidRDefault="00281746" w:rsidP="00281746">
      <w:pPr>
        <w:rPr>
          <w:rFonts w:cs="Times New Roman"/>
          <w:sz w:val="20"/>
          <w:szCs w:val="20"/>
          <w:lang w:val="fr-CA"/>
        </w:rPr>
      </w:pPr>
      <w:r w:rsidRPr="00281746">
        <w:rPr>
          <w:rFonts w:cs="Times New Roman"/>
          <w:sz w:val="20"/>
          <w:szCs w:val="20"/>
          <w:lang w:val="fr-CA"/>
        </w:rPr>
        <w:t>16.11.2010</w:t>
      </w:r>
    </w:p>
    <w:p w:rsidR="00281746" w:rsidRPr="00281746" w:rsidRDefault="00281746" w:rsidP="00281746">
      <w:pPr>
        <w:rPr>
          <w:rFonts w:cs="Times New Roman"/>
          <w:sz w:val="20"/>
          <w:szCs w:val="20"/>
          <w:lang w:val="fr-CA"/>
        </w:rPr>
      </w:pPr>
    </w:p>
    <w:p w:rsidR="00281746" w:rsidRPr="00281746" w:rsidRDefault="00281746" w:rsidP="00281746">
      <w:pPr>
        <w:jc w:val="both"/>
        <w:rPr>
          <w:rFonts w:cs="Times New Roman"/>
          <w:sz w:val="20"/>
          <w:szCs w:val="20"/>
          <w:lang w:val="fr-CA"/>
        </w:rPr>
      </w:pPr>
      <w:proofErr w:type="spellStart"/>
      <w:r w:rsidRPr="00281746">
        <w:rPr>
          <w:rFonts w:cs="Times New Roman"/>
          <w:sz w:val="20"/>
          <w:szCs w:val="20"/>
          <w:lang w:val="fr-CA"/>
        </w:rPr>
        <w:t>Before</w:t>
      </w:r>
      <w:proofErr w:type="spellEnd"/>
      <w:r w:rsidRPr="00281746">
        <w:rPr>
          <w:rFonts w:cs="Times New Roman"/>
          <w:sz w:val="20"/>
          <w:szCs w:val="20"/>
          <w:lang w:val="fr-CA"/>
        </w:rPr>
        <w:t xml:space="preserve"> / Devant:   ABELLA J. / LA JUGE ABELLA</w:t>
      </w:r>
    </w:p>
    <w:p w:rsidR="00281746" w:rsidRPr="00281746" w:rsidRDefault="00281746" w:rsidP="00281746">
      <w:pPr>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3313"/>
        <w:gridCol w:w="467"/>
        <w:gridCol w:w="4687"/>
      </w:tblGrid>
      <w:tr w:rsidR="00281746" w:rsidRPr="001C2F5E" w:rsidTr="00307D0D">
        <w:tc>
          <w:tcPr>
            <w:tcW w:w="4681" w:type="dxa"/>
            <w:gridSpan w:val="2"/>
          </w:tcPr>
          <w:p w:rsidR="00281746" w:rsidRPr="00281746" w:rsidRDefault="00857426" w:rsidP="00307D0D">
            <w:pPr>
              <w:rPr>
                <w:rFonts w:cs="Times New Roman"/>
                <w:b/>
                <w:sz w:val="20"/>
                <w:szCs w:val="20"/>
              </w:rPr>
            </w:pPr>
            <w:r w:rsidRPr="00281746">
              <w:rPr>
                <w:rFonts w:cs="Times New Roman"/>
                <w:sz w:val="20"/>
                <w:szCs w:val="20"/>
              </w:rPr>
              <w:fldChar w:fldCharType="begin"/>
            </w:r>
            <w:r w:rsidR="00281746" w:rsidRPr="00281746">
              <w:rPr>
                <w:rFonts w:cs="Times New Roman"/>
                <w:sz w:val="20"/>
                <w:szCs w:val="20"/>
              </w:rPr>
              <w:instrText xml:space="preserve"> SEQ CHAPTER \h \r 1</w:instrText>
            </w:r>
            <w:r w:rsidRPr="00281746">
              <w:rPr>
                <w:rFonts w:cs="Times New Roman"/>
                <w:sz w:val="20"/>
                <w:szCs w:val="20"/>
              </w:rPr>
              <w:fldChar w:fldCharType="end"/>
            </w:r>
            <w:r w:rsidR="00281746" w:rsidRPr="00281746">
              <w:rPr>
                <w:rFonts w:cs="Times New Roman"/>
                <w:b/>
                <w:bCs/>
                <w:sz w:val="20"/>
                <w:szCs w:val="20"/>
              </w:rPr>
              <w:t>Order on interventions with respect to oral argument</w:t>
            </w:r>
          </w:p>
        </w:tc>
        <w:tc>
          <w:tcPr>
            <w:tcW w:w="467" w:type="dxa"/>
          </w:tcPr>
          <w:p w:rsidR="00281746" w:rsidRPr="00281746" w:rsidRDefault="00281746" w:rsidP="00307D0D">
            <w:pPr>
              <w:rPr>
                <w:rFonts w:cs="Times New Roman"/>
                <w:sz w:val="20"/>
                <w:szCs w:val="20"/>
              </w:rPr>
            </w:pPr>
          </w:p>
          <w:p w:rsidR="00281746" w:rsidRPr="00281746" w:rsidRDefault="00281746" w:rsidP="00307D0D">
            <w:pPr>
              <w:rPr>
                <w:rFonts w:cs="Times New Roman"/>
                <w:sz w:val="20"/>
                <w:szCs w:val="20"/>
              </w:rPr>
            </w:pPr>
          </w:p>
          <w:p w:rsidR="00281746" w:rsidRPr="00281746" w:rsidRDefault="00281746" w:rsidP="00307D0D">
            <w:pPr>
              <w:rPr>
                <w:rFonts w:cs="Times New Roman"/>
                <w:sz w:val="20"/>
                <w:szCs w:val="20"/>
              </w:rPr>
            </w:pPr>
          </w:p>
        </w:tc>
        <w:tc>
          <w:tcPr>
            <w:tcW w:w="4687" w:type="dxa"/>
          </w:tcPr>
          <w:p w:rsidR="00281746" w:rsidRPr="00281746" w:rsidRDefault="00857426" w:rsidP="00307D0D">
            <w:pPr>
              <w:rPr>
                <w:rFonts w:cs="Times New Roman"/>
                <w:b/>
                <w:sz w:val="20"/>
                <w:szCs w:val="20"/>
                <w:lang w:val="fr-CA"/>
              </w:rPr>
            </w:pPr>
            <w:r w:rsidRPr="00281746">
              <w:rPr>
                <w:rFonts w:cs="Times New Roman"/>
                <w:sz w:val="20"/>
                <w:szCs w:val="20"/>
              </w:rPr>
              <w:fldChar w:fldCharType="begin"/>
            </w:r>
            <w:r w:rsidR="00281746" w:rsidRPr="00281746">
              <w:rPr>
                <w:rFonts w:cs="Times New Roman"/>
                <w:sz w:val="20"/>
                <w:szCs w:val="20"/>
                <w:lang w:val="fr-CA"/>
              </w:rPr>
              <w:instrText xml:space="preserve"> SEQ CHAPTER \h \r 1</w:instrText>
            </w:r>
            <w:r w:rsidRPr="00281746">
              <w:rPr>
                <w:rFonts w:cs="Times New Roman"/>
                <w:sz w:val="20"/>
                <w:szCs w:val="20"/>
              </w:rPr>
              <w:fldChar w:fldCharType="end"/>
            </w:r>
            <w:r w:rsidR="00281746" w:rsidRPr="00281746">
              <w:rPr>
                <w:rFonts w:cs="Times New Roman"/>
                <w:b/>
                <w:bCs/>
                <w:sz w:val="20"/>
                <w:szCs w:val="20"/>
                <w:lang w:val="fr-CA"/>
              </w:rPr>
              <w:t>Ordonnance relative à la présentation d’une plaidoirie orale par les intervenants</w:t>
            </w:r>
          </w:p>
        </w:tc>
      </w:tr>
      <w:tr w:rsidR="00281746" w:rsidRPr="00281746" w:rsidTr="00307D0D">
        <w:tc>
          <w:tcPr>
            <w:tcW w:w="1368" w:type="dxa"/>
          </w:tcPr>
          <w:p w:rsidR="00281746" w:rsidRPr="00281746" w:rsidRDefault="00281746" w:rsidP="00307D0D">
            <w:pPr>
              <w:rPr>
                <w:rFonts w:cs="Times New Roman"/>
                <w:sz w:val="20"/>
                <w:szCs w:val="20"/>
              </w:rPr>
            </w:pPr>
            <w:r w:rsidRPr="00281746">
              <w:rPr>
                <w:rFonts w:cs="Times New Roman"/>
                <w:sz w:val="20"/>
                <w:szCs w:val="20"/>
              </w:rPr>
              <w:t>RE</w:t>
            </w:r>
          </w:p>
        </w:tc>
        <w:tc>
          <w:tcPr>
            <w:tcW w:w="3313" w:type="dxa"/>
          </w:tcPr>
          <w:p w:rsidR="00281746" w:rsidRPr="00281746" w:rsidRDefault="00281746" w:rsidP="00307D0D">
            <w:pPr>
              <w:rPr>
                <w:rFonts w:cs="Times New Roman"/>
                <w:sz w:val="20"/>
                <w:szCs w:val="20"/>
              </w:rPr>
            </w:pPr>
            <w:r w:rsidRPr="00281746">
              <w:rPr>
                <w:rFonts w:cs="Times New Roman"/>
                <w:sz w:val="20"/>
                <w:szCs w:val="20"/>
              </w:rPr>
              <w:t>Canadian Association for Community Living;</w:t>
            </w:r>
          </w:p>
        </w:tc>
        <w:tc>
          <w:tcPr>
            <w:tcW w:w="467" w:type="dxa"/>
          </w:tcPr>
          <w:p w:rsidR="00281746" w:rsidRPr="00281746" w:rsidRDefault="00281746" w:rsidP="00307D0D">
            <w:pPr>
              <w:rPr>
                <w:rFonts w:cs="Times New Roman"/>
                <w:sz w:val="20"/>
                <w:szCs w:val="20"/>
              </w:rPr>
            </w:pPr>
          </w:p>
        </w:tc>
        <w:tc>
          <w:tcPr>
            <w:tcW w:w="4687" w:type="dxa"/>
          </w:tcPr>
          <w:p w:rsidR="00281746" w:rsidRPr="00281746" w:rsidRDefault="00281746" w:rsidP="00307D0D">
            <w:pPr>
              <w:rPr>
                <w:rFonts w:cs="Times New Roman"/>
                <w:sz w:val="20"/>
                <w:szCs w:val="20"/>
              </w:rPr>
            </w:pPr>
          </w:p>
        </w:tc>
      </w:tr>
      <w:tr w:rsidR="00281746" w:rsidRPr="00281746" w:rsidTr="00307D0D">
        <w:tc>
          <w:tcPr>
            <w:tcW w:w="1368" w:type="dxa"/>
          </w:tcPr>
          <w:p w:rsidR="00281746" w:rsidRPr="00281746" w:rsidRDefault="00281746" w:rsidP="00307D0D">
            <w:pPr>
              <w:rPr>
                <w:rFonts w:cs="Times New Roman"/>
                <w:sz w:val="20"/>
                <w:szCs w:val="20"/>
              </w:rPr>
            </w:pPr>
          </w:p>
        </w:tc>
        <w:tc>
          <w:tcPr>
            <w:tcW w:w="3313" w:type="dxa"/>
          </w:tcPr>
          <w:p w:rsidR="00281746" w:rsidRPr="00281746" w:rsidRDefault="00281746" w:rsidP="00307D0D">
            <w:pPr>
              <w:rPr>
                <w:rFonts w:cs="Times New Roman"/>
                <w:sz w:val="20"/>
                <w:szCs w:val="20"/>
              </w:rPr>
            </w:pPr>
            <w:r w:rsidRPr="00281746">
              <w:rPr>
                <w:rFonts w:cs="Times New Roman"/>
                <w:sz w:val="20"/>
                <w:szCs w:val="20"/>
              </w:rPr>
              <w:t>Elizabeth Métis Settlement;</w:t>
            </w:r>
          </w:p>
        </w:tc>
        <w:tc>
          <w:tcPr>
            <w:tcW w:w="467" w:type="dxa"/>
          </w:tcPr>
          <w:p w:rsidR="00281746" w:rsidRPr="00281746" w:rsidRDefault="00281746" w:rsidP="00307D0D">
            <w:pPr>
              <w:rPr>
                <w:rFonts w:cs="Times New Roman"/>
                <w:sz w:val="20"/>
                <w:szCs w:val="20"/>
              </w:rPr>
            </w:pPr>
          </w:p>
        </w:tc>
        <w:tc>
          <w:tcPr>
            <w:tcW w:w="4687" w:type="dxa"/>
          </w:tcPr>
          <w:p w:rsidR="00281746" w:rsidRPr="00281746" w:rsidRDefault="00281746" w:rsidP="00307D0D">
            <w:pPr>
              <w:rPr>
                <w:rFonts w:cs="Times New Roman"/>
                <w:sz w:val="20"/>
                <w:szCs w:val="20"/>
              </w:rPr>
            </w:pPr>
          </w:p>
        </w:tc>
      </w:tr>
      <w:tr w:rsidR="00281746" w:rsidRPr="00281746" w:rsidTr="00307D0D">
        <w:tc>
          <w:tcPr>
            <w:tcW w:w="1368" w:type="dxa"/>
          </w:tcPr>
          <w:p w:rsidR="00281746" w:rsidRPr="00281746" w:rsidRDefault="00281746" w:rsidP="00307D0D">
            <w:pPr>
              <w:rPr>
                <w:rFonts w:cs="Times New Roman"/>
                <w:sz w:val="20"/>
                <w:szCs w:val="20"/>
              </w:rPr>
            </w:pPr>
          </w:p>
        </w:tc>
        <w:tc>
          <w:tcPr>
            <w:tcW w:w="3313" w:type="dxa"/>
          </w:tcPr>
          <w:p w:rsidR="00281746" w:rsidRPr="00281746" w:rsidRDefault="00281746" w:rsidP="00307D0D">
            <w:pPr>
              <w:rPr>
                <w:rFonts w:cs="Times New Roman"/>
                <w:sz w:val="20"/>
                <w:szCs w:val="20"/>
              </w:rPr>
            </w:pPr>
            <w:r w:rsidRPr="00281746">
              <w:rPr>
                <w:rFonts w:cs="Times New Roman"/>
                <w:sz w:val="20"/>
                <w:szCs w:val="20"/>
              </w:rPr>
              <w:t>Women’s Legal Education and Action Fund;</w:t>
            </w:r>
          </w:p>
        </w:tc>
        <w:tc>
          <w:tcPr>
            <w:tcW w:w="467" w:type="dxa"/>
          </w:tcPr>
          <w:p w:rsidR="00281746" w:rsidRPr="00281746" w:rsidRDefault="00281746" w:rsidP="00307D0D">
            <w:pPr>
              <w:rPr>
                <w:rFonts w:cs="Times New Roman"/>
                <w:sz w:val="20"/>
                <w:szCs w:val="20"/>
              </w:rPr>
            </w:pPr>
          </w:p>
        </w:tc>
        <w:tc>
          <w:tcPr>
            <w:tcW w:w="4687" w:type="dxa"/>
          </w:tcPr>
          <w:p w:rsidR="00281746" w:rsidRPr="00281746" w:rsidRDefault="00281746" w:rsidP="00307D0D">
            <w:pPr>
              <w:rPr>
                <w:rFonts w:cs="Times New Roman"/>
                <w:sz w:val="20"/>
                <w:szCs w:val="20"/>
              </w:rPr>
            </w:pPr>
          </w:p>
        </w:tc>
      </w:tr>
      <w:tr w:rsidR="00281746" w:rsidRPr="00281746" w:rsidTr="00307D0D">
        <w:tc>
          <w:tcPr>
            <w:tcW w:w="1368" w:type="dxa"/>
          </w:tcPr>
          <w:p w:rsidR="00281746" w:rsidRPr="00281746" w:rsidRDefault="00281746" w:rsidP="00307D0D">
            <w:pPr>
              <w:rPr>
                <w:rFonts w:cs="Times New Roman"/>
                <w:sz w:val="20"/>
                <w:szCs w:val="20"/>
              </w:rPr>
            </w:pPr>
          </w:p>
        </w:tc>
        <w:tc>
          <w:tcPr>
            <w:tcW w:w="3313" w:type="dxa"/>
          </w:tcPr>
          <w:p w:rsidR="00281746" w:rsidRPr="00281746" w:rsidRDefault="00281746" w:rsidP="00307D0D">
            <w:pPr>
              <w:rPr>
                <w:rFonts w:cs="Times New Roman"/>
                <w:sz w:val="20"/>
                <w:szCs w:val="20"/>
              </w:rPr>
            </w:pPr>
            <w:r w:rsidRPr="00281746">
              <w:rPr>
                <w:rFonts w:cs="Times New Roman"/>
                <w:sz w:val="20"/>
                <w:szCs w:val="20"/>
              </w:rPr>
              <w:t>East Prairie Métis Settlement;</w:t>
            </w:r>
          </w:p>
        </w:tc>
        <w:tc>
          <w:tcPr>
            <w:tcW w:w="467" w:type="dxa"/>
          </w:tcPr>
          <w:p w:rsidR="00281746" w:rsidRPr="00281746" w:rsidRDefault="00281746" w:rsidP="00307D0D">
            <w:pPr>
              <w:rPr>
                <w:rFonts w:cs="Times New Roman"/>
                <w:sz w:val="20"/>
                <w:szCs w:val="20"/>
              </w:rPr>
            </w:pPr>
          </w:p>
        </w:tc>
        <w:tc>
          <w:tcPr>
            <w:tcW w:w="4687" w:type="dxa"/>
          </w:tcPr>
          <w:p w:rsidR="00281746" w:rsidRPr="00281746" w:rsidRDefault="00281746" w:rsidP="00307D0D">
            <w:pPr>
              <w:rPr>
                <w:rFonts w:cs="Times New Roman"/>
                <w:sz w:val="20"/>
                <w:szCs w:val="20"/>
              </w:rPr>
            </w:pPr>
          </w:p>
        </w:tc>
      </w:tr>
      <w:tr w:rsidR="00281746" w:rsidRPr="00281746" w:rsidTr="00307D0D">
        <w:tc>
          <w:tcPr>
            <w:tcW w:w="1368" w:type="dxa"/>
          </w:tcPr>
          <w:p w:rsidR="00281746" w:rsidRPr="00281746" w:rsidRDefault="00281746" w:rsidP="00307D0D">
            <w:pPr>
              <w:rPr>
                <w:rFonts w:cs="Times New Roman"/>
                <w:sz w:val="20"/>
                <w:szCs w:val="20"/>
              </w:rPr>
            </w:pPr>
          </w:p>
        </w:tc>
        <w:tc>
          <w:tcPr>
            <w:tcW w:w="3313" w:type="dxa"/>
          </w:tcPr>
          <w:p w:rsidR="00281746" w:rsidRPr="00281746" w:rsidRDefault="00281746" w:rsidP="00307D0D">
            <w:pPr>
              <w:rPr>
                <w:rFonts w:cs="Times New Roman"/>
                <w:sz w:val="20"/>
                <w:szCs w:val="20"/>
              </w:rPr>
            </w:pPr>
            <w:r w:rsidRPr="00281746">
              <w:rPr>
                <w:rFonts w:cs="Times New Roman"/>
                <w:sz w:val="20"/>
                <w:szCs w:val="20"/>
              </w:rPr>
              <w:t>Aboriginal Legal Services of Toronto Inc.;</w:t>
            </w:r>
          </w:p>
        </w:tc>
        <w:tc>
          <w:tcPr>
            <w:tcW w:w="467" w:type="dxa"/>
          </w:tcPr>
          <w:p w:rsidR="00281746" w:rsidRPr="00281746" w:rsidRDefault="00281746" w:rsidP="00307D0D">
            <w:pPr>
              <w:rPr>
                <w:rFonts w:cs="Times New Roman"/>
                <w:sz w:val="20"/>
                <w:szCs w:val="20"/>
              </w:rPr>
            </w:pPr>
          </w:p>
        </w:tc>
        <w:tc>
          <w:tcPr>
            <w:tcW w:w="4687" w:type="dxa"/>
          </w:tcPr>
          <w:p w:rsidR="00281746" w:rsidRPr="00281746" w:rsidRDefault="00281746" w:rsidP="00307D0D">
            <w:pPr>
              <w:rPr>
                <w:rFonts w:cs="Times New Roman"/>
                <w:sz w:val="20"/>
                <w:szCs w:val="20"/>
              </w:rPr>
            </w:pPr>
          </w:p>
        </w:tc>
      </w:tr>
      <w:tr w:rsidR="00281746" w:rsidRPr="00281746" w:rsidTr="00307D0D">
        <w:tc>
          <w:tcPr>
            <w:tcW w:w="1368" w:type="dxa"/>
          </w:tcPr>
          <w:p w:rsidR="00281746" w:rsidRPr="00281746" w:rsidRDefault="00281746" w:rsidP="00307D0D">
            <w:pPr>
              <w:rPr>
                <w:rFonts w:cs="Times New Roman"/>
                <w:sz w:val="20"/>
                <w:szCs w:val="20"/>
              </w:rPr>
            </w:pPr>
          </w:p>
        </w:tc>
        <w:tc>
          <w:tcPr>
            <w:tcW w:w="3313" w:type="dxa"/>
          </w:tcPr>
          <w:p w:rsidR="00281746" w:rsidRPr="00281746" w:rsidRDefault="00281746" w:rsidP="00307D0D">
            <w:pPr>
              <w:rPr>
                <w:rFonts w:cs="Times New Roman"/>
                <w:sz w:val="20"/>
                <w:szCs w:val="20"/>
              </w:rPr>
            </w:pPr>
            <w:r w:rsidRPr="00281746">
              <w:rPr>
                <w:rFonts w:cs="Times New Roman"/>
                <w:sz w:val="20"/>
                <w:szCs w:val="20"/>
              </w:rPr>
              <w:t>Gift Lake Métis Settlement;</w:t>
            </w:r>
          </w:p>
        </w:tc>
        <w:tc>
          <w:tcPr>
            <w:tcW w:w="467" w:type="dxa"/>
          </w:tcPr>
          <w:p w:rsidR="00281746" w:rsidRPr="00281746" w:rsidRDefault="00281746" w:rsidP="00307D0D">
            <w:pPr>
              <w:rPr>
                <w:rFonts w:cs="Times New Roman"/>
                <w:sz w:val="20"/>
                <w:szCs w:val="20"/>
              </w:rPr>
            </w:pPr>
          </w:p>
        </w:tc>
        <w:tc>
          <w:tcPr>
            <w:tcW w:w="4687" w:type="dxa"/>
          </w:tcPr>
          <w:p w:rsidR="00281746" w:rsidRPr="00281746" w:rsidRDefault="00281746" w:rsidP="00307D0D">
            <w:pPr>
              <w:rPr>
                <w:rFonts w:cs="Times New Roman"/>
                <w:sz w:val="20"/>
                <w:szCs w:val="20"/>
              </w:rPr>
            </w:pPr>
          </w:p>
        </w:tc>
      </w:tr>
      <w:tr w:rsidR="00281746" w:rsidRPr="00281746" w:rsidTr="00307D0D">
        <w:tc>
          <w:tcPr>
            <w:tcW w:w="1368" w:type="dxa"/>
          </w:tcPr>
          <w:p w:rsidR="00281746" w:rsidRPr="00281746" w:rsidRDefault="00281746" w:rsidP="00307D0D">
            <w:pPr>
              <w:rPr>
                <w:rFonts w:cs="Times New Roman"/>
                <w:sz w:val="20"/>
                <w:szCs w:val="20"/>
              </w:rPr>
            </w:pPr>
          </w:p>
        </w:tc>
        <w:tc>
          <w:tcPr>
            <w:tcW w:w="3313" w:type="dxa"/>
          </w:tcPr>
          <w:p w:rsidR="00281746" w:rsidRPr="00281746" w:rsidRDefault="00281746" w:rsidP="00307D0D">
            <w:pPr>
              <w:rPr>
                <w:rFonts w:cs="Times New Roman"/>
                <w:sz w:val="20"/>
                <w:szCs w:val="20"/>
              </w:rPr>
            </w:pPr>
            <w:r w:rsidRPr="00281746">
              <w:rPr>
                <w:rFonts w:cs="Times New Roman"/>
                <w:sz w:val="20"/>
                <w:szCs w:val="20"/>
              </w:rPr>
              <w:t>Native Women’s Association of Canada;</w:t>
            </w:r>
          </w:p>
        </w:tc>
        <w:tc>
          <w:tcPr>
            <w:tcW w:w="467" w:type="dxa"/>
          </w:tcPr>
          <w:p w:rsidR="00281746" w:rsidRPr="00281746" w:rsidRDefault="00281746" w:rsidP="00307D0D">
            <w:pPr>
              <w:rPr>
                <w:rFonts w:cs="Times New Roman"/>
                <w:sz w:val="20"/>
                <w:szCs w:val="20"/>
              </w:rPr>
            </w:pPr>
          </w:p>
        </w:tc>
        <w:tc>
          <w:tcPr>
            <w:tcW w:w="4687" w:type="dxa"/>
          </w:tcPr>
          <w:p w:rsidR="00281746" w:rsidRPr="00281746" w:rsidRDefault="00281746" w:rsidP="00307D0D">
            <w:pPr>
              <w:rPr>
                <w:rFonts w:cs="Times New Roman"/>
                <w:sz w:val="20"/>
                <w:szCs w:val="20"/>
              </w:rPr>
            </w:pPr>
          </w:p>
        </w:tc>
      </w:tr>
      <w:tr w:rsidR="00281746" w:rsidRPr="00281746" w:rsidTr="00307D0D">
        <w:tc>
          <w:tcPr>
            <w:tcW w:w="1368" w:type="dxa"/>
          </w:tcPr>
          <w:p w:rsidR="00281746" w:rsidRPr="00281746" w:rsidRDefault="00281746" w:rsidP="00307D0D">
            <w:pPr>
              <w:rPr>
                <w:rFonts w:cs="Times New Roman"/>
                <w:sz w:val="20"/>
                <w:szCs w:val="20"/>
              </w:rPr>
            </w:pPr>
          </w:p>
        </w:tc>
        <w:tc>
          <w:tcPr>
            <w:tcW w:w="3313" w:type="dxa"/>
          </w:tcPr>
          <w:p w:rsidR="00281746" w:rsidRPr="00281746" w:rsidRDefault="00281746" w:rsidP="00307D0D">
            <w:pPr>
              <w:rPr>
                <w:rFonts w:cs="Times New Roman"/>
                <w:sz w:val="20"/>
                <w:szCs w:val="20"/>
              </w:rPr>
            </w:pPr>
            <w:r w:rsidRPr="00281746">
              <w:rPr>
                <w:rFonts w:cs="Times New Roman"/>
                <w:sz w:val="20"/>
                <w:szCs w:val="20"/>
              </w:rPr>
              <w:t>Métis Nation of Alberta;</w:t>
            </w:r>
          </w:p>
        </w:tc>
        <w:tc>
          <w:tcPr>
            <w:tcW w:w="467" w:type="dxa"/>
          </w:tcPr>
          <w:p w:rsidR="00281746" w:rsidRPr="00281746" w:rsidRDefault="00281746" w:rsidP="00307D0D">
            <w:pPr>
              <w:rPr>
                <w:rFonts w:cs="Times New Roman"/>
                <w:sz w:val="20"/>
                <w:szCs w:val="20"/>
              </w:rPr>
            </w:pPr>
          </w:p>
        </w:tc>
        <w:tc>
          <w:tcPr>
            <w:tcW w:w="4687" w:type="dxa"/>
          </w:tcPr>
          <w:p w:rsidR="00281746" w:rsidRPr="00281746" w:rsidRDefault="00281746" w:rsidP="00307D0D">
            <w:pPr>
              <w:rPr>
                <w:rFonts w:cs="Times New Roman"/>
                <w:sz w:val="20"/>
                <w:szCs w:val="20"/>
              </w:rPr>
            </w:pPr>
          </w:p>
        </w:tc>
      </w:tr>
      <w:tr w:rsidR="00281746" w:rsidRPr="00281746" w:rsidTr="00307D0D">
        <w:tc>
          <w:tcPr>
            <w:tcW w:w="1368" w:type="dxa"/>
          </w:tcPr>
          <w:p w:rsidR="00281746" w:rsidRPr="00281746" w:rsidRDefault="00281746" w:rsidP="00307D0D">
            <w:pPr>
              <w:rPr>
                <w:rFonts w:cs="Times New Roman"/>
                <w:sz w:val="20"/>
                <w:szCs w:val="20"/>
              </w:rPr>
            </w:pPr>
          </w:p>
        </w:tc>
        <w:tc>
          <w:tcPr>
            <w:tcW w:w="3313" w:type="dxa"/>
          </w:tcPr>
          <w:p w:rsidR="00281746" w:rsidRPr="00281746" w:rsidRDefault="00281746" w:rsidP="00307D0D">
            <w:pPr>
              <w:rPr>
                <w:rFonts w:cs="Times New Roman"/>
                <w:sz w:val="20"/>
                <w:szCs w:val="20"/>
              </w:rPr>
            </w:pPr>
            <w:r w:rsidRPr="00281746">
              <w:rPr>
                <w:rFonts w:cs="Times New Roman"/>
                <w:sz w:val="20"/>
                <w:szCs w:val="20"/>
              </w:rPr>
              <w:t xml:space="preserve">Métis National Council; </w:t>
            </w:r>
          </w:p>
        </w:tc>
        <w:tc>
          <w:tcPr>
            <w:tcW w:w="467" w:type="dxa"/>
          </w:tcPr>
          <w:p w:rsidR="00281746" w:rsidRPr="00281746" w:rsidRDefault="00281746" w:rsidP="00307D0D">
            <w:pPr>
              <w:rPr>
                <w:rFonts w:cs="Times New Roman"/>
                <w:sz w:val="20"/>
                <w:szCs w:val="20"/>
              </w:rPr>
            </w:pPr>
          </w:p>
        </w:tc>
        <w:tc>
          <w:tcPr>
            <w:tcW w:w="4687" w:type="dxa"/>
          </w:tcPr>
          <w:p w:rsidR="00281746" w:rsidRPr="00281746" w:rsidRDefault="00281746" w:rsidP="00307D0D">
            <w:pPr>
              <w:rPr>
                <w:rFonts w:cs="Times New Roman"/>
                <w:sz w:val="20"/>
                <w:szCs w:val="20"/>
              </w:rPr>
            </w:pPr>
          </w:p>
        </w:tc>
      </w:tr>
      <w:tr w:rsidR="00281746" w:rsidRPr="00281746" w:rsidTr="00307D0D">
        <w:tc>
          <w:tcPr>
            <w:tcW w:w="1368" w:type="dxa"/>
          </w:tcPr>
          <w:p w:rsidR="00281746" w:rsidRPr="00281746" w:rsidRDefault="00281746" w:rsidP="00307D0D">
            <w:pPr>
              <w:rPr>
                <w:rFonts w:cs="Times New Roman"/>
                <w:sz w:val="20"/>
                <w:szCs w:val="20"/>
              </w:rPr>
            </w:pPr>
          </w:p>
        </w:tc>
        <w:tc>
          <w:tcPr>
            <w:tcW w:w="3313" w:type="dxa"/>
          </w:tcPr>
          <w:p w:rsidR="00281746" w:rsidRPr="00281746" w:rsidRDefault="00281746" w:rsidP="00307D0D">
            <w:pPr>
              <w:rPr>
                <w:rFonts w:cs="Times New Roman"/>
                <w:sz w:val="20"/>
                <w:szCs w:val="20"/>
              </w:rPr>
            </w:pPr>
            <w:r w:rsidRPr="00281746">
              <w:rPr>
                <w:rFonts w:cs="Times New Roman"/>
                <w:sz w:val="20"/>
                <w:szCs w:val="20"/>
              </w:rPr>
              <w:t>Métis Settlements General Council</w:t>
            </w:r>
          </w:p>
        </w:tc>
        <w:tc>
          <w:tcPr>
            <w:tcW w:w="467" w:type="dxa"/>
          </w:tcPr>
          <w:p w:rsidR="00281746" w:rsidRPr="00281746" w:rsidRDefault="00281746" w:rsidP="00307D0D">
            <w:pPr>
              <w:rPr>
                <w:rFonts w:cs="Times New Roman"/>
                <w:sz w:val="20"/>
                <w:szCs w:val="20"/>
              </w:rPr>
            </w:pPr>
          </w:p>
        </w:tc>
        <w:tc>
          <w:tcPr>
            <w:tcW w:w="4687" w:type="dxa"/>
          </w:tcPr>
          <w:p w:rsidR="00281746" w:rsidRPr="00281746" w:rsidRDefault="00281746" w:rsidP="00307D0D">
            <w:pPr>
              <w:rPr>
                <w:rFonts w:cs="Times New Roman"/>
                <w:sz w:val="20"/>
                <w:szCs w:val="20"/>
              </w:rPr>
            </w:pPr>
          </w:p>
        </w:tc>
      </w:tr>
      <w:tr w:rsidR="00281746" w:rsidRPr="00281746" w:rsidTr="00307D0D">
        <w:tc>
          <w:tcPr>
            <w:tcW w:w="1368" w:type="dxa"/>
          </w:tcPr>
          <w:p w:rsidR="00281746" w:rsidRPr="00281746" w:rsidRDefault="00281746" w:rsidP="00307D0D">
            <w:pPr>
              <w:rPr>
                <w:rFonts w:cs="Times New Roman"/>
                <w:sz w:val="20"/>
                <w:szCs w:val="20"/>
              </w:rPr>
            </w:pPr>
          </w:p>
        </w:tc>
        <w:tc>
          <w:tcPr>
            <w:tcW w:w="3313" w:type="dxa"/>
          </w:tcPr>
          <w:p w:rsidR="00281746" w:rsidRPr="00281746" w:rsidRDefault="00281746" w:rsidP="00307D0D">
            <w:pPr>
              <w:rPr>
                <w:rFonts w:cs="Times New Roman"/>
                <w:sz w:val="20"/>
                <w:szCs w:val="20"/>
              </w:rPr>
            </w:pPr>
          </w:p>
        </w:tc>
        <w:tc>
          <w:tcPr>
            <w:tcW w:w="467" w:type="dxa"/>
          </w:tcPr>
          <w:p w:rsidR="00281746" w:rsidRPr="00281746" w:rsidRDefault="00281746" w:rsidP="00307D0D">
            <w:pPr>
              <w:rPr>
                <w:rFonts w:cs="Times New Roman"/>
                <w:sz w:val="20"/>
                <w:szCs w:val="20"/>
              </w:rPr>
            </w:pPr>
          </w:p>
        </w:tc>
        <w:tc>
          <w:tcPr>
            <w:tcW w:w="4687" w:type="dxa"/>
          </w:tcPr>
          <w:p w:rsidR="00281746" w:rsidRPr="00281746" w:rsidRDefault="00281746" w:rsidP="00307D0D">
            <w:pPr>
              <w:rPr>
                <w:rFonts w:cs="Times New Roman"/>
                <w:sz w:val="20"/>
                <w:szCs w:val="20"/>
              </w:rPr>
            </w:pPr>
          </w:p>
        </w:tc>
      </w:tr>
      <w:tr w:rsidR="00281746" w:rsidRPr="00281746" w:rsidTr="00307D0D">
        <w:tc>
          <w:tcPr>
            <w:tcW w:w="1368" w:type="dxa"/>
          </w:tcPr>
          <w:p w:rsidR="00281746" w:rsidRPr="00281746" w:rsidRDefault="00281746" w:rsidP="00307D0D">
            <w:pPr>
              <w:rPr>
                <w:rFonts w:cs="Times New Roman"/>
                <w:sz w:val="20"/>
                <w:szCs w:val="20"/>
              </w:rPr>
            </w:pPr>
            <w:r w:rsidRPr="00281746">
              <w:rPr>
                <w:rFonts w:cs="Times New Roman"/>
                <w:sz w:val="20"/>
                <w:szCs w:val="20"/>
              </w:rPr>
              <w:t>IN / DANS :</w:t>
            </w:r>
          </w:p>
        </w:tc>
        <w:tc>
          <w:tcPr>
            <w:tcW w:w="3313" w:type="dxa"/>
          </w:tcPr>
          <w:p w:rsidR="00281746" w:rsidRPr="00281746" w:rsidRDefault="00281746" w:rsidP="00307D0D">
            <w:pPr>
              <w:jc w:val="both"/>
              <w:rPr>
                <w:rFonts w:cs="Times New Roman"/>
                <w:sz w:val="20"/>
                <w:szCs w:val="20"/>
              </w:rPr>
            </w:pPr>
            <w:r w:rsidRPr="00281746">
              <w:rPr>
                <w:rFonts w:cs="Times New Roman"/>
                <w:sz w:val="20"/>
                <w:szCs w:val="20"/>
              </w:rPr>
              <w:t>Her Majesty the Queen in Right of Alberta (Minister of Aboriginal Affairs and Northern Development) et al.</w:t>
            </w:r>
          </w:p>
          <w:p w:rsidR="00281746" w:rsidRPr="00281746" w:rsidRDefault="00281746" w:rsidP="00307D0D">
            <w:pPr>
              <w:rPr>
                <w:rFonts w:cs="Times New Roman"/>
                <w:sz w:val="20"/>
                <w:szCs w:val="20"/>
              </w:rPr>
            </w:pPr>
          </w:p>
        </w:tc>
        <w:tc>
          <w:tcPr>
            <w:tcW w:w="467" w:type="dxa"/>
          </w:tcPr>
          <w:p w:rsidR="00281746" w:rsidRPr="00281746" w:rsidRDefault="00281746" w:rsidP="00307D0D">
            <w:pPr>
              <w:rPr>
                <w:rFonts w:cs="Times New Roman"/>
                <w:sz w:val="20"/>
                <w:szCs w:val="20"/>
              </w:rPr>
            </w:pPr>
          </w:p>
        </w:tc>
        <w:tc>
          <w:tcPr>
            <w:tcW w:w="4687" w:type="dxa"/>
          </w:tcPr>
          <w:p w:rsidR="00281746" w:rsidRPr="00281746" w:rsidRDefault="00281746" w:rsidP="00307D0D">
            <w:pPr>
              <w:rPr>
                <w:rFonts w:cs="Times New Roman"/>
                <w:sz w:val="20"/>
                <w:szCs w:val="20"/>
              </w:rPr>
            </w:pPr>
          </w:p>
        </w:tc>
      </w:tr>
      <w:tr w:rsidR="00281746" w:rsidRPr="00281746" w:rsidTr="00307D0D">
        <w:tc>
          <w:tcPr>
            <w:tcW w:w="1368" w:type="dxa"/>
          </w:tcPr>
          <w:p w:rsidR="00281746" w:rsidRPr="00281746" w:rsidRDefault="00281746" w:rsidP="00307D0D">
            <w:pPr>
              <w:rPr>
                <w:rFonts w:cs="Times New Roman"/>
                <w:sz w:val="20"/>
                <w:szCs w:val="20"/>
              </w:rPr>
            </w:pPr>
          </w:p>
        </w:tc>
        <w:tc>
          <w:tcPr>
            <w:tcW w:w="3313" w:type="dxa"/>
          </w:tcPr>
          <w:p w:rsidR="00281746" w:rsidRPr="00281746" w:rsidRDefault="00281746" w:rsidP="00307D0D">
            <w:pPr>
              <w:rPr>
                <w:rFonts w:cs="Times New Roman"/>
                <w:sz w:val="20"/>
                <w:szCs w:val="20"/>
              </w:rPr>
            </w:pPr>
            <w:r w:rsidRPr="00281746">
              <w:rPr>
                <w:rFonts w:cs="Times New Roman"/>
                <w:sz w:val="20"/>
                <w:szCs w:val="20"/>
              </w:rPr>
              <w:tab/>
              <w:t>v. (33340)</w:t>
            </w:r>
          </w:p>
          <w:p w:rsidR="00281746" w:rsidRPr="00281746" w:rsidRDefault="00281746" w:rsidP="00307D0D">
            <w:pPr>
              <w:rPr>
                <w:rFonts w:cs="Times New Roman"/>
                <w:sz w:val="20"/>
                <w:szCs w:val="20"/>
              </w:rPr>
            </w:pPr>
          </w:p>
        </w:tc>
        <w:tc>
          <w:tcPr>
            <w:tcW w:w="467" w:type="dxa"/>
          </w:tcPr>
          <w:p w:rsidR="00281746" w:rsidRPr="00281746" w:rsidRDefault="00281746" w:rsidP="00307D0D">
            <w:pPr>
              <w:rPr>
                <w:rFonts w:cs="Times New Roman"/>
                <w:sz w:val="20"/>
                <w:szCs w:val="20"/>
              </w:rPr>
            </w:pPr>
          </w:p>
        </w:tc>
        <w:tc>
          <w:tcPr>
            <w:tcW w:w="4687" w:type="dxa"/>
          </w:tcPr>
          <w:p w:rsidR="00281746" w:rsidRPr="00281746" w:rsidRDefault="00281746" w:rsidP="00307D0D">
            <w:pPr>
              <w:rPr>
                <w:rFonts w:cs="Times New Roman"/>
                <w:sz w:val="20"/>
                <w:szCs w:val="20"/>
              </w:rPr>
            </w:pPr>
          </w:p>
        </w:tc>
      </w:tr>
      <w:tr w:rsidR="00281746" w:rsidRPr="001C2F5E" w:rsidTr="00307D0D">
        <w:tc>
          <w:tcPr>
            <w:tcW w:w="1368" w:type="dxa"/>
          </w:tcPr>
          <w:p w:rsidR="00281746" w:rsidRPr="00281746" w:rsidRDefault="00281746" w:rsidP="00307D0D">
            <w:pPr>
              <w:rPr>
                <w:rFonts w:cs="Times New Roman"/>
                <w:sz w:val="20"/>
                <w:szCs w:val="20"/>
              </w:rPr>
            </w:pPr>
          </w:p>
        </w:tc>
        <w:tc>
          <w:tcPr>
            <w:tcW w:w="3313" w:type="dxa"/>
          </w:tcPr>
          <w:p w:rsidR="00281746" w:rsidRPr="00281746" w:rsidRDefault="00281746" w:rsidP="00307D0D">
            <w:pPr>
              <w:jc w:val="both"/>
              <w:rPr>
                <w:rFonts w:cs="Times New Roman"/>
                <w:sz w:val="20"/>
                <w:szCs w:val="20"/>
                <w:lang w:val="fr-CA"/>
              </w:rPr>
            </w:pPr>
            <w:r w:rsidRPr="00281746">
              <w:rPr>
                <w:rFonts w:cs="Times New Roman"/>
                <w:sz w:val="20"/>
                <w:szCs w:val="20"/>
                <w:lang w:val="fr-CA"/>
              </w:rPr>
              <w:t>Barbara Cunningham et al. (Alta.)</w:t>
            </w:r>
          </w:p>
        </w:tc>
        <w:tc>
          <w:tcPr>
            <w:tcW w:w="467" w:type="dxa"/>
          </w:tcPr>
          <w:p w:rsidR="00281746" w:rsidRPr="00281746" w:rsidRDefault="00281746" w:rsidP="00307D0D">
            <w:pPr>
              <w:rPr>
                <w:rFonts w:cs="Times New Roman"/>
                <w:sz w:val="20"/>
                <w:szCs w:val="20"/>
                <w:lang w:val="fr-CA"/>
              </w:rPr>
            </w:pPr>
          </w:p>
        </w:tc>
        <w:tc>
          <w:tcPr>
            <w:tcW w:w="4687" w:type="dxa"/>
          </w:tcPr>
          <w:p w:rsidR="00281746" w:rsidRPr="00281746" w:rsidRDefault="00281746" w:rsidP="00307D0D">
            <w:pPr>
              <w:rPr>
                <w:rFonts w:cs="Times New Roman"/>
                <w:sz w:val="20"/>
                <w:szCs w:val="20"/>
                <w:lang w:val="fr-CA"/>
              </w:rPr>
            </w:pPr>
          </w:p>
        </w:tc>
      </w:tr>
    </w:tbl>
    <w:p w:rsidR="00281746" w:rsidRPr="00281746" w:rsidRDefault="00281746" w:rsidP="00281746">
      <w:pPr>
        <w:rPr>
          <w:rFonts w:cs="Times New Roman"/>
          <w:sz w:val="20"/>
          <w:szCs w:val="20"/>
          <w:lang w:val="fr-CA"/>
        </w:rPr>
      </w:pPr>
    </w:p>
    <w:p w:rsidR="00281746" w:rsidRPr="00281746" w:rsidRDefault="00281746" w:rsidP="00281746">
      <w:pPr>
        <w:spacing w:line="233" w:lineRule="auto"/>
        <w:jc w:val="both"/>
        <w:rPr>
          <w:rFonts w:cs="Times New Roman"/>
          <w:sz w:val="20"/>
          <w:szCs w:val="20"/>
        </w:rPr>
      </w:pPr>
      <w:r w:rsidRPr="00281746">
        <w:rPr>
          <w:rFonts w:cs="Times New Roman"/>
          <w:b/>
          <w:bCs/>
          <w:sz w:val="20"/>
          <w:szCs w:val="20"/>
        </w:rPr>
        <w:t>FURTHER TO THE ORDER</w:t>
      </w:r>
      <w:r w:rsidRPr="00281746">
        <w:rPr>
          <w:rFonts w:cs="Times New Roman"/>
          <w:sz w:val="20"/>
          <w:szCs w:val="20"/>
        </w:rPr>
        <w:t xml:space="preserve"> dated September 13, 2010, granting leave to intervene to Canadian Association for Community Living, Elizabeth Métis Settlement, Women’s Legal Education and Action Fund, East Prairie Métis Settlement, Aboriginal Legal Services of Toronto Inc., Gift Lake Métis Settlement, Native Women’s Association of Canada, Métis Nation of Alberta, Métis National Council and Métis Settlements General Council;</w:t>
      </w:r>
    </w:p>
    <w:p w:rsidR="00281746" w:rsidRPr="00281746" w:rsidRDefault="00281746" w:rsidP="00281746">
      <w:pPr>
        <w:spacing w:line="233" w:lineRule="auto"/>
        <w:jc w:val="both"/>
        <w:rPr>
          <w:rFonts w:cs="Times New Roman"/>
          <w:sz w:val="20"/>
          <w:szCs w:val="20"/>
        </w:rPr>
      </w:pPr>
    </w:p>
    <w:p w:rsidR="00281746" w:rsidRPr="00281746" w:rsidRDefault="00281746" w:rsidP="00281746">
      <w:pPr>
        <w:spacing w:line="233" w:lineRule="auto"/>
        <w:jc w:val="both"/>
        <w:rPr>
          <w:rFonts w:cs="Times New Roman"/>
          <w:sz w:val="20"/>
          <w:szCs w:val="20"/>
        </w:rPr>
      </w:pPr>
      <w:r w:rsidRPr="00281746">
        <w:rPr>
          <w:rFonts w:cs="Times New Roman"/>
          <w:b/>
          <w:bCs/>
          <w:sz w:val="20"/>
          <w:szCs w:val="20"/>
        </w:rPr>
        <w:t xml:space="preserve">IT IS HEREBY FURTHER ORDERED THAT </w:t>
      </w:r>
      <w:r w:rsidRPr="00281746">
        <w:rPr>
          <w:rFonts w:cs="Times New Roman"/>
          <w:sz w:val="20"/>
          <w:szCs w:val="20"/>
        </w:rPr>
        <w:t xml:space="preserve">the interveners Women’s Legal Education and Action Fund, Native Women’s Association of Canada, Métis Nation of Alberta and Métis Settlements General Council are </w:t>
      </w:r>
      <w:proofErr w:type="gramStart"/>
      <w:r w:rsidRPr="00281746">
        <w:rPr>
          <w:rFonts w:cs="Times New Roman"/>
          <w:sz w:val="20"/>
          <w:szCs w:val="20"/>
        </w:rPr>
        <w:t>each granted permission</w:t>
      </w:r>
      <w:proofErr w:type="gramEnd"/>
      <w:r w:rsidRPr="00281746">
        <w:rPr>
          <w:rFonts w:cs="Times New Roman"/>
          <w:sz w:val="20"/>
          <w:szCs w:val="20"/>
        </w:rPr>
        <w:t xml:space="preserve"> to present oral argument not exceeding ten (10) minutes at the hearing of this appeal.</w:t>
      </w:r>
    </w:p>
    <w:p w:rsidR="00281746" w:rsidRPr="00281746" w:rsidRDefault="00281746" w:rsidP="00281746">
      <w:pPr>
        <w:spacing w:line="233" w:lineRule="auto"/>
        <w:jc w:val="both"/>
        <w:rPr>
          <w:rFonts w:cs="Times New Roman"/>
          <w:sz w:val="20"/>
          <w:szCs w:val="20"/>
        </w:rPr>
      </w:pPr>
    </w:p>
    <w:p w:rsidR="00281746" w:rsidRPr="00281746" w:rsidRDefault="00857426" w:rsidP="00281746">
      <w:pPr>
        <w:spacing w:line="233" w:lineRule="auto"/>
        <w:jc w:val="both"/>
        <w:rPr>
          <w:rFonts w:cs="Times New Roman"/>
          <w:sz w:val="20"/>
          <w:szCs w:val="20"/>
        </w:rPr>
      </w:pPr>
      <w:r w:rsidRPr="00281746">
        <w:rPr>
          <w:rFonts w:cs="Times New Roman"/>
          <w:sz w:val="20"/>
          <w:szCs w:val="20"/>
        </w:rPr>
        <w:fldChar w:fldCharType="begin"/>
      </w:r>
      <w:r w:rsidR="00281746" w:rsidRPr="00281746">
        <w:rPr>
          <w:rFonts w:cs="Times New Roman"/>
          <w:sz w:val="20"/>
          <w:szCs w:val="20"/>
        </w:rPr>
        <w:instrText xml:space="preserve"> SEQ CHAPTER \h \r 1</w:instrText>
      </w:r>
      <w:r w:rsidRPr="00281746">
        <w:rPr>
          <w:rFonts w:cs="Times New Roman"/>
          <w:sz w:val="20"/>
          <w:szCs w:val="20"/>
        </w:rPr>
        <w:fldChar w:fldCharType="end"/>
      </w:r>
      <w:r w:rsidR="00281746" w:rsidRPr="00281746">
        <w:rPr>
          <w:rFonts w:cs="Times New Roman"/>
          <w:b/>
          <w:bCs/>
          <w:sz w:val="20"/>
          <w:szCs w:val="20"/>
        </w:rPr>
        <w:t xml:space="preserve">AND IT IS HEREBY FURTHER ORDERED THAT </w:t>
      </w:r>
      <w:r w:rsidR="00281746" w:rsidRPr="00281746">
        <w:rPr>
          <w:rFonts w:cs="Times New Roman"/>
          <w:sz w:val="20"/>
          <w:szCs w:val="20"/>
        </w:rPr>
        <w:t xml:space="preserve">the interveners Canadian Association for Community Living, Elizabeth Métis Settlement, East Prairie Métis Settlement, Aboriginal Legal Services of Toronto Inc., Gift Lake Métis Settlement and Métis National Council are </w:t>
      </w:r>
      <w:proofErr w:type="gramStart"/>
      <w:r w:rsidR="00281746" w:rsidRPr="00281746">
        <w:rPr>
          <w:rFonts w:cs="Times New Roman"/>
          <w:sz w:val="20"/>
          <w:szCs w:val="20"/>
        </w:rPr>
        <w:t>each granted permission</w:t>
      </w:r>
      <w:proofErr w:type="gramEnd"/>
      <w:r w:rsidR="00281746" w:rsidRPr="00281746">
        <w:rPr>
          <w:rFonts w:cs="Times New Roman"/>
          <w:sz w:val="20"/>
          <w:szCs w:val="20"/>
        </w:rPr>
        <w:t xml:space="preserve"> to present oral argument not exceeding five (5) minutes at the hearing of this appeal.</w:t>
      </w:r>
    </w:p>
    <w:p w:rsidR="00281746" w:rsidRPr="00281746" w:rsidRDefault="00281746" w:rsidP="00281746">
      <w:pPr>
        <w:rPr>
          <w:rFonts w:cs="Times New Roman"/>
          <w:sz w:val="20"/>
          <w:szCs w:val="20"/>
        </w:rPr>
      </w:pPr>
    </w:p>
    <w:p w:rsidR="00281746" w:rsidRPr="00281746" w:rsidRDefault="00281746" w:rsidP="00281746">
      <w:pPr>
        <w:rPr>
          <w:rFonts w:cs="Times New Roman"/>
          <w:sz w:val="20"/>
          <w:szCs w:val="20"/>
        </w:rPr>
      </w:pPr>
    </w:p>
    <w:p w:rsidR="00281746" w:rsidRPr="00281746" w:rsidRDefault="00281746" w:rsidP="00281746">
      <w:pPr>
        <w:rPr>
          <w:rFonts w:cs="Times New Roman"/>
          <w:sz w:val="20"/>
          <w:szCs w:val="20"/>
        </w:rPr>
      </w:pPr>
    </w:p>
    <w:p w:rsidR="00281746" w:rsidRPr="00281746" w:rsidRDefault="00281746" w:rsidP="00281746">
      <w:pPr>
        <w:spacing w:line="233" w:lineRule="auto"/>
        <w:jc w:val="both"/>
        <w:rPr>
          <w:rFonts w:cs="Times New Roman"/>
          <w:sz w:val="20"/>
          <w:szCs w:val="20"/>
          <w:lang w:val="fr-FR"/>
        </w:rPr>
      </w:pPr>
      <w:r w:rsidRPr="00281746">
        <w:rPr>
          <w:rFonts w:cs="Times New Roman"/>
          <w:b/>
          <w:bCs/>
          <w:sz w:val="20"/>
          <w:szCs w:val="20"/>
          <w:lang w:val="fr-FR"/>
        </w:rPr>
        <w:t xml:space="preserve">À LA SUITE DE </w:t>
      </w:r>
      <w:r w:rsidRPr="00281746">
        <w:rPr>
          <w:rFonts w:cs="Times New Roman"/>
          <w:b/>
          <w:bCs/>
          <w:caps/>
          <w:sz w:val="20"/>
          <w:szCs w:val="20"/>
          <w:lang w:val="fr-FR"/>
        </w:rPr>
        <w:t>l’ordonnance</w:t>
      </w:r>
      <w:r w:rsidRPr="00281746">
        <w:rPr>
          <w:rFonts w:cs="Times New Roman"/>
          <w:b/>
          <w:bCs/>
          <w:sz w:val="20"/>
          <w:szCs w:val="20"/>
          <w:lang w:val="fr-FR"/>
        </w:rPr>
        <w:t xml:space="preserve"> </w:t>
      </w:r>
      <w:r w:rsidRPr="00281746">
        <w:rPr>
          <w:rFonts w:cs="Times New Roman"/>
          <w:bCs/>
          <w:sz w:val="20"/>
          <w:szCs w:val="20"/>
          <w:lang w:val="fr-FR"/>
        </w:rPr>
        <w:t xml:space="preserve">datée du 13 septembre 2010 autorisant l’Association canadienne pour l’intégration communautaire, le </w:t>
      </w:r>
      <w:r w:rsidRPr="00281746">
        <w:rPr>
          <w:rFonts w:cs="Times New Roman"/>
          <w:sz w:val="20"/>
          <w:szCs w:val="20"/>
          <w:lang w:val="fr-FR"/>
        </w:rPr>
        <w:t xml:space="preserve">Elizabeth Métis </w:t>
      </w:r>
      <w:proofErr w:type="spellStart"/>
      <w:r w:rsidRPr="00281746">
        <w:rPr>
          <w:rFonts w:cs="Times New Roman"/>
          <w:sz w:val="20"/>
          <w:szCs w:val="20"/>
          <w:lang w:val="fr-FR"/>
        </w:rPr>
        <w:t>Settlement</w:t>
      </w:r>
      <w:proofErr w:type="spellEnd"/>
      <w:r w:rsidRPr="00281746">
        <w:rPr>
          <w:rFonts w:cs="Times New Roman"/>
          <w:sz w:val="20"/>
          <w:szCs w:val="20"/>
          <w:lang w:val="fr-FR"/>
        </w:rPr>
        <w:t xml:space="preserve">, le Fonds d’action et d’éducation juridiques pour les femmes, le East Prairie Métis </w:t>
      </w:r>
      <w:proofErr w:type="spellStart"/>
      <w:r w:rsidRPr="00281746">
        <w:rPr>
          <w:rFonts w:cs="Times New Roman"/>
          <w:sz w:val="20"/>
          <w:szCs w:val="20"/>
          <w:lang w:val="fr-FR"/>
        </w:rPr>
        <w:t>Settlement</w:t>
      </w:r>
      <w:proofErr w:type="spellEnd"/>
      <w:r w:rsidRPr="00281746">
        <w:rPr>
          <w:rFonts w:cs="Times New Roman"/>
          <w:sz w:val="20"/>
          <w:szCs w:val="20"/>
          <w:lang w:val="fr-FR"/>
        </w:rPr>
        <w:t xml:space="preserve">, </w:t>
      </w:r>
      <w:proofErr w:type="spellStart"/>
      <w:r w:rsidRPr="00281746">
        <w:rPr>
          <w:rFonts w:cs="Times New Roman"/>
          <w:sz w:val="20"/>
          <w:szCs w:val="20"/>
          <w:lang w:val="fr-FR"/>
        </w:rPr>
        <w:t>Aboriginal</w:t>
      </w:r>
      <w:proofErr w:type="spellEnd"/>
      <w:r w:rsidRPr="00281746">
        <w:rPr>
          <w:rFonts w:cs="Times New Roman"/>
          <w:sz w:val="20"/>
          <w:szCs w:val="20"/>
          <w:lang w:val="fr-FR"/>
        </w:rPr>
        <w:t xml:space="preserve"> </w:t>
      </w:r>
      <w:proofErr w:type="spellStart"/>
      <w:r w:rsidRPr="00281746">
        <w:rPr>
          <w:rFonts w:cs="Times New Roman"/>
          <w:sz w:val="20"/>
          <w:szCs w:val="20"/>
          <w:lang w:val="fr-FR"/>
        </w:rPr>
        <w:t>Legal</w:t>
      </w:r>
      <w:proofErr w:type="spellEnd"/>
      <w:r w:rsidRPr="00281746">
        <w:rPr>
          <w:rFonts w:cs="Times New Roman"/>
          <w:sz w:val="20"/>
          <w:szCs w:val="20"/>
          <w:lang w:val="fr-FR"/>
        </w:rPr>
        <w:t xml:space="preserve"> Services of Toronto Inc., le Gift Lake Métis </w:t>
      </w:r>
      <w:proofErr w:type="spellStart"/>
      <w:r w:rsidRPr="00281746">
        <w:rPr>
          <w:rFonts w:cs="Times New Roman"/>
          <w:sz w:val="20"/>
          <w:szCs w:val="20"/>
          <w:lang w:val="fr-FR"/>
        </w:rPr>
        <w:t>Settlement</w:t>
      </w:r>
      <w:proofErr w:type="spellEnd"/>
      <w:r w:rsidRPr="00281746">
        <w:rPr>
          <w:rFonts w:cs="Times New Roman"/>
          <w:sz w:val="20"/>
          <w:szCs w:val="20"/>
          <w:lang w:val="fr-FR"/>
        </w:rPr>
        <w:t xml:space="preserve">, l’Association des femmes autochtones du Canada, la Métis Nation of Alberta, le Ralliement national des Métis et le Métis </w:t>
      </w:r>
      <w:proofErr w:type="spellStart"/>
      <w:r w:rsidRPr="00281746">
        <w:rPr>
          <w:rFonts w:cs="Times New Roman"/>
          <w:sz w:val="20"/>
          <w:szCs w:val="20"/>
          <w:lang w:val="fr-FR"/>
        </w:rPr>
        <w:t>Settlements</w:t>
      </w:r>
      <w:proofErr w:type="spellEnd"/>
      <w:r w:rsidRPr="00281746">
        <w:rPr>
          <w:rFonts w:cs="Times New Roman"/>
          <w:sz w:val="20"/>
          <w:szCs w:val="20"/>
          <w:lang w:val="fr-FR"/>
        </w:rPr>
        <w:t xml:space="preserve"> General Council</w:t>
      </w:r>
      <w:r w:rsidRPr="00281746">
        <w:rPr>
          <w:rFonts w:cs="Times New Roman"/>
          <w:bCs/>
          <w:sz w:val="20"/>
          <w:szCs w:val="20"/>
          <w:lang w:val="fr-FR"/>
        </w:rPr>
        <w:t xml:space="preserve"> à intervenir dans l’appel</w:t>
      </w:r>
      <w:r w:rsidRPr="00281746">
        <w:rPr>
          <w:rFonts w:cs="Times New Roman"/>
          <w:sz w:val="20"/>
          <w:szCs w:val="20"/>
          <w:lang w:val="fr-FR"/>
        </w:rPr>
        <w:t>;</w:t>
      </w:r>
    </w:p>
    <w:p w:rsidR="00281746" w:rsidRPr="00281746" w:rsidRDefault="00281746" w:rsidP="00281746">
      <w:pPr>
        <w:spacing w:line="233" w:lineRule="auto"/>
        <w:jc w:val="both"/>
        <w:rPr>
          <w:rFonts w:cs="Times New Roman"/>
          <w:sz w:val="20"/>
          <w:szCs w:val="20"/>
          <w:lang w:val="fr-FR"/>
        </w:rPr>
      </w:pPr>
    </w:p>
    <w:p w:rsidR="00281746" w:rsidRPr="00281746" w:rsidRDefault="00281746" w:rsidP="00281746">
      <w:pPr>
        <w:spacing w:line="233" w:lineRule="auto"/>
        <w:jc w:val="both"/>
        <w:rPr>
          <w:rFonts w:cs="Times New Roman"/>
          <w:sz w:val="20"/>
          <w:szCs w:val="20"/>
          <w:lang w:val="fr-FR"/>
        </w:rPr>
      </w:pPr>
      <w:r w:rsidRPr="00281746">
        <w:rPr>
          <w:rFonts w:cs="Times New Roman"/>
          <w:b/>
          <w:bCs/>
          <w:sz w:val="20"/>
          <w:szCs w:val="20"/>
          <w:lang w:val="fr-FR"/>
        </w:rPr>
        <w:lastRenderedPageBreak/>
        <w:t>IL EST EN OUTRE ORDONNÉ QUE</w:t>
      </w:r>
      <w:r w:rsidRPr="00281746">
        <w:rPr>
          <w:rFonts w:cs="Times New Roman"/>
          <w:bCs/>
          <w:sz w:val="20"/>
          <w:szCs w:val="20"/>
          <w:lang w:val="fr-FR"/>
        </w:rPr>
        <w:t xml:space="preserve"> les intervenants le </w:t>
      </w:r>
      <w:r w:rsidRPr="00281746">
        <w:rPr>
          <w:rFonts w:cs="Times New Roman"/>
          <w:sz w:val="20"/>
          <w:szCs w:val="20"/>
          <w:lang w:val="fr-FR"/>
        </w:rPr>
        <w:t xml:space="preserve">Fonds d’action et d’éducation juridiques pour les femmes, l’Association des femmes autochtones du Canada, la Métis Nation of Alberta et le Métis </w:t>
      </w:r>
      <w:proofErr w:type="spellStart"/>
      <w:r w:rsidRPr="00281746">
        <w:rPr>
          <w:rFonts w:cs="Times New Roman"/>
          <w:sz w:val="20"/>
          <w:szCs w:val="20"/>
          <w:lang w:val="fr-FR"/>
        </w:rPr>
        <w:t>Settlements</w:t>
      </w:r>
      <w:proofErr w:type="spellEnd"/>
      <w:r w:rsidRPr="00281746">
        <w:rPr>
          <w:rFonts w:cs="Times New Roman"/>
          <w:sz w:val="20"/>
          <w:szCs w:val="20"/>
          <w:lang w:val="fr-FR"/>
        </w:rPr>
        <w:t xml:space="preserve"> General Council </w:t>
      </w:r>
      <w:r w:rsidRPr="00281746">
        <w:rPr>
          <w:rFonts w:cs="Times New Roman"/>
          <w:bCs/>
          <w:sz w:val="20"/>
          <w:szCs w:val="20"/>
          <w:lang w:val="fr-FR"/>
        </w:rPr>
        <w:t>pourront présenter chacun une plaidoirie orale d’au plus dix (10) minutes lors de l’audition de l’appel</w:t>
      </w:r>
      <w:r w:rsidRPr="00281746">
        <w:rPr>
          <w:rFonts w:cs="Times New Roman"/>
          <w:sz w:val="20"/>
          <w:szCs w:val="20"/>
          <w:lang w:val="fr-FR"/>
        </w:rPr>
        <w:t>.</w:t>
      </w:r>
    </w:p>
    <w:p w:rsidR="00281746" w:rsidRPr="00281746" w:rsidRDefault="00281746" w:rsidP="00281746">
      <w:pPr>
        <w:spacing w:line="233" w:lineRule="auto"/>
        <w:jc w:val="both"/>
        <w:rPr>
          <w:rFonts w:cs="Times New Roman"/>
          <w:sz w:val="20"/>
          <w:szCs w:val="20"/>
          <w:lang w:val="fr-FR"/>
        </w:rPr>
      </w:pPr>
    </w:p>
    <w:p w:rsidR="00281746" w:rsidRPr="00281746" w:rsidRDefault="00281746" w:rsidP="00281746">
      <w:pPr>
        <w:jc w:val="both"/>
        <w:rPr>
          <w:rFonts w:cs="Times New Roman"/>
          <w:sz w:val="20"/>
          <w:szCs w:val="20"/>
          <w:lang w:val="fr-FR"/>
        </w:rPr>
      </w:pPr>
      <w:r w:rsidRPr="00281746">
        <w:rPr>
          <w:rFonts w:cs="Times New Roman"/>
          <w:b/>
          <w:sz w:val="20"/>
          <w:szCs w:val="20"/>
          <w:lang w:val="fr-FR"/>
        </w:rPr>
        <w:t>ET IL EST EN OUTRE ORDONNÉ QUE</w:t>
      </w:r>
      <w:r w:rsidRPr="00281746">
        <w:rPr>
          <w:rFonts w:cs="Times New Roman"/>
          <w:sz w:val="20"/>
          <w:szCs w:val="20"/>
          <w:lang w:val="fr-FR"/>
        </w:rPr>
        <w:t xml:space="preserve"> les intervenants </w:t>
      </w:r>
      <w:r w:rsidRPr="00281746">
        <w:rPr>
          <w:rFonts w:cs="Times New Roman"/>
          <w:bCs/>
          <w:sz w:val="20"/>
          <w:szCs w:val="20"/>
          <w:lang w:val="fr-FR"/>
        </w:rPr>
        <w:t xml:space="preserve">l’Association canadienne pour l’intégration communautaire, le </w:t>
      </w:r>
      <w:r w:rsidRPr="00281746">
        <w:rPr>
          <w:rFonts w:cs="Times New Roman"/>
          <w:sz w:val="20"/>
          <w:szCs w:val="20"/>
          <w:lang w:val="fr-FR"/>
        </w:rPr>
        <w:t xml:space="preserve">Elizabeth Métis </w:t>
      </w:r>
      <w:proofErr w:type="spellStart"/>
      <w:r w:rsidRPr="00281746">
        <w:rPr>
          <w:rFonts w:cs="Times New Roman"/>
          <w:sz w:val="20"/>
          <w:szCs w:val="20"/>
          <w:lang w:val="fr-FR"/>
        </w:rPr>
        <w:t>Settlement</w:t>
      </w:r>
      <w:proofErr w:type="spellEnd"/>
      <w:r w:rsidRPr="00281746">
        <w:rPr>
          <w:rFonts w:cs="Times New Roman"/>
          <w:sz w:val="20"/>
          <w:szCs w:val="20"/>
          <w:lang w:val="fr-FR"/>
        </w:rPr>
        <w:t xml:space="preserve">, le East Prairie Métis </w:t>
      </w:r>
      <w:proofErr w:type="spellStart"/>
      <w:r w:rsidRPr="00281746">
        <w:rPr>
          <w:rFonts w:cs="Times New Roman"/>
          <w:sz w:val="20"/>
          <w:szCs w:val="20"/>
          <w:lang w:val="fr-FR"/>
        </w:rPr>
        <w:t>Settlement</w:t>
      </w:r>
      <w:proofErr w:type="spellEnd"/>
      <w:r w:rsidRPr="00281746">
        <w:rPr>
          <w:rFonts w:cs="Times New Roman"/>
          <w:sz w:val="20"/>
          <w:szCs w:val="20"/>
          <w:lang w:val="fr-FR"/>
        </w:rPr>
        <w:t xml:space="preserve">, </w:t>
      </w:r>
      <w:proofErr w:type="spellStart"/>
      <w:r w:rsidRPr="00281746">
        <w:rPr>
          <w:rFonts w:cs="Times New Roman"/>
          <w:sz w:val="20"/>
          <w:szCs w:val="20"/>
          <w:lang w:val="fr-FR"/>
        </w:rPr>
        <w:t>Aboriginal</w:t>
      </w:r>
      <w:proofErr w:type="spellEnd"/>
      <w:r w:rsidRPr="00281746">
        <w:rPr>
          <w:rFonts w:cs="Times New Roman"/>
          <w:sz w:val="20"/>
          <w:szCs w:val="20"/>
          <w:lang w:val="fr-FR"/>
        </w:rPr>
        <w:t xml:space="preserve"> </w:t>
      </w:r>
      <w:proofErr w:type="spellStart"/>
      <w:r w:rsidRPr="00281746">
        <w:rPr>
          <w:rFonts w:cs="Times New Roman"/>
          <w:sz w:val="20"/>
          <w:szCs w:val="20"/>
          <w:lang w:val="fr-FR"/>
        </w:rPr>
        <w:t>Legal</w:t>
      </w:r>
      <w:proofErr w:type="spellEnd"/>
      <w:r w:rsidRPr="00281746">
        <w:rPr>
          <w:rFonts w:cs="Times New Roman"/>
          <w:sz w:val="20"/>
          <w:szCs w:val="20"/>
          <w:lang w:val="fr-FR"/>
        </w:rPr>
        <w:t xml:space="preserve"> Services of Toronto Inc., le Gift Lake Métis </w:t>
      </w:r>
      <w:proofErr w:type="spellStart"/>
      <w:r w:rsidRPr="00281746">
        <w:rPr>
          <w:rFonts w:cs="Times New Roman"/>
          <w:sz w:val="20"/>
          <w:szCs w:val="20"/>
          <w:lang w:val="fr-FR"/>
        </w:rPr>
        <w:t>Settlement</w:t>
      </w:r>
      <w:proofErr w:type="spellEnd"/>
      <w:r w:rsidRPr="00281746">
        <w:rPr>
          <w:rFonts w:cs="Times New Roman"/>
          <w:sz w:val="20"/>
          <w:szCs w:val="20"/>
          <w:lang w:val="fr-FR"/>
        </w:rPr>
        <w:t xml:space="preserve"> et le Ralliement national des Métis pourront présenter chacun une plaidoirie orale d’au plus cinq (5) minutes lors de l’audition de l’appel.</w:t>
      </w:r>
    </w:p>
    <w:p w:rsidR="00281746" w:rsidRPr="00281746" w:rsidRDefault="00281746" w:rsidP="00281746">
      <w:pPr>
        <w:jc w:val="both"/>
        <w:rPr>
          <w:rFonts w:cs="Times New Roman"/>
          <w:sz w:val="20"/>
          <w:szCs w:val="20"/>
          <w:lang w:val="fr-CA"/>
        </w:rPr>
      </w:pPr>
    </w:p>
    <w:p w:rsidR="00281746" w:rsidRPr="00281746" w:rsidRDefault="00857426" w:rsidP="00281746">
      <w:pPr>
        <w:rPr>
          <w:rFonts w:cs="Times New Roman"/>
          <w:sz w:val="20"/>
          <w:szCs w:val="20"/>
        </w:rPr>
      </w:pPr>
      <w:r w:rsidRPr="00857426">
        <w:rPr>
          <w:rFonts w:cs="Times New Roman"/>
          <w:sz w:val="20"/>
          <w:szCs w:val="20"/>
          <w:lang w:val="fr-CA"/>
        </w:rPr>
        <w:pict>
          <v:rect id="_x0000_i1066" style="width:2in;height:1pt" o:hrpct="0" o:hralign="center" o:hrstd="t" o:hrnoshade="t" o:hr="t" fillcolor="black [3213]" stroked="f"/>
        </w:pict>
      </w:r>
    </w:p>
    <w:p w:rsidR="00281746" w:rsidRPr="00281746" w:rsidRDefault="00281746" w:rsidP="00281746">
      <w:pPr>
        <w:rPr>
          <w:rFonts w:cs="Times New Roman"/>
          <w:sz w:val="20"/>
          <w:szCs w:val="20"/>
        </w:rPr>
      </w:pPr>
    </w:p>
    <w:p w:rsidR="00281746" w:rsidRPr="00281746" w:rsidRDefault="00281746" w:rsidP="00281746">
      <w:pPr>
        <w:rPr>
          <w:rFonts w:cs="Times New Roman"/>
          <w:sz w:val="20"/>
          <w:szCs w:val="20"/>
        </w:rPr>
      </w:pPr>
      <w:r w:rsidRPr="00281746">
        <w:rPr>
          <w:rFonts w:cs="Times New Roman"/>
          <w:sz w:val="20"/>
          <w:szCs w:val="20"/>
        </w:rPr>
        <w:t>17.11.2010</w:t>
      </w:r>
    </w:p>
    <w:p w:rsidR="00281746" w:rsidRPr="00281746" w:rsidRDefault="00281746" w:rsidP="00281746">
      <w:pPr>
        <w:rPr>
          <w:rFonts w:cs="Times New Roman"/>
          <w:sz w:val="20"/>
          <w:szCs w:val="20"/>
        </w:rPr>
      </w:pPr>
    </w:p>
    <w:p w:rsidR="00281746" w:rsidRPr="00281746" w:rsidRDefault="00281746" w:rsidP="00281746">
      <w:pPr>
        <w:jc w:val="both"/>
        <w:rPr>
          <w:rFonts w:cs="Times New Roman"/>
          <w:sz w:val="20"/>
          <w:szCs w:val="20"/>
        </w:rPr>
      </w:pPr>
      <w:r w:rsidRPr="00281746">
        <w:rPr>
          <w:rFonts w:cs="Times New Roman"/>
          <w:sz w:val="20"/>
          <w:szCs w:val="20"/>
        </w:rPr>
        <w:t xml:space="preserve">Before / </w:t>
      </w:r>
      <w:proofErr w:type="spellStart"/>
      <w:r w:rsidRPr="00281746">
        <w:rPr>
          <w:rFonts w:cs="Times New Roman"/>
          <w:sz w:val="20"/>
          <w:szCs w:val="20"/>
        </w:rPr>
        <w:t>Devant</w:t>
      </w:r>
      <w:proofErr w:type="spellEnd"/>
      <w:r w:rsidRPr="00281746">
        <w:rPr>
          <w:rFonts w:cs="Times New Roman"/>
          <w:sz w:val="20"/>
          <w:szCs w:val="20"/>
        </w:rPr>
        <w:t>:   BINNIE, FISH AND CHARRON JJ.</w:t>
      </w:r>
    </w:p>
    <w:p w:rsidR="00281746" w:rsidRPr="00281746" w:rsidRDefault="00281746" w:rsidP="00281746">
      <w:pPr>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81746" w:rsidRPr="001C2F5E" w:rsidTr="00307D0D">
        <w:trPr>
          <w:cantSplit/>
          <w:trHeight w:val="151"/>
        </w:trPr>
        <w:tc>
          <w:tcPr>
            <w:tcW w:w="4338" w:type="dxa"/>
          </w:tcPr>
          <w:p w:rsidR="00281746" w:rsidRPr="00281746" w:rsidRDefault="00281746" w:rsidP="00307D0D">
            <w:pPr>
              <w:jc w:val="both"/>
              <w:rPr>
                <w:rFonts w:cs="Times New Roman"/>
                <w:b/>
                <w:sz w:val="20"/>
                <w:szCs w:val="20"/>
              </w:rPr>
            </w:pPr>
            <w:r w:rsidRPr="00281746">
              <w:rPr>
                <w:rFonts w:cs="Times New Roman"/>
                <w:b/>
                <w:sz w:val="20"/>
                <w:szCs w:val="20"/>
              </w:rPr>
              <w:t>Application to fix tariff of fees</w:t>
            </w:r>
          </w:p>
        </w:tc>
        <w:tc>
          <w:tcPr>
            <w:tcW w:w="1170" w:type="dxa"/>
          </w:tcPr>
          <w:p w:rsidR="00281746" w:rsidRPr="00281746" w:rsidRDefault="00281746" w:rsidP="00307D0D">
            <w:pPr>
              <w:jc w:val="both"/>
              <w:rPr>
                <w:rFonts w:cs="Times New Roman"/>
                <w:sz w:val="20"/>
                <w:szCs w:val="20"/>
              </w:rPr>
            </w:pPr>
          </w:p>
          <w:p w:rsidR="00281746" w:rsidRPr="00281746" w:rsidRDefault="00281746" w:rsidP="00307D0D">
            <w:pPr>
              <w:jc w:val="both"/>
              <w:rPr>
                <w:rFonts w:cs="Times New Roman"/>
                <w:sz w:val="20"/>
                <w:szCs w:val="20"/>
              </w:rPr>
            </w:pPr>
          </w:p>
        </w:tc>
        <w:tc>
          <w:tcPr>
            <w:tcW w:w="4327" w:type="dxa"/>
          </w:tcPr>
          <w:p w:rsidR="00281746" w:rsidRPr="00281746" w:rsidRDefault="00281746" w:rsidP="00307D0D">
            <w:pPr>
              <w:jc w:val="both"/>
              <w:rPr>
                <w:rFonts w:cs="Times New Roman"/>
                <w:b/>
                <w:sz w:val="20"/>
                <w:szCs w:val="20"/>
                <w:lang w:val="fr-CA"/>
              </w:rPr>
            </w:pPr>
            <w:r w:rsidRPr="00281746">
              <w:rPr>
                <w:rFonts w:cs="Times New Roman"/>
                <w:b/>
                <w:sz w:val="20"/>
                <w:szCs w:val="20"/>
                <w:lang w:val="fr-CA"/>
              </w:rPr>
              <w:t xml:space="preserve">Demande de fixation du tarif des honoraires </w:t>
            </w:r>
          </w:p>
        </w:tc>
      </w:tr>
      <w:tr w:rsidR="00281746" w:rsidRPr="00281746" w:rsidTr="00307D0D">
        <w:trPr>
          <w:cantSplit/>
          <w:trHeight w:val="150"/>
        </w:trPr>
        <w:tc>
          <w:tcPr>
            <w:tcW w:w="4338" w:type="dxa"/>
          </w:tcPr>
          <w:p w:rsidR="00281746" w:rsidRPr="00281746" w:rsidRDefault="00281746" w:rsidP="00307D0D">
            <w:pPr>
              <w:jc w:val="both"/>
              <w:rPr>
                <w:rFonts w:cs="Times New Roman"/>
                <w:sz w:val="20"/>
                <w:szCs w:val="20"/>
              </w:rPr>
            </w:pPr>
            <w:r w:rsidRPr="00281746">
              <w:rPr>
                <w:rFonts w:cs="Times New Roman"/>
                <w:sz w:val="20"/>
                <w:szCs w:val="20"/>
              </w:rPr>
              <w:t>John (Jack) Robert White</w:t>
            </w:r>
          </w:p>
          <w:p w:rsidR="00281746" w:rsidRPr="00281746" w:rsidRDefault="00281746" w:rsidP="00307D0D">
            <w:pPr>
              <w:jc w:val="both"/>
              <w:rPr>
                <w:rFonts w:cs="Times New Roman"/>
                <w:sz w:val="20"/>
                <w:szCs w:val="20"/>
              </w:rPr>
            </w:pPr>
          </w:p>
          <w:p w:rsidR="00281746" w:rsidRPr="00281746" w:rsidRDefault="00281746" w:rsidP="00307D0D">
            <w:pPr>
              <w:jc w:val="both"/>
              <w:rPr>
                <w:rFonts w:cs="Times New Roman"/>
                <w:sz w:val="20"/>
                <w:szCs w:val="20"/>
              </w:rPr>
            </w:pPr>
            <w:r w:rsidRPr="00281746">
              <w:rPr>
                <w:rFonts w:cs="Times New Roman"/>
                <w:sz w:val="20"/>
                <w:szCs w:val="20"/>
              </w:rPr>
              <w:tab/>
              <w:t>v. (33330)</w:t>
            </w:r>
          </w:p>
          <w:p w:rsidR="00281746" w:rsidRPr="00281746" w:rsidRDefault="00281746" w:rsidP="00307D0D">
            <w:pPr>
              <w:jc w:val="both"/>
              <w:rPr>
                <w:rFonts w:cs="Times New Roman"/>
                <w:sz w:val="20"/>
                <w:szCs w:val="20"/>
              </w:rPr>
            </w:pPr>
          </w:p>
          <w:p w:rsidR="00281746" w:rsidRPr="00281746" w:rsidRDefault="00281746" w:rsidP="00307D0D">
            <w:pPr>
              <w:jc w:val="both"/>
              <w:rPr>
                <w:rFonts w:cs="Times New Roman"/>
                <w:sz w:val="20"/>
                <w:szCs w:val="20"/>
              </w:rPr>
            </w:pPr>
            <w:r w:rsidRPr="00281746">
              <w:rPr>
                <w:rFonts w:cs="Times New Roman"/>
                <w:sz w:val="20"/>
                <w:szCs w:val="20"/>
              </w:rPr>
              <w:t>Her Majesty the Queen (Crim.) (Ont.)</w:t>
            </w:r>
          </w:p>
        </w:tc>
        <w:tc>
          <w:tcPr>
            <w:tcW w:w="1170" w:type="dxa"/>
          </w:tcPr>
          <w:p w:rsidR="00281746" w:rsidRPr="00281746" w:rsidRDefault="00281746" w:rsidP="00307D0D">
            <w:pPr>
              <w:jc w:val="both"/>
              <w:rPr>
                <w:rFonts w:cs="Times New Roman"/>
                <w:sz w:val="20"/>
                <w:szCs w:val="20"/>
              </w:rPr>
            </w:pPr>
          </w:p>
        </w:tc>
        <w:tc>
          <w:tcPr>
            <w:tcW w:w="4327" w:type="dxa"/>
          </w:tcPr>
          <w:p w:rsidR="00281746" w:rsidRPr="00281746" w:rsidRDefault="00281746" w:rsidP="00307D0D">
            <w:pPr>
              <w:jc w:val="both"/>
              <w:rPr>
                <w:rFonts w:cs="Times New Roman"/>
                <w:sz w:val="20"/>
                <w:szCs w:val="20"/>
              </w:rPr>
            </w:pPr>
          </w:p>
        </w:tc>
      </w:tr>
    </w:tbl>
    <w:p w:rsidR="00281746" w:rsidRPr="00281746" w:rsidRDefault="00281746" w:rsidP="00281746">
      <w:pPr>
        <w:rPr>
          <w:rFonts w:cs="Times New Roman"/>
          <w:sz w:val="20"/>
          <w:szCs w:val="20"/>
        </w:rPr>
      </w:pPr>
    </w:p>
    <w:p w:rsidR="00281746" w:rsidRPr="00281746" w:rsidRDefault="00281746" w:rsidP="00281746">
      <w:pPr>
        <w:rPr>
          <w:rFonts w:cs="Times New Roman"/>
          <w:b/>
          <w:sz w:val="20"/>
          <w:szCs w:val="20"/>
        </w:rPr>
      </w:pPr>
      <w:r w:rsidRPr="00281746">
        <w:rPr>
          <w:rFonts w:cs="Times New Roman"/>
          <w:b/>
          <w:bCs/>
          <w:sz w:val="20"/>
          <w:szCs w:val="20"/>
          <w:u w:val="single"/>
        </w:rPr>
        <w:t>BINNIE J.</w:t>
      </w:r>
      <w:r w:rsidRPr="00281746">
        <w:rPr>
          <w:rFonts w:cs="Times New Roman"/>
          <w:b/>
          <w:bCs/>
          <w:sz w:val="20"/>
          <w:szCs w:val="20"/>
        </w:rPr>
        <w:t>:</w:t>
      </w:r>
    </w:p>
    <w:p w:rsidR="00281746" w:rsidRPr="00281746" w:rsidRDefault="00281746" w:rsidP="00281746">
      <w:pPr>
        <w:jc w:val="both"/>
        <w:rPr>
          <w:rFonts w:cs="Times New Roman"/>
          <w:sz w:val="20"/>
          <w:szCs w:val="20"/>
        </w:rPr>
      </w:pPr>
    </w:p>
    <w:p w:rsidR="00281746" w:rsidRPr="00281746" w:rsidRDefault="00281746" w:rsidP="00281746">
      <w:pPr>
        <w:jc w:val="both"/>
        <w:rPr>
          <w:rFonts w:cs="Times New Roman"/>
          <w:sz w:val="20"/>
          <w:szCs w:val="20"/>
        </w:rPr>
      </w:pPr>
      <w:r w:rsidRPr="00281746">
        <w:rPr>
          <w:rFonts w:cs="Times New Roman"/>
          <w:sz w:val="20"/>
          <w:szCs w:val="20"/>
        </w:rPr>
        <w:t>[1]</w:t>
      </w:r>
      <w:r w:rsidRPr="00281746">
        <w:rPr>
          <w:rFonts w:cs="Times New Roman"/>
          <w:sz w:val="20"/>
          <w:szCs w:val="20"/>
        </w:rPr>
        <w:tab/>
        <w:t xml:space="preserve">This is an application under s. 694 of the </w:t>
      </w:r>
      <w:r w:rsidRPr="00281746">
        <w:rPr>
          <w:rFonts w:cs="Times New Roman"/>
          <w:i/>
          <w:sz w:val="20"/>
          <w:szCs w:val="20"/>
        </w:rPr>
        <w:t>Criminal Code</w:t>
      </w:r>
      <w:r w:rsidRPr="00281746">
        <w:rPr>
          <w:rFonts w:cs="Times New Roman"/>
          <w:sz w:val="20"/>
          <w:szCs w:val="20"/>
        </w:rPr>
        <w:t>, R.S.C. 1985, c. C-46, to fix a tariff of fees to be permitted counsel appointed by this Court under s. 694.1(1) to represent the applicant who was convicted of sexual assault in a trial in which he says he was denied the effective assistance of counsel.  This Court’s order dated December 3, 2009 granted the applicant’s request for the appointment of counsel for the proceedings in this Court and “any incidental proceedings in the Ontario Court of Appeal”.  This Court remanded the case back to the Ontario Court of Appeal for consideration of fresh evidence and to determine whether, in all the circumstances, the applicant’s continued conviction constitutes a miscarriage of justice.  Section 694.1 reads as follows:</w:t>
      </w:r>
    </w:p>
    <w:p w:rsidR="00281746" w:rsidRPr="00281746" w:rsidRDefault="00281746" w:rsidP="00281746">
      <w:pPr>
        <w:jc w:val="both"/>
        <w:rPr>
          <w:rFonts w:cs="Times New Roman"/>
          <w:sz w:val="20"/>
          <w:szCs w:val="20"/>
        </w:rPr>
      </w:pPr>
    </w:p>
    <w:p w:rsidR="00281746" w:rsidRPr="00281746" w:rsidRDefault="00281746" w:rsidP="00281746">
      <w:pPr>
        <w:spacing w:line="480" w:lineRule="auto"/>
        <w:ind w:left="810"/>
        <w:jc w:val="both"/>
        <w:rPr>
          <w:rFonts w:cs="Times New Roman"/>
          <w:sz w:val="20"/>
          <w:szCs w:val="20"/>
        </w:rPr>
      </w:pPr>
      <w:r w:rsidRPr="00281746">
        <w:rPr>
          <w:rFonts w:cs="Times New Roman"/>
          <w:sz w:val="20"/>
          <w:szCs w:val="20"/>
        </w:rPr>
        <w:t>Legal assistance for accused</w:t>
      </w:r>
    </w:p>
    <w:p w:rsidR="00281746" w:rsidRPr="00281746" w:rsidRDefault="00281746" w:rsidP="00281746">
      <w:pPr>
        <w:ind w:left="806"/>
        <w:jc w:val="both"/>
        <w:rPr>
          <w:rFonts w:cs="Times New Roman"/>
          <w:sz w:val="20"/>
          <w:szCs w:val="20"/>
        </w:rPr>
      </w:pPr>
      <w:r w:rsidRPr="00281746">
        <w:rPr>
          <w:rFonts w:cs="Times New Roman"/>
          <w:sz w:val="20"/>
          <w:szCs w:val="20"/>
        </w:rPr>
        <w:t>694.1(1) The Supreme Court of Canada or a judge thereof may, at any time, assign counsel to act on behalf of an accused who is a party to an appeal to the Court or to proceedings preliminary or incidental to an appeal to the Court where, in the opinion of the Court or judge, it appears desirable in the interests of justice that the accused should have legal assistance and where it appears that the accused has not sufficient means to obtain that assistance.</w:t>
      </w:r>
    </w:p>
    <w:p w:rsidR="00281746" w:rsidRPr="00281746" w:rsidRDefault="00281746" w:rsidP="00281746">
      <w:pPr>
        <w:ind w:left="806"/>
        <w:jc w:val="both"/>
        <w:rPr>
          <w:rFonts w:cs="Times New Roman"/>
          <w:sz w:val="20"/>
          <w:szCs w:val="20"/>
        </w:rPr>
      </w:pPr>
    </w:p>
    <w:p w:rsidR="00281746" w:rsidRPr="00281746" w:rsidRDefault="00281746" w:rsidP="00281746">
      <w:pPr>
        <w:spacing w:line="480" w:lineRule="auto"/>
        <w:ind w:left="810"/>
        <w:jc w:val="both"/>
        <w:rPr>
          <w:rFonts w:cs="Times New Roman"/>
          <w:sz w:val="20"/>
          <w:szCs w:val="20"/>
        </w:rPr>
      </w:pPr>
      <w:r w:rsidRPr="00281746">
        <w:rPr>
          <w:rFonts w:cs="Times New Roman"/>
          <w:sz w:val="20"/>
          <w:szCs w:val="20"/>
        </w:rPr>
        <w:t>Counsel fees and disbursements</w:t>
      </w:r>
    </w:p>
    <w:p w:rsidR="00281746" w:rsidRPr="00281746" w:rsidRDefault="00281746" w:rsidP="00281746">
      <w:pPr>
        <w:ind w:left="806"/>
        <w:jc w:val="both"/>
        <w:rPr>
          <w:rFonts w:cs="Times New Roman"/>
          <w:sz w:val="20"/>
          <w:szCs w:val="20"/>
        </w:rPr>
      </w:pPr>
      <w:r w:rsidRPr="00281746">
        <w:rPr>
          <w:rFonts w:cs="Times New Roman"/>
          <w:sz w:val="20"/>
          <w:szCs w:val="20"/>
        </w:rPr>
        <w:t>(2) Where counsel is assigned pursuant to subsection (1) and legal aid is not granted to the accused pursuant to a provincial legal aid program, the fees and disbursements of counsel shall be paid by the Attorney General who is the appellant or respondent, as the case may be, in the appeal.</w:t>
      </w:r>
    </w:p>
    <w:p w:rsidR="00281746" w:rsidRPr="00281746" w:rsidRDefault="00281746" w:rsidP="00281746">
      <w:pPr>
        <w:ind w:left="806"/>
        <w:jc w:val="both"/>
        <w:rPr>
          <w:rFonts w:cs="Times New Roman"/>
          <w:sz w:val="20"/>
          <w:szCs w:val="20"/>
        </w:rPr>
      </w:pPr>
    </w:p>
    <w:p w:rsidR="00281746" w:rsidRPr="00281746" w:rsidRDefault="00281746" w:rsidP="00281746">
      <w:pPr>
        <w:spacing w:line="480" w:lineRule="auto"/>
        <w:ind w:left="810"/>
        <w:jc w:val="both"/>
        <w:rPr>
          <w:rFonts w:cs="Times New Roman"/>
          <w:sz w:val="20"/>
          <w:szCs w:val="20"/>
        </w:rPr>
      </w:pPr>
      <w:r w:rsidRPr="00281746">
        <w:rPr>
          <w:rFonts w:cs="Times New Roman"/>
          <w:sz w:val="20"/>
          <w:szCs w:val="20"/>
        </w:rPr>
        <w:t>Taxation of fees and disbursements</w:t>
      </w:r>
    </w:p>
    <w:p w:rsidR="00281746" w:rsidRPr="00281746" w:rsidRDefault="00281746" w:rsidP="00281746">
      <w:pPr>
        <w:ind w:left="806"/>
        <w:jc w:val="both"/>
        <w:rPr>
          <w:rFonts w:cs="Times New Roman"/>
          <w:sz w:val="20"/>
          <w:szCs w:val="20"/>
        </w:rPr>
      </w:pPr>
      <w:r w:rsidRPr="00281746">
        <w:rPr>
          <w:rFonts w:cs="Times New Roman"/>
          <w:sz w:val="20"/>
          <w:szCs w:val="20"/>
        </w:rPr>
        <w:t>(3) Where subsection (2) applies and counsel and the Attorney General cannot agree on fees or disbursements of counsel, the Attorney General or the counsel may apply to the Registrar of the Supreme Court of Canada, and the Registrar may tax the disputed fees and disbursements.</w:t>
      </w:r>
    </w:p>
    <w:p w:rsidR="00281746" w:rsidRPr="00281746" w:rsidRDefault="00281746" w:rsidP="00281746">
      <w:pPr>
        <w:ind w:left="806"/>
        <w:jc w:val="both"/>
        <w:rPr>
          <w:rFonts w:cs="Times New Roman"/>
          <w:sz w:val="20"/>
          <w:szCs w:val="20"/>
        </w:rPr>
      </w:pPr>
    </w:p>
    <w:p w:rsidR="00281746" w:rsidRPr="00281746" w:rsidRDefault="00281746" w:rsidP="00281746">
      <w:pPr>
        <w:jc w:val="both"/>
        <w:rPr>
          <w:rFonts w:cs="Times New Roman"/>
          <w:sz w:val="20"/>
          <w:szCs w:val="20"/>
        </w:rPr>
      </w:pPr>
      <w:r w:rsidRPr="00281746">
        <w:rPr>
          <w:rFonts w:cs="Times New Roman"/>
          <w:sz w:val="20"/>
          <w:szCs w:val="20"/>
        </w:rPr>
        <w:t>[2]</w:t>
      </w:r>
      <w:r w:rsidRPr="00281746">
        <w:rPr>
          <w:rFonts w:cs="Times New Roman"/>
          <w:sz w:val="20"/>
          <w:szCs w:val="20"/>
        </w:rPr>
        <w:tab/>
        <w:t xml:space="preserve">The Attorney General consented to the appointment of James </w:t>
      </w:r>
      <w:proofErr w:type="spellStart"/>
      <w:r w:rsidRPr="00281746">
        <w:rPr>
          <w:rFonts w:cs="Times New Roman"/>
          <w:sz w:val="20"/>
          <w:szCs w:val="20"/>
        </w:rPr>
        <w:t>Lockyer</w:t>
      </w:r>
      <w:proofErr w:type="spellEnd"/>
      <w:r w:rsidRPr="00281746">
        <w:rPr>
          <w:rFonts w:cs="Times New Roman"/>
          <w:sz w:val="20"/>
          <w:szCs w:val="20"/>
        </w:rPr>
        <w:t xml:space="preserve"> as senior counsel and Joanne McLean as junior counsel.  Although Legal Aid Ontario (LAO) declined to issue a legal aid certificate in this case, the parties </w:t>
      </w:r>
      <w:r w:rsidRPr="00281746">
        <w:rPr>
          <w:rFonts w:cs="Times New Roman"/>
          <w:sz w:val="20"/>
          <w:szCs w:val="20"/>
        </w:rPr>
        <w:lastRenderedPageBreak/>
        <w:t xml:space="preserve">have agreed that the administration and management of the account will be conducted by LAO as if a legal aid certificate were in place.  As such, LAO’s policies and procedures, including billing practices and billing rules, are applicable.  The parties have not, however, been able to agree on the rate that counsel should be paid.  Mr. </w:t>
      </w:r>
      <w:proofErr w:type="spellStart"/>
      <w:r w:rsidRPr="00281746">
        <w:rPr>
          <w:rFonts w:cs="Times New Roman"/>
          <w:sz w:val="20"/>
          <w:szCs w:val="20"/>
        </w:rPr>
        <w:t>Lockyer</w:t>
      </w:r>
      <w:proofErr w:type="spellEnd"/>
      <w:r w:rsidRPr="00281746">
        <w:rPr>
          <w:rFonts w:cs="Times New Roman"/>
          <w:sz w:val="20"/>
          <w:szCs w:val="20"/>
        </w:rPr>
        <w:t xml:space="preserve"> requests that counsel fees be paid at a rate of $225 per hour, as well as $175 per hour for Ms. McLean.  The Attorney General proposes that counsel fees should be set at the legal aid rate for complex cases (currently $120.02 per hour). The application to the Registrar to fix the rate of counsel fees in advance of taxation was referred by the Registrar to our panel as we dealt with the applicant’s original leave application.</w:t>
      </w:r>
    </w:p>
    <w:p w:rsidR="00281746" w:rsidRPr="00281746" w:rsidRDefault="00281746" w:rsidP="00281746">
      <w:pPr>
        <w:jc w:val="both"/>
        <w:rPr>
          <w:rFonts w:cs="Times New Roman"/>
          <w:sz w:val="20"/>
          <w:szCs w:val="20"/>
        </w:rPr>
      </w:pPr>
    </w:p>
    <w:p w:rsidR="00281746" w:rsidRPr="00281746" w:rsidRDefault="00281746" w:rsidP="00281746">
      <w:pPr>
        <w:jc w:val="both"/>
        <w:rPr>
          <w:rFonts w:cs="Times New Roman"/>
          <w:sz w:val="20"/>
          <w:szCs w:val="20"/>
        </w:rPr>
      </w:pPr>
      <w:r w:rsidRPr="00281746">
        <w:rPr>
          <w:rFonts w:cs="Times New Roman"/>
          <w:sz w:val="20"/>
          <w:szCs w:val="20"/>
        </w:rPr>
        <w:t>[3]</w:t>
      </w:r>
      <w:r w:rsidRPr="00281746">
        <w:rPr>
          <w:rFonts w:cs="Times New Roman"/>
          <w:sz w:val="20"/>
          <w:szCs w:val="20"/>
        </w:rPr>
        <w:tab/>
        <w:t xml:space="preserve">The Attorney General contends that the legal aid tariff should be presumed to be the normal measurement for a lawyer paid from the public purse (relying on </w:t>
      </w:r>
      <w:r w:rsidRPr="00281746">
        <w:rPr>
          <w:rFonts w:cs="Times New Roman"/>
          <w:i/>
          <w:sz w:val="20"/>
          <w:szCs w:val="20"/>
        </w:rPr>
        <w:t xml:space="preserve">R. v. </w:t>
      </w:r>
      <w:proofErr w:type="spellStart"/>
      <w:r w:rsidRPr="00281746">
        <w:rPr>
          <w:rFonts w:cs="Times New Roman"/>
          <w:i/>
          <w:sz w:val="20"/>
          <w:szCs w:val="20"/>
        </w:rPr>
        <w:t>Cairenius</w:t>
      </w:r>
      <w:proofErr w:type="spellEnd"/>
      <w:r w:rsidRPr="00281746">
        <w:rPr>
          <w:rFonts w:cs="Times New Roman"/>
          <w:sz w:val="20"/>
          <w:szCs w:val="20"/>
        </w:rPr>
        <w:t xml:space="preserve"> (2008), 232 C.C.C. (3d) 13 (Ont. S.C.J.) and </w:t>
      </w:r>
      <w:r w:rsidRPr="00281746">
        <w:rPr>
          <w:rFonts w:cs="Times New Roman"/>
          <w:i/>
          <w:sz w:val="20"/>
          <w:szCs w:val="20"/>
        </w:rPr>
        <w:t xml:space="preserve">R. v. </w:t>
      </w:r>
      <w:proofErr w:type="spellStart"/>
      <w:r w:rsidRPr="00281746">
        <w:rPr>
          <w:rFonts w:cs="Times New Roman"/>
          <w:i/>
          <w:sz w:val="20"/>
          <w:szCs w:val="20"/>
        </w:rPr>
        <w:t>Magda</w:t>
      </w:r>
      <w:proofErr w:type="spellEnd"/>
      <w:r w:rsidRPr="00281746">
        <w:rPr>
          <w:rFonts w:cs="Times New Roman"/>
          <w:sz w:val="20"/>
          <w:szCs w:val="20"/>
        </w:rPr>
        <w:t xml:space="preserve">, [2001] O.J. No. 1861 (QL) (Ont. S.C.J.), at </w:t>
      </w:r>
      <w:proofErr w:type="spellStart"/>
      <w:r w:rsidRPr="00281746">
        <w:rPr>
          <w:rFonts w:cs="Times New Roman"/>
          <w:sz w:val="20"/>
          <w:szCs w:val="20"/>
        </w:rPr>
        <w:t>para</w:t>
      </w:r>
      <w:proofErr w:type="spellEnd"/>
      <w:r w:rsidRPr="00281746">
        <w:rPr>
          <w:rFonts w:cs="Times New Roman"/>
          <w:sz w:val="20"/>
          <w:szCs w:val="20"/>
        </w:rPr>
        <w:t xml:space="preserve">. 56), but no such limitation is set out in s. 694.1(3).  The legal aid tariff is unilaterally set by the Crown based on its own policies and priorities and cannot, in our view, be taken as conclusive, although it is a significant factor to be taken into account.  As </w:t>
      </w:r>
      <w:proofErr w:type="spellStart"/>
      <w:r w:rsidRPr="00281746">
        <w:rPr>
          <w:rFonts w:cs="Times New Roman"/>
          <w:sz w:val="20"/>
          <w:szCs w:val="20"/>
        </w:rPr>
        <w:t>Sopinka</w:t>
      </w:r>
      <w:proofErr w:type="spellEnd"/>
      <w:r w:rsidRPr="00281746">
        <w:rPr>
          <w:rFonts w:cs="Times New Roman"/>
          <w:sz w:val="20"/>
          <w:szCs w:val="20"/>
        </w:rPr>
        <w:t xml:space="preserve"> J. commented in </w:t>
      </w:r>
      <w:r w:rsidRPr="00281746">
        <w:rPr>
          <w:rFonts w:cs="Times New Roman"/>
          <w:i/>
          <w:sz w:val="20"/>
          <w:szCs w:val="20"/>
        </w:rPr>
        <w:t>Egan v. Canada</w:t>
      </w:r>
      <w:r w:rsidRPr="00281746">
        <w:rPr>
          <w:rFonts w:cs="Times New Roman"/>
          <w:sz w:val="20"/>
          <w:szCs w:val="20"/>
        </w:rPr>
        <w:t>, [1995] 2 S.C.R. 513, “It is not realistic for the Court to assume that there are unlimited funds to address the needs of all” (</w:t>
      </w:r>
      <w:proofErr w:type="spellStart"/>
      <w:r w:rsidRPr="00281746">
        <w:rPr>
          <w:rFonts w:cs="Times New Roman"/>
          <w:sz w:val="20"/>
          <w:szCs w:val="20"/>
        </w:rPr>
        <w:t>para</w:t>
      </w:r>
      <w:proofErr w:type="spellEnd"/>
      <w:r w:rsidRPr="00281746">
        <w:rPr>
          <w:rFonts w:cs="Times New Roman"/>
          <w:sz w:val="20"/>
          <w:szCs w:val="20"/>
        </w:rPr>
        <w:t>. 104).</w:t>
      </w:r>
    </w:p>
    <w:p w:rsidR="00281746" w:rsidRPr="00281746" w:rsidRDefault="00281746" w:rsidP="00281746">
      <w:pPr>
        <w:jc w:val="both"/>
        <w:rPr>
          <w:rFonts w:cs="Times New Roman"/>
          <w:sz w:val="20"/>
          <w:szCs w:val="20"/>
        </w:rPr>
      </w:pPr>
    </w:p>
    <w:p w:rsidR="00281746" w:rsidRPr="00281746" w:rsidRDefault="00281746" w:rsidP="00281746">
      <w:pPr>
        <w:jc w:val="both"/>
        <w:rPr>
          <w:rFonts w:cs="Times New Roman"/>
          <w:sz w:val="20"/>
          <w:szCs w:val="20"/>
        </w:rPr>
      </w:pPr>
      <w:r w:rsidRPr="00281746">
        <w:rPr>
          <w:rFonts w:cs="Times New Roman"/>
          <w:sz w:val="20"/>
          <w:szCs w:val="20"/>
        </w:rPr>
        <w:t>[4]</w:t>
      </w:r>
      <w:r w:rsidRPr="00281746">
        <w:rPr>
          <w:rFonts w:cs="Times New Roman"/>
          <w:sz w:val="20"/>
          <w:szCs w:val="20"/>
        </w:rPr>
        <w:tab/>
        <w:t xml:space="preserve">The determination under s. 694.1(3) should be based on a broader assessment of what is fair and reasonable in the circumstances, including the recognition of the limits of state funding but having regard to such factors as counsel’s experience, the importance of the issues raised and the complexity of the case;  see </w:t>
      </w:r>
      <w:r w:rsidRPr="00281746">
        <w:rPr>
          <w:rFonts w:cs="Times New Roman"/>
          <w:i/>
          <w:sz w:val="20"/>
          <w:szCs w:val="20"/>
        </w:rPr>
        <w:t xml:space="preserve">Alberta (Chief Commissioner of the Human Rights and Citizenship Commission) v. Brewer </w:t>
      </w:r>
      <w:r w:rsidRPr="00281746">
        <w:rPr>
          <w:rFonts w:cs="Times New Roman"/>
          <w:sz w:val="20"/>
          <w:szCs w:val="20"/>
        </w:rPr>
        <w:t xml:space="preserve">(a taxation decision of the Registrar of the Supreme Court of Canada, dated September 11, 2009) and </w:t>
      </w:r>
      <w:r w:rsidRPr="00281746">
        <w:rPr>
          <w:rFonts w:cs="Times New Roman"/>
          <w:i/>
          <w:sz w:val="20"/>
          <w:szCs w:val="20"/>
        </w:rPr>
        <w:t xml:space="preserve">R. v. </w:t>
      </w:r>
      <w:proofErr w:type="spellStart"/>
      <w:r w:rsidRPr="00281746">
        <w:rPr>
          <w:rFonts w:cs="Times New Roman"/>
          <w:i/>
          <w:sz w:val="20"/>
          <w:szCs w:val="20"/>
        </w:rPr>
        <w:t>Pietrangelo</w:t>
      </w:r>
      <w:proofErr w:type="spellEnd"/>
      <w:r w:rsidRPr="00281746">
        <w:rPr>
          <w:rFonts w:cs="Times New Roman"/>
          <w:sz w:val="20"/>
          <w:szCs w:val="20"/>
        </w:rPr>
        <w:t>, 2008 ONCA 547, [2008] O.J. No. 5137 (QL).</w:t>
      </w:r>
    </w:p>
    <w:p w:rsidR="00281746" w:rsidRPr="00281746" w:rsidRDefault="00281746" w:rsidP="00281746">
      <w:pPr>
        <w:jc w:val="both"/>
        <w:rPr>
          <w:rFonts w:cs="Times New Roman"/>
          <w:sz w:val="20"/>
          <w:szCs w:val="20"/>
        </w:rPr>
      </w:pPr>
    </w:p>
    <w:p w:rsidR="00281746" w:rsidRPr="00281746" w:rsidRDefault="00281746" w:rsidP="00281746">
      <w:pPr>
        <w:jc w:val="both"/>
        <w:rPr>
          <w:rFonts w:cs="Times New Roman"/>
          <w:sz w:val="20"/>
          <w:szCs w:val="20"/>
        </w:rPr>
      </w:pPr>
      <w:r w:rsidRPr="00281746">
        <w:rPr>
          <w:rFonts w:cs="Times New Roman"/>
          <w:sz w:val="20"/>
          <w:szCs w:val="20"/>
        </w:rPr>
        <w:t>[5]</w:t>
      </w:r>
      <w:r w:rsidRPr="00281746">
        <w:rPr>
          <w:rFonts w:cs="Times New Roman"/>
          <w:sz w:val="20"/>
          <w:szCs w:val="20"/>
        </w:rPr>
        <w:tab/>
        <w:t xml:space="preserve">The Attorney General has conceded a number of the issues in the proceedings including his anticipation that the Court of Appeal will order a new trial (Factum of the Attorney General, at </w:t>
      </w:r>
      <w:proofErr w:type="spellStart"/>
      <w:r w:rsidRPr="00281746">
        <w:rPr>
          <w:rFonts w:cs="Times New Roman"/>
          <w:sz w:val="20"/>
          <w:szCs w:val="20"/>
        </w:rPr>
        <w:t>para</w:t>
      </w:r>
      <w:proofErr w:type="spellEnd"/>
      <w:r w:rsidRPr="00281746">
        <w:rPr>
          <w:rFonts w:cs="Times New Roman"/>
          <w:sz w:val="20"/>
          <w:szCs w:val="20"/>
        </w:rPr>
        <w:t xml:space="preserve">. 2).  The issues are somewhat complex having already been the subject of one trial, one lengthy arbitration hearing, one appeal to the Divisional Court of Ontario, three appeals to the Ontario Court of Appeal, two applications to this Court, and one appeal to this Court.  At the same time, the Attorney General notes in his factum that the referral back to the Ontario Court of Appeal was on consent and “the Crown acknowledged before counsel filed any material at all in the Court of Appeal that the conviction should be set aside and this potential miscarriage of justice corrected through the ordering of a new trial” (Factum of the Attorney General, at </w:t>
      </w:r>
      <w:proofErr w:type="spellStart"/>
      <w:r w:rsidRPr="00281746">
        <w:rPr>
          <w:rFonts w:cs="Times New Roman"/>
          <w:sz w:val="20"/>
          <w:szCs w:val="20"/>
        </w:rPr>
        <w:t>para</w:t>
      </w:r>
      <w:proofErr w:type="spellEnd"/>
      <w:r w:rsidRPr="00281746">
        <w:rPr>
          <w:rFonts w:cs="Times New Roman"/>
          <w:sz w:val="20"/>
          <w:szCs w:val="20"/>
        </w:rPr>
        <w:t>. 29).  These concessions certainly reduced the scope of the demands made on counsel for the applicant, and (undoubtedly) the time required to be spent to reach a resolution.  However, counsel should not be penalized by a reduced hourly rate for the efficiency with which a dispute is resolved.  The efficiency will be reflected in the reduced number of hours charged.</w:t>
      </w:r>
    </w:p>
    <w:p w:rsidR="00281746" w:rsidRPr="00281746" w:rsidRDefault="00281746" w:rsidP="00281746">
      <w:pPr>
        <w:jc w:val="both"/>
        <w:rPr>
          <w:rFonts w:cs="Times New Roman"/>
          <w:sz w:val="20"/>
          <w:szCs w:val="20"/>
        </w:rPr>
      </w:pPr>
    </w:p>
    <w:p w:rsidR="00281746" w:rsidRPr="00281746" w:rsidRDefault="00281746" w:rsidP="00281746">
      <w:pPr>
        <w:jc w:val="both"/>
        <w:rPr>
          <w:rFonts w:cs="Times New Roman"/>
          <w:sz w:val="20"/>
          <w:szCs w:val="20"/>
        </w:rPr>
      </w:pPr>
      <w:r w:rsidRPr="00281746">
        <w:rPr>
          <w:rFonts w:cs="Times New Roman"/>
          <w:sz w:val="20"/>
          <w:szCs w:val="20"/>
        </w:rPr>
        <w:t>[6]</w:t>
      </w:r>
      <w:r w:rsidRPr="00281746">
        <w:rPr>
          <w:rFonts w:cs="Times New Roman"/>
          <w:sz w:val="20"/>
          <w:szCs w:val="20"/>
        </w:rPr>
        <w:tab/>
        <w:t xml:space="preserve">Mr. </w:t>
      </w:r>
      <w:proofErr w:type="spellStart"/>
      <w:r w:rsidRPr="00281746">
        <w:rPr>
          <w:rFonts w:cs="Times New Roman"/>
          <w:sz w:val="20"/>
          <w:szCs w:val="20"/>
        </w:rPr>
        <w:t>Lockyer</w:t>
      </w:r>
      <w:proofErr w:type="spellEnd"/>
      <w:r w:rsidRPr="00281746">
        <w:rPr>
          <w:rFonts w:cs="Times New Roman"/>
          <w:sz w:val="20"/>
          <w:szCs w:val="20"/>
        </w:rPr>
        <w:t xml:space="preserve"> and his colleague, Ms. McLean, have over 30 years and 20 years experience respectively, and both have practised criminal law exclusively throughout their careers.  Rates equivalent to those requested by counsel in this case, or higher, have previously been set in the Ontario Court of Appeal by the Registrar and by Rosenberg J.A. on applications under the comparable costs regime set out in s. 684(3) of the </w:t>
      </w:r>
      <w:r w:rsidRPr="00281746">
        <w:rPr>
          <w:rFonts w:cs="Times New Roman"/>
          <w:i/>
          <w:sz w:val="20"/>
          <w:szCs w:val="20"/>
        </w:rPr>
        <w:t>Code</w:t>
      </w:r>
      <w:r w:rsidRPr="00281746">
        <w:rPr>
          <w:rFonts w:cs="Times New Roman"/>
          <w:sz w:val="20"/>
          <w:szCs w:val="20"/>
        </w:rPr>
        <w:t>; see</w:t>
      </w:r>
      <w:r w:rsidRPr="00281746">
        <w:rPr>
          <w:rFonts w:cs="Times New Roman"/>
          <w:i/>
          <w:sz w:val="20"/>
          <w:szCs w:val="20"/>
        </w:rPr>
        <w:t xml:space="preserve"> </w:t>
      </w:r>
      <w:proofErr w:type="spellStart"/>
      <w:r w:rsidRPr="00281746">
        <w:rPr>
          <w:rFonts w:cs="Times New Roman"/>
          <w:i/>
          <w:sz w:val="20"/>
          <w:szCs w:val="20"/>
        </w:rPr>
        <w:t>Pietrangelo</w:t>
      </w:r>
      <w:proofErr w:type="spellEnd"/>
      <w:r w:rsidRPr="00281746">
        <w:rPr>
          <w:rFonts w:cs="Times New Roman"/>
          <w:sz w:val="20"/>
          <w:szCs w:val="20"/>
        </w:rPr>
        <w:t xml:space="preserve">, </w:t>
      </w:r>
      <w:r w:rsidRPr="00281746">
        <w:rPr>
          <w:rFonts w:cs="Times New Roman"/>
          <w:i/>
          <w:sz w:val="20"/>
          <w:szCs w:val="20"/>
        </w:rPr>
        <w:t>R. v. Kumar</w:t>
      </w:r>
      <w:r w:rsidRPr="00281746">
        <w:rPr>
          <w:rFonts w:cs="Times New Roman"/>
          <w:sz w:val="20"/>
          <w:szCs w:val="20"/>
        </w:rPr>
        <w:t xml:space="preserve"> (endorsement dated October 2, 2008), </w:t>
      </w:r>
      <w:r w:rsidRPr="00281746">
        <w:rPr>
          <w:rFonts w:cs="Times New Roman"/>
          <w:i/>
          <w:sz w:val="20"/>
          <w:szCs w:val="20"/>
        </w:rPr>
        <w:t>R. v. C.M</w:t>
      </w:r>
      <w:r w:rsidRPr="00281746">
        <w:rPr>
          <w:rFonts w:cs="Times New Roman"/>
          <w:sz w:val="20"/>
          <w:szCs w:val="20"/>
        </w:rPr>
        <w:t>. (endorsement dated October 24, 2008) and</w:t>
      </w:r>
      <w:r w:rsidRPr="00281746">
        <w:rPr>
          <w:rFonts w:cs="Times New Roman"/>
          <w:i/>
          <w:sz w:val="20"/>
          <w:szCs w:val="20"/>
        </w:rPr>
        <w:t xml:space="preserve"> R. v. </w:t>
      </w:r>
      <w:proofErr w:type="spellStart"/>
      <w:r w:rsidRPr="00281746">
        <w:rPr>
          <w:rFonts w:cs="Times New Roman"/>
          <w:i/>
          <w:sz w:val="20"/>
          <w:szCs w:val="20"/>
        </w:rPr>
        <w:t>Hanemaayer</w:t>
      </w:r>
      <w:proofErr w:type="spellEnd"/>
      <w:r w:rsidRPr="00281746">
        <w:rPr>
          <w:rFonts w:cs="Times New Roman"/>
          <w:sz w:val="20"/>
          <w:szCs w:val="20"/>
        </w:rPr>
        <w:t xml:space="preserve"> (endorsement dated January 13, 2009).</w:t>
      </w:r>
    </w:p>
    <w:p w:rsidR="00281746" w:rsidRPr="00281746" w:rsidRDefault="00281746" w:rsidP="00281746">
      <w:pPr>
        <w:jc w:val="both"/>
        <w:rPr>
          <w:rFonts w:cs="Times New Roman"/>
          <w:sz w:val="20"/>
          <w:szCs w:val="20"/>
        </w:rPr>
      </w:pPr>
    </w:p>
    <w:p w:rsidR="00281746" w:rsidRPr="00281746" w:rsidRDefault="00281746" w:rsidP="00281746">
      <w:pPr>
        <w:jc w:val="both"/>
        <w:rPr>
          <w:rFonts w:cs="Times New Roman"/>
          <w:sz w:val="20"/>
          <w:szCs w:val="20"/>
        </w:rPr>
      </w:pPr>
      <w:r w:rsidRPr="00281746">
        <w:rPr>
          <w:rFonts w:cs="Times New Roman"/>
          <w:sz w:val="20"/>
          <w:szCs w:val="20"/>
        </w:rPr>
        <w:t>[7]</w:t>
      </w:r>
      <w:r w:rsidRPr="00281746">
        <w:rPr>
          <w:rFonts w:cs="Times New Roman"/>
          <w:sz w:val="20"/>
          <w:szCs w:val="20"/>
        </w:rPr>
        <w:tab/>
        <w:t xml:space="preserve">In our respectful view, on a consideration of all the circumstances of this case, the rates proposed by Mr. </w:t>
      </w:r>
      <w:proofErr w:type="spellStart"/>
      <w:r w:rsidRPr="00281746">
        <w:rPr>
          <w:rFonts w:cs="Times New Roman"/>
          <w:sz w:val="20"/>
          <w:szCs w:val="20"/>
        </w:rPr>
        <w:t>Lockyer</w:t>
      </w:r>
      <w:proofErr w:type="spellEnd"/>
      <w:r w:rsidRPr="00281746">
        <w:rPr>
          <w:rFonts w:cs="Times New Roman"/>
          <w:sz w:val="20"/>
          <w:szCs w:val="20"/>
        </w:rPr>
        <w:t xml:space="preserve"> are fair and reasonable.  His hourly rate should therefore be fixed at $225 per hour and Ms. McLean’s at $175 with respect to proceedings in this Court and “any incidental proceedings in the Ontario Court of Appeal”.</w:t>
      </w:r>
    </w:p>
    <w:p w:rsidR="00281746" w:rsidRPr="00281746" w:rsidRDefault="00281746" w:rsidP="00281746">
      <w:pPr>
        <w:rPr>
          <w:rFonts w:cs="Times New Roman"/>
          <w:sz w:val="20"/>
          <w:szCs w:val="20"/>
        </w:rPr>
      </w:pPr>
    </w:p>
    <w:p w:rsidR="00281746" w:rsidRPr="00281746" w:rsidRDefault="00281746" w:rsidP="00281746">
      <w:pPr>
        <w:rPr>
          <w:rFonts w:cs="Times New Roman"/>
          <w:sz w:val="20"/>
          <w:szCs w:val="20"/>
        </w:rPr>
      </w:pPr>
    </w:p>
    <w:p w:rsidR="00281746" w:rsidRPr="00281746" w:rsidRDefault="00281746" w:rsidP="00281746">
      <w:pPr>
        <w:rPr>
          <w:rFonts w:cs="Times New Roman"/>
          <w:sz w:val="20"/>
          <w:szCs w:val="20"/>
        </w:rPr>
      </w:pPr>
    </w:p>
    <w:p w:rsidR="00281746" w:rsidRPr="00281746" w:rsidRDefault="00281746" w:rsidP="00281746">
      <w:pPr>
        <w:spacing w:line="233" w:lineRule="auto"/>
        <w:rPr>
          <w:rFonts w:cs="Times New Roman"/>
          <w:b/>
          <w:bCs/>
          <w:sz w:val="20"/>
          <w:szCs w:val="20"/>
          <w:lang w:val="fr-CA"/>
        </w:rPr>
      </w:pPr>
      <w:r w:rsidRPr="00281746">
        <w:rPr>
          <w:rFonts w:cs="Times New Roman"/>
          <w:b/>
          <w:bCs/>
          <w:sz w:val="20"/>
          <w:szCs w:val="20"/>
          <w:u w:val="single"/>
          <w:lang w:val="fr-CA"/>
        </w:rPr>
        <w:t>LE JUGE BINNIE</w:t>
      </w:r>
      <w:r w:rsidRPr="00281746">
        <w:rPr>
          <w:rFonts w:cs="Times New Roman"/>
          <w:b/>
          <w:bCs/>
          <w:sz w:val="20"/>
          <w:szCs w:val="20"/>
          <w:lang w:val="fr-CA"/>
        </w:rPr>
        <w:t xml:space="preserve"> :</w:t>
      </w:r>
    </w:p>
    <w:p w:rsidR="00281746" w:rsidRPr="00281746" w:rsidRDefault="00281746" w:rsidP="00281746">
      <w:pPr>
        <w:jc w:val="both"/>
        <w:rPr>
          <w:rFonts w:cs="Times New Roman"/>
          <w:sz w:val="20"/>
          <w:szCs w:val="20"/>
          <w:lang w:val="fr-FR"/>
        </w:rPr>
      </w:pPr>
    </w:p>
    <w:p w:rsidR="00281746" w:rsidRPr="00281746" w:rsidRDefault="00281746" w:rsidP="00281746">
      <w:pPr>
        <w:jc w:val="both"/>
        <w:rPr>
          <w:rFonts w:cs="Times New Roman"/>
          <w:sz w:val="20"/>
          <w:szCs w:val="20"/>
          <w:lang w:val="fr-CA"/>
        </w:rPr>
      </w:pPr>
      <w:r w:rsidRPr="00281746">
        <w:rPr>
          <w:rFonts w:cs="Times New Roman"/>
          <w:sz w:val="20"/>
          <w:szCs w:val="20"/>
          <w:lang w:val="fr-CA"/>
        </w:rPr>
        <w:t>[1]</w:t>
      </w:r>
      <w:r w:rsidRPr="00281746">
        <w:rPr>
          <w:rFonts w:cs="Times New Roman"/>
          <w:sz w:val="20"/>
          <w:szCs w:val="20"/>
          <w:lang w:val="fr-CA"/>
        </w:rPr>
        <w:tab/>
        <w:t xml:space="preserve">Il s’agit d’une demande fondée sur l’art. 694.1 </w:t>
      </w:r>
      <w:proofErr w:type="gramStart"/>
      <w:r w:rsidRPr="00281746">
        <w:rPr>
          <w:rFonts w:cs="Times New Roman"/>
          <w:sz w:val="20"/>
          <w:szCs w:val="20"/>
          <w:lang w:val="fr-CA"/>
        </w:rPr>
        <w:t>du</w:t>
      </w:r>
      <w:proofErr w:type="gramEnd"/>
      <w:r w:rsidRPr="00281746">
        <w:rPr>
          <w:rFonts w:cs="Times New Roman"/>
          <w:sz w:val="20"/>
          <w:szCs w:val="20"/>
          <w:lang w:val="fr-CA"/>
        </w:rPr>
        <w:t xml:space="preserve"> Code criminel, L.R.C. 1985, ch. C-46, sollicitant la fixation du tarif des honoraires de l’avocat désigné par la Cour, en application du par. 694.1(1), pour représenter le demandeur, qui a été reconnu coupable d’agression sexuelle à l’issue d’un procès o</w:t>
      </w:r>
      <w:r w:rsidRPr="00281746">
        <w:rPr>
          <w:rFonts w:cs="Times New Roman"/>
          <w:sz w:val="20"/>
          <w:szCs w:val="20"/>
          <w:lang w:val="fr-FR"/>
        </w:rPr>
        <w:t>ù</w:t>
      </w:r>
      <w:r w:rsidRPr="00281746">
        <w:rPr>
          <w:rFonts w:cs="Times New Roman"/>
          <w:sz w:val="20"/>
          <w:szCs w:val="20"/>
          <w:lang w:val="fr-CA"/>
        </w:rPr>
        <w:t xml:space="preserve">, selon ses dires, on lui a refusé l’assistance effective d’un avocat. Dans son ordonnance datée du 3 décembre 2009, la Cour a accueilli la demande de désignation d’un avocat pour les procédures devant la Cour et pour « toute procédure devant la Cour d’appel de l’Ontario ». La Cour a renvoyé l’affaire à la Cour d’appel de l’Ontario pour que celle-ci examine les nouveaux éléments de preuve et </w:t>
      </w:r>
      <w:r w:rsidRPr="00281746">
        <w:rPr>
          <w:rFonts w:cs="Times New Roman"/>
          <w:sz w:val="20"/>
          <w:szCs w:val="20"/>
          <w:lang w:val="fr-CA"/>
        </w:rPr>
        <w:lastRenderedPageBreak/>
        <w:t>décide si, eu égard à l’ensemble des circonstances, le maintien de la déclaration de culpabilité du demandeur constitue une erreur judiciaire. L’article 694.1 est rédigé ainsi :</w:t>
      </w:r>
    </w:p>
    <w:p w:rsidR="00281746" w:rsidRPr="00281746" w:rsidRDefault="00281746" w:rsidP="00281746">
      <w:pPr>
        <w:spacing w:line="233" w:lineRule="auto"/>
        <w:ind w:left="810"/>
        <w:jc w:val="both"/>
        <w:rPr>
          <w:rFonts w:cs="Times New Roman"/>
          <w:sz w:val="20"/>
          <w:szCs w:val="20"/>
          <w:lang w:val="fr-CA"/>
        </w:rPr>
      </w:pPr>
      <w:r w:rsidRPr="00281746">
        <w:rPr>
          <w:rFonts w:cs="Times New Roman"/>
          <w:sz w:val="20"/>
          <w:szCs w:val="20"/>
          <w:lang w:val="fr-CA"/>
        </w:rPr>
        <w:t>Assistance d’un avocat</w:t>
      </w:r>
    </w:p>
    <w:p w:rsidR="00281746" w:rsidRPr="00281746" w:rsidRDefault="00281746" w:rsidP="00281746">
      <w:pPr>
        <w:spacing w:line="233" w:lineRule="auto"/>
        <w:ind w:left="810"/>
        <w:jc w:val="both"/>
        <w:rPr>
          <w:rFonts w:cs="Times New Roman"/>
          <w:sz w:val="20"/>
          <w:szCs w:val="20"/>
          <w:lang w:val="fr-CA"/>
        </w:rPr>
      </w:pPr>
    </w:p>
    <w:p w:rsidR="00281746" w:rsidRPr="00281746" w:rsidRDefault="00281746" w:rsidP="00281746">
      <w:pPr>
        <w:spacing w:line="233" w:lineRule="auto"/>
        <w:ind w:left="810"/>
        <w:jc w:val="both"/>
        <w:rPr>
          <w:rFonts w:cs="Times New Roman"/>
          <w:sz w:val="20"/>
          <w:szCs w:val="20"/>
          <w:lang w:val="fr-FR"/>
        </w:rPr>
      </w:pPr>
      <w:r w:rsidRPr="00281746">
        <w:rPr>
          <w:rFonts w:cs="Times New Roman"/>
          <w:sz w:val="20"/>
          <w:szCs w:val="20"/>
          <w:lang w:val="fr-FR"/>
        </w:rPr>
        <w:t xml:space="preserve">694.1(1) La Cour suprême du Canada, ou l’un de ses juges, peut à tout moment désigner un avocat pour agir au nom d’un accusé qui est partie à un appel ou à des procédures préliminaires ou accessoires à un appel devant elle, lorsque, à son avis, il paraît désirable dans l’intérêt de la justice que l’accusé soit pourvu d’un avocat et lorsqu’il appert que l’accusé n’a pas les moyens requis pour obtenir l’assistance d’un avocat. </w:t>
      </w:r>
    </w:p>
    <w:p w:rsidR="00281746" w:rsidRPr="00281746" w:rsidRDefault="00281746" w:rsidP="00281746">
      <w:pPr>
        <w:spacing w:line="233" w:lineRule="auto"/>
        <w:ind w:left="810"/>
        <w:jc w:val="both"/>
        <w:rPr>
          <w:rFonts w:cs="Times New Roman"/>
          <w:sz w:val="20"/>
          <w:szCs w:val="20"/>
          <w:lang w:val="fr-FR"/>
        </w:rPr>
      </w:pPr>
    </w:p>
    <w:p w:rsidR="00281746" w:rsidRPr="00281746" w:rsidRDefault="00281746" w:rsidP="00281746">
      <w:pPr>
        <w:spacing w:line="233" w:lineRule="auto"/>
        <w:ind w:left="810"/>
        <w:jc w:val="both"/>
        <w:rPr>
          <w:rFonts w:cs="Times New Roman"/>
          <w:sz w:val="20"/>
          <w:szCs w:val="20"/>
          <w:lang w:val="fr-FR"/>
        </w:rPr>
      </w:pPr>
      <w:r w:rsidRPr="00281746">
        <w:rPr>
          <w:rFonts w:cs="Times New Roman"/>
          <w:sz w:val="20"/>
          <w:szCs w:val="20"/>
          <w:lang w:val="fr-FR"/>
        </w:rPr>
        <w:t>Taxation des honoraires et des dépenses</w:t>
      </w:r>
    </w:p>
    <w:p w:rsidR="00281746" w:rsidRPr="00281746" w:rsidRDefault="00281746" w:rsidP="00281746">
      <w:pPr>
        <w:spacing w:line="233" w:lineRule="auto"/>
        <w:ind w:left="810"/>
        <w:jc w:val="both"/>
        <w:rPr>
          <w:rFonts w:cs="Times New Roman"/>
          <w:sz w:val="20"/>
          <w:szCs w:val="20"/>
          <w:lang w:val="fr-FR"/>
        </w:rPr>
      </w:pPr>
    </w:p>
    <w:p w:rsidR="00281746" w:rsidRPr="00281746" w:rsidRDefault="00281746" w:rsidP="00281746">
      <w:pPr>
        <w:spacing w:line="233" w:lineRule="auto"/>
        <w:ind w:left="810"/>
        <w:jc w:val="both"/>
        <w:rPr>
          <w:rFonts w:cs="Times New Roman"/>
          <w:sz w:val="20"/>
          <w:szCs w:val="20"/>
          <w:lang w:val="fr-FR"/>
        </w:rPr>
      </w:pPr>
      <w:r w:rsidRPr="00281746">
        <w:rPr>
          <w:rFonts w:cs="Times New Roman"/>
          <w:sz w:val="20"/>
          <w:szCs w:val="20"/>
          <w:lang w:val="fr-FR"/>
        </w:rPr>
        <w:t>(2) Dans le cas où l’accusé ne bénéficie de l’aide juridique prévue par un régime provincial, le procureur général en cause paie les honoraires et les dépenses de l’avocat désigné au titre du paragraphe (1).</w:t>
      </w:r>
    </w:p>
    <w:p w:rsidR="00281746" w:rsidRPr="00281746" w:rsidRDefault="00281746" w:rsidP="00281746">
      <w:pPr>
        <w:spacing w:line="233" w:lineRule="auto"/>
        <w:ind w:left="810"/>
        <w:jc w:val="both"/>
        <w:rPr>
          <w:rFonts w:cs="Times New Roman"/>
          <w:sz w:val="20"/>
          <w:szCs w:val="20"/>
          <w:lang w:val="fr-FR"/>
        </w:rPr>
      </w:pPr>
    </w:p>
    <w:p w:rsidR="00281746" w:rsidRPr="00281746" w:rsidRDefault="00281746" w:rsidP="00281746">
      <w:pPr>
        <w:spacing w:after="200" w:line="276" w:lineRule="auto"/>
        <w:ind w:left="810"/>
        <w:rPr>
          <w:rFonts w:cs="Times New Roman"/>
          <w:sz w:val="20"/>
          <w:szCs w:val="20"/>
          <w:lang w:val="fr-FR"/>
        </w:rPr>
      </w:pPr>
      <w:r w:rsidRPr="00281746">
        <w:rPr>
          <w:rFonts w:cs="Times New Roman"/>
          <w:sz w:val="20"/>
          <w:szCs w:val="20"/>
          <w:lang w:val="fr-FR"/>
        </w:rPr>
        <w:t>Taxation des honoraires et des dépenses</w:t>
      </w:r>
    </w:p>
    <w:p w:rsidR="00281746" w:rsidRPr="00281746" w:rsidRDefault="00281746" w:rsidP="00281746">
      <w:pPr>
        <w:spacing w:line="233" w:lineRule="auto"/>
        <w:ind w:left="810"/>
        <w:jc w:val="both"/>
        <w:rPr>
          <w:rFonts w:cs="Times New Roman"/>
          <w:sz w:val="20"/>
          <w:szCs w:val="20"/>
          <w:lang w:val="fr-FR"/>
        </w:rPr>
      </w:pPr>
      <w:r w:rsidRPr="00281746">
        <w:rPr>
          <w:rFonts w:cs="Times New Roman"/>
          <w:sz w:val="20"/>
          <w:szCs w:val="20"/>
          <w:lang w:val="fr-FR"/>
        </w:rPr>
        <w:t xml:space="preserve">(3) Dans le cas de l’application du paragraphe (2), le registraire de la Cour suprême du Canada peut, sur demande du procureur général ou de l’avocat, taxer les honoraires et les dépenses de l’avocat si le procureur général et ce dernier ne s’entendent pas sur leur montant. </w:t>
      </w:r>
    </w:p>
    <w:p w:rsidR="00281746" w:rsidRPr="00281746" w:rsidRDefault="00281746" w:rsidP="00281746">
      <w:pPr>
        <w:pStyle w:val="ListParagraph"/>
        <w:jc w:val="both"/>
        <w:rPr>
          <w:rFonts w:cs="Times New Roman"/>
          <w:sz w:val="20"/>
          <w:szCs w:val="20"/>
          <w:lang w:val="fr-CA"/>
        </w:rPr>
      </w:pPr>
    </w:p>
    <w:p w:rsidR="00281746" w:rsidRPr="00281746" w:rsidRDefault="00281746" w:rsidP="00281746">
      <w:pPr>
        <w:spacing w:line="233" w:lineRule="auto"/>
        <w:jc w:val="both"/>
        <w:rPr>
          <w:rFonts w:cs="Times New Roman"/>
          <w:sz w:val="20"/>
          <w:szCs w:val="20"/>
          <w:lang w:val="fr-FR"/>
        </w:rPr>
      </w:pPr>
      <w:r w:rsidRPr="00281746">
        <w:rPr>
          <w:rFonts w:cs="Times New Roman"/>
          <w:sz w:val="20"/>
          <w:szCs w:val="20"/>
          <w:lang w:val="fr-FR"/>
        </w:rPr>
        <w:t>[2]</w:t>
      </w:r>
      <w:r w:rsidRPr="00281746">
        <w:rPr>
          <w:rFonts w:cs="Times New Roman"/>
          <w:sz w:val="20"/>
          <w:szCs w:val="20"/>
          <w:lang w:val="fr-FR"/>
        </w:rPr>
        <w:tab/>
        <w:t xml:space="preserve">Le procureur général a consenti à la désignation de James Lockyer à titre d’avocat principal et de Joanne McLean comme avocate adjointe. Bien </w:t>
      </w:r>
      <w:proofErr w:type="gramStart"/>
      <w:r w:rsidRPr="00281746">
        <w:rPr>
          <w:rFonts w:cs="Times New Roman"/>
          <w:sz w:val="20"/>
          <w:szCs w:val="20"/>
          <w:lang w:val="fr-FR"/>
        </w:rPr>
        <w:t>que Aide</w:t>
      </w:r>
      <w:proofErr w:type="gramEnd"/>
      <w:r w:rsidRPr="00281746">
        <w:rPr>
          <w:rFonts w:cs="Times New Roman"/>
          <w:sz w:val="20"/>
          <w:szCs w:val="20"/>
          <w:lang w:val="fr-FR"/>
        </w:rPr>
        <w:t xml:space="preserve"> juridique Ontario (AJO) ait refusé de délivrer un certificat d’aide juridique en l’espèce, les parties ont convenu que AJO administrerait et gérerait le compte comme si un tel certificat avait été délivré. Les politiques et les procédures d’AJO, ainsi que ses règles et pratiques en matière de facturation, s’appliquent donc. Les parties ne sont toutefois pas parvenues à s’entendre sur le tarif des honoraires payables aux avocats. M</w:t>
      </w:r>
      <w:r w:rsidRPr="00281746">
        <w:rPr>
          <w:rFonts w:cs="Times New Roman"/>
          <w:sz w:val="20"/>
          <w:szCs w:val="20"/>
          <w:vertAlign w:val="superscript"/>
          <w:lang w:val="fr-FR"/>
        </w:rPr>
        <w:t>e</w:t>
      </w:r>
      <w:r w:rsidRPr="00281746">
        <w:rPr>
          <w:rFonts w:cs="Times New Roman"/>
          <w:sz w:val="20"/>
          <w:szCs w:val="20"/>
          <w:lang w:val="fr-FR"/>
        </w:rPr>
        <w:t xml:space="preserve"> Lockyer sollicite des honoraires de 225 $ l’heure pour lui-même et de 175 $ l’heure pour M</w:t>
      </w:r>
      <w:r w:rsidRPr="00281746">
        <w:rPr>
          <w:rFonts w:cs="Times New Roman"/>
          <w:sz w:val="20"/>
          <w:szCs w:val="20"/>
          <w:vertAlign w:val="superscript"/>
          <w:lang w:val="fr-FR"/>
        </w:rPr>
        <w:t>e</w:t>
      </w:r>
      <w:r w:rsidRPr="00281746">
        <w:rPr>
          <w:rFonts w:cs="Times New Roman"/>
          <w:sz w:val="20"/>
          <w:szCs w:val="20"/>
          <w:lang w:val="fr-FR"/>
        </w:rPr>
        <w:t xml:space="preserve"> McLean. Le procureur général propose que les honoraires des avocats correspondent au tarif de l’aide juridique pour les dossiers complexes (ce tarif est maintenant de 120,02 $ l’heure). La demande qui avait été adressée au registraire pour qu’il fixe le tarif des honoraires des avocats avant la taxation nous a été déférée par ce dernier, étant donné que notre formation avait été saisie de la demande d’autorisation originale. </w:t>
      </w:r>
    </w:p>
    <w:p w:rsidR="00281746" w:rsidRPr="00281746" w:rsidRDefault="00281746" w:rsidP="00281746">
      <w:pPr>
        <w:spacing w:line="233" w:lineRule="auto"/>
        <w:jc w:val="both"/>
        <w:rPr>
          <w:rFonts w:cs="Times New Roman"/>
          <w:sz w:val="20"/>
          <w:szCs w:val="20"/>
          <w:lang w:val="fr-FR"/>
        </w:rPr>
      </w:pPr>
    </w:p>
    <w:p w:rsidR="00281746" w:rsidRPr="00281746" w:rsidRDefault="00281746" w:rsidP="00281746">
      <w:pPr>
        <w:jc w:val="both"/>
        <w:rPr>
          <w:rFonts w:cs="Times New Roman"/>
          <w:sz w:val="20"/>
          <w:szCs w:val="20"/>
          <w:lang w:val="fr-FR"/>
        </w:rPr>
      </w:pPr>
      <w:r w:rsidRPr="00281746">
        <w:rPr>
          <w:rFonts w:cs="Times New Roman"/>
          <w:sz w:val="20"/>
          <w:szCs w:val="20"/>
          <w:lang w:val="fr-FR"/>
        </w:rPr>
        <w:t>[3]</w:t>
      </w:r>
      <w:r w:rsidRPr="00281746">
        <w:rPr>
          <w:rFonts w:cs="Times New Roman"/>
          <w:sz w:val="20"/>
          <w:szCs w:val="20"/>
          <w:lang w:val="fr-FR"/>
        </w:rPr>
        <w:tab/>
        <w:t xml:space="preserve">Selon le procureur général, il faut présumer que le tarif de l’aide juridique constitue, en règle générale, la mesure des honoraires d’un avocat payé sur les deniers publics (se fondant sur </w:t>
      </w:r>
      <w:r w:rsidRPr="00281746">
        <w:rPr>
          <w:rFonts w:cs="Times New Roman"/>
          <w:i/>
          <w:sz w:val="20"/>
          <w:szCs w:val="20"/>
          <w:lang w:val="fr-FR"/>
        </w:rPr>
        <w:t xml:space="preserve">R. v. </w:t>
      </w:r>
      <w:proofErr w:type="spellStart"/>
      <w:r w:rsidRPr="00281746">
        <w:rPr>
          <w:rFonts w:cs="Times New Roman"/>
          <w:i/>
          <w:sz w:val="20"/>
          <w:szCs w:val="20"/>
          <w:lang w:val="fr-FR"/>
        </w:rPr>
        <w:t>Cairenius</w:t>
      </w:r>
      <w:proofErr w:type="spellEnd"/>
      <w:r w:rsidRPr="00281746">
        <w:rPr>
          <w:rFonts w:cs="Times New Roman"/>
          <w:sz w:val="20"/>
          <w:szCs w:val="20"/>
          <w:lang w:val="fr-FR"/>
        </w:rPr>
        <w:t xml:space="preserve"> (2008), 232 C.C.C. (3d) 13 (C.S.J. Ont.) et </w:t>
      </w:r>
      <w:r w:rsidRPr="00281746">
        <w:rPr>
          <w:rFonts w:cs="Times New Roman"/>
          <w:i/>
          <w:sz w:val="20"/>
          <w:szCs w:val="20"/>
          <w:lang w:val="fr-FR"/>
        </w:rPr>
        <w:t>R. c. Magda</w:t>
      </w:r>
      <w:r w:rsidRPr="00281746">
        <w:rPr>
          <w:rFonts w:cs="Times New Roman"/>
          <w:sz w:val="20"/>
          <w:szCs w:val="20"/>
          <w:lang w:val="fr-FR"/>
        </w:rPr>
        <w:t xml:space="preserve">, [2001] O.J. No. 1861 (Q.L.) (Ont. S.C.J.), par. 56), mais le par. 694.1(3) ne prévoit aucune limite de cette nature. Le ministère public fixe unilatéralement ce tarif en fonction de ses propres politiques et priorités, et sa décision à cet égard ne saurait être, à notre avis, jugée déterminante, quoiqu’il  s’agisse d’un facteur important à prendre en considération. Comme l’a affirmé le juge </w:t>
      </w:r>
      <w:proofErr w:type="spellStart"/>
      <w:r w:rsidRPr="00281746">
        <w:rPr>
          <w:rFonts w:cs="Times New Roman"/>
          <w:sz w:val="20"/>
          <w:szCs w:val="20"/>
          <w:lang w:val="fr-FR"/>
        </w:rPr>
        <w:t>Sopinka</w:t>
      </w:r>
      <w:proofErr w:type="spellEnd"/>
      <w:r w:rsidRPr="00281746">
        <w:rPr>
          <w:rFonts w:cs="Times New Roman"/>
          <w:sz w:val="20"/>
          <w:szCs w:val="20"/>
          <w:lang w:val="fr-FR"/>
        </w:rPr>
        <w:t xml:space="preserve"> dans </w:t>
      </w:r>
      <w:r w:rsidRPr="00281746">
        <w:rPr>
          <w:rFonts w:cs="Times New Roman"/>
          <w:i/>
          <w:sz w:val="20"/>
          <w:szCs w:val="20"/>
          <w:lang w:val="fr-FR"/>
        </w:rPr>
        <w:t>Egan c. Canada</w:t>
      </w:r>
      <w:r w:rsidRPr="00281746">
        <w:rPr>
          <w:rFonts w:cs="Times New Roman"/>
          <w:sz w:val="20"/>
          <w:szCs w:val="20"/>
          <w:lang w:val="fr-FR"/>
        </w:rPr>
        <w:t>, [1995] 2 R.C.S. 513, « [l]a Cour ferait preuve d’un manque de réalisme si elle présumait qu’il existe des ressources inépuisables pour répondre aux besoins de chacun » (par. 104).</w:t>
      </w:r>
    </w:p>
    <w:p w:rsidR="00281746" w:rsidRPr="00281746" w:rsidRDefault="00281746" w:rsidP="00281746">
      <w:pPr>
        <w:jc w:val="both"/>
        <w:rPr>
          <w:rFonts w:cs="Times New Roman"/>
          <w:sz w:val="20"/>
          <w:szCs w:val="20"/>
          <w:lang w:val="fr-FR"/>
        </w:rPr>
      </w:pPr>
    </w:p>
    <w:p w:rsidR="00281746" w:rsidRPr="00281746" w:rsidRDefault="00281746" w:rsidP="00281746">
      <w:pPr>
        <w:jc w:val="both"/>
        <w:rPr>
          <w:rFonts w:cs="Times New Roman"/>
          <w:sz w:val="20"/>
          <w:szCs w:val="20"/>
          <w:lang w:val="fr-FR"/>
        </w:rPr>
      </w:pPr>
      <w:r w:rsidRPr="00281746">
        <w:rPr>
          <w:rFonts w:cs="Times New Roman"/>
          <w:sz w:val="20"/>
          <w:szCs w:val="20"/>
          <w:lang w:val="fr-FR"/>
        </w:rPr>
        <w:t>[4]</w:t>
      </w:r>
      <w:r w:rsidRPr="00281746">
        <w:rPr>
          <w:rFonts w:cs="Times New Roman"/>
          <w:sz w:val="20"/>
          <w:szCs w:val="20"/>
          <w:lang w:val="fr-FR"/>
        </w:rPr>
        <w:tab/>
        <w:t xml:space="preserve">La décision prise en application du par. 694.1(3) doit </w:t>
      </w:r>
      <w:proofErr w:type="gramStart"/>
      <w:r w:rsidRPr="00281746">
        <w:rPr>
          <w:rFonts w:cs="Times New Roman"/>
          <w:sz w:val="20"/>
          <w:szCs w:val="20"/>
          <w:lang w:val="fr-FR"/>
        </w:rPr>
        <w:t>reposer</w:t>
      </w:r>
      <w:proofErr w:type="gramEnd"/>
      <w:r w:rsidRPr="00281746">
        <w:rPr>
          <w:rFonts w:cs="Times New Roman"/>
          <w:sz w:val="20"/>
          <w:szCs w:val="20"/>
          <w:lang w:val="fr-FR"/>
        </w:rPr>
        <w:t xml:space="preserve"> sur un examen plus général de ce qui est juste et raisonnable dans les circonstances, y compris les limites du financement accordé par l’État. Il faut cependant tenir compte de facteurs comme l’expérience de l’avocat, l’importance des questions en jeu et la complexité du dossier ; voir </w:t>
      </w:r>
      <w:r w:rsidRPr="00281746">
        <w:rPr>
          <w:rFonts w:cs="Times New Roman"/>
          <w:i/>
          <w:sz w:val="20"/>
          <w:szCs w:val="20"/>
          <w:lang w:val="fr-FR"/>
        </w:rPr>
        <w:t>Alberta (</w:t>
      </w:r>
      <w:proofErr w:type="spellStart"/>
      <w:r w:rsidRPr="00281746">
        <w:rPr>
          <w:rFonts w:cs="Times New Roman"/>
          <w:i/>
          <w:sz w:val="20"/>
          <w:szCs w:val="20"/>
          <w:lang w:val="fr-FR"/>
        </w:rPr>
        <w:t>Chief</w:t>
      </w:r>
      <w:proofErr w:type="spellEnd"/>
      <w:r w:rsidRPr="00281746">
        <w:rPr>
          <w:rFonts w:cs="Times New Roman"/>
          <w:i/>
          <w:sz w:val="20"/>
          <w:szCs w:val="20"/>
          <w:lang w:val="fr-FR"/>
        </w:rPr>
        <w:t xml:space="preserve"> </w:t>
      </w:r>
      <w:proofErr w:type="spellStart"/>
      <w:r w:rsidRPr="00281746">
        <w:rPr>
          <w:rFonts w:cs="Times New Roman"/>
          <w:i/>
          <w:sz w:val="20"/>
          <w:szCs w:val="20"/>
          <w:lang w:val="fr-FR"/>
        </w:rPr>
        <w:t>Commissioner</w:t>
      </w:r>
      <w:proofErr w:type="spellEnd"/>
      <w:r w:rsidRPr="00281746">
        <w:rPr>
          <w:rFonts w:cs="Times New Roman"/>
          <w:i/>
          <w:sz w:val="20"/>
          <w:szCs w:val="20"/>
          <w:lang w:val="fr-FR"/>
        </w:rPr>
        <w:t xml:space="preserve"> of the </w:t>
      </w:r>
      <w:proofErr w:type="spellStart"/>
      <w:r w:rsidRPr="00281746">
        <w:rPr>
          <w:rFonts w:cs="Times New Roman"/>
          <w:i/>
          <w:sz w:val="20"/>
          <w:szCs w:val="20"/>
          <w:lang w:val="fr-FR"/>
        </w:rPr>
        <w:t>Human</w:t>
      </w:r>
      <w:proofErr w:type="spellEnd"/>
      <w:r w:rsidRPr="00281746">
        <w:rPr>
          <w:rFonts w:cs="Times New Roman"/>
          <w:i/>
          <w:sz w:val="20"/>
          <w:szCs w:val="20"/>
          <w:lang w:val="fr-FR"/>
        </w:rPr>
        <w:t xml:space="preserve"> </w:t>
      </w:r>
      <w:proofErr w:type="spellStart"/>
      <w:r w:rsidRPr="00281746">
        <w:rPr>
          <w:rFonts w:cs="Times New Roman"/>
          <w:i/>
          <w:sz w:val="20"/>
          <w:szCs w:val="20"/>
          <w:lang w:val="fr-FR"/>
        </w:rPr>
        <w:t>Rights</w:t>
      </w:r>
      <w:proofErr w:type="spellEnd"/>
      <w:r w:rsidRPr="00281746">
        <w:rPr>
          <w:rFonts w:cs="Times New Roman"/>
          <w:i/>
          <w:sz w:val="20"/>
          <w:szCs w:val="20"/>
          <w:lang w:val="fr-FR"/>
        </w:rPr>
        <w:t xml:space="preserve"> and </w:t>
      </w:r>
      <w:proofErr w:type="spellStart"/>
      <w:r w:rsidRPr="00281746">
        <w:rPr>
          <w:rFonts w:cs="Times New Roman"/>
          <w:i/>
          <w:sz w:val="20"/>
          <w:szCs w:val="20"/>
          <w:lang w:val="fr-FR"/>
        </w:rPr>
        <w:t>Citizenship</w:t>
      </w:r>
      <w:proofErr w:type="spellEnd"/>
      <w:r w:rsidRPr="00281746">
        <w:rPr>
          <w:rFonts w:cs="Times New Roman"/>
          <w:i/>
          <w:sz w:val="20"/>
          <w:szCs w:val="20"/>
          <w:lang w:val="fr-FR"/>
        </w:rPr>
        <w:t xml:space="preserve"> Commission) c. </w:t>
      </w:r>
      <w:proofErr w:type="spellStart"/>
      <w:r w:rsidRPr="00281746">
        <w:rPr>
          <w:rFonts w:cs="Times New Roman"/>
          <w:i/>
          <w:sz w:val="20"/>
          <w:szCs w:val="20"/>
          <w:lang w:val="fr-FR"/>
        </w:rPr>
        <w:t>Brewer</w:t>
      </w:r>
      <w:proofErr w:type="spellEnd"/>
      <w:r w:rsidRPr="00281746">
        <w:rPr>
          <w:rFonts w:cs="Times New Roman"/>
          <w:i/>
          <w:sz w:val="20"/>
          <w:szCs w:val="20"/>
          <w:lang w:val="fr-FR"/>
        </w:rPr>
        <w:t xml:space="preserve"> </w:t>
      </w:r>
      <w:r w:rsidRPr="00281746">
        <w:rPr>
          <w:rFonts w:cs="Times New Roman"/>
          <w:sz w:val="20"/>
          <w:szCs w:val="20"/>
          <w:lang w:val="fr-FR"/>
        </w:rPr>
        <w:t xml:space="preserve">(une décision en matière de taxation rendue le 11 septembre 2009 par le registraire de la Cour suprême du Canada) et </w:t>
      </w:r>
      <w:r w:rsidRPr="00281746">
        <w:rPr>
          <w:rFonts w:cs="Times New Roman"/>
          <w:i/>
          <w:sz w:val="20"/>
          <w:szCs w:val="20"/>
          <w:lang w:val="fr-FR"/>
        </w:rPr>
        <w:t xml:space="preserve">R. c. </w:t>
      </w:r>
      <w:proofErr w:type="spellStart"/>
      <w:r w:rsidRPr="00281746">
        <w:rPr>
          <w:rFonts w:cs="Times New Roman"/>
          <w:i/>
          <w:sz w:val="20"/>
          <w:szCs w:val="20"/>
          <w:lang w:val="fr-FR"/>
        </w:rPr>
        <w:t>Pietrangelo</w:t>
      </w:r>
      <w:proofErr w:type="spellEnd"/>
      <w:r w:rsidRPr="00281746">
        <w:rPr>
          <w:rFonts w:cs="Times New Roman"/>
          <w:sz w:val="20"/>
          <w:szCs w:val="20"/>
          <w:lang w:val="fr-FR"/>
        </w:rPr>
        <w:t>, 2008 ONCA 547, [2008] O.J.N. No 5137 (QL).</w:t>
      </w:r>
    </w:p>
    <w:p w:rsidR="00281746" w:rsidRPr="00281746" w:rsidRDefault="00281746" w:rsidP="00281746">
      <w:pPr>
        <w:jc w:val="both"/>
        <w:rPr>
          <w:rFonts w:cs="Times New Roman"/>
          <w:sz w:val="20"/>
          <w:szCs w:val="20"/>
          <w:lang w:val="fr-FR"/>
        </w:rPr>
      </w:pPr>
    </w:p>
    <w:p w:rsidR="00281746" w:rsidRDefault="00281746" w:rsidP="00281746">
      <w:pPr>
        <w:jc w:val="both"/>
        <w:rPr>
          <w:rFonts w:cs="Times New Roman"/>
          <w:sz w:val="20"/>
          <w:szCs w:val="20"/>
          <w:lang w:val="fr-FR"/>
        </w:rPr>
      </w:pPr>
      <w:r w:rsidRPr="00281746">
        <w:rPr>
          <w:rFonts w:cs="Times New Roman"/>
          <w:sz w:val="20"/>
          <w:szCs w:val="20"/>
          <w:lang w:val="fr-FR"/>
        </w:rPr>
        <w:t>[5]</w:t>
      </w:r>
      <w:r w:rsidRPr="00281746">
        <w:rPr>
          <w:rFonts w:cs="Times New Roman"/>
          <w:sz w:val="20"/>
          <w:szCs w:val="20"/>
          <w:lang w:val="fr-FR"/>
        </w:rPr>
        <w:tab/>
        <w:t>Le procureur général a fait plusieurs concessions en l’espèce et a dit notamment s’attendre à ce que la Cour d’appel ordonne la tenue d’un nouveau procès (Mémoire du procureur général, par. 2). Les questions sont assez complexes, car elles ont déjà donné lieu à un procès, à une longue procédure d’arbitrage, à un appel à la Cour divisionnaire de l’Ontario, à trois appels à la Cour d’appel de l’Ontario, ainsi qu’à deux demandes et un appel à la Cour. Par ailleurs, le procureur général signale, dans son mémoire, que l’affaire a été renvoyée sur consentement à la Cour d’appel de l’Ontario et que [</w:t>
      </w:r>
      <w:r w:rsidRPr="00281746">
        <w:rPr>
          <w:rFonts w:cs="Times New Roman"/>
          <w:smallCaps/>
          <w:sz w:val="20"/>
          <w:szCs w:val="20"/>
          <w:lang w:val="fr-FR"/>
        </w:rPr>
        <w:t>traduction</w:t>
      </w:r>
      <w:r w:rsidRPr="00281746">
        <w:rPr>
          <w:rFonts w:cs="Times New Roman"/>
          <w:sz w:val="20"/>
          <w:szCs w:val="20"/>
          <w:lang w:val="fr-FR"/>
        </w:rPr>
        <w:t xml:space="preserve">] « le ministère public a reconnu, avant que les avocats n’aient déposé quelque document que ce soit à la Cour d’appel, qu’il y avait lieu d’annuler la déclaration de culpabilité et de corriger cette erreur judiciaire potentielle par la tenue d’un nouveau procès » (Mémoire du procureur général, par. 29). Ces concessions ont certainement réduit l’ampleur des tâches requises des avocats du demandeur, et (indubitablement) le </w:t>
      </w:r>
      <w:r w:rsidRPr="00281746">
        <w:rPr>
          <w:rFonts w:cs="Times New Roman"/>
          <w:sz w:val="20"/>
          <w:szCs w:val="20"/>
          <w:lang w:val="fr-FR"/>
        </w:rPr>
        <w:lastRenderedPageBreak/>
        <w:t xml:space="preserve">temps nécessaire pour trouver une solution au litige. Toutefois, il ne faudrait pas pénaliser les avocats en réduisant leur tarif horaire du fait que le litige sera réglé de manière efficiente. Cette efficience se manifestera par la facturation d’un moins grand nombre d’heures.  </w:t>
      </w:r>
    </w:p>
    <w:p w:rsidR="00211160" w:rsidRPr="00281746" w:rsidRDefault="00211160" w:rsidP="00281746">
      <w:pPr>
        <w:jc w:val="both"/>
        <w:rPr>
          <w:rFonts w:cs="Times New Roman"/>
          <w:sz w:val="20"/>
          <w:szCs w:val="20"/>
          <w:lang w:val="fr-CA"/>
        </w:rPr>
      </w:pPr>
    </w:p>
    <w:p w:rsidR="00281746" w:rsidRPr="00281746" w:rsidRDefault="00281746" w:rsidP="00281746">
      <w:pPr>
        <w:jc w:val="both"/>
        <w:rPr>
          <w:rFonts w:cs="Times New Roman"/>
          <w:sz w:val="20"/>
          <w:szCs w:val="20"/>
          <w:lang w:val="fr-FR"/>
        </w:rPr>
      </w:pPr>
      <w:r w:rsidRPr="00281746">
        <w:rPr>
          <w:rFonts w:cs="Times New Roman"/>
          <w:sz w:val="20"/>
          <w:szCs w:val="20"/>
          <w:lang w:val="fr-FR"/>
        </w:rPr>
        <w:t>[6]</w:t>
      </w:r>
      <w:r w:rsidRPr="00281746">
        <w:rPr>
          <w:rFonts w:cs="Times New Roman"/>
          <w:sz w:val="20"/>
          <w:szCs w:val="20"/>
          <w:lang w:val="fr-FR"/>
        </w:rPr>
        <w:tab/>
        <w:t>M</w:t>
      </w:r>
      <w:r w:rsidRPr="00281746">
        <w:rPr>
          <w:rFonts w:cs="Times New Roman"/>
          <w:sz w:val="20"/>
          <w:szCs w:val="20"/>
          <w:vertAlign w:val="superscript"/>
          <w:lang w:val="fr-FR"/>
        </w:rPr>
        <w:t>e</w:t>
      </w:r>
      <w:r w:rsidRPr="00281746">
        <w:rPr>
          <w:rFonts w:cs="Times New Roman"/>
          <w:sz w:val="20"/>
          <w:szCs w:val="20"/>
          <w:lang w:val="fr-FR"/>
        </w:rPr>
        <w:t xml:space="preserve"> Lockyer et sa collègue, M</w:t>
      </w:r>
      <w:r w:rsidRPr="00281746">
        <w:rPr>
          <w:rFonts w:cs="Times New Roman"/>
          <w:sz w:val="20"/>
          <w:szCs w:val="20"/>
          <w:vertAlign w:val="superscript"/>
          <w:lang w:val="fr-FR"/>
        </w:rPr>
        <w:t>e</w:t>
      </w:r>
      <w:r w:rsidRPr="00281746">
        <w:rPr>
          <w:rFonts w:cs="Times New Roman"/>
          <w:sz w:val="20"/>
          <w:szCs w:val="20"/>
          <w:lang w:val="fr-FR"/>
        </w:rPr>
        <w:t xml:space="preserve"> McLean, comptent respectivement plus de 30 ans et de 20 ans d’expérience, et ils tous deux ont exercé exclusivement le « droit criminel » durant toute leur carrière.  Dans le cadre de demandes fondées sur le régime comparable établi au par. 684(3) du </w:t>
      </w:r>
      <w:r w:rsidRPr="00281746">
        <w:rPr>
          <w:rFonts w:cs="Times New Roman"/>
          <w:i/>
          <w:sz w:val="20"/>
          <w:szCs w:val="20"/>
          <w:lang w:val="fr-FR"/>
        </w:rPr>
        <w:t>Code</w:t>
      </w:r>
      <w:r w:rsidRPr="00281746">
        <w:rPr>
          <w:rFonts w:cs="Times New Roman"/>
          <w:sz w:val="20"/>
          <w:szCs w:val="20"/>
          <w:lang w:val="fr-FR"/>
        </w:rPr>
        <w:t xml:space="preserve"> en matière d’honoraires et de dépenses, le greffier et le juge Rosenberg de la Cour d’appel de l’Ontario ont déjà fixé des tarifs d’honoraires équivalents ou supérieurs à ceux sollicités par l’avocat en l’espèce; voir </w:t>
      </w:r>
      <w:proofErr w:type="spellStart"/>
      <w:r w:rsidRPr="00281746">
        <w:rPr>
          <w:rFonts w:cs="Times New Roman"/>
          <w:i/>
          <w:sz w:val="20"/>
          <w:szCs w:val="20"/>
          <w:lang w:val="fr-FR"/>
        </w:rPr>
        <w:t>Pietrangelo</w:t>
      </w:r>
      <w:proofErr w:type="spellEnd"/>
      <w:r w:rsidRPr="00281746">
        <w:rPr>
          <w:rFonts w:cs="Times New Roman"/>
          <w:sz w:val="20"/>
          <w:szCs w:val="20"/>
          <w:lang w:val="fr-FR"/>
        </w:rPr>
        <w:t xml:space="preserve">, </w:t>
      </w:r>
      <w:r w:rsidRPr="00281746">
        <w:rPr>
          <w:rFonts w:cs="Times New Roman"/>
          <w:i/>
          <w:sz w:val="20"/>
          <w:szCs w:val="20"/>
          <w:lang w:val="fr-FR"/>
        </w:rPr>
        <w:t xml:space="preserve">R. c. </w:t>
      </w:r>
      <w:proofErr w:type="spellStart"/>
      <w:r w:rsidRPr="00281746">
        <w:rPr>
          <w:rFonts w:cs="Times New Roman"/>
          <w:i/>
          <w:sz w:val="20"/>
          <w:szCs w:val="20"/>
          <w:lang w:val="fr-FR"/>
        </w:rPr>
        <w:t>Kumar</w:t>
      </w:r>
      <w:proofErr w:type="spellEnd"/>
      <w:r w:rsidRPr="00281746">
        <w:rPr>
          <w:rFonts w:cs="Times New Roman"/>
          <w:sz w:val="20"/>
          <w:szCs w:val="20"/>
          <w:lang w:val="fr-FR"/>
        </w:rPr>
        <w:t xml:space="preserve"> (décision datée du 2 octobre 2008), </w:t>
      </w:r>
      <w:r w:rsidRPr="00281746">
        <w:rPr>
          <w:rFonts w:cs="Times New Roman"/>
          <w:i/>
          <w:sz w:val="20"/>
          <w:szCs w:val="20"/>
          <w:lang w:val="fr-FR"/>
        </w:rPr>
        <w:t>R. c. C.M</w:t>
      </w:r>
      <w:r w:rsidRPr="00281746">
        <w:rPr>
          <w:rFonts w:cs="Times New Roman"/>
          <w:sz w:val="20"/>
          <w:szCs w:val="20"/>
          <w:lang w:val="fr-FR"/>
        </w:rPr>
        <w:t xml:space="preserve">. (décision datée du 24 octobre 2008) et </w:t>
      </w:r>
      <w:r w:rsidRPr="00281746">
        <w:rPr>
          <w:rFonts w:cs="Times New Roman"/>
          <w:i/>
          <w:sz w:val="20"/>
          <w:szCs w:val="20"/>
          <w:lang w:val="fr-FR"/>
        </w:rPr>
        <w:t xml:space="preserve">R. c. </w:t>
      </w:r>
      <w:proofErr w:type="spellStart"/>
      <w:r w:rsidRPr="00281746">
        <w:rPr>
          <w:rFonts w:cs="Times New Roman"/>
          <w:i/>
          <w:sz w:val="20"/>
          <w:szCs w:val="20"/>
          <w:lang w:val="fr-FR"/>
        </w:rPr>
        <w:t>Hanemaayer</w:t>
      </w:r>
      <w:proofErr w:type="spellEnd"/>
      <w:r w:rsidRPr="00281746">
        <w:rPr>
          <w:rFonts w:cs="Times New Roman"/>
          <w:sz w:val="20"/>
          <w:szCs w:val="20"/>
          <w:lang w:val="fr-FR"/>
        </w:rPr>
        <w:t xml:space="preserve"> (décision datée du 13 janvier 2009). </w:t>
      </w:r>
    </w:p>
    <w:p w:rsidR="00281746" w:rsidRPr="00281746" w:rsidRDefault="00281746" w:rsidP="00281746">
      <w:pPr>
        <w:rPr>
          <w:rFonts w:cs="Times New Roman"/>
          <w:sz w:val="20"/>
          <w:szCs w:val="20"/>
          <w:lang w:val="fr-FR"/>
        </w:rPr>
      </w:pPr>
    </w:p>
    <w:p w:rsidR="00281746" w:rsidRPr="00281746" w:rsidRDefault="00281746" w:rsidP="00281746">
      <w:pPr>
        <w:jc w:val="both"/>
        <w:rPr>
          <w:rFonts w:cs="Times New Roman"/>
          <w:sz w:val="20"/>
          <w:szCs w:val="20"/>
          <w:lang w:val="fr-FR"/>
        </w:rPr>
      </w:pPr>
      <w:r w:rsidRPr="00281746">
        <w:rPr>
          <w:rFonts w:cs="Times New Roman"/>
          <w:sz w:val="20"/>
          <w:szCs w:val="20"/>
          <w:lang w:val="fr-FR"/>
        </w:rPr>
        <w:t>[7]</w:t>
      </w:r>
      <w:r w:rsidRPr="00281746">
        <w:rPr>
          <w:rFonts w:cs="Times New Roman"/>
          <w:sz w:val="20"/>
          <w:szCs w:val="20"/>
          <w:lang w:val="fr-FR"/>
        </w:rPr>
        <w:tab/>
        <w:t>À notre humble avis, les tarifs proposés par M</w:t>
      </w:r>
      <w:r w:rsidRPr="00281746">
        <w:rPr>
          <w:rFonts w:cs="Times New Roman"/>
          <w:sz w:val="20"/>
          <w:szCs w:val="20"/>
          <w:vertAlign w:val="superscript"/>
          <w:lang w:val="fr-FR"/>
        </w:rPr>
        <w:t>e</w:t>
      </w:r>
      <w:r w:rsidRPr="00281746">
        <w:rPr>
          <w:rFonts w:cs="Times New Roman"/>
          <w:sz w:val="20"/>
          <w:szCs w:val="20"/>
          <w:lang w:val="fr-FR"/>
        </w:rPr>
        <w:t xml:space="preserve"> Lockyer sont justes et raisonnables eu égard à l’ensemble des circonstances de l’espèce. Il y a donc lieu de fixer son tarif horaire à 225 $ l’heure et celui de M</w:t>
      </w:r>
      <w:r w:rsidRPr="00281746">
        <w:rPr>
          <w:rFonts w:cs="Times New Roman"/>
          <w:sz w:val="20"/>
          <w:szCs w:val="20"/>
          <w:vertAlign w:val="superscript"/>
          <w:lang w:val="fr-FR"/>
        </w:rPr>
        <w:t>e</w:t>
      </w:r>
      <w:r w:rsidRPr="00281746">
        <w:rPr>
          <w:rFonts w:cs="Times New Roman"/>
          <w:sz w:val="20"/>
          <w:szCs w:val="20"/>
          <w:lang w:val="fr-FR"/>
        </w:rPr>
        <w:t xml:space="preserve"> McLean à 175 $ l’heure pour les procédures devant la Cour et « pour toute procédure devant la Cour d’appel de l’Ontario ».  </w:t>
      </w:r>
    </w:p>
    <w:p w:rsidR="00281746" w:rsidRPr="00DD01FC" w:rsidRDefault="00281746" w:rsidP="0010587F">
      <w:pPr>
        <w:jc w:val="both"/>
        <w:rPr>
          <w:sz w:val="20"/>
          <w:szCs w:val="20"/>
          <w:lang w:val="fr-CA"/>
        </w:rPr>
      </w:pPr>
    </w:p>
    <w:p w:rsidR="0010587F" w:rsidRPr="00DD01FC" w:rsidRDefault="00857426" w:rsidP="0010587F">
      <w:pPr>
        <w:tabs>
          <w:tab w:val="left" w:pos="-1440"/>
          <w:tab w:val="left" w:pos="-720"/>
        </w:tabs>
        <w:jc w:val="both"/>
        <w:rPr>
          <w:sz w:val="20"/>
          <w:szCs w:val="20"/>
          <w:lang w:val="fr-CA"/>
        </w:rPr>
      </w:pPr>
      <w:r w:rsidRPr="00857426">
        <w:rPr>
          <w:sz w:val="20"/>
          <w:szCs w:val="20"/>
          <w:lang w:val="fr-CA"/>
        </w:rPr>
        <w:pict>
          <v:rect id="_x0000_i1067" style="width:2in;height:1pt" o:hrpct="0" o:hralign="center" o:hrstd="t" o:hrnoshade="t" o:hr="t" fillcolor="black [3213]" stroked="f"/>
        </w:pict>
      </w:r>
    </w:p>
    <w:p w:rsidR="0010587F" w:rsidRPr="00281746"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1C2F5E"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E452DD" w:rsidTr="0010587F">
        <w:trPr>
          <w:cantSplit/>
        </w:trPr>
        <w:tc>
          <w:tcPr>
            <w:tcW w:w="2206" w:type="pct"/>
            <w:tcMar>
              <w:left w:w="0" w:type="dxa"/>
              <w:right w:w="0" w:type="dxa"/>
            </w:tcMar>
          </w:tcPr>
          <w:p w:rsidR="0010587F" w:rsidRPr="0041579D" w:rsidRDefault="0041579D" w:rsidP="004D4629">
            <w:pPr>
              <w:rPr>
                <w:sz w:val="20"/>
                <w:szCs w:val="20"/>
                <w:lang w:val="fr-CA"/>
              </w:rPr>
            </w:pPr>
            <w:r w:rsidRPr="0041579D">
              <w:rPr>
                <w:sz w:val="20"/>
                <w:szCs w:val="20"/>
                <w:lang w:val="fr-CA"/>
              </w:rPr>
              <w:t>18</w:t>
            </w:r>
            <w:r w:rsidR="0010587F" w:rsidRPr="0041579D">
              <w:rPr>
                <w:sz w:val="20"/>
                <w:szCs w:val="20"/>
                <w:lang w:val="fr-CA"/>
              </w:rPr>
              <w:t>.1</w:t>
            </w:r>
            <w:r w:rsidRPr="0041579D">
              <w:rPr>
                <w:sz w:val="20"/>
                <w:szCs w:val="20"/>
                <w:lang w:val="fr-CA"/>
              </w:rPr>
              <w:t>1</w:t>
            </w:r>
            <w:r w:rsidR="0010587F" w:rsidRPr="0041579D">
              <w:rPr>
                <w:sz w:val="20"/>
                <w:szCs w:val="20"/>
                <w:lang w:val="fr-CA"/>
              </w:rPr>
              <w:t>.2010</w:t>
            </w:r>
          </w:p>
          <w:p w:rsidR="0010587F" w:rsidRPr="0041579D" w:rsidRDefault="0010587F" w:rsidP="004D4629">
            <w:pPr>
              <w:rPr>
                <w:sz w:val="20"/>
                <w:szCs w:val="20"/>
                <w:lang w:val="fr-CA"/>
              </w:rPr>
            </w:pPr>
          </w:p>
          <w:p w:rsidR="0010587F" w:rsidRPr="0041579D" w:rsidRDefault="0041579D" w:rsidP="004D4629">
            <w:pPr>
              <w:rPr>
                <w:b/>
                <w:sz w:val="20"/>
                <w:szCs w:val="20"/>
                <w:lang w:val="fr-CA"/>
              </w:rPr>
            </w:pPr>
            <w:r w:rsidRPr="0041579D">
              <w:rPr>
                <w:b/>
                <w:sz w:val="20"/>
                <w:szCs w:val="20"/>
                <w:lang w:val="fr-CA"/>
              </w:rPr>
              <w:t>S.L. et D.J.</w:t>
            </w:r>
          </w:p>
          <w:p w:rsidR="0010587F" w:rsidRPr="0041579D" w:rsidRDefault="0010587F" w:rsidP="004D4629">
            <w:pPr>
              <w:rPr>
                <w:b/>
                <w:sz w:val="20"/>
                <w:szCs w:val="20"/>
                <w:lang w:val="fr-CA"/>
              </w:rPr>
            </w:pPr>
          </w:p>
          <w:p w:rsidR="0010587F" w:rsidRPr="0041579D" w:rsidRDefault="0010587F" w:rsidP="004D4629">
            <w:pPr>
              <w:rPr>
                <w:b/>
                <w:sz w:val="20"/>
                <w:szCs w:val="20"/>
                <w:lang w:val="fr-CA"/>
              </w:rPr>
            </w:pPr>
            <w:r w:rsidRPr="0041579D">
              <w:rPr>
                <w:b/>
                <w:sz w:val="20"/>
                <w:szCs w:val="20"/>
                <w:lang w:val="fr-CA"/>
              </w:rPr>
              <w:tab/>
            </w:r>
            <w:r w:rsidR="0041579D">
              <w:rPr>
                <w:b/>
                <w:sz w:val="20"/>
                <w:szCs w:val="20"/>
                <w:lang w:val="fr-CA"/>
              </w:rPr>
              <w:t>c</w:t>
            </w:r>
            <w:r w:rsidRPr="0041579D">
              <w:rPr>
                <w:b/>
                <w:sz w:val="20"/>
                <w:szCs w:val="20"/>
                <w:lang w:val="fr-CA"/>
              </w:rPr>
              <w:t>. (33</w:t>
            </w:r>
            <w:r w:rsidR="0041579D" w:rsidRPr="0041579D">
              <w:rPr>
                <w:b/>
                <w:sz w:val="20"/>
                <w:szCs w:val="20"/>
                <w:lang w:val="fr-CA"/>
              </w:rPr>
              <w:t>678</w:t>
            </w:r>
            <w:r w:rsidRPr="0041579D">
              <w:rPr>
                <w:b/>
                <w:sz w:val="20"/>
                <w:szCs w:val="20"/>
                <w:lang w:val="fr-CA"/>
              </w:rPr>
              <w:t>)</w:t>
            </w:r>
          </w:p>
          <w:p w:rsidR="0010587F" w:rsidRPr="0041579D" w:rsidRDefault="0010587F" w:rsidP="004D4629">
            <w:pPr>
              <w:rPr>
                <w:b/>
                <w:sz w:val="20"/>
                <w:szCs w:val="20"/>
                <w:lang w:val="fr-CA"/>
              </w:rPr>
            </w:pPr>
          </w:p>
          <w:p w:rsidR="0010587F" w:rsidRPr="0041579D" w:rsidRDefault="0041579D" w:rsidP="004D4629">
            <w:pPr>
              <w:rPr>
                <w:b/>
                <w:sz w:val="20"/>
                <w:szCs w:val="20"/>
                <w:lang w:val="fr-CA"/>
              </w:rPr>
            </w:pPr>
            <w:r w:rsidRPr="0041579D">
              <w:rPr>
                <w:b/>
                <w:sz w:val="20"/>
                <w:szCs w:val="20"/>
                <w:lang w:val="fr-CA"/>
              </w:rPr>
              <w:t xml:space="preserve">Commission </w:t>
            </w:r>
            <w:r w:rsidR="003C1082">
              <w:rPr>
                <w:b/>
                <w:sz w:val="20"/>
                <w:szCs w:val="20"/>
                <w:lang w:val="fr-CA"/>
              </w:rPr>
              <w:t>s</w:t>
            </w:r>
            <w:r w:rsidRPr="0041579D">
              <w:rPr>
                <w:b/>
                <w:sz w:val="20"/>
                <w:szCs w:val="20"/>
                <w:lang w:val="fr-CA"/>
              </w:rPr>
              <w:t xml:space="preserve">colaire des Chênes et autre </w:t>
            </w:r>
            <w:r w:rsidR="0010587F" w:rsidRPr="0041579D">
              <w:rPr>
                <w:b/>
                <w:sz w:val="20"/>
                <w:szCs w:val="20"/>
                <w:lang w:val="fr-CA"/>
              </w:rPr>
              <w:t>(</w:t>
            </w:r>
            <w:proofErr w:type="spellStart"/>
            <w:r w:rsidRPr="0041579D">
              <w:rPr>
                <w:b/>
                <w:sz w:val="20"/>
                <w:szCs w:val="20"/>
                <w:lang w:val="fr-CA"/>
              </w:rPr>
              <w:t>Q</w:t>
            </w:r>
            <w:r>
              <w:rPr>
                <w:b/>
                <w:sz w:val="20"/>
                <w:szCs w:val="20"/>
                <w:lang w:val="fr-CA"/>
              </w:rPr>
              <w:t>c</w:t>
            </w:r>
            <w:proofErr w:type="spellEnd"/>
            <w:r w:rsidR="0010587F" w:rsidRPr="0041579D">
              <w:rPr>
                <w:b/>
                <w:sz w:val="20"/>
                <w:szCs w:val="20"/>
                <w:lang w:val="fr-CA"/>
              </w:rPr>
              <w:t>)</w:t>
            </w:r>
          </w:p>
          <w:p w:rsidR="0010587F" w:rsidRPr="0041579D" w:rsidRDefault="0010587F" w:rsidP="004D4629">
            <w:pPr>
              <w:rPr>
                <w:sz w:val="20"/>
                <w:szCs w:val="20"/>
                <w:lang w:val="fr-CA"/>
              </w:rPr>
            </w:pPr>
          </w:p>
          <w:p w:rsidR="0010587F" w:rsidRPr="00E452DD" w:rsidRDefault="0010587F" w:rsidP="004D4629">
            <w:pPr>
              <w:rPr>
                <w:sz w:val="20"/>
                <w:szCs w:val="20"/>
              </w:rPr>
            </w:pPr>
            <w:r w:rsidRPr="00E452DD">
              <w:rPr>
                <w:sz w:val="20"/>
                <w:szCs w:val="20"/>
              </w:rPr>
              <w:t>(</w:t>
            </w:r>
            <w:proofErr w:type="spellStart"/>
            <w:r w:rsidRPr="00E452DD">
              <w:rPr>
                <w:sz w:val="20"/>
                <w:szCs w:val="20"/>
              </w:rPr>
              <w:t>A</w:t>
            </w:r>
            <w:r w:rsidR="0041579D">
              <w:rPr>
                <w:sz w:val="20"/>
                <w:szCs w:val="20"/>
              </w:rPr>
              <w:t>utorisation</w:t>
            </w:r>
            <w:proofErr w:type="spellEnd"/>
            <w:r w:rsidR="0041579D">
              <w:rPr>
                <w:sz w:val="20"/>
                <w:szCs w:val="20"/>
              </w:rPr>
              <w:t>)</w:t>
            </w:r>
          </w:p>
          <w:p w:rsidR="0010587F" w:rsidRPr="00E452DD" w:rsidRDefault="0010587F" w:rsidP="004D4629">
            <w:pPr>
              <w:rPr>
                <w:sz w:val="20"/>
                <w:szCs w:val="20"/>
              </w:rPr>
            </w:pPr>
          </w:p>
          <w:p w:rsidR="0010587F" w:rsidRPr="00E452DD" w:rsidRDefault="00857426" w:rsidP="004D4629">
            <w:pPr>
              <w:rPr>
                <w:sz w:val="20"/>
                <w:szCs w:val="20"/>
                <w:lang w:val="fr-CA"/>
              </w:rPr>
            </w:pPr>
            <w:r w:rsidRPr="00857426">
              <w:rPr>
                <w:sz w:val="20"/>
                <w:szCs w:val="20"/>
                <w:lang w:val="fr-CA"/>
              </w:rPr>
              <w:pict>
                <v:rect id="_x0000_i1070" style="width:108pt;height:1pt" o:hrpct="0" o:hralign="center" o:hrstd="t" o:hrnoshade="t" o:hr="t" fillcolor="black [3213]" stroked="f"/>
              </w:pict>
            </w:r>
          </w:p>
        </w:tc>
        <w:tc>
          <w:tcPr>
            <w:tcW w:w="588" w:type="pct"/>
          </w:tcPr>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tc>
        <w:tc>
          <w:tcPr>
            <w:tcW w:w="2206" w:type="pct"/>
          </w:tcPr>
          <w:p w:rsidR="0010587F" w:rsidRPr="00E452DD" w:rsidRDefault="0041579D" w:rsidP="004D4629">
            <w:pPr>
              <w:rPr>
                <w:sz w:val="20"/>
                <w:szCs w:val="20"/>
              </w:rPr>
            </w:pPr>
            <w:r>
              <w:rPr>
                <w:sz w:val="20"/>
                <w:szCs w:val="20"/>
              </w:rPr>
              <w:t>19</w:t>
            </w:r>
            <w:r w:rsidR="0010587F" w:rsidRPr="00E452DD">
              <w:rPr>
                <w:sz w:val="20"/>
                <w:szCs w:val="20"/>
              </w:rPr>
              <w:t>.1</w:t>
            </w:r>
            <w:r>
              <w:rPr>
                <w:sz w:val="20"/>
                <w:szCs w:val="20"/>
              </w:rPr>
              <w:t>1</w:t>
            </w:r>
            <w:r w:rsidR="0010587F" w:rsidRPr="00E452DD">
              <w:rPr>
                <w:sz w:val="20"/>
                <w:szCs w:val="20"/>
              </w:rPr>
              <w:t>.2010</w:t>
            </w:r>
          </w:p>
          <w:p w:rsidR="0010587F" w:rsidRPr="00E452DD" w:rsidRDefault="0010587F" w:rsidP="004D4629">
            <w:pPr>
              <w:rPr>
                <w:sz w:val="20"/>
                <w:szCs w:val="20"/>
              </w:rPr>
            </w:pPr>
          </w:p>
          <w:p w:rsidR="0010587F" w:rsidRPr="00E452DD" w:rsidRDefault="0041579D" w:rsidP="004D4629">
            <w:pPr>
              <w:rPr>
                <w:b/>
                <w:sz w:val="20"/>
                <w:szCs w:val="20"/>
              </w:rPr>
            </w:pPr>
            <w:r>
              <w:rPr>
                <w:b/>
                <w:sz w:val="20"/>
                <w:szCs w:val="20"/>
              </w:rPr>
              <w:t>Saskatchewan Human Rights Commission</w:t>
            </w:r>
          </w:p>
          <w:p w:rsidR="0010587F" w:rsidRPr="00E452DD" w:rsidRDefault="0010587F" w:rsidP="004D4629">
            <w:pPr>
              <w:rPr>
                <w:b/>
                <w:sz w:val="20"/>
                <w:szCs w:val="20"/>
              </w:rPr>
            </w:pPr>
          </w:p>
          <w:p w:rsidR="0010587F" w:rsidRPr="00E452DD" w:rsidRDefault="0010587F" w:rsidP="004D4629">
            <w:pPr>
              <w:rPr>
                <w:b/>
                <w:sz w:val="20"/>
                <w:szCs w:val="20"/>
              </w:rPr>
            </w:pPr>
            <w:r w:rsidRPr="00E452DD">
              <w:rPr>
                <w:b/>
                <w:sz w:val="20"/>
                <w:szCs w:val="20"/>
              </w:rPr>
              <w:tab/>
              <w:t>v. (33</w:t>
            </w:r>
            <w:r w:rsidR="0041579D">
              <w:rPr>
                <w:b/>
                <w:sz w:val="20"/>
                <w:szCs w:val="20"/>
              </w:rPr>
              <w:t>6</w:t>
            </w:r>
            <w:r w:rsidRPr="00E452DD">
              <w:rPr>
                <w:b/>
                <w:sz w:val="20"/>
                <w:szCs w:val="20"/>
              </w:rPr>
              <w:t>7</w:t>
            </w:r>
            <w:r w:rsidR="0041579D">
              <w:rPr>
                <w:b/>
                <w:sz w:val="20"/>
                <w:szCs w:val="20"/>
              </w:rPr>
              <w:t>6</w:t>
            </w:r>
            <w:r w:rsidRPr="00E452DD">
              <w:rPr>
                <w:b/>
                <w:sz w:val="20"/>
                <w:szCs w:val="20"/>
              </w:rPr>
              <w:t>)</w:t>
            </w:r>
          </w:p>
          <w:p w:rsidR="0010587F" w:rsidRPr="00E452DD" w:rsidRDefault="0010587F" w:rsidP="004D4629">
            <w:pPr>
              <w:rPr>
                <w:b/>
                <w:sz w:val="20"/>
                <w:szCs w:val="20"/>
              </w:rPr>
            </w:pPr>
          </w:p>
          <w:p w:rsidR="0010587F" w:rsidRPr="0041579D" w:rsidRDefault="0041579D" w:rsidP="004D4629">
            <w:pPr>
              <w:rPr>
                <w:b/>
                <w:sz w:val="20"/>
                <w:szCs w:val="20"/>
              </w:rPr>
            </w:pPr>
            <w:r w:rsidRPr="0041579D">
              <w:rPr>
                <w:b/>
                <w:sz w:val="20"/>
                <w:szCs w:val="20"/>
              </w:rPr>
              <w:t xml:space="preserve">William </w:t>
            </w:r>
            <w:proofErr w:type="spellStart"/>
            <w:r w:rsidRPr="0041579D">
              <w:rPr>
                <w:b/>
                <w:sz w:val="20"/>
                <w:szCs w:val="20"/>
              </w:rPr>
              <w:t>Whatcott</w:t>
            </w:r>
            <w:proofErr w:type="spellEnd"/>
            <w:r w:rsidR="0010587F" w:rsidRPr="0041579D">
              <w:rPr>
                <w:b/>
                <w:sz w:val="20"/>
                <w:szCs w:val="20"/>
              </w:rPr>
              <w:t xml:space="preserve"> (</w:t>
            </w:r>
            <w:r w:rsidRPr="0041579D">
              <w:rPr>
                <w:b/>
                <w:sz w:val="20"/>
                <w:szCs w:val="20"/>
              </w:rPr>
              <w:t>Sask</w:t>
            </w:r>
            <w:r w:rsidR="0010587F" w:rsidRPr="0041579D">
              <w:rPr>
                <w:b/>
                <w:sz w:val="20"/>
                <w:szCs w:val="20"/>
              </w:rPr>
              <w:t>.)</w:t>
            </w:r>
          </w:p>
          <w:p w:rsidR="0010587F" w:rsidRPr="0041579D" w:rsidRDefault="0010587F" w:rsidP="004D4629">
            <w:pPr>
              <w:rPr>
                <w:sz w:val="20"/>
                <w:szCs w:val="20"/>
              </w:rPr>
            </w:pPr>
          </w:p>
          <w:p w:rsidR="0010587F" w:rsidRDefault="0010587F" w:rsidP="004D4629">
            <w:pPr>
              <w:rPr>
                <w:sz w:val="20"/>
                <w:szCs w:val="20"/>
              </w:rPr>
            </w:pPr>
            <w:r w:rsidRPr="00E452DD">
              <w:rPr>
                <w:sz w:val="20"/>
                <w:szCs w:val="20"/>
              </w:rPr>
              <w:t>(</w:t>
            </w:r>
            <w:r w:rsidR="0041579D">
              <w:rPr>
                <w:sz w:val="20"/>
                <w:szCs w:val="20"/>
              </w:rPr>
              <w:t>By Leave</w:t>
            </w:r>
            <w:r w:rsidRPr="00E452DD">
              <w:rPr>
                <w:sz w:val="20"/>
                <w:szCs w:val="20"/>
              </w:rPr>
              <w:t>)</w:t>
            </w:r>
          </w:p>
          <w:p w:rsidR="00E452DD" w:rsidRPr="00E452DD" w:rsidRDefault="00E452DD" w:rsidP="004D4629">
            <w:pPr>
              <w:rPr>
                <w:sz w:val="20"/>
                <w:szCs w:val="20"/>
              </w:rPr>
            </w:pPr>
          </w:p>
          <w:p w:rsidR="0010587F" w:rsidRPr="00E452DD" w:rsidRDefault="00857426" w:rsidP="004D4629">
            <w:pPr>
              <w:rPr>
                <w:sz w:val="20"/>
                <w:szCs w:val="20"/>
              </w:rPr>
            </w:pPr>
            <w:r w:rsidRPr="00857426">
              <w:rPr>
                <w:sz w:val="20"/>
                <w:szCs w:val="20"/>
                <w:lang w:val="fr-CA"/>
              </w:rPr>
              <w:pict>
                <v:rect id="_x0000_i1071" style="width:108pt;height:1pt" o:hrpct="0" o:hralign="center" o:hrstd="t" o:hrnoshade="t" o:hr="t" fillcolor="black [3213]" stroked="f"/>
              </w:pict>
            </w:r>
          </w:p>
          <w:p w:rsidR="0010587F" w:rsidRPr="00E452DD" w:rsidRDefault="0010587F" w:rsidP="004D4629">
            <w:pPr>
              <w:rPr>
                <w:sz w:val="20"/>
                <w:szCs w:val="20"/>
              </w:rPr>
            </w:pPr>
          </w:p>
        </w:tc>
      </w:tr>
      <w:tr w:rsidR="0010587F" w:rsidRPr="00E452DD" w:rsidTr="0010587F">
        <w:trPr>
          <w:cantSplit/>
        </w:trPr>
        <w:tc>
          <w:tcPr>
            <w:tcW w:w="2206" w:type="pct"/>
            <w:tcMar>
              <w:left w:w="0" w:type="dxa"/>
              <w:right w:w="0" w:type="dxa"/>
            </w:tcMar>
          </w:tcPr>
          <w:p w:rsidR="0010587F" w:rsidRPr="00E452DD" w:rsidRDefault="0010587F" w:rsidP="004D4629">
            <w:pPr>
              <w:rPr>
                <w:sz w:val="20"/>
                <w:szCs w:val="20"/>
              </w:rPr>
            </w:pPr>
            <w:r w:rsidRPr="00E452DD">
              <w:rPr>
                <w:sz w:val="20"/>
                <w:szCs w:val="20"/>
              </w:rPr>
              <w:t>1</w:t>
            </w:r>
            <w:r w:rsidR="0041579D">
              <w:rPr>
                <w:sz w:val="20"/>
                <w:szCs w:val="20"/>
              </w:rPr>
              <w:t>9</w:t>
            </w:r>
            <w:r w:rsidRPr="00E452DD">
              <w:rPr>
                <w:sz w:val="20"/>
                <w:szCs w:val="20"/>
              </w:rPr>
              <w:t>.1</w:t>
            </w:r>
            <w:r w:rsidR="0041579D">
              <w:rPr>
                <w:sz w:val="20"/>
                <w:szCs w:val="20"/>
              </w:rPr>
              <w:t>1</w:t>
            </w:r>
            <w:r w:rsidRPr="00E452DD">
              <w:rPr>
                <w:sz w:val="20"/>
                <w:szCs w:val="20"/>
              </w:rPr>
              <w:t>.2010</w:t>
            </w:r>
          </w:p>
          <w:p w:rsidR="0010587F" w:rsidRPr="00E452DD" w:rsidRDefault="0010587F" w:rsidP="004D4629">
            <w:pPr>
              <w:rPr>
                <w:sz w:val="20"/>
                <w:szCs w:val="20"/>
              </w:rPr>
            </w:pPr>
          </w:p>
          <w:p w:rsidR="0010587F" w:rsidRDefault="0041579D" w:rsidP="004D4629">
            <w:pPr>
              <w:rPr>
                <w:b/>
                <w:sz w:val="20"/>
                <w:szCs w:val="20"/>
              </w:rPr>
            </w:pPr>
            <w:r w:rsidRPr="00E452DD">
              <w:rPr>
                <w:b/>
                <w:sz w:val="20"/>
                <w:szCs w:val="20"/>
              </w:rPr>
              <w:t>Her Majesty the Queen</w:t>
            </w:r>
          </w:p>
          <w:p w:rsidR="0041579D" w:rsidRPr="00E452DD" w:rsidRDefault="0041579D" w:rsidP="004D4629">
            <w:pPr>
              <w:rPr>
                <w:b/>
                <w:sz w:val="20"/>
                <w:szCs w:val="20"/>
              </w:rPr>
            </w:pPr>
          </w:p>
          <w:p w:rsidR="0010587F" w:rsidRPr="00E452DD" w:rsidRDefault="0010587F" w:rsidP="004D4629">
            <w:pPr>
              <w:rPr>
                <w:b/>
                <w:sz w:val="20"/>
                <w:szCs w:val="20"/>
              </w:rPr>
            </w:pPr>
            <w:r w:rsidRPr="00E452DD">
              <w:rPr>
                <w:b/>
                <w:sz w:val="20"/>
                <w:szCs w:val="20"/>
              </w:rPr>
              <w:tab/>
              <w:t>v. (336</w:t>
            </w:r>
            <w:r w:rsidR="0041579D">
              <w:rPr>
                <w:b/>
                <w:sz w:val="20"/>
                <w:szCs w:val="20"/>
              </w:rPr>
              <w:t>57</w:t>
            </w:r>
            <w:r w:rsidRPr="00E452DD">
              <w:rPr>
                <w:b/>
                <w:sz w:val="20"/>
                <w:szCs w:val="20"/>
              </w:rPr>
              <w:t>)</w:t>
            </w:r>
          </w:p>
          <w:p w:rsidR="0010587F" w:rsidRPr="00E452DD" w:rsidRDefault="0010587F" w:rsidP="004D4629">
            <w:pPr>
              <w:rPr>
                <w:b/>
                <w:sz w:val="20"/>
                <w:szCs w:val="20"/>
              </w:rPr>
            </w:pPr>
          </w:p>
          <w:p w:rsidR="0010587F" w:rsidRPr="00E452DD" w:rsidRDefault="0041579D" w:rsidP="004D4629">
            <w:pPr>
              <w:rPr>
                <w:b/>
                <w:sz w:val="20"/>
                <w:szCs w:val="20"/>
              </w:rPr>
            </w:pPr>
            <w:r>
              <w:rPr>
                <w:b/>
                <w:sz w:val="20"/>
                <w:szCs w:val="20"/>
              </w:rPr>
              <w:t>D.A.I.</w:t>
            </w:r>
            <w:r w:rsidR="0010587F" w:rsidRPr="00E452DD">
              <w:rPr>
                <w:b/>
                <w:sz w:val="20"/>
                <w:szCs w:val="20"/>
              </w:rPr>
              <w:t xml:space="preserve"> (Ont.)</w:t>
            </w:r>
          </w:p>
          <w:p w:rsidR="0010587F" w:rsidRPr="00E452DD" w:rsidRDefault="0010587F" w:rsidP="004D4629">
            <w:pPr>
              <w:rPr>
                <w:sz w:val="20"/>
                <w:szCs w:val="20"/>
              </w:rPr>
            </w:pPr>
          </w:p>
          <w:p w:rsidR="0010587F" w:rsidRPr="00E452DD" w:rsidRDefault="0010587F" w:rsidP="004D4629">
            <w:pPr>
              <w:rPr>
                <w:sz w:val="20"/>
                <w:szCs w:val="20"/>
              </w:rPr>
            </w:pPr>
            <w:r w:rsidRPr="00E452DD">
              <w:rPr>
                <w:sz w:val="20"/>
                <w:szCs w:val="20"/>
              </w:rPr>
              <w:t>(</w:t>
            </w:r>
            <w:r w:rsidR="0041579D">
              <w:rPr>
                <w:sz w:val="20"/>
                <w:szCs w:val="20"/>
              </w:rPr>
              <w:t>By Leave</w:t>
            </w:r>
            <w:r w:rsidRPr="00E452DD">
              <w:rPr>
                <w:sz w:val="20"/>
                <w:szCs w:val="20"/>
              </w:rPr>
              <w:t>)</w:t>
            </w:r>
          </w:p>
          <w:p w:rsidR="0010587F" w:rsidRDefault="0010587F" w:rsidP="004D4629">
            <w:pPr>
              <w:rPr>
                <w:sz w:val="20"/>
                <w:szCs w:val="20"/>
              </w:rPr>
            </w:pPr>
          </w:p>
          <w:p w:rsidR="00E452DD" w:rsidRPr="00E452DD" w:rsidRDefault="00857426" w:rsidP="004D4629">
            <w:pPr>
              <w:rPr>
                <w:sz w:val="20"/>
                <w:szCs w:val="20"/>
              </w:rPr>
            </w:pPr>
            <w:r w:rsidRPr="00857426">
              <w:rPr>
                <w:sz w:val="20"/>
                <w:szCs w:val="20"/>
                <w:lang w:val="fr-CA"/>
              </w:rPr>
              <w:pict>
                <v:rect id="_x0000_i1072" style="width:108pt;height:1pt" o:hrpct="0" o:hralign="center" o:hrstd="t" o:hrnoshade="t" o:hr="t" fillcolor="black [3213]" stroked="f"/>
              </w:pict>
            </w:r>
          </w:p>
          <w:p w:rsidR="0010587F" w:rsidRPr="00E452DD" w:rsidRDefault="0010587F" w:rsidP="004D4629">
            <w:pPr>
              <w:rPr>
                <w:sz w:val="20"/>
                <w:szCs w:val="20"/>
              </w:rPr>
            </w:pPr>
          </w:p>
        </w:tc>
        <w:tc>
          <w:tcPr>
            <w:tcW w:w="588" w:type="pct"/>
          </w:tcPr>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p w:rsidR="0010587F" w:rsidRPr="00E452DD" w:rsidRDefault="0010587F" w:rsidP="0010587F">
            <w:pPr>
              <w:jc w:val="center"/>
              <w:rPr>
                <w:sz w:val="20"/>
                <w:szCs w:val="20"/>
              </w:rPr>
            </w:pPr>
          </w:p>
        </w:tc>
        <w:tc>
          <w:tcPr>
            <w:tcW w:w="2206" w:type="pct"/>
          </w:tcPr>
          <w:p w:rsidR="00E452DD" w:rsidRPr="00E452DD" w:rsidRDefault="00E452DD" w:rsidP="004D4629">
            <w:pPr>
              <w:rPr>
                <w:sz w:val="20"/>
                <w:szCs w:val="20"/>
              </w:rPr>
            </w:pPr>
          </w:p>
          <w:p w:rsidR="0010587F" w:rsidRPr="00E452DD" w:rsidRDefault="0010587F" w:rsidP="004D4629">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1C2F5E"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E452DD" w:rsidRDefault="00FF6EEC" w:rsidP="00FF6EEC">
      <w:pPr>
        <w:rPr>
          <w:b/>
          <w:sz w:val="20"/>
          <w:szCs w:val="20"/>
          <w:lang w:val="fr-CA"/>
        </w:rPr>
      </w:pPr>
    </w:p>
    <w:p w:rsidR="00AF1715" w:rsidRPr="00E452DD" w:rsidRDefault="00AF1715" w:rsidP="00AF1715">
      <w:pPr>
        <w:rPr>
          <w:b/>
          <w:sz w:val="20"/>
          <w:szCs w:val="20"/>
        </w:rPr>
      </w:pPr>
      <w:r w:rsidRPr="00E452DD">
        <w:rPr>
          <w:b/>
          <w:sz w:val="20"/>
          <w:szCs w:val="20"/>
        </w:rPr>
        <w:t xml:space="preserve">NOVEMBER </w:t>
      </w:r>
      <w:r w:rsidR="00556B72">
        <w:rPr>
          <w:b/>
          <w:sz w:val="20"/>
          <w:szCs w:val="20"/>
        </w:rPr>
        <w:t>2</w:t>
      </w:r>
      <w:r w:rsidRPr="00E452DD">
        <w:rPr>
          <w:b/>
          <w:sz w:val="20"/>
          <w:szCs w:val="20"/>
        </w:rPr>
        <w:t xml:space="preserve">4, 2010 / LE </w:t>
      </w:r>
      <w:r w:rsidR="00556B72">
        <w:rPr>
          <w:b/>
          <w:sz w:val="20"/>
          <w:szCs w:val="20"/>
        </w:rPr>
        <w:t>2</w:t>
      </w:r>
      <w:r w:rsidRPr="00E452DD">
        <w:rPr>
          <w:b/>
          <w:sz w:val="20"/>
          <w:szCs w:val="20"/>
        </w:rPr>
        <w:t>4 NOVEMBRE 2010</w:t>
      </w:r>
    </w:p>
    <w:p w:rsidR="00AF1715" w:rsidRDefault="00AF1715" w:rsidP="00AF1715">
      <w:pPr>
        <w:rPr>
          <w:sz w:val="20"/>
          <w:szCs w:val="20"/>
        </w:rPr>
      </w:pPr>
    </w:p>
    <w:p w:rsidR="00556B72" w:rsidRPr="00130482" w:rsidRDefault="00556B72" w:rsidP="00556B72">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Calibri" w:cs="Times New Roman"/>
          <w:sz w:val="20"/>
          <w:lang w:val="en-GB"/>
        </w:rPr>
      </w:pPr>
      <w:r w:rsidRPr="00130482">
        <w:rPr>
          <w:rFonts w:eastAsia="Calibri" w:cs="Times New Roman"/>
          <w:b/>
          <w:sz w:val="20"/>
        </w:rPr>
        <w:t>3</w:t>
      </w:r>
      <w:r>
        <w:rPr>
          <w:rFonts w:eastAsia="Calibri" w:cs="Times New Roman"/>
          <w:b/>
          <w:sz w:val="20"/>
        </w:rPr>
        <w:t>333</w:t>
      </w:r>
      <w:r w:rsidRPr="00130482">
        <w:rPr>
          <w:rFonts w:eastAsia="Calibri" w:cs="Times New Roman"/>
          <w:b/>
          <w:sz w:val="20"/>
        </w:rPr>
        <w:t>2</w:t>
      </w:r>
      <w:r w:rsidRPr="00130482">
        <w:rPr>
          <w:rFonts w:eastAsia="Calibri" w:cs="Times New Roman"/>
          <w:sz w:val="20"/>
        </w:rPr>
        <w:tab/>
      </w:r>
      <w:r w:rsidRPr="00130482">
        <w:rPr>
          <w:rFonts w:eastAsia="Calibri" w:cs="Times New Roman"/>
          <w:sz w:val="20"/>
        </w:rPr>
        <w:tab/>
      </w:r>
      <w:r w:rsidRPr="00DE3F37">
        <w:rPr>
          <w:rFonts w:eastAsia="Calibri" w:cs="Times New Roman"/>
          <w:b/>
          <w:sz w:val="20"/>
          <w:u w:val="single"/>
        </w:rPr>
        <w:t xml:space="preserve">Her Majesty the Queen </w:t>
      </w:r>
      <w:r w:rsidRPr="00DE3F37">
        <w:rPr>
          <w:rFonts w:eastAsia="Calibri" w:cs="Times New Roman"/>
          <w:b/>
          <w:iCs/>
          <w:sz w:val="20"/>
          <w:u w:val="single"/>
          <w:lang w:val="en-GB"/>
        </w:rPr>
        <w:t>v.</w:t>
      </w:r>
      <w:r w:rsidRPr="00DE3F37">
        <w:rPr>
          <w:rFonts w:eastAsia="Calibri" w:cs="Times New Roman"/>
          <w:b/>
          <w:sz w:val="20"/>
          <w:u w:val="single"/>
        </w:rPr>
        <w:t xml:space="preserve"> Daniel James </w:t>
      </w:r>
      <w:proofErr w:type="spellStart"/>
      <w:r w:rsidRPr="00DE3F37">
        <w:rPr>
          <w:rFonts w:eastAsia="Calibri" w:cs="Times New Roman"/>
          <w:b/>
          <w:sz w:val="20"/>
          <w:u w:val="single"/>
        </w:rPr>
        <w:t>Gomboc</w:t>
      </w:r>
      <w:proofErr w:type="spellEnd"/>
      <w:r>
        <w:rPr>
          <w:rFonts w:eastAsia="Calibri" w:cs="Times New Roman"/>
          <w:b/>
          <w:iCs/>
          <w:sz w:val="20"/>
          <w:u w:val="single"/>
        </w:rPr>
        <w:t xml:space="preserve"> – and – </w:t>
      </w:r>
      <w:r w:rsidRPr="00DE3F37">
        <w:rPr>
          <w:rFonts w:eastAsia="Calibri" w:cs="Times New Roman"/>
          <w:b/>
          <w:iCs/>
          <w:sz w:val="20"/>
          <w:u w:val="single"/>
        </w:rPr>
        <w:t>Attorney General of Ontario, Attorney General of Quebec and Canadian Civil Liberties Association</w:t>
      </w:r>
      <w:r w:rsidRPr="00DE3F37">
        <w:rPr>
          <w:rFonts w:eastAsia="Calibri" w:cs="Times New Roman"/>
          <w:b/>
          <w:iCs/>
          <w:sz w:val="20"/>
          <w:u w:val="single"/>
          <w:lang w:val="en-GB"/>
        </w:rPr>
        <w:t xml:space="preserve"> </w:t>
      </w:r>
      <w:r w:rsidRPr="00130482">
        <w:rPr>
          <w:rFonts w:eastAsia="Calibri" w:cs="Times New Roman"/>
          <w:sz w:val="20"/>
          <w:lang w:val="en-GB"/>
        </w:rPr>
        <w:t>(</w:t>
      </w:r>
      <w:r>
        <w:rPr>
          <w:rFonts w:eastAsia="Calibri" w:cs="Times New Roman"/>
          <w:sz w:val="20"/>
          <w:lang w:val="en-GB"/>
        </w:rPr>
        <w:t>Alta.</w:t>
      </w:r>
      <w:r w:rsidRPr="00130482">
        <w:rPr>
          <w:rFonts w:eastAsia="Calibri" w:cs="Times New Roman"/>
          <w:sz w:val="20"/>
          <w:lang w:val="en-GB"/>
        </w:rPr>
        <w:t>)</w:t>
      </w:r>
    </w:p>
    <w:p w:rsidR="00556B72" w:rsidRPr="00130482" w:rsidRDefault="00556B72" w:rsidP="00556B72">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Calibri" w:cs="Times New Roman"/>
          <w:b/>
          <w:sz w:val="20"/>
        </w:rPr>
      </w:pPr>
      <w:r w:rsidRPr="00130482">
        <w:rPr>
          <w:rFonts w:eastAsia="Calibri" w:cs="Times New Roman"/>
          <w:b/>
          <w:sz w:val="20"/>
        </w:rPr>
        <w:t>2010 SCC 5</w:t>
      </w:r>
      <w:r>
        <w:rPr>
          <w:rFonts w:eastAsia="Calibri" w:cs="Times New Roman"/>
          <w:b/>
          <w:sz w:val="20"/>
        </w:rPr>
        <w:t>5</w:t>
      </w:r>
      <w:r w:rsidRPr="00130482">
        <w:rPr>
          <w:rFonts w:eastAsia="Calibri" w:cs="Times New Roman"/>
          <w:b/>
          <w:sz w:val="20"/>
        </w:rPr>
        <w:t xml:space="preserve"> / 2010 CSC 5</w:t>
      </w:r>
      <w:r>
        <w:rPr>
          <w:rFonts w:eastAsia="Calibri" w:cs="Times New Roman"/>
          <w:b/>
          <w:sz w:val="20"/>
        </w:rPr>
        <w:t>5</w:t>
      </w:r>
    </w:p>
    <w:p w:rsidR="00556B72" w:rsidRPr="00130482" w:rsidRDefault="00556B72" w:rsidP="00556B72">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Calibri" w:cs="Times New Roman"/>
          <w:sz w:val="20"/>
        </w:rPr>
      </w:pPr>
    </w:p>
    <w:p w:rsidR="00556B72" w:rsidRPr="00130482" w:rsidRDefault="00556B72" w:rsidP="00556B72">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Calibri" w:cs="Times New Roman"/>
          <w:sz w:val="20"/>
        </w:rPr>
      </w:pPr>
      <w:r w:rsidRPr="00130482">
        <w:rPr>
          <w:rFonts w:eastAsia="Calibri" w:cs="Times New Roman"/>
          <w:sz w:val="20"/>
        </w:rPr>
        <w:t>Coram:</w:t>
      </w:r>
      <w:r>
        <w:rPr>
          <w:sz w:val="20"/>
        </w:rPr>
        <w:tab/>
      </w:r>
      <w:r w:rsidRPr="00556B72">
        <w:rPr>
          <w:rFonts w:eastAsia="Calibri" w:cs="Times New Roman"/>
          <w:sz w:val="20"/>
        </w:rPr>
        <w:tab/>
      </w:r>
      <w:proofErr w:type="spellStart"/>
      <w:r w:rsidRPr="00130482">
        <w:rPr>
          <w:rFonts w:eastAsia="Calibri" w:cs="Times New Roman"/>
          <w:sz w:val="20"/>
          <w:u w:val="single"/>
        </w:rPr>
        <w:t>McLachlin</w:t>
      </w:r>
      <w:proofErr w:type="spellEnd"/>
      <w:r w:rsidRPr="00130482">
        <w:rPr>
          <w:rFonts w:eastAsia="Calibri" w:cs="Times New Roman"/>
          <w:sz w:val="20"/>
          <w:u w:val="single"/>
        </w:rPr>
        <w:t xml:space="preserve"> C.J. and </w:t>
      </w:r>
      <w:proofErr w:type="spellStart"/>
      <w:r w:rsidRPr="00130482">
        <w:rPr>
          <w:rFonts w:eastAsia="Calibri" w:cs="Times New Roman"/>
          <w:sz w:val="20"/>
          <w:u w:val="single"/>
        </w:rPr>
        <w:t>Binnie</w:t>
      </w:r>
      <w:proofErr w:type="spellEnd"/>
      <w:r w:rsidRPr="00130482">
        <w:rPr>
          <w:rFonts w:eastAsia="Calibri" w:cs="Times New Roman"/>
          <w:sz w:val="20"/>
          <w:u w:val="single"/>
        </w:rPr>
        <w:t xml:space="preserve">, </w:t>
      </w:r>
      <w:proofErr w:type="spellStart"/>
      <w:r w:rsidRPr="00130482">
        <w:rPr>
          <w:rFonts w:eastAsia="Calibri" w:cs="Times New Roman"/>
          <w:sz w:val="20"/>
          <w:u w:val="single"/>
        </w:rPr>
        <w:t>LeBel</w:t>
      </w:r>
      <w:proofErr w:type="spellEnd"/>
      <w:r w:rsidRPr="00130482">
        <w:rPr>
          <w:rFonts w:eastAsia="Calibri" w:cs="Times New Roman"/>
          <w:sz w:val="20"/>
          <w:u w:val="single"/>
        </w:rPr>
        <w:t xml:space="preserve">, </w:t>
      </w:r>
      <w:proofErr w:type="spellStart"/>
      <w:r w:rsidRPr="00130482">
        <w:rPr>
          <w:rFonts w:eastAsia="Calibri" w:cs="Times New Roman"/>
          <w:sz w:val="20"/>
          <w:u w:val="single"/>
        </w:rPr>
        <w:t>Deschamps</w:t>
      </w:r>
      <w:proofErr w:type="spellEnd"/>
      <w:r w:rsidRPr="00130482">
        <w:rPr>
          <w:rFonts w:eastAsia="Calibri" w:cs="Times New Roman"/>
          <w:sz w:val="20"/>
          <w:u w:val="single"/>
        </w:rPr>
        <w:t xml:space="preserve">, Fish, </w:t>
      </w:r>
      <w:proofErr w:type="spellStart"/>
      <w:r w:rsidRPr="00130482">
        <w:rPr>
          <w:rFonts w:eastAsia="Calibri" w:cs="Times New Roman"/>
          <w:sz w:val="20"/>
          <w:u w:val="single"/>
        </w:rPr>
        <w:t>Abella</w:t>
      </w:r>
      <w:proofErr w:type="spellEnd"/>
      <w:r w:rsidRPr="00130482">
        <w:rPr>
          <w:rFonts w:eastAsia="Calibri" w:cs="Times New Roman"/>
          <w:sz w:val="20"/>
          <w:u w:val="single"/>
        </w:rPr>
        <w:t xml:space="preserve">, </w:t>
      </w:r>
      <w:proofErr w:type="spellStart"/>
      <w:r w:rsidRPr="00130482">
        <w:rPr>
          <w:rFonts w:eastAsia="Calibri" w:cs="Times New Roman"/>
          <w:sz w:val="20"/>
          <w:u w:val="single"/>
        </w:rPr>
        <w:t>Charron</w:t>
      </w:r>
      <w:proofErr w:type="spellEnd"/>
      <w:r w:rsidRPr="00130482">
        <w:rPr>
          <w:rFonts w:eastAsia="Calibri" w:cs="Times New Roman"/>
          <w:sz w:val="20"/>
          <w:u w:val="single"/>
        </w:rPr>
        <w:t>, Rothstein and Cromwell JJ.</w:t>
      </w:r>
    </w:p>
    <w:p w:rsidR="00556B72" w:rsidRPr="00130482" w:rsidRDefault="00556B72" w:rsidP="00556B7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rPr>
      </w:pPr>
    </w:p>
    <w:p w:rsidR="00556B72" w:rsidRPr="00DE3F37" w:rsidRDefault="00556B72" w:rsidP="00556B7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rPr>
      </w:pPr>
      <w:r w:rsidRPr="00DE3F37">
        <w:rPr>
          <w:rFonts w:eastAsia="Calibri" w:cs="Times New Roman"/>
          <w:sz w:val="20"/>
        </w:rPr>
        <w:t xml:space="preserve">The appeal from the judgment of the Court of Appeal of Alberta (Calgary), Number 0701-0330-A, 2009 ABCA 276, dated August 21, 2009, heard on May 19, 2010, is allowed and the conviction entered at trial is restored, </w:t>
      </w:r>
      <w:proofErr w:type="spellStart"/>
      <w:r w:rsidRPr="00DE3F37">
        <w:rPr>
          <w:rFonts w:eastAsia="Calibri" w:cs="Times New Roman"/>
          <w:sz w:val="20"/>
        </w:rPr>
        <w:t>McLachlin</w:t>
      </w:r>
      <w:proofErr w:type="spellEnd"/>
      <w:r w:rsidRPr="00DE3F37">
        <w:rPr>
          <w:rFonts w:eastAsia="Calibri" w:cs="Times New Roman"/>
          <w:sz w:val="20"/>
        </w:rPr>
        <w:t xml:space="preserve"> C.J. and Fish J. dissenting.</w:t>
      </w:r>
    </w:p>
    <w:p w:rsidR="00556B72" w:rsidRPr="00DE3F37" w:rsidRDefault="00556B72" w:rsidP="00556B7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rPr>
      </w:pPr>
    </w:p>
    <w:p w:rsidR="00556B72" w:rsidRPr="00DE3F37" w:rsidRDefault="00556B72" w:rsidP="00556B7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lang w:val="fr-CA"/>
        </w:rPr>
      </w:pPr>
      <w:r w:rsidRPr="00DE3F37">
        <w:rPr>
          <w:rFonts w:eastAsia="Calibri" w:cs="Times New Roman"/>
          <w:sz w:val="20"/>
          <w:lang w:val="fr-CA"/>
        </w:rPr>
        <w:t xml:space="preserve">L’appel interjeté contre l’arrêt de la Cour d’appel de l’Alberta (Calgary), numéro 0701-0330-A, 2009 ABCA 276, en date du 21 août 2009, entendu le 19 mai 2010, est accueilli et la déclaration de culpabilité prononcée au procès est rétablie. La juge en chef </w:t>
      </w:r>
      <w:proofErr w:type="spellStart"/>
      <w:r w:rsidRPr="00DE3F37">
        <w:rPr>
          <w:rFonts w:eastAsia="Calibri" w:cs="Times New Roman"/>
          <w:sz w:val="20"/>
          <w:lang w:val="fr-CA"/>
        </w:rPr>
        <w:t>McLachlin</w:t>
      </w:r>
      <w:proofErr w:type="spellEnd"/>
      <w:r w:rsidRPr="00DE3F37">
        <w:rPr>
          <w:rFonts w:eastAsia="Calibri" w:cs="Times New Roman"/>
          <w:sz w:val="20"/>
          <w:lang w:val="fr-CA"/>
        </w:rPr>
        <w:t xml:space="preserve"> et le juge Fish sont dissidents.</w:t>
      </w:r>
    </w:p>
    <w:p w:rsidR="00556B72" w:rsidRPr="00556B72" w:rsidRDefault="00556B72" w:rsidP="00AF1715">
      <w:pPr>
        <w:rPr>
          <w:sz w:val="20"/>
          <w:szCs w:val="20"/>
          <w:lang w:val="fr-CA"/>
        </w:rPr>
      </w:pPr>
    </w:p>
    <w:p w:rsidR="00AF1715" w:rsidRPr="00E452DD" w:rsidRDefault="00857426" w:rsidP="00AF1715">
      <w:pPr>
        <w:spacing w:line="0" w:lineRule="atLeast"/>
        <w:rPr>
          <w:sz w:val="20"/>
          <w:szCs w:val="20"/>
        </w:rPr>
      </w:pPr>
      <w:r w:rsidRPr="00857426">
        <w:rPr>
          <w:b/>
          <w:sz w:val="20"/>
          <w:szCs w:val="20"/>
        </w:rPr>
        <w:pict>
          <v:rect id="_x0000_i1075" style="width:144.3pt;height:1pt" o:hrpct="300" o:hralign="center" o:hrstd="t" o:hrnoshade="t" o:hr="t" fillcolor="black [3213]" stroked="f"/>
        </w:pict>
      </w:r>
    </w:p>
    <w:p w:rsidR="00AF1715" w:rsidRDefault="00AF1715" w:rsidP="00AF1715">
      <w:pPr>
        <w:spacing w:line="0" w:lineRule="atLeast"/>
        <w:rPr>
          <w:sz w:val="20"/>
          <w:szCs w:val="20"/>
        </w:rPr>
      </w:pPr>
    </w:p>
    <w:p w:rsidR="00DF71D7" w:rsidRPr="00DF71D7" w:rsidRDefault="00DF71D7" w:rsidP="00AF1715">
      <w:pPr>
        <w:spacing w:line="0" w:lineRule="atLeast"/>
        <w:rPr>
          <w:b/>
          <w:sz w:val="20"/>
          <w:szCs w:val="20"/>
          <w:lang w:val="fr-CA"/>
        </w:rPr>
      </w:pPr>
      <w:r w:rsidRPr="00DF71D7">
        <w:rPr>
          <w:b/>
          <w:sz w:val="20"/>
          <w:szCs w:val="20"/>
          <w:lang w:val="fr-CA"/>
        </w:rPr>
        <w:t>NOVEMBER 25, 2010 / LE 25 NOVEMBRE 2010</w:t>
      </w:r>
    </w:p>
    <w:p w:rsidR="00DF71D7" w:rsidRPr="00DF71D7" w:rsidRDefault="00DF71D7" w:rsidP="00AF1715">
      <w:pPr>
        <w:spacing w:line="0" w:lineRule="atLeast"/>
        <w:rPr>
          <w:sz w:val="20"/>
          <w:szCs w:val="20"/>
          <w:lang w:val="fr-CA"/>
        </w:rPr>
      </w:pPr>
    </w:p>
    <w:p w:rsidR="00DF71D7" w:rsidRPr="00DF71D7" w:rsidRDefault="00DF71D7" w:rsidP="00DF71D7">
      <w:pPr>
        <w:ind w:left="1440" w:hanging="1440"/>
        <w:jc w:val="both"/>
        <w:rPr>
          <w:b/>
          <w:sz w:val="20"/>
          <w:szCs w:val="20"/>
          <w:u w:val="single"/>
          <w:lang w:val="fr-CA"/>
        </w:rPr>
      </w:pPr>
      <w:r w:rsidRPr="00DF71D7">
        <w:rPr>
          <w:b/>
          <w:sz w:val="20"/>
          <w:szCs w:val="20"/>
          <w:lang w:val="fr-CA"/>
        </w:rPr>
        <w:t>33016</w:t>
      </w:r>
      <w:r w:rsidRPr="00DF71D7">
        <w:rPr>
          <w:b/>
          <w:sz w:val="20"/>
          <w:szCs w:val="20"/>
          <w:lang w:val="fr-CA"/>
        </w:rPr>
        <w:tab/>
      </w:r>
      <w:proofErr w:type="spellStart"/>
      <w:r w:rsidRPr="00DF71D7">
        <w:rPr>
          <w:b/>
          <w:sz w:val="20"/>
          <w:szCs w:val="20"/>
          <w:u w:val="single"/>
          <w:lang w:val="fr-CA"/>
        </w:rPr>
        <w:t>Jószef</w:t>
      </w:r>
      <w:proofErr w:type="spellEnd"/>
      <w:r w:rsidRPr="00DF71D7">
        <w:rPr>
          <w:b/>
          <w:sz w:val="20"/>
          <w:szCs w:val="20"/>
          <w:u w:val="single"/>
          <w:lang w:val="fr-CA"/>
        </w:rPr>
        <w:t xml:space="preserve"> </w:t>
      </w:r>
      <w:proofErr w:type="spellStart"/>
      <w:r w:rsidRPr="00DF71D7">
        <w:rPr>
          <w:b/>
          <w:sz w:val="20"/>
          <w:szCs w:val="20"/>
          <w:u w:val="single"/>
          <w:lang w:val="fr-CA"/>
        </w:rPr>
        <w:t>Németh</w:t>
      </w:r>
      <w:proofErr w:type="spellEnd"/>
      <w:r w:rsidRPr="00DF71D7">
        <w:rPr>
          <w:b/>
          <w:sz w:val="20"/>
          <w:szCs w:val="20"/>
          <w:u w:val="single"/>
          <w:lang w:val="fr-CA"/>
        </w:rPr>
        <w:t xml:space="preserve"> et </w:t>
      </w:r>
      <w:proofErr w:type="spellStart"/>
      <w:r w:rsidRPr="00DF71D7">
        <w:rPr>
          <w:b/>
          <w:sz w:val="20"/>
          <w:szCs w:val="20"/>
          <w:u w:val="single"/>
          <w:lang w:val="fr-CA"/>
        </w:rPr>
        <w:t>Jószefne</w:t>
      </w:r>
      <w:proofErr w:type="spellEnd"/>
      <w:r w:rsidRPr="00DF71D7">
        <w:rPr>
          <w:b/>
          <w:sz w:val="20"/>
          <w:szCs w:val="20"/>
          <w:u w:val="single"/>
          <w:lang w:val="fr-CA"/>
        </w:rPr>
        <w:t xml:space="preserve"> </w:t>
      </w:r>
      <w:proofErr w:type="spellStart"/>
      <w:r w:rsidRPr="00DF71D7">
        <w:rPr>
          <w:b/>
          <w:sz w:val="20"/>
          <w:szCs w:val="20"/>
          <w:u w:val="single"/>
          <w:lang w:val="fr-CA"/>
        </w:rPr>
        <w:t>Németh</w:t>
      </w:r>
      <w:proofErr w:type="spellEnd"/>
      <w:r w:rsidRPr="00DF71D7">
        <w:rPr>
          <w:b/>
          <w:sz w:val="20"/>
          <w:szCs w:val="20"/>
          <w:u w:val="single"/>
          <w:lang w:val="fr-CA"/>
        </w:rPr>
        <w:t xml:space="preserve"> (alias </w:t>
      </w:r>
      <w:proofErr w:type="spellStart"/>
      <w:r w:rsidRPr="00DF71D7">
        <w:rPr>
          <w:b/>
          <w:sz w:val="20"/>
          <w:szCs w:val="20"/>
          <w:u w:val="single"/>
          <w:lang w:val="fr-CA"/>
        </w:rPr>
        <w:t>Józsefne</w:t>
      </w:r>
      <w:proofErr w:type="spellEnd"/>
      <w:r w:rsidRPr="00DF71D7">
        <w:rPr>
          <w:b/>
          <w:sz w:val="20"/>
          <w:szCs w:val="20"/>
          <w:u w:val="single"/>
          <w:lang w:val="fr-CA"/>
        </w:rPr>
        <w:t xml:space="preserve"> Nagy </w:t>
      </w:r>
      <w:proofErr w:type="spellStart"/>
      <w:r w:rsidRPr="00DF71D7">
        <w:rPr>
          <w:b/>
          <w:sz w:val="20"/>
          <w:szCs w:val="20"/>
          <w:u w:val="single"/>
          <w:lang w:val="fr-CA"/>
        </w:rPr>
        <w:t>Szidonia</w:t>
      </w:r>
      <w:proofErr w:type="spellEnd"/>
      <w:r w:rsidRPr="00DF71D7">
        <w:rPr>
          <w:b/>
          <w:sz w:val="20"/>
          <w:szCs w:val="20"/>
          <w:u w:val="single"/>
          <w:lang w:val="fr-CA"/>
        </w:rPr>
        <w:t>) c. Ministre de la Justice du Canada – et – Barreau du Québec, Association québécoise des avocats et avocates en droit de l’immigration et Conseil canadien pour les réfugiés</w:t>
      </w:r>
      <w:r w:rsidRPr="00DF71D7">
        <w:rPr>
          <w:b/>
          <w:sz w:val="20"/>
          <w:szCs w:val="20"/>
          <w:lang w:val="fr-CA"/>
        </w:rPr>
        <w:t xml:space="preserve"> </w:t>
      </w:r>
      <w:r w:rsidRPr="00DF71D7">
        <w:rPr>
          <w:sz w:val="20"/>
          <w:szCs w:val="20"/>
          <w:lang w:val="fr-CA"/>
        </w:rPr>
        <w:t>(</w:t>
      </w:r>
      <w:proofErr w:type="spellStart"/>
      <w:r w:rsidRPr="00DF71D7">
        <w:rPr>
          <w:sz w:val="20"/>
          <w:szCs w:val="20"/>
          <w:lang w:val="fr-CA"/>
        </w:rPr>
        <w:t>Qc</w:t>
      </w:r>
      <w:proofErr w:type="spellEnd"/>
      <w:r w:rsidRPr="00DF71D7">
        <w:rPr>
          <w:sz w:val="20"/>
          <w:szCs w:val="20"/>
          <w:lang w:val="fr-CA"/>
        </w:rPr>
        <w:t>)</w:t>
      </w:r>
    </w:p>
    <w:p w:rsidR="00DF71D7" w:rsidRPr="00DF71D7" w:rsidRDefault="00DF71D7" w:rsidP="00DF71D7">
      <w:pPr>
        <w:tabs>
          <w:tab w:val="left" w:pos="0"/>
        </w:tabs>
        <w:ind w:left="1440"/>
        <w:jc w:val="both"/>
        <w:rPr>
          <w:sz w:val="20"/>
          <w:szCs w:val="20"/>
          <w:lang w:val="fr-CA"/>
        </w:rPr>
      </w:pPr>
      <w:r w:rsidRPr="00DF71D7">
        <w:rPr>
          <w:b/>
          <w:sz w:val="20"/>
          <w:szCs w:val="20"/>
          <w:lang w:val="fr-CA"/>
        </w:rPr>
        <w:t>2010 SCC 56 / 2010 CSC 56</w:t>
      </w:r>
    </w:p>
    <w:p w:rsidR="00DF71D7" w:rsidRPr="00DF71D7" w:rsidRDefault="00DF71D7" w:rsidP="00DF71D7">
      <w:pPr>
        <w:tabs>
          <w:tab w:val="left" w:pos="0"/>
        </w:tabs>
        <w:ind w:left="1440" w:hanging="1440"/>
        <w:jc w:val="both"/>
        <w:rPr>
          <w:b/>
          <w:sz w:val="20"/>
          <w:szCs w:val="20"/>
          <w:lang w:val="fr-CA"/>
        </w:rPr>
      </w:pPr>
    </w:p>
    <w:p w:rsidR="00DF71D7" w:rsidRPr="00DF71D7" w:rsidRDefault="00DF71D7" w:rsidP="00DF71D7">
      <w:pPr>
        <w:ind w:left="1440" w:hanging="1440"/>
        <w:jc w:val="both"/>
        <w:rPr>
          <w:sz w:val="20"/>
          <w:szCs w:val="20"/>
          <w:u w:val="single"/>
          <w:lang w:val="fr-CA"/>
        </w:rPr>
      </w:pPr>
      <w:r w:rsidRPr="00DF71D7">
        <w:rPr>
          <w:sz w:val="20"/>
          <w:szCs w:val="20"/>
          <w:lang w:val="fr-CA"/>
        </w:rPr>
        <w:t>Coram:</w:t>
      </w:r>
      <w:r w:rsidRPr="00DF71D7">
        <w:rPr>
          <w:sz w:val="20"/>
          <w:szCs w:val="20"/>
          <w:lang w:val="fr-CA"/>
        </w:rPr>
        <w:tab/>
      </w:r>
      <w:r w:rsidRPr="00DF71D7">
        <w:rPr>
          <w:sz w:val="20"/>
          <w:szCs w:val="20"/>
          <w:u w:val="single"/>
          <w:lang w:val="fr-CA"/>
        </w:rPr>
        <w:t xml:space="preserve">La juge en chef </w:t>
      </w:r>
      <w:proofErr w:type="spellStart"/>
      <w:r w:rsidRPr="00DF71D7">
        <w:rPr>
          <w:sz w:val="20"/>
          <w:szCs w:val="20"/>
          <w:u w:val="single"/>
          <w:lang w:val="fr-CA"/>
        </w:rPr>
        <w:t>McLachlin</w:t>
      </w:r>
      <w:proofErr w:type="spellEnd"/>
      <w:r w:rsidRPr="00DF71D7">
        <w:rPr>
          <w:sz w:val="20"/>
          <w:szCs w:val="20"/>
          <w:u w:val="single"/>
          <w:lang w:val="fr-CA"/>
        </w:rPr>
        <w:t xml:space="preserve"> et les juges </w:t>
      </w:r>
      <w:proofErr w:type="spellStart"/>
      <w:r w:rsidRPr="00DF71D7">
        <w:rPr>
          <w:sz w:val="20"/>
          <w:szCs w:val="20"/>
          <w:u w:val="single"/>
          <w:lang w:val="fr-CA"/>
        </w:rPr>
        <w:t>Binnie</w:t>
      </w:r>
      <w:proofErr w:type="spellEnd"/>
      <w:r w:rsidRPr="00DF71D7">
        <w:rPr>
          <w:sz w:val="20"/>
          <w:szCs w:val="20"/>
          <w:u w:val="single"/>
          <w:lang w:val="fr-CA"/>
        </w:rPr>
        <w:t xml:space="preserve">, </w:t>
      </w:r>
      <w:proofErr w:type="spellStart"/>
      <w:r w:rsidRPr="00DF71D7">
        <w:rPr>
          <w:sz w:val="20"/>
          <w:szCs w:val="20"/>
          <w:u w:val="single"/>
          <w:lang w:val="fr-CA"/>
        </w:rPr>
        <w:t>LeBel</w:t>
      </w:r>
      <w:proofErr w:type="spellEnd"/>
      <w:r w:rsidRPr="00DF71D7">
        <w:rPr>
          <w:sz w:val="20"/>
          <w:szCs w:val="20"/>
          <w:u w:val="single"/>
          <w:lang w:val="fr-CA"/>
        </w:rPr>
        <w:t xml:space="preserve">, Deschamps, Fish, Abella, Charron, </w:t>
      </w:r>
      <w:proofErr w:type="spellStart"/>
      <w:r w:rsidRPr="00DF71D7">
        <w:rPr>
          <w:sz w:val="20"/>
          <w:szCs w:val="20"/>
          <w:u w:val="single"/>
          <w:lang w:val="fr-CA"/>
        </w:rPr>
        <w:t>Rothstein</w:t>
      </w:r>
      <w:proofErr w:type="spellEnd"/>
      <w:r w:rsidRPr="00DF71D7">
        <w:rPr>
          <w:sz w:val="20"/>
          <w:szCs w:val="20"/>
          <w:u w:val="single"/>
          <w:lang w:val="fr-CA"/>
        </w:rPr>
        <w:t xml:space="preserve"> et Cromwell </w:t>
      </w:r>
    </w:p>
    <w:p w:rsidR="00DF71D7" w:rsidRPr="00DF71D7" w:rsidRDefault="00DF71D7" w:rsidP="00DF71D7">
      <w:pPr>
        <w:tabs>
          <w:tab w:val="left" w:pos="0"/>
        </w:tabs>
        <w:jc w:val="both"/>
        <w:rPr>
          <w:sz w:val="20"/>
          <w:szCs w:val="20"/>
          <w:lang w:val="fr-CA"/>
        </w:rPr>
      </w:pPr>
    </w:p>
    <w:p w:rsidR="00DF71D7" w:rsidRPr="00DF71D7" w:rsidRDefault="00DF71D7" w:rsidP="00C37FAD">
      <w:pPr>
        <w:jc w:val="both"/>
        <w:rPr>
          <w:sz w:val="20"/>
          <w:szCs w:val="20"/>
        </w:rPr>
      </w:pPr>
      <w:r w:rsidRPr="00DF71D7">
        <w:rPr>
          <w:sz w:val="20"/>
          <w:szCs w:val="20"/>
          <w:lang w:val="fr-CA"/>
        </w:rPr>
        <w:t xml:space="preserve">L’appel interjeté contre l’arrêt de la Cour d’appel du Québec (Montréal), numéro 500-10-003893-078, 2009 QCCA 99, en date du 22 janvier 2009, entendu le 13 janvier 2010, est accueilli sans ordonnance quant aux dépens. L’arrêt de la Cour d’appel ainsi que les décisions du ministre de la Justice en matière d’extradition sont annulés. </w:t>
      </w:r>
      <w:proofErr w:type="spellStart"/>
      <w:r w:rsidRPr="00DF71D7">
        <w:rPr>
          <w:sz w:val="20"/>
          <w:szCs w:val="20"/>
        </w:rPr>
        <w:t>L’affaire</w:t>
      </w:r>
      <w:proofErr w:type="spellEnd"/>
      <w:r w:rsidRPr="00DF71D7">
        <w:rPr>
          <w:sz w:val="20"/>
          <w:szCs w:val="20"/>
        </w:rPr>
        <w:t xml:space="preserve"> </w:t>
      </w:r>
      <w:proofErr w:type="spellStart"/>
      <w:proofErr w:type="gramStart"/>
      <w:r w:rsidRPr="00DF71D7">
        <w:rPr>
          <w:sz w:val="20"/>
          <w:szCs w:val="20"/>
        </w:rPr>
        <w:t>est</w:t>
      </w:r>
      <w:proofErr w:type="spellEnd"/>
      <w:proofErr w:type="gramEnd"/>
      <w:r w:rsidRPr="00DF71D7">
        <w:rPr>
          <w:sz w:val="20"/>
          <w:szCs w:val="20"/>
        </w:rPr>
        <w:t xml:space="preserve"> </w:t>
      </w:r>
      <w:proofErr w:type="spellStart"/>
      <w:r w:rsidRPr="00DF71D7">
        <w:rPr>
          <w:sz w:val="20"/>
          <w:szCs w:val="20"/>
        </w:rPr>
        <w:t>renvoyée</w:t>
      </w:r>
      <w:proofErr w:type="spellEnd"/>
      <w:r w:rsidRPr="00DF71D7">
        <w:rPr>
          <w:sz w:val="20"/>
          <w:szCs w:val="20"/>
        </w:rPr>
        <w:t xml:space="preserve"> au </w:t>
      </w:r>
      <w:proofErr w:type="spellStart"/>
      <w:r w:rsidRPr="00DF71D7">
        <w:rPr>
          <w:sz w:val="20"/>
          <w:szCs w:val="20"/>
        </w:rPr>
        <w:t>ministre</w:t>
      </w:r>
      <w:proofErr w:type="spellEnd"/>
      <w:r w:rsidRPr="00DF71D7">
        <w:rPr>
          <w:sz w:val="20"/>
          <w:szCs w:val="20"/>
        </w:rPr>
        <w:t xml:space="preserve"> pour </w:t>
      </w:r>
      <w:proofErr w:type="spellStart"/>
      <w:r w:rsidRPr="00DF71D7">
        <w:rPr>
          <w:sz w:val="20"/>
          <w:szCs w:val="20"/>
        </w:rPr>
        <w:t>réexamen</w:t>
      </w:r>
      <w:proofErr w:type="spellEnd"/>
      <w:r w:rsidRPr="00DF71D7">
        <w:rPr>
          <w:sz w:val="20"/>
          <w:szCs w:val="20"/>
        </w:rPr>
        <w:t>.</w:t>
      </w:r>
    </w:p>
    <w:p w:rsidR="00DF71D7" w:rsidRPr="00DF71D7" w:rsidRDefault="00DF71D7" w:rsidP="00DF71D7">
      <w:pPr>
        <w:tabs>
          <w:tab w:val="left" w:pos="0"/>
        </w:tabs>
        <w:jc w:val="both"/>
        <w:rPr>
          <w:sz w:val="20"/>
          <w:szCs w:val="20"/>
        </w:rPr>
      </w:pPr>
    </w:p>
    <w:p w:rsidR="00DF71D7" w:rsidRPr="00DF71D7" w:rsidRDefault="00DF71D7" w:rsidP="00C37FAD">
      <w:pPr>
        <w:jc w:val="both"/>
        <w:rPr>
          <w:sz w:val="20"/>
          <w:szCs w:val="20"/>
        </w:rPr>
      </w:pPr>
      <w:r w:rsidRPr="00DF71D7">
        <w:rPr>
          <w:sz w:val="20"/>
          <w:szCs w:val="20"/>
        </w:rPr>
        <w:t xml:space="preserve">The appeal from the judgment </w:t>
      </w:r>
      <w:bookmarkStart w:id="1" w:name="BM_1_"/>
      <w:bookmarkEnd w:id="1"/>
      <w:r w:rsidRPr="00DF71D7">
        <w:rPr>
          <w:sz w:val="20"/>
          <w:szCs w:val="20"/>
        </w:rPr>
        <w:t xml:space="preserve">of the Court of Appeal of Quebec (Montréal), </w:t>
      </w:r>
      <w:proofErr w:type="gramStart"/>
      <w:r w:rsidRPr="00DF71D7">
        <w:rPr>
          <w:sz w:val="20"/>
          <w:szCs w:val="20"/>
        </w:rPr>
        <w:t>Number  500</w:t>
      </w:r>
      <w:proofErr w:type="gramEnd"/>
      <w:r w:rsidRPr="00DF71D7">
        <w:rPr>
          <w:sz w:val="20"/>
          <w:szCs w:val="20"/>
        </w:rPr>
        <w:t>-10-003893-078, 2009 QCCA 99, dated January 22, 2009, heard on January 13, 2010, is allowed with no order as to costs.  The decision of the Court of Appeal and the Minister of Justice’s orders of surrender are set aside. The matter is remitted to the Minister of Justice for reconsideration.</w:t>
      </w:r>
    </w:p>
    <w:p w:rsidR="00556B72" w:rsidRDefault="00556B72" w:rsidP="00AF1715">
      <w:pPr>
        <w:spacing w:line="0" w:lineRule="atLeast"/>
        <w:rPr>
          <w:sz w:val="20"/>
          <w:szCs w:val="20"/>
        </w:rPr>
      </w:pPr>
    </w:p>
    <w:p w:rsidR="00556B72" w:rsidRDefault="00857426" w:rsidP="00AF1715">
      <w:pPr>
        <w:spacing w:line="0" w:lineRule="atLeast"/>
        <w:rPr>
          <w:sz w:val="20"/>
          <w:szCs w:val="20"/>
        </w:rPr>
      </w:pPr>
      <w:r w:rsidRPr="00857426">
        <w:rPr>
          <w:b/>
          <w:sz w:val="20"/>
          <w:szCs w:val="20"/>
        </w:rPr>
        <w:pict>
          <v:rect id="_x0000_i1076" style="width:144.3pt;height:1pt" o:hrpct="300" o:hralign="center" o:hrstd="t" o:hrnoshade="t" o:hr="t" fillcolor="black [3213]" stroked="f"/>
        </w:pict>
      </w:r>
    </w:p>
    <w:p w:rsidR="00556B72" w:rsidRDefault="00556B72" w:rsidP="00AF1715">
      <w:pPr>
        <w:spacing w:line="0" w:lineRule="atLeast"/>
        <w:rPr>
          <w:sz w:val="20"/>
          <w:szCs w:val="20"/>
        </w:rPr>
      </w:pPr>
    </w:p>
    <w:p w:rsidR="00C37FAD" w:rsidRPr="00BD5153" w:rsidRDefault="00C37FAD" w:rsidP="00C37FAD">
      <w:pPr>
        <w:ind w:left="1440" w:hanging="1440"/>
        <w:jc w:val="both"/>
        <w:rPr>
          <w:rFonts w:eastAsia="Calibri" w:cs="Times New Roman"/>
          <w:b/>
          <w:sz w:val="20"/>
          <w:u w:val="single"/>
          <w:lang w:val="fr-CA"/>
        </w:rPr>
      </w:pPr>
      <w:r w:rsidRPr="00BD5153">
        <w:rPr>
          <w:rFonts w:eastAsia="Calibri" w:cs="Times New Roman"/>
          <w:b/>
          <w:sz w:val="20"/>
          <w:lang w:val="fr-CA"/>
        </w:rPr>
        <w:t>33313</w:t>
      </w:r>
      <w:r w:rsidRPr="00BD5153">
        <w:rPr>
          <w:rFonts w:eastAsia="Calibri" w:cs="Times New Roman"/>
          <w:b/>
          <w:sz w:val="20"/>
          <w:lang w:val="fr-CA"/>
        </w:rPr>
        <w:tab/>
      </w:r>
      <w:proofErr w:type="spellStart"/>
      <w:r w:rsidRPr="00BD5153">
        <w:rPr>
          <w:rFonts w:eastAsia="Calibri" w:cs="Times New Roman"/>
          <w:b/>
          <w:sz w:val="20"/>
          <w:u w:val="single"/>
          <w:lang w:val="fr-CA"/>
        </w:rPr>
        <w:t>Tiberiu</w:t>
      </w:r>
      <w:proofErr w:type="spellEnd"/>
      <w:r w:rsidRPr="00BD5153">
        <w:rPr>
          <w:rFonts w:eastAsia="Calibri" w:cs="Times New Roman"/>
          <w:b/>
          <w:sz w:val="20"/>
          <w:u w:val="single"/>
          <w:lang w:val="fr-CA"/>
        </w:rPr>
        <w:t xml:space="preserve"> </w:t>
      </w:r>
      <w:proofErr w:type="spellStart"/>
      <w:r w:rsidRPr="00BD5153">
        <w:rPr>
          <w:rFonts w:eastAsia="Calibri" w:cs="Times New Roman"/>
          <w:b/>
          <w:sz w:val="20"/>
          <w:u w:val="single"/>
          <w:lang w:val="fr-CA"/>
        </w:rPr>
        <w:t>Gavrila</w:t>
      </w:r>
      <w:proofErr w:type="spellEnd"/>
      <w:r w:rsidRPr="00BD5153">
        <w:rPr>
          <w:rFonts w:eastAsia="Calibri" w:cs="Times New Roman"/>
          <w:b/>
          <w:sz w:val="20"/>
          <w:u w:val="single"/>
          <w:lang w:val="fr-CA"/>
        </w:rPr>
        <w:t xml:space="preserve"> c. Ministre de la Justice du Canada – et – Amnesty International (Canada Section), Association québécoise des avocats et avocates en droit de l’immigration et Association canadienne des libertés civiles</w:t>
      </w:r>
      <w:r w:rsidRPr="00BD5153">
        <w:rPr>
          <w:rFonts w:eastAsia="Calibri" w:cs="Times New Roman"/>
          <w:b/>
          <w:sz w:val="20"/>
          <w:lang w:val="fr-CA"/>
        </w:rPr>
        <w:t xml:space="preserve"> </w:t>
      </w:r>
      <w:r w:rsidRPr="00BD5153">
        <w:rPr>
          <w:rFonts w:eastAsia="Calibri" w:cs="Times New Roman"/>
          <w:sz w:val="20"/>
          <w:lang w:val="fr-CA"/>
        </w:rPr>
        <w:t>(</w:t>
      </w:r>
      <w:proofErr w:type="spellStart"/>
      <w:r>
        <w:rPr>
          <w:rFonts w:eastAsia="Calibri" w:cs="Times New Roman"/>
          <w:sz w:val="20"/>
          <w:lang w:val="fr-CA"/>
        </w:rPr>
        <w:t>Qc</w:t>
      </w:r>
      <w:proofErr w:type="spellEnd"/>
      <w:r w:rsidRPr="00BD5153">
        <w:rPr>
          <w:rFonts w:eastAsia="Calibri" w:cs="Times New Roman"/>
          <w:sz w:val="20"/>
          <w:lang w:val="fr-CA"/>
        </w:rPr>
        <w:t>)</w:t>
      </w:r>
    </w:p>
    <w:p w:rsidR="00C37FAD" w:rsidRPr="00902947" w:rsidRDefault="00C37FAD" w:rsidP="00C37FAD">
      <w:pPr>
        <w:ind w:left="1440"/>
        <w:jc w:val="both"/>
        <w:rPr>
          <w:rFonts w:eastAsia="Calibri" w:cs="Times New Roman"/>
          <w:sz w:val="20"/>
          <w:lang w:val="fr-CA"/>
        </w:rPr>
      </w:pPr>
      <w:r w:rsidRPr="00902947">
        <w:rPr>
          <w:rFonts w:eastAsia="Calibri" w:cs="Times New Roman"/>
          <w:b/>
          <w:sz w:val="20"/>
          <w:lang w:val="fr-CA"/>
        </w:rPr>
        <w:t>2010 SCC 57 / 2010 CSC 57</w:t>
      </w:r>
    </w:p>
    <w:p w:rsidR="00C37FAD" w:rsidRPr="00902947" w:rsidRDefault="00C37FAD" w:rsidP="00C37FAD">
      <w:pPr>
        <w:ind w:left="1440" w:hanging="1440"/>
        <w:jc w:val="both"/>
        <w:rPr>
          <w:rFonts w:eastAsia="Calibri" w:cs="Times New Roman"/>
          <w:b/>
          <w:sz w:val="20"/>
          <w:lang w:val="fr-CA"/>
        </w:rPr>
      </w:pPr>
    </w:p>
    <w:p w:rsidR="00C37FAD" w:rsidRPr="00072465" w:rsidRDefault="00C37FAD" w:rsidP="00C37FAD">
      <w:pPr>
        <w:ind w:left="1440" w:hanging="1440"/>
        <w:jc w:val="both"/>
        <w:rPr>
          <w:rFonts w:eastAsia="Calibri" w:cs="Times New Roman"/>
          <w:sz w:val="20"/>
          <w:u w:val="single"/>
          <w:lang w:val="fr-CA"/>
        </w:rPr>
      </w:pPr>
      <w:r w:rsidRPr="00902947">
        <w:rPr>
          <w:rFonts w:eastAsia="Calibri" w:cs="Times New Roman"/>
          <w:sz w:val="20"/>
          <w:lang w:val="fr-CA"/>
        </w:rPr>
        <w:t>Coram:</w:t>
      </w:r>
      <w:r w:rsidRPr="00902947">
        <w:rPr>
          <w:rFonts w:eastAsia="Calibri" w:cs="Times New Roman"/>
          <w:sz w:val="20"/>
          <w:lang w:val="fr-CA"/>
        </w:rPr>
        <w:tab/>
      </w:r>
      <w:r w:rsidRPr="00015D41">
        <w:rPr>
          <w:rFonts w:eastAsia="Calibri" w:cs="Times New Roman"/>
          <w:sz w:val="20"/>
          <w:u w:val="single"/>
          <w:lang w:val="fr-CA"/>
        </w:rPr>
        <w:t xml:space="preserve">La juge en chef </w:t>
      </w:r>
      <w:proofErr w:type="spellStart"/>
      <w:r w:rsidRPr="00015D41">
        <w:rPr>
          <w:rFonts w:eastAsia="Calibri" w:cs="Times New Roman"/>
          <w:sz w:val="20"/>
          <w:u w:val="single"/>
          <w:lang w:val="fr-CA"/>
        </w:rPr>
        <w:t>McLachlin</w:t>
      </w:r>
      <w:proofErr w:type="spellEnd"/>
      <w:r w:rsidRPr="00015D41">
        <w:rPr>
          <w:rFonts w:eastAsia="Calibri" w:cs="Times New Roman"/>
          <w:sz w:val="20"/>
          <w:u w:val="single"/>
          <w:lang w:val="fr-CA"/>
        </w:rPr>
        <w:t xml:space="preserve"> et les juges </w:t>
      </w:r>
      <w:proofErr w:type="spellStart"/>
      <w:r w:rsidRPr="00015D41">
        <w:rPr>
          <w:rFonts w:eastAsia="Calibri" w:cs="Times New Roman"/>
          <w:sz w:val="20"/>
          <w:u w:val="single"/>
          <w:lang w:val="fr-CA"/>
        </w:rPr>
        <w:t>Binnie</w:t>
      </w:r>
      <w:proofErr w:type="spellEnd"/>
      <w:r w:rsidRPr="00015D41">
        <w:rPr>
          <w:rFonts w:eastAsia="Calibri" w:cs="Times New Roman"/>
          <w:sz w:val="20"/>
          <w:u w:val="single"/>
          <w:lang w:val="fr-CA"/>
        </w:rPr>
        <w:t xml:space="preserve">, </w:t>
      </w:r>
      <w:proofErr w:type="spellStart"/>
      <w:r w:rsidRPr="00015D41">
        <w:rPr>
          <w:rFonts w:eastAsia="Calibri" w:cs="Times New Roman"/>
          <w:sz w:val="20"/>
          <w:u w:val="single"/>
          <w:lang w:val="fr-CA"/>
        </w:rPr>
        <w:t>LeBel</w:t>
      </w:r>
      <w:proofErr w:type="spellEnd"/>
      <w:r w:rsidRPr="00015D41">
        <w:rPr>
          <w:rFonts w:eastAsia="Calibri" w:cs="Times New Roman"/>
          <w:sz w:val="20"/>
          <w:u w:val="single"/>
          <w:lang w:val="fr-CA"/>
        </w:rPr>
        <w:t>, Deschamps, Fish</w:t>
      </w:r>
      <w:r>
        <w:rPr>
          <w:rFonts w:eastAsia="Calibri" w:cs="Times New Roman"/>
          <w:sz w:val="20"/>
          <w:u w:val="single"/>
          <w:lang w:val="fr-CA"/>
        </w:rPr>
        <w:t xml:space="preserve">, Abella, Charron, </w:t>
      </w:r>
      <w:proofErr w:type="spellStart"/>
      <w:r>
        <w:rPr>
          <w:rFonts w:eastAsia="Calibri" w:cs="Times New Roman"/>
          <w:sz w:val="20"/>
          <w:u w:val="single"/>
          <w:lang w:val="fr-CA"/>
        </w:rPr>
        <w:t>Rothstein</w:t>
      </w:r>
      <w:proofErr w:type="spellEnd"/>
      <w:r>
        <w:rPr>
          <w:rFonts w:eastAsia="Calibri" w:cs="Times New Roman"/>
          <w:sz w:val="20"/>
          <w:u w:val="single"/>
          <w:lang w:val="fr-CA"/>
        </w:rPr>
        <w:t xml:space="preserve"> et </w:t>
      </w:r>
      <w:r w:rsidRPr="00072465">
        <w:rPr>
          <w:rFonts w:eastAsia="Calibri" w:cs="Times New Roman"/>
          <w:sz w:val="20"/>
          <w:u w:val="single"/>
          <w:lang w:val="fr-CA"/>
        </w:rPr>
        <w:t xml:space="preserve">Cromwell </w:t>
      </w:r>
    </w:p>
    <w:p w:rsidR="00C37FAD" w:rsidRPr="00072465" w:rsidRDefault="00C37FAD" w:rsidP="00C37FAD">
      <w:pPr>
        <w:jc w:val="both"/>
        <w:rPr>
          <w:rFonts w:eastAsia="Calibri" w:cs="Times New Roman"/>
          <w:sz w:val="20"/>
          <w:lang w:val="fr-CA"/>
        </w:rPr>
      </w:pPr>
    </w:p>
    <w:p w:rsidR="00C37FAD" w:rsidRPr="00902947" w:rsidRDefault="00C37FAD" w:rsidP="00C37FAD">
      <w:pPr>
        <w:jc w:val="both"/>
        <w:rPr>
          <w:rFonts w:eastAsia="Calibri" w:cs="Times New Roman"/>
          <w:sz w:val="20"/>
        </w:rPr>
      </w:pPr>
      <w:r w:rsidRPr="00902947">
        <w:rPr>
          <w:rFonts w:eastAsia="Calibri" w:cs="Times New Roman"/>
          <w:sz w:val="20"/>
          <w:lang w:val="fr-CA"/>
        </w:rPr>
        <w:t xml:space="preserve">L’appel interjeté contre l’arrêt de la Cour d’appel du Québec (Montréal), numéro 500-10-004198-089, 2009 QCCA 1288, en date du 30 juin 2009, entendu le 13 janvier 2010, est accueilli sans ordonnance quant aux dépens. L’arrêt de la </w:t>
      </w:r>
      <w:r w:rsidRPr="00902947">
        <w:rPr>
          <w:rFonts w:eastAsia="Calibri" w:cs="Times New Roman"/>
          <w:sz w:val="20"/>
          <w:lang w:val="fr-CA"/>
        </w:rPr>
        <w:lastRenderedPageBreak/>
        <w:t xml:space="preserve">Cour d’appel ainsi que la décision du ministre de la Justice en matière d’extradition sont annulés. </w:t>
      </w:r>
      <w:proofErr w:type="spellStart"/>
      <w:r w:rsidRPr="00902947">
        <w:rPr>
          <w:rFonts w:eastAsia="Calibri" w:cs="Times New Roman"/>
          <w:sz w:val="20"/>
        </w:rPr>
        <w:t>L’affaire</w:t>
      </w:r>
      <w:proofErr w:type="spellEnd"/>
      <w:r w:rsidRPr="00902947">
        <w:rPr>
          <w:rFonts w:eastAsia="Calibri" w:cs="Times New Roman"/>
          <w:sz w:val="20"/>
        </w:rPr>
        <w:t xml:space="preserve"> </w:t>
      </w:r>
      <w:proofErr w:type="spellStart"/>
      <w:proofErr w:type="gramStart"/>
      <w:r w:rsidRPr="00902947">
        <w:rPr>
          <w:rFonts w:eastAsia="Calibri" w:cs="Times New Roman"/>
          <w:sz w:val="20"/>
        </w:rPr>
        <w:t>est</w:t>
      </w:r>
      <w:proofErr w:type="spellEnd"/>
      <w:proofErr w:type="gramEnd"/>
      <w:r w:rsidRPr="00902947">
        <w:rPr>
          <w:rFonts w:eastAsia="Calibri" w:cs="Times New Roman"/>
          <w:sz w:val="20"/>
        </w:rPr>
        <w:t xml:space="preserve"> </w:t>
      </w:r>
      <w:proofErr w:type="spellStart"/>
      <w:r w:rsidRPr="00902947">
        <w:rPr>
          <w:rFonts w:eastAsia="Calibri" w:cs="Times New Roman"/>
          <w:sz w:val="20"/>
        </w:rPr>
        <w:t>renvoyée</w:t>
      </w:r>
      <w:proofErr w:type="spellEnd"/>
      <w:r w:rsidRPr="00902947">
        <w:rPr>
          <w:rFonts w:eastAsia="Calibri" w:cs="Times New Roman"/>
          <w:sz w:val="20"/>
        </w:rPr>
        <w:t xml:space="preserve"> au </w:t>
      </w:r>
      <w:proofErr w:type="spellStart"/>
      <w:r w:rsidRPr="00902947">
        <w:rPr>
          <w:rFonts w:eastAsia="Calibri" w:cs="Times New Roman"/>
          <w:sz w:val="20"/>
        </w:rPr>
        <w:t>ministre</w:t>
      </w:r>
      <w:proofErr w:type="spellEnd"/>
      <w:r w:rsidRPr="00902947">
        <w:rPr>
          <w:rFonts w:eastAsia="Calibri" w:cs="Times New Roman"/>
          <w:sz w:val="20"/>
        </w:rPr>
        <w:t xml:space="preserve"> pour </w:t>
      </w:r>
      <w:proofErr w:type="spellStart"/>
      <w:r w:rsidRPr="00902947">
        <w:rPr>
          <w:rFonts w:eastAsia="Calibri" w:cs="Times New Roman"/>
          <w:sz w:val="20"/>
        </w:rPr>
        <w:t>réexamen</w:t>
      </w:r>
      <w:proofErr w:type="spellEnd"/>
      <w:r w:rsidRPr="00902947">
        <w:rPr>
          <w:rFonts w:eastAsia="Calibri" w:cs="Times New Roman"/>
          <w:sz w:val="20"/>
        </w:rPr>
        <w:t>.</w:t>
      </w:r>
    </w:p>
    <w:p w:rsidR="00C37FAD" w:rsidRPr="00C476D9" w:rsidRDefault="00C37FAD" w:rsidP="00C37FAD">
      <w:pPr>
        <w:jc w:val="both"/>
        <w:rPr>
          <w:rFonts w:eastAsia="Calibri" w:cs="Times New Roman"/>
          <w:sz w:val="20"/>
        </w:rPr>
      </w:pPr>
    </w:p>
    <w:p w:rsidR="00556B72" w:rsidRDefault="00C37FAD" w:rsidP="00C37FAD">
      <w:pPr>
        <w:spacing w:line="0" w:lineRule="atLeast"/>
        <w:jc w:val="both"/>
        <w:rPr>
          <w:sz w:val="20"/>
          <w:szCs w:val="20"/>
        </w:rPr>
      </w:pPr>
      <w:r w:rsidRPr="00902947">
        <w:rPr>
          <w:rFonts w:eastAsia="Calibri" w:cs="Times New Roman"/>
          <w:sz w:val="20"/>
        </w:rPr>
        <w:t>The appeal from the judgment of the Court of Appeal of Quebec (Montréal), Number 500-10-004198-089, 2009 QCCA 1288, dated June 30, 2009, heard on January 13, 2010, is allowed with no order as to costs.  The decision of the Court of Appeal and the Minister of Justice’s order of surrender are set aside. The matter is remitted to the Minister of Justice for reconsideration.</w:t>
      </w:r>
    </w:p>
    <w:p w:rsidR="00AF1715" w:rsidRDefault="00AF1715" w:rsidP="00AD5C84">
      <w:pPr>
        <w:jc w:val="both"/>
        <w:rPr>
          <w:sz w:val="20"/>
          <w:szCs w:val="20"/>
        </w:rPr>
      </w:pPr>
    </w:p>
    <w:p w:rsidR="005F3A1E" w:rsidRDefault="00857426" w:rsidP="00AD5C84">
      <w:pPr>
        <w:jc w:val="both"/>
        <w:rPr>
          <w:sz w:val="20"/>
          <w:szCs w:val="20"/>
        </w:rPr>
      </w:pPr>
      <w:r w:rsidRPr="00857426">
        <w:rPr>
          <w:b/>
          <w:sz w:val="20"/>
          <w:szCs w:val="20"/>
        </w:rPr>
        <w:pict>
          <v:rect id="_x0000_i1077" style="width:144.3pt;height:1pt" o:hrpct="300" o:hralign="center" o:hrstd="t" o:hrnoshade="t" o:hr="t" fillcolor="black [3213]" stroked="f"/>
        </w:pict>
      </w:r>
    </w:p>
    <w:p w:rsidR="005F3A1E" w:rsidRDefault="005F3A1E" w:rsidP="00AD5C84">
      <w:pPr>
        <w:jc w:val="both"/>
        <w:rPr>
          <w:sz w:val="20"/>
          <w:szCs w:val="20"/>
        </w:rPr>
      </w:pPr>
    </w:p>
    <w:p w:rsidR="005F3A1E" w:rsidRPr="007538CC" w:rsidRDefault="005F3A1E" w:rsidP="005F3A1E">
      <w:pPr>
        <w:spacing w:line="0" w:lineRule="atLeast"/>
        <w:rPr>
          <w:b/>
          <w:sz w:val="20"/>
          <w:szCs w:val="20"/>
        </w:rPr>
      </w:pPr>
      <w:r w:rsidRPr="007538CC">
        <w:rPr>
          <w:b/>
          <w:sz w:val="20"/>
          <w:szCs w:val="20"/>
        </w:rPr>
        <w:t>NOVEMBER 26, 2010 / LE 26 NOVEMBRE 2010</w:t>
      </w:r>
    </w:p>
    <w:p w:rsidR="005F3A1E" w:rsidRDefault="005F3A1E" w:rsidP="00AD5C84">
      <w:pPr>
        <w:jc w:val="both"/>
        <w:rPr>
          <w:sz w:val="20"/>
          <w:szCs w:val="20"/>
        </w:rPr>
      </w:pPr>
    </w:p>
    <w:p w:rsidR="007538CC" w:rsidRPr="00130482" w:rsidRDefault="007538CC" w:rsidP="007538C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lang w:val="en-GB"/>
        </w:rPr>
      </w:pPr>
      <w:proofErr w:type="gramStart"/>
      <w:r w:rsidRPr="00DC0885">
        <w:rPr>
          <w:b/>
          <w:sz w:val="20"/>
        </w:rPr>
        <w:t>33467</w:t>
      </w:r>
      <w:r w:rsidRPr="00130482">
        <w:rPr>
          <w:sz w:val="20"/>
        </w:rPr>
        <w:tab/>
      </w:r>
      <w:r w:rsidRPr="00130482">
        <w:rPr>
          <w:sz w:val="20"/>
        </w:rPr>
        <w:tab/>
      </w:r>
      <w:proofErr w:type="spellStart"/>
      <w:r w:rsidRPr="00DC0885">
        <w:rPr>
          <w:b/>
          <w:sz w:val="20"/>
          <w:u w:val="single"/>
        </w:rPr>
        <w:t>Thieu</w:t>
      </w:r>
      <w:proofErr w:type="spellEnd"/>
      <w:r w:rsidRPr="00DC0885">
        <w:rPr>
          <w:b/>
          <w:sz w:val="20"/>
          <w:u w:val="single"/>
        </w:rPr>
        <w:t xml:space="preserve"> </w:t>
      </w:r>
      <w:proofErr w:type="spellStart"/>
      <w:r w:rsidRPr="00DC0885">
        <w:rPr>
          <w:b/>
          <w:sz w:val="20"/>
          <w:u w:val="single"/>
        </w:rPr>
        <w:t>Kham</w:t>
      </w:r>
      <w:proofErr w:type="spellEnd"/>
      <w:r w:rsidRPr="00DC0885">
        <w:rPr>
          <w:b/>
          <w:sz w:val="20"/>
          <w:u w:val="single"/>
        </w:rPr>
        <w:t xml:space="preserve"> Tran </w:t>
      </w:r>
      <w:r w:rsidRPr="00DE3F37">
        <w:rPr>
          <w:b/>
          <w:iCs/>
          <w:sz w:val="20"/>
          <w:u w:val="single"/>
          <w:lang w:val="en-GB"/>
        </w:rPr>
        <w:t>v.</w:t>
      </w:r>
      <w:proofErr w:type="gramEnd"/>
      <w:r w:rsidRPr="00DE3F37">
        <w:rPr>
          <w:rFonts w:eastAsia="Calibri"/>
          <w:b/>
          <w:sz w:val="20"/>
          <w:u w:val="single"/>
        </w:rPr>
        <w:t xml:space="preserve"> </w:t>
      </w:r>
      <w:proofErr w:type="gramStart"/>
      <w:r w:rsidRPr="00DC0885">
        <w:rPr>
          <w:rFonts w:eastAsia="Calibri"/>
          <w:b/>
          <w:sz w:val="20"/>
          <w:u w:val="single"/>
        </w:rPr>
        <w:t xml:space="preserve">Her Majesty the Queen </w:t>
      </w:r>
      <w:r>
        <w:rPr>
          <w:rFonts w:eastAsia="Calibri"/>
          <w:b/>
          <w:iCs/>
          <w:sz w:val="20"/>
          <w:u w:val="single"/>
        </w:rPr>
        <w:t xml:space="preserve">– and – </w:t>
      </w:r>
      <w:r w:rsidRPr="00DE3F37">
        <w:rPr>
          <w:rFonts w:eastAsia="Calibri"/>
          <w:b/>
          <w:iCs/>
          <w:sz w:val="20"/>
          <w:u w:val="single"/>
        </w:rPr>
        <w:t>Attorney General of Ontario</w:t>
      </w:r>
      <w:r>
        <w:rPr>
          <w:rFonts w:eastAsia="Calibri"/>
          <w:b/>
          <w:iCs/>
          <w:sz w:val="20"/>
        </w:rPr>
        <w:t xml:space="preserve"> </w:t>
      </w:r>
      <w:r w:rsidRPr="00130482">
        <w:rPr>
          <w:sz w:val="20"/>
          <w:lang w:val="en-GB"/>
        </w:rPr>
        <w:t>(</w:t>
      </w:r>
      <w:r>
        <w:rPr>
          <w:sz w:val="20"/>
          <w:lang w:val="en-GB"/>
        </w:rPr>
        <w:t>Alta.</w:t>
      </w:r>
      <w:r w:rsidRPr="00130482">
        <w:rPr>
          <w:sz w:val="20"/>
          <w:lang w:val="en-GB"/>
        </w:rPr>
        <w:t>)</w:t>
      </w:r>
      <w:proofErr w:type="gramEnd"/>
    </w:p>
    <w:p w:rsidR="007538CC" w:rsidRPr="00130482" w:rsidRDefault="007538CC" w:rsidP="007538C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b/>
          <w:sz w:val="20"/>
        </w:rPr>
      </w:pPr>
      <w:r w:rsidRPr="00130482">
        <w:rPr>
          <w:b/>
          <w:sz w:val="20"/>
        </w:rPr>
        <w:t>2010 SCC 5</w:t>
      </w:r>
      <w:r>
        <w:rPr>
          <w:b/>
          <w:sz w:val="20"/>
        </w:rPr>
        <w:t>8</w:t>
      </w:r>
      <w:r w:rsidRPr="00130482">
        <w:rPr>
          <w:b/>
          <w:sz w:val="20"/>
        </w:rPr>
        <w:t xml:space="preserve"> / 2010 CSC 5</w:t>
      </w:r>
      <w:r>
        <w:rPr>
          <w:b/>
          <w:sz w:val="20"/>
        </w:rPr>
        <w:t>8</w:t>
      </w:r>
    </w:p>
    <w:p w:rsidR="007538CC" w:rsidRPr="00130482" w:rsidRDefault="007538CC" w:rsidP="007538C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0"/>
        </w:rPr>
      </w:pPr>
    </w:p>
    <w:p w:rsidR="007538CC" w:rsidRPr="00130482" w:rsidRDefault="007538CC" w:rsidP="007538CC">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rPr>
      </w:pPr>
      <w:r w:rsidRPr="00130482">
        <w:rPr>
          <w:sz w:val="20"/>
        </w:rPr>
        <w:t xml:space="preserve">Coram:  </w:t>
      </w:r>
      <w:r>
        <w:rPr>
          <w:sz w:val="20"/>
        </w:rPr>
        <w:tab/>
      </w:r>
      <w:r w:rsidRPr="00DC0885">
        <w:rPr>
          <w:sz w:val="20"/>
        </w:rPr>
        <w:tab/>
      </w:r>
      <w:proofErr w:type="spellStart"/>
      <w:r w:rsidRPr="00130482">
        <w:rPr>
          <w:sz w:val="20"/>
          <w:u w:val="single"/>
        </w:rPr>
        <w:t>Binnie</w:t>
      </w:r>
      <w:proofErr w:type="spellEnd"/>
      <w:r w:rsidRPr="00130482">
        <w:rPr>
          <w:sz w:val="20"/>
          <w:u w:val="single"/>
        </w:rPr>
        <w:t xml:space="preserve">, </w:t>
      </w:r>
      <w:proofErr w:type="spellStart"/>
      <w:r w:rsidRPr="00130482">
        <w:rPr>
          <w:sz w:val="20"/>
          <w:u w:val="single"/>
        </w:rPr>
        <w:t>Deschamps</w:t>
      </w:r>
      <w:proofErr w:type="spellEnd"/>
      <w:r w:rsidRPr="00130482">
        <w:rPr>
          <w:sz w:val="20"/>
          <w:u w:val="single"/>
        </w:rPr>
        <w:t xml:space="preserve">, Fish, </w:t>
      </w:r>
      <w:proofErr w:type="spellStart"/>
      <w:r w:rsidRPr="00130482">
        <w:rPr>
          <w:sz w:val="20"/>
          <w:u w:val="single"/>
        </w:rPr>
        <w:t>Abella</w:t>
      </w:r>
      <w:proofErr w:type="spellEnd"/>
      <w:r w:rsidRPr="00130482">
        <w:rPr>
          <w:sz w:val="20"/>
          <w:u w:val="single"/>
        </w:rPr>
        <w:t xml:space="preserve">, </w:t>
      </w:r>
      <w:proofErr w:type="spellStart"/>
      <w:r w:rsidRPr="00130482">
        <w:rPr>
          <w:sz w:val="20"/>
          <w:u w:val="single"/>
        </w:rPr>
        <w:t>Charron</w:t>
      </w:r>
      <w:proofErr w:type="spellEnd"/>
      <w:r w:rsidRPr="00130482">
        <w:rPr>
          <w:sz w:val="20"/>
          <w:u w:val="single"/>
        </w:rPr>
        <w:t>, Rothstein and Cromwell JJ.</w:t>
      </w:r>
    </w:p>
    <w:p w:rsidR="007538CC" w:rsidRPr="00130482" w:rsidRDefault="007538CC" w:rsidP="007538C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7538CC" w:rsidRPr="00DE3F37" w:rsidRDefault="007538CC" w:rsidP="007538C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r w:rsidRPr="00DC0885">
        <w:rPr>
          <w:sz w:val="20"/>
        </w:rPr>
        <w:t>The appeal from the judgment of the Court of Appeal of Alberta (Edmonton), Number 0603-0065-A, 2008 ABCA 209, dated June 2, 2008, heard on May 13, 2010, is dismissed.</w:t>
      </w:r>
    </w:p>
    <w:p w:rsidR="007538CC" w:rsidRPr="00DE3F37" w:rsidRDefault="007538CC" w:rsidP="007538C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7538CC" w:rsidRPr="00DE3F37" w:rsidRDefault="007538CC" w:rsidP="007538C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r w:rsidRPr="00DC0885">
        <w:rPr>
          <w:sz w:val="20"/>
          <w:lang w:val="fr-CA"/>
        </w:rPr>
        <w:t>L’appel interjeté contre l’arrêt de la Cour d’appel de l’Alberta (Edmonton), numéro 0603-0065-A, 2008 ABCA 209, en date du 2 juin 2008, entendu le 13 mai 2010, est rejeté.</w:t>
      </w:r>
    </w:p>
    <w:p w:rsidR="005F3A1E" w:rsidRPr="007538CC" w:rsidRDefault="005F3A1E" w:rsidP="00AD5C84">
      <w:pPr>
        <w:jc w:val="both"/>
        <w:rPr>
          <w:sz w:val="20"/>
          <w:szCs w:val="20"/>
          <w:lang w:val="fr-CA"/>
        </w:rPr>
      </w:pPr>
    </w:p>
    <w:p w:rsidR="00AD5C84" w:rsidRPr="00DF71D7" w:rsidRDefault="00857426" w:rsidP="0012561B">
      <w:pPr>
        <w:jc w:val="both"/>
        <w:rPr>
          <w:sz w:val="20"/>
          <w:szCs w:val="20"/>
        </w:rPr>
      </w:pPr>
      <w:r w:rsidRPr="00857426">
        <w:rPr>
          <w:b/>
          <w:sz w:val="20"/>
          <w:szCs w:val="20"/>
        </w:rPr>
        <w:pict>
          <v:rect id="_x0000_i1078" style="width:144.3pt;height:1pt" o:hrpct="300" o:hralign="center" o:hrstd="t" o:hrnoshade="t" o:hr="t" fillcolor="black [3213]" stroked="f"/>
        </w:pict>
      </w: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782AE4" w:rsidRPr="00E452DD" w:rsidRDefault="00782AE4" w:rsidP="00782AE4">
      <w:pPr>
        <w:rPr>
          <w:sz w:val="20"/>
          <w:szCs w:val="20"/>
        </w:rPr>
      </w:pPr>
    </w:p>
    <w:p w:rsidR="00AB4BDD" w:rsidRDefault="00AB4BDD" w:rsidP="005C6840">
      <w:pPr>
        <w:rPr>
          <w:i/>
          <w:sz w:val="20"/>
          <w:szCs w:val="20"/>
        </w:rPr>
      </w:pPr>
      <w:r w:rsidRPr="00AB4BDD">
        <w:rPr>
          <w:rFonts w:eastAsia="Calibri" w:cs="Times New Roman"/>
          <w:i/>
          <w:sz w:val="20"/>
          <w:szCs w:val="20"/>
          <w:lang w:val="en-GB"/>
        </w:rPr>
        <w:t xml:space="preserve">Her Majesty the Queen v. Daniel James </w:t>
      </w:r>
      <w:proofErr w:type="spellStart"/>
      <w:r w:rsidRPr="00AB4BDD">
        <w:rPr>
          <w:rFonts w:eastAsia="Calibri" w:cs="Times New Roman"/>
          <w:i/>
          <w:sz w:val="20"/>
          <w:szCs w:val="20"/>
          <w:lang w:val="en-GB"/>
        </w:rPr>
        <w:t>Gomboc</w:t>
      </w:r>
      <w:proofErr w:type="spellEnd"/>
      <w:r w:rsidRPr="00AB4BDD">
        <w:rPr>
          <w:rFonts w:eastAsia="Calibri" w:cs="Times New Roman"/>
          <w:i/>
          <w:sz w:val="20"/>
          <w:szCs w:val="20"/>
          <w:lang w:val="en-GB"/>
        </w:rPr>
        <w:t xml:space="preserve"> </w:t>
      </w:r>
      <w:r w:rsidRPr="00AB4BDD">
        <w:rPr>
          <w:rFonts w:eastAsia="Calibri" w:cs="Times New Roman"/>
          <w:sz w:val="20"/>
          <w:szCs w:val="20"/>
          <w:lang w:val="en-GB"/>
        </w:rPr>
        <w:t>(Alta.) (33332)</w:t>
      </w:r>
    </w:p>
    <w:p w:rsidR="00C547DD" w:rsidRPr="00C547DD" w:rsidRDefault="00C547DD" w:rsidP="00C547DD">
      <w:pPr>
        <w:tabs>
          <w:tab w:val="left" w:pos="1152"/>
        </w:tabs>
        <w:jc w:val="both"/>
        <w:rPr>
          <w:rFonts w:cs="Times New Roman"/>
          <w:spacing w:val="3"/>
          <w:sz w:val="20"/>
          <w:szCs w:val="20"/>
        </w:rPr>
      </w:pPr>
      <w:r w:rsidRPr="00811531">
        <w:rPr>
          <w:rFonts w:cs="Times New Roman"/>
          <w:b/>
          <w:spacing w:val="3"/>
          <w:sz w:val="20"/>
          <w:szCs w:val="20"/>
        </w:rPr>
        <w:t xml:space="preserve">Indexed as:  R. </w:t>
      </w:r>
      <w:r w:rsidRPr="00811531">
        <w:rPr>
          <w:rFonts w:cs="Times New Roman"/>
          <w:b/>
          <w:i/>
          <w:spacing w:val="3"/>
          <w:sz w:val="20"/>
          <w:szCs w:val="20"/>
        </w:rPr>
        <w:t>v.</w:t>
      </w:r>
      <w:r w:rsidRPr="00811531">
        <w:rPr>
          <w:rFonts w:cs="Times New Roman"/>
          <w:b/>
          <w:spacing w:val="3"/>
          <w:sz w:val="20"/>
          <w:szCs w:val="20"/>
        </w:rPr>
        <w:t xml:space="preserve"> </w:t>
      </w:r>
      <w:proofErr w:type="spellStart"/>
      <w:r w:rsidRPr="00811531">
        <w:rPr>
          <w:rFonts w:cs="Times New Roman"/>
          <w:b/>
          <w:spacing w:val="3"/>
          <w:sz w:val="20"/>
          <w:szCs w:val="20"/>
        </w:rPr>
        <w:t>Gomboc</w:t>
      </w:r>
      <w:proofErr w:type="spellEnd"/>
      <w:r>
        <w:rPr>
          <w:rFonts w:cs="Times New Roman"/>
          <w:b/>
          <w:spacing w:val="3"/>
          <w:sz w:val="20"/>
          <w:szCs w:val="20"/>
        </w:rPr>
        <w:t xml:space="preserve"> / </w:t>
      </w:r>
      <w:proofErr w:type="spellStart"/>
      <w:proofErr w:type="gramStart"/>
      <w:r w:rsidRPr="00C547DD">
        <w:rPr>
          <w:rFonts w:cs="Times New Roman"/>
          <w:b/>
          <w:spacing w:val="3"/>
          <w:sz w:val="20"/>
          <w:szCs w:val="20"/>
        </w:rPr>
        <w:t>Répertorié</w:t>
      </w:r>
      <w:proofErr w:type="spellEnd"/>
      <w:r w:rsidRPr="00C547DD">
        <w:rPr>
          <w:rFonts w:cs="Times New Roman"/>
          <w:b/>
          <w:spacing w:val="3"/>
          <w:sz w:val="20"/>
          <w:szCs w:val="20"/>
        </w:rPr>
        <w:t> :</w:t>
      </w:r>
      <w:proofErr w:type="gramEnd"/>
      <w:r w:rsidRPr="00C547DD">
        <w:rPr>
          <w:rFonts w:cs="Times New Roman"/>
          <w:b/>
          <w:spacing w:val="3"/>
          <w:sz w:val="20"/>
          <w:szCs w:val="20"/>
        </w:rPr>
        <w:t xml:space="preserve"> R. </w:t>
      </w:r>
      <w:r w:rsidRPr="00C547DD">
        <w:rPr>
          <w:rFonts w:cs="Times New Roman"/>
          <w:b/>
          <w:i/>
          <w:spacing w:val="3"/>
          <w:sz w:val="20"/>
          <w:szCs w:val="20"/>
        </w:rPr>
        <w:t>c.</w:t>
      </w:r>
      <w:r w:rsidRPr="00C547DD">
        <w:rPr>
          <w:rFonts w:cs="Times New Roman"/>
          <w:b/>
          <w:spacing w:val="3"/>
          <w:sz w:val="20"/>
          <w:szCs w:val="20"/>
        </w:rPr>
        <w:t xml:space="preserve"> </w:t>
      </w:r>
      <w:proofErr w:type="spellStart"/>
      <w:r w:rsidRPr="00C547DD">
        <w:rPr>
          <w:rFonts w:cs="Times New Roman"/>
          <w:b/>
          <w:spacing w:val="3"/>
          <w:sz w:val="20"/>
          <w:szCs w:val="20"/>
        </w:rPr>
        <w:t>Gomboc</w:t>
      </w:r>
      <w:proofErr w:type="spellEnd"/>
    </w:p>
    <w:p w:rsidR="005C6840" w:rsidRPr="00E452DD" w:rsidRDefault="005C6840" w:rsidP="005C6840">
      <w:pPr>
        <w:pStyle w:val="SCCSystemYear"/>
        <w:jc w:val="both"/>
        <w:rPr>
          <w:sz w:val="20"/>
        </w:rPr>
      </w:pPr>
      <w:proofErr w:type="spellStart"/>
      <w:r w:rsidRPr="00E452DD">
        <w:rPr>
          <w:sz w:val="20"/>
        </w:rPr>
        <w:t>Neutral</w:t>
      </w:r>
      <w:proofErr w:type="spellEnd"/>
      <w:r w:rsidRPr="00E452DD">
        <w:rPr>
          <w:sz w:val="20"/>
        </w:rPr>
        <w:t xml:space="preserve"> citation</w:t>
      </w:r>
      <w:proofErr w:type="gramStart"/>
      <w:r w:rsidRPr="00E452DD">
        <w:rPr>
          <w:sz w:val="20"/>
        </w:rPr>
        <w:t>:  2010</w:t>
      </w:r>
      <w:proofErr w:type="gramEnd"/>
      <w:r w:rsidRPr="00E452DD">
        <w:rPr>
          <w:sz w:val="20"/>
        </w:rPr>
        <w:t xml:space="preserve"> SCC </w:t>
      </w:r>
      <w:r w:rsidR="00C547DD">
        <w:rPr>
          <w:sz w:val="20"/>
        </w:rPr>
        <w:t>55</w:t>
      </w:r>
      <w:r w:rsidRPr="00E452DD">
        <w:rPr>
          <w:sz w:val="20"/>
        </w:rPr>
        <w:t xml:space="preserve"> / Référence neutre : 2010 CSC </w:t>
      </w:r>
      <w:r w:rsidR="00C547DD">
        <w:rPr>
          <w:sz w:val="20"/>
        </w:rPr>
        <w:t>55</w:t>
      </w:r>
    </w:p>
    <w:p w:rsidR="005C6840" w:rsidRPr="00E452DD" w:rsidRDefault="005C6840" w:rsidP="005C6840">
      <w:pPr>
        <w:rPr>
          <w:sz w:val="20"/>
          <w:szCs w:val="20"/>
          <w:lang w:val="fr-CA"/>
        </w:rPr>
      </w:pPr>
      <w:proofErr w:type="spellStart"/>
      <w:r w:rsidRPr="00E452DD">
        <w:rPr>
          <w:sz w:val="20"/>
          <w:szCs w:val="20"/>
          <w:lang w:val="fr-CA"/>
        </w:rPr>
        <w:t>Hearing</w:t>
      </w:r>
      <w:proofErr w:type="spellEnd"/>
      <w:proofErr w:type="gramStart"/>
      <w:r w:rsidRPr="00E452DD">
        <w:rPr>
          <w:sz w:val="20"/>
          <w:szCs w:val="20"/>
          <w:lang w:val="fr-CA"/>
        </w:rPr>
        <w:t xml:space="preserve">:  </w:t>
      </w:r>
      <w:r w:rsidR="00C547DD">
        <w:rPr>
          <w:sz w:val="20"/>
          <w:szCs w:val="20"/>
          <w:lang w:val="fr-CA"/>
        </w:rPr>
        <w:t>May</w:t>
      </w:r>
      <w:proofErr w:type="gramEnd"/>
      <w:r w:rsidR="00C547DD">
        <w:rPr>
          <w:sz w:val="20"/>
          <w:szCs w:val="20"/>
          <w:lang w:val="fr-CA"/>
        </w:rPr>
        <w:t xml:space="preserve"> 19</w:t>
      </w:r>
      <w:r w:rsidRPr="00E452DD">
        <w:rPr>
          <w:sz w:val="20"/>
          <w:szCs w:val="20"/>
          <w:lang w:val="fr-CA"/>
        </w:rPr>
        <w:t>, 20</w:t>
      </w:r>
      <w:r w:rsidR="00FF03EA">
        <w:rPr>
          <w:sz w:val="20"/>
          <w:szCs w:val="20"/>
          <w:lang w:val="fr-CA"/>
        </w:rPr>
        <w:t>1</w:t>
      </w:r>
      <w:r w:rsidRPr="00E452DD">
        <w:rPr>
          <w:sz w:val="20"/>
          <w:szCs w:val="20"/>
          <w:lang w:val="fr-CA"/>
        </w:rPr>
        <w:t xml:space="preserve">0 / </w:t>
      </w:r>
      <w:proofErr w:type="spellStart"/>
      <w:r w:rsidRPr="00E452DD">
        <w:rPr>
          <w:sz w:val="20"/>
          <w:szCs w:val="20"/>
          <w:lang w:val="fr-CA"/>
        </w:rPr>
        <w:t>Judgment</w:t>
      </w:r>
      <w:proofErr w:type="spellEnd"/>
      <w:r w:rsidRPr="00E452DD">
        <w:rPr>
          <w:sz w:val="20"/>
          <w:szCs w:val="20"/>
          <w:lang w:val="fr-CA"/>
        </w:rPr>
        <w:t xml:space="preserve">:  </w:t>
      </w:r>
      <w:proofErr w:type="spellStart"/>
      <w:r w:rsidR="00C547DD">
        <w:rPr>
          <w:sz w:val="20"/>
          <w:szCs w:val="20"/>
          <w:lang w:val="fr-CA"/>
        </w:rPr>
        <w:t>November</w:t>
      </w:r>
      <w:proofErr w:type="spellEnd"/>
      <w:r w:rsidRPr="00E452DD">
        <w:rPr>
          <w:sz w:val="20"/>
          <w:szCs w:val="20"/>
          <w:lang w:val="fr-CA"/>
        </w:rPr>
        <w:t xml:space="preserve"> 2</w:t>
      </w:r>
      <w:r w:rsidR="00C547DD">
        <w:rPr>
          <w:sz w:val="20"/>
          <w:szCs w:val="20"/>
          <w:lang w:val="fr-CA"/>
        </w:rPr>
        <w:t>4</w:t>
      </w:r>
      <w:r w:rsidRPr="00E452DD">
        <w:rPr>
          <w:sz w:val="20"/>
          <w:szCs w:val="20"/>
          <w:lang w:val="fr-CA"/>
        </w:rPr>
        <w:t>, 2010</w:t>
      </w:r>
    </w:p>
    <w:p w:rsidR="005C6840" w:rsidRPr="00E452DD" w:rsidRDefault="005C6840" w:rsidP="005C6840">
      <w:pPr>
        <w:rPr>
          <w:sz w:val="20"/>
          <w:szCs w:val="20"/>
          <w:lang w:val="fr-CA"/>
        </w:rPr>
      </w:pPr>
      <w:r w:rsidRPr="00E452DD">
        <w:rPr>
          <w:sz w:val="20"/>
          <w:szCs w:val="20"/>
          <w:lang w:val="fr-CA"/>
        </w:rPr>
        <w:t xml:space="preserve">Audition : Le </w:t>
      </w:r>
      <w:r w:rsidR="00C547DD">
        <w:rPr>
          <w:sz w:val="20"/>
          <w:szCs w:val="20"/>
          <w:lang w:val="fr-CA"/>
        </w:rPr>
        <w:t>19 mai</w:t>
      </w:r>
      <w:r w:rsidRPr="00E452DD">
        <w:rPr>
          <w:sz w:val="20"/>
          <w:szCs w:val="20"/>
          <w:lang w:val="fr-CA"/>
        </w:rPr>
        <w:t xml:space="preserve"> 20</w:t>
      </w:r>
      <w:r w:rsidR="00FF03EA">
        <w:rPr>
          <w:sz w:val="20"/>
          <w:szCs w:val="20"/>
          <w:lang w:val="fr-CA"/>
        </w:rPr>
        <w:t>1</w:t>
      </w:r>
      <w:r w:rsidRPr="00E452DD">
        <w:rPr>
          <w:sz w:val="20"/>
          <w:szCs w:val="20"/>
          <w:lang w:val="fr-CA"/>
        </w:rPr>
        <w:t>0 / Jugement : Le 2</w:t>
      </w:r>
      <w:r w:rsidR="00C547DD">
        <w:rPr>
          <w:sz w:val="20"/>
          <w:szCs w:val="20"/>
          <w:lang w:val="fr-CA"/>
        </w:rPr>
        <w:t>4 novem</w:t>
      </w:r>
      <w:r w:rsidRPr="00E452DD">
        <w:rPr>
          <w:sz w:val="20"/>
          <w:szCs w:val="20"/>
          <w:lang w:val="fr-CA"/>
        </w:rPr>
        <w:t>bre 2010</w:t>
      </w:r>
    </w:p>
    <w:p w:rsidR="005C6840" w:rsidRPr="00E452DD" w:rsidRDefault="00857426" w:rsidP="005C6840">
      <w:pPr>
        <w:rPr>
          <w:sz w:val="20"/>
          <w:szCs w:val="20"/>
          <w:lang w:val="fr-CA"/>
        </w:rPr>
      </w:pPr>
      <w:r w:rsidRPr="00857426">
        <w:rPr>
          <w:i/>
          <w:sz w:val="20"/>
          <w:szCs w:val="20"/>
        </w:rPr>
        <w:pict>
          <v:rect id="_x0000_i1081" style="width:480.95pt;height:1pt" o:hralign="center" o:hrstd="t" o:hrnoshade="t" o:hr="t" fillcolor="black [3213]" stroked="f"/>
        </w:pict>
      </w:r>
    </w:p>
    <w:p w:rsidR="005C6840" w:rsidRDefault="005C6840" w:rsidP="005C6840">
      <w:pPr>
        <w:rPr>
          <w:sz w:val="20"/>
          <w:szCs w:val="20"/>
          <w:lang w:val="fr-CA"/>
        </w:rPr>
      </w:pPr>
    </w:p>
    <w:p w:rsidR="00C547DD" w:rsidRPr="00811531" w:rsidRDefault="00C547DD" w:rsidP="00C547DD">
      <w:pPr>
        <w:tabs>
          <w:tab w:val="left" w:pos="1152"/>
          <w:tab w:val="left" w:pos="6480"/>
        </w:tabs>
        <w:jc w:val="both"/>
        <w:rPr>
          <w:rFonts w:cs="Times New Roman"/>
          <w:spacing w:val="3"/>
          <w:sz w:val="20"/>
          <w:szCs w:val="20"/>
        </w:rPr>
      </w:pPr>
      <w:r w:rsidRPr="00811531">
        <w:rPr>
          <w:rFonts w:cs="Times New Roman"/>
          <w:spacing w:val="3"/>
          <w:sz w:val="20"/>
          <w:szCs w:val="20"/>
        </w:rPr>
        <w:t>Present:  </w:t>
      </w:r>
      <w:proofErr w:type="spellStart"/>
      <w:r w:rsidRPr="00811531">
        <w:rPr>
          <w:rFonts w:cs="Times New Roman"/>
          <w:spacing w:val="3"/>
          <w:sz w:val="20"/>
          <w:szCs w:val="20"/>
        </w:rPr>
        <w:t>McLachlin</w:t>
      </w:r>
      <w:proofErr w:type="spellEnd"/>
      <w:r w:rsidRPr="00811531">
        <w:rPr>
          <w:rFonts w:cs="Times New Roman"/>
          <w:spacing w:val="3"/>
          <w:sz w:val="20"/>
          <w:szCs w:val="20"/>
        </w:rPr>
        <w:t xml:space="preserve"> C.J. and </w:t>
      </w:r>
      <w:proofErr w:type="spellStart"/>
      <w:r w:rsidRPr="00811531">
        <w:rPr>
          <w:rFonts w:cs="Times New Roman"/>
          <w:spacing w:val="3"/>
          <w:sz w:val="20"/>
          <w:szCs w:val="20"/>
        </w:rPr>
        <w:t>Binnie</w:t>
      </w:r>
      <w:proofErr w:type="spellEnd"/>
      <w:r w:rsidRPr="00811531">
        <w:rPr>
          <w:rFonts w:cs="Times New Roman"/>
          <w:spacing w:val="3"/>
          <w:sz w:val="20"/>
          <w:szCs w:val="20"/>
        </w:rPr>
        <w:t xml:space="preserve">, </w:t>
      </w:r>
      <w:proofErr w:type="spellStart"/>
      <w:r w:rsidRPr="00811531">
        <w:rPr>
          <w:rFonts w:cs="Times New Roman"/>
          <w:spacing w:val="3"/>
          <w:sz w:val="20"/>
          <w:szCs w:val="20"/>
        </w:rPr>
        <w:t>LeBel</w:t>
      </w:r>
      <w:proofErr w:type="spellEnd"/>
      <w:r w:rsidRPr="00811531">
        <w:rPr>
          <w:rFonts w:cs="Times New Roman"/>
          <w:spacing w:val="3"/>
          <w:sz w:val="20"/>
          <w:szCs w:val="20"/>
        </w:rPr>
        <w:t xml:space="preserve">, </w:t>
      </w:r>
      <w:proofErr w:type="spellStart"/>
      <w:r w:rsidRPr="00811531">
        <w:rPr>
          <w:rFonts w:cs="Times New Roman"/>
          <w:spacing w:val="3"/>
          <w:sz w:val="20"/>
          <w:szCs w:val="20"/>
        </w:rPr>
        <w:t>Deschamps</w:t>
      </w:r>
      <w:proofErr w:type="spellEnd"/>
      <w:r w:rsidRPr="00811531">
        <w:rPr>
          <w:rFonts w:cs="Times New Roman"/>
          <w:spacing w:val="3"/>
          <w:sz w:val="20"/>
          <w:szCs w:val="20"/>
        </w:rPr>
        <w:t xml:space="preserve">, Fish, </w:t>
      </w:r>
      <w:proofErr w:type="spellStart"/>
      <w:r w:rsidRPr="00811531">
        <w:rPr>
          <w:rFonts w:cs="Times New Roman"/>
          <w:spacing w:val="3"/>
          <w:sz w:val="20"/>
          <w:szCs w:val="20"/>
        </w:rPr>
        <w:t>Abella</w:t>
      </w:r>
      <w:proofErr w:type="spellEnd"/>
      <w:r w:rsidRPr="00811531">
        <w:rPr>
          <w:rFonts w:cs="Times New Roman"/>
          <w:spacing w:val="3"/>
          <w:sz w:val="20"/>
          <w:szCs w:val="20"/>
        </w:rPr>
        <w:t xml:space="preserve">, </w:t>
      </w:r>
      <w:proofErr w:type="spellStart"/>
      <w:r w:rsidRPr="00811531">
        <w:rPr>
          <w:rFonts w:cs="Times New Roman"/>
          <w:spacing w:val="3"/>
          <w:sz w:val="20"/>
          <w:szCs w:val="20"/>
        </w:rPr>
        <w:t>Charron</w:t>
      </w:r>
      <w:proofErr w:type="spellEnd"/>
      <w:r w:rsidRPr="00811531">
        <w:rPr>
          <w:rFonts w:cs="Times New Roman"/>
          <w:spacing w:val="3"/>
          <w:sz w:val="20"/>
          <w:szCs w:val="20"/>
        </w:rPr>
        <w:t>, Rothstein and Cromwell JJ.</w:t>
      </w:r>
    </w:p>
    <w:p w:rsidR="00C547DD" w:rsidRDefault="00C547DD" w:rsidP="005C6840">
      <w:pPr>
        <w:rPr>
          <w:sz w:val="20"/>
          <w:szCs w:val="20"/>
        </w:rPr>
      </w:pPr>
    </w:p>
    <w:p w:rsidR="00FF03EA" w:rsidRDefault="003A718B" w:rsidP="00FF03EA">
      <w:pPr>
        <w:pStyle w:val="ListParagraph"/>
        <w:spacing w:after="480"/>
        <w:ind w:left="0"/>
        <w:jc w:val="both"/>
        <w:rPr>
          <w:i/>
          <w:sz w:val="20"/>
        </w:rPr>
      </w:pPr>
      <w:r>
        <w:rPr>
          <w:i/>
          <w:sz w:val="20"/>
        </w:rPr>
        <w:tab/>
      </w:r>
      <w:r w:rsidR="00FF03EA" w:rsidRPr="00F6026D">
        <w:rPr>
          <w:i/>
          <w:sz w:val="20"/>
        </w:rPr>
        <w:t>Constitutional law ― Charter of Rights ― Search and Seizure ― Warrantless request by police to electric utility company for installation of digital recording ammeter to measure flow of electricity into a residence suspected of housing a marijuana grow operation ― Information from digital recording ammeter indicating pattern consistent with grow operation ― Observations of police and information from digital recording ammeter basis for warrant to search residence ― Whether reasonable expectation of privacy existed in the information obtained from the digital recording ammeter ― Whether installation of digital recording ammeter violated the rights of the accused to be secure against unreasonable search and seizure ― Canadian Charter of Rights and Freedoms, s. 8 ― Electric Utilities Act, S.A. 2003, c. E-5.1 ― Code of Conduct Regulation, Alta. Reg. 160/2003</w:t>
      </w:r>
      <w:r>
        <w:rPr>
          <w:i/>
          <w:sz w:val="20"/>
        </w:rPr>
        <w:t>.</w:t>
      </w:r>
    </w:p>
    <w:p w:rsidR="00FF03EA" w:rsidRPr="00F6026D" w:rsidRDefault="00FF03EA" w:rsidP="00FF03EA">
      <w:pPr>
        <w:pStyle w:val="ListParagraph"/>
        <w:tabs>
          <w:tab w:val="left" w:pos="1170"/>
        </w:tabs>
        <w:spacing w:after="480"/>
        <w:ind w:left="0"/>
        <w:jc w:val="both"/>
        <w:rPr>
          <w:i/>
          <w:sz w:val="20"/>
        </w:rPr>
      </w:pPr>
    </w:p>
    <w:p w:rsidR="00FF03EA" w:rsidRPr="00F6026D" w:rsidRDefault="003A718B" w:rsidP="00FF03EA">
      <w:pPr>
        <w:pStyle w:val="ListParagraph"/>
        <w:ind w:left="0"/>
        <w:jc w:val="both"/>
        <w:rPr>
          <w:i/>
          <w:sz w:val="20"/>
        </w:rPr>
      </w:pPr>
      <w:r>
        <w:rPr>
          <w:i/>
          <w:sz w:val="20"/>
        </w:rPr>
        <w:tab/>
      </w:r>
      <w:r w:rsidR="00FF03EA" w:rsidRPr="00F6026D">
        <w:rPr>
          <w:i/>
          <w:sz w:val="20"/>
        </w:rPr>
        <w:t>Police ― Powers ― Search powers ― Warrantless request by police to electric utility company for installation of digital recording ammeter to measure flow of electricity into a residence suspected of housing a marijuana grow operation ― Information from digital recording ammeter indicating  pattern consistent with grow operation ― Observations of police and information from digital recording ammeter basis for warrant to search residence ― Whether police search powers exercised in manner that infringed right of accused to be secure against unreasonable search ― Canadian Charter of Rights and Freedoms, s. 8.</w:t>
      </w:r>
    </w:p>
    <w:p w:rsidR="00FF03EA" w:rsidRPr="00F6026D" w:rsidRDefault="00FF03EA" w:rsidP="00FF03EA">
      <w:pPr>
        <w:tabs>
          <w:tab w:val="left" w:pos="1152"/>
          <w:tab w:val="left" w:pos="6480"/>
        </w:tabs>
        <w:jc w:val="both"/>
        <w:rPr>
          <w:spacing w:val="3"/>
          <w:sz w:val="20"/>
        </w:rPr>
      </w:pPr>
    </w:p>
    <w:p w:rsidR="00FF03EA" w:rsidRDefault="00FF03EA" w:rsidP="00FF03EA">
      <w:pPr>
        <w:pStyle w:val="ListParagraph"/>
        <w:ind w:left="0"/>
        <w:jc w:val="both"/>
        <w:rPr>
          <w:sz w:val="20"/>
        </w:rPr>
      </w:pPr>
      <w:r w:rsidRPr="00F6026D">
        <w:rPr>
          <w:sz w:val="20"/>
        </w:rPr>
        <w:tab/>
        <w:t xml:space="preserve">An officer with the Calgary Police Service Drug Unit informed the Southern Alberta Marijuana Investigation Team about a residence in Calgary that he believed might be involved in producing marijuana.  That same afternoon, officers conducted a reconnaissance of the residence and made inquiries of neighbours.  Based on the observations of the officers and the neighbours questioned, the police contacted the utility company to request the installation of a digital recording ammeter (“DRA”) which would measure electrical power flowing into the residence which was owned by G.  The resulting DRA graph showed a pattern of cycling of approximately 18 hours, a pattern consistent with </w:t>
      </w:r>
      <w:proofErr w:type="gramStart"/>
      <w:r w:rsidRPr="00F6026D">
        <w:rPr>
          <w:sz w:val="20"/>
        </w:rPr>
        <w:t>a marijuana</w:t>
      </w:r>
      <w:proofErr w:type="gramEnd"/>
      <w:r w:rsidRPr="00F6026D">
        <w:rPr>
          <w:sz w:val="20"/>
        </w:rPr>
        <w:t xml:space="preserve"> grow operation.  An officer re-attended at G’s residence to conduct a second external viewing.  On the basis of her observations and the information provided to her, including the DRA graph, the officer obtained a search warrant.  As a result of the search, the police seized 165.33 kilograms of bulk marijuana, 206.8 grams of processed and bagged marijuana located in a freezer, and numerous items relating to </w:t>
      </w:r>
      <w:proofErr w:type="gramStart"/>
      <w:r w:rsidRPr="00F6026D">
        <w:rPr>
          <w:sz w:val="20"/>
        </w:rPr>
        <w:t>a marijuana</w:t>
      </w:r>
      <w:proofErr w:type="gramEnd"/>
      <w:r w:rsidRPr="00F6026D">
        <w:rPr>
          <w:sz w:val="20"/>
        </w:rPr>
        <w:t xml:space="preserve"> grow operation.  G was charged with possession of marijuana for the purposes of trafficking and production of marijuana and theft of electricity.  A </w:t>
      </w:r>
      <w:proofErr w:type="spellStart"/>
      <w:r w:rsidRPr="00F6026D">
        <w:rPr>
          <w:i/>
          <w:sz w:val="20"/>
        </w:rPr>
        <w:t>voir</w:t>
      </w:r>
      <w:proofErr w:type="spellEnd"/>
      <w:r w:rsidRPr="00F6026D">
        <w:rPr>
          <w:i/>
          <w:sz w:val="20"/>
        </w:rPr>
        <w:t xml:space="preserve"> dire</w:t>
      </w:r>
      <w:r w:rsidRPr="00F6026D">
        <w:rPr>
          <w:sz w:val="20"/>
        </w:rPr>
        <w:t xml:space="preserve"> was conducted to consider G’s application to exclude the evidence disclosed by the search on the basis that no warrant had been obtained prior to the installation of the DRA.  The trial judge relied on the </w:t>
      </w:r>
      <w:r w:rsidRPr="00F6026D">
        <w:rPr>
          <w:i/>
          <w:sz w:val="20"/>
        </w:rPr>
        <w:t>Code of Conduct Regulation</w:t>
      </w:r>
      <w:r w:rsidRPr="00F6026D">
        <w:rPr>
          <w:sz w:val="20"/>
        </w:rPr>
        <w:t xml:space="preserve"> made pursuant to Alberta’s </w:t>
      </w:r>
      <w:r w:rsidRPr="00F6026D">
        <w:rPr>
          <w:i/>
          <w:sz w:val="20"/>
        </w:rPr>
        <w:t>Electric Utilities Act</w:t>
      </w:r>
      <w:r w:rsidRPr="00F6026D">
        <w:rPr>
          <w:sz w:val="20"/>
        </w:rPr>
        <w:t xml:space="preserve"> as statutory support for police access to the DRA data.  The DRA evidence was therefore admitted and G was found guilty of the drug-related offences.  A majority of the Alberta Court of Appeal allowed G’s appeal and ordered a new trial, concluding that G had a subjective expectation of privacy in the DRA information which was also objectively reasonable.  The majority further concluded that the </w:t>
      </w:r>
      <w:r w:rsidRPr="00F6026D">
        <w:rPr>
          <w:i/>
          <w:sz w:val="20"/>
        </w:rPr>
        <w:t>Regulation</w:t>
      </w:r>
      <w:r w:rsidRPr="00F6026D">
        <w:rPr>
          <w:sz w:val="20"/>
        </w:rPr>
        <w:t xml:space="preserve"> could not be interpreted to imply the homeowner’s consent to allow a utility company to gather information at the request of the state.</w:t>
      </w:r>
    </w:p>
    <w:p w:rsidR="00FF03EA" w:rsidRPr="00F6026D" w:rsidRDefault="00FF03EA" w:rsidP="00FF03EA">
      <w:pPr>
        <w:pStyle w:val="ListParagraph"/>
        <w:tabs>
          <w:tab w:val="left" w:pos="1170"/>
        </w:tabs>
        <w:ind w:left="0"/>
        <w:jc w:val="both"/>
        <w:rPr>
          <w:sz w:val="20"/>
        </w:rPr>
      </w:pPr>
    </w:p>
    <w:p w:rsidR="00FF03EA" w:rsidRDefault="00FF03EA" w:rsidP="00FF03EA">
      <w:pPr>
        <w:jc w:val="both"/>
        <w:rPr>
          <w:sz w:val="20"/>
        </w:rPr>
      </w:pPr>
      <w:r w:rsidRPr="00F6026D">
        <w:rPr>
          <w:i/>
          <w:sz w:val="20"/>
        </w:rPr>
        <w:tab/>
        <w:t>Held</w:t>
      </w:r>
      <w:r w:rsidRPr="00F6026D">
        <w:rPr>
          <w:sz w:val="20"/>
        </w:rPr>
        <w:t xml:space="preserve"> (</w:t>
      </w:r>
      <w:proofErr w:type="spellStart"/>
      <w:r w:rsidRPr="00F6026D">
        <w:rPr>
          <w:sz w:val="20"/>
        </w:rPr>
        <w:t>McLachlin</w:t>
      </w:r>
      <w:proofErr w:type="spellEnd"/>
      <w:r w:rsidRPr="00F6026D">
        <w:rPr>
          <w:sz w:val="20"/>
        </w:rPr>
        <w:t> C.J. and Fish J. dissenting):  The appeal is allowed and the conviction entered at trial is restored.</w:t>
      </w:r>
    </w:p>
    <w:p w:rsidR="00FF03EA" w:rsidRPr="00F6026D" w:rsidRDefault="00FF03EA" w:rsidP="00FF03EA">
      <w:pPr>
        <w:jc w:val="both"/>
        <w:rPr>
          <w:sz w:val="20"/>
        </w:rPr>
      </w:pPr>
    </w:p>
    <w:p w:rsidR="00FF03EA" w:rsidRDefault="00FF03EA" w:rsidP="00FF03EA">
      <w:pPr>
        <w:tabs>
          <w:tab w:val="left" w:pos="720"/>
        </w:tabs>
        <w:jc w:val="both"/>
        <w:rPr>
          <w:sz w:val="20"/>
        </w:rPr>
      </w:pPr>
      <w:r w:rsidRPr="00F6026D">
        <w:rPr>
          <w:i/>
          <w:sz w:val="20"/>
        </w:rPr>
        <w:tab/>
        <w:t xml:space="preserve">Per </w:t>
      </w:r>
      <w:proofErr w:type="spellStart"/>
      <w:r w:rsidRPr="00F6026D">
        <w:rPr>
          <w:b/>
          <w:sz w:val="20"/>
        </w:rPr>
        <w:t>Deschamps</w:t>
      </w:r>
      <w:proofErr w:type="spellEnd"/>
      <w:r w:rsidRPr="00F6026D">
        <w:rPr>
          <w:sz w:val="20"/>
        </w:rPr>
        <w:t xml:space="preserve">, </w:t>
      </w:r>
      <w:proofErr w:type="spellStart"/>
      <w:r w:rsidRPr="00F6026D">
        <w:rPr>
          <w:sz w:val="20"/>
        </w:rPr>
        <w:t>Charron</w:t>
      </w:r>
      <w:proofErr w:type="spellEnd"/>
      <w:r w:rsidRPr="00F6026D">
        <w:rPr>
          <w:sz w:val="20"/>
        </w:rPr>
        <w:t xml:space="preserve">, Rothstein and Cromwell JJ.:  A critical factual consideration, on which much of the disagreement in this case turns, is the degree to which the use of DRA technology reveals private information.  The evidence was that marijuana grow operations are not investigated using only DRA data and that DRA technology is employed late in an investigation and after conventional investigative methods support the inference that marijuana is being grown in the home.  DRA data are used as one more investigative tool to dispel the belief that a grow operation is </w:t>
      </w:r>
      <w:r w:rsidRPr="00F6026D">
        <w:rPr>
          <w:sz w:val="20"/>
        </w:rPr>
        <w:lastRenderedPageBreak/>
        <w:t>on the premises and even operate in favour of the defence in approximately half of the times.  The importance of what the DRA discloses and what inferences the DRA data support is central to this case.  The findings of the lower court concluding that a reasonable expectation of privacy in the DRA data does exist because some information about what is taking place in a house could be inferred are not supported by any evidence on the record.  The DRA is a technique that reveals nothing about the intimate or core personal activities of the occupants.  It reveals nothing but one particular piece of information: the consumption of electricity.</w:t>
      </w:r>
    </w:p>
    <w:p w:rsidR="00FF03EA" w:rsidRPr="00F6026D" w:rsidRDefault="00FF03EA" w:rsidP="00FF03EA">
      <w:pPr>
        <w:tabs>
          <w:tab w:val="left" w:pos="720"/>
        </w:tabs>
        <w:jc w:val="both"/>
        <w:rPr>
          <w:sz w:val="20"/>
        </w:rPr>
      </w:pPr>
    </w:p>
    <w:p w:rsidR="00FF03EA" w:rsidRDefault="00FF03EA" w:rsidP="00FF03EA">
      <w:pPr>
        <w:pStyle w:val="ListParagraph"/>
        <w:spacing w:after="480"/>
        <w:ind w:left="0"/>
        <w:jc w:val="both"/>
        <w:rPr>
          <w:sz w:val="20"/>
        </w:rPr>
      </w:pPr>
      <w:r w:rsidRPr="00F6026D">
        <w:rPr>
          <w:sz w:val="20"/>
        </w:rPr>
        <w:tab/>
        <w:t xml:space="preserve">Before reaching the question of whether a search is reasonable within the meaning of the </w:t>
      </w:r>
      <w:r w:rsidRPr="00F6026D">
        <w:rPr>
          <w:i/>
          <w:sz w:val="20"/>
        </w:rPr>
        <w:t>Charter</w:t>
      </w:r>
      <w:r w:rsidRPr="00F6026D">
        <w:rPr>
          <w:sz w:val="20"/>
        </w:rPr>
        <w:t xml:space="preserve">, the accused must first establish that a reasonable expectation of privacy existed to trigger the protection of s. 8.  The facts of this case straddle two privacy interests recognized in the jurisprudence: informational and territorial.  There is every reason, however, for proceeding with caution when deciding what independent constitutional effect disclosure clauses similar to those in the </w:t>
      </w:r>
      <w:r w:rsidRPr="00F6026D">
        <w:rPr>
          <w:i/>
          <w:sz w:val="20"/>
        </w:rPr>
        <w:t>Regulation</w:t>
      </w:r>
      <w:r w:rsidRPr="00F6026D">
        <w:rPr>
          <w:sz w:val="20"/>
        </w:rPr>
        <w:t xml:space="preserve"> may have on determining a reasonable expectation of privacy.</w:t>
      </w:r>
    </w:p>
    <w:p w:rsidR="00FF03EA" w:rsidRPr="00F6026D" w:rsidRDefault="00FF03EA" w:rsidP="00FF03EA">
      <w:pPr>
        <w:pStyle w:val="ListParagraph"/>
        <w:spacing w:after="480"/>
        <w:ind w:left="0"/>
        <w:jc w:val="both"/>
        <w:rPr>
          <w:sz w:val="20"/>
        </w:rPr>
      </w:pPr>
    </w:p>
    <w:p w:rsidR="00FF03EA" w:rsidRDefault="00FF03EA" w:rsidP="00FF03EA">
      <w:pPr>
        <w:pStyle w:val="ListParagraph"/>
        <w:spacing w:after="480"/>
        <w:ind w:left="0"/>
        <w:jc w:val="both"/>
        <w:rPr>
          <w:sz w:val="20"/>
        </w:rPr>
      </w:pPr>
      <w:r w:rsidRPr="00F6026D">
        <w:rPr>
          <w:sz w:val="20"/>
        </w:rPr>
        <w:tab/>
        <w:t xml:space="preserve">Determining the expectation of privacy requires examination of whether disclosure involved biographical core data, revealing intimate and private information for which individuals rightly expect constitutional privacy protection.  The appropriate question is whether the information is the sort that society accepts should remain out of the state’s hands because of what it reveals about the person involved, the reasons why it was collected, and the circumstances in which it was intended to be used.  The combined effect of the </w:t>
      </w:r>
      <w:r w:rsidRPr="00F6026D">
        <w:rPr>
          <w:i/>
          <w:sz w:val="20"/>
        </w:rPr>
        <w:t xml:space="preserve">Regulation </w:t>
      </w:r>
      <w:r w:rsidRPr="00F6026D">
        <w:rPr>
          <w:sz w:val="20"/>
        </w:rPr>
        <w:t xml:space="preserve">and s. 487.014 of the </w:t>
      </w:r>
      <w:r w:rsidRPr="00F6026D">
        <w:rPr>
          <w:i/>
          <w:sz w:val="20"/>
        </w:rPr>
        <w:t>Criminal Code</w:t>
      </w:r>
      <w:r w:rsidRPr="00F6026D">
        <w:rPr>
          <w:sz w:val="20"/>
        </w:rPr>
        <w:t xml:space="preserve"> establishes that not only was there no statutory barrier to the utility company’s voluntary cooperation with the police request, but express notice that such cooperation might occur existed.  This is one factor amongst many which must be weighed in assessing the totality of the circumstances.  The central issue in this case is thus whether the DRA discloses intimate details of the lifestyle and personal choices of the individual that form part of the biographical core data protected by the </w:t>
      </w:r>
      <w:r w:rsidRPr="00F6026D">
        <w:rPr>
          <w:i/>
          <w:sz w:val="20"/>
        </w:rPr>
        <w:t>Charter</w:t>
      </w:r>
      <w:r w:rsidRPr="00F6026D">
        <w:rPr>
          <w:sz w:val="20"/>
        </w:rPr>
        <w:t>’s guarantee of informational privacy.  The evidence available on the record offers no foundation for concluding that the information disclosed by the utility company yielded any useful information at all about household activities of an intimate or private nature that form part of the inhabitants’ biographical core data.  The DRA’s capabilities depend of course on the state of the technology at the time of its use.  As DRA technology now stands, it is not capable of giving access to the occupants’ personal information.  Instead, the DRA data merely yield an additional piece of information to evaluate suspicions — based on an independent evidentiary foundation — police already have about a particular activity taking place in the home.</w:t>
      </w:r>
    </w:p>
    <w:p w:rsidR="00FF03EA" w:rsidRPr="00F6026D" w:rsidRDefault="00FF03EA" w:rsidP="00FF03EA">
      <w:pPr>
        <w:pStyle w:val="ListParagraph"/>
        <w:spacing w:after="480"/>
        <w:ind w:left="0"/>
        <w:jc w:val="both"/>
        <w:rPr>
          <w:sz w:val="20"/>
        </w:rPr>
      </w:pPr>
    </w:p>
    <w:p w:rsidR="00FF03EA" w:rsidRPr="00F6026D" w:rsidRDefault="00FF03EA" w:rsidP="00FF03EA">
      <w:pPr>
        <w:pStyle w:val="ListParagraph"/>
        <w:spacing w:after="480"/>
        <w:ind w:left="0"/>
        <w:jc w:val="both"/>
        <w:rPr>
          <w:sz w:val="20"/>
        </w:rPr>
      </w:pPr>
      <w:r w:rsidRPr="00F6026D">
        <w:rPr>
          <w:sz w:val="20"/>
        </w:rPr>
        <w:tab/>
        <w:t xml:space="preserve">A final factor affecting the informational privacy analysis is the fact that G’s interest in the electricity use data was not exclusive.  G’s electricity consumption history was not confidential or private information which he had entrusted to the utility company.  As the supplier of electricity, the utility company had a legitimate interest of its own in the quantity of electricity its customers consumed.  Consequently, it is beyond dispute that the utility company was within its rights to install a DRA on a customer’s line on its own initiative to measure the electricity being consumed.  The utility company was not an interloper exploiting its access to private information to circumvent the </w:t>
      </w:r>
      <w:r w:rsidRPr="00F6026D">
        <w:rPr>
          <w:i/>
          <w:sz w:val="20"/>
        </w:rPr>
        <w:t>Charter</w:t>
      </w:r>
      <w:r w:rsidRPr="00F6026D">
        <w:rPr>
          <w:sz w:val="20"/>
        </w:rPr>
        <w:t xml:space="preserve"> at the behest of the state; rather, its role is limited to the wholly voluntary cooperation of a potential crime victim.</w:t>
      </w:r>
    </w:p>
    <w:p w:rsidR="00FF03EA" w:rsidRDefault="00FF03EA" w:rsidP="00FF03EA">
      <w:pPr>
        <w:pStyle w:val="ListParagraph"/>
        <w:tabs>
          <w:tab w:val="left" w:pos="1170"/>
        </w:tabs>
        <w:spacing w:after="480"/>
        <w:ind w:left="0"/>
        <w:jc w:val="both"/>
        <w:rPr>
          <w:sz w:val="20"/>
        </w:rPr>
      </w:pPr>
    </w:p>
    <w:p w:rsidR="00FF03EA" w:rsidRDefault="00FF03EA" w:rsidP="00FF03EA">
      <w:pPr>
        <w:pStyle w:val="ListParagraph"/>
        <w:ind w:left="0"/>
        <w:jc w:val="both"/>
        <w:rPr>
          <w:sz w:val="20"/>
        </w:rPr>
      </w:pPr>
      <w:r w:rsidRPr="00F6026D">
        <w:rPr>
          <w:sz w:val="20"/>
        </w:rPr>
        <w:tab/>
        <w:t>While a territorial privacy interest involving the home is a relevant aspect of the totality of the circumstances informing the reasonable expectation of privacy determination, the</w:t>
      </w:r>
      <w:r w:rsidRPr="00F6026D">
        <w:rPr>
          <w:i/>
          <w:sz w:val="20"/>
        </w:rPr>
        <w:t xml:space="preserve"> Charter</w:t>
      </w:r>
      <w:r w:rsidRPr="00F6026D">
        <w:rPr>
          <w:sz w:val="20"/>
        </w:rPr>
        <w:t xml:space="preserve">’s protection of territorial privacy in the home is not absolute.  Where, as in the case at bar, there was no direct search of the home itself, the informational privacy interest should be the focal point of the analysis.  The fact that the home was the focus of an otherwise non-invasive and </w:t>
      </w:r>
      <w:proofErr w:type="spellStart"/>
      <w:r w:rsidRPr="00F6026D">
        <w:rPr>
          <w:sz w:val="20"/>
        </w:rPr>
        <w:t>unintrusive</w:t>
      </w:r>
      <w:proofErr w:type="spellEnd"/>
      <w:r w:rsidRPr="00F6026D">
        <w:rPr>
          <w:sz w:val="20"/>
        </w:rPr>
        <w:t xml:space="preserve"> search should be subsidiary to what the investigative technique was capable of revealing about the home and what information was actually disclosed.  The fact that the search includes a territorial privacy aspect involving the home should not be allowed to inflate the actual impact of the search to a point where it bears disproportionately on the expectation of privacy analysis. </w:t>
      </w:r>
    </w:p>
    <w:p w:rsidR="00FF03EA" w:rsidRPr="00F6026D" w:rsidRDefault="00FF03EA" w:rsidP="00FF03EA">
      <w:pPr>
        <w:pStyle w:val="ListParagraph"/>
        <w:tabs>
          <w:tab w:val="left" w:pos="1170"/>
        </w:tabs>
        <w:ind w:left="0"/>
        <w:jc w:val="both"/>
        <w:rPr>
          <w:sz w:val="20"/>
        </w:rPr>
      </w:pPr>
    </w:p>
    <w:p w:rsidR="00FF03EA" w:rsidRPr="00F6026D" w:rsidRDefault="00FF03EA" w:rsidP="00FF03EA">
      <w:pPr>
        <w:pStyle w:val="ListParagraph"/>
        <w:spacing w:after="480"/>
        <w:ind w:left="0"/>
        <w:jc w:val="both"/>
        <w:rPr>
          <w:sz w:val="20"/>
        </w:rPr>
      </w:pPr>
      <w:r w:rsidRPr="00F6026D">
        <w:rPr>
          <w:i/>
          <w:sz w:val="20"/>
        </w:rPr>
        <w:tab/>
      </w:r>
      <w:proofErr w:type="gramStart"/>
      <w:r w:rsidRPr="00F6026D">
        <w:rPr>
          <w:i/>
          <w:sz w:val="20"/>
        </w:rPr>
        <w:t>Per</w:t>
      </w:r>
      <w:r w:rsidRPr="00F6026D">
        <w:rPr>
          <w:sz w:val="20"/>
        </w:rPr>
        <w:t xml:space="preserve"> </w:t>
      </w:r>
      <w:proofErr w:type="spellStart"/>
      <w:r w:rsidRPr="00F6026D">
        <w:rPr>
          <w:sz w:val="20"/>
        </w:rPr>
        <w:t>Binnie</w:t>
      </w:r>
      <w:proofErr w:type="spellEnd"/>
      <w:r w:rsidRPr="00F6026D">
        <w:rPr>
          <w:sz w:val="20"/>
        </w:rPr>
        <w:t xml:space="preserve">, </w:t>
      </w:r>
      <w:proofErr w:type="spellStart"/>
      <w:r w:rsidRPr="00F6026D">
        <w:rPr>
          <w:sz w:val="20"/>
        </w:rPr>
        <w:t>LeBel</w:t>
      </w:r>
      <w:proofErr w:type="spellEnd"/>
      <w:r w:rsidRPr="00F6026D">
        <w:rPr>
          <w:sz w:val="20"/>
        </w:rPr>
        <w:t xml:space="preserve"> and </w:t>
      </w:r>
      <w:proofErr w:type="spellStart"/>
      <w:r w:rsidRPr="00F6026D">
        <w:rPr>
          <w:b/>
          <w:sz w:val="20"/>
        </w:rPr>
        <w:t>Abella</w:t>
      </w:r>
      <w:proofErr w:type="spellEnd"/>
      <w:r w:rsidRPr="00F6026D">
        <w:rPr>
          <w:sz w:val="20"/>
        </w:rPr>
        <w:t> JJ.</w:t>
      </w:r>
      <w:proofErr w:type="gramEnd"/>
      <w:r w:rsidRPr="00F6026D">
        <w:rPr>
          <w:sz w:val="20"/>
        </w:rPr>
        <w:t xml:space="preserve"> ―</w:t>
      </w:r>
      <w:r w:rsidRPr="00F6026D">
        <w:rPr>
          <w:i/>
          <w:sz w:val="20"/>
        </w:rPr>
        <w:t xml:space="preserve"> </w:t>
      </w:r>
      <w:proofErr w:type="gramStart"/>
      <w:r w:rsidRPr="00F6026D">
        <w:rPr>
          <w:sz w:val="20"/>
        </w:rPr>
        <w:t>Throughout</w:t>
      </w:r>
      <w:proofErr w:type="gramEnd"/>
      <w:r w:rsidRPr="00F6026D">
        <w:rPr>
          <w:sz w:val="20"/>
        </w:rPr>
        <w:t xml:space="preserve"> the development of its s. 8 jurisprudence, the Court has consistently recognized the overriding constitutional importance of the privacy interests connected with activities taking place inside the home.  Given the overriding significance of protecting these privacy interests, the concerns regarding the warrantless use of DRAs are well founded.  And this case may well have been differently decided but for a crucial factor:  the relationship between G and his utilities provider is governed by a recently enacted public statute, which entitles G to request confidentiality of his customer information.  He made no such request.  Nor did he challenge the constitutionality of the relevant provision.  This combines to determinately erode the objective reasonableness of any expectation of privacy in the DRA data.</w:t>
      </w:r>
    </w:p>
    <w:p w:rsidR="00FF03EA" w:rsidRDefault="00FF03EA" w:rsidP="00FF03EA">
      <w:pPr>
        <w:pStyle w:val="ListParagraph"/>
        <w:spacing w:after="480"/>
        <w:ind w:left="0"/>
        <w:jc w:val="both"/>
        <w:rPr>
          <w:sz w:val="20"/>
        </w:rPr>
      </w:pPr>
      <w:r w:rsidRPr="00F6026D">
        <w:rPr>
          <w:sz w:val="20"/>
        </w:rPr>
        <w:lastRenderedPageBreak/>
        <w:tab/>
        <w:t xml:space="preserve">DRA data indicating a certain cyclical pattern permits a strong inference of the presence of </w:t>
      </w:r>
      <w:proofErr w:type="gramStart"/>
      <w:r w:rsidRPr="00F6026D">
        <w:rPr>
          <w:sz w:val="20"/>
        </w:rPr>
        <w:t>a marijuana</w:t>
      </w:r>
      <w:proofErr w:type="gramEnd"/>
      <w:r w:rsidRPr="00F6026D">
        <w:rPr>
          <w:sz w:val="20"/>
        </w:rPr>
        <w:t xml:space="preserve"> grow operation in a residence.  The existence of such activity is presumptively information about which individuals are entitled to expect privacy because it is information about an activity inside the home and is, therefore, personal information.  The fact that the activity is criminal does not, under our jurisprudence, remove it from the expectation of </w:t>
      </w:r>
      <w:proofErr w:type="spellStart"/>
      <w:r w:rsidRPr="00F6026D">
        <w:rPr>
          <w:sz w:val="20"/>
        </w:rPr>
        <w:t>and</w:t>
      </w:r>
      <w:proofErr w:type="spellEnd"/>
      <w:r w:rsidRPr="00F6026D">
        <w:rPr>
          <w:sz w:val="20"/>
        </w:rPr>
        <w:t xml:space="preserve"> entitlement to privacy protection and, therefore, the requirement of a warrant.  The DRA is a surveillance technique that yields usually reliable inferences as to the presence within the home of one particular activity:  </w:t>
      </w:r>
      <w:proofErr w:type="gramStart"/>
      <w:r w:rsidRPr="00F6026D">
        <w:rPr>
          <w:sz w:val="20"/>
        </w:rPr>
        <w:t>a marijuana</w:t>
      </w:r>
      <w:proofErr w:type="gramEnd"/>
      <w:r w:rsidRPr="00F6026D">
        <w:rPr>
          <w:sz w:val="20"/>
        </w:rPr>
        <w:t xml:space="preserve"> grow operation. </w:t>
      </w:r>
    </w:p>
    <w:p w:rsidR="00FF03EA" w:rsidRPr="00F6026D" w:rsidRDefault="00FF03EA" w:rsidP="00FF03EA">
      <w:pPr>
        <w:pStyle w:val="ListParagraph"/>
        <w:spacing w:after="480"/>
        <w:ind w:left="0"/>
        <w:jc w:val="both"/>
        <w:rPr>
          <w:sz w:val="20"/>
        </w:rPr>
      </w:pPr>
    </w:p>
    <w:p w:rsidR="00FF03EA" w:rsidRDefault="00FF03EA" w:rsidP="00FF03EA">
      <w:pPr>
        <w:pStyle w:val="ListParagraph"/>
        <w:spacing w:after="480"/>
        <w:ind w:left="0"/>
        <w:jc w:val="both"/>
        <w:rPr>
          <w:sz w:val="20"/>
        </w:rPr>
      </w:pPr>
      <w:r w:rsidRPr="00F6026D">
        <w:rPr>
          <w:sz w:val="20"/>
        </w:rPr>
        <w:tab/>
        <w:t xml:space="preserve">The fact, however, that the customer in this case can request that his or her information be protected means essentially that under the </w:t>
      </w:r>
      <w:r w:rsidRPr="00F6026D">
        <w:rPr>
          <w:i/>
          <w:sz w:val="20"/>
        </w:rPr>
        <w:t>Code of Conduct</w:t>
      </w:r>
      <w:r w:rsidRPr="00F6026D">
        <w:rPr>
          <w:sz w:val="20"/>
        </w:rPr>
        <w:t xml:space="preserve"> </w:t>
      </w:r>
      <w:r w:rsidRPr="00F6026D">
        <w:rPr>
          <w:i/>
          <w:sz w:val="20"/>
        </w:rPr>
        <w:t>Regulation</w:t>
      </w:r>
      <w:r w:rsidRPr="00F6026D">
        <w:rPr>
          <w:sz w:val="20"/>
        </w:rPr>
        <w:t xml:space="preserve">, the customer is presented with the unrestricted ability to control the expectation of privacy in his or her relationship with the utility company.  G made no such request, yet urges the Court to treat his expectation of privacy as if he had.  There is no room for interpretive creativity in this case because there is no ambiguity in the language of the provisions.  DRA information, whenever it is collected, is, necessarily, “customer information” pursuant to the </w:t>
      </w:r>
      <w:r w:rsidRPr="00F6026D">
        <w:rPr>
          <w:i/>
          <w:sz w:val="20"/>
        </w:rPr>
        <w:t>Regulation</w:t>
      </w:r>
      <w:r w:rsidRPr="00F6026D">
        <w:rPr>
          <w:sz w:val="20"/>
        </w:rPr>
        <w:t xml:space="preserve"> and, as such, information under s. 10(3)(f) of the </w:t>
      </w:r>
      <w:r w:rsidRPr="00F6026D">
        <w:rPr>
          <w:i/>
          <w:sz w:val="20"/>
        </w:rPr>
        <w:t>Regulation</w:t>
      </w:r>
      <w:r w:rsidRPr="00F6026D">
        <w:rPr>
          <w:sz w:val="20"/>
        </w:rPr>
        <w:t xml:space="preserve"> that can be collected by the utility company and disclosed “without the customer’s consent” to the police investigating an offence. </w:t>
      </w:r>
      <w:r w:rsidRPr="00F6026D">
        <w:rPr>
          <w:shadow/>
          <w:sz w:val="20"/>
        </w:rPr>
        <w:t xml:space="preserve"> </w:t>
      </w:r>
      <w:r w:rsidRPr="00F6026D">
        <w:rPr>
          <w:sz w:val="20"/>
        </w:rPr>
        <w:t xml:space="preserve">An examination of the totality of the circumstances involves consideration of all, not just some, of the relevant circumstances.  There can be no examination of the totality of the relevant circumstances without including the fact that the </w:t>
      </w:r>
      <w:r w:rsidRPr="00F6026D">
        <w:rPr>
          <w:i/>
          <w:sz w:val="20"/>
        </w:rPr>
        <w:t>Regulation</w:t>
      </w:r>
      <w:r w:rsidRPr="00F6026D">
        <w:rPr>
          <w:sz w:val="20"/>
        </w:rPr>
        <w:t xml:space="preserve"> exists.  It cannot, therefore, be seen as neutral or irrelevant.  The contractual terms the </w:t>
      </w:r>
      <w:r w:rsidRPr="00F6026D">
        <w:rPr>
          <w:i/>
          <w:sz w:val="20"/>
        </w:rPr>
        <w:t>Regulation</w:t>
      </w:r>
      <w:r w:rsidRPr="00F6026D">
        <w:rPr>
          <w:sz w:val="20"/>
        </w:rPr>
        <w:t xml:space="preserve"> creates are not only clear and unambiguous; they are also clearly relevant to an objective assessment of the reasonableness of any expectations of privacy G may have had in the DRA information, regardless of whether he decided to inform himself of the legal parameters of his relationship with his utility provider.  When considered among all the circumstances of this case, the legislative authority provided by the </w:t>
      </w:r>
      <w:r w:rsidRPr="00F6026D">
        <w:rPr>
          <w:i/>
          <w:sz w:val="20"/>
        </w:rPr>
        <w:t xml:space="preserve">Regulation </w:t>
      </w:r>
      <w:r w:rsidRPr="00F6026D">
        <w:rPr>
          <w:sz w:val="20"/>
        </w:rPr>
        <w:t>is in fact determinative and leads to the conclusion that any expectation of privacy that G may have had was objectively unreasonable.  In the absence of a reasonable expectation of privacy, the collection of the DRA information in this case did not constitute a “search” within the meaning of s. 8.</w:t>
      </w:r>
    </w:p>
    <w:p w:rsidR="00874152" w:rsidRPr="00F6026D" w:rsidRDefault="00874152" w:rsidP="00FF03EA">
      <w:pPr>
        <w:pStyle w:val="ListParagraph"/>
        <w:spacing w:after="480"/>
        <w:ind w:left="0"/>
        <w:jc w:val="both"/>
        <w:rPr>
          <w:sz w:val="20"/>
        </w:rPr>
      </w:pPr>
    </w:p>
    <w:p w:rsidR="00FF03EA" w:rsidRDefault="00FF03EA" w:rsidP="00874152">
      <w:pPr>
        <w:pStyle w:val="ListParagraph"/>
        <w:spacing w:after="480"/>
        <w:ind w:left="0"/>
        <w:jc w:val="both"/>
        <w:rPr>
          <w:sz w:val="20"/>
        </w:rPr>
      </w:pPr>
      <w:r w:rsidRPr="00F6026D">
        <w:rPr>
          <w:i/>
          <w:sz w:val="20"/>
        </w:rPr>
        <w:tab/>
        <w:t>Per</w:t>
      </w:r>
      <w:r w:rsidRPr="00F6026D">
        <w:rPr>
          <w:sz w:val="20"/>
        </w:rPr>
        <w:t xml:space="preserve"> </w:t>
      </w:r>
      <w:proofErr w:type="spellStart"/>
      <w:r w:rsidRPr="00F6026D">
        <w:rPr>
          <w:b/>
          <w:sz w:val="20"/>
        </w:rPr>
        <w:t>McLachlin</w:t>
      </w:r>
      <w:proofErr w:type="spellEnd"/>
      <w:r w:rsidRPr="00F6026D">
        <w:rPr>
          <w:b/>
          <w:sz w:val="20"/>
        </w:rPr>
        <w:t> C.J. and Fish J.</w:t>
      </w:r>
      <w:r w:rsidRPr="00F6026D">
        <w:rPr>
          <w:sz w:val="20"/>
        </w:rPr>
        <w:t xml:space="preserve"> (dissenting):  This appeal raises core issues regarding the protection of privacy safeguarded by s. 8 of the </w:t>
      </w:r>
      <w:r w:rsidRPr="00F6026D">
        <w:rPr>
          <w:i/>
          <w:sz w:val="20"/>
        </w:rPr>
        <w:t>Charter</w:t>
      </w:r>
      <w:r w:rsidRPr="00F6026D">
        <w:rPr>
          <w:sz w:val="20"/>
        </w:rPr>
        <w:t xml:space="preserve">.  When we subscribe for public services, we do not authorize the police to conscript the utilities concerned to enter our homes, physically or electronically, for the purpose of pursuing their criminal investigations without prior judicial authorization.  Considering the totality of the circumstances, a reasonable person would not accept that the type of information at </w:t>
      </w:r>
      <w:proofErr w:type="gramStart"/>
      <w:r w:rsidRPr="00F6026D">
        <w:rPr>
          <w:sz w:val="20"/>
        </w:rPr>
        <w:t>issue,</w:t>
      </w:r>
      <w:proofErr w:type="gramEnd"/>
      <w:r w:rsidRPr="00F6026D">
        <w:rPr>
          <w:sz w:val="20"/>
        </w:rPr>
        <w:t xml:space="preserve"> collected for the reasons and in the manner that it was, should be freely available to the state without prior authorization.  G is presumed to have a subjective expectation of privacy within his home.  The existence of an obscure regulation that the reasonable person is unlikely to understand does nothing to render G’s subjective expectation objectively unreasonable.  G had a reasonable expectation of privacy in the DRA data, the intrusion and transmittal of the information gleaned constituted a search and this search was not authorized by law.</w:t>
      </w:r>
    </w:p>
    <w:p w:rsidR="00874152" w:rsidRPr="00F6026D" w:rsidRDefault="00874152" w:rsidP="00874152">
      <w:pPr>
        <w:pStyle w:val="ListParagraph"/>
        <w:spacing w:after="480"/>
        <w:ind w:left="0"/>
        <w:jc w:val="both"/>
        <w:rPr>
          <w:sz w:val="20"/>
        </w:rPr>
      </w:pPr>
    </w:p>
    <w:p w:rsidR="00FF03EA" w:rsidRDefault="00FF03EA" w:rsidP="00874152">
      <w:pPr>
        <w:pStyle w:val="ListParagraph"/>
        <w:spacing w:after="480"/>
        <w:ind w:left="0"/>
        <w:jc w:val="both"/>
        <w:rPr>
          <w:sz w:val="20"/>
        </w:rPr>
      </w:pPr>
      <w:r w:rsidRPr="00F6026D">
        <w:rPr>
          <w:sz w:val="20"/>
        </w:rPr>
        <w:tab/>
        <w:t>A search occurs when state conduct interferes with an individual’s reasonable expectation of privacy.  Whether an expectation of privacy is reasonable depends on whether the individual concerned has (1) a subjective expectation of privacy in the subject matter of the alleged search, and (2) whether that subjective expectation is objectively reasonable.  The test for subjective expectation of privacy is a low hurdle and individuals are presumed to have a subjective expectation of privacy regarding information about activities within the home.  Thus, resolution of this issue turns on whether G’s expectation of privacy was objectively reasonable.  The factors relevant to determining an objectively reasonable expectation of privacy include the subject matter of the search, the place of the search, whether the privacy interest was abandoned or waived, the degree of intrusiveness, and, in some cases, the presence of a regulatory framework that would diminish any expectation of privacy.  In our view, the resolution of this issue turns on the last two factors above: the degree of intrusiveness and the presence of a regulatory framework.</w:t>
      </w:r>
    </w:p>
    <w:p w:rsidR="00874152" w:rsidRPr="00F6026D" w:rsidRDefault="00874152" w:rsidP="00874152">
      <w:pPr>
        <w:pStyle w:val="ListParagraph"/>
        <w:spacing w:after="480"/>
        <w:ind w:left="0"/>
        <w:jc w:val="both"/>
        <w:rPr>
          <w:sz w:val="20"/>
        </w:rPr>
      </w:pPr>
    </w:p>
    <w:p w:rsidR="00FF03EA" w:rsidRDefault="00FF03EA" w:rsidP="00874152">
      <w:pPr>
        <w:pStyle w:val="ListParagraph"/>
        <w:spacing w:after="480"/>
        <w:ind w:left="0"/>
        <w:jc w:val="both"/>
        <w:rPr>
          <w:sz w:val="20"/>
        </w:rPr>
      </w:pPr>
      <w:r w:rsidRPr="00F6026D">
        <w:rPr>
          <w:sz w:val="20"/>
        </w:rPr>
        <w:tab/>
        <w:t xml:space="preserve">We begin with the issue of intrusiveness.  While the DRA does not indicate the source of electrical consumption within the residence, it produces detailed information as to the amount of electricity being used in a home and when it is being used. In addition, DRAs are extremely accurate in disclosing the existence of plant growing operations within a house.  The fruits of a search need not produce conclusive determinations about activities within a home in order to be considered informative and thus intrusive.  The significance of the DRA data derives from its utility in making informed predictions concerning the probable activities taking place within a home.  Predictions of this sort, while not conclusive, nonetheless convey useful private information to the police.  Such evidence of criminal activity, </w:t>
      </w:r>
      <w:r w:rsidRPr="00F6026D">
        <w:rPr>
          <w:sz w:val="20"/>
        </w:rPr>
        <w:lastRenderedPageBreak/>
        <w:t>or of a connection to criminality, has previously been considered by this Court to be very personal biographical information.</w:t>
      </w:r>
    </w:p>
    <w:p w:rsidR="00874152" w:rsidRPr="00F6026D" w:rsidRDefault="00874152" w:rsidP="00874152">
      <w:pPr>
        <w:pStyle w:val="ListParagraph"/>
        <w:spacing w:after="480"/>
        <w:ind w:left="0"/>
        <w:jc w:val="both"/>
        <w:rPr>
          <w:sz w:val="20"/>
        </w:rPr>
      </w:pPr>
    </w:p>
    <w:p w:rsidR="00FF03EA" w:rsidRDefault="00FF03EA" w:rsidP="00874152">
      <w:pPr>
        <w:pStyle w:val="ListParagraph"/>
        <w:spacing w:after="480"/>
        <w:ind w:left="0"/>
        <w:jc w:val="both"/>
        <w:rPr>
          <w:sz w:val="20"/>
        </w:rPr>
      </w:pPr>
      <w:r w:rsidRPr="00F6026D">
        <w:rPr>
          <w:sz w:val="20"/>
        </w:rPr>
        <w:tab/>
        <w:t>The constitutionality of a search does not hinge on whether there are even more intrusive search methods the police could have improperly used.  It is unhelpful to compare a DRA search conducted without a warrant to a physical search conducted with a warrant.  It is hardly apparent that the use of DRAs will reduce the total intrusion into a suspect’s territorial privacy as the use of a DRA only serves as a substitute for a physical search of a suspect’s home if the police could have obtained a warrant</w:t>
      </w:r>
      <w:r w:rsidRPr="00F6026D">
        <w:rPr>
          <w:iCs/>
          <w:sz w:val="20"/>
        </w:rPr>
        <w:t xml:space="preserve"> to search the home</w:t>
      </w:r>
      <w:r w:rsidRPr="00F6026D">
        <w:rPr>
          <w:sz w:val="20"/>
        </w:rPr>
        <w:t>.</w:t>
      </w:r>
    </w:p>
    <w:p w:rsidR="00874152" w:rsidRPr="00F6026D" w:rsidRDefault="00874152" w:rsidP="00874152">
      <w:pPr>
        <w:pStyle w:val="ListParagraph"/>
        <w:spacing w:after="480"/>
        <w:ind w:left="0"/>
        <w:jc w:val="both"/>
        <w:rPr>
          <w:sz w:val="20"/>
        </w:rPr>
      </w:pPr>
    </w:p>
    <w:p w:rsidR="00FF03EA" w:rsidRDefault="00FF03EA" w:rsidP="00874152">
      <w:pPr>
        <w:pStyle w:val="ListParagraph"/>
        <w:spacing w:after="480"/>
        <w:ind w:left="0"/>
        <w:jc w:val="both"/>
        <w:rPr>
          <w:sz w:val="20"/>
        </w:rPr>
      </w:pPr>
      <w:r w:rsidRPr="00F6026D">
        <w:rPr>
          <w:sz w:val="20"/>
        </w:rPr>
        <w:tab/>
        <w:t xml:space="preserve">The remaining issue in determining whether a search occurred is whether the </w:t>
      </w:r>
      <w:r w:rsidRPr="00F6026D">
        <w:rPr>
          <w:i/>
          <w:sz w:val="20"/>
        </w:rPr>
        <w:t>Regulation</w:t>
      </w:r>
      <w:r w:rsidRPr="00F6026D">
        <w:rPr>
          <w:sz w:val="20"/>
        </w:rPr>
        <w:t xml:space="preserve"> negates or reduces the objectively reasonable privacy interest the other factors suggest.  A reasonable person would not have concluded that his or her expectation of privacy in activities inside the home was negated because of the </w:t>
      </w:r>
      <w:r w:rsidRPr="00F6026D">
        <w:rPr>
          <w:i/>
          <w:sz w:val="20"/>
        </w:rPr>
        <w:t>Regulation</w:t>
      </w:r>
      <w:r w:rsidRPr="00F6026D">
        <w:rPr>
          <w:sz w:val="20"/>
        </w:rPr>
        <w:t xml:space="preserve">.  The average consumer signing up for electricity cannot be expected to be aware of the details of a complex regulatory scheme which permits the utility company to pass information on electricity usage to the police, especially when a presumption of awareness operates to, in effect, narrow the consumer’s constitutional rights.  In addition, if they were made aware of the </w:t>
      </w:r>
      <w:r w:rsidRPr="00F6026D">
        <w:rPr>
          <w:i/>
          <w:sz w:val="20"/>
        </w:rPr>
        <w:t>Regulation</w:t>
      </w:r>
      <w:r w:rsidRPr="00F6026D">
        <w:rPr>
          <w:sz w:val="20"/>
        </w:rPr>
        <w:t xml:space="preserve"> — something that did not happen in this case — reasonable consumers would likely not read it as permitting the intrusion at issue.  Finally, although the </w:t>
      </w:r>
      <w:r w:rsidRPr="00F6026D">
        <w:rPr>
          <w:i/>
          <w:sz w:val="20"/>
        </w:rPr>
        <w:t>Regulation</w:t>
      </w:r>
      <w:r w:rsidRPr="00F6026D">
        <w:rPr>
          <w:sz w:val="20"/>
        </w:rPr>
        <w:t xml:space="preserve"> is not a criminal law, the provisions relied upon by the Crown are explicitly criminal rather than regulatory in purpose.  We conclude that G had a reasonable expectation of privacy in the DRA data and that the intrusion and transmittal of the information gleaned thus constituted a search.</w:t>
      </w:r>
    </w:p>
    <w:p w:rsidR="00874152" w:rsidRPr="00F6026D" w:rsidRDefault="00874152" w:rsidP="00874152">
      <w:pPr>
        <w:pStyle w:val="ListParagraph"/>
        <w:spacing w:after="480"/>
        <w:ind w:left="0"/>
        <w:jc w:val="both"/>
        <w:rPr>
          <w:sz w:val="20"/>
        </w:rPr>
      </w:pPr>
    </w:p>
    <w:p w:rsidR="00FF03EA" w:rsidRPr="00F6026D" w:rsidRDefault="00FF03EA" w:rsidP="00874152">
      <w:pPr>
        <w:pStyle w:val="ListParagraph"/>
        <w:ind w:left="0"/>
        <w:jc w:val="both"/>
        <w:rPr>
          <w:sz w:val="20"/>
        </w:rPr>
      </w:pPr>
      <w:r w:rsidRPr="00F6026D">
        <w:rPr>
          <w:sz w:val="20"/>
        </w:rPr>
        <w:tab/>
        <w:t xml:space="preserve">If a search is established, the court must then determine whether the search was reasonable.  The search in this case was not reasonable.  The warrantless use of the DRA was not shown to be reasonably necessary to the police activity, as the police unit in this case has demonstrated by virtue of its general policy of applying for warrants before attaching DRAs to transformers located on private property.  Moreover, while the </w:t>
      </w:r>
      <w:r w:rsidRPr="00F6026D">
        <w:rPr>
          <w:i/>
          <w:sz w:val="20"/>
        </w:rPr>
        <w:t>Regulation</w:t>
      </w:r>
      <w:r w:rsidRPr="00F6026D">
        <w:rPr>
          <w:sz w:val="20"/>
        </w:rPr>
        <w:t xml:space="preserve"> permits the disclosure of “customer information”, it does not authorize the utility company to operate as an agent for the police for the purpose of spying on consumers.  The DRA data that concerns us here was not pre-existing information in a utility company subscriber’s file.  Although the utility company might have chosen to collect this data on its customers on its own initiative and for its own purposes, it neither did so nor manifested any intention to do so in this case.  Accordingly, it has not been demonstrated that the search was authorized by law and as such, G’s rights under s. 8 of the </w:t>
      </w:r>
      <w:r w:rsidRPr="00F6026D">
        <w:rPr>
          <w:i/>
          <w:sz w:val="20"/>
        </w:rPr>
        <w:t>Charter</w:t>
      </w:r>
      <w:r w:rsidRPr="00F6026D">
        <w:rPr>
          <w:sz w:val="20"/>
        </w:rPr>
        <w:t xml:space="preserve"> were infringed.  We would affirm the judgment of the Court of Appeal and dismiss the appeal against that judgment to this Court.</w:t>
      </w:r>
    </w:p>
    <w:p w:rsidR="005C6840" w:rsidRDefault="005C6840" w:rsidP="005C6840">
      <w:pPr>
        <w:rPr>
          <w:sz w:val="20"/>
          <w:szCs w:val="20"/>
        </w:rPr>
      </w:pPr>
    </w:p>
    <w:p w:rsidR="00874152" w:rsidRPr="00811531" w:rsidRDefault="00874152" w:rsidP="00874152">
      <w:pPr>
        <w:jc w:val="both"/>
        <w:rPr>
          <w:spacing w:val="3"/>
          <w:sz w:val="20"/>
        </w:rPr>
      </w:pPr>
      <w:r w:rsidRPr="00811531">
        <w:rPr>
          <w:spacing w:val="3"/>
          <w:sz w:val="20"/>
        </w:rPr>
        <w:tab/>
        <w:t xml:space="preserve">APPEAL from a judgment of the Alberta Court of Appeal (Berger, O’Brien and Martin JJ.A.), 2009 ABCA 276, 11 Alta. L.R. (5th) 73, 460 A.R. 150, 462 W.A.C. 150, 247 C.C.C. (3d) 119, 70 C.R. (6th) 81, 197 C.R.R. (2d) 199, [2010] 1 W.W.R. 642, [2009] A.J. No. 892 (QL), 2009 </w:t>
      </w:r>
      <w:proofErr w:type="spellStart"/>
      <w:r w:rsidRPr="00811531">
        <w:rPr>
          <w:spacing w:val="3"/>
          <w:sz w:val="20"/>
        </w:rPr>
        <w:t>CarswellAlta</w:t>
      </w:r>
      <w:proofErr w:type="spellEnd"/>
      <w:r w:rsidRPr="00811531">
        <w:rPr>
          <w:spacing w:val="3"/>
          <w:sz w:val="20"/>
        </w:rPr>
        <w:t xml:space="preserve"> 1250, setting aside the </w:t>
      </w:r>
      <w:proofErr w:type="spellStart"/>
      <w:r w:rsidRPr="00811531">
        <w:rPr>
          <w:spacing w:val="3"/>
          <w:sz w:val="20"/>
        </w:rPr>
        <w:t>accused’s</w:t>
      </w:r>
      <w:proofErr w:type="spellEnd"/>
      <w:r w:rsidRPr="00811531">
        <w:rPr>
          <w:spacing w:val="3"/>
          <w:sz w:val="20"/>
        </w:rPr>
        <w:t xml:space="preserve"> </w:t>
      </w:r>
      <w:proofErr w:type="gramStart"/>
      <w:r w:rsidRPr="00811531">
        <w:rPr>
          <w:spacing w:val="3"/>
          <w:sz w:val="20"/>
        </w:rPr>
        <w:t>conviction  and</w:t>
      </w:r>
      <w:proofErr w:type="gramEnd"/>
      <w:r w:rsidRPr="00811531">
        <w:rPr>
          <w:spacing w:val="3"/>
          <w:sz w:val="20"/>
        </w:rPr>
        <w:t xml:space="preserve"> ordering a new trial.  Appeal allowed, </w:t>
      </w:r>
      <w:proofErr w:type="spellStart"/>
      <w:r w:rsidRPr="00811531">
        <w:rPr>
          <w:spacing w:val="3"/>
          <w:sz w:val="20"/>
        </w:rPr>
        <w:t>McLachlin</w:t>
      </w:r>
      <w:proofErr w:type="spellEnd"/>
      <w:r w:rsidRPr="00811531">
        <w:rPr>
          <w:spacing w:val="3"/>
          <w:sz w:val="20"/>
        </w:rPr>
        <w:t> C.J. and Fish J. dissenting.</w:t>
      </w:r>
    </w:p>
    <w:p w:rsidR="00874152" w:rsidRPr="00811531" w:rsidRDefault="00874152" w:rsidP="00874152">
      <w:pPr>
        <w:jc w:val="both"/>
        <w:rPr>
          <w:spacing w:val="3"/>
          <w:sz w:val="20"/>
        </w:rPr>
      </w:pPr>
    </w:p>
    <w:p w:rsidR="00874152" w:rsidRPr="00811531" w:rsidRDefault="00874152" w:rsidP="00874152">
      <w:pPr>
        <w:jc w:val="both"/>
        <w:rPr>
          <w:spacing w:val="3"/>
          <w:sz w:val="20"/>
        </w:rPr>
      </w:pPr>
      <w:r w:rsidRPr="00811531">
        <w:rPr>
          <w:spacing w:val="3"/>
          <w:sz w:val="20"/>
        </w:rPr>
        <w:tab/>
      </w:r>
      <w:proofErr w:type="gramStart"/>
      <w:r w:rsidRPr="00811531">
        <w:rPr>
          <w:i/>
          <w:spacing w:val="3"/>
          <w:sz w:val="20"/>
        </w:rPr>
        <w:t>Ronald C.</w:t>
      </w:r>
      <w:r w:rsidRPr="00811531">
        <w:rPr>
          <w:spacing w:val="3"/>
          <w:sz w:val="20"/>
        </w:rPr>
        <w:t xml:space="preserve"> </w:t>
      </w:r>
      <w:r w:rsidRPr="00811531">
        <w:rPr>
          <w:i/>
          <w:spacing w:val="3"/>
          <w:sz w:val="20"/>
        </w:rPr>
        <w:t>Reimer</w:t>
      </w:r>
      <w:r w:rsidRPr="00811531">
        <w:rPr>
          <w:spacing w:val="3"/>
          <w:sz w:val="20"/>
        </w:rPr>
        <w:t xml:space="preserve"> and </w:t>
      </w:r>
      <w:r w:rsidRPr="00811531">
        <w:rPr>
          <w:i/>
          <w:spacing w:val="3"/>
          <w:sz w:val="20"/>
        </w:rPr>
        <w:t>Susanne Boucher</w:t>
      </w:r>
      <w:r w:rsidRPr="00811531">
        <w:rPr>
          <w:spacing w:val="3"/>
          <w:sz w:val="20"/>
        </w:rPr>
        <w:t>, for the appellant.</w:t>
      </w:r>
      <w:proofErr w:type="gramEnd"/>
    </w:p>
    <w:p w:rsidR="00874152" w:rsidRPr="00811531" w:rsidRDefault="00874152" w:rsidP="00874152">
      <w:pPr>
        <w:jc w:val="both"/>
        <w:rPr>
          <w:spacing w:val="3"/>
          <w:sz w:val="20"/>
        </w:rPr>
      </w:pPr>
    </w:p>
    <w:p w:rsidR="00874152" w:rsidRPr="00811531" w:rsidRDefault="00874152" w:rsidP="00874152">
      <w:pPr>
        <w:jc w:val="both"/>
        <w:rPr>
          <w:spacing w:val="3"/>
          <w:sz w:val="20"/>
        </w:rPr>
      </w:pPr>
      <w:r w:rsidRPr="00811531">
        <w:rPr>
          <w:spacing w:val="3"/>
          <w:sz w:val="20"/>
        </w:rPr>
        <w:tab/>
      </w:r>
      <w:proofErr w:type="gramStart"/>
      <w:r w:rsidRPr="00811531">
        <w:rPr>
          <w:i/>
          <w:spacing w:val="3"/>
          <w:sz w:val="20"/>
        </w:rPr>
        <w:t>Charles R.</w:t>
      </w:r>
      <w:r w:rsidRPr="00811531">
        <w:rPr>
          <w:spacing w:val="3"/>
          <w:sz w:val="20"/>
        </w:rPr>
        <w:t xml:space="preserve"> </w:t>
      </w:r>
      <w:r w:rsidRPr="00811531">
        <w:rPr>
          <w:i/>
          <w:spacing w:val="3"/>
          <w:sz w:val="20"/>
        </w:rPr>
        <w:t>Stewart</w:t>
      </w:r>
      <w:r w:rsidRPr="00811531">
        <w:rPr>
          <w:spacing w:val="3"/>
          <w:sz w:val="20"/>
        </w:rPr>
        <w:t>,</w:t>
      </w:r>
      <w:r w:rsidRPr="00811531">
        <w:rPr>
          <w:i/>
          <w:spacing w:val="3"/>
          <w:sz w:val="20"/>
        </w:rPr>
        <w:t xml:space="preserve"> Q.C.</w:t>
      </w:r>
      <w:r w:rsidRPr="00811531">
        <w:rPr>
          <w:spacing w:val="3"/>
          <w:sz w:val="20"/>
        </w:rPr>
        <w:t>, and</w:t>
      </w:r>
      <w:r w:rsidRPr="00811531">
        <w:rPr>
          <w:i/>
          <w:spacing w:val="3"/>
          <w:sz w:val="20"/>
        </w:rPr>
        <w:t xml:space="preserve"> David Andrews</w:t>
      </w:r>
      <w:r w:rsidRPr="00811531">
        <w:rPr>
          <w:spacing w:val="3"/>
          <w:sz w:val="20"/>
        </w:rPr>
        <w:t>, for the respondent.</w:t>
      </w:r>
      <w:proofErr w:type="gramEnd"/>
    </w:p>
    <w:p w:rsidR="00874152" w:rsidRPr="00811531" w:rsidRDefault="00874152" w:rsidP="00874152">
      <w:pPr>
        <w:jc w:val="both"/>
        <w:rPr>
          <w:spacing w:val="3"/>
          <w:sz w:val="20"/>
        </w:rPr>
      </w:pPr>
    </w:p>
    <w:p w:rsidR="00874152" w:rsidRPr="00811531" w:rsidRDefault="00874152" w:rsidP="00874152">
      <w:pPr>
        <w:jc w:val="both"/>
        <w:rPr>
          <w:spacing w:val="3"/>
          <w:sz w:val="20"/>
        </w:rPr>
      </w:pPr>
      <w:r w:rsidRPr="00811531">
        <w:rPr>
          <w:spacing w:val="3"/>
          <w:sz w:val="20"/>
        </w:rPr>
        <w:tab/>
      </w:r>
      <w:proofErr w:type="gramStart"/>
      <w:r w:rsidRPr="00811531">
        <w:rPr>
          <w:i/>
          <w:spacing w:val="3"/>
          <w:sz w:val="20"/>
        </w:rPr>
        <w:t>Christine</w:t>
      </w:r>
      <w:r w:rsidRPr="00811531">
        <w:rPr>
          <w:spacing w:val="3"/>
          <w:sz w:val="20"/>
        </w:rPr>
        <w:t xml:space="preserve"> </w:t>
      </w:r>
      <w:r w:rsidRPr="00811531">
        <w:rPr>
          <w:i/>
          <w:spacing w:val="3"/>
          <w:sz w:val="20"/>
        </w:rPr>
        <w:t>Tier</w:t>
      </w:r>
      <w:r w:rsidRPr="00811531">
        <w:rPr>
          <w:spacing w:val="3"/>
          <w:sz w:val="20"/>
        </w:rPr>
        <w:t>, for the intervener the Attorney General of Ontario.</w:t>
      </w:r>
      <w:proofErr w:type="gramEnd"/>
    </w:p>
    <w:p w:rsidR="00874152" w:rsidRPr="00811531" w:rsidRDefault="00874152" w:rsidP="00874152">
      <w:pPr>
        <w:jc w:val="both"/>
        <w:rPr>
          <w:spacing w:val="3"/>
          <w:sz w:val="20"/>
        </w:rPr>
      </w:pPr>
    </w:p>
    <w:p w:rsidR="00874152" w:rsidRPr="00811531" w:rsidRDefault="00874152" w:rsidP="00874152">
      <w:pPr>
        <w:jc w:val="both"/>
        <w:rPr>
          <w:spacing w:val="3"/>
          <w:sz w:val="20"/>
        </w:rPr>
      </w:pPr>
      <w:r w:rsidRPr="00811531">
        <w:rPr>
          <w:spacing w:val="3"/>
          <w:sz w:val="20"/>
        </w:rPr>
        <w:tab/>
      </w:r>
      <w:proofErr w:type="gramStart"/>
      <w:r w:rsidRPr="00811531">
        <w:rPr>
          <w:i/>
          <w:spacing w:val="3"/>
          <w:sz w:val="20"/>
        </w:rPr>
        <w:t xml:space="preserve">Brigitte </w:t>
      </w:r>
      <w:proofErr w:type="spellStart"/>
      <w:r w:rsidRPr="00811531">
        <w:rPr>
          <w:i/>
          <w:spacing w:val="3"/>
          <w:sz w:val="20"/>
        </w:rPr>
        <w:t>Bussières</w:t>
      </w:r>
      <w:proofErr w:type="spellEnd"/>
      <w:r w:rsidRPr="00811531">
        <w:rPr>
          <w:spacing w:val="3"/>
          <w:sz w:val="20"/>
        </w:rPr>
        <w:t xml:space="preserve"> and </w:t>
      </w:r>
      <w:r w:rsidRPr="00811531">
        <w:rPr>
          <w:i/>
          <w:spacing w:val="3"/>
          <w:sz w:val="20"/>
        </w:rPr>
        <w:t>Gilles</w:t>
      </w:r>
      <w:r w:rsidRPr="00811531">
        <w:rPr>
          <w:spacing w:val="3"/>
          <w:sz w:val="20"/>
        </w:rPr>
        <w:t xml:space="preserve"> </w:t>
      </w:r>
      <w:proofErr w:type="spellStart"/>
      <w:r w:rsidRPr="00811531">
        <w:rPr>
          <w:i/>
          <w:spacing w:val="3"/>
          <w:sz w:val="20"/>
        </w:rPr>
        <w:t>Laporte</w:t>
      </w:r>
      <w:proofErr w:type="spellEnd"/>
      <w:r w:rsidRPr="00811531">
        <w:rPr>
          <w:spacing w:val="3"/>
          <w:sz w:val="20"/>
        </w:rPr>
        <w:t>, for the intervener the Attorney General of Quebec.</w:t>
      </w:r>
      <w:proofErr w:type="gramEnd"/>
    </w:p>
    <w:p w:rsidR="00874152" w:rsidRPr="00811531" w:rsidRDefault="00874152" w:rsidP="00874152">
      <w:pPr>
        <w:jc w:val="both"/>
        <w:rPr>
          <w:spacing w:val="3"/>
          <w:sz w:val="20"/>
        </w:rPr>
      </w:pPr>
    </w:p>
    <w:p w:rsidR="00874152" w:rsidRPr="00811531" w:rsidRDefault="00874152" w:rsidP="00874152">
      <w:pPr>
        <w:jc w:val="both"/>
        <w:rPr>
          <w:spacing w:val="3"/>
          <w:sz w:val="20"/>
        </w:rPr>
      </w:pPr>
      <w:r w:rsidRPr="00811531">
        <w:rPr>
          <w:spacing w:val="3"/>
          <w:sz w:val="20"/>
        </w:rPr>
        <w:tab/>
      </w:r>
      <w:proofErr w:type="gramStart"/>
      <w:r w:rsidRPr="00811531">
        <w:rPr>
          <w:i/>
          <w:spacing w:val="3"/>
          <w:sz w:val="20"/>
        </w:rPr>
        <w:t>David S.</w:t>
      </w:r>
      <w:r w:rsidRPr="00811531">
        <w:rPr>
          <w:spacing w:val="3"/>
          <w:sz w:val="20"/>
        </w:rPr>
        <w:t xml:space="preserve"> </w:t>
      </w:r>
      <w:r w:rsidRPr="00811531">
        <w:rPr>
          <w:i/>
          <w:spacing w:val="3"/>
          <w:sz w:val="20"/>
        </w:rPr>
        <w:t>Rose</w:t>
      </w:r>
      <w:r w:rsidRPr="00811531">
        <w:rPr>
          <w:spacing w:val="3"/>
          <w:sz w:val="20"/>
        </w:rPr>
        <w:t xml:space="preserve"> and </w:t>
      </w:r>
      <w:r w:rsidRPr="00811531">
        <w:rPr>
          <w:i/>
          <w:spacing w:val="3"/>
          <w:sz w:val="20"/>
        </w:rPr>
        <w:t xml:space="preserve">John J. </w:t>
      </w:r>
      <w:proofErr w:type="spellStart"/>
      <w:r w:rsidRPr="00811531">
        <w:rPr>
          <w:i/>
          <w:spacing w:val="3"/>
          <w:sz w:val="20"/>
        </w:rPr>
        <w:t>Navarrete</w:t>
      </w:r>
      <w:proofErr w:type="spellEnd"/>
      <w:r w:rsidRPr="00811531">
        <w:rPr>
          <w:spacing w:val="3"/>
          <w:sz w:val="20"/>
        </w:rPr>
        <w:t>, for the intervener the Canadian Civil Liberties Association.</w:t>
      </w:r>
      <w:proofErr w:type="gramEnd"/>
    </w:p>
    <w:p w:rsidR="00874152" w:rsidRPr="00811531" w:rsidRDefault="00874152" w:rsidP="00874152">
      <w:pPr>
        <w:jc w:val="both"/>
        <w:rPr>
          <w:spacing w:val="3"/>
          <w:sz w:val="20"/>
        </w:rPr>
      </w:pPr>
    </w:p>
    <w:p w:rsidR="00874152" w:rsidRPr="00811531" w:rsidRDefault="00874152" w:rsidP="00874152">
      <w:pPr>
        <w:jc w:val="both"/>
        <w:rPr>
          <w:i/>
          <w:spacing w:val="3"/>
          <w:sz w:val="20"/>
        </w:rPr>
      </w:pPr>
      <w:r w:rsidRPr="00811531">
        <w:rPr>
          <w:spacing w:val="3"/>
          <w:sz w:val="20"/>
        </w:rPr>
        <w:tab/>
      </w:r>
      <w:r w:rsidRPr="00811531">
        <w:rPr>
          <w:i/>
          <w:spacing w:val="3"/>
          <w:sz w:val="20"/>
        </w:rPr>
        <w:t>Solicitor for the appellant:  Public Prosecution Service of Canada, Edmonton.</w:t>
      </w:r>
    </w:p>
    <w:p w:rsidR="00874152" w:rsidRPr="00811531" w:rsidRDefault="00874152" w:rsidP="00874152">
      <w:pPr>
        <w:jc w:val="both"/>
        <w:rPr>
          <w:spacing w:val="3"/>
          <w:sz w:val="20"/>
        </w:rPr>
      </w:pPr>
    </w:p>
    <w:p w:rsidR="00874152" w:rsidRPr="00811531" w:rsidRDefault="00874152" w:rsidP="00874152">
      <w:pPr>
        <w:jc w:val="both"/>
        <w:rPr>
          <w:i/>
          <w:spacing w:val="3"/>
          <w:sz w:val="20"/>
        </w:rPr>
      </w:pPr>
      <w:r w:rsidRPr="00811531">
        <w:rPr>
          <w:spacing w:val="3"/>
          <w:sz w:val="20"/>
        </w:rPr>
        <w:tab/>
      </w:r>
      <w:r w:rsidRPr="00811531">
        <w:rPr>
          <w:i/>
          <w:spacing w:val="3"/>
          <w:sz w:val="20"/>
        </w:rPr>
        <w:t>Solicitors for the respondent:  Stewart &amp; Andrews, Calgary.</w:t>
      </w:r>
    </w:p>
    <w:p w:rsidR="00874152" w:rsidRPr="00811531" w:rsidRDefault="00874152" w:rsidP="00874152">
      <w:pPr>
        <w:jc w:val="both"/>
        <w:rPr>
          <w:i/>
          <w:spacing w:val="3"/>
          <w:sz w:val="20"/>
        </w:rPr>
      </w:pPr>
    </w:p>
    <w:p w:rsidR="00874152" w:rsidRPr="00811531" w:rsidRDefault="00874152" w:rsidP="00874152">
      <w:pPr>
        <w:jc w:val="both"/>
        <w:rPr>
          <w:i/>
          <w:spacing w:val="3"/>
          <w:sz w:val="20"/>
        </w:rPr>
      </w:pPr>
      <w:r w:rsidRPr="00811531">
        <w:rPr>
          <w:i/>
          <w:spacing w:val="3"/>
          <w:sz w:val="20"/>
        </w:rPr>
        <w:tab/>
        <w:t>Solicitor for the intervener the Attorney General of Ontario:  Attorney General of Ontario, Toronto.</w:t>
      </w:r>
    </w:p>
    <w:p w:rsidR="00874152" w:rsidRPr="00811531" w:rsidRDefault="00874152" w:rsidP="00874152">
      <w:pPr>
        <w:jc w:val="both"/>
        <w:rPr>
          <w:i/>
          <w:spacing w:val="3"/>
          <w:sz w:val="20"/>
        </w:rPr>
      </w:pPr>
    </w:p>
    <w:p w:rsidR="00874152" w:rsidRPr="00811531" w:rsidRDefault="00874152" w:rsidP="00874152">
      <w:pPr>
        <w:jc w:val="both"/>
        <w:rPr>
          <w:i/>
          <w:spacing w:val="3"/>
          <w:sz w:val="20"/>
        </w:rPr>
      </w:pPr>
      <w:r w:rsidRPr="00811531">
        <w:rPr>
          <w:i/>
          <w:spacing w:val="3"/>
          <w:sz w:val="20"/>
        </w:rPr>
        <w:tab/>
        <w:t>Solicitor for the intervener the Attorney General of Quebec:  Attorney General of Quebec, Quebec.</w:t>
      </w:r>
    </w:p>
    <w:p w:rsidR="00874152" w:rsidRPr="00811531" w:rsidRDefault="00874152" w:rsidP="00874152">
      <w:pPr>
        <w:jc w:val="both"/>
        <w:rPr>
          <w:spacing w:val="3"/>
          <w:sz w:val="20"/>
        </w:rPr>
      </w:pPr>
    </w:p>
    <w:p w:rsidR="00FF03EA" w:rsidRDefault="00874152" w:rsidP="00874152">
      <w:pPr>
        <w:rPr>
          <w:i/>
          <w:spacing w:val="3"/>
          <w:sz w:val="20"/>
        </w:rPr>
      </w:pPr>
      <w:r w:rsidRPr="00811531">
        <w:rPr>
          <w:spacing w:val="3"/>
          <w:sz w:val="20"/>
        </w:rPr>
        <w:lastRenderedPageBreak/>
        <w:tab/>
      </w:r>
      <w:r w:rsidRPr="00811531">
        <w:rPr>
          <w:i/>
          <w:spacing w:val="3"/>
          <w:sz w:val="20"/>
        </w:rPr>
        <w:t>Solicitors for the intervener the Canadian Civil Liberties Association:  Neuberger Rose, Toronto.</w:t>
      </w:r>
    </w:p>
    <w:p w:rsidR="00874152" w:rsidRPr="003C1082" w:rsidRDefault="00874152" w:rsidP="00874152">
      <w:pPr>
        <w:rPr>
          <w:sz w:val="20"/>
          <w:szCs w:val="20"/>
          <w:lang w:val="fr-CA"/>
        </w:rPr>
      </w:pPr>
      <w:r w:rsidRPr="003C1082">
        <w:rPr>
          <w:sz w:val="20"/>
          <w:szCs w:val="20"/>
          <w:lang w:val="fr-CA"/>
        </w:rPr>
        <w:t>________________________</w:t>
      </w:r>
    </w:p>
    <w:p w:rsidR="00874152" w:rsidRPr="003C1082" w:rsidRDefault="00874152" w:rsidP="00874152">
      <w:pPr>
        <w:rPr>
          <w:spacing w:val="3"/>
          <w:sz w:val="20"/>
          <w:lang w:val="fr-CA"/>
        </w:rPr>
      </w:pPr>
    </w:p>
    <w:p w:rsidR="00874152" w:rsidRPr="000E3CA5" w:rsidRDefault="00874152" w:rsidP="00874152">
      <w:pPr>
        <w:tabs>
          <w:tab w:val="left" w:pos="1152"/>
        </w:tabs>
        <w:jc w:val="both"/>
        <w:rPr>
          <w:spacing w:val="3"/>
          <w:sz w:val="20"/>
          <w:lang w:val="fr-CA"/>
        </w:rPr>
      </w:pPr>
      <w:r w:rsidRPr="000E3CA5">
        <w:rPr>
          <w:spacing w:val="3"/>
          <w:sz w:val="20"/>
          <w:lang w:val="fr-CA"/>
        </w:rPr>
        <w:t xml:space="preserve">Présents : La juge en chef </w:t>
      </w:r>
      <w:proofErr w:type="spellStart"/>
      <w:r w:rsidRPr="000E3CA5">
        <w:rPr>
          <w:spacing w:val="3"/>
          <w:sz w:val="20"/>
          <w:lang w:val="fr-CA"/>
        </w:rPr>
        <w:t>McLachlin</w:t>
      </w:r>
      <w:proofErr w:type="spellEnd"/>
      <w:r w:rsidRPr="000E3CA5">
        <w:rPr>
          <w:spacing w:val="3"/>
          <w:sz w:val="20"/>
          <w:lang w:val="fr-CA"/>
        </w:rPr>
        <w:t xml:space="preserve"> et les juges </w:t>
      </w:r>
      <w:proofErr w:type="spellStart"/>
      <w:r w:rsidRPr="000E3CA5">
        <w:rPr>
          <w:spacing w:val="3"/>
          <w:sz w:val="20"/>
          <w:lang w:val="fr-CA"/>
        </w:rPr>
        <w:t>Binnie</w:t>
      </w:r>
      <w:proofErr w:type="spellEnd"/>
      <w:r w:rsidRPr="000E3CA5">
        <w:rPr>
          <w:spacing w:val="3"/>
          <w:sz w:val="20"/>
          <w:lang w:val="fr-CA"/>
        </w:rPr>
        <w:t xml:space="preserve">, </w:t>
      </w:r>
      <w:proofErr w:type="spellStart"/>
      <w:r w:rsidRPr="000E3CA5">
        <w:rPr>
          <w:spacing w:val="3"/>
          <w:sz w:val="20"/>
          <w:lang w:val="fr-CA"/>
        </w:rPr>
        <w:t>LeBel</w:t>
      </w:r>
      <w:proofErr w:type="spellEnd"/>
      <w:r w:rsidRPr="000E3CA5">
        <w:rPr>
          <w:spacing w:val="3"/>
          <w:sz w:val="20"/>
          <w:lang w:val="fr-CA"/>
        </w:rPr>
        <w:t xml:space="preserve">, Deschamps, Fish, Abella, Charron, </w:t>
      </w:r>
      <w:proofErr w:type="spellStart"/>
      <w:r w:rsidRPr="000E3CA5">
        <w:rPr>
          <w:spacing w:val="3"/>
          <w:sz w:val="20"/>
          <w:lang w:val="fr-CA"/>
        </w:rPr>
        <w:t>Rothstein</w:t>
      </w:r>
      <w:proofErr w:type="spellEnd"/>
      <w:r w:rsidRPr="000E3CA5">
        <w:rPr>
          <w:spacing w:val="3"/>
          <w:sz w:val="20"/>
          <w:lang w:val="fr-CA"/>
        </w:rPr>
        <w:t xml:space="preserve"> et Cromwell.</w:t>
      </w:r>
    </w:p>
    <w:p w:rsidR="00874152" w:rsidRPr="00874152" w:rsidRDefault="00874152" w:rsidP="00874152">
      <w:pPr>
        <w:rPr>
          <w:spacing w:val="3"/>
          <w:sz w:val="20"/>
          <w:lang w:val="fr-CA"/>
        </w:rPr>
      </w:pPr>
    </w:p>
    <w:p w:rsidR="00874152" w:rsidRPr="00874152" w:rsidRDefault="00B017F8" w:rsidP="00874152">
      <w:pPr>
        <w:pStyle w:val="ListParagraph"/>
        <w:ind w:left="0"/>
        <w:jc w:val="both"/>
        <w:rPr>
          <w:i/>
          <w:sz w:val="20"/>
          <w:lang w:val="fr-CA"/>
        </w:rPr>
      </w:pPr>
      <w:r>
        <w:rPr>
          <w:i/>
          <w:sz w:val="20"/>
          <w:lang w:val="fr-CA"/>
        </w:rPr>
        <w:tab/>
      </w:r>
      <w:r w:rsidR="00874152" w:rsidRPr="00874152">
        <w:rPr>
          <w:i/>
          <w:sz w:val="20"/>
          <w:lang w:val="fr-CA"/>
        </w:rPr>
        <w:t xml:space="preserve">Droit constitutionnel — Charte des droits — Fouilles, perquisitions et saisies — Demande faite sans mandat par les policiers au fournisseur d’électricité d’installer un ampèremètre numérique muni d’un enregistreur pour mesurer la consommation d’électricité d’une habitation dans laquelle ils soupçonnaient l’existence d’une culture de marihuana — Données enregistrées par l’ampèremètre numérique révélant des cycles compatibles avec une installation de culture — Mandat de perquisition obtenu sur le fondement des observations des policiers et des renseignements enregistrés par l’ampèremètre — </w:t>
      </w:r>
      <w:proofErr w:type="spellStart"/>
      <w:r w:rsidR="00874152" w:rsidRPr="00874152">
        <w:rPr>
          <w:i/>
          <w:sz w:val="20"/>
          <w:lang w:val="fr-CA"/>
        </w:rPr>
        <w:t>Existait</w:t>
      </w:r>
      <w:r w:rsidR="00874152" w:rsidRPr="00874152">
        <w:rPr>
          <w:i/>
          <w:sz w:val="20"/>
          <w:lang w:val="fr-CA"/>
        </w:rPr>
        <w:noBreakHyphen/>
        <w:t>il</w:t>
      </w:r>
      <w:proofErr w:type="spellEnd"/>
      <w:r w:rsidR="00874152" w:rsidRPr="00874152">
        <w:rPr>
          <w:i/>
          <w:sz w:val="20"/>
          <w:lang w:val="fr-CA"/>
        </w:rPr>
        <w:t xml:space="preserve"> une attente raisonnable de respect de la vie privée à l’égard des renseignements fournis par l’ampèremètre numérique muni d’un enregistreur? — L’installation de l’ampèremètre numérique muni d’un enregistreur </w:t>
      </w:r>
      <w:proofErr w:type="spellStart"/>
      <w:r w:rsidR="00874152" w:rsidRPr="00874152">
        <w:rPr>
          <w:i/>
          <w:sz w:val="20"/>
          <w:lang w:val="fr-CA"/>
        </w:rPr>
        <w:t>portait</w:t>
      </w:r>
      <w:r w:rsidR="00874152" w:rsidRPr="00874152">
        <w:rPr>
          <w:i/>
          <w:sz w:val="20"/>
          <w:lang w:val="fr-CA"/>
        </w:rPr>
        <w:noBreakHyphen/>
        <w:t>elle</w:t>
      </w:r>
      <w:proofErr w:type="spellEnd"/>
      <w:r w:rsidR="00874152" w:rsidRPr="00874152">
        <w:rPr>
          <w:i/>
          <w:sz w:val="20"/>
          <w:lang w:val="fr-CA"/>
        </w:rPr>
        <w:t xml:space="preserve"> atteinte aux droits de l’accusé à la protection contre les fouilles, perquisitions et saisies abusives? — Charte canadienne des droits et libertés, art. 8 — Electric Utilities </w:t>
      </w:r>
      <w:proofErr w:type="spellStart"/>
      <w:r w:rsidR="00874152" w:rsidRPr="00874152">
        <w:rPr>
          <w:i/>
          <w:sz w:val="20"/>
          <w:lang w:val="fr-CA"/>
        </w:rPr>
        <w:t>Act</w:t>
      </w:r>
      <w:proofErr w:type="spellEnd"/>
      <w:r w:rsidR="00874152" w:rsidRPr="00874152">
        <w:rPr>
          <w:i/>
          <w:sz w:val="20"/>
          <w:lang w:val="fr-CA"/>
        </w:rPr>
        <w:t>, S.A. 2003, ch. E</w:t>
      </w:r>
      <w:r w:rsidR="00874152" w:rsidRPr="00874152">
        <w:rPr>
          <w:i/>
          <w:sz w:val="20"/>
          <w:lang w:val="fr-CA"/>
        </w:rPr>
        <w:noBreakHyphen/>
        <w:t xml:space="preserve">5.1 — Code of </w:t>
      </w:r>
      <w:proofErr w:type="spellStart"/>
      <w:r w:rsidR="00874152" w:rsidRPr="00874152">
        <w:rPr>
          <w:i/>
          <w:sz w:val="20"/>
          <w:lang w:val="fr-CA"/>
        </w:rPr>
        <w:t>Conduct</w:t>
      </w:r>
      <w:proofErr w:type="spellEnd"/>
      <w:r w:rsidR="00874152" w:rsidRPr="00874152">
        <w:rPr>
          <w:i/>
          <w:sz w:val="20"/>
          <w:lang w:val="fr-CA"/>
        </w:rPr>
        <w:t xml:space="preserve"> </w:t>
      </w:r>
      <w:proofErr w:type="spellStart"/>
      <w:r w:rsidR="00874152" w:rsidRPr="00874152">
        <w:rPr>
          <w:i/>
          <w:sz w:val="20"/>
          <w:lang w:val="fr-CA"/>
        </w:rPr>
        <w:t>Regulation</w:t>
      </w:r>
      <w:proofErr w:type="spellEnd"/>
      <w:r w:rsidR="00874152" w:rsidRPr="00874152">
        <w:rPr>
          <w:i/>
          <w:sz w:val="20"/>
          <w:lang w:val="fr-CA"/>
        </w:rPr>
        <w:t>, Alta. Reg. 160/2003.</w:t>
      </w:r>
    </w:p>
    <w:p w:rsidR="00874152" w:rsidRDefault="00874152" w:rsidP="00874152">
      <w:pPr>
        <w:pStyle w:val="ListParagraph"/>
        <w:tabs>
          <w:tab w:val="left" w:pos="6480"/>
        </w:tabs>
        <w:ind w:left="0"/>
        <w:jc w:val="both"/>
        <w:rPr>
          <w:i/>
          <w:sz w:val="20"/>
          <w:lang w:val="fr-CA"/>
        </w:rPr>
      </w:pPr>
    </w:p>
    <w:p w:rsidR="00874152" w:rsidRPr="00874152" w:rsidRDefault="00B017F8" w:rsidP="00B017F8">
      <w:pPr>
        <w:pStyle w:val="ListParagraph"/>
        <w:ind w:left="0"/>
        <w:jc w:val="both"/>
        <w:rPr>
          <w:i/>
          <w:sz w:val="20"/>
          <w:lang w:val="fr-CA"/>
        </w:rPr>
      </w:pPr>
      <w:r>
        <w:rPr>
          <w:i/>
          <w:sz w:val="20"/>
          <w:lang w:val="fr-CA"/>
        </w:rPr>
        <w:tab/>
      </w:r>
      <w:r w:rsidR="00874152" w:rsidRPr="00874152">
        <w:rPr>
          <w:i/>
          <w:sz w:val="20"/>
          <w:lang w:val="fr-CA"/>
        </w:rPr>
        <w:t xml:space="preserve">Police — Pouvoirs — Pouvoirs de perquisition — Demande faite sans mandat par les policiers au fournisseur d’électricité d’installer un ampèremètre numérique muni d’un enregistreur pour mesurer la consommation d’électricité d’une habitation dans laquelle ils soupçonnaient l’existence d’une culture de marihuana — Données enregistrées par l’ampèremètre numérique révélant des cycles compatibles avec une installation de culture — Mandat de perquisition obtenu sur le fondement des observations des policiers et des renseignements enregistrés par l’ampèremètre — La façon dont les policiers ont exercé leurs pouvoirs de perquisition </w:t>
      </w:r>
      <w:proofErr w:type="spellStart"/>
      <w:r w:rsidR="00874152" w:rsidRPr="00874152">
        <w:rPr>
          <w:i/>
          <w:sz w:val="20"/>
          <w:lang w:val="fr-CA"/>
        </w:rPr>
        <w:t>a</w:t>
      </w:r>
      <w:r w:rsidR="00874152" w:rsidRPr="00874152">
        <w:rPr>
          <w:i/>
          <w:sz w:val="20"/>
          <w:lang w:val="fr-CA"/>
        </w:rPr>
        <w:noBreakHyphen/>
        <w:t>t</w:t>
      </w:r>
      <w:r w:rsidR="00874152" w:rsidRPr="00874152">
        <w:rPr>
          <w:i/>
          <w:sz w:val="20"/>
          <w:lang w:val="fr-CA"/>
        </w:rPr>
        <w:noBreakHyphen/>
        <w:t>elle</w:t>
      </w:r>
      <w:proofErr w:type="spellEnd"/>
      <w:r w:rsidR="00874152" w:rsidRPr="00874152">
        <w:rPr>
          <w:i/>
          <w:sz w:val="20"/>
          <w:lang w:val="fr-CA"/>
        </w:rPr>
        <w:t xml:space="preserve"> porté atteinte au droit de l’accusé à la protection contre les fouilles et les perquisitions abusives? ― Charte canadienne des droits et libertés, art. 8.</w:t>
      </w:r>
    </w:p>
    <w:p w:rsidR="00874152" w:rsidRPr="00874152" w:rsidRDefault="00874152" w:rsidP="00874152">
      <w:pPr>
        <w:pStyle w:val="ListParagraph"/>
        <w:tabs>
          <w:tab w:val="left" w:pos="6480"/>
        </w:tabs>
        <w:jc w:val="both"/>
        <w:rPr>
          <w:spacing w:val="3"/>
          <w:sz w:val="20"/>
          <w:lang w:val="fr-CA"/>
        </w:rPr>
      </w:pPr>
    </w:p>
    <w:p w:rsidR="00874152" w:rsidRPr="00874152" w:rsidRDefault="00874152" w:rsidP="00874152">
      <w:pPr>
        <w:pStyle w:val="ListParagraph"/>
        <w:ind w:left="0"/>
        <w:jc w:val="both"/>
        <w:rPr>
          <w:sz w:val="20"/>
          <w:lang w:val="fr-CA"/>
        </w:rPr>
      </w:pPr>
      <w:r w:rsidRPr="00874152">
        <w:rPr>
          <w:sz w:val="20"/>
          <w:lang w:val="fr-CA"/>
        </w:rPr>
        <w:tab/>
        <w:t xml:space="preserve">Un agent de l’unité des drogues du service de police de Calgary a informé la </w:t>
      </w:r>
      <w:proofErr w:type="spellStart"/>
      <w:r w:rsidRPr="00874152">
        <w:rPr>
          <w:sz w:val="20"/>
          <w:lang w:val="fr-CA"/>
        </w:rPr>
        <w:t>Southern</w:t>
      </w:r>
      <w:proofErr w:type="spellEnd"/>
      <w:r w:rsidRPr="00874152">
        <w:rPr>
          <w:sz w:val="20"/>
          <w:lang w:val="fr-CA"/>
        </w:rPr>
        <w:t xml:space="preserve"> Alberta Marijuana Investigation Team qu’il croyait qu’une maison de Calgary pouvait abriter une culture de marihuana.  L’</w:t>
      </w:r>
      <w:proofErr w:type="spellStart"/>
      <w:r w:rsidRPr="00874152">
        <w:rPr>
          <w:sz w:val="20"/>
          <w:lang w:val="fr-CA"/>
        </w:rPr>
        <w:t>après</w:t>
      </w:r>
      <w:r w:rsidRPr="00874152">
        <w:rPr>
          <w:sz w:val="20"/>
          <w:lang w:val="fr-CA"/>
        </w:rPr>
        <w:noBreakHyphen/>
        <w:t>midi</w:t>
      </w:r>
      <w:proofErr w:type="spellEnd"/>
      <w:r w:rsidRPr="00874152">
        <w:rPr>
          <w:sz w:val="20"/>
          <w:lang w:val="fr-CA"/>
        </w:rPr>
        <w:t xml:space="preserve"> même, des agents ont procédé à une reconnaissance des lieux et interrogé des voisins.  Sur la foi des observations des agents et des réponses des voisins interrogés, la police a demandé à l’entreprise de services publics d’installer un ampèremètre numérique muni d’un enregistreur (« AN ») pour mesurer le courant électrique consommé par la maison appartenant à G.  Le graphique ainsi obtenu montrait un cycle de consommation d’environ 18 heures, compatible avec la culture de marihuana.  Une agente a procédé à une deuxième reconnaissance de l’extérieur de la résidence de G.  Elle a obtenu un mandat de perquisition sur le fondement de ses observations et des renseignements qui lui avaient été fournis, dont le graphique produit à l’aide de l’AN.  La perquisition a permis à la police de saisir 165,33 kg de marihuana en vrac, 206,8 g de marihuana préparée et ensachée, dans le congélateur, et de nombreux articles liés à la culture de la marihuana.  G a été inculpé de possession de marihuana en vue d’en faire le trafic et de production illégale de marihuana, ainsi que de vol d’électricité.  Un </w:t>
      </w:r>
      <w:proofErr w:type="spellStart"/>
      <w:r w:rsidRPr="00874152">
        <w:rPr>
          <w:sz w:val="20"/>
          <w:lang w:val="fr-CA"/>
        </w:rPr>
        <w:t>voir</w:t>
      </w:r>
      <w:r w:rsidRPr="00874152">
        <w:rPr>
          <w:sz w:val="20"/>
          <w:lang w:val="fr-CA"/>
        </w:rPr>
        <w:noBreakHyphen/>
        <w:t>dire</w:t>
      </w:r>
      <w:proofErr w:type="spellEnd"/>
      <w:r w:rsidRPr="00874152">
        <w:rPr>
          <w:sz w:val="20"/>
          <w:lang w:val="fr-CA"/>
        </w:rPr>
        <w:t xml:space="preserve"> a été tenu pour déterminer si la preuve recueillie lors de la perquisition devait être exclue à la demande de G, parce qu’aucun mandat de perquisition n’avait été obtenu préalablement à l’installation de l’AN.  La juge du procès s’est appuyée sur le </w:t>
      </w:r>
      <w:r w:rsidRPr="00874152">
        <w:rPr>
          <w:i/>
          <w:sz w:val="20"/>
          <w:lang w:val="fr-CA"/>
        </w:rPr>
        <w:t xml:space="preserve">Code of </w:t>
      </w:r>
      <w:proofErr w:type="spellStart"/>
      <w:r w:rsidRPr="00874152">
        <w:rPr>
          <w:i/>
          <w:sz w:val="20"/>
          <w:lang w:val="fr-CA"/>
        </w:rPr>
        <w:t>Conduct</w:t>
      </w:r>
      <w:proofErr w:type="spellEnd"/>
      <w:r w:rsidRPr="00874152">
        <w:rPr>
          <w:i/>
          <w:sz w:val="20"/>
          <w:lang w:val="fr-CA"/>
        </w:rPr>
        <w:t xml:space="preserve"> </w:t>
      </w:r>
      <w:proofErr w:type="spellStart"/>
      <w:r w:rsidRPr="00874152">
        <w:rPr>
          <w:i/>
          <w:sz w:val="20"/>
          <w:lang w:val="fr-CA"/>
        </w:rPr>
        <w:t>Regulation</w:t>
      </w:r>
      <w:proofErr w:type="spellEnd"/>
      <w:r w:rsidRPr="00874152">
        <w:rPr>
          <w:sz w:val="20"/>
          <w:lang w:val="fr-CA"/>
        </w:rPr>
        <w:t xml:space="preserve"> pris en application de l’</w:t>
      </w:r>
      <w:r w:rsidRPr="00874152">
        <w:rPr>
          <w:i/>
          <w:sz w:val="20"/>
          <w:lang w:val="fr-CA"/>
        </w:rPr>
        <w:t xml:space="preserve">Electric Utilities </w:t>
      </w:r>
      <w:proofErr w:type="spellStart"/>
      <w:r w:rsidRPr="00874152">
        <w:rPr>
          <w:i/>
          <w:sz w:val="20"/>
          <w:lang w:val="fr-CA"/>
        </w:rPr>
        <w:t>Act</w:t>
      </w:r>
      <w:proofErr w:type="spellEnd"/>
      <w:r w:rsidRPr="00874152">
        <w:rPr>
          <w:sz w:val="20"/>
          <w:lang w:val="fr-CA"/>
        </w:rPr>
        <w:t xml:space="preserve"> de l’Alberta comme fondement législatif à l’accès des policiers aux données enregistrées par l’AN.  </w:t>
      </w:r>
      <w:proofErr w:type="spellStart"/>
      <w:r w:rsidRPr="00874152">
        <w:rPr>
          <w:sz w:val="20"/>
          <w:lang w:val="fr-CA"/>
        </w:rPr>
        <w:t>Celles</w:t>
      </w:r>
      <w:r w:rsidRPr="00874152">
        <w:rPr>
          <w:sz w:val="20"/>
          <w:lang w:val="fr-CA"/>
        </w:rPr>
        <w:noBreakHyphen/>
        <w:t>ci</w:t>
      </w:r>
      <w:proofErr w:type="spellEnd"/>
      <w:r w:rsidRPr="00874152">
        <w:rPr>
          <w:sz w:val="20"/>
          <w:lang w:val="fr-CA"/>
        </w:rPr>
        <w:t xml:space="preserve"> ont donc été admises en preuve et G a été reconnu coupable des infractions relatives aux drogues.  La Cour d’appel de l’Alberta a accueilli à la majorité l’appel de G et ordonné la tenue d’un nouveau procès après avoir conclu que G avait une attente subjective en matière de vie privée en ce qui concerne les renseignements obtenus à l’aide de l’AN, et que cette attente était objectivement raisonnable.  De plus, selon l’opinion majoritaire, on ne saurait prêter au Règlement une interprétation selon laquelle il est implicite que les propriétaires consentent à ce qu’une entreprise de services publics recueille des renseignements à la demande de l’État.</w:t>
      </w:r>
    </w:p>
    <w:p w:rsidR="00874152" w:rsidRDefault="00874152" w:rsidP="00874152">
      <w:pPr>
        <w:pStyle w:val="ListParagraph"/>
        <w:ind w:left="0"/>
        <w:jc w:val="both"/>
        <w:rPr>
          <w:i/>
          <w:sz w:val="20"/>
          <w:lang w:val="fr-CA"/>
        </w:rPr>
      </w:pPr>
    </w:p>
    <w:p w:rsidR="00874152" w:rsidRPr="00874152" w:rsidRDefault="00874152" w:rsidP="00874152">
      <w:pPr>
        <w:pStyle w:val="ListParagraph"/>
        <w:ind w:left="0"/>
        <w:jc w:val="both"/>
        <w:rPr>
          <w:sz w:val="20"/>
          <w:lang w:val="fr-CA"/>
        </w:rPr>
      </w:pPr>
      <w:r w:rsidRPr="00874152">
        <w:rPr>
          <w:i/>
          <w:sz w:val="20"/>
          <w:lang w:val="fr-CA"/>
        </w:rPr>
        <w:tab/>
        <w:t>Arrêt</w:t>
      </w:r>
      <w:r w:rsidRPr="00874152">
        <w:rPr>
          <w:sz w:val="20"/>
          <w:lang w:val="fr-CA"/>
        </w:rPr>
        <w:t xml:space="preserve"> (La juge en chef et le juge Fish sont dissidents) : Le pourvoi est accueilli et la déclaration de culpabilité prononcée au procès est rétablie.</w:t>
      </w:r>
    </w:p>
    <w:p w:rsidR="00874152" w:rsidRDefault="00874152" w:rsidP="00874152">
      <w:pPr>
        <w:pStyle w:val="ListParagraph"/>
        <w:ind w:left="0"/>
        <w:jc w:val="both"/>
        <w:rPr>
          <w:spacing w:val="3"/>
          <w:sz w:val="20"/>
          <w:lang w:val="fr-CA"/>
        </w:rPr>
      </w:pPr>
    </w:p>
    <w:p w:rsidR="00874152" w:rsidRPr="00874152" w:rsidRDefault="00874152" w:rsidP="00874152">
      <w:pPr>
        <w:pStyle w:val="ListParagraph"/>
        <w:ind w:left="0"/>
        <w:jc w:val="both"/>
        <w:rPr>
          <w:sz w:val="20"/>
          <w:lang w:val="fr-FR"/>
        </w:rPr>
      </w:pPr>
      <w:r w:rsidRPr="00874152">
        <w:rPr>
          <w:spacing w:val="3"/>
          <w:sz w:val="20"/>
          <w:lang w:val="fr-CA"/>
        </w:rPr>
        <w:tab/>
      </w:r>
      <w:r w:rsidRPr="00874152">
        <w:rPr>
          <w:i/>
          <w:sz w:val="20"/>
          <w:lang w:val="fr-FR"/>
        </w:rPr>
        <w:t xml:space="preserve">Les </w:t>
      </w:r>
      <w:r w:rsidRPr="00874152">
        <w:rPr>
          <w:sz w:val="20"/>
          <w:lang w:val="fr-FR"/>
        </w:rPr>
        <w:t xml:space="preserve">juges </w:t>
      </w:r>
      <w:r w:rsidRPr="00874152">
        <w:rPr>
          <w:b/>
          <w:sz w:val="20"/>
          <w:lang w:val="fr-FR"/>
        </w:rPr>
        <w:t>Deschamps</w:t>
      </w:r>
      <w:r w:rsidRPr="00874152">
        <w:rPr>
          <w:sz w:val="20"/>
          <w:lang w:val="fr-FR"/>
        </w:rPr>
        <w:t xml:space="preserve">, Charron, </w:t>
      </w:r>
      <w:proofErr w:type="spellStart"/>
      <w:r w:rsidRPr="00874152">
        <w:rPr>
          <w:sz w:val="20"/>
          <w:lang w:val="fr-FR"/>
        </w:rPr>
        <w:t>Rothstein</w:t>
      </w:r>
      <w:proofErr w:type="spellEnd"/>
      <w:r w:rsidRPr="00874152">
        <w:rPr>
          <w:sz w:val="20"/>
          <w:lang w:val="fr-FR"/>
        </w:rPr>
        <w:t xml:space="preserve"> et Cromwell : Le principal point de désaccord dans la présente affaire est une question de fait cruciale, soit celle de savoir à quel point la technologie de l’AN révèle des renseignements privés.  Selon la preuve, les enquêtes sur des installations de culture de marihuana ne se limitent pas aux données enregistrées par l’AN.  Cette technologie sert à un stade avancé de l’enquête et une fois que le résultat de méthodes conventionnelles permet d’inférer que de la marihuana est cultivée dans une résidence.  Les données </w:t>
      </w:r>
      <w:r w:rsidRPr="00874152">
        <w:rPr>
          <w:sz w:val="20"/>
          <w:lang w:val="fr-FR"/>
        </w:rPr>
        <w:lastRenderedPageBreak/>
        <w:t xml:space="preserve">enregistrées par l’AN sont utilisées comme outil d’enquête additionnel pour dissiper les soupçons quant à l’existence d’une installation de culture sur les lieux et jouent même en faveur de la défense dans la moitié des cas environ.  L’importance des éléments révélés par l’AN et les inférences que les données enregistrées par l’AN permettent de tirer sont au cœur du présent litige.  Aucun élément de preuve au dossier n’appuie les conclusions de la juridiction inférieure qui a reconnu l’existence d’une attente raisonnable en matière de vie privée à l’égard des données fournies par l’AN parce que </w:t>
      </w:r>
      <w:proofErr w:type="spellStart"/>
      <w:r w:rsidRPr="00874152">
        <w:rPr>
          <w:sz w:val="20"/>
          <w:lang w:val="fr-FR"/>
        </w:rPr>
        <w:t>celles</w:t>
      </w:r>
      <w:r w:rsidRPr="00874152">
        <w:rPr>
          <w:sz w:val="20"/>
          <w:lang w:val="fr-FR"/>
        </w:rPr>
        <w:noBreakHyphen/>
        <w:t>ci</w:t>
      </w:r>
      <w:proofErr w:type="spellEnd"/>
      <w:r w:rsidRPr="00874152">
        <w:rPr>
          <w:sz w:val="20"/>
          <w:lang w:val="fr-FR"/>
        </w:rPr>
        <w:t xml:space="preserve"> permettaient de tirer des inférences sur les activités qui se déroulent dans une habitation. Cet instrument ne révèle rien à propos des activités intimes ou des activités personnelles fondamentales des occupants.  Il ne révèle rien d’autre qu’un renseignement précis : la consommation d’électricité.</w:t>
      </w:r>
    </w:p>
    <w:p w:rsidR="00874152" w:rsidRDefault="00874152" w:rsidP="00874152">
      <w:pPr>
        <w:jc w:val="both"/>
        <w:rPr>
          <w:sz w:val="20"/>
          <w:lang w:val="fr-FR"/>
        </w:rPr>
      </w:pPr>
    </w:p>
    <w:p w:rsidR="00874152" w:rsidRPr="00874152" w:rsidRDefault="00874152" w:rsidP="00874152">
      <w:pPr>
        <w:jc w:val="both"/>
        <w:rPr>
          <w:sz w:val="20"/>
          <w:lang w:val="fr-FR"/>
        </w:rPr>
      </w:pPr>
      <w:r w:rsidRPr="00874152">
        <w:rPr>
          <w:sz w:val="20"/>
          <w:lang w:val="fr-FR"/>
        </w:rPr>
        <w:tab/>
        <w:t xml:space="preserve">La question de savoir si une perquisition est abusive au sens de la </w:t>
      </w:r>
      <w:r w:rsidRPr="00874152">
        <w:rPr>
          <w:i/>
          <w:sz w:val="20"/>
          <w:lang w:val="fr-FR"/>
        </w:rPr>
        <w:t>Charte</w:t>
      </w:r>
      <w:r w:rsidRPr="00874152">
        <w:rPr>
          <w:sz w:val="20"/>
          <w:lang w:val="fr-FR"/>
        </w:rPr>
        <w:t xml:space="preserve"> ne se pose que si l’accusé a établi l’existence d’une attente raisonnable de respect du droit à la vie privée qui fait intervenir la protection offerte par l’art. 8.  Les faits de la présente affaire touchent deux droits à la vie privée reconnus par les tribunaux : le droit au respect du caractère privé des renseignements personnels et le droit à la vie privée qui a trait aux lieux.  Cependant, la prudence est évidemment de mise lorsqu’il s’agit de déterminer quelles conséquences constitutionnelles indépendantes des dispositions permettant la communication semblables à celles du Règlement</w:t>
      </w:r>
      <w:r w:rsidRPr="00874152">
        <w:rPr>
          <w:i/>
          <w:sz w:val="20"/>
          <w:lang w:val="fr-FR"/>
        </w:rPr>
        <w:t xml:space="preserve"> </w:t>
      </w:r>
      <w:r w:rsidRPr="00874152">
        <w:rPr>
          <w:sz w:val="20"/>
          <w:lang w:val="fr-FR"/>
        </w:rPr>
        <w:t>peuvent avoir sur la reconnaissance d’une attente raisonnable en matière de respect de la vie privée</w:t>
      </w:r>
      <w:r w:rsidR="00E9141D">
        <w:rPr>
          <w:sz w:val="20"/>
          <w:lang w:val="fr-FR"/>
        </w:rPr>
        <w:t>.</w:t>
      </w:r>
    </w:p>
    <w:p w:rsidR="00874152" w:rsidRDefault="00874152" w:rsidP="00874152">
      <w:pPr>
        <w:pStyle w:val="ListParagraph"/>
        <w:ind w:left="0"/>
        <w:jc w:val="both"/>
        <w:rPr>
          <w:sz w:val="20"/>
          <w:lang w:val="fr-FR"/>
        </w:rPr>
      </w:pPr>
    </w:p>
    <w:p w:rsidR="00874152" w:rsidRPr="00874152" w:rsidRDefault="00874152" w:rsidP="00874152">
      <w:pPr>
        <w:pStyle w:val="ListParagraph"/>
        <w:ind w:left="0"/>
        <w:jc w:val="both"/>
        <w:rPr>
          <w:sz w:val="20"/>
          <w:lang w:val="fr-FR"/>
        </w:rPr>
      </w:pPr>
      <w:r w:rsidRPr="00874152">
        <w:rPr>
          <w:sz w:val="20"/>
          <w:lang w:val="fr-FR"/>
        </w:rPr>
        <w:tab/>
        <w:t xml:space="preserve">Pour se prononcer sur l’existence d’une attente en matière de vie privée, il faut déterminer si la communication portait sur des renseignements biographiques d'ordre personnel, révélant des détails intimes et des renseignements sur la vie privée au sujet desquels les particuliers peuvent à juste titre s’attendre à une protection constitutionnelle.  La question est de savoir si ces renseignements font partie de ceux que la société accepte de voir soustraits à l’État, en raison de ce qu’ils révèlent concernant la personne visée, des motifs pour lesquels ils ont été recueillis et des fins auxquelles ils sont destinés.  Il résulte de l’effet combiné du Règlement et de l’art. 487.014 du </w:t>
      </w:r>
      <w:r w:rsidRPr="00874152">
        <w:rPr>
          <w:i/>
          <w:sz w:val="20"/>
          <w:lang w:val="fr-FR"/>
        </w:rPr>
        <w:t>Code criminel</w:t>
      </w:r>
      <w:r w:rsidRPr="00874152">
        <w:rPr>
          <w:sz w:val="20"/>
          <w:lang w:val="fr-FR"/>
        </w:rPr>
        <w:t xml:space="preserve"> que, non seulement la loi n’empêchait pas l’entreprise de services publics de collaborer de plein gré avec la police, mais qu’un préavis exprès quant à la possibilité d’une telle collaboration existait déjà.  Il s’agit de l’un des nombreux facteurs dont il faut tenir compte pour apprécier l’ensemble des circonstances.  La question centrale en l’espèce est donc celle de savoir si l’AN révèle des détails intimes, sur le mode de vie et les choix personnels de la personne, qui constituent des renseignements personnels d’ordre biographique dont le caractère privé est protégé par la </w:t>
      </w:r>
      <w:r w:rsidRPr="00874152">
        <w:rPr>
          <w:i/>
          <w:sz w:val="20"/>
          <w:lang w:val="fr-FR"/>
        </w:rPr>
        <w:t>Charte</w:t>
      </w:r>
      <w:r w:rsidRPr="00874152">
        <w:rPr>
          <w:sz w:val="20"/>
          <w:lang w:val="fr-FR"/>
        </w:rPr>
        <w:t xml:space="preserve">.  Aucun élément de preuve au dossier ne permet de conclure que les données communiquées par l’entreprise de services publics dévoilaient des renseignements révélant quoi que ce soit, au sujet d’activités de nature intime ou privée, qui ferait partie des renseignements personnels d’ordre biographique des occupants de la maison.  Les possibilités qu’offre l’AN dépendent évidemment de l’état de la technologie au moment où elle est utilisée.  </w:t>
      </w:r>
      <w:r w:rsidRPr="00874152">
        <w:rPr>
          <w:sz w:val="20"/>
          <w:lang w:val="fr-CA"/>
        </w:rPr>
        <w:t>Dans sa forme actuelle, l’AN ne permet pas d’avoir accès aux informations personnelles des occupants.</w:t>
      </w:r>
      <w:r w:rsidRPr="00874152">
        <w:rPr>
          <w:sz w:val="20"/>
          <w:lang w:val="fr-FR"/>
        </w:rPr>
        <w:t xml:space="preserve">  Les données fournies par l’AN constituent simplement un élément d’information complémentaire qui aide la police à vérifier les soupçons </w:t>
      </w:r>
      <w:r w:rsidRPr="00874152">
        <w:rPr>
          <w:sz w:val="20"/>
          <w:lang w:val="fr-CA"/>
        </w:rPr>
        <w:t>—</w:t>
      </w:r>
      <w:r w:rsidRPr="00874152">
        <w:rPr>
          <w:sz w:val="20"/>
          <w:lang w:val="fr-FR"/>
        </w:rPr>
        <w:t xml:space="preserve"> fondés sur des preuves indépendantes </w:t>
      </w:r>
      <w:r w:rsidRPr="00874152">
        <w:rPr>
          <w:sz w:val="20"/>
          <w:lang w:val="fr-CA"/>
        </w:rPr>
        <w:t>—</w:t>
      </w:r>
      <w:r w:rsidRPr="00874152">
        <w:rPr>
          <w:sz w:val="20"/>
          <w:lang w:val="fr-FR"/>
        </w:rPr>
        <w:t xml:space="preserve"> qu’elle entretient déjà au sujet d’une activité donnée à l’intérieur d’une maison.</w:t>
      </w:r>
    </w:p>
    <w:p w:rsidR="00874152" w:rsidRDefault="00874152" w:rsidP="00874152">
      <w:pPr>
        <w:pStyle w:val="ListParagraph"/>
        <w:ind w:left="0"/>
        <w:jc w:val="both"/>
        <w:rPr>
          <w:sz w:val="20"/>
          <w:lang w:val="fr-FR"/>
        </w:rPr>
      </w:pPr>
    </w:p>
    <w:p w:rsidR="00874152" w:rsidRPr="00874152" w:rsidRDefault="00874152" w:rsidP="00874152">
      <w:pPr>
        <w:pStyle w:val="ListParagraph"/>
        <w:ind w:left="0"/>
        <w:jc w:val="both"/>
        <w:rPr>
          <w:sz w:val="20"/>
          <w:lang w:val="fr-FR"/>
        </w:rPr>
      </w:pPr>
      <w:r w:rsidRPr="00874152">
        <w:rPr>
          <w:sz w:val="20"/>
          <w:lang w:val="fr-FR"/>
        </w:rPr>
        <w:tab/>
        <w:t xml:space="preserve">L’analyse du droit au respect du caractère privé des renseignements personnels comporte un dernier facteur : G n’était pas la seule personne intéressée par les données sur la consommation d’électricité.  Son dossier de consommation d’électricité ne constituait pas un renseignement confidentiel ou privé qu’il avait confié à l’entreprise de services publics.  En qualité de fournisseur d’électricité, l’entreprise de services publics avait </w:t>
      </w:r>
      <w:proofErr w:type="spellStart"/>
      <w:r w:rsidRPr="00874152">
        <w:rPr>
          <w:sz w:val="20"/>
          <w:lang w:val="fr-FR"/>
        </w:rPr>
        <w:t>elle</w:t>
      </w:r>
      <w:r w:rsidRPr="00874152">
        <w:rPr>
          <w:sz w:val="20"/>
          <w:lang w:val="fr-FR"/>
        </w:rPr>
        <w:noBreakHyphen/>
        <w:t>même</w:t>
      </w:r>
      <w:proofErr w:type="spellEnd"/>
      <w:r w:rsidRPr="00874152">
        <w:rPr>
          <w:sz w:val="20"/>
          <w:lang w:val="fr-FR"/>
        </w:rPr>
        <w:t xml:space="preserve"> un intérêt légitime à l’égard de la consommation d’électricité de ses clients.  En conséquence, elle avait incontestablement le droit d’installer de son propre chef un AN sur la ligne d’un client pour mesurer la consommation d’électricité.  Elle n’était pas une intruse qui profitait de son accès à des renseignements personnels pour contourner la </w:t>
      </w:r>
      <w:r w:rsidRPr="00874152">
        <w:rPr>
          <w:i/>
          <w:sz w:val="20"/>
          <w:lang w:val="fr-FR"/>
        </w:rPr>
        <w:t>Charte</w:t>
      </w:r>
      <w:r w:rsidRPr="00874152">
        <w:rPr>
          <w:sz w:val="20"/>
          <w:lang w:val="fr-FR"/>
        </w:rPr>
        <w:t xml:space="preserve"> sur l’ordre de l’État; son rôle se borne plutôt à offrir, de son plein gré, sa collaboration à titre de victime potentielle d’un crime.</w:t>
      </w:r>
    </w:p>
    <w:p w:rsidR="00874152" w:rsidRDefault="00874152" w:rsidP="00874152">
      <w:pPr>
        <w:pStyle w:val="ListParagraph"/>
        <w:ind w:left="0"/>
        <w:jc w:val="both"/>
        <w:rPr>
          <w:sz w:val="20"/>
          <w:lang w:val="fr-FR"/>
        </w:rPr>
      </w:pPr>
    </w:p>
    <w:p w:rsidR="00874152" w:rsidRPr="00874152" w:rsidRDefault="00874152" w:rsidP="00874152">
      <w:pPr>
        <w:pStyle w:val="ListParagraph"/>
        <w:ind w:left="0"/>
        <w:jc w:val="both"/>
        <w:rPr>
          <w:sz w:val="20"/>
          <w:lang w:val="fr-FR"/>
        </w:rPr>
      </w:pPr>
      <w:r w:rsidRPr="00874152">
        <w:rPr>
          <w:sz w:val="20"/>
          <w:lang w:val="fr-FR"/>
        </w:rPr>
        <w:tab/>
        <w:t xml:space="preserve">Bien que le droit à la vie privée qui a trait à la maison constitue un aspect pertinent de l’ensemble des circonstances dont il faut tenir compte pour se prononcer sur l’existence d’une attente raisonnable de respect de la vie privée, la protection offerte par la </w:t>
      </w:r>
      <w:r w:rsidRPr="00874152">
        <w:rPr>
          <w:i/>
          <w:sz w:val="20"/>
          <w:lang w:val="fr-FR"/>
        </w:rPr>
        <w:t xml:space="preserve">Charte </w:t>
      </w:r>
      <w:r w:rsidRPr="00874152">
        <w:rPr>
          <w:sz w:val="20"/>
          <w:lang w:val="fr-FR"/>
        </w:rPr>
        <w:t xml:space="preserve">concernant le droit à la vie privée qui a trait à la résidence n’est pas absolue.  Lorsque, comme en l’espèce, aucune perquisition n’a été effectuée directement dans la maison, l’analyse devrait être axée sur le droit au respect du caractère privé des renseignements personnels.  Le fait que la maison était la cible d’une perquisition qui n’était par ailleurs ni attentatoire, ni envahissante doit être considéré comme accessoire par rapport aux renseignements que la technique d'enquête pouvait révéler et a révélés au sujet de la maison.  Le fait que la perquisition touche en partie le droit à la vie privée qui a trait à la résidence ne devrait pas amplifier l’incidence réelle de la perquisition au point de fausser l’analyse de l’attente en matière de vie privée. </w:t>
      </w:r>
    </w:p>
    <w:p w:rsidR="00874152" w:rsidRPr="00874152" w:rsidRDefault="00874152" w:rsidP="00874152">
      <w:pPr>
        <w:pStyle w:val="ListParagraph"/>
        <w:ind w:left="0"/>
        <w:jc w:val="both"/>
        <w:rPr>
          <w:b/>
          <w:sz w:val="20"/>
          <w:lang w:val="fr-CA"/>
        </w:rPr>
      </w:pPr>
      <w:r w:rsidRPr="00874152">
        <w:rPr>
          <w:i/>
          <w:sz w:val="20"/>
          <w:lang w:val="fr-CA"/>
        </w:rPr>
        <w:lastRenderedPageBreak/>
        <w:tab/>
        <w:t xml:space="preserve">Les </w:t>
      </w:r>
      <w:r w:rsidRPr="00874152">
        <w:rPr>
          <w:sz w:val="20"/>
          <w:lang w:val="fr-CA"/>
        </w:rPr>
        <w:t xml:space="preserve">juges </w:t>
      </w:r>
      <w:proofErr w:type="spellStart"/>
      <w:r w:rsidRPr="00874152">
        <w:rPr>
          <w:sz w:val="20"/>
          <w:lang w:val="fr-CA"/>
        </w:rPr>
        <w:t>Binnie</w:t>
      </w:r>
      <w:proofErr w:type="spellEnd"/>
      <w:r w:rsidRPr="00874152">
        <w:rPr>
          <w:sz w:val="20"/>
          <w:lang w:val="fr-CA"/>
        </w:rPr>
        <w:t xml:space="preserve">, </w:t>
      </w:r>
      <w:proofErr w:type="spellStart"/>
      <w:r w:rsidRPr="00874152">
        <w:rPr>
          <w:sz w:val="20"/>
          <w:lang w:val="fr-CA"/>
        </w:rPr>
        <w:t>LeBel</w:t>
      </w:r>
      <w:proofErr w:type="spellEnd"/>
      <w:r w:rsidRPr="00874152">
        <w:rPr>
          <w:sz w:val="20"/>
          <w:lang w:val="fr-CA"/>
        </w:rPr>
        <w:t xml:space="preserve"> et </w:t>
      </w:r>
      <w:r w:rsidRPr="00874152">
        <w:rPr>
          <w:b/>
          <w:sz w:val="20"/>
          <w:lang w:val="fr-CA"/>
        </w:rPr>
        <w:t>Abella :</w:t>
      </w:r>
      <w:r w:rsidRPr="00874152">
        <w:rPr>
          <w:sz w:val="20"/>
          <w:lang w:val="fr-CA"/>
        </w:rPr>
        <w:t xml:space="preserve"> — Au fil de l’évolution de sa jurisprudence relative à l’art. 8, la Cour a constamment reconnu l’importance primordiale, sur le plan constitutionnel, du droit à la vie privée rattaché aux activités qui se déroulent à l’intérieur d’une maison.  En raison de l’importance primordiale de la protection de ces droits à la vie privée, les préoccupations concernant le recours à un AN sans mandat sont valables.  D’ailleurs, l’issue du pourvoi aurait fort bien pu être différente, n’eût été un facteur essentiel : la relation entre G et son fournisseur d’électricité est régie par un texte législatif d’intérêt public récent qui permet à G de demander la confidentialité des renseignements sur le client le concernant.  G n’a fait aucune demande en ce sens.  Il n’a pas contesté non plus la constitutionnalité de la disposition législative pertinente.  Ensemble, ces éléments affaiblissent de façon déterminante le caractère objectivement raisonnable de toute attente en matière de vie privée à l’égard des données enregistrées par l’AN.</w:t>
      </w:r>
    </w:p>
    <w:p w:rsidR="0011544F" w:rsidRDefault="0011544F" w:rsidP="00874152">
      <w:pPr>
        <w:pStyle w:val="ListParagraph"/>
        <w:ind w:left="0"/>
        <w:jc w:val="both"/>
        <w:rPr>
          <w:sz w:val="20"/>
          <w:lang w:val="fr-CA"/>
        </w:rPr>
      </w:pPr>
    </w:p>
    <w:p w:rsidR="00874152" w:rsidRPr="00874152" w:rsidRDefault="00874152" w:rsidP="00874152">
      <w:pPr>
        <w:pStyle w:val="ListParagraph"/>
        <w:ind w:left="0"/>
        <w:jc w:val="both"/>
        <w:rPr>
          <w:sz w:val="20"/>
          <w:lang w:val="fr-CA"/>
        </w:rPr>
      </w:pPr>
      <w:r w:rsidRPr="00874152">
        <w:rPr>
          <w:sz w:val="20"/>
          <w:lang w:val="fr-CA"/>
        </w:rPr>
        <w:tab/>
        <w:t xml:space="preserve">Les données enregistrées par un AN révélant certains cycles de consommation donnent de fortes raisons d’inférer qu’une maison abrite une installation de culture de marihuana.  L’existence d’une telle culture constitue </w:t>
      </w:r>
      <w:r w:rsidRPr="00874152">
        <w:rPr>
          <w:i/>
          <w:sz w:val="20"/>
          <w:lang w:val="fr-CA"/>
        </w:rPr>
        <w:t xml:space="preserve">a priori </w:t>
      </w:r>
      <w:r w:rsidRPr="00874152">
        <w:rPr>
          <w:sz w:val="20"/>
          <w:lang w:val="fr-CA"/>
        </w:rPr>
        <w:t>un renseignement à l’égard duquel une personne est en droit de s’attendre au respect de sa vie privée étant donné qu’il s’agit d’un renseignement sur une activité menée à l’intérieur de la maison et, par conséquent, d’un renseignement personnel.  Selon notre jurisprudence, le fait qu’il s’agisse d’une activité criminelle n’écarte ni l’attente ni le droit à la protection en matière de vie privée et, partant, n’élimine pas l’obligation d’obtenir un mandat.  L’AN constitue une technique de surveillance qui permet des inférences généralement fiables relativement à la tenue d’une activité particulière à une adresse : la culture de marihuana.</w:t>
      </w:r>
    </w:p>
    <w:p w:rsidR="0011544F" w:rsidRDefault="0011544F" w:rsidP="00874152">
      <w:pPr>
        <w:pStyle w:val="ListParagraph"/>
        <w:ind w:left="0"/>
        <w:jc w:val="both"/>
        <w:rPr>
          <w:sz w:val="20"/>
          <w:lang w:val="fr-CA"/>
        </w:rPr>
      </w:pPr>
    </w:p>
    <w:p w:rsidR="00874152" w:rsidRPr="00874152" w:rsidRDefault="00874152" w:rsidP="00874152">
      <w:pPr>
        <w:pStyle w:val="ListParagraph"/>
        <w:ind w:left="0"/>
        <w:jc w:val="both"/>
        <w:rPr>
          <w:sz w:val="20"/>
          <w:lang w:val="fr-CA"/>
        </w:rPr>
      </w:pPr>
      <w:r w:rsidRPr="00874152">
        <w:rPr>
          <w:sz w:val="20"/>
          <w:lang w:val="fr-CA"/>
        </w:rPr>
        <w:tab/>
        <w:t xml:space="preserve">Essentiellement, la possibilité pour le client en l’espèce de demander la confidentialité des renseignements le concernant lui donne, pour l’application du </w:t>
      </w:r>
      <w:r w:rsidRPr="00874152">
        <w:rPr>
          <w:i/>
          <w:sz w:val="20"/>
          <w:lang w:val="fr-CA"/>
        </w:rPr>
        <w:t xml:space="preserve">Code of </w:t>
      </w:r>
      <w:proofErr w:type="spellStart"/>
      <w:r w:rsidRPr="00874152">
        <w:rPr>
          <w:i/>
          <w:sz w:val="20"/>
          <w:lang w:val="fr-CA"/>
        </w:rPr>
        <w:t>Conduct</w:t>
      </w:r>
      <w:proofErr w:type="spellEnd"/>
      <w:r w:rsidRPr="00874152">
        <w:rPr>
          <w:sz w:val="20"/>
          <w:lang w:val="fr-CA"/>
        </w:rPr>
        <w:t xml:space="preserve"> </w:t>
      </w:r>
      <w:proofErr w:type="spellStart"/>
      <w:r w:rsidRPr="00874152">
        <w:rPr>
          <w:i/>
          <w:sz w:val="20"/>
          <w:lang w:val="fr-CA"/>
        </w:rPr>
        <w:t>Regulation</w:t>
      </w:r>
      <w:proofErr w:type="spellEnd"/>
      <w:r w:rsidRPr="00874152">
        <w:rPr>
          <w:sz w:val="20"/>
          <w:lang w:val="fr-CA"/>
        </w:rPr>
        <w:t>, l’entière liberté de définir son attente en matière de respect de la vie privée dans sa relation avec l’entreprise de services publics.  Or, G n’a fait aucune demande en ce sens et presse néanmoins la Cour d’apprécier son attente en matière de vie privée comme s’il avait demandé la confidentialité des renseignements.  Toute interprétation faisant appel à la créativité est exclue en l’espèce, car le libellé des dispositions ne comporte aucune ambiguïté.  Les données enregistrées par l’AN constituent nécessairement des « renseignements sur le client » au sens du Règlement et donc des renseignements visés à l’al. 10(3)</w:t>
      </w:r>
      <w:r w:rsidRPr="00874152">
        <w:rPr>
          <w:i/>
          <w:sz w:val="20"/>
          <w:lang w:val="fr-CA"/>
        </w:rPr>
        <w:t>f</w:t>
      </w:r>
      <w:r w:rsidRPr="00874152">
        <w:rPr>
          <w:sz w:val="20"/>
          <w:lang w:val="fr-CA"/>
        </w:rPr>
        <w:t>) du Règlement, que l’entreprise de services publics peut recueillir et communiquer, « sans le consentement du client », aux policiers qui enquêtent sur une infraction.</w:t>
      </w:r>
      <w:r w:rsidRPr="00874152">
        <w:rPr>
          <w:shadow/>
          <w:sz w:val="20"/>
          <w:lang w:val="fr-CA"/>
        </w:rPr>
        <w:t xml:space="preserve">  </w:t>
      </w:r>
      <w:r w:rsidRPr="00874152">
        <w:rPr>
          <w:sz w:val="20"/>
          <w:lang w:val="fr-CA"/>
        </w:rPr>
        <w:t>L’examen de l’ensemble des circonstances doit porter sur toutes</w:t>
      </w:r>
      <w:r w:rsidRPr="00874152">
        <w:rPr>
          <w:i/>
          <w:sz w:val="20"/>
          <w:lang w:val="fr-CA"/>
        </w:rPr>
        <w:t xml:space="preserve"> </w:t>
      </w:r>
      <w:r w:rsidRPr="00874152">
        <w:rPr>
          <w:sz w:val="20"/>
          <w:lang w:val="fr-CA"/>
        </w:rPr>
        <w:t>les circonstances pertinentes et non uniquement sur certaines d’entre elles.  Il est impossible d’examiner l’ensemble des circonstances pertinentes sans tenir compte de l’existence du Règlement.  Ce dernier ne saurait donc être considéré comme un facteur neutre ou sans pertinence.  Les obligations contractuelles créées par le Règlement sont non seulement claires et non ambigües, mais manifestement pertinentes dans l’évaluation objective du caractère raisonnable de toute attente en matière de vie privée que G pouvait avoir à l’égard des renseignements recueillis à l’aide de l’AN, et ce, qu’il ait décidé de s’informer ou non des paramètres juridiques de sa relation avec son fournisseur d’électricité.  Le pouvoir conféré par le Règlement, examiné dans le contexte de l’ensemble des circonstances pertinentes,</w:t>
      </w:r>
      <w:r w:rsidRPr="00874152">
        <w:rPr>
          <w:i/>
          <w:sz w:val="20"/>
          <w:lang w:val="fr-CA"/>
        </w:rPr>
        <w:t xml:space="preserve"> </w:t>
      </w:r>
      <w:r w:rsidRPr="00874152">
        <w:rPr>
          <w:sz w:val="20"/>
          <w:lang w:val="fr-CA"/>
        </w:rPr>
        <w:t>joue un rôle déterminant et mène à la conclusion que toute attente que G pouvait avoir en matière de vie privée était objectivement déraisonnable.  Comme il n’existait pas d’attente raisonnable en matière de vie privée en l’espèce, la collecte de renseignements à l’aide de l’AN ne constituait pas une « perquisition » au sens de l’art. 8.</w:t>
      </w:r>
    </w:p>
    <w:p w:rsidR="0011544F" w:rsidRDefault="0011544F" w:rsidP="00874152">
      <w:pPr>
        <w:pStyle w:val="ListParagraph"/>
        <w:ind w:left="0"/>
        <w:jc w:val="both"/>
        <w:rPr>
          <w:i/>
          <w:sz w:val="20"/>
          <w:lang w:val="fr-FR"/>
        </w:rPr>
      </w:pPr>
    </w:p>
    <w:p w:rsidR="00874152" w:rsidRPr="00874152" w:rsidRDefault="00874152" w:rsidP="00874152">
      <w:pPr>
        <w:pStyle w:val="ListParagraph"/>
        <w:ind w:left="0"/>
        <w:jc w:val="both"/>
        <w:rPr>
          <w:sz w:val="20"/>
          <w:lang w:val="fr-CA"/>
        </w:rPr>
      </w:pPr>
      <w:r w:rsidRPr="00874152">
        <w:rPr>
          <w:i/>
          <w:sz w:val="20"/>
          <w:lang w:val="fr-FR"/>
        </w:rPr>
        <w:tab/>
      </w:r>
      <w:r w:rsidRPr="00874152">
        <w:rPr>
          <w:i/>
          <w:sz w:val="20"/>
          <w:lang w:val="fr-CA"/>
        </w:rPr>
        <w:t>La</w:t>
      </w:r>
      <w:r w:rsidRPr="00874152">
        <w:rPr>
          <w:sz w:val="20"/>
          <w:lang w:val="fr-CA"/>
        </w:rPr>
        <w:t xml:space="preserve"> </w:t>
      </w:r>
      <w:r w:rsidRPr="00874152">
        <w:rPr>
          <w:b/>
          <w:sz w:val="20"/>
          <w:lang w:val="fr-CA"/>
        </w:rPr>
        <w:t xml:space="preserve">juge en chef </w:t>
      </w:r>
      <w:proofErr w:type="spellStart"/>
      <w:r w:rsidRPr="00874152">
        <w:rPr>
          <w:b/>
          <w:sz w:val="20"/>
          <w:lang w:val="fr-CA"/>
        </w:rPr>
        <w:t>McLachlin</w:t>
      </w:r>
      <w:proofErr w:type="spellEnd"/>
      <w:r w:rsidRPr="00874152">
        <w:rPr>
          <w:b/>
          <w:sz w:val="20"/>
          <w:lang w:val="fr-CA"/>
        </w:rPr>
        <w:t xml:space="preserve"> et le juge Fish </w:t>
      </w:r>
      <w:r w:rsidRPr="00874152">
        <w:rPr>
          <w:sz w:val="20"/>
          <w:lang w:val="fr-CA"/>
        </w:rPr>
        <w:t xml:space="preserve">(dissidents) : Le pourvoi soulève des questions fondamentales touchant au droit à la vie privée que protège l’art. 8 de la </w:t>
      </w:r>
      <w:r w:rsidRPr="00874152">
        <w:rPr>
          <w:i/>
          <w:sz w:val="20"/>
          <w:lang w:val="fr-CA"/>
        </w:rPr>
        <w:t>Charte</w:t>
      </w:r>
      <w:r w:rsidRPr="00874152">
        <w:rPr>
          <w:sz w:val="20"/>
          <w:lang w:val="fr-CA"/>
        </w:rPr>
        <w:t xml:space="preserve">.  Lorsque nous nous abonnons à un service public, nous n’autorisons pas la police à réquisitionner le service concerné pour s’introduire </w:t>
      </w:r>
      <w:r w:rsidRPr="00874152">
        <w:rPr>
          <w:i/>
          <w:sz w:val="20"/>
          <w:lang w:val="fr-CA"/>
        </w:rPr>
        <w:t>―</w:t>
      </w:r>
      <w:r w:rsidRPr="00874152">
        <w:rPr>
          <w:sz w:val="20"/>
          <w:lang w:val="fr-CA"/>
        </w:rPr>
        <w:t xml:space="preserve"> physiquement ou électroniquement </w:t>
      </w:r>
      <w:r w:rsidRPr="00874152">
        <w:rPr>
          <w:i/>
          <w:sz w:val="20"/>
          <w:lang w:val="fr-CA"/>
        </w:rPr>
        <w:t>―</w:t>
      </w:r>
      <w:r w:rsidRPr="00874152">
        <w:rPr>
          <w:sz w:val="20"/>
          <w:lang w:val="fr-CA"/>
        </w:rPr>
        <w:t xml:space="preserve"> dans nos foyers, sans autorisation judiciaire, dans le cadre d’une enquête criminelle.  Vu l’ensemble des circonstances, une personne raisonnable n’accepterait pas que le type de renseignements en litige, recueillis pour les motifs et de la manière en cause ici, puissent être mis librement à la disposition de l’État sans autorisation préalable.  G est présumé avoir une attente subjective quant au respect de sa vie privée chez lui.  L’existence d’un obscur règlement, qu’une personne raisonnable ne comprendrait vraisemblablement pas, n’a pas pour effet de rendre objectivement déraisonnable l’attente subjective de G.  </w:t>
      </w:r>
      <w:proofErr w:type="spellStart"/>
      <w:r w:rsidRPr="00874152">
        <w:rPr>
          <w:sz w:val="20"/>
          <w:lang w:val="fr-CA"/>
        </w:rPr>
        <w:t>Celui</w:t>
      </w:r>
      <w:r w:rsidRPr="00874152">
        <w:rPr>
          <w:sz w:val="20"/>
          <w:lang w:val="fr-CA"/>
        </w:rPr>
        <w:noBreakHyphen/>
        <w:t>ci</w:t>
      </w:r>
      <w:proofErr w:type="spellEnd"/>
      <w:r w:rsidRPr="00874152">
        <w:rPr>
          <w:sz w:val="20"/>
          <w:lang w:val="fr-CA"/>
        </w:rPr>
        <w:t xml:space="preserve"> avait une attente raisonnable en matière de vie privée à l’égard des données obtenues au moyen de l’AN; l’intrusion commise pour recueillir ces données et leur communication constituaient une perquisition et cette perquisition n’était pas autorisée par la loi.</w:t>
      </w:r>
    </w:p>
    <w:p w:rsidR="0011544F" w:rsidRDefault="0011544F" w:rsidP="00874152">
      <w:pPr>
        <w:pStyle w:val="ListParagraph"/>
        <w:ind w:left="0"/>
        <w:jc w:val="both"/>
        <w:rPr>
          <w:sz w:val="20"/>
          <w:lang w:val="fr-CA"/>
        </w:rPr>
      </w:pPr>
    </w:p>
    <w:p w:rsidR="00874152" w:rsidRPr="00874152" w:rsidRDefault="00874152" w:rsidP="00874152">
      <w:pPr>
        <w:pStyle w:val="ListParagraph"/>
        <w:ind w:left="0"/>
        <w:jc w:val="both"/>
        <w:rPr>
          <w:sz w:val="20"/>
          <w:lang w:val="fr-CA"/>
        </w:rPr>
      </w:pPr>
      <w:r w:rsidRPr="00874152">
        <w:rPr>
          <w:sz w:val="20"/>
          <w:lang w:val="fr-CA"/>
        </w:rPr>
        <w:tab/>
        <w:t xml:space="preserve">Il y a fouille ou perquisition lorsque la conduite de l’État porte atteinte à l’attente raisonnable d’une personne en matière de vie privée.  Le caractère raisonnable de cette attente dépend de la réponse donnée aux questions suivantes : (1) L’intéressé a-t-il une attente subjective de respect de sa vie privée à l’égard de l’objet de la fouille ou de </w:t>
      </w:r>
      <w:r w:rsidRPr="00874152">
        <w:rPr>
          <w:sz w:val="20"/>
          <w:lang w:val="fr-CA"/>
        </w:rPr>
        <w:lastRenderedPageBreak/>
        <w:t>la perquisition contestée?  (2) Cette attente subjective est-elle objectivement raisonnable?  Le critère d’appréciation de l’attente subjective en matière de vie privée est peu exigeant et les particuliers sont présumés avoir une attente subjective en matière de vie privée à l’égard des renseignements portant sur les activités qui se déroulent à l’intérieur de leur maison.  Par conséquent, le sort de l’affaire dépend de la réponse à la question de savoir si l’attente de G en matière de vie privée était objectivement raisonnable.  L’objet de la fouille ou de la perquisition, le lieu où elle est effectuée, la question de savoir s’il y a eu renonciation ou abandon à l’égard du droit à la vie privée, le degré d’intrusion et, dans certains cas, l’existence d’un cadre de réglementation susceptible de réduire l’attente en matière de vie privée sont des facteurs pertinents pour déterminer si une attente en matière de vie privée est objectivement raisonnable.  À notre avis, la réponse à cette question dépend des deux derniers facteurs précités, à savoir le degré d’intrusion et l’existence d’un cadre de réglementation.</w:t>
      </w:r>
    </w:p>
    <w:p w:rsidR="0011544F" w:rsidRDefault="0011544F" w:rsidP="00874152">
      <w:pPr>
        <w:pStyle w:val="ListParagraph"/>
        <w:ind w:left="0"/>
        <w:jc w:val="both"/>
        <w:rPr>
          <w:sz w:val="20"/>
          <w:lang w:val="fr-CA"/>
        </w:rPr>
      </w:pPr>
    </w:p>
    <w:p w:rsidR="00874152" w:rsidRPr="00874152" w:rsidRDefault="00874152" w:rsidP="00874152">
      <w:pPr>
        <w:pStyle w:val="ListParagraph"/>
        <w:ind w:left="0"/>
        <w:jc w:val="both"/>
        <w:rPr>
          <w:sz w:val="20"/>
          <w:lang w:val="fr-CA"/>
        </w:rPr>
      </w:pPr>
      <w:r w:rsidRPr="00874152">
        <w:rPr>
          <w:sz w:val="20"/>
          <w:lang w:val="fr-CA"/>
        </w:rPr>
        <w:tab/>
        <w:t>Examinons d’abord la question de l’intrusion.  Bien que l’AN n’indique pas les sources précises de consommation d’électricité dans la maison, il fournit néanmoins des renseignements détaillés sur la quantité d’électricité utilisée et les moments où elle est utilisée.  Qui plus est, un AN permet de détecter avec une très grande précision l’existence d’une installation de culture dans une maison.  Il n’est pas nécessaire que les renseignements recueillis mènent à des conclusions définitives</w:t>
      </w:r>
      <w:r w:rsidRPr="00874152">
        <w:rPr>
          <w:i/>
          <w:sz w:val="20"/>
          <w:lang w:val="fr-CA"/>
        </w:rPr>
        <w:t xml:space="preserve"> </w:t>
      </w:r>
      <w:r w:rsidRPr="00874152">
        <w:rPr>
          <w:sz w:val="20"/>
          <w:lang w:val="fr-CA"/>
        </w:rPr>
        <w:t>au sujet des activités se déroulant dans une maison pour être jugés révélateurs et qu’il y ait, de ce fait, intrusion.  L’importance des données enregistrées par l’AN découle de leur utilité dans la formulation d’hypothèses éclairées au sujet des activités qui se déroulent probablement à l’intérieur d’une habitation.  Bien que non concluantes, de telles hypothèses révèlent néanmoins aux policiers des renseignements personnels utiles.  De tels éléments de preuve d’activités criminelles ou de l’existence d’un lien avec la criminalité ont déjà été considérés par la Cour comme des données biographiques très personnelles.</w:t>
      </w:r>
    </w:p>
    <w:p w:rsidR="0011544F" w:rsidRDefault="0011544F" w:rsidP="00874152">
      <w:pPr>
        <w:pStyle w:val="ListParagraph"/>
        <w:ind w:left="0"/>
        <w:jc w:val="both"/>
        <w:rPr>
          <w:sz w:val="20"/>
          <w:lang w:val="fr-CA"/>
        </w:rPr>
      </w:pPr>
    </w:p>
    <w:p w:rsidR="00874152" w:rsidRPr="00874152" w:rsidRDefault="00874152" w:rsidP="00874152">
      <w:pPr>
        <w:pStyle w:val="ListParagraph"/>
        <w:ind w:left="0"/>
        <w:jc w:val="both"/>
        <w:rPr>
          <w:sz w:val="20"/>
          <w:lang w:val="fr-CA"/>
        </w:rPr>
      </w:pPr>
      <w:r w:rsidRPr="00874152">
        <w:rPr>
          <w:sz w:val="20"/>
          <w:lang w:val="fr-CA"/>
        </w:rPr>
        <w:tab/>
        <w:t>La constitutionnalité d’une fouille ou d’une perquisition ne tient pas au fait qu’il existe des méthodes d’enquête encore plus envahissantes auxquelles la police aurait pu, à tort, avoir recours.  Il n’est pas utile de comparer une perquisition sans mandat effectuée au moyen d’un AN à une perquisition physique avec mandat.  Il est loin d’être évident que le recours à un AN permet d’éviter aux suspects toute atteinte à leur droit à la vie privée qui a trait aux lieux, puisque l’utilisation d’un tel dispositif ne remplace véritablement l’exécution d’une perquisition physique dans la maison du suspect que dans les cas où la police aurait pu obtenir un mandat de perquisition visant ce lieu.</w:t>
      </w:r>
    </w:p>
    <w:p w:rsidR="0011544F" w:rsidRDefault="0011544F" w:rsidP="00874152">
      <w:pPr>
        <w:pStyle w:val="ListParagraph"/>
        <w:ind w:left="0"/>
        <w:jc w:val="both"/>
        <w:rPr>
          <w:sz w:val="20"/>
          <w:lang w:val="fr-CA"/>
        </w:rPr>
      </w:pPr>
    </w:p>
    <w:p w:rsidR="00874152" w:rsidRPr="00874152" w:rsidRDefault="00874152" w:rsidP="00874152">
      <w:pPr>
        <w:pStyle w:val="ListParagraph"/>
        <w:ind w:left="0"/>
        <w:jc w:val="both"/>
        <w:rPr>
          <w:sz w:val="20"/>
          <w:lang w:val="fr-CA"/>
        </w:rPr>
      </w:pPr>
      <w:r w:rsidRPr="00874152">
        <w:rPr>
          <w:sz w:val="20"/>
          <w:lang w:val="fr-CA"/>
        </w:rPr>
        <w:tab/>
        <w:t>La dernière question à trancher pour savoir s’il y a eu une perquisition consiste à déterminer si le Règlement a pour effet d’écarter le droit objectivement raisonnable au respect de la vie privée suggéré par les autres facteurs ou d’en diminuer la portée.  Une personne raisonnable n’aurait pas conclu que le Règlement éliminait son attente en matière de vie privée relativement aux activités se déroulant à l’intérieur de sa maison.  On ne peut attendre du consommateur moyen qui s’abonne à un service de distribution d’électricité qu’il connaisse le menu détail d’un régime de réglementation complexe qui permet aux entreprises de communiquer à la police des renseignements sur l’utilisation de l’électricité, particulièrement si la présomption de connaissance de ce régime a pour effet de réduire les droits constitutionnels garantis au consommateur.  De plus, même s’il était au courant de l’existence du Règlement — ce qui n’était pas le cas en l’espèce — le consommateur raisonnable ne considérerait probablement pas que ce texte autorise le type d’intrusion en cause.  Enfin, bien que le Règlement ne soit pas un texte législatif à caractère pénal, les dispositions invoquées par le ministère public ne visent pas un objectif réglementaire, mais possèdent un caractère pénal explicite.  G avait une attente raisonnable en matière de vie privée à l’égard des données obtenues au moyen de l’AN, et l’intrusion commise pour recueillir ces données et leur communication constituaient une perquisition.</w:t>
      </w:r>
    </w:p>
    <w:p w:rsidR="0011544F" w:rsidRDefault="0011544F" w:rsidP="00874152">
      <w:pPr>
        <w:pStyle w:val="ListParagraph"/>
        <w:ind w:left="0"/>
        <w:jc w:val="both"/>
        <w:rPr>
          <w:sz w:val="20"/>
          <w:lang w:val="fr-CA"/>
        </w:rPr>
      </w:pPr>
    </w:p>
    <w:p w:rsidR="00874152" w:rsidRPr="00874152" w:rsidRDefault="00874152" w:rsidP="00874152">
      <w:pPr>
        <w:pStyle w:val="ListParagraph"/>
        <w:ind w:left="0"/>
        <w:jc w:val="both"/>
        <w:rPr>
          <w:sz w:val="20"/>
          <w:lang w:val="fr-CA"/>
        </w:rPr>
      </w:pPr>
      <w:r w:rsidRPr="00874152">
        <w:rPr>
          <w:sz w:val="20"/>
          <w:lang w:val="fr-CA"/>
        </w:rPr>
        <w:tab/>
        <w:t xml:space="preserve">S’il est établi qu’il y a eu une fouille ou perquisition, le tribunal doit se demander si celle-ci était abusive.  En l’espèce, la perquisition était abusive.  Il n’a pas été démontré que l’utilisation sans mandat de l’AN était raisonnablement nécessaire à l'accomplissement d’une activité policière, comme en fait foi d’ailleurs la politique générale du service policier concerné qui consiste à obtenir un mandat avant de fixer un AN à un transformateur situé sur une propriété privée.  De plus, bien que le Règlement permette la communication de « renseignements sur le client », il n’autorise pas l’entreprise de services publics à espionner ses clients pour le compte de la police.  En l’espèce, les données enregistrées par l’AN n’étaient pas des renseignements qui existent déjà dans les dossiers des abonnés de l’entreprise de services publics.  Bien que celle-ci ait eu la faculté de décider de recueillir de telles données concernant ses clients de son propre chef et pour ses propres besoins, elle ne l’a pas fait et n’a manifesté aucune intention en ce sens en l’espèce.  Par conséquent, le ministère public n’a pas démontré que la perquisition était autorisée par la loi, de sorte qu’il a été porté atteinte aux droits de G protégés par l’art. 8 de la </w:t>
      </w:r>
      <w:r w:rsidRPr="00874152">
        <w:rPr>
          <w:i/>
          <w:sz w:val="20"/>
          <w:lang w:val="fr-CA"/>
        </w:rPr>
        <w:t>Charte</w:t>
      </w:r>
      <w:r w:rsidRPr="00874152">
        <w:rPr>
          <w:sz w:val="20"/>
          <w:lang w:val="fr-CA"/>
        </w:rPr>
        <w:t xml:space="preserve">.  La décision de la Cour d’appel devrait être confirmée et l’appel interjeté contre cette décision devant notre Cour devrait être rejeté. </w:t>
      </w:r>
    </w:p>
    <w:p w:rsidR="0011544F" w:rsidRPr="000E3CA5" w:rsidRDefault="0011544F" w:rsidP="0011544F">
      <w:pPr>
        <w:jc w:val="both"/>
        <w:rPr>
          <w:spacing w:val="3"/>
          <w:sz w:val="20"/>
          <w:lang w:val="fr-CA"/>
        </w:rPr>
      </w:pPr>
      <w:r w:rsidRPr="003C1082">
        <w:rPr>
          <w:spacing w:val="3"/>
          <w:sz w:val="20"/>
          <w:lang w:val="fr-CA"/>
        </w:rPr>
        <w:lastRenderedPageBreak/>
        <w:tab/>
      </w:r>
      <w:r w:rsidRPr="000E3CA5">
        <w:rPr>
          <w:spacing w:val="3"/>
          <w:sz w:val="20"/>
          <w:lang w:val="fr-CA"/>
        </w:rPr>
        <w:t xml:space="preserve">POURVOI contre un arrêt de la Cour d’appel de l’Alberta (les juges Berger, O’Brien et Martin), 2009 ABCA 276, 11 Alta. L.R. (5th) 73, 460 A.R. 150, 462 W.A.C. 150, 247 C.C.C. (3d) 119, 70 C.R. (6th) 81, 197 C.R.R. (2d) 199, [2010] 1 W.W.R. 642, [2009] A.J. No. 892 (QL), 2009 </w:t>
      </w:r>
      <w:proofErr w:type="spellStart"/>
      <w:r w:rsidRPr="000E3CA5">
        <w:rPr>
          <w:spacing w:val="3"/>
          <w:sz w:val="20"/>
          <w:lang w:val="fr-CA"/>
        </w:rPr>
        <w:t>CarswellAlta</w:t>
      </w:r>
      <w:proofErr w:type="spellEnd"/>
      <w:r w:rsidRPr="000E3CA5">
        <w:rPr>
          <w:spacing w:val="3"/>
          <w:sz w:val="20"/>
          <w:lang w:val="fr-CA"/>
        </w:rPr>
        <w:t xml:space="preserve"> 1250, qui a annulé la déclaration de culpabilité prononcée contre l’accusé et ordonné la tenue d’un nouveau procès.  Pourvoi accueilli, la juge en chef </w:t>
      </w:r>
      <w:proofErr w:type="spellStart"/>
      <w:r w:rsidRPr="000E3CA5">
        <w:rPr>
          <w:spacing w:val="3"/>
          <w:sz w:val="20"/>
          <w:lang w:val="fr-CA"/>
        </w:rPr>
        <w:t>McLachlin</w:t>
      </w:r>
      <w:proofErr w:type="spellEnd"/>
      <w:r w:rsidRPr="000E3CA5">
        <w:rPr>
          <w:spacing w:val="3"/>
          <w:sz w:val="20"/>
          <w:lang w:val="fr-CA"/>
        </w:rPr>
        <w:t xml:space="preserve"> et le juge Fish sont dissidents.</w:t>
      </w:r>
    </w:p>
    <w:p w:rsidR="0011544F" w:rsidRPr="000E3CA5" w:rsidRDefault="0011544F" w:rsidP="0011544F">
      <w:pPr>
        <w:jc w:val="both"/>
        <w:rPr>
          <w:spacing w:val="3"/>
          <w:sz w:val="20"/>
          <w:lang w:val="fr-CA"/>
        </w:rPr>
      </w:pPr>
    </w:p>
    <w:p w:rsidR="0011544F" w:rsidRPr="000E3CA5" w:rsidRDefault="0011544F" w:rsidP="0011544F">
      <w:pPr>
        <w:jc w:val="both"/>
        <w:rPr>
          <w:spacing w:val="3"/>
          <w:sz w:val="20"/>
          <w:lang w:val="fr-CA"/>
        </w:rPr>
      </w:pPr>
      <w:r w:rsidRPr="000E3CA5">
        <w:rPr>
          <w:spacing w:val="3"/>
          <w:sz w:val="20"/>
          <w:lang w:val="fr-CA"/>
        </w:rPr>
        <w:tab/>
      </w:r>
      <w:r w:rsidRPr="000E3CA5">
        <w:rPr>
          <w:i/>
          <w:spacing w:val="3"/>
          <w:sz w:val="20"/>
          <w:lang w:val="fr-CA"/>
        </w:rPr>
        <w:t>Ronald C.</w:t>
      </w:r>
      <w:r w:rsidRPr="000E3CA5">
        <w:rPr>
          <w:spacing w:val="3"/>
          <w:sz w:val="20"/>
          <w:lang w:val="fr-CA"/>
        </w:rPr>
        <w:t xml:space="preserve"> </w:t>
      </w:r>
      <w:r w:rsidRPr="000E3CA5">
        <w:rPr>
          <w:i/>
          <w:spacing w:val="3"/>
          <w:sz w:val="20"/>
          <w:lang w:val="fr-CA"/>
        </w:rPr>
        <w:t>Reimer</w:t>
      </w:r>
      <w:r w:rsidRPr="000E3CA5">
        <w:rPr>
          <w:spacing w:val="3"/>
          <w:sz w:val="20"/>
          <w:lang w:val="fr-CA"/>
        </w:rPr>
        <w:t xml:space="preserve"> et </w:t>
      </w:r>
      <w:r w:rsidRPr="000E3CA5">
        <w:rPr>
          <w:i/>
          <w:spacing w:val="3"/>
          <w:sz w:val="20"/>
          <w:lang w:val="fr-CA"/>
        </w:rPr>
        <w:t>Susanne Boucher</w:t>
      </w:r>
      <w:r w:rsidRPr="000E3CA5">
        <w:rPr>
          <w:spacing w:val="3"/>
          <w:sz w:val="20"/>
          <w:lang w:val="fr-CA"/>
        </w:rPr>
        <w:t>, pour l’appelante.</w:t>
      </w:r>
    </w:p>
    <w:p w:rsidR="0011544F" w:rsidRPr="000E3CA5" w:rsidRDefault="0011544F" w:rsidP="0011544F">
      <w:pPr>
        <w:jc w:val="both"/>
        <w:rPr>
          <w:spacing w:val="3"/>
          <w:sz w:val="20"/>
          <w:lang w:val="fr-CA"/>
        </w:rPr>
      </w:pPr>
    </w:p>
    <w:p w:rsidR="0011544F" w:rsidRPr="000E3CA5" w:rsidRDefault="0011544F" w:rsidP="0011544F">
      <w:pPr>
        <w:jc w:val="both"/>
        <w:rPr>
          <w:spacing w:val="3"/>
          <w:sz w:val="20"/>
          <w:lang w:val="fr-CA"/>
        </w:rPr>
      </w:pPr>
      <w:r w:rsidRPr="000E3CA5">
        <w:rPr>
          <w:spacing w:val="3"/>
          <w:sz w:val="20"/>
          <w:lang w:val="fr-CA"/>
        </w:rPr>
        <w:tab/>
      </w:r>
      <w:r w:rsidRPr="000E3CA5">
        <w:rPr>
          <w:i/>
          <w:spacing w:val="3"/>
          <w:sz w:val="20"/>
          <w:lang w:val="fr-CA"/>
        </w:rPr>
        <w:t>Charles R.</w:t>
      </w:r>
      <w:r w:rsidRPr="000E3CA5">
        <w:rPr>
          <w:spacing w:val="3"/>
          <w:sz w:val="20"/>
          <w:lang w:val="fr-CA"/>
        </w:rPr>
        <w:t xml:space="preserve"> </w:t>
      </w:r>
      <w:r w:rsidRPr="000E3CA5">
        <w:rPr>
          <w:i/>
          <w:spacing w:val="3"/>
          <w:sz w:val="20"/>
          <w:lang w:val="fr-CA"/>
        </w:rPr>
        <w:t>Stewart</w:t>
      </w:r>
      <w:r w:rsidRPr="000E3CA5">
        <w:rPr>
          <w:spacing w:val="3"/>
          <w:sz w:val="20"/>
          <w:lang w:val="fr-CA"/>
        </w:rPr>
        <w:t xml:space="preserve">, </w:t>
      </w:r>
      <w:proofErr w:type="gramStart"/>
      <w:r w:rsidRPr="000E3CA5">
        <w:rPr>
          <w:i/>
          <w:spacing w:val="3"/>
          <w:sz w:val="20"/>
          <w:lang w:val="fr-CA"/>
        </w:rPr>
        <w:t>c.r.</w:t>
      </w:r>
      <w:r w:rsidRPr="000E3CA5">
        <w:rPr>
          <w:spacing w:val="3"/>
          <w:sz w:val="20"/>
          <w:lang w:val="fr-CA"/>
        </w:rPr>
        <w:t>,</w:t>
      </w:r>
      <w:proofErr w:type="gramEnd"/>
      <w:r w:rsidRPr="000E3CA5">
        <w:rPr>
          <w:spacing w:val="3"/>
          <w:sz w:val="20"/>
          <w:lang w:val="fr-CA"/>
        </w:rPr>
        <w:t xml:space="preserve"> et</w:t>
      </w:r>
      <w:r w:rsidRPr="000E3CA5">
        <w:rPr>
          <w:i/>
          <w:spacing w:val="3"/>
          <w:sz w:val="20"/>
          <w:lang w:val="fr-CA"/>
        </w:rPr>
        <w:t xml:space="preserve"> David Andrews</w:t>
      </w:r>
      <w:r w:rsidRPr="000E3CA5">
        <w:rPr>
          <w:spacing w:val="3"/>
          <w:sz w:val="20"/>
          <w:lang w:val="fr-CA"/>
        </w:rPr>
        <w:t>, pour l’intimé.</w:t>
      </w:r>
    </w:p>
    <w:p w:rsidR="0011544F" w:rsidRPr="000E3CA5" w:rsidRDefault="0011544F" w:rsidP="0011544F">
      <w:pPr>
        <w:jc w:val="both"/>
        <w:rPr>
          <w:spacing w:val="3"/>
          <w:sz w:val="20"/>
          <w:lang w:val="fr-CA"/>
        </w:rPr>
      </w:pPr>
    </w:p>
    <w:p w:rsidR="0011544F" w:rsidRPr="000E3CA5" w:rsidRDefault="0011544F" w:rsidP="0011544F">
      <w:pPr>
        <w:jc w:val="both"/>
        <w:rPr>
          <w:spacing w:val="3"/>
          <w:sz w:val="20"/>
          <w:lang w:val="fr-CA"/>
        </w:rPr>
      </w:pPr>
      <w:r w:rsidRPr="000E3CA5">
        <w:rPr>
          <w:spacing w:val="3"/>
          <w:sz w:val="20"/>
          <w:lang w:val="fr-CA"/>
        </w:rPr>
        <w:tab/>
      </w:r>
      <w:r w:rsidRPr="000E3CA5">
        <w:rPr>
          <w:i/>
          <w:spacing w:val="3"/>
          <w:sz w:val="20"/>
          <w:lang w:val="fr-CA"/>
        </w:rPr>
        <w:t>Christine</w:t>
      </w:r>
      <w:r w:rsidRPr="000E3CA5">
        <w:rPr>
          <w:spacing w:val="3"/>
          <w:sz w:val="20"/>
          <w:lang w:val="fr-CA"/>
        </w:rPr>
        <w:t xml:space="preserve"> </w:t>
      </w:r>
      <w:proofErr w:type="spellStart"/>
      <w:r w:rsidRPr="000E3CA5">
        <w:rPr>
          <w:i/>
          <w:spacing w:val="3"/>
          <w:sz w:val="20"/>
          <w:lang w:val="fr-CA"/>
        </w:rPr>
        <w:t>Tier</w:t>
      </w:r>
      <w:proofErr w:type="spellEnd"/>
      <w:r w:rsidRPr="000E3CA5">
        <w:rPr>
          <w:spacing w:val="3"/>
          <w:sz w:val="20"/>
          <w:lang w:val="fr-CA"/>
        </w:rPr>
        <w:t>, pour l’intervenant le procureur général de l’Ontario.</w:t>
      </w:r>
    </w:p>
    <w:p w:rsidR="0011544F" w:rsidRPr="000E3CA5" w:rsidRDefault="0011544F" w:rsidP="0011544F">
      <w:pPr>
        <w:jc w:val="both"/>
        <w:rPr>
          <w:spacing w:val="3"/>
          <w:sz w:val="20"/>
          <w:lang w:val="fr-CA"/>
        </w:rPr>
      </w:pPr>
    </w:p>
    <w:p w:rsidR="0011544F" w:rsidRPr="000E3CA5" w:rsidRDefault="0011544F" w:rsidP="0011544F">
      <w:pPr>
        <w:jc w:val="both"/>
        <w:rPr>
          <w:spacing w:val="3"/>
          <w:sz w:val="20"/>
          <w:lang w:val="fr-CA"/>
        </w:rPr>
      </w:pPr>
      <w:r w:rsidRPr="000E3CA5">
        <w:rPr>
          <w:spacing w:val="3"/>
          <w:sz w:val="20"/>
          <w:lang w:val="fr-CA"/>
        </w:rPr>
        <w:tab/>
      </w:r>
      <w:r w:rsidRPr="000E3CA5">
        <w:rPr>
          <w:i/>
          <w:spacing w:val="3"/>
          <w:sz w:val="20"/>
          <w:lang w:val="fr-CA"/>
        </w:rPr>
        <w:t>Brigitte Bussières</w:t>
      </w:r>
      <w:r w:rsidRPr="000E3CA5">
        <w:rPr>
          <w:spacing w:val="3"/>
          <w:sz w:val="20"/>
          <w:lang w:val="fr-CA"/>
        </w:rPr>
        <w:t xml:space="preserve"> et </w:t>
      </w:r>
      <w:r w:rsidRPr="000E3CA5">
        <w:rPr>
          <w:i/>
          <w:spacing w:val="3"/>
          <w:sz w:val="20"/>
          <w:lang w:val="fr-CA"/>
        </w:rPr>
        <w:t>Gilles</w:t>
      </w:r>
      <w:r w:rsidRPr="000E3CA5">
        <w:rPr>
          <w:spacing w:val="3"/>
          <w:sz w:val="20"/>
          <w:lang w:val="fr-CA"/>
        </w:rPr>
        <w:t xml:space="preserve"> </w:t>
      </w:r>
      <w:r w:rsidRPr="000E3CA5">
        <w:rPr>
          <w:i/>
          <w:spacing w:val="3"/>
          <w:sz w:val="20"/>
          <w:lang w:val="fr-CA"/>
        </w:rPr>
        <w:t>Laporte</w:t>
      </w:r>
      <w:r w:rsidRPr="000E3CA5">
        <w:rPr>
          <w:spacing w:val="3"/>
          <w:sz w:val="20"/>
          <w:lang w:val="fr-CA"/>
        </w:rPr>
        <w:t>, pour l’intervenant le procureur général du Québec.</w:t>
      </w:r>
    </w:p>
    <w:p w:rsidR="0011544F" w:rsidRPr="000E3CA5" w:rsidRDefault="0011544F" w:rsidP="0011544F">
      <w:pPr>
        <w:jc w:val="both"/>
        <w:rPr>
          <w:spacing w:val="3"/>
          <w:sz w:val="20"/>
          <w:lang w:val="fr-CA"/>
        </w:rPr>
      </w:pPr>
    </w:p>
    <w:p w:rsidR="0011544F" w:rsidRPr="000E3CA5" w:rsidRDefault="0011544F" w:rsidP="0011544F">
      <w:pPr>
        <w:jc w:val="both"/>
        <w:rPr>
          <w:spacing w:val="3"/>
          <w:sz w:val="20"/>
          <w:lang w:val="fr-CA"/>
        </w:rPr>
      </w:pPr>
      <w:r w:rsidRPr="000E3CA5">
        <w:rPr>
          <w:spacing w:val="3"/>
          <w:sz w:val="20"/>
          <w:lang w:val="fr-CA"/>
        </w:rPr>
        <w:tab/>
      </w:r>
      <w:r w:rsidRPr="000E3CA5">
        <w:rPr>
          <w:i/>
          <w:spacing w:val="3"/>
          <w:sz w:val="20"/>
          <w:lang w:val="fr-CA"/>
        </w:rPr>
        <w:t>David S.</w:t>
      </w:r>
      <w:r w:rsidRPr="000E3CA5">
        <w:rPr>
          <w:spacing w:val="3"/>
          <w:sz w:val="20"/>
          <w:lang w:val="fr-CA"/>
        </w:rPr>
        <w:t xml:space="preserve"> </w:t>
      </w:r>
      <w:r w:rsidRPr="000E3CA5">
        <w:rPr>
          <w:i/>
          <w:spacing w:val="3"/>
          <w:sz w:val="20"/>
          <w:lang w:val="fr-CA"/>
        </w:rPr>
        <w:t>Rose</w:t>
      </w:r>
      <w:r w:rsidRPr="000E3CA5">
        <w:rPr>
          <w:spacing w:val="3"/>
          <w:sz w:val="20"/>
          <w:lang w:val="fr-CA"/>
        </w:rPr>
        <w:t xml:space="preserve"> et </w:t>
      </w:r>
      <w:r w:rsidRPr="000E3CA5">
        <w:rPr>
          <w:i/>
          <w:spacing w:val="3"/>
          <w:sz w:val="20"/>
          <w:lang w:val="fr-CA"/>
        </w:rPr>
        <w:t xml:space="preserve">John J. </w:t>
      </w:r>
      <w:proofErr w:type="spellStart"/>
      <w:r w:rsidRPr="000E3CA5">
        <w:rPr>
          <w:i/>
          <w:spacing w:val="3"/>
          <w:sz w:val="20"/>
          <w:lang w:val="fr-CA"/>
        </w:rPr>
        <w:t>Navarrete</w:t>
      </w:r>
      <w:proofErr w:type="spellEnd"/>
      <w:r w:rsidRPr="000E3CA5">
        <w:rPr>
          <w:spacing w:val="3"/>
          <w:sz w:val="20"/>
          <w:lang w:val="fr-CA"/>
        </w:rPr>
        <w:t>, pour l’intervenante l’Association canadienne des libertés civiles.</w:t>
      </w:r>
    </w:p>
    <w:p w:rsidR="0011544F" w:rsidRPr="000E3CA5" w:rsidRDefault="0011544F" w:rsidP="0011544F">
      <w:pPr>
        <w:jc w:val="both"/>
        <w:rPr>
          <w:spacing w:val="3"/>
          <w:sz w:val="20"/>
          <w:lang w:val="fr-CA"/>
        </w:rPr>
      </w:pPr>
    </w:p>
    <w:p w:rsidR="0011544F" w:rsidRPr="000E3CA5" w:rsidRDefault="0011544F" w:rsidP="0011544F">
      <w:pPr>
        <w:jc w:val="both"/>
        <w:rPr>
          <w:i/>
          <w:spacing w:val="3"/>
          <w:sz w:val="20"/>
          <w:lang w:val="fr-CA"/>
        </w:rPr>
      </w:pPr>
      <w:r w:rsidRPr="000E3CA5">
        <w:rPr>
          <w:spacing w:val="3"/>
          <w:sz w:val="20"/>
          <w:lang w:val="fr-CA"/>
        </w:rPr>
        <w:tab/>
      </w:r>
      <w:r w:rsidRPr="000E3CA5">
        <w:rPr>
          <w:i/>
          <w:spacing w:val="3"/>
          <w:sz w:val="20"/>
          <w:lang w:val="fr-CA"/>
        </w:rPr>
        <w:t>Procureur de l’appelante : Service des poursuites pénales du Canada, Edmonton.</w:t>
      </w:r>
    </w:p>
    <w:p w:rsidR="0011544F" w:rsidRPr="000E3CA5" w:rsidRDefault="0011544F" w:rsidP="0011544F">
      <w:pPr>
        <w:jc w:val="both"/>
        <w:rPr>
          <w:spacing w:val="3"/>
          <w:sz w:val="20"/>
          <w:lang w:val="fr-CA"/>
        </w:rPr>
      </w:pPr>
    </w:p>
    <w:p w:rsidR="0011544F" w:rsidRPr="000E3CA5" w:rsidRDefault="0011544F" w:rsidP="0011544F">
      <w:pPr>
        <w:jc w:val="both"/>
        <w:rPr>
          <w:i/>
          <w:spacing w:val="3"/>
          <w:sz w:val="20"/>
          <w:lang w:val="fr-CA"/>
        </w:rPr>
      </w:pPr>
      <w:r w:rsidRPr="000E3CA5">
        <w:rPr>
          <w:spacing w:val="3"/>
          <w:sz w:val="20"/>
          <w:lang w:val="fr-CA"/>
        </w:rPr>
        <w:tab/>
      </w:r>
      <w:r w:rsidRPr="000E3CA5">
        <w:rPr>
          <w:i/>
          <w:spacing w:val="3"/>
          <w:sz w:val="20"/>
          <w:lang w:val="fr-CA"/>
        </w:rPr>
        <w:t>Procureurs de l’intimé : Stewart &amp; Andrews, Calgary.</w:t>
      </w:r>
    </w:p>
    <w:p w:rsidR="0011544F" w:rsidRPr="000E3CA5" w:rsidRDefault="0011544F" w:rsidP="0011544F">
      <w:pPr>
        <w:jc w:val="both"/>
        <w:rPr>
          <w:i/>
          <w:spacing w:val="3"/>
          <w:sz w:val="20"/>
          <w:lang w:val="fr-CA"/>
        </w:rPr>
      </w:pPr>
    </w:p>
    <w:p w:rsidR="0011544F" w:rsidRPr="000E3CA5" w:rsidRDefault="0011544F" w:rsidP="0011544F">
      <w:pPr>
        <w:jc w:val="both"/>
        <w:rPr>
          <w:spacing w:val="3"/>
          <w:sz w:val="20"/>
          <w:lang w:val="fr-CA"/>
        </w:rPr>
      </w:pPr>
      <w:r w:rsidRPr="000E3CA5">
        <w:rPr>
          <w:i/>
          <w:spacing w:val="3"/>
          <w:sz w:val="20"/>
          <w:lang w:val="fr-CA"/>
        </w:rPr>
        <w:tab/>
        <w:t>Procureur de l’intervenant le procureur général de l’Ontario : Procureur général de l’Ontario, Toronto.</w:t>
      </w:r>
    </w:p>
    <w:p w:rsidR="0011544F" w:rsidRPr="000E3CA5" w:rsidRDefault="0011544F" w:rsidP="0011544F">
      <w:pPr>
        <w:jc w:val="both"/>
        <w:rPr>
          <w:i/>
          <w:spacing w:val="3"/>
          <w:sz w:val="20"/>
          <w:lang w:val="fr-CA"/>
        </w:rPr>
      </w:pPr>
    </w:p>
    <w:p w:rsidR="0011544F" w:rsidRPr="000E3CA5" w:rsidRDefault="0011544F" w:rsidP="0011544F">
      <w:pPr>
        <w:jc w:val="both"/>
        <w:rPr>
          <w:i/>
          <w:spacing w:val="3"/>
          <w:sz w:val="20"/>
          <w:lang w:val="fr-CA"/>
        </w:rPr>
      </w:pPr>
      <w:r w:rsidRPr="000E3CA5">
        <w:rPr>
          <w:i/>
          <w:spacing w:val="3"/>
          <w:sz w:val="20"/>
          <w:lang w:val="fr-CA"/>
        </w:rPr>
        <w:tab/>
        <w:t>Procureur de l’intervenant le procureur général du Québec : Procureur général du Québec, Québec.</w:t>
      </w:r>
    </w:p>
    <w:p w:rsidR="0011544F" w:rsidRPr="000E3CA5" w:rsidRDefault="0011544F" w:rsidP="0011544F">
      <w:pPr>
        <w:jc w:val="both"/>
        <w:rPr>
          <w:spacing w:val="3"/>
          <w:sz w:val="20"/>
          <w:lang w:val="fr-CA"/>
        </w:rPr>
      </w:pPr>
    </w:p>
    <w:p w:rsidR="0011544F" w:rsidRPr="000E3CA5" w:rsidRDefault="0011544F" w:rsidP="0011544F">
      <w:pPr>
        <w:jc w:val="both"/>
        <w:rPr>
          <w:i/>
          <w:spacing w:val="3"/>
          <w:sz w:val="20"/>
          <w:lang w:val="fr-CA"/>
        </w:rPr>
      </w:pPr>
      <w:r w:rsidRPr="000E3CA5">
        <w:rPr>
          <w:spacing w:val="3"/>
          <w:sz w:val="20"/>
          <w:lang w:val="fr-CA"/>
        </w:rPr>
        <w:tab/>
      </w:r>
      <w:r w:rsidRPr="000E3CA5">
        <w:rPr>
          <w:i/>
          <w:spacing w:val="3"/>
          <w:sz w:val="20"/>
          <w:lang w:val="fr-CA"/>
        </w:rPr>
        <w:t>Procureurs de l’intervenante l’Association canadienne des libertés civiles : </w:t>
      </w:r>
      <w:proofErr w:type="spellStart"/>
      <w:r w:rsidRPr="000E3CA5">
        <w:rPr>
          <w:i/>
          <w:spacing w:val="3"/>
          <w:sz w:val="20"/>
          <w:lang w:val="fr-CA"/>
        </w:rPr>
        <w:t>Neuberger</w:t>
      </w:r>
      <w:proofErr w:type="spellEnd"/>
      <w:r w:rsidRPr="000E3CA5">
        <w:rPr>
          <w:i/>
          <w:spacing w:val="3"/>
          <w:sz w:val="20"/>
          <w:lang w:val="fr-CA"/>
        </w:rPr>
        <w:t xml:space="preserve"> Rose, Toronto.</w:t>
      </w:r>
    </w:p>
    <w:p w:rsidR="00874152" w:rsidRPr="00874152" w:rsidRDefault="00874152" w:rsidP="00874152">
      <w:pPr>
        <w:rPr>
          <w:spacing w:val="3"/>
          <w:sz w:val="20"/>
          <w:lang w:val="fr-CA"/>
        </w:rPr>
      </w:pPr>
    </w:p>
    <w:p w:rsidR="00874152" w:rsidRDefault="00857426" w:rsidP="00874152">
      <w:pPr>
        <w:rPr>
          <w:sz w:val="20"/>
          <w:szCs w:val="20"/>
          <w:lang w:val="fr-CA"/>
        </w:rPr>
      </w:pPr>
      <w:r w:rsidRPr="00857426">
        <w:rPr>
          <w:sz w:val="20"/>
          <w:szCs w:val="20"/>
          <w:lang w:val="fr-CA"/>
        </w:rPr>
        <w:pict>
          <v:rect id="_x0000_i1082" style="width:144.3pt;height:1pt" o:hrpct="300" o:hralign="center" o:hrstd="t" o:hrnoshade="t" o:hr="t" fillcolor="black [3213]" stroked="f"/>
        </w:pict>
      </w:r>
    </w:p>
    <w:p w:rsidR="0011544F" w:rsidRDefault="0011544F" w:rsidP="00874152">
      <w:pPr>
        <w:rPr>
          <w:sz w:val="20"/>
          <w:szCs w:val="20"/>
          <w:lang w:val="fr-CA"/>
        </w:rPr>
      </w:pPr>
    </w:p>
    <w:p w:rsidR="0011544F" w:rsidRDefault="0011544F" w:rsidP="00874152">
      <w:pPr>
        <w:rPr>
          <w:sz w:val="20"/>
          <w:szCs w:val="20"/>
          <w:lang w:val="fr-CA"/>
        </w:rPr>
      </w:pPr>
    </w:p>
    <w:p w:rsidR="0011544F" w:rsidRDefault="0011544F">
      <w:pPr>
        <w:rPr>
          <w:sz w:val="20"/>
          <w:szCs w:val="20"/>
          <w:lang w:val="fr-CA"/>
        </w:rPr>
      </w:pPr>
      <w:r>
        <w:rPr>
          <w:sz w:val="20"/>
          <w:szCs w:val="20"/>
          <w:lang w:val="fr-CA"/>
        </w:rPr>
        <w:br w:type="page"/>
      </w:r>
    </w:p>
    <w:p w:rsidR="00736C0F" w:rsidRPr="00736C0F" w:rsidRDefault="00736C0F" w:rsidP="00736C0F">
      <w:pPr>
        <w:rPr>
          <w:rFonts w:eastAsia="Calibri" w:cs="Times New Roman"/>
          <w:sz w:val="20"/>
          <w:szCs w:val="20"/>
          <w:lang w:val="fr-CA"/>
        </w:rPr>
      </w:pPr>
      <w:proofErr w:type="spellStart"/>
      <w:r w:rsidRPr="00736C0F">
        <w:rPr>
          <w:rFonts w:eastAsia="Calibri" w:cs="Times New Roman"/>
          <w:i/>
          <w:sz w:val="20"/>
          <w:szCs w:val="20"/>
          <w:lang w:val="fr-CA"/>
        </w:rPr>
        <w:lastRenderedPageBreak/>
        <w:t>Jòszef</w:t>
      </w:r>
      <w:proofErr w:type="spellEnd"/>
      <w:r w:rsidRPr="00736C0F">
        <w:rPr>
          <w:rFonts w:eastAsia="Calibri" w:cs="Times New Roman"/>
          <w:i/>
          <w:sz w:val="20"/>
          <w:szCs w:val="20"/>
          <w:lang w:val="fr-CA"/>
        </w:rPr>
        <w:t xml:space="preserve"> </w:t>
      </w:r>
      <w:proofErr w:type="spellStart"/>
      <w:r w:rsidRPr="00736C0F">
        <w:rPr>
          <w:rFonts w:eastAsia="Calibri" w:cs="Times New Roman"/>
          <w:i/>
          <w:sz w:val="20"/>
          <w:szCs w:val="20"/>
          <w:lang w:val="fr-CA"/>
        </w:rPr>
        <w:t>Németh</w:t>
      </w:r>
      <w:proofErr w:type="spellEnd"/>
      <w:r w:rsidRPr="00736C0F">
        <w:rPr>
          <w:rFonts w:eastAsia="Calibri" w:cs="Times New Roman"/>
          <w:i/>
          <w:sz w:val="20"/>
          <w:szCs w:val="20"/>
          <w:lang w:val="fr-CA"/>
        </w:rPr>
        <w:t xml:space="preserve"> et autre c. Ministre de la Justice  du Canada </w:t>
      </w:r>
      <w:r w:rsidRPr="00736C0F">
        <w:rPr>
          <w:rFonts w:eastAsia="Calibri" w:cs="Times New Roman"/>
          <w:sz w:val="20"/>
          <w:szCs w:val="20"/>
          <w:lang w:val="fr-CA"/>
        </w:rPr>
        <w:t>(</w:t>
      </w:r>
      <w:proofErr w:type="spellStart"/>
      <w:r w:rsidRPr="00736C0F">
        <w:rPr>
          <w:rFonts w:eastAsia="Calibri" w:cs="Times New Roman"/>
          <w:sz w:val="20"/>
          <w:szCs w:val="20"/>
          <w:lang w:val="fr-CA"/>
        </w:rPr>
        <w:t>Qc</w:t>
      </w:r>
      <w:proofErr w:type="spellEnd"/>
      <w:r w:rsidRPr="00736C0F">
        <w:rPr>
          <w:rFonts w:eastAsia="Calibri" w:cs="Times New Roman"/>
          <w:sz w:val="20"/>
          <w:szCs w:val="20"/>
          <w:lang w:val="fr-CA"/>
        </w:rPr>
        <w:t>) (33016)</w:t>
      </w:r>
    </w:p>
    <w:p w:rsidR="0012561B" w:rsidRPr="00731243" w:rsidRDefault="0012561B" w:rsidP="0012561B">
      <w:pPr>
        <w:jc w:val="both"/>
        <w:rPr>
          <w:rFonts w:cs="Times New Roman"/>
          <w:b/>
          <w:sz w:val="20"/>
          <w:szCs w:val="20"/>
        </w:rPr>
      </w:pPr>
      <w:r w:rsidRPr="00F56A44">
        <w:rPr>
          <w:rFonts w:cs="Times New Roman"/>
          <w:b/>
          <w:sz w:val="20"/>
          <w:szCs w:val="20"/>
        </w:rPr>
        <w:t>Indexed as:  </w:t>
      </w:r>
      <w:proofErr w:type="spellStart"/>
      <w:r w:rsidRPr="00F56A44">
        <w:rPr>
          <w:rStyle w:val="SCCAppellantForIndexChar"/>
          <w:rFonts w:eastAsiaTheme="minorHAnsi"/>
          <w:sz w:val="20"/>
          <w:lang w:val="en-US"/>
        </w:rPr>
        <w:t>Németh</w:t>
      </w:r>
      <w:proofErr w:type="spellEnd"/>
      <w:r w:rsidRPr="00F56A44">
        <w:rPr>
          <w:rStyle w:val="SCCAppellantForIndexChar"/>
          <w:rFonts w:eastAsiaTheme="minorHAnsi"/>
          <w:sz w:val="20"/>
          <w:lang w:val="en-US"/>
        </w:rPr>
        <w:t xml:space="preserve"> </w:t>
      </w:r>
      <w:r w:rsidRPr="00F56A44">
        <w:rPr>
          <w:rFonts w:cs="Times New Roman"/>
          <w:b/>
          <w:i/>
          <w:sz w:val="20"/>
          <w:szCs w:val="20"/>
        </w:rPr>
        <w:t>v.</w:t>
      </w:r>
      <w:r w:rsidRPr="00F56A44">
        <w:rPr>
          <w:rFonts w:cs="Times New Roman"/>
          <w:b/>
          <w:sz w:val="20"/>
          <w:szCs w:val="20"/>
        </w:rPr>
        <w:t xml:space="preserve"> </w:t>
      </w:r>
      <w:r w:rsidRPr="00F56A44">
        <w:rPr>
          <w:rStyle w:val="SCCRespondentForIndexChar"/>
          <w:rFonts w:eastAsiaTheme="minorHAnsi"/>
          <w:sz w:val="20"/>
          <w:lang w:val="en-US"/>
        </w:rPr>
        <w:t>Canada (Justice)</w:t>
      </w:r>
      <w:r>
        <w:rPr>
          <w:rStyle w:val="SCCRespondentForIndexChar"/>
          <w:rFonts w:eastAsiaTheme="minorHAnsi"/>
          <w:sz w:val="20"/>
          <w:lang w:val="en-US"/>
        </w:rPr>
        <w:t xml:space="preserve"> / </w:t>
      </w:r>
      <w:proofErr w:type="spellStart"/>
      <w:proofErr w:type="gramStart"/>
      <w:r w:rsidRPr="00731243">
        <w:rPr>
          <w:rFonts w:cs="Times New Roman"/>
          <w:b/>
          <w:sz w:val="20"/>
          <w:szCs w:val="20"/>
        </w:rPr>
        <w:t>Répertorié</w:t>
      </w:r>
      <w:proofErr w:type="spellEnd"/>
      <w:r w:rsidRPr="00731243">
        <w:rPr>
          <w:rFonts w:cs="Times New Roman"/>
          <w:b/>
          <w:sz w:val="20"/>
          <w:szCs w:val="20"/>
        </w:rPr>
        <w:t> :</w:t>
      </w:r>
      <w:proofErr w:type="gramEnd"/>
      <w:r w:rsidRPr="00731243">
        <w:rPr>
          <w:rFonts w:cs="Times New Roman"/>
          <w:b/>
          <w:sz w:val="20"/>
          <w:szCs w:val="20"/>
        </w:rPr>
        <w:t> </w:t>
      </w:r>
      <w:proofErr w:type="spellStart"/>
      <w:r w:rsidRPr="0012561B">
        <w:rPr>
          <w:rStyle w:val="SCCAppellantForIndexChar"/>
          <w:rFonts w:eastAsiaTheme="minorHAnsi"/>
          <w:sz w:val="20"/>
          <w:lang w:val="en-CA"/>
        </w:rPr>
        <w:t>Németh</w:t>
      </w:r>
      <w:proofErr w:type="spellEnd"/>
      <w:r w:rsidRPr="0012561B">
        <w:rPr>
          <w:rStyle w:val="SCCAppellantForIndexChar"/>
          <w:rFonts w:eastAsiaTheme="minorHAnsi"/>
          <w:sz w:val="20"/>
          <w:lang w:val="en-CA"/>
        </w:rPr>
        <w:t xml:space="preserve"> </w:t>
      </w:r>
      <w:r w:rsidRPr="00731243">
        <w:rPr>
          <w:rFonts w:cs="Times New Roman"/>
          <w:b/>
          <w:i/>
          <w:sz w:val="20"/>
          <w:szCs w:val="20"/>
        </w:rPr>
        <w:t>c.</w:t>
      </w:r>
      <w:r w:rsidRPr="00731243">
        <w:rPr>
          <w:rFonts w:cs="Times New Roman"/>
          <w:b/>
          <w:sz w:val="20"/>
          <w:szCs w:val="20"/>
        </w:rPr>
        <w:t xml:space="preserve"> </w:t>
      </w:r>
      <w:r w:rsidRPr="00731243">
        <w:rPr>
          <w:rStyle w:val="SCCRespondentForIndexChar"/>
          <w:rFonts w:eastAsiaTheme="minorHAnsi"/>
          <w:sz w:val="20"/>
        </w:rPr>
        <w:t>Canada (Justice)</w:t>
      </w:r>
    </w:p>
    <w:p w:rsidR="00736C0F" w:rsidRPr="00E452DD" w:rsidRDefault="00736C0F" w:rsidP="00736C0F">
      <w:pPr>
        <w:pStyle w:val="SCCSystemYear"/>
        <w:jc w:val="both"/>
        <w:rPr>
          <w:sz w:val="20"/>
        </w:rPr>
      </w:pPr>
      <w:proofErr w:type="spellStart"/>
      <w:r w:rsidRPr="00E452DD">
        <w:rPr>
          <w:sz w:val="20"/>
        </w:rPr>
        <w:t>Neutral</w:t>
      </w:r>
      <w:proofErr w:type="spellEnd"/>
      <w:r w:rsidRPr="00E452DD">
        <w:rPr>
          <w:sz w:val="20"/>
        </w:rPr>
        <w:t xml:space="preserve"> citation</w:t>
      </w:r>
      <w:proofErr w:type="gramStart"/>
      <w:r w:rsidRPr="00E452DD">
        <w:rPr>
          <w:sz w:val="20"/>
        </w:rPr>
        <w:t>:  2010</w:t>
      </w:r>
      <w:proofErr w:type="gramEnd"/>
      <w:r w:rsidRPr="00E452DD">
        <w:rPr>
          <w:sz w:val="20"/>
        </w:rPr>
        <w:t xml:space="preserve"> SCC </w:t>
      </w:r>
      <w:r>
        <w:rPr>
          <w:sz w:val="20"/>
        </w:rPr>
        <w:t>5</w:t>
      </w:r>
      <w:r w:rsidR="0012561B">
        <w:rPr>
          <w:sz w:val="20"/>
        </w:rPr>
        <w:t>6</w:t>
      </w:r>
      <w:r w:rsidRPr="00E452DD">
        <w:rPr>
          <w:sz w:val="20"/>
        </w:rPr>
        <w:t xml:space="preserve"> / Référence neutre : 2010 CSC </w:t>
      </w:r>
      <w:r>
        <w:rPr>
          <w:sz w:val="20"/>
        </w:rPr>
        <w:t>5</w:t>
      </w:r>
      <w:r w:rsidR="0012561B">
        <w:rPr>
          <w:sz w:val="20"/>
        </w:rPr>
        <w:t>6</w:t>
      </w:r>
    </w:p>
    <w:p w:rsidR="00736C0F" w:rsidRPr="00E452DD" w:rsidRDefault="00736C0F" w:rsidP="00736C0F">
      <w:pPr>
        <w:rPr>
          <w:sz w:val="20"/>
          <w:szCs w:val="20"/>
          <w:lang w:val="fr-CA"/>
        </w:rPr>
      </w:pPr>
      <w:proofErr w:type="spellStart"/>
      <w:r w:rsidRPr="00E452DD">
        <w:rPr>
          <w:sz w:val="20"/>
          <w:szCs w:val="20"/>
          <w:lang w:val="fr-CA"/>
        </w:rPr>
        <w:t>Hearing</w:t>
      </w:r>
      <w:proofErr w:type="spellEnd"/>
      <w:proofErr w:type="gramStart"/>
      <w:r w:rsidRPr="00E452DD">
        <w:rPr>
          <w:sz w:val="20"/>
          <w:szCs w:val="20"/>
          <w:lang w:val="fr-CA"/>
        </w:rPr>
        <w:t xml:space="preserve">:  </w:t>
      </w:r>
      <w:proofErr w:type="spellStart"/>
      <w:r w:rsidR="0012561B">
        <w:rPr>
          <w:sz w:val="20"/>
          <w:szCs w:val="20"/>
          <w:lang w:val="fr-CA"/>
        </w:rPr>
        <w:t>January</w:t>
      </w:r>
      <w:proofErr w:type="spellEnd"/>
      <w:proofErr w:type="gramEnd"/>
      <w:r>
        <w:rPr>
          <w:sz w:val="20"/>
          <w:szCs w:val="20"/>
          <w:lang w:val="fr-CA"/>
        </w:rPr>
        <w:t xml:space="preserve"> 1</w:t>
      </w:r>
      <w:r w:rsidR="0012561B">
        <w:rPr>
          <w:sz w:val="20"/>
          <w:szCs w:val="20"/>
          <w:lang w:val="fr-CA"/>
        </w:rPr>
        <w:t>3</w:t>
      </w:r>
      <w:r w:rsidRPr="00E452DD">
        <w:rPr>
          <w:sz w:val="20"/>
          <w:szCs w:val="20"/>
          <w:lang w:val="fr-CA"/>
        </w:rPr>
        <w:t>, 20</w:t>
      </w:r>
      <w:r>
        <w:rPr>
          <w:sz w:val="20"/>
          <w:szCs w:val="20"/>
          <w:lang w:val="fr-CA"/>
        </w:rPr>
        <w:t>1</w:t>
      </w:r>
      <w:r w:rsidRPr="00E452DD">
        <w:rPr>
          <w:sz w:val="20"/>
          <w:szCs w:val="20"/>
          <w:lang w:val="fr-CA"/>
        </w:rPr>
        <w:t xml:space="preserve">0 / </w:t>
      </w:r>
      <w:proofErr w:type="spellStart"/>
      <w:r w:rsidRPr="00E452DD">
        <w:rPr>
          <w:sz w:val="20"/>
          <w:szCs w:val="20"/>
          <w:lang w:val="fr-CA"/>
        </w:rPr>
        <w:t>Judgment</w:t>
      </w:r>
      <w:proofErr w:type="spellEnd"/>
      <w:r w:rsidRPr="00E452DD">
        <w:rPr>
          <w:sz w:val="20"/>
          <w:szCs w:val="20"/>
          <w:lang w:val="fr-CA"/>
        </w:rPr>
        <w:t xml:space="preserve">:  </w:t>
      </w:r>
      <w:proofErr w:type="spellStart"/>
      <w:r>
        <w:rPr>
          <w:sz w:val="20"/>
          <w:szCs w:val="20"/>
          <w:lang w:val="fr-CA"/>
        </w:rPr>
        <w:t>November</w:t>
      </w:r>
      <w:proofErr w:type="spellEnd"/>
      <w:r w:rsidRPr="00E452DD">
        <w:rPr>
          <w:sz w:val="20"/>
          <w:szCs w:val="20"/>
          <w:lang w:val="fr-CA"/>
        </w:rPr>
        <w:t xml:space="preserve"> 2</w:t>
      </w:r>
      <w:r w:rsidR="0012561B">
        <w:rPr>
          <w:sz w:val="20"/>
          <w:szCs w:val="20"/>
          <w:lang w:val="fr-CA"/>
        </w:rPr>
        <w:t>5</w:t>
      </w:r>
      <w:r w:rsidRPr="00E452DD">
        <w:rPr>
          <w:sz w:val="20"/>
          <w:szCs w:val="20"/>
          <w:lang w:val="fr-CA"/>
        </w:rPr>
        <w:t>, 2010</w:t>
      </w:r>
    </w:p>
    <w:p w:rsidR="00736C0F" w:rsidRPr="00E452DD" w:rsidRDefault="00736C0F" w:rsidP="00736C0F">
      <w:pPr>
        <w:rPr>
          <w:sz w:val="20"/>
          <w:szCs w:val="20"/>
          <w:lang w:val="fr-CA"/>
        </w:rPr>
      </w:pPr>
      <w:r w:rsidRPr="00E452DD">
        <w:rPr>
          <w:sz w:val="20"/>
          <w:szCs w:val="20"/>
          <w:lang w:val="fr-CA"/>
        </w:rPr>
        <w:t xml:space="preserve">Audition : Le </w:t>
      </w:r>
      <w:r>
        <w:rPr>
          <w:sz w:val="20"/>
          <w:szCs w:val="20"/>
          <w:lang w:val="fr-CA"/>
        </w:rPr>
        <w:t>1</w:t>
      </w:r>
      <w:r w:rsidR="0012561B">
        <w:rPr>
          <w:sz w:val="20"/>
          <w:szCs w:val="20"/>
          <w:lang w:val="fr-CA"/>
        </w:rPr>
        <w:t>3 janvier</w:t>
      </w:r>
      <w:r w:rsidRPr="00E452DD">
        <w:rPr>
          <w:sz w:val="20"/>
          <w:szCs w:val="20"/>
          <w:lang w:val="fr-CA"/>
        </w:rPr>
        <w:t xml:space="preserve"> 20</w:t>
      </w:r>
      <w:r>
        <w:rPr>
          <w:sz w:val="20"/>
          <w:szCs w:val="20"/>
          <w:lang w:val="fr-CA"/>
        </w:rPr>
        <w:t>1</w:t>
      </w:r>
      <w:r w:rsidRPr="00E452DD">
        <w:rPr>
          <w:sz w:val="20"/>
          <w:szCs w:val="20"/>
          <w:lang w:val="fr-CA"/>
        </w:rPr>
        <w:t>0 / Jugement : Le 2</w:t>
      </w:r>
      <w:r w:rsidR="0012561B">
        <w:rPr>
          <w:sz w:val="20"/>
          <w:szCs w:val="20"/>
          <w:lang w:val="fr-CA"/>
        </w:rPr>
        <w:t>5</w:t>
      </w:r>
      <w:r>
        <w:rPr>
          <w:sz w:val="20"/>
          <w:szCs w:val="20"/>
          <w:lang w:val="fr-CA"/>
        </w:rPr>
        <w:t xml:space="preserve"> novem</w:t>
      </w:r>
      <w:r w:rsidRPr="00E452DD">
        <w:rPr>
          <w:sz w:val="20"/>
          <w:szCs w:val="20"/>
          <w:lang w:val="fr-CA"/>
        </w:rPr>
        <w:t>bre 2010</w:t>
      </w:r>
    </w:p>
    <w:p w:rsidR="00736C0F" w:rsidRPr="00E452DD" w:rsidRDefault="00857426" w:rsidP="00736C0F">
      <w:pPr>
        <w:rPr>
          <w:sz w:val="20"/>
          <w:szCs w:val="20"/>
          <w:lang w:val="fr-CA"/>
        </w:rPr>
      </w:pPr>
      <w:r w:rsidRPr="00857426">
        <w:rPr>
          <w:i/>
          <w:sz w:val="20"/>
          <w:szCs w:val="20"/>
        </w:rPr>
        <w:pict>
          <v:rect id="_x0000_i1083" style="width:480.95pt;height:1pt" o:hralign="center" o:hrstd="t" o:hrnoshade="t" o:hr="t" fillcolor="black [3213]" stroked="f"/>
        </w:pict>
      </w:r>
    </w:p>
    <w:p w:rsidR="0011544F" w:rsidRDefault="0011544F" w:rsidP="00874152">
      <w:pPr>
        <w:rPr>
          <w:sz w:val="20"/>
          <w:szCs w:val="20"/>
          <w:lang w:val="fr-CA"/>
        </w:rPr>
      </w:pPr>
    </w:p>
    <w:p w:rsidR="0012561B" w:rsidRPr="0012561B" w:rsidRDefault="0012561B" w:rsidP="0012561B">
      <w:pPr>
        <w:jc w:val="both"/>
        <w:rPr>
          <w:rFonts w:cs="Times New Roman"/>
          <w:sz w:val="20"/>
          <w:szCs w:val="20"/>
          <w:lang w:val="fr-CA"/>
        </w:rPr>
      </w:pPr>
      <w:r w:rsidRPr="0012561B">
        <w:rPr>
          <w:rFonts w:cs="Times New Roman"/>
          <w:sz w:val="20"/>
          <w:szCs w:val="20"/>
          <w:lang w:val="fr-CA"/>
        </w:rPr>
        <w:t xml:space="preserve">Présents : La juge en chef </w:t>
      </w:r>
      <w:proofErr w:type="spellStart"/>
      <w:r w:rsidRPr="0012561B">
        <w:rPr>
          <w:rFonts w:cs="Times New Roman"/>
          <w:sz w:val="20"/>
          <w:szCs w:val="20"/>
          <w:lang w:val="fr-CA"/>
        </w:rPr>
        <w:t>McLachlin</w:t>
      </w:r>
      <w:proofErr w:type="spellEnd"/>
      <w:r w:rsidRPr="0012561B">
        <w:rPr>
          <w:rFonts w:cs="Times New Roman"/>
          <w:sz w:val="20"/>
          <w:szCs w:val="20"/>
          <w:lang w:val="fr-CA"/>
        </w:rPr>
        <w:t xml:space="preserve"> et les juges </w:t>
      </w:r>
      <w:proofErr w:type="spellStart"/>
      <w:r w:rsidRPr="0012561B">
        <w:rPr>
          <w:rFonts w:cs="Times New Roman"/>
          <w:sz w:val="20"/>
          <w:szCs w:val="20"/>
          <w:lang w:val="fr-CA"/>
        </w:rPr>
        <w:t>Binnie</w:t>
      </w:r>
      <w:proofErr w:type="spellEnd"/>
      <w:r w:rsidRPr="0012561B">
        <w:rPr>
          <w:rFonts w:cs="Times New Roman"/>
          <w:sz w:val="20"/>
          <w:szCs w:val="20"/>
          <w:lang w:val="fr-CA"/>
        </w:rPr>
        <w:t xml:space="preserve">, </w:t>
      </w:r>
      <w:proofErr w:type="spellStart"/>
      <w:r w:rsidRPr="0012561B">
        <w:rPr>
          <w:rFonts w:cs="Times New Roman"/>
          <w:sz w:val="20"/>
          <w:szCs w:val="20"/>
          <w:lang w:val="fr-CA"/>
        </w:rPr>
        <w:t>LeBel</w:t>
      </w:r>
      <w:proofErr w:type="spellEnd"/>
      <w:r w:rsidRPr="0012561B">
        <w:rPr>
          <w:rFonts w:cs="Times New Roman"/>
          <w:sz w:val="20"/>
          <w:szCs w:val="20"/>
          <w:lang w:val="fr-CA"/>
        </w:rPr>
        <w:t xml:space="preserve">, Deschamps, Fish, Abella, Charron, </w:t>
      </w:r>
      <w:proofErr w:type="spellStart"/>
      <w:r w:rsidRPr="0012561B">
        <w:rPr>
          <w:rFonts w:cs="Times New Roman"/>
          <w:sz w:val="20"/>
          <w:szCs w:val="20"/>
          <w:lang w:val="fr-CA"/>
        </w:rPr>
        <w:t>Rothstein</w:t>
      </w:r>
      <w:proofErr w:type="spellEnd"/>
      <w:r w:rsidRPr="0012561B">
        <w:rPr>
          <w:rFonts w:cs="Times New Roman"/>
          <w:sz w:val="20"/>
          <w:szCs w:val="20"/>
          <w:lang w:val="fr-CA"/>
        </w:rPr>
        <w:t xml:space="preserve"> et Cromwell.</w:t>
      </w:r>
    </w:p>
    <w:p w:rsidR="0012561B" w:rsidRDefault="0012561B" w:rsidP="00874152">
      <w:pPr>
        <w:rPr>
          <w:sz w:val="20"/>
          <w:szCs w:val="20"/>
          <w:lang w:val="fr-CA"/>
        </w:rPr>
      </w:pPr>
    </w:p>
    <w:p w:rsidR="003F4721" w:rsidRPr="003F4721" w:rsidRDefault="003F4721" w:rsidP="003F4721">
      <w:pPr>
        <w:jc w:val="both"/>
        <w:rPr>
          <w:rFonts w:cs="Times New Roman"/>
          <w:i/>
          <w:sz w:val="20"/>
          <w:szCs w:val="20"/>
          <w:lang w:val="fr-CA"/>
        </w:rPr>
      </w:pPr>
      <w:r w:rsidRPr="001E6992">
        <w:rPr>
          <w:rFonts w:cs="Times New Roman"/>
          <w:sz w:val="20"/>
          <w:szCs w:val="20"/>
          <w:lang w:val="fr-CA"/>
        </w:rPr>
        <w:tab/>
      </w:r>
      <w:r w:rsidRPr="003F4721">
        <w:rPr>
          <w:rFonts w:cs="Times New Roman"/>
          <w:i/>
          <w:sz w:val="20"/>
          <w:szCs w:val="20"/>
          <w:lang w:val="fr-CA"/>
        </w:rPr>
        <w:t xml:space="preserve">Extradition </w:t>
      </w:r>
      <w:r w:rsidRPr="003F4721">
        <w:rPr>
          <w:rFonts w:cs="Times New Roman"/>
          <w:sz w:val="20"/>
          <w:szCs w:val="20"/>
          <w:lang w:val="fr-CA"/>
        </w:rPr>
        <w:t>—</w:t>
      </w:r>
      <w:r w:rsidRPr="003F4721">
        <w:rPr>
          <w:rFonts w:cs="Times New Roman"/>
          <w:i/>
          <w:sz w:val="20"/>
          <w:szCs w:val="20"/>
          <w:lang w:val="fr-CA"/>
        </w:rPr>
        <w:t xml:space="preserve"> Remise </w:t>
      </w:r>
      <w:r w:rsidRPr="003F4721">
        <w:rPr>
          <w:rFonts w:cs="Times New Roman"/>
          <w:sz w:val="20"/>
          <w:szCs w:val="20"/>
          <w:lang w:val="fr-CA"/>
        </w:rPr>
        <w:t>—</w:t>
      </w:r>
      <w:r w:rsidRPr="003F4721">
        <w:rPr>
          <w:rFonts w:cs="Times New Roman"/>
          <w:i/>
          <w:sz w:val="20"/>
          <w:szCs w:val="20"/>
          <w:lang w:val="fr-CA"/>
        </w:rPr>
        <w:t xml:space="preserve"> Réfugié au sens de la Convention </w:t>
      </w:r>
      <w:r w:rsidRPr="003F4721">
        <w:rPr>
          <w:rFonts w:cs="Times New Roman"/>
          <w:sz w:val="20"/>
          <w:szCs w:val="20"/>
          <w:lang w:val="fr-CA"/>
        </w:rPr>
        <w:t>—</w:t>
      </w:r>
      <w:r w:rsidRPr="003F4721">
        <w:rPr>
          <w:rFonts w:cs="Times New Roman"/>
          <w:i/>
          <w:sz w:val="20"/>
          <w:szCs w:val="20"/>
          <w:lang w:val="fr-CA"/>
        </w:rPr>
        <w:t xml:space="preserve"> Principe du </w:t>
      </w:r>
      <w:proofErr w:type="spellStart"/>
      <w:r w:rsidRPr="003F4721">
        <w:rPr>
          <w:rFonts w:cs="Times New Roman"/>
          <w:i/>
          <w:sz w:val="20"/>
          <w:szCs w:val="20"/>
          <w:lang w:val="fr-CA"/>
        </w:rPr>
        <w:t>non</w:t>
      </w:r>
      <w:r w:rsidRPr="003F4721">
        <w:rPr>
          <w:rFonts w:cs="Times New Roman"/>
          <w:i/>
          <w:sz w:val="20"/>
          <w:szCs w:val="20"/>
          <w:lang w:val="fr-CA"/>
        </w:rPr>
        <w:noBreakHyphen/>
        <w:t>refoulement</w:t>
      </w:r>
      <w:proofErr w:type="spellEnd"/>
      <w:r w:rsidRPr="003F4721">
        <w:rPr>
          <w:rFonts w:cs="Times New Roman"/>
          <w:i/>
          <w:sz w:val="20"/>
          <w:szCs w:val="20"/>
          <w:lang w:val="fr-CA"/>
        </w:rPr>
        <w:t xml:space="preserve"> </w:t>
      </w:r>
      <w:r w:rsidRPr="003F4721">
        <w:rPr>
          <w:rFonts w:cs="Times New Roman"/>
          <w:sz w:val="20"/>
          <w:szCs w:val="20"/>
          <w:lang w:val="fr-CA"/>
        </w:rPr>
        <w:t xml:space="preserve">— </w:t>
      </w:r>
      <w:r w:rsidRPr="003F4721">
        <w:rPr>
          <w:rFonts w:cs="Times New Roman"/>
          <w:i/>
          <w:sz w:val="20"/>
          <w:szCs w:val="20"/>
          <w:lang w:val="fr-CA"/>
        </w:rPr>
        <w:t xml:space="preserve">Extradition vers la République hongroise de réfugiés au sens de la Convention ordonnée par le ministre de la Justice </w:t>
      </w:r>
      <w:r w:rsidRPr="003F4721">
        <w:rPr>
          <w:rFonts w:cs="Times New Roman"/>
          <w:sz w:val="20"/>
          <w:szCs w:val="20"/>
          <w:lang w:val="fr-CA"/>
        </w:rPr>
        <w:t>—</w:t>
      </w:r>
      <w:r w:rsidRPr="003F4721">
        <w:rPr>
          <w:rFonts w:cs="Times New Roman"/>
          <w:i/>
          <w:sz w:val="20"/>
          <w:szCs w:val="20"/>
          <w:lang w:val="fr-CA"/>
        </w:rPr>
        <w:t xml:space="preserve"> Le ministre de la Justice </w:t>
      </w:r>
      <w:proofErr w:type="spellStart"/>
      <w:r w:rsidRPr="003F4721">
        <w:rPr>
          <w:rFonts w:cs="Times New Roman"/>
          <w:i/>
          <w:sz w:val="20"/>
          <w:szCs w:val="20"/>
          <w:lang w:val="fr-CA"/>
        </w:rPr>
        <w:t>était</w:t>
      </w:r>
      <w:r w:rsidRPr="003F4721">
        <w:rPr>
          <w:rFonts w:cs="Times New Roman"/>
          <w:i/>
          <w:sz w:val="20"/>
          <w:szCs w:val="20"/>
          <w:lang w:val="fr-CA"/>
        </w:rPr>
        <w:noBreakHyphen/>
        <w:t>il</w:t>
      </w:r>
      <w:proofErr w:type="spellEnd"/>
      <w:r w:rsidRPr="003F4721">
        <w:rPr>
          <w:rFonts w:cs="Times New Roman"/>
          <w:i/>
          <w:sz w:val="20"/>
          <w:szCs w:val="20"/>
          <w:lang w:val="fr-CA"/>
        </w:rPr>
        <w:t xml:space="preserve"> légalement habilité à ordonner l’extradition de réfugiés dont la qualité de réfugié n’a pas été perdue ou révoquée?</w:t>
      </w:r>
      <w:r w:rsidRPr="003F4721">
        <w:rPr>
          <w:rFonts w:cs="Times New Roman"/>
          <w:sz w:val="20"/>
          <w:szCs w:val="20"/>
          <w:lang w:val="fr-CA"/>
        </w:rPr>
        <w:t xml:space="preserve"> —</w:t>
      </w:r>
      <w:r w:rsidRPr="003F4721">
        <w:rPr>
          <w:rFonts w:cs="Times New Roman"/>
          <w:i/>
          <w:sz w:val="20"/>
          <w:szCs w:val="20"/>
          <w:lang w:val="fr-CA"/>
        </w:rPr>
        <w:t xml:space="preserve"> Si oui, le ministre </w:t>
      </w:r>
      <w:proofErr w:type="spellStart"/>
      <w:r w:rsidRPr="003F4721">
        <w:rPr>
          <w:rFonts w:cs="Times New Roman"/>
          <w:i/>
          <w:sz w:val="20"/>
          <w:szCs w:val="20"/>
          <w:lang w:val="fr-CA"/>
        </w:rPr>
        <w:t>a</w:t>
      </w:r>
      <w:r w:rsidRPr="003F4721">
        <w:rPr>
          <w:rFonts w:cs="Times New Roman"/>
          <w:i/>
          <w:sz w:val="20"/>
          <w:szCs w:val="20"/>
          <w:lang w:val="fr-CA"/>
        </w:rPr>
        <w:noBreakHyphen/>
        <w:t>t</w:t>
      </w:r>
      <w:r w:rsidRPr="003F4721">
        <w:rPr>
          <w:rFonts w:cs="Times New Roman"/>
          <w:i/>
          <w:sz w:val="20"/>
          <w:szCs w:val="20"/>
          <w:lang w:val="fr-CA"/>
        </w:rPr>
        <w:noBreakHyphen/>
        <w:t>il</w:t>
      </w:r>
      <w:proofErr w:type="spellEnd"/>
      <w:r w:rsidRPr="003F4721">
        <w:rPr>
          <w:rFonts w:cs="Times New Roman"/>
          <w:i/>
          <w:sz w:val="20"/>
          <w:szCs w:val="20"/>
          <w:lang w:val="fr-CA"/>
        </w:rPr>
        <w:t xml:space="preserve"> exercé de manière raisonnable son pouvoir d’ordonner l’extradition?</w:t>
      </w:r>
      <w:r w:rsidRPr="003F4721">
        <w:rPr>
          <w:rFonts w:cs="Times New Roman"/>
          <w:sz w:val="20"/>
          <w:szCs w:val="20"/>
          <w:lang w:val="fr-CA"/>
        </w:rPr>
        <w:t xml:space="preserve"> —</w:t>
      </w:r>
      <w:r w:rsidRPr="003F4721">
        <w:rPr>
          <w:rFonts w:cs="Times New Roman"/>
          <w:i/>
          <w:sz w:val="20"/>
          <w:szCs w:val="20"/>
          <w:lang w:val="fr-CA"/>
        </w:rPr>
        <w:t xml:space="preserve"> Loi sur l’Extradition, L.C. 1999, ch. 18, art. 44 </w:t>
      </w:r>
      <w:r w:rsidRPr="003F4721">
        <w:rPr>
          <w:rFonts w:cs="Times New Roman"/>
          <w:sz w:val="20"/>
          <w:szCs w:val="20"/>
          <w:lang w:val="fr-CA"/>
        </w:rPr>
        <w:t>—</w:t>
      </w:r>
      <w:r w:rsidRPr="003F4721">
        <w:rPr>
          <w:rFonts w:cs="Times New Roman"/>
          <w:i/>
          <w:sz w:val="20"/>
          <w:szCs w:val="20"/>
          <w:lang w:val="fr-CA"/>
        </w:rPr>
        <w:t xml:space="preserve"> Loi sur l’immigration et la protection des réfugiés, L.C. 2001, ch. 27, art. 115.</w:t>
      </w:r>
    </w:p>
    <w:p w:rsidR="003F4721" w:rsidRPr="003F4721" w:rsidRDefault="003F4721" w:rsidP="003F4721">
      <w:pPr>
        <w:jc w:val="both"/>
        <w:rPr>
          <w:rFonts w:cs="Times New Roman"/>
          <w:i/>
          <w:sz w:val="20"/>
          <w:szCs w:val="20"/>
          <w:lang w:val="fr-CA"/>
        </w:rPr>
      </w:pPr>
    </w:p>
    <w:p w:rsidR="003F4721" w:rsidRPr="003F4721" w:rsidRDefault="003F4721" w:rsidP="003F4721">
      <w:pPr>
        <w:jc w:val="both"/>
        <w:rPr>
          <w:rFonts w:cs="Times New Roman"/>
          <w:sz w:val="20"/>
          <w:szCs w:val="20"/>
          <w:lang w:val="fr-CA"/>
        </w:rPr>
      </w:pPr>
      <w:r w:rsidRPr="003F4721">
        <w:rPr>
          <w:rFonts w:cs="Times New Roman"/>
          <w:i/>
          <w:sz w:val="20"/>
          <w:szCs w:val="20"/>
          <w:lang w:val="fr-CA"/>
        </w:rPr>
        <w:tab/>
        <w:t xml:space="preserve">Extradition </w:t>
      </w:r>
      <w:r w:rsidRPr="003F4721">
        <w:rPr>
          <w:rFonts w:cs="Times New Roman"/>
          <w:sz w:val="20"/>
          <w:szCs w:val="20"/>
          <w:lang w:val="fr-CA"/>
        </w:rPr>
        <w:t>—</w:t>
      </w:r>
      <w:r w:rsidRPr="003F4721">
        <w:rPr>
          <w:rFonts w:cs="Times New Roman"/>
          <w:i/>
          <w:sz w:val="20"/>
          <w:szCs w:val="20"/>
          <w:lang w:val="fr-CA"/>
        </w:rPr>
        <w:t xml:space="preserve"> Remise </w:t>
      </w:r>
      <w:r w:rsidRPr="003F4721">
        <w:rPr>
          <w:rFonts w:cs="Times New Roman"/>
          <w:sz w:val="20"/>
          <w:szCs w:val="20"/>
          <w:lang w:val="fr-CA"/>
        </w:rPr>
        <w:t>—</w:t>
      </w:r>
      <w:r w:rsidRPr="003F4721">
        <w:rPr>
          <w:rFonts w:cs="Times New Roman"/>
          <w:i/>
          <w:sz w:val="20"/>
          <w:szCs w:val="20"/>
          <w:lang w:val="fr-CA"/>
        </w:rPr>
        <w:t xml:space="preserve"> Preuve </w:t>
      </w:r>
      <w:r w:rsidRPr="003F4721">
        <w:rPr>
          <w:rFonts w:cs="Times New Roman"/>
          <w:sz w:val="20"/>
          <w:szCs w:val="20"/>
          <w:lang w:val="fr-CA"/>
        </w:rPr>
        <w:t>—</w:t>
      </w:r>
      <w:r w:rsidRPr="003F4721">
        <w:rPr>
          <w:rFonts w:cs="Times New Roman"/>
          <w:i/>
          <w:sz w:val="20"/>
          <w:szCs w:val="20"/>
          <w:lang w:val="fr-CA"/>
        </w:rPr>
        <w:t xml:space="preserve"> Fardeau de la preuve </w:t>
      </w:r>
      <w:r w:rsidRPr="003F4721">
        <w:rPr>
          <w:rFonts w:cs="Times New Roman"/>
          <w:sz w:val="20"/>
          <w:szCs w:val="20"/>
          <w:lang w:val="fr-CA"/>
        </w:rPr>
        <w:t>—</w:t>
      </w:r>
      <w:r w:rsidRPr="003F4721">
        <w:rPr>
          <w:rFonts w:cs="Times New Roman"/>
          <w:i/>
          <w:sz w:val="20"/>
          <w:szCs w:val="20"/>
          <w:lang w:val="fr-CA"/>
        </w:rPr>
        <w:t xml:space="preserve"> Demande d’extradition de réfugiés au sens de la Convention </w:t>
      </w:r>
      <w:r w:rsidRPr="003F4721">
        <w:rPr>
          <w:rFonts w:cs="Times New Roman"/>
          <w:sz w:val="20"/>
          <w:szCs w:val="20"/>
          <w:lang w:val="fr-CA"/>
        </w:rPr>
        <w:t>—</w:t>
      </w:r>
      <w:r w:rsidRPr="003F4721">
        <w:rPr>
          <w:rFonts w:cs="Times New Roman"/>
          <w:i/>
          <w:sz w:val="20"/>
          <w:szCs w:val="20"/>
          <w:lang w:val="fr-CA"/>
        </w:rPr>
        <w:t xml:space="preserve"> Motifs prévus par la loi justifiant le refus du ministre de la Justice de prendre un arrêté d’extradition </w:t>
      </w:r>
      <w:r w:rsidRPr="003F4721">
        <w:rPr>
          <w:rFonts w:cs="Times New Roman"/>
          <w:sz w:val="20"/>
          <w:szCs w:val="20"/>
          <w:lang w:val="fr-CA"/>
        </w:rPr>
        <w:t>—</w:t>
      </w:r>
      <w:r w:rsidRPr="003F4721">
        <w:rPr>
          <w:rFonts w:cs="Times New Roman"/>
          <w:i/>
          <w:sz w:val="20"/>
          <w:szCs w:val="20"/>
          <w:lang w:val="fr-CA"/>
        </w:rPr>
        <w:t xml:space="preserve"> Le risque de persécution </w:t>
      </w:r>
      <w:proofErr w:type="spellStart"/>
      <w:r w:rsidRPr="003F4721">
        <w:rPr>
          <w:rFonts w:cs="Times New Roman"/>
          <w:i/>
          <w:sz w:val="20"/>
          <w:szCs w:val="20"/>
          <w:lang w:val="fr-CA"/>
        </w:rPr>
        <w:t>constitue</w:t>
      </w:r>
      <w:r w:rsidRPr="003F4721">
        <w:rPr>
          <w:rFonts w:cs="Times New Roman"/>
          <w:i/>
          <w:sz w:val="20"/>
          <w:szCs w:val="20"/>
          <w:lang w:val="fr-CA"/>
        </w:rPr>
        <w:noBreakHyphen/>
        <w:t>t</w:t>
      </w:r>
      <w:r w:rsidRPr="003F4721">
        <w:rPr>
          <w:rFonts w:cs="Times New Roman"/>
          <w:i/>
          <w:sz w:val="20"/>
          <w:szCs w:val="20"/>
          <w:lang w:val="fr-CA"/>
        </w:rPr>
        <w:noBreakHyphen/>
        <w:t>il</w:t>
      </w:r>
      <w:proofErr w:type="spellEnd"/>
      <w:r w:rsidRPr="003F4721">
        <w:rPr>
          <w:rFonts w:cs="Times New Roman"/>
          <w:i/>
          <w:sz w:val="20"/>
          <w:szCs w:val="20"/>
          <w:lang w:val="fr-CA"/>
        </w:rPr>
        <w:t xml:space="preserve">, au sens de l’al. 44(1)b) de la Loi sur l’extradition, un motif obligatoire de refuser l’extradition? </w:t>
      </w:r>
      <w:r w:rsidRPr="003F4721">
        <w:rPr>
          <w:rFonts w:cs="Times New Roman"/>
          <w:sz w:val="20"/>
          <w:szCs w:val="20"/>
          <w:lang w:val="fr-CA"/>
        </w:rPr>
        <w:t xml:space="preserve">— </w:t>
      </w:r>
      <w:r w:rsidRPr="003F4721">
        <w:rPr>
          <w:rFonts w:cs="Times New Roman"/>
          <w:i/>
          <w:sz w:val="20"/>
          <w:szCs w:val="20"/>
          <w:lang w:val="fr-CA"/>
        </w:rPr>
        <w:t xml:space="preserve">Le ministre de la Justice </w:t>
      </w:r>
      <w:proofErr w:type="spellStart"/>
      <w:r w:rsidRPr="003F4721">
        <w:rPr>
          <w:rFonts w:cs="Times New Roman"/>
          <w:i/>
          <w:sz w:val="20"/>
          <w:szCs w:val="20"/>
          <w:lang w:val="fr-CA"/>
        </w:rPr>
        <w:t>a</w:t>
      </w:r>
      <w:r w:rsidRPr="003F4721">
        <w:rPr>
          <w:rFonts w:cs="Times New Roman"/>
          <w:i/>
          <w:sz w:val="20"/>
          <w:szCs w:val="20"/>
          <w:lang w:val="fr-CA"/>
        </w:rPr>
        <w:noBreakHyphen/>
        <w:t>t</w:t>
      </w:r>
      <w:r w:rsidRPr="003F4721">
        <w:rPr>
          <w:rFonts w:cs="Times New Roman"/>
          <w:i/>
          <w:sz w:val="20"/>
          <w:szCs w:val="20"/>
          <w:lang w:val="fr-CA"/>
        </w:rPr>
        <w:noBreakHyphen/>
        <w:t>il</w:t>
      </w:r>
      <w:proofErr w:type="spellEnd"/>
      <w:r w:rsidRPr="003F4721">
        <w:rPr>
          <w:rFonts w:cs="Times New Roman"/>
          <w:i/>
          <w:sz w:val="20"/>
          <w:szCs w:val="20"/>
          <w:lang w:val="fr-CA"/>
        </w:rPr>
        <w:t xml:space="preserve"> commis une erreur en imposant aux réfugiés le fardeau de prouver qu’ils seraient persécutés s’ils étaient extradés?</w:t>
      </w:r>
      <w:r w:rsidRPr="003F4721">
        <w:rPr>
          <w:rFonts w:cs="Times New Roman"/>
          <w:sz w:val="20"/>
          <w:szCs w:val="20"/>
          <w:lang w:val="fr-CA"/>
        </w:rPr>
        <w:t xml:space="preserve"> —</w:t>
      </w:r>
      <w:r w:rsidRPr="003F4721">
        <w:rPr>
          <w:rFonts w:cs="Times New Roman"/>
          <w:i/>
          <w:sz w:val="20"/>
          <w:szCs w:val="20"/>
          <w:lang w:val="fr-CA"/>
        </w:rPr>
        <w:t xml:space="preserve"> Loi sur l’Extradition, L.C. 1999, ch. 18, art. 44(1)b).</w:t>
      </w:r>
    </w:p>
    <w:p w:rsidR="003F4721" w:rsidRPr="003F4721" w:rsidRDefault="003F4721" w:rsidP="003F4721">
      <w:pPr>
        <w:pStyle w:val="SCCNormalDoubleSpacing"/>
        <w:spacing w:line="240" w:lineRule="auto"/>
        <w:rPr>
          <w:sz w:val="20"/>
          <w:lang w:val="fr-CA"/>
        </w:rPr>
      </w:pPr>
    </w:p>
    <w:p w:rsidR="003F4721" w:rsidRPr="003F4721" w:rsidRDefault="003F4721" w:rsidP="003F4721">
      <w:pPr>
        <w:jc w:val="both"/>
        <w:rPr>
          <w:rFonts w:cs="Times New Roman"/>
          <w:sz w:val="20"/>
          <w:szCs w:val="20"/>
          <w:lang w:val="fr-CA"/>
        </w:rPr>
      </w:pPr>
      <w:r w:rsidRPr="003F4721">
        <w:rPr>
          <w:rFonts w:cs="Times New Roman"/>
          <w:sz w:val="20"/>
          <w:szCs w:val="20"/>
          <w:lang w:val="fr-CA"/>
        </w:rPr>
        <w:tab/>
        <w:t xml:space="preserve">Arrivés au Canada en 2001, les </w:t>
      </w:r>
      <w:proofErr w:type="spellStart"/>
      <w:r w:rsidRPr="003F4721">
        <w:rPr>
          <w:rFonts w:cs="Times New Roman"/>
          <w:sz w:val="20"/>
          <w:szCs w:val="20"/>
          <w:lang w:val="fr-CA"/>
        </w:rPr>
        <w:t>Németh</w:t>
      </w:r>
      <w:proofErr w:type="spellEnd"/>
      <w:r w:rsidRPr="003F4721">
        <w:rPr>
          <w:rFonts w:cs="Times New Roman"/>
          <w:sz w:val="20"/>
          <w:szCs w:val="20"/>
          <w:lang w:val="fr-CA"/>
        </w:rPr>
        <w:t xml:space="preserve">, un couple d’origine ethnique </w:t>
      </w:r>
      <w:proofErr w:type="spellStart"/>
      <w:r w:rsidRPr="003F4721">
        <w:rPr>
          <w:rFonts w:cs="Times New Roman"/>
          <w:sz w:val="20"/>
          <w:szCs w:val="20"/>
          <w:lang w:val="fr-CA"/>
        </w:rPr>
        <w:t>rome</w:t>
      </w:r>
      <w:proofErr w:type="spellEnd"/>
      <w:r w:rsidRPr="003F4721">
        <w:rPr>
          <w:rFonts w:cs="Times New Roman"/>
          <w:sz w:val="20"/>
          <w:szCs w:val="20"/>
          <w:lang w:val="fr-CA"/>
        </w:rPr>
        <w:t xml:space="preserve">, ont demandé le statut de réfugié, pour eux et leurs enfants, alléguant des actes de violence commis à leur endroit dans leur pays d’origine, la Hongrie.  En 2002, les </w:t>
      </w:r>
      <w:proofErr w:type="spellStart"/>
      <w:r w:rsidRPr="003F4721">
        <w:rPr>
          <w:rFonts w:cs="Times New Roman"/>
          <w:sz w:val="20"/>
          <w:szCs w:val="20"/>
          <w:lang w:val="fr-CA"/>
        </w:rPr>
        <w:t>Németh</w:t>
      </w:r>
      <w:proofErr w:type="spellEnd"/>
      <w:r w:rsidRPr="003F4721">
        <w:rPr>
          <w:rFonts w:cs="Times New Roman"/>
          <w:sz w:val="20"/>
          <w:szCs w:val="20"/>
          <w:lang w:val="fr-CA"/>
        </w:rPr>
        <w:t xml:space="preserve"> et leurs enfants ont obtenu le statut de réfugié et sont plus tard devenus résidents permanents.  Des années plus tard, la Hongrie a lancé un mandat d’arrestation international relativement à une accusation de fraude portée contre les </w:t>
      </w:r>
      <w:proofErr w:type="spellStart"/>
      <w:r w:rsidRPr="003F4721">
        <w:rPr>
          <w:rFonts w:cs="Times New Roman"/>
          <w:sz w:val="20"/>
          <w:szCs w:val="20"/>
          <w:lang w:val="fr-CA"/>
        </w:rPr>
        <w:t>Németh</w:t>
      </w:r>
      <w:proofErr w:type="spellEnd"/>
      <w:r w:rsidRPr="003F4721">
        <w:rPr>
          <w:rFonts w:cs="Times New Roman"/>
          <w:sz w:val="20"/>
          <w:szCs w:val="20"/>
          <w:lang w:val="fr-CA"/>
        </w:rPr>
        <w:t xml:space="preserve"> et a demandé leur extradition.  Le ministre de la Justice a ordonné leur remise et sa décision, portée devant la cour d’appel pour révision judiciaire, a été maintenue.</w:t>
      </w:r>
    </w:p>
    <w:p w:rsidR="003F4721" w:rsidRPr="003F4721" w:rsidRDefault="003F4721" w:rsidP="003F4721">
      <w:pPr>
        <w:jc w:val="both"/>
        <w:rPr>
          <w:rFonts w:cs="Times New Roman"/>
          <w:sz w:val="20"/>
          <w:szCs w:val="20"/>
          <w:lang w:val="fr-CA"/>
        </w:rPr>
      </w:pPr>
    </w:p>
    <w:p w:rsidR="003F4721" w:rsidRPr="003F4721" w:rsidRDefault="003F4721" w:rsidP="003F4721">
      <w:pPr>
        <w:pStyle w:val="SCCNormalDoubleSpacing"/>
        <w:spacing w:line="240" w:lineRule="auto"/>
        <w:rPr>
          <w:sz w:val="20"/>
          <w:lang w:val="fr-CA"/>
        </w:rPr>
      </w:pPr>
      <w:r w:rsidRPr="003F4721">
        <w:rPr>
          <w:sz w:val="20"/>
          <w:lang w:val="fr-CA"/>
        </w:rPr>
        <w:tab/>
      </w:r>
      <w:r w:rsidRPr="003F4721">
        <w:rPr>
          <w:i/>
          <w:sz w:val="20"/>
          <w:lang w:val="fr-CA"/>
        </w:rPr>
        <w:t>Arrêt</w:t>
      </w:r>
      <w:r w:rsidRPr="003F4721">
        <w:rPr>
          <w:sz w:val="20"/>
          <w:lang w:val="fr-CA"/>
        </w:rPr>
        <w:t> : Le pourvoi est accueilli et l’affaire est renvoyée au ministre de la Justice pour réexamen.</w:t>
      </w:r>
    </w:p>
    <w:p w:rsidR="003F4721" w:rsidRPr="003F4721" w:rsidRDefault="003F4721" w:rsidP="003F4721">
      <w:pPr>
        <w:jc w:val="both"/>
        <w:rPr>
          <w:rFonts w:cs="Times New Roman"/>
          <w:sz w:val="20"/>
          <w:szCs w:val="20"/>
          <w:lang w:val="fr-CA"/>
        </w:rPr>
      </w:pPr>
    </w:p>
    <w:p w:rsidR="003F4721" w:rsidRPr="003F4721" w:rsidRDefault="003F4721" w:rsidP="003F4721">
      <w:pPr>
        <w:jc w:val="both"/>
        <w:rPr>
          <w:rFonts w:cs="Times New Roman"/>
          <w:sz w:val="20"/>
          <w:szCs w:val="20"/>
          <w:lang w:val="fr-CA"/>
        </w:rPr>
      </w:pPr>
      <w:r w:rsidRPr="003F4721">
        <w:rPr>
          <w:rFonts w:cs="Times New Roman"/>
          <w:sz w:val="20"/>
          <w:szCs w:val="20"/>
          <w:lang w:val="fr-CA"/>
        </w:rPr>
        <w:tab/>
        <w:t xml:space="preserve">Les dispositions de la </w:t>
      </w:r>
      <w:r w:rsidRPr="003F4721">
        <w:rPr>
          <w:rFonts w:cs="Times New Roman"/>
          <w:i/>
          <w:sz w:val="20"/>
          <w:szCs w:val="20"/>
          <w:lang w:val="fr-CA"/>
        </w:rPr>
        <w:t>Convention relative au statut des réfugiés</w:t>
      </w:r>
      <w:r w:rsidRPr="003F4721">
        <w:rPr>
          <w:rFonts w:cs="Times New Roman"/>
          <w:sz w:val="20"/>
          <w:szCs w:val="20"/>
          <w:lang w:val="fr-CA"/>
        </w:rPr>
        <w:t xml:space="preserve"> de 1951 (la « Convention relative aux réfugiés ») traitant de l’expulsion et du refoulement forment le noyau de la protection accordée aux réfugiés.  L’art. 33 de cette Convention donne corps, en droit des réfugiés, au principe du </w:t>
      </w:r>
      <w:proofErr w:type="spellStart"/>
      <w:r w:rsidRPr="003F4721">
        <w:rPr>
          <w:rFonts w:cs="Times New Roman"/>
          <w:sz w:val="20"/>
          <w:szCs w:val="20"/>
          <w:lang w:val="fr-CA"/>
        </w:rPr>
        <w:t>non</w:t>
      </w:r>
      <w:r w:rsidRPr="003F4721">
        <w:rPr>
          <w:rFonts w:cs="Times New Roman"/>
          <w:sz w:val="20"/>
          <w:szCs w:val="20"/>
          <w:lang w:val="fr-CA"/>
        </w:rPr>
        <w:noBreakHyphen/>
        <w:t>refoulement</w:t>
      </w:r>
      <w:proofErr w:type="spellEnd"/>
      <w:r w:rsidRPr="003F4721">
        <w:rPr>
          <w:rFonts w:cs="Times New Roman"/>
          <w:sz w:val="20"/>
          <w:szCs w:val="20"/>
          <w:lang w:val="fr-CA"/>
        </w:rPr>
        <w:t xml:space="preserve">, qui interdit le renvoi direct ou indirect de réfugiés dans des territoires où ils risquent d’être victimes de violations de droits de la personne.  Le principal instrument de mise en œuvre des obligations internationales du Canada à l’endroit des réfugiés est la </w:t>
      </w:r>
      <w:r w:rsidRPr="003F4721">
        <w:rPr>
          <w:rFonts w:cs="Times New Roman"/>
          <w:i/>
          <w:sz w:val="20"/>
          <w:szCs w:val="20"/>
          <w:lang w:val="fr-CA"/>
        </w:rPr>
        <w:t>Loi sur l’immigration et la protection des réfugiés</w:t>
      </w:r>
      <w:r w:rsidRPr="003F4721">
        <w:rPr>
          <w:rFonts w:cs="Times New Roman"/>
          <w:sz w:val="20"/>
          <w:szCs w:val="20"/>
          <w:lang w:val="fr-CA"/>
        </w:rPr>
        <w:t xml:space="preserve"> (la « LIPR ») et l’art. 115 est la disposition ayant spécifiquement pour objet de remplir cette obligation en matière de </w:t>
      </w:r>
      <w:proofErr w:type="spellStart"/>
      <w:r w:rsidRPr="003F4721">
        <w:rPr>
          <w:rFonts w:cs="Times New Roman"/>
          <w:sz w:val="20"/>
          <w:szCs w:val="20"/>
          <w:lang w:val="fr-CA"/>
        </w:rPr>
        <w:t>non</w:t>
      </w:r>
      <w:r w:rsidRPr="003F4721">
        <w:rPr>
          <w:rFonts w:cs="Times New Roman"/>
          <w:sz w:val="20"/>
          <w:szCs w:val="20"/>
          <w:lang w:val="fr-CA"/>
        </w:rPr>
        <w:noBreakHyphen/>
        <w:t>refoulement</w:t>
      </w:r>
      <w:proofErr w:type="spellEnd"/>
      <w:r w:rsidRPr="003F4721">
        <w:rPr>
          <w:rFonts w:cs="Times New Roman"/>
          <w:sz w:val="20"/>
          <w:szCs w:val="20"/>
          <w:lang w:val="fr-CA"/>
        </w:rPr>
        <w:t xml:space="preserve">.  Cet </w:t>
      </w:r>
      <w:proofErr w:type="gramStart"/>
      <w:r w:rsidRPr="003F4721">
        <w:rPr>
          <w:rFonts w:cs="Times New Roman"/>
          <w:sz w:val="20"/>
          <w:szCs w:val="20"/>
          <w:lang w:val="fr-CA"/>
        </w:rPr>
        <w:t>article prévoit</w:t>
      </w:r>
      <w:proofErr w:type="gramEnd"/>
      <w:r w:rsidRPr="003F4721">
        <w:rPr>
          <w:rFonts w:cs="Times New Roman"/>
          <w:sz w:val="20"/>
          <w:szCs w:val="20"/>
          <w:lang w:val="fr-CA"/>
        </w:rPr>
        <w:t xml:space="preserve"> que la « personne protégée », qui comprend le réfugié, « ne peut être renvoyée dans un pays où elle risque la persécution du fait de sa race, de sa religion, de sa nationalité, de son appartenance à un groupe social ou de ses opinions politiques ».  Interprété dans son contexte, le sens du mot « renvoyée » au par. 115(1) revêt un sens spécialisé et n’englobe pas le renvoi par extradition.  Si l’on convient que la protection contre le refoulement aux termes de la Convention relative aux réfugiés s’applique à l’expulsion par extradition, et que les lois doivent, autant que possible, recevoir une interprétation compatible avec les obligations du Canada issues de traités internationaux et avec les principes du droit international, la présomption que la loi met en œuvre les obligations internationales du Canada est réfutable.  Lorsque les dispositions législatives ne sont pas ambiguës, il faut leur donner effet et puisque l’art. 115 ne vise pas le renvoi par extradition, il faut donner effet au sens clair de cette disposition.  Cette interprétation de l’art. 115 ne fait pas en sorte que notre droit interne ne respecte pas les obligations du Canada en matière de </w:t>
      </w:r>
      <w:proofErr w:type="spellStart"/>
      <w:r w:rsidRPr="003F4721">
        <w:rPr>
          <w:rFonts w:cs="Times New Roman"/>
          <w:sz w:val="20"/>
          <w:szCs w:val="20"/>
          <w:lang w:val="fr-CA"/>
        </w:rPr>
        <w:t>non</w:t>
      </w:r>
      <w:r w:rsidRPr="003F4721">
        <w:rPr>
          <w:rFonts w:cs="Times New Roman"/>
          <w:sz w:val="20"/>
          <w:szCs w:val="20"/>
          <w:lang w:val="fr-CA"/>
        </w:rPr>
        <w:noBreakHyphen/>
        <w:t>refoulement</w:t>
      </w:r>
      <w:proofErr w:type="spellEnd"/>
      <w:r w:rsidRPr="003F4721">
        <w:rPr>
          <w:rFonts w:cs="Times New Roman"/>
          <w:sz w:val="20"/>
          <w:szCs w:val="20"/>
          <w:lang w:val="fr-CA"/>
        </w:rPr>
        <w:t xml:space="preserve"> découlant de la Convention relative aux réfugiés.  Si l’on interprète et applique correctement l’art. 44 de la </w:t>
      </w:r>
      <w:r w:rsidRPr="003F4721">
        <w:rPr>
          <w:rFonts w:cs="Times New Roman"/>
          <w:i/>
          <w:sz w:val="20"/>
          <w:szCs w:val="20"/>
          <w:lang w:val="fr-CA"/>
        </w:rPr>
        <w:t>Loi sur l’extradition</w:t>
      </w:r>
      <w:r w:rsidRPr="003F4721">
        <w:rPr>
          <w:rFonts w:cs="Times New Roman"/>
          <w:sz w:val="20"/>
          <w:szCs w:val="20"/>
          <w:lang w:val="fr-CA"/>
        </w:rPr>
        <w:t xml:space="preserve"> (la « LE »), ces obligations dans le contexte de l’extradition seront pleinement respectées.  Par conséquent, l’art. 115 de la LIPR n’entre pas en conflit avec la LE puisque l’interdiction de renvoyer une personne du Canada ne s’applique pas au renvoi par extradition.</w:t>
      </w:r>
    </w:p>
    <w:p w:rsidR="003F4721" w:rsidRPr="003F4721" w:rsidRDefault="003F4721" w:rsidP="003F4721">
      <w:pPr>
        <w:jc w:val="both"/>
        <w:rPr>
          <w:rFonts w:cs="Times New Roman"/>
          <w:sz w:val="20"/>
          <w:szCs w:val="20"/>
          <w:lang w:val="fr-CA"/>
        </w:rPr>
      </w:pPr>
    </w:p>
    <w:p w:rsidR="003F4721" w:rsidRPr="003F4721" w:rsidRDefault="003F4721" w:rsidP="003F4721">
      <w:pPr>
        <w:jc w:val="both"/>
        <w:rPr>
          <w:rFonts w:cs="Times New Roman"/>
          <w:sz w:val="20"/>
          <w:szCs w:val="20"/>
          <w:lang w:val="fr-CA"/>
        </w:rPr>
      </w:pPr>
      <w:r w:rsidRPr="003F4721">
        <w:rPr>
          <w:rFonts w:cs="Times New Roman"/>
          <w:sz w:val="20"/>
          <w:szCs w:val="20"/>
          <w:lang w:val="fr-CA"/>
        </w:rPr>
        <w:tab/>
        <w:t xml:space="preserve">L’absence, dans la LE, d’une disposition portant expressément sur l’extradition des personnes ayant qualité de réfugié ne retire pas au ministre de la Justice son pouvoir de les extrader.  La prémisse de l’argument du « silence » est </w:t>
      </w:r>
      <w:r w:rsidRPr="003F4721">
        <w:rPr>
          <w:rFonts w:cs="Times New Roman"/>
          <w:sz w:val="20"/>
          <w:szCs w:val="20"/>
          <w:lang w:val="fr-CA"/>
        </w:rPr>
        <w:lastRenderedPageBreak/>
        <w:t xml:space="preserve">que la LE ne s’applique qu’aux demandeurs d’asile, non aux personnes ayant qualité de réfugié.  La thèse suivant laquelle la reconnaissance antérieure de la qualité de réfugié sous le régime de la LIPR s’impose au ministre de la Justice dans l’application de la LE tant que l’asile n’est pas perdu ou révoqué en conformité des dispositions de la LIPR ne trouve aucun appui dans le texte de la LIPR ou de la LE et contredit l’intention évidente du législateur.  Le législateur voulait que le ministre de la Justice soit le ministre responsable lorsque les droits d’un réfugié entrent en ligne de compte dans une décision relative à l’extradition.  La Convention relative aux réfugiés n’impose aux États contractants aucun processus pour la reconnaissance ou le retrait du statut de réfugié.  En outre, </w:t>
      </w:r>
      <w:proofErr w:type="spellStart"/>
      <w:r w:rsidRPr="003F4721">
        <w:rPr>
          <w:rFonts w:cs="Times New Roman"/>
          <w:sz w:val="20"/>
          <w:szCs w:val="20"/>
          <w:lang w:val="fr-CA"/>
        </w:rPr>
        <w:t>au</w:t>
      </w:r>
      <w:r w:rsidRPr="003F4721">
        <w:rPr>
          <w:rFonts w:cs="Times New Roman"/>
          <w:sz w:val="20"/>
          <w:szCs w:val="20"/>
          <w:lang w:val="fr-CA"/>
        </w:rPr>
        <w:noBreakHyphen/>
        <w:t>delà</w:t>
      </w:r>
      <w:proofErr w:type="spellEnd"/>
      <w:r w:rsidRPr="003F4721">
        <w:rPr>
          <w:rFonts w:cs="Times New Roman"/>
          <w:sz w:val="20"/>
          <w:szCs w:val="20"/>
          <w:lang w:val="fr-CA"/>
        </w:rPr>
        <w:t xml:space="preserve"> des termes de la Convention relative aux réfugiés, il n’existe aucune norme de droit international suivant laquelle la décision d’extrader est subordonnée à l’annulation officielle de la reconnaissance antérieure de la qualité de réfugié.  Ainsi, lorsqu’il examine une demande d’extradition, le ministre de la Justice n’est pas lié par la qualité de réfugié reconnue en application de la LIPR et il peut extrader un réfugié même si cette qualité n’a pas été perdue ou annulée conformément aux dispositions de la LIPR.</w:t>
      </w:r>
    </w:p>
    <w:p w:rsidR="003F4721" w:rsidRPr="003F4721" w:rsidRDefault="003F4721" w:rsidP="003F4721">
      <w:pPr>
        <w:jc w:val="both"/>
        <w:rPr>
          <w:rFonts w:cs="Times New Roman"/>
          <w:sz w:val="20"/>
          <w:szCs w:val="20"/>
          <w:lang w:val="fr-CA"/>
        </w:rPr>
      </w:pPr>
    </w:p>
    <w:p w:rsidR="003F4721" w:rsidRPr="003F4721" w:rsidRDefault="003F4721" w:rsidP="003F4721">
      <w:pPr>
        <w:jc w:val="both"/>
        <w:rPr>
          <w:rFonts w:cs="Times New Roman"/>
          <w:sz w:val="20"/>
          <w:szCs w:val="20"/>
          <w:lang w:val="fr-CA"/>
        </w:rPr>
      </w:pPr>
      <w:r w:rsidRPr="003F4721">
        <w:rPr>
          <w:rFonts w:cs="Times New Roman"/>
          <w:sz w:val="20"/>
          <w:szCs w:val="20"/>
          <w:lang w:val="fr-CA"/>
        </w:rPr>
        <w:tab/>
        <w:t xml:space="preserve">Le pouvoir du ministre de la Justice d’ordonner l’extradition d’une personne en application de la LE est discrétionnaire.  Toutefois, les autres dispositions de la Loi, le traité applicable et la </w:t>
      </w:r>
      <w:r w:rsidRPr="003F4721">
        <w:rPr>
          <w:rFonts w:cs="Times New Roman"/>
          <w:i/>
          <w:sz w:val="20"/>
          <w:szCs w:val="20"/>
          <w:lang w:val="fr-CA"/>
        </w:rPr>
        <w:t>Charte canadienne des droits et libertés</w:t>
      </w:r>
      <w:r w:rsidRPr="003F4721">
        <w:rPr>
          <w:rFonts w:cs="Times New Roman"/>
          <w:sz w:val="20"/>
          <w:szCs w:val="20"/>
          <w:lang w:val="fr-CA"/>
        </w:rPr>
        <w:t xml:space="preserve"> encadrent ce pouvoir discrétionnaire d’ordonner ou de refuser l’extradition et, parfois, le limitent.  Bien que la LE ne renferme aucune mention expresse concernant les réfugiés, elle pourvoit à la protection des personnes qui craignent les mauvais traitements, la persécution et la torture dans l’État requérant.  La disposition la plus pertinente à cet égard est l’article 44, qui énumère des motifs obligatoires de refus de l’extradition.  Suivant le par. 44(1) de la LE, le ministre doit refuser l’extradition s’il est convaincu a) qu’elle serait injuste ou tyrannique compte tenu de toutes les circonstances ou b) que la demande d’extradition est présentée dans le but de poursuivre ou de punir l’intéressé pour des motifs fondés sur la race, la nationalité, l’origine ethnique, la langue, la couleur, la religion, les convictions politiques, le sexe, l’orientation sexuelle, l’âge, le handicap physique ou mental ou le statut de l’intéressé ou qu’il pourrait être porté atteinte à sa situation pour l’un de ces motifs.  Ces motifs obligatoires de refus de l’extradition ont préséance sur les dispositions d’un traité d’extradition.  Comme l’exercice du pouvoir du ministre d’ordonner l’extradition met en jeu la liberté et, parfois, la sécurité de l’intéressé, tant la </w:t>
      </w:r>
      <w:proofErr w:type="spellStart"/>
      <w:r w:rsidRPr="003F4721">
        <w:rPr>
          <w:rFonts w:cs="Times New Roman"/>
          <w:sz w:val="20"/>
          <w:szCs w:val="20"/>
          <w:lang w:val="fr-CA"/>
        </w:rPr>
        <w:t>common</w:t>
      </w:r>
      <w:proofErr w:type="spellEnd"/>
      <w:r w:rsidRPr="003F4721">
        <w:rPr>
          <w:rFonts w:cs="Times New Roman"/>
          <w:sz w:val="20"/>
          <w:szCs w:val="20"/>
          <w:lang w:val="fr-CA"/>
        </w:rPr>
        <w:t xml:space="preserve"> </w:t>
      </w:r>
      <w:proofErr w:type="spellStart"/>
      <w:r w:rsidRPr="003F4721">
        <w:rPr>
          <w:rFonts w:cs="Times New Roman"/>
          <w:sz w:val="20"/>
          <w:szCs w:val="20"/>
          <w:lang w:val="fr-CA"/>
        </w:rPr>
        <w:t>law</w:t>
      </w:r>
      <w:proofErr w:type="spellEnd"/>
      <w:r w:rsidRPr="003F4721">
        <w:rPr>
          <w:rFonts w:cs="Times New Roman"/>
          <w:sz w:val="20"/>
          <w:szCs w:val="20"/>
          <w:lang w:val="fr-CA"/>
        </w:rPr>
        <w:t xml:space="preserve"> que les principes de justice fondamentale énumérés à l’art. 7 de la </w:t>
      </w:r>
      <w:r w:rsidRPr="003F4721">
        <w:rPr>
          <w:rFonts w:cs="Times New Roman"/>
          <w:i/>
          <w:sz w:val="20"/>
          <w:szCs w:val="20"/>
          <w:lang w:val="fr-CA"/>
        </w:rPr>
        <w:t>Charte</w:t>
      </w:r>
      <w:r w:rsidRPr="003F4721">
        <w:rPr>
          <w:rFonts w:cs="Times New Roman"/>
          <w:sz w:val="20"/>
          <w:szCs w:val="20"/>
          <w:lang w:val="fr-CA"/>
        </w:rPr>
        <w:t xml:space="preserve"> obligent le ministre à agir équitablement.  Ainsi, les dispositions de l’art. 44 recoupent celles de la </w:t>
      </w:r>
      <w:r w:rsidRPr="003F4721">
        <w:rPr>
          <w:rFonts w:cs="Times New Roman"/>
          <w:i/>
          <w:sz w:val="20"/>
          <w:szCs w:val="20"/>
          <w:lang w:val="fr-CA"/>
        </w:rPr>
        <w:t>Charte</w:t>
      </w:r>
      <w:r w:rsidRPr="003F4721">
        <w:rPr>
          <w:rFonts w:cs="Times New Roman"/>
          <w:sz w:val="20"/>
          <w:szCs w:val="20"/>
          <w:lang w:val="fr-CA"/>
        </w:rPr>
        <w:t>.  Bien que l’al. 44(1)</w:t>
      </w:r>
      <w:r w:rsidRPr="003F4721">
        <w:rPr>
          <w:rFonts w:cs="Times New Roman"/>
          <w:i/>
          <w:sz w:val="20"/>
          <w:szCs w:val="20"/>
          <w:lang w:val="fr-CA"/>
        </w:rPr>
        <w:t>a</w:t>
      </w:r>
      <w:r w:rsidRPr="003F4721">
        <w:rPr>
          <w:rFonts w:cs="Times New Roman"/>
          <w:sz w:val="20"/>
          <w:szCs w:val="20"/>
          <w:lang w:val="fr-CA"/>
        </w:rPr>
        <w:t xml:space="preserve">) ne soit pas limité aux comportements enfreignant la </w:t>
      </w:r>
      <w:r w:rsidRPr="003F4721">
        <w:rPr>
          <w:rFonts w:cs="Times New Roman"/>
          <w:i/>
          <w:sz w:val="20"/>
          <w:szCs w:val="20"/>
          <w:lang w:val="fr-CA"/>
        </w:rPr>
        <w:t>Charte</w:t>
      </w:r>
      <w:r w:rsidRPr="003F4721">
        <w:rPr>
          <w:rFonts w:cs="Times New Roman"/>
          <w:sz w:val="20"/>
          <w:szCs w:val="20"/>
          <w:lang w:val="fr-CA"/>
        </w:rPr>
        <w:t>, il n’en reste pas moins que l’extradition effectuée en contravention des principes de justice fondamentale sera aussi injuste ou tyrannique au sens de l’al. 44(1)</w:t>
      </w:r>
      <w:r w:rsidRPr="003F4721">
        <w:rPr>
          <w:rFonts w:cs="Times New Roman"/>
          <w:i/>
          <w:sz w:val="20"/>
          <w:szCs w:val="20"/>
          <w:lang w:val="fr-CA"/>
        </w:rPr>
        <w:t>a</w:t>
      </w:r>
      <w:r w:rsidRPr="003F4721">
        <w:rPr>
          <w:rFonts w:cs="Times New Roman"/>
          <w:sz w:val="20"/>
          <w:szCs w:val="20"/>
          <w:lang w:val="fr-CA"/>
        </w:rPr>
        <w:t>).  De plus, lorsque la demande d’extradition est faite dans un but de persécution pour un motif interdit, au sens de la première partie de l’al. 44(1)</w:t>
      </w:r>
      <w:r w:rsidRPr="003F4721">
        <w:rPr>
          <w:rFonts w:cs="Times New Roman"/>
          <w:i/>
          <w:sz w:val="20"/>
          <w:szCs w:val="20"/>
          <w:lang w:val="fr-CA"/>
        </w:rPr>
        <w:t>b</w:t>
      </w:r>
      <w:r w:rsidRPr="003F4721">
        <w:rPr>
          <w:rFonts w:cs="Times New Roman"/>
          <w:sz w:val="20"/>
          <w:szCs w:val="20"/>
          <w:lang w:val="fr-CA"/>
        </w:rPr>
        <w:t>), y accéder sera contraire aux principes de justice fondamentale.</w:t>
      </w:r>
    </w:p>
    <w:p w:rsidR="003F4721" w:rsidRPr="003F4721" w:rsidRDefault="003F4721" w:rsidP="003F4721">
      <w:pPr>
        <w:jc w:val="both"/>
        <w:rPr>
          <w:rFonts w:cs="Times New Roman"/>
          <w:sz w:val="20"/>
          <w:szCs w:val="20"/>
          <w:lang w:val="fr-CA"/>
        </w:rPr>
      </w:pPr>
    </w:p>
    <w:p w:rsidR="003F4721" w:rsidRPr="003F4721" w:rsidRDefault="003F4721" w:rsidP="003F4721">
      <w:pPr>
        <w:jc w:val="both"/>
        <w:rPr>
          <w:rFonts w:cs="Times New Roman"/>
          <w:sz w:val="20"/>
          <w:szCs w:val="20"/>
          <w:lang w:val="fr-CA"/>
        </w:rPr>
      </w:pPr>
      <w:r w:rsidRPr="003F4721">
        <w:rPr>
          <w:rFonts w:cs="Times New Roman"/>
          <w:sz w:val="20"/>
          <w:szCs w:val="20"/>
          <w:lang w:val="fr-CA"/>
        </w:rPr>
        <w:tab/>
        <w:t>L’al. 44(1)</w:t>
      </w:r>
      <w:r w:rsidRPr="003F4721">
        <w:rPr>
          <w:rFonts w:cs="Times New Roman"/>
          <w:i/>
          <w:sz w:val="20"/>
          <w:szCs w:val="20"/>
          <w:lang w:val="fr-CA"/>
        </w:rPr>
        <w:t>b</w:t>
      </w:r>
      <w:r w:rsidRPr="003F4721">
        <w:rPr>
          <w:rFonts w:cs="Times New Roman"/>
          <w:sz w:val="20"/>
          <w:szCs w:val="20"/>
          <w:lang w:val="fr-CA"/>
        </w:rPr>
        <w:t xml:space="preserve">) de la LE constitue le principal instrument législatif de mise en œuvre des obligations de </w:t>
      </w:r>
      <w:proofErr w:type="spellStart"/>
      <w:r w:rsidRPr="003F4721">
        <w:rPr>
          <w:rFonts w:cs="Times New Roman"/>
          <w:sz w:val="20"/>
          <w:szCs w:val="20"/>
          <w:lang w:val="fr-CA"/>
        </w:rPr>
        <w:t>non</w:t>
      </w:r>
      <w:r w:rsidRPr="003F4721">
        <w:rPr>
          <w:rFonts w:cs="Times New Roman"/>
          <w:sz w:val="20"/>
          <w:szCs w:val="20"/>
          <w:lang w:val="fr-CA"/>
        </w:rPr>
        <w:noBreakHyphen/>
        <w:t>refoulement</w:t>
      </w:r>
      <w:proofErr w:type="spellEnd"/>
      <w:r w:rsidRPr="003F4721">
        <w:rPr>
          <w:rFonts w:cs="Times New Roman"/>
          <w:sz w:val="20"/>
          <w:szCs w:val="20"/>
          <w:lang w:val="fr-CA"/>
        </w:rPr>
        <w:t xml:space="preserve"> du Canada dans le contexte de demandes d’extradition visant des réfugiés.  Cette disposition est inspirée des dispositions de la </w:t>
      </w:r>
      <w:r w:rsidRPr="003F4721">
        <w:rPr>
          <w:rFonts w:cs="Times New Roman"/>
          <w:i/>
          <w:sz w:val="20"/>
          <w:szCs w:val="20"/>
          <w:lang w:val="fr-CA"/>
        </w:rPr>
        <w:t>Convention européenne d’extradition</w:t>
      </w:r>
      <w:r w:rsidRPr="003F4721">
        <w:rPr>
          <w:rFonts w:cs="Times New Roman"/>
          <w:sz w:val="20"/>
          <w:szCs w:val="20"/>
          <w:lang w:val="fr-CA"/>
        </w:rPr>
        <w:t xml:space="preserve"> et du </w:t>
      </w:r>
      <w:r w:rsidRPr="003F4721">
        <w:rPr>
          <w:rFonts w:cs="Times New Roman"/>
          <w:i/>
          <w:sz w:val="20"/>
          <w:szCs w:val="20"/>
          <w:lang w:val="fr-CA"/>
        </w:rPr>
        <w:t>Traité type d’extradition</w:t>
      </w:r>
      <w:r w:rsidRPr="003F4721">
        <w:rPr>
          <w:rFonts w:cs="Times New Roman"/>
          <w:sz w:val="20"/>
          <w:szCs w:val="20"/>
          <w:lang w:val="fr-CA"/>
        </w:rPr>
        <w:t xml:space="preserve"> des Nations Unies et la similitude de leurs textes indique clairement que cette disposition a été adoptée pour assurer la protection contre les atteintes dans l’État requérant, en particulier lorsque l’extradition entraînerait la violation des obligations de l’État requis en matière de non-refoulement.  Les versions française et anglaise de l’al. 44(1)</w:t>
      </w:r>
      <w:r w:rsidRPr="003F4721">
        <w:rPr>
          <w:rFonts w:cs="Times New Roman"/>
          <w:i/>
          <w:sz w:val="20"/>
          <w:szCs w:val="20"/>
          <w:lang w:val="fr-CA"/>
        </w:rPr>
        <w:t>b</w:t>
      </w:r>
      <w:r w:rsidRPr="003F4721">
        <w:rPr>
          <w:rFonts w:cs="Times New Roman"/>
          <w:sz w:val="20"/>
          <w:szCs w:val="20"/>
          <w:lang w:val="fr-CA"/>
        </w:rPr>
        <w:t xml:space="preserve">) permettent toutes deux d’affirmer que la disposition comporte deux parties et que la « situation » de l’intéressé ne se limite pas à sa situation relativement à la poursuite ou à la peine.  Restreindre la portée de cette disposition aux atteintes dans le contexte de poursuites ou de peines ne permettrait pas la réalisation de son objet, soit qu’elle doit donner effet aux obligations du Canada en matière de </w:t>
      </w:r>
      <w:proofErr w:type="spellStart"/>
      <w:r w:rsidRPr="003F4721">
        <w:rPr>
          <w:rFonts w:cs="Times New Roman"/>
          <w:sz w:val="20"/>
          <w:szCs w:val="20"/>
          <w:lang w:val="fr-CA"/>
        </w:rPr>
        <w:t>non</w:t>
      </w:r>
      <w:r w:rsidRPr="003F4721">
        <w:rPr>
          <w:rFonts w:cs="Times New Roman"/>
          <w:sz w:val="20"/>
          <w:szCs w:val="20"/>
          <w:lang w:val="fr-CA"/>
        </w:rPr>
        <w:noBreakHyphen/>
        <w:t>refoulement</w:t>
      </w:r>
      <w:proofErr w:type="spellEnd"/>
      <w:r w:rsidRPr="003F4721">
        <w:rPr>
          <w:rFonts w:cs="Times New Roman"/>
          <w:sz w:val="20"/>
          <w:szCs w:val="20"/>
          <w:lang w:val="fr-CA"/>
        </w:rPr>
        <w:t>.  Compte tenu du texte et de l’objet de l’al. 44(1)</w:t>
      </w:r>
      <w:r w:rsidRPr="003F4721">
        <w:rPr>
          <w:rFonts w:cs="Times New Roman"/>
          <w:i/>
          <w:sz w:val="20"/>
          <w:szCs w:val="20"/>
          <w:lang w:val="fr-CA"/>
        </w:rPr>
        <w:t>b</w:t>
      </w:r>
      <w:r w:rsidRPr="003F4721">
        <w:rPr>
          <w:rFonts w:cs="Times New Roman"/>
          <w:sz w:val="20"/>
          <w:szCs w:val="20"/>
          <w:lang w:val="fr-CA"/>
        </w:rPr>
        <w:t xml:space="preserve">) ainsi que de la façon dont a été interprétée la </w:t>
      </w:r>
      <w:r w:rsidRPr="003F4721">
        <w:rPr>
          <w:rFonts w:cs="Times New Roman"/>
          <w:i/>
          <w:sz w:val="20"/>
          <w:szCs w:val="20"/>
          <w:lang w:val="fr-CA"/>
        </w:rPr>
        <w:t>Convention européenne d’extradition</w:t>
      </w:r>
      <w:r w:rsidRPr="003F4721">
        <w:rPr>
          <w:rFonts w:cs="Times New Roman"/>
          <w:sz w:val="20"/>
          <w:szCs w:val="20"/>
          <w:lang w:val="fr-CA"/>
        </w:rPr>
        <w:t xml:space="preserve"> dont il est inspiré, il faut donner une interprétation large à la dernière partie de l’al. 44(1)</w:t>
      </w:r>
      <w:r w:rsidRPr="003F4721">
        <w:rPr>
          <w:rFonts w:cs="Times New Roman"/>
          <w:i/>
          <w:sz w:val="20"/>
          <w:szCs w:val="20"/>
          <w:lang w:val="fr-CA"/>
        </w:rPr>
        <w:t>b</w:t>
      </w:r>
      <w:r w:rsidRPr="003F4721">
        <w:rPr>
          <w:rFonts w:cs="Times New Roman"/>
          <w:sz w:val="20"/>
          <w:szCs w:val="20"/>
          <w:lang w:val="fr-CA"/>
        </w:rPr>
        <w:t>) et considérer que cet alinéa protège le réfugié contre le refoulement qui risque de lui porter atteinte pour un motif énuméré dans l’État requérant, que cette atteinte soit ou non strictement liée à la poursuite ou la punition.</w:t>
      </w:r>
    </w:p>
    <w:p w:rsidR="003F4721" w:rsidRPr="003F4721" w:rsidRDefault="003F4721" w:rsidP="003F4721">
      <w:pPr>
        <w:jc w:val="both"/>
        <w:rPr>
          <w:rFonts w:cs="Times New Roman"/>
          <w:sz w:val="20"/>
          <w:szCs w:val="20"/>
          <w:lang w:val="fr-CA"/>
        </w:rPr>
      </w:pPr>
    </w:p>
    <w:p w:rsidR="003F4721" w:rsidRDefault="003F4721" w:rsidP="003F4721">
      <w:pPr>
        <w:pStyle w:val="ListParagraph"/>
        <w:ind w:left="0"/>
        <w:jc w:val="both"/>
        <w:rPr>
          <w:rFonts w:cs="Times New Roman"/>
          <w:sz w:val="20"/>
          <w:szCs w:val="20"/>
          <w:lang w:val="fr-CA"/>
        </w:rPr>
      </w:pPr>
      <w:r w:rsidRPr="003F4721">
        <w:rPr>
          <w:rFonts w:cs="Times New Roman"/>
          <w:sz w:val="20"/>
          <w:szCs w:val="20"/>
          <w:lang w:val="fr-CA"/>
        </w:rPr>
        <w:tab/>
        <w:t>Il y a lieu de procéder à l’examen requis par l’al. 44(1)</w:t>
      </w:r>
      <w:r w:rsidRPr="003F4721">
        <w:rPr>
          <w:rFonts w:cs="Times New Roman"/>
          <w:i/>
          <w:sz w:val="20"/>
          <w:szCs w:val="20"/>
          <w:lang w:val="fr-CA"/>
        </w:rPr>
        <w:t>b</w:t>
      </w:r>
      <w:r w:rsidRPr="003F4721">
        <w:rPr>
          <w:rFonts w:cs="Times New Roman"/>
          <w:sz w:val="20"/>
          <w:szCs w:val="20"/>
          <w:lang w:val="fr-CA"/>
        </w:rPr>
        <w:t xml:space="preserve">) lorsque la décision du ministre en matière d’extradition vise une personne ayant qualité de réfugié au Canada et que l’État requérant est le pays à l’égard duquel cette protection a été accordée au réfugié.  Le refus d’extradition est obligatoire si le ministre est convaincu que les conditions ayant donné lieu à la reconnaissance de la qualité de réfugié existent toujours et s’il n’est pas démontré que l’intéressé était ou est devenu inadmissible à revendiquer cette qualité.  La qualité de réfugié au sens de la Convention relative aux réfugiés comporte un aspect temporel; elle dépend de la situation existant au moment où la protection est demandée.  Le droit à la protection contre le refoulement s’apprécie lui aussi au moment où le renvoi est demandé.  Le </w:t>
      </w:r>
      <w:r w:rsidRPr="003F4721">
        <w:rPr>
          <w:rFonts w:cs="Times New Roman"/>
          <w:sz w:val="20"/>
          <w:szCs w:val="20"/>
          <w:lang w:val="fr-CA"/>
        </w:rPr>
        <w:lastRenderedPageBreak/>
        <w:t>même principe s’applique à l’al. 44(1)</w:t>
      </w:r>
      <w:r w:rsidRPr="003F4721">
        <w:rPr>
          <w:rFonts w:cs="Times New Roman"/>
          <w:i/>
          <w:sz w:val="20"/>
          <w:szCs w:val="20"/>
          <w:lang w:val="fr-CA"/>
        </w:rPr>
        <w:t>b</w:t>
      </w:r>
      <w:r w:rsidRPr="003F4721">
        <w:rPr>
          <w:rFonts w:cs="Times New Roman"/>
          <w:sz w:val="20"/>
          <w:szCs w:val="20"/>
          <w:lang w:val="fr-CA"/>
        </w:rPr>
        <w:t xml:space="preserve">).  La question du droit à la protection contre le refoulement se pose au moment de l’étude de la demande d’extradition et elle s’examine en fonction des circonstances existant alors.  Lorsque la qualité de réfugié et, par voie de conséquence, l’existence à première vue à tout le moins d’un droit à la protection contre le refoulement, ont été reconnues à une personne en application du régime établi en droit canadien, le ministre doit accorder le poids voulu à cette reconnaissance dans l’exécution de son obligation de refuser l’extradition en raison d’un risque de persécution.  Un réfugié ne devrait pas avoir à convaincre le ministre que les circonstances ayant présidé à la décision de le protéger n’ont pas changé.  Cette position est conforme non seulement au droit canadien régissant la perte du droit d’asile découlant de changements de circonstances, mais également aux engagements internationaux du Canada en matière de </w:t>
      </w:r>
      <w:proofErr w:type="spellStart"/>
      <w:r w:rsidRPr="003F4721">
        <w:rPr>
          <w:rFonts w:cs="Times New Roman"/>
          <w:sz w:val="20"/>
          <w:szCs w:val="20"/>
          <w:lang w:val="fr-CA"/>
        </w:rPr>
        <w:t>non</w:t>
      </w:r>
      <w:r w:rsidRPr="003F4721">
        <w:rPr>
          <w:rFonts w:cs="Times New Roman"/>
          <w:sz w:val="20"/>
          <w:szCs w:val="20"/>
          <w:lang w:val="fr-CA"/>
        </w:rPr>
        <w:noBreakHyphen/>
        <w:t>refoulement</w:t>
      </w:r>
      <w:proofErr w:type="spellEnd"/>
      <w:r w:rsidRPr="003F4721">
        <w:rPr>
          <w:rFonts w:cs="Times New Roman"/>
          <w:sz w:val="20"/>
          <w:szCs w:val="20"/>
          <w:lang w:val="fr-CA"/>
        </w:rPr>
        <w:t xml:space="preserve"> des réfugiés.  Elle est également plus pratique et plus juste que l’imposition aux réfugiés du fardeau de faire la preuve de la situation existant actuellement dans un pays d’où ils sont absents, </w:t>
      </w:r>
      <w:proofErr w:type="spellStart"/>
      <w:r w:rsidRPr="003F4721">
        <w:rPr>
          <w:rFonts w:cs="Times New Roman"/>
          <w:sz w:val="20"/>
          <w:szCs w:val="20"/>
          <w:lang w:val="fr-CA"/>
        </w:rPr>
        <w:t>peut</w:t>
      </w:r>
      <w:r w:rsidRPr="003F4721">
        <w:rPr>
          <w:rFonts w:cs="Times New Roman"/>
          <w:sz w:val="20"/>
          <w:szCs w:val="20"/>
          <w:lang w:val="fr-CA"/>
        </w:rPr>
        <w:noBreakHyphen/>
        <w:t>être</w:t>
      </w:r>
      <w:proofErr w:type="spellEnd"/>
      <w:r w:rsidRPr="003F4721">
        <w:rPr>
          <w:rFonts w:cs="Times New Roman"/>
          <w:sz w:val="20"/>
          <w:szCs w:val="20"/>
          <w:lang w:val="fr-CA"/>
        </w:rPr>
        <w:t xml:space="preserve"> depuis longtemps.  Les obligations imposées par la Convention relative aux réfugiés et les dispositions analogues de la LIPR relatives à la perte et à la révocation de la protection indiquent que l’al. 44(1)</w:t>
      </w:r>
      <w:r w:rsidRPr="003F4721">
        <w:rPr>
          <w:rFonts w:cs="Times New Roman"/>
          <w:i/>
          <w:sz w:val="20"/>
          <w:szCs w:val="20"/>
          <w:lang w:val="fr-CA"/>
        </w:rPr>
        <w:t>b</w:t>
      </w:r>
      <w:r w:rsidRPr="003F4721">
        <w:rPr>
          <w:rFonts w:cs="Times New Roman"/>
          <w:sz w:val="20"/>
          <w:szCs w:val="20"/>
          <w:lang w:val="fr-CA"/>
        </w:rPr>
        <w:t>) de la LE n’oblige pas le réfugié à prouver, à l’étape de l’arrêté d’extradition, que les conditions ayant présidé à l’octroi de l’asile et, conséquemment, à la protection contre le refoulement, continuent d’exister.  Lorsque le ministre détermine, sous le régime de la LE, que la protection à titre de réfugié (et, conséquemment, la protection contre le refoulement sous le régime de la Convention relative aux réfugiés) est exclue ou qu’elle n’est plus nécessaire par suite d’un changement de circonstances dans le pays requérant, il doit être convaincu, suivant la prépondérance des probabilités, que l’intéressé n’a plus droit à l’asile au Canada.  Pour déterminer si l’intéressé a cessé d’avoir droit à l’asile par suite de changement de circonstances, le ministre de la Justice doit consulter le ministre de la Citoyenneté et de l’Immigration au sujet des conditions existant dans l’État requérant.  Enfin, dans l’examen requis par l’al. 44(1)</w:t>
      </w:r>
      <w:r w:rsidRPr="003F4721">
        <w:rPr>
          <w:rFonts w:cs="Times New Roman"/>
          <w:i/>
          <w:sz w:val="20"/>
          <w:szCs w:val="20"/>
          <w:lang w:val="fr-CA"/>
        </w:rPr>
        <w:t>b</w:t>
      </w:r>
      <w:r w:rsidRPr="003F4721">
        <w:rPr>
          <w:rFonts w:cs="Times New Roman"/>
          <w:sz w:val="20"/>
          <w:szCs w:val="20"/>
          <w:lang w:val="fr-CA"/>
        </w:rPr>
        <w:t>), le ministre est soumis à une obligation d’équité exigeant notamment qu’il communique à l’intéressé la preuve existant contre lui, qu’il lui fournisse une possibilité raisonnable de la contester ainsi que de présenter sa propre preuve.</w:t>
      </w:r>
    </w:p>
    <w:p w:rsidR="003F4721" w:rsidRPr="003F4721" w:rsidRDefault="003F4721" w:rsidP="003F4721">
      <w:pPr>
        <w:pStyle w:val="ListParagraph"/>
        <w:ind w:left="0"/>
        <w:jc w:val="both"/>
        <w:rPr>
          <w:rFonts w:cs="Times New Roman"/>
          <w:sz w:val="20"/>
          <w:szCs w:val="20"/>
          <w:lang w:val="fr-CA"/>
        </w:rPr>
      </w:pPr>
    </w:p>
    <w:p w:rsidR="0012561B" w:rsidRDefault="003F4721" w:rsidP="003F4721">
      <w:pPr>
        <w:jc w:val="both"/>
        <w:rPr>
          <w:rFonts w:cs="Times New Roman"/>
          <w:sz w:val="20"/>
          <w:szCs w:val="20"/>
          <w:lang w:val="fr-CA"/>
        </w:rPr>
      </w:pPr>
      <w:r w:rsidRPr="003F4721">
        <w:rPr>
          <w:rFonts w:cs="Times New Roman"/>
          <w:sz w:val="20"/>
          <w:szCs w:val="20"/>
          <w:lang w:val="fr-CA"/>
        </w:rPr>
        <w:tab/>
        <w:t xml:space="preserve">En l’espèce, le ministre n’a pas accordé, dans l’exercice de ses pouvoirs, suffisamment de poids ou de portée aux obligations de </w:t>
      </w:r>
      <w:proofErr w:type="spellStart"/>
      <w:r w:rsidRPr="003F4721">
        <w:rPr>
          <w:rFonts w:cs="Times New Roman"/>
          <w:sz w:val="20"/>
          <w:szCs w:val="20"/>
          <w:lang w:val="fr-CA"/>
        </w:rPr>
        <w:t>non</w:t>
      </w:r>
      <w:r w:rsidRPr="003F4721">
        <w:rPr>
          <w:rFonts w:cs="Times New Roman"/>
          <w:sz w:val="20"/>
          <w:szCs w:val="20"/>
          <w:lang w:val="fr-CA"/>
        </w:rPr>
        <w:noBreakHyphen/>
        <w:t>refoulement</w:t>
      </w:r>
      <w:proofErr w:type="spellEnd"/>
      <w:r w:rsidRPr="003F4721">
        <w:rPr>
          <w:rFonts w:cs="Times New Roman"/>
          <w:sz w:val="20"/>
          <w:szCs w:val="20"/>
          <w:lang w:val="fr-CA"/>
        </w:rPr>
        <w:t xml:space="preserve"> du Canada, lesquelles devaient entrer en ligne de compte dans l’interprétation et l’application de ces pouvoirs.  La décision du ministre concernant les </w:t>
      </w:r>
      <w:proofErr w:type="spellStart"/>
      <w:r w:rsidRPr="003F4721">
        <w:rPr>
          <w:rFonts w:cs="Times New Roman"/>
          <w:sz w:val="20"/>
          <w:szCs w:val="20"/>
          <w:lang w:val="fr-CA"/>
        </w:rPr>
        <w:t>Németh</w:t>
      </w:r>
      <w:proofErr w:type="spellEnd"/>
      <w:r w:rsidRPr="003F4721">
        <w:rPr>
          <w:rFonts w:cs="Times New Roman"/>
          <w:sz w:val="20"/>
          <w:szCs w:val="20"/>
          <w:lang w:val="fr-CA"/>
        </w:rPr>
        <w:t xml:space="preserve"> procède d’un examen fondamentalement vicié.  Il ne s’est arrêté qu’à l’al. 44(1)a) de la LE en exigeant des </w:t>
      </w:r>
      <w:proofErr w:type="spellStart"/>
      <w:r w:rsidRPr="003F4721">
        <w:rPr>
          <w:rFonts w:cs="Times New Roman"/>
          <w:sz w:val="20"/>
          <w:szCs w:val="20"/>
          <w:lang w:val="fr-CA"/>
        </w:rPr>
        <w:t>Németh</w:t>
      </w:r>
      <w:proofErr w:type="spellEnd"/>
      <w:r w:rsidRPr="003F4721">
        <w:rPr>
          <w:rFonts w:cs="Times New Roman"/>
          <w:sz w:val="20"/>
          <w:szCs w:val="20"/>
          <w:lang w:val="fr-CA"/>
        </w:rPr>
        <w:t xml:space="preserve"> qu’ils établissent, selon la prépondérance des probabilités, qu’ils seraient exposés à la persécution à leur retour en Hongrie, et que cette persécution choquerait la conscience de la société canadienne ou serait fondamentalement inacceptable pour elle.  Il a examiné suivant un critère trop exigeant la question du risque de persécution des </w:t>
      </w:r>
      <w:proofErr w:type="spellStart"/>
      <w:r w:rsidRPr="003F4721">
        <w:rPr>
          <w:rFonts w:cs="Times New Roman"/>
          <w:sz w:val="20"/>
          <w:szCs w:val="20"/>
          <w:lang w:val="fr-CA"/>
        </w:rPr>
        <w:t>Németh</w:t>
      </w:r>
      <w:proofErr w:type="spellEnd"/>
      <w:r w:rsidRPr="003F4721">
        <w:rPr>
          <w:rFonts w:cs="Times New Roman"/>
          <w:sz w:val="20"/>
          <w:szCs w:val="20"/>
          <w:lang w:val="fr-CA"/>
        </w:rPr>
        <w:t xml:space="preserve"> à leur retour et il a fait reposer sur eux le fardeau de preuve à cet égard, en dépit de la reconnaissance antérieure de leur qualité de réfugié.  De plus, le ministre n’a pas examiné l’al. 44(1)</w:t>
      </w:r>
      <w:r w:rsidRPr="003F4721">
        <w:rPr>
          <w:rFonts w:cs="Times New Roman"/>
          <w:i/>
          <w:sz w:val="20"/>
          <w:szCs w:val="20"/>
          <w:lang w:val="fr-CA"/>
        </w:rPr>
        <w:t>b</w:t>
      </w:r>
      <w:r w:rsidRPr="003F4721">
        <w:rPr>
          <w:rFonts w:cs="Times New Roman"/>
          <w:sz w:val="20"/>
          <w:szCs w:val="20"/>
          <w:lang w:val="fr-CA"/>
        </w:rPr>
        <w:t>), la disposition la plus importante de la LE en rapport avec leur extradition. Le ministre s’est fondé sur des principes juridiques erronés et a agi de façon déraisonnable en arrivant à ses conclusions.</w:t>
      </w:r>
    </w:p>
    <w:p w:rsidR="003F4721" w:rsidRDefault="003F4721" w:rsidP="003F4721">
      <w:pPr>
        <w:jc w:val="both"/>
        <w:rPr>
          <w:rFonts w:cs="Times New Roman"/>
          <w:sz w:val="20"/>
          <w:szCs w:val="20"/>
          <w:lang w:val="fr-CA"/>
        </w:rPr>
      </w:pPr>
    </w:p>
    <w:p w:rsidR="003F4721" w:rsidRPr="003F4721" w:rsidRDefault="003F4721" w:rsidP="003F4721">
      <w:pPr>
        <w:pStyle w:val="SCCNormalDoubleSpacing"/>
        <w:spacing w:line="240" w:lineRule="auto"/>
        <w:rPr>
          <w:sz w:val="20"/>
          <w:lang w:val="fr-CA"/>
        </w:rPr>
      </w:pPr>
      <w:r w:rsidRPr="001E6992">
        <w:rPr>
          <w:sz w:val="20"/>
          <w:lang w:val="fr-CA"/>
        </w:rPr>
        <w:tab/>
      </w:r>
      <w:r w:rsidRPr="003F4721">
        <w:rPr>
          <w:sz w:val="20"/>
          <w:lang w:val="fr-CA"/>
        </w:rPr>
        <w:t xml:space="preserve">POURVOI contre un arrêt de la Cour d’appel du Québec (les juges Rochette, </w:t>
      </w:r>
      <w:proofErr w:type="spellStart"/>
      <w:r w:rsidRPr="003F4721">
        <w:rPr>
          <w:sz w:val="20"/>
          <w:lang w:val="fr-CA"/>
        </w:rPr>
        <w:t>Rochon</w:t>
      </w:r>
      <w:proofErr w:type="spellEnd"/>
      <w:r w:rsidRPr="003F4721">
        <w:rPr>
          <w:sz w:val="20"/>
          <w:lang w:val="fr-CA"/>
        </w:rPr>
        <w:t xml:space="preserve"> et Doyon), 2009 QCCA 99, [2009] R.J.Q. 253, 83 </w:t>
      </w:r>
      <w:proofErr w:type="spellStart"/>
      <w:r w:rsidRPr="003F4721">
        <w:rPr>
          <w:sz w:val="20"/>
          <w:lang w:val="fr-CA"/>
        </w:rPr>
        <w:t>Imm</w:t>
      </w:r>
      <w:proofErr w:type="spellEnd"/>
      <w:r w:rsidRPr="003F4721">
        <w:rPr>
          <w:sz w:val="20"/>
          <w:lang w:val="fr-CA"/>
        </w:rPr>
        <w:t xml:space="preserve">. L.R. (3d) 16, 2009 </w:t>
      </w:r>
      <w:proofErr w:type="spellStart"/>
      <w:r w:rsidRPr="003F4721">
        <w:rPr>
          <w:sz w:val="20"/>
          <w:lang w:val="fr-CA"/>
        </w:rPr>
        <w:t>CarswellQue</w:t>
      </w:r>
      <w:proofErr w:type="spellEnd"/>
      <w:r w:rsidRPr="003F4721">
        <w:rPr>
          <w:sz w:val="20"/>
          <w:lang w:val="fr-CA"/>
        </w:rPr>
        <w:t xml:space="preserve"> 215, [2009] J.Q. n</w:t>
      </w:r>
      <w:r w:rsidRPr="003F4721">
        <w:rPr>
          <w:sz w:val="20"/>
          <w:vertAlign w:val="superscript"/>
          <w:lang w:val="fr-CA"/>
        </w:rPr>
        <w:t>o</w:t>
      </w:r>
      <w:r w:rsidRPr="003F4721">
        <w:rPr>
          <w:sz w:val="20"/>
          <w:lang w:val="fr-CA"/>
        </w:rPr>
        <w:t> 271 (QL), qui a rejeté la demande de révision judiciaire à l’encontre de la décision du ministre de la Justice du Canada ordonnant la remise des appelants.  Pourvoi accueilli.</w:t>
      </w:r>
    </w:p>
    <w:p w:rsidR="003F4721" w:rsidRPr="003F4721" w:rsidRDefault="003F4721" w:rsidP="003F4721">
      <w:pPr>
        <w:pStyle w:val="SCCNormalDoubleSpacing"/>
        <w:spacing w:line="240" w:lineRule="auto"/>
        <w:rPr>
          <w:sz w:val="20"/>
          <w:lang w:val="fr-CA"/>
        </w:rPr>
      </w:pPr>
    </w:p>
    <w:p w:rsidR="003F4721" w:rsidRPr="003F4721" w:rsidRDefault="003F4721" w:rsidP="003F4721">
      <w:pPr>
        <w:pStyle w:val="SCCNormalDoubleSpacing"/>
        <w:spacing w:line="240" w:lineRule="auto"/>
        <w:rPr>
          <w:sz w:val="20"/>
          <w:lang w:val="fr-CA"/>
        </w:rPr>
      </w:pPr>
      <w:r w:rsidRPr="003F4721">
        <w:rPr>
          <w:rStyle w:val="SCCCounselNameChar"/>
          <w:sz w:val="20"/>
          <w:lang w:val="fr-CA"/>
        </w:rPr>
        <w:tab/>
      </w:r>
      <w:proofErr w:type="spellStart"/>
      <w:r w:rsidRPr="003F4721">
        <w:rPr>
          <w:rStyle w:val="SCCCounselNameChar"/>
          <w:sz w:val="20"/>
          <w:lang w:val="fr-CA"/>
        </w:rPr>
        <w:t>Marie</w:t>
      </w:r>
      <w:r w:rsidRPr="003F4721">
        <w:rPr>
          <w:rStyle w:val="SCCCounselNameChar"/>
          <w:sz w:val="20"/>
          <w:lang w:val="fr-CA"/>
        </w:rPr>
        <w:noBreakHyphen/>
        <w:t>Hélène</w:t>
      </w:r>
      <w:proofErr w:type="spellEnd"/>
      <w:r w:rsidRPr="003F4721">
        <w:rPr>
          <w:rStyle w:val="SCCCounselNameChar"/>
          <w:sz w:val="20"/>
          <w:lang w:val="fr-CA"/>
        </w:rPr>
        <w:t xml:space="preserve"> Giroux</w:t>
      </w:r>
      <w:r w:rsidRPr="00731243">
        <w:rPr>
          <w:rStyle w:val="SCCCounselSeparatorChar"/>
          <w:sz w:val="20"/>
        </w:rPr>
        <w:t xml:space="preserve"> et </w:t>
      </w:r>
      <w:r w:rsidRPr="003F4721">
        <w:rPr>
          <w:rStyle w:val="SCCCounselNameChar"/>
          <w:sz w:val="20"/>
          <w:lang w:val="fr-CA"/>
        </w:rPr>
        <w:t xml:space="preserve">Clément </w:t>
      </w:r>
      <w:proofErr w:type="spellStart"/>
      <w:r w:rsidRPr="003F4721">
        <w:rPr>
          <w:rStyle w:val="SCCCounselNameChar"/>
          <w:sz w:val="20"/>
          <w:lang w:val="fr-CA"/>
        </w:rPr>
        <w:t>Monterosso</w:t>
      </w:r>
      <w:proofErr w:type="spellEnd"/>
      <w:r w:rsidRPr="003F4721">
        <w:rPr>
          <w:rStyle w:val="SCCCounselPartyRoleChar"/>
          <w:sz w:val="20"/>
          <w:lang w:val="fr-CA"/>
        </w:rPr>
        <w:t>, pour les appelants.</w:t>
      </w:r>
    </w:p>
    <w:p w:rsidR="003F4721" w:rsidRPr="003F4721" w:rsidRDefault="003F4721" w:rsidP="003F4721">
      <w:pPr>
        <w:pStyle w:val="SCCNormalDoubleSpacing"/>
        <w:spacing w:line="240" w:lineRule="auto"/>
        <w:rPr>
          <w:rStyle w:val="SCCCounselNameChar"/>
          <w:sz w:val="20"/>
          <w:lang w:val="fr-CA"/>
        </w:rPr>
      </w:pPr>
    </w:p>
    <w:p w:rsidR="003F4721" w:rsidRPr="003F4721" w:rsidRDefault="003F4721" w:rsidP="003F4721">
      <w:pPr>
        <w:pStyle w:val="SCCNormalDoubleSpacing"/>
        <w:spacing w:line="240" w:lineRule="auto"/>
        <w:rPr>
          <w:sz w:val="20"/>
          <w:lang w:val="fr-CA"/>
        </w:rPr>
      </w:pPr>
      <w:r w:rsidRPr="003F4721">
        <w:rPr>
          <w:rStyle w:val="SCCCounselNameChar"/>
          <w:sz w:val="20"/>
          <w:lang w:val="fr-CA"/>
        </w:rPr>
        <w:tab/>
        <w:t xml:space="preserve">Ginette </w:t>
      </w:r>
      <w:proofErr w:type="spellStart"/>
      <w:r w:rsidRPr="003F4721">
        <w:rPr>
          <w:rStyle w:val="SCCCounselNameChar"/>
          <w:sz w:val="20"/>
          <w:lang w:val="fr-CA"/>
        </w:rPr>
        <w:t>Gobeil</w:t>
      </w:r>
      <w:proofErr w:type="spellEnd"/>
      <w:r w:rsidRPr="00731243">
        <w:rPr>
          <w:rStyle w:val="SCCCounselSeparatorChar"/>
          <w:sz w:val="20"/>
        </w:rPr>
        <w:t xml:space="preserve"> et </w:t>
      </w:r>
      <w:r w:rsidRPr="003F4721">
        <w:rPr>
          <w:rStyle w:val="SCCCounselNameChar"/>
          <w:sz w:val="20"/>
          <w:lang w:val="fr-CA"/>
        </w:rPr>
        <w:t xml:space="preserve">Janet </w:t>
      </w:r>
      <w:proofErr w:type="spellStart"/>
      <w:r w:rsidRPr="003F4721">
        <w:rPr>
          <w:rStyle w:val="SCCCounselNameChar"/>
          <w:sz w:val="20"/>
          <w:lang w:val="fr-CA"/>
        </w:rPr>
        <w:t>Henchey</w:t>
      </w:r>
      <w:proofErr w:type="spellEnd"/>
      <w:r w:rsidRPr="003F4721">
        <w:rPr>
          <w:rStyle w:val="SCCCounselPartyRoleChar"/>
          <w:sz w:val="20"/>
          <w:lang w:val="fr-CA"/>
        </w:rPr>
        <w:t>, pour l’intimé.</w:t>
      </w:r>
    </w:p>
    <w:p w:rsidR="003F4721" w:rsidRPr="003F4721" w:rsidRDefault="003F4721" w:rsidP="003F4721">
      <w:pPr>
        <w:pStyle w:val="SCCNormalDoubleSpacing"/>
        <w:spacing w:line="240" w:lineRule="auto"/>
        <w:rPr>
          <w:sz w:val="20"/>
          <w:lang w:val="fr-CA"/>
        </w:rPr>
      </w:pPr>
    </w:p>
    <w:p w:rsidR="003F4721" w:rsidRPr="003F4721" w:rsidRDefault="003F4721" w:rsidP="003F4721">
      <w:pPr>
        <w:pStyle w:val="SCCNormalDoubleSpacing"/>
        <w:spacing w:line="240" w:lineRule="auto"/>
        <w:rPr>
          <w:sz w:val="20"/>
          <w:lang w:val="fr-CA"/>
        </w:rPr>
      </w:pPr>
      <w:r w:rsidRPr="003F4721">
        <w:rPr>
          <w:rStyle w:val="SCCCounselNameChar"/>
          <w:sz w:val="20"/>
          <w:lang w:val="fr-CA"/>
        </w:rPr>
        <w:tab/>
        <w:t>Pierre Poupart</w:t>
      </w:r>
      <w:r w:rsidRPr="00731243">
        <w:rPr>
          <w:rStyle w:val="SCCCounselSeparatorChar"/>
          <w:sz w:val="20"/>
        </w:rPr>
        <w:t xml:space="preserve"> et </w:t>
      </w:r>
      <w:r w:rsidRPr="003F4721">
        <w:rPr>
          <w:rStyle w:val="SCCCounselNameChar"/>
          <w:sz w:val="20"/>
          <w:lang w:val="fr-CA"/>
        </w:rPr>
        <w:t xml:space="preserve">Ronald </w:t>
      </w:r>
      <w:proofErr w:type="spellStart"/>
      <w:r w:rsidRPr="003F4721">
        <w:rPr>
          <w:rStyle w:val="SCCCounselNameChar"/>
          <w:sz w:val="20"/>
          <w:lang w:val="fr-CA"/>
        </w:rPr>
        <w:t>Prégent</w:t>
      </w:r>
      <w:proofErr w:type="spellEnd"/>
      <w:r w:rsidRPr="003F4721">
        <w:rPr>
          <w:rStyle w:val="SCCCounselPartyRoleChar"/>
          <w:sz w:val="20"/>
          <w:lang w:val="fr-CA"/>
        </w:rPr>
        <w:t>, pour l’intervenant le Barreau du Québec.</w:t>
      </w:r>
    </w:p>
    <w:p w:rsidR="003F4721" w:rsidRPr="003F4721" w:rsidRDefault="003F4721" w:rsidP="003F4721">
      <w:pPr>
        <w:pStyle w:val="SCCNormalDoubleSpacing"/>
        <w:spacing w:line="240" w:lineRule="auto"/>
        <w:rPr>
          <w:sz w:val="20"/>
          <w:lang w:val="fr-CA"/>
        </w:rPr>
      </w:pPr>
    </w:p>
    <w:p w:rsidR="003F4721" w:rsidRPr="003F4721" w:rsidRDefault="003F4721" w:rsidP="003F4721">
      <w:pPr>
        <w:pStyle w:val="SCCNormalDoubleSpacing"/>
        <w:spacing w:line="240" w:lineRule="auto"/>
        <w:rPr>
          <w:sz w:val="20"/>
          <w:lang w:val="fr-CA"/>
        </w:rPr>
      </w:pPr>
      <w:r w:rsidRPr="003F4721">
        <w:rPr>
          <w:rStyle w:val="SCCCounselNameChar"/>
          <w:sz w:val="20"/>
          <w:lang w:val="fr-CA"/>
        </w:rPr>
        <w:tab/>
        <w:t>Johanne Doyon</w:t>
      </w:r>
      <w:r w:rsidRPr="00731243">
        <w:rPr>
          <w:rStyle w:val="SCCCounselSeparatorChar"/>
          <w:sz w:val="20"/>
        </w:rPr>
        <w:t xml:space="preserve">, </w:t>
      </w:r>
      <w:proofErr w:type="spellStart"/>
      <w:r w:rsidRPr="00731243">
        <w:rPr>
          <w:rStyle w:val="SCCCounselSeparatorChar"/>
          <w:i/>
          <w:sz w:val="20"/>
        </w:rPr>
        <w:t>Elaine</w:t>
      </w:r>
      <w:proofErr w:type="spellEnd"/>
      <w:r w:rsidRPr="00731243">
        <w:rPr>
          <w:rStyle w:val="SCCCounselSeparatorChar"/>
          <w:i/>
          <w:sz w:val="20"/>
        </w:rPr>
        <w:t xml:space="preserve"> Doyon et </w:t>
      </w:r>
      <w:r w:rsidRPr="003F4721">
        <w:rPr>
          <w:rStyle w:val="SCCCounselNameChar"/>
          <w:sz w:val="20"/>
          <w:lang w:val="fr-CA"/>
        </w:rPr>
        <w:t xml:space="preserve">Dan </w:t>
      </w:r>
      <w:proofErr w:type="spellStart"/>
      <w:r w:rsidRPr="003F4721">
        <w:rPr>
          <w:rStyle w:val="SCCCounselNameChar"/>
          <w:sz w:val="20"/>
          <w:lang w:val="fr-CA"/>
        </w:rPr>
        <w:t>Bohbot</w:t>
      </w:r>
      <w:proofErr w:type="spellEnd"/>
      <w:r w:rsidRPr="003F4721">
        <w:rPr>
          <w:rStyle w:val="SCCCounselPartyRoleChar"/>
          <w:sz w:val="20"/>
          <w:lang w:val="fr-CA"/>
        </w:rPr>
        <w:t>, pour l’intervenante l’Association québécoise des avocats et avocates en droit de l’immigration.</w:t>
      </w:r>
    </w:p>
    <w:p w:rsidR="003F4721" w:rsidRPr="003F4721" w:rsidRDefault="003F4721" w:rsidP="003F4721">
      <w:pPr>
        <w:pStyle w:val="SCCNormalDoubleSpacing"/>
        <w:spacing w:line="240" w:lineRule="auto"/>
        <w:rPr>
          <w:sz w:val="20"/>
          <w:lang w:val="fr-CA"/>
        </w:rPr>
      </w:pPr>
    </w:p>
    <w:p w:rsidR="003F4721" w:rsidRPr="003F4721" w:rsidRDefault="003F4721" w:rsidP="003F4721">
      <w:pPr>
        <w:pStyle w:val="SCCNormalDoubleSpacing"/>
        <w:spacing w:line="240" w:lineRule="auto"/>
        <w:rPr>
          <w:sz w:val="20"/>
          <w:lang w:val="fr-CA"/>
        </w:rPr>
      </w:pPr>
      <w:r w:rsidRPr="003F4721">
        <w:rPr>
          <w:rStyle w:val="SCCCounselNameChar"/>
          <w:sz w:val="20"/>
          <w:lang w:val="fr-CA"/>
        </w:rPr>
        <w:tab/>
        <w:t>John Norris</w:t>
      </w:r>
      <w:r w:rsidRPr="00731243">
        <w:rPr>
          <w:rStyle w:val="SCCCounselSeparatorChar"/>
          <w:sz w:val="20"/>
        </w:rPr>
        <w:t xml:space="preserve"> et </w:t>
      </w:r>
      <w:proofErr w:type="spellStart"/>
      <w:r w:rsidRPr="003F4721">
        <w:rPr>
          <w:rStyle w:val="SCCCounselNameChar"/>
          <w:sz w:val="20"/>
          <w:lang w:val="fr-CA"/>
        </w:rPr>
        <w:t>Brydie</w:t>
      </w:r>
      <w:proofErr w:type="spellEnd"/>
      <w:r w:rsidRPr="003F4721">
        <w:rPr>
          <w:rStyle w:val="SCCCounselNameChar"/>
          <w:sz w:val="20"/>
          <w:lang w:val="fr-CA"/>
        </w:rPr>
        <w:t xml:space="preserve"> </w:t>
      </w:r>
      <w:proofErr w:type="spellStart"/>
      <w:r w:rsidRPr="003F4721">
        <w:rPr>
          <w:rStyle w:val="SCCCounselNameChar"/>
          <w:sz w:val="20"/>
          <w:lang w:val="fr-CA"/>
        </w:rPr>
        <w:t>Bethell</w:t>
      </w:r>
      <w:proofErr w:type="spellEnd"/>
      <w:r w:rsidRPr="003F4721">
        <w:rPr>
          <w:rStyle w:val="SCCCounselPartyRoleChar"/>
          <w:sz w:val="20"/>
          <w:lang w:val="fr-CA"/>
        </w:rPr>
        <w:t>, pour l’intervenant le Conseil canadien pour les réfugiés.</w:t>
      </w:r>
    </w:p>
    <w:p w:rsidR="003F4721" w:rsidRPr="003F4721" w:rsidRDefault="003F4721" w:rsidP="003F4721">
      <w:pPr>
        <w:pStyle w:val="SCCNormalDoubleSpacing"/>
        <w:spacing w:line="240" w:lineRule="auto"/>
        <w:rPr>
          <w:sz w:val="20"/>
          <w:lang w:val="fr-CA"/>
        </w:rPr>
      </w:pPr>
    </w:p>
    <w:p w:rsidR="003F4721" w:rsidRPr="003F4721" w:rsidRDefault="003F4721" w:rsidP="003F4721">
      <w:pPr>
        <w:pStyle w:val="SCCLawFirm"/>
        <w:spacing w:line="240" w:lineRule="auto"/>
        <w:rPr>
          <w:sz w:val="20"/>
          <w:lang w:val="fr-CA"/>
        </w:rPr>
      </w:pPr>
      <w:r w:rsidRPr="003F4721">
        <w:rPr>
          <w:sz w:val="20"/>
          <w:lang w:val="fr-CA"/>
        </w:rPr>
        <w:tab/>
        <w:t>Procureurs des appelants : </w:t>
      </w:r>
      <w:proofErr w:type="spellStart"/>
      <w:r w:rsidRPr="003F4721">
        <w:rPr>
          <w:sz w:val="20"/>
          <w:lang w:val="fr-CA"/>
        </w:rPr>
        <w:t>Monterosso</w:t>
      </w:r>
      <w:proofErr w:type="spellEnd"/>
      <w:r w:rsidRPr="003F4721">
        <w:rPr>
          <w:sz w:val="20"/>
          <w:lang w:val="fr-CA"/>
        </w:rPr>
        <w:t xml:space="preserve"> Giroux, Montréal.</w:t>
      </w:r>
    </w:p>
    <w:p w:rsidR="003F4721" w:rsidRPr="003F4721" w:rsidRDefault="003F4721" w:rsidP="003F4721">
      <w:pPr>
        <w:pStyle w:val="SCCLawFirm"/>
        <w:spacing w:line="240" w:lineRule="auto"/>
        <w:rPr>
          <w:sz w:val="20"/>
          <w:lang w:val="fr-CA"/>
        </w:rPr>
      </w:pPr>
    </w:p>
    <w:p w:rsidR="003F4721" w:rsidRPr="003F4721" w:rsidRDefault="003F4721" w:rsidP="003F4721">
      <w:pPr>
        <w:pStyle w:val="SCCLawFirm"/>
        <w:spacing w:line="240" w:lineRule="auto"/>
        <w:rPr>
          <w:sz w:val="20"/>
          <w:lang w:val="fr-CA"/>
        </w:rPr>
      </w:pPr>
      <w:r w:rsidRPr="003F4721">
        <w:rPr>
          <w:sz w:val="20"/>
          <w:lang w:val="fr-CA"/>
        </w:rPr>
        <w:tab/>
        <w:t>Procureur de l’intimé : Procureur général du Canada, Montréal.</w:t>
      </w:r>
    </w:p>
    <w:p w:rsidR="003F4721" w:rsidRPr="003F4721" w:rsidRDefault="003F4721" w:rsidP="003F4721">
      <w:pPr>
        <w:pStyle w:val="SCCLawFirm"/>
        <w:spacing w:line="240" w:lineRule="auto"/>
        <w:rPr>
          <w:sz w:val="20"/>
          <w:lang w:val="fr-CA"/>
        </w:rPr>
      </w:pPr>
    </w:p>
    <w:p w:rsidR="003F4721" w:rsidRPr="003F4721" w:rsidRDefault="003F4721" w:rsidP="003F4721">
      <w:pPr>
        <w:pStyle w:val="SCCLawFirm"/>
        <w:spacing w:line="240" w:lineRule="auto"/>
        <w:rPr>
          <w:sz w:val="20"/>
          <w:lang w:val="fr-CA"/>
        </w:rPr>
      </w:pPr>
      <w:r w:rsidRPr="003F4721">
        <w:rPr>
          <w:sz w:val="20"/>
          <w:lang w:val="fr-CA"/>
        </w:rPr>
        <w:lastRenderedPageBreak/>
        <w:tab/>
        <w:t xml:space="preserve">Procureur de l’intervenant le Barreau du Québec : Poupart, </w:t>
      </w:r>
      <w:proofErr w:type="spellStart"/>
      <w:r w:rsidRPr="003F4721">
        <w:rPr>
          <w:sz w:val="20"/>
          <w:lang w:val="fr-CA"/>
        </w:rPr>
        <w:t>Dadour</w:t>
      </w:r>
      <w:proofErr w:type="spellEnd"/>
      <w:r w:rsidRPr="003F4721">
        <w:rPr>
          <w:sz w:val="20"/>
          <w:lang w:val="fr-CA"/>
        </w:rPr>
        <w:t xml:space="preserve"> et Associés et </w:t>
      </w:r>
      <w:proofErr w:type="spellStart"/>
      <w:r w:rsidRPr="003F4721">
        <w:rPr>
          <w:sz w:val="20"/>
          <w:lang w:val="fr-CA"/>
        </w:rPr>
        <w:t>Shadley</w:t>
      </w:r>
      <w:proofErr w:type="spellEnd"/>
      <w:r w:rsidRPr="003F4721">
        <w:rPr>
          <w:sz w:val="20"/>
          <w:lang w:val="fr-CA"/>
        </w:rPr>
        <w:t xml:space="preserve">, </w:t>
      </w:r>
      <w:proofErr w:type="spellStart"/>
      <w:r w:rsidRPr="003F4721">
        <w:rPr>
          <w:sz w:val="20"/>
          <w:lang w:val="fr-CA"/>
        </w:rPr>
        <w:t>Battista</w:t>
      </w:r>
      <w:proofErr w:type="spellEnd"/>
      <w:r w:rsidRPr="003F4721">
        <w:rPr>
          <w:sz w:val="20"/>
          <w:lang w:val="fr-CA"/>
        </w:rPr>
        <w:t>, Montréal.</w:t>
      </w:r>
    </w:p>
    <w:p w:rsidR="003F4721" w:rsidRPr="003F4721" w:rsidRDefault="003F4721" w:rsidP="003F4721">
      <w:pPr>
        <w:pStyle w:val="SCCLawFirm"/>
        <w:spacing w:line="240" w:lineRule="auto"/>
        <w:rPr>
          <w:sz w:val="20"/>
          <w:lang w:val="fr-CA"/>
        </w:rPr>
      </w:pPr>
    </w:p>
    <w:p w:rsidR="003F4721" w:rsidRPr="003F4721" w:rsidRDefault="003F4721" w:rsidP="003F4721">
      <w:pPr>
        <w:pStyle w:val="SCCLawFirm"/>
        <w:spacing w:line="240" w:lineRule="auto"/>
        <w:rPr>
          <w:sz w:val="20"/>
          <w:lang w:val="fr-CA"/>
        </w:rPr>
      </w:pPr>
      <w:r w:rsidRPr="003F4721">
        <w:rPr>
          <w:sz w:val="20"/>
          <w:lang w:val="fr-CA"/>
        </w:rPr>
        <w:tab/>
        <w:t>Procureurs de l’intervenante l’Association québécoise des avocats et avocates en droit de l’immigration : Doyon et Associés, Montréal.</w:t>
      </w:r>
    </w:p>
    <w:p w:rsidR="003F4721" w:rsidRPr="003F4721" w:rsidRDefault="003F4721" w:rsidP="003F4721">
      <w:pPr>
        <w:pStyle w:val="SCCLawFirm"/>
        <w:spacing w:line="240" w:lineRule="auto"/>
        <w:rPr>
          <w:sz w:val="20"/>
          <w:lang w:val="fr-CA"/>
        </w:rPr>
      </w:pPr>
    </w:p>
    <w:p w:rsidR="003F4721" w:rsidRPr="003F4721" w:rsidRDefault="003F4721" w:rsidP="003F4721">
      <w:pPr>
        <w:pStyle w:val="SCCLawFirm"/>
        <w:spacing w:line="240" w:lineRule="auto"/>
        <w:rPr>
          <w:sz w:val="20"/>
          <w:lang w:val="fr-CA"/>
        </w:rPr>
      </w:pPr>
      <w:r w:rsidRPr="003F4721">
        <w:rPr>
          <w:sz w:val="20"/>
          <w:lang w:val="fr-CA"/>
        </w:rPr>
        <w:tab/>
        <w:t xml:space="preserve">Procureurs de l’intervenant le Conseil canadien pour les réfugiés : John Norris et </w:t>
      </w:r>
      <w:proofErr w:type="spellStart"/>
      <w:r w:rsidRPr="003F4721">
        <w:rPr>
          <w:sz w:val="20"/>
          <w:lang w:val="fr-CA"/>
        </w:rPr>
        <w:t>Brydie</w:t>
      </w:r>
      <w:proofErr w:type="spellEnd"/>
      <w:r w:rsidRPr="003F4721">
        <w:rPr>
          <w:sz w:val="20"/>
          <w:lang w:val="fr-CA"/>
        </w:rPr>
        <w:t xml:space="preserve"> </w:t>
      </w:r>
      <w:proofErr w:type="spellStart"/>
      <w:r w:rsidRPr="003F4721">
        <w:rPr>
          <w:sz w:val="20"/>
          <w:lang w:val="fr-CA"/>
        </w:rPr>
        <w:t>Bethell</w:t>
      </w:r>
      <w:proofErr w:type="spellEnd"/>
      <w:r w:rsidRPr="003F4721">
        <w:rPr>
          <w:sz w:val="20"/>
          <w:lang w:val="fr-CA"/>
        </w:rPr>
        <w:t>, Toronto.</w:t>
      </w:r>
    </w:p>
    <w:p w:rsidR="0012561B" w:rsidRDefault="0012561B" w:rsidP="0012561B">
      <w:pPr>
        <w:rPr>
          <w:sz w:val="20"/>
          <w:szCs w:val="20"/>
        </w:rPr>
      </w:pPr>
      <w:r w:rsidRPr="00492DCE">
        <w:rPr>
          <w:sz w:val="20"/>
          <w:szCs w:val="20"/>
        </w:rPr>
        <w:t>________________________</w:t>
      </w:r>
    </w:p>
    <w:p w:rsidR="0012561B" w:rsidRPr="003F4721" w:rsidRDefault="0012561B" w:rsidP="0012561B">
      <w:pPr>
        <w:rPr>
          <w:sz w:val="20"/>
          <w:szCs w:val="20"/>
        </w:rPr>
      </w:pPr>
    </w:p>
    <w:p w:rsidR="0012561B" w:rsidRPr="00F56A44" w:rsidRDefault="0012561B" w:rsidP="0012561B">
      <w:pPr>
        <w:jc w:val="both"/>
        <w:rPr>
          <w:rFonts w:cs="Times New Roman"/>
          <w:sz w:val="20"/>
          <w:szCs w:val="20"/>
        </w:rPr>
      </w:pPr>
      <w:r w:rsidRPr="00F56A44">
        <w:rPr>
          <w:rFonts w:cs="Times New Roman"/>
          <w:sz w:val="20"/>
          <w:szCs w:val="20"/>
        </w:rPr>
        <w:t>Present:  </w:t>
      </w:r>
      <w:proofErr w:type="spellStart"/>
      <w:r w:rsidRPr="00F56A44">
        <w:rPr>
          <w:rFonts w:cs="Times New Roman"/>
          <w:sz w:val="20"/>
          <w:szCs w:val="20"/>
        </w:rPr>
        <w:t>McLachlin</w:t>
      </w:r>
      <w:proofErr w:type="spellEnd"/>
      <w:r w:rsidRPr="00F56A44">
        <w:rPr>
          <w:rFonts w:cs="Times New Roman"/>
          <w:sz w:val="20"/>
          <w:szCs w:val="20"/>
        </w:rPr>
        <w:t xml:space="preserve"> C.J. and </w:t>
      </w:r>
      <w:proofErr w:type="spellStart"/>
      <w:r w:rsidRPr="00F56A44">
        <w:rPr>
          <w:rFonts w:cs="Times New Roman"/>
          <w:sz w:val="20"/>
          <w:szCs w:val="20"/>
        </w:rPr>
        <w:t>Binnie</w:t>
      </w:r>
      <w:proofErr w:type="spellEnd"/>
      <w:r w:rsidRPr="00F56A44">
        <w:rPr>
          <w:rFonts w:cs="Times New Roman"/>
          <w:sz w:val="20"/>
          <w:szCs w:val="20"/>
        </w:rPr>
        <w:t xml:space="preserve">, </w:t>
      </w:r>
      <w:proofErr w:type="spellStart"/>
      <w:r w:rsidRPr="00F56A44">
        <w:rPr>
          <w:rFonts w:cs="Times New Roman"/>
          <w:sz w:val="20"/>
          <w:szCs w:val="20"/>
        </w:rPr>
        <w:t>LeBel</w:t>
      </w:r>
      <w:proofErr w:type="spellEnd"/>
      <w:r w:rsidRPr="00F56A44">
        <w:rPr>
          <w:rFonts w:cs="Times New Roman"/>
          <w:sz w:val="20"/>
          <w:szCs w:val="20"/>
        </w:rPr>
        <w:t xml:space="preserve">, </w:t>
      </w:r>
      <w:proofErr w:type="spellStart"/>
      <w:r w:rsidRPr="00F56A44">
        <w:rPr>
          <w:rFonts w:cs="Times New Roman"/>
          <w:sz w:val="20"/>
          <w:szCs w:val="20"/>
        </w:rPr>
        <w:t>Deschamps</w:t>
      </w:r>
      <w:proofErr w:type="spellEnd"/>
      <w:r w:rsidRPr="00F56A44">
        <w:rPr>
          <w:rFonts w:cs="Times New Roman"/>
          <w:sz w:val="20"/>
          <w:szCs w:val="20"/>
        </w:rPr>
        <w:t xml:space="preserve">, Fish, </w:t>
      </w:r>
      <w:proofErr w:type="spellStart"/>
      <w:r w:rsidRPr="00F56A44">
        <w:rPr>
          <w:rFonts w:cs="Times New Roman"/>
          <w:sz w:val="20"/>
          <w:szCs w:val="20"/>
        </w:rPr>
        <w:t>Abella</w:t>
      </w:r>
      <w:proofErr w:type="spellEnd"/>
      <w:r w:rsidRPr="00F56A44">
        <w:rPr>
          <w:rFonts w:cs="Times New Roman"/>
          <w:sz w:val="20"/>
          <w:szCs w:val="20"/>
        </w:rPr>
        <w:t xml:space="preserve">, </w:t>
      </w:r>
      <w:proofErr w:type="spellStart"/>
      <w:r w:rsidRPr="00F56A44">
        <w:rPr>
          <w:rFonts w:cs="Times New Roman"/>
          <w:sz w:val="20"/>
          <w:szCs w:val="20"/>
        </w:rPr>
        <w:t>Charron</w:t>
      </w:r>
      <w:proofErr w:type="spellEnd"/>
      <w:r w:rsidRPr="00F56A44">
        <w:rPr>
          <w:rFonts w:cs="Times New Roman"/>
          <w:sz w:val="20"/>
          <w:szCs w:val="20"/>
        </w:rPr>
        <w:t>, Rothstein and Cromwell JJ.</w:t>
      </w:r>
    </w:p>
    <w:p w:rsidR="00736C0F" w:rsidRPr="0012561B" w:rsidRDefault="00736C0F" w:rsidP="00874152">
      <w:pPr>
        <w:rPr>
          <w:sz w:val="20"/>
          <w:szCs w:val="20"/>
        </w:rPr>
      </w:pPr>
    </w:p>
    <w:p w:rsidR="0012561B" w:rsidRPr="00F56A44" w:rsidRDefault="0012561B" w:rsidP="0012561B">
      <w:pPr>
        <w:jc w:val="both"/>
        <w:rPr>
          <w:rFonts w:cs="Times New Roman"/>
          <w:i/>
          <w:sz w:val="20"/>
          <w:szCs w:val="20"/>
        </w:rPr>
      </w:pPr>
      <w:r w:rsidRPr="00F56A44">
        <w:rPr>
          <w:rFonts w:cs="Times New Roman"/>
          <w:i/>
          <w:sz w:val="20"/>
          <w:szCs w:val="20"/>
        </w:rPr>
        <w:tab/>
        <w:t xml:space="preserve">Extradition </w:t>
      </w:r>
      <w:r w:rsidRPr="00F56A44">
        <w:rPr>
          <w:rFonts w:cs="Times New Roman"/>
          <w:i/>
          <w:iCs/>
          <w:sz w:val="20"/>
          <w:szCs w:val="20"/>
        </w:rPr>
        <w:t>—</w:t>
      </w:r>
      <w:r w:rsidRPr="00F56A44">
        <w:rPr>
          <w:rFonts w:cs="Times New Roman"/>
          <w:i/>
          <w:sz w:val="20"/>
          <w:szCs w:val="20"/>
        </w:rPr>
        <w:t xml:space="preserve"> Surrender </w:t>
      </w:r>
      <w:r w:rsidRPr="00F56A44">
        <w:rPr>
          <w:rFonts w:cs="Times New Roman"/>
          <w:i/>
          <w:iCs/>
          <w:sz w:val="20"/>
          <w:szCs w:val="20"/>
        </w:rPr>
        <w:t>—</w:t>
      </w:r>
      <w:r w:rsidRPr="00F56A44">
        <w:rPr>
          <w:rFonts w:cs="Times New Roman"/>
          <w:i/>
          <w:sz w:val="20"/>
          <w:szCs w:val="20"/>
        </w:rPr>
        <w:t xml:space="preserve"> Convention refugees </w:t>
      </w:r>
      <w:r w:rsidRPr="00F56A44">
        <w:rPr>
          <w:rFonts w:cs="Times New Roman"/>
          <w:i/>
          <w:iCs/>
          <w:sz w:val="20"/>
          <w:szCs w:val="20"/>
        </w:rPr>
        <w:t>—</w:t>
      </w:r>
      <w:r w:rsidRPr="00F56A44">
        <w:rPr>
          <w:rFonts w:cs="Times New Roman"/>
          <w:i/>
          <w:sz w:val="20"/>
          <w:szCs w:val="20"/>
        </w:rPr>
        <w:t xml:space="preserve"> Principle of “non-</w:t>
      </w:r>
      <w:proofErr w:type="spellStart"/>
      <w:r w:rsidRPr="00F56A44">
        <w:rPr>
          <w:rFonts w:cs="Times New Roman"/>
          <w:i/>
          <w:sz w:val="20"/>
          <w:szCs w:val="20"/>
        </w:rPr>
        <w:t>refoulement</w:t>
      </w:r>
      <w:proofErr w:type="spellEnd"/>
      <w:r w:rsidRPr="00F56A44">
        <w:rPr>
          <w:rFonts w:cs="Times New Roman"/>
          <w:i/>
          <w:sz w:val="20"/>
          <w:szCs w:val="20"/>
        </w:rPr>
        <w:t xml:space="preserve">” </w:t>
      </w:r>
      <w:r w:rsidRPr="00F56A44">
        <w:rPr>
          <w:rFonts w:cs="Times New Roman"/>
          <w:i/>
          <w:iCs/>
          <w:sz w:val="20"/>
          <w:szCs w:val="20"/>
        </w:rPr>
        <w:t>—</w:t>
      </w:r>
      <w:r w:rsidRPr="00F56A44">
        <w:rPr>
          <w:rFonts w:cs="Times New Roman"/>
          <w:i/>
          <w:sz w:val="20"/>
          <w:szCs w:val="20"/>
        </w:rPr>
        <w:t xml:space="preserve"> Minister of Justice ordered extradition of Convention refugees to Republic of Hungary </w:t>
      </w:r>
      <w:r w:rsidRPr="00F56A44">
        <w:rPr>
          <w:rFonts w:cs="Times New Roman"/>
          <w:i/>
          <w:iCs/>
          <w:sz w:val="20"/>
          <w:szCs w:val="20"/>
        </w:rPr>
        <w:t>—</w:t>
      </w:r>
      <w:r w:rsidRPr="00F56A44">
        <w:rPr>
          <w:rFonts w:cs="Times New Roman"/>
          <w:i/>
          <w:sz w:val="20"/>
          <w:szCs w:val="20"/>
        </w:rPr>
        <w:t xml:space="preserve"> Whether Minister of Justice had legal authority to surrender for extradition refugees whose refugee status had not ceased or been revoked </w:t>
      </w:r>
      <w:r w:rsidRPr="00F56A44">
        <w:rPr>
          <w:rFonts w:cs="Times New Roman"/>
          <w:i/>
          <w:iCs/>
          <w:sz w:val="20"/>
          <w:szCs w:val="20"/>
        </w:rPr>
        <w:t>—</w:t>
      </w:r>
      <w:r w:rsidRPr="00F56A44">
        <w:rPr>
          <w:rFonts w:cs="Times New Roman"/>
          <w:i/>
          <w:sz w:val="20"/>
          <w:szCs w:val="20"/>
        </w:rPr>
        <w:t xml:space="preserve"> If so, whether Minister reasonably exercised his authority to surrender </w:t>
      </w:r>
      <w:r w:rsidRPr="00F56A44">
        <w:rPr>
          <w:rFonts w:cs="Times New Roman"/>
          <w:i/>
          <w:iCs/>
          <w:sz w:val="20"/>
          <w:szCs w:val="20"/>
        </w:rPr>
        <w:t>—</w:t>
      </w:r>
      <w:r w:rsidRPr="00F56A44">
        <w:rPr>
          <w:rFonts w:cs="Times New Roman"/>
          <w:i/>
          <w:sz w:val="20"/>
          <w:szCs w:val="20"/>
        </w:rPr>
        <w:t xml:space="preserve"> Extradition Act, S.C. 1999, c. 18, s. 44 </w:t>
      </w:r>
      <w:r w:rsidRPr="00F56A44">
        <w:rPr>
          <w:rFonts w:cs="Times New Roman"/>
          <w:i/>
          <w:iCs/>
          <w:sz w:val="20"/>
          <w:szCs w:val="20"/>
        </w:rPr>
        <w:t>—</w:t>
      </w:r>
      <w:r w:rsidRPr="00F56A44">
        <w:rPr>
          <w:rFonts w:cs="Times New Roman"/>
          <w:i/>
          <w:sz w:val="20"/>
          <w:szCs w:val="20"/>
        </w:rPr>
        <w:t xml:space="preserve"> Immigration and Refugee Protection Act, S.C. 2001, c. 27, s. 115.</w:t>
      </w:r>
    </w:p>
    <w:p w:rsidR="0012561B" w:rsidRPr="00F56A44" w:rsidRDefault="0012561B" w:rsidP="0012561B">
      <w:pPr>
        <w:jc w:val="both"/>
        <w:rPr>
          <w:rFonts w:cs="Times New Roman"/>
          <w:i/>
          <w:sz w:val="20"/>
          <w:szCs w:val="20"/>
        </w:rPr>
      </w:pPr>
    </w:p>
    <w:p w:rsidR="0012561B" w:rsidRPr="00F56A44" w:rsidRDefault="0012561B" w:rsidP="0012561B">
      <w:pPr>
        <w:jc w:val="both"/>
        <w:rPr>
          <w:rFonts w:cs="Times New Roman"/>
          <w:i/>
          <w:sz w:val="20"/>
          <w:szCs w:val="20"/>
        </w:rPr>
      </w:pPr>
      <w:r w:rsidRPr="00F56A44">
        <w:rPr>
          <w:rFonts w:cs="Times New Roman"/>
          <w:i/>
          <w:sz w:val="20"/>
          <w:szCs w:val="20"/>
        </w:rPr>
        <w:tab/>
        <w:t xml:space="preserve">Extradition </w:t>
      </w:r>
      <w:r w:rsidRPr="00F56A44">
        <w:rPr>
          <w:rFonts w:cs="Times New Roman"/>
          <w:i/>
          <w:iCs/>
          <w:sz w:val="20"/>
          <w:szCs w:val="20"/>
        </w:rPr>
        <w:t>—</w:t>
      </w:r>
      <w:r w:rsidRPr="00F56A44">
        <w:rPr>
          <w:rFonts w:cs="Times New Roman"/>
          <w:i/>
          <w:sz w:val="20"/>
          <w:szCs w:val="20"/>
        </w:rPr>
        <w:t xml:space="preserve"> Surrender </w:t>
      </w:r>
      <w:r w:rsidRPr="00F56A44">
        <w:rPr>
          <w:rFonts w:cs="Times New Roman"/>
          <w:i/>
          <w:iCs/>
          <w:sz w:val="20"/>
          <w:szCs w:val="20"/>
        </w:rPr>
        <w:t>—</w:t>
      </w:r>
      <w:r w:rsidRPr="00F56A44">
        <w:rPr>
          <w:rFonts w:cs="Times New Roman"/>
          <w:i/>
          <w:sz w:val="20"/>
          <w:szCs w:val="20"/>
        </w:rPr>
        <w:t xml:space="preserve"> Evidence </w:t>
      </w:r>
      <w:r w:rsidRPr="00F56A44">
        <w:rPr>
          <w:rFonts w:cs="Times New Roman"/>
          <w:i/>
          <w:iCs/>
          <w:sz w:val="20"/>
          <w:szCs w:val="20"/>
        </w:rPr>
        <w:t>—</w:t>
      </w:r>
      <w:r w:rsidRPr="00F56A44">
        <w:rPr>
          <w:rFonts w:cs="Times New Roman"/>
          <w:i/>
          <w:sz w:val="20"/>
          <w:szCs w:val="20"/>
        </w:rPr>
        <w:t xml:space="preserve"> Burden of proof </w:t>
      </w:r>
      <w:r w:rsidRPr="00F56A44">
        <w:rPr>
          <w:rFonts w:cs="Times New Roman"/>
          <w:i/>
          <w:iCs/>
          <w:sz w:val="20"/>
          <w:szCs w:val="20"/>
        </w:rPr>
        <w:t>—</w:t>
      </w:r>
      <w:r w:rsidRPr="00F56A44">
        <w:rPr>
          <w:rFonts w:cs="Times New Roman"/>
          <w:i/>
          <w:sz w:val="20"/>
          <w:szCs w:val="20"/>
        </w:rPr>
        <w:t xml:space="preserve"> Convention refugees sought for extradition </w:t>
      </w:r>
      <w:r w:rsidRPr="00F56A44">
        <w:rPr>
          <w:rFonts w:cs="Times New Roman"/>
          <w:i/>
          <w:iCs/>
          <w:sz w:val="20"/>
          <w:szCs w:val="20"/>
        </w:rPr>
        <w:t>—</w:t>
      </w:r>
      <w:r w:rsidRPr="00F56A44">
        <w:rPr>
          <w:rFonts w:cs="Times New Roman"/>
          <w:i/>
          <w:sz w:val="20"/>
          <w:szCs w:val="20"/>
        </w:rPr>
        <w:t xml:space="preserve"> Statutory grounds justifying Minister of Justice’s refusal to make surrender order </w:t>
      </w:r>
      <w:r w:rsidRPr="00F56A44">
        <w:rPr>
          <w:rFonts w:cs="Times New Roman"/>
          <w:i/>
          <w:iCs/>
          <w:sz w:val="20"/>
          <w:szCs w:val="20"/>
        </w:rPr>
        <w:t>—</w:t>
      </w:r>
      <w:r w:rsidRPr="00F56A44">
        <w:rPr>
          <w:rFonts w:cs="Times New Roman"/>
          <w:i/>
          <w:sz w:val="20"/>
          <w:szCs w:val="20"/>
        </w:rPr>
        <w:t xml:space="preserve"> Whether s. 44(1</w:t>
      </w:r>
      <w:proofErr w:type="gramStart"/>
      <w:r w:rsidRPr="00F56A44">
        <w:rPr>
          <w:rFonts w:cs="Times New Roman"/>
          <w:i/>
          <w:sz w:val="20"/>
          <w:szCs w:val="20"/>
        </w:rPr>
        <w:t>)(</w:t>
      </w:r>
      <w:proofErr w:type="gramEnd"/>
      <w:r w:rsidRPr="00F56A44">
        <w:rPr>
          <w:rFonts w:cs="Times New Roman"/>
          <w:i/>
          <w:sz w:val="20"/>
          <w:szCs w:val="20"/>
        </w:rPr>
        <w:t xml:space="preserve">b) of Extradition Act makes risk of persecution mandatory ground of refusal of surrender </w:t>
      </w:r>
      <w:r w:rsidRPr="00F56A44">
        <w:rPr>
          <w:rFonts w:cs="Times New Roman"/>
          <w:i/>
          <w:iCs/>
          <w:sz w:val="20"/>
          <w:szCs w:val="20"/>
        </w:rPr>
        <w:t>—</w:t>
      </w:r>
      <w:r w:rsidRPr="00F56A44">
        <w:rPr>
          <w:rFonts w:cs="Times New Roman"/>
          <w:i/>
          <w:sz w:val="20"/>
          <w:szCs w:val="20"/>
        </w:rPr>
        <w:t xml:space="preserve"> Whether Minister of Justice erred by imposing on refugees the burden of showing that they would suffer persecution if extradited </w:t>
      </w:r>
      <w:r w:rsidRPr="00F56A44">
        <w:rPr>
          <w:rFonts w:cs="Times New Roman"/>
          <w:i/>
          <w:iCs/>
          <w:sz w:val="20"/>
          <w:szCs w:val="20"/>
        </w:rPr>
        <w:t>—</w:t>
      </w:r>
      <w:r w:rsidRPr="00F56A44">
        <w:rPr>
          <w:rFonts w:cs="Times New Roman"/>
          <w:i/>
          <w:sz w:val="20"/>
          <w:szCs w:val="20"/>
        </w:rPr>
        <w:t xml:space="preserve"> Extradition Act, S.C. 1999, c. 18, s. 44(1)(b). </w:t>
      </w:r>
    </w:p>
    <w:p w:rsidR="0012561B" w:rsidRPr="00F56A44" w:rsidRDefault="0012561B" w:rsidP="0012561B">
      <w:pPr>
        <w:jc w:val="both"/>
        <w:rPr>
          <w:rFonts w:cs="Times New Roman"/>
          <w:sz w:val="20"/>
          <w:szCs w:val="20"/>
        </w:rPr>
      </w:pPr>
    </w:p>
    <w:p w:rsidR="0012561B" w:rsidRPr="00F56A44" w:rsidRDefault="0012561B" w:rsidP="0012561B">
      <w:pPr>
        <w:ind w:firstLine="720"/>
        <w:jc w:val="both"/>
        <w:rPr>
          <w:rFonts w:cs="Times New Roman"/>
          <w:sz w:val="20"/>
          <w:szCs w:val="20"/>
        </w:rPr>
      </w:pPr>
      <w:r w:rsidRPr="00F56A44">
        <w:rPr>
          <w:rFonts w:cs="Times New Roman"/>
          <w:sz w:val="20"/>
          <w:szCs w:val="20"/>
        </w:rPr>
        <w:t xml:space="preserve">On arriving in Canada in 2001, the </w:t>
      </w:r>
      <w:proofErr w:type="spellStart"/>
      <w:r w:rsidRPr="00F56A44">
        <w:rPr>
          <w:rFonts w:cs="Times New Roman"/>
          <w:sz w:val="20"/>
          <w:szCs w:val="20"/>
        </w:rPr>
        <w:t>Némeths</w:t>
      </w:r>
      <w:proofErr w:type="spellEnd"/>
      <w:r w:rsidRPr="00F56A44">
        <w:rPr>
          <w:rFonts w:cs="Times New Roman"/>
          <w:sz w:val="20"/>
          <w:szCs w:val="20"/>
        </w:rPr>
        <w:t xml:space="preserve">, a couple of Roma ethnic origin, applied for refugee status for themselves and their children, alleging that acts of violence had been committed against them in their country of origin, Hungary.  In 2002, the </w:t>
      </w:r>
      <w:proofErr w:type="spellStart"/>
      <w:r w:rsidRPr="00F56A44">
        <w:rPr>
          <w:rFonts w:cs="Times New Roman"/>
          <w:sz w:val="20"/>
          <w:szCs w:val="20"/>
        </w:rPr>
        <w:t>Némeths</w:t>
      </w:r>
      <w:proofErr w:type="spellEnd"/>
      <w:r w:rsidRPr="00F56A44">
        <w:rPr>
          <w:rFonts w:cs="Times New Roman"/>
          <w:sz w:val="20"/>
          <w:szCs w:val="20"/>
        </w:rPr>
        <w:t xml:space="preserve"> and their children were granted refugee status and they later became permanent residents.  Years later, Hungary issued an international arrest warrant in respect of a charge of fraud that had been laid against the </w:t>
      </w:r>
      <w:proofErr w:type="spellStart"/>
      <w:r w:rsidRPr="00F56A44">
        <w:rPr>
          <w:rFonts w:cs="Times New Roman"/>
          <w:sz w:val="20"/>
          <w:szCs w:val="20"/>
        </w:rPr>
        <w:t>Némeths</w:t>
      </w:r>
      <w:proofErr w:type="spellEnd"/>
      <w:r w:rsidRPr="00F56A44">
        <w:rPr>
          <w:rFonts w:cs="Times New Roman"/>
          <w:sz w:val="20"/>
          <w:szCs w:val="20"/>
        </w:rPr>
        <w:t xml:space="preserve"> and requested Canada to extradite them.  The Minister of Justice eventually ordered their surrender for extradition and the decision was upheld on review by the Court of Appeal.</w:t>
      </w:r>
    </w:p>
    <w:p w:rsidR="0012561B" w:rsidRPr="00F56A44" w:rsidRDefault="0012561B" w:rsidP="0012561B">
      <w:pPr>
        <w:jc w:val="both"/>
        <w:rPr>
          <w:rFonts w:cs="Times New Roman"/>
          <w:sz w:val="20"/>
          <w:szCs w:val="20"/>
        </w:rPr>
      </w:pPr>
    </w:p>
    <w:p w:rsidR="0012561B" w:rsidRPr="00F56A44" w:rsidRDefault="0012561B" w:rsidP="0012561B">
      <w:pPr>
        <w:jc w:val="both"/>
        <w:rPr>
          <w:rFonts w:cs="Times New Roman"/>
          <w:sz w:val="20"/>
          <w:szCs w:val="20"/>
        </w:rPr>
      </w:pPr>
      <w:r w:rsidRPr="00F56A44">
        <w:rPr>
          <w:rFonts w:cs="Times New Roman"/>
          <w:sz w:val="20"/>
          <w:szCs w:val="20"/>
        </w:rPr>
        <w:tab/>
      </w:r>
      <w:r w:rsidRPr="00F56A44">
        <w:rPr>
          <w:rFonts w:cs="Times New Roman"/>
          <w:i/>
          <w:sz w:val="20"/>
          <w:szCs w:val="20"/>
        </w:rPr>
        <w:t>Held</w:t>
      </w:r>
      <w:r w:rsidRPr="00F56A44">
        <w:rPr>
          <w:rFonts w:cs="Times New Roman"/>
          <w:sz w:val="20"/>
          <w:szCs w:val="20"/>
        </w:rPr>
        <w:t>:  The appeal should be allowed and the matter remitted to the Minister of Justice for reconsideration.</w:t>
      </w:r>
    </w:p>
    <w:p w:rsidR="0012561B" w:rsidRPr="00F56A44" w:rsidRDefault="0012561B" w:rsidP="0012561B">
      <w:pPr>
        <w:jc w:val="both"/>
        <w:rPr>
          <w:rFonts w:cs="Times New Roman"/>
          <w:sz w:val="20"/>
          <w:szCs w:val="20"/>
        </w:rPr>
      </w:pPr>
    </w:p>
    <w:p w:rsidR="0012561B" w:rsidRPr="00F56A44" w:rsidRDefault="0012561B" w:rsidP="0012561B">
      <w:pPr>
        <w:ind w:firstLine="720"/>
        <w:jc w:val="both"/>
        <w:rPr>
          <w:rFonts w:cs="Times New Roman"/>
          <w:sz w:val="20"/>
          <w:szCs w:val="20"/>
        </w:rPr>
      </w:pPr>
      <w:r w:rsidRPr="00F56A44">
        <w:rPr>
          <w:rFonts w:cs="Times New Roman"/>
          <w:sz w:val="20"/>
          <w:szCs w:val="20"/>
        </w:rPr>
        <w:t xml:space="preserve">At the heart of the protections accorded to refugees under the 1951 </w:t>
      </w:r>
      <w:r w:rsidRPr="00F56A44">
        <w:rPr>
          <w:rFonts w:cs="Times New Roman"/>
          <w:i/>
          <w:sz w:val="20"/>
          <w:szCs w:val="20"/>
        </w:rPr>
        <w:t>Convention Relating to the Status of Refugees</w:t>
      </w:r>
      <w:r w:rsidRPr="00F56A44">
        <w:rPr>
          <w:rFonts w:cs="Times New Roman"/>
          <w:sz w:val="20"/>
          <w:szCs w:val="20"/>
        </w:rPr>
        <w:t xml:space="preserve"> (“Refugee Convention”) are the provisions relating to expulsion and return.  Article 33 of the Refugee Convention embodies in refugee law the principle of </w:t>
      </w:r>
      <w:r w:rsidRPr="00F56A44">
        <w:rPr>
          <w:rFonts w:cs="Times New Roman"/>
          <w:i/>
          <w:sz w:val="20"/>
          <w:szCs w:val="20"/>
        </w:rPr>
        <w:t>non-</w:t>
      </w:r>
      <w:proofErr w:type="spellStart"/>
      <w:r w:rsidRPr="00F56A44">
        <w:rPr>
          <w:rFonts w:cs="Times New Roman"/>
          <w:i/>
          <w:sz w:val="20"/>
          <w:szCs w:val="20"/>
        </w:rPr>
        <w:t>refoulement</w:t>
      </w:r>
      <w:proofErr w:type="spellEnd"/>
      <w:r w:rsidRPr="00F56A44">
        <w:rPr>
          <w:rFonts w:cs="Times New Roman"/>
          <w:sz w:val="20"/>
          <w:szCs w:val="20"/>
        </w:rPr>
        <w:t xml:space="preserve"> which prohibits the direct or indirect removal of refugees to a territory where they run a risk of being subjected to human rights violations.  The main legislative vehicle for implementing Canada’s international refugee obligations is the </w:t>
      </w:r>
      <w:r w:rsidRPr="00F56A44">
        <w:rPr>
          <w:rFonts w:cs="Times New Roman"/>
          <w:i/>
          <w:sz w:val="20"/>
          <w:szCs w:val="20"/>
        </w:rPr>
        <w:t>Immigration and Refugee Protection Act</w:t>
      </w:r>
      <w:r w:rsidRPr="00F56A44">
        <w:rPr>
          <w:rFonts w:cs="Times New Roman"/>
          <w:sz w:val="20"/>
          <w:szCs w:val="20"/>
        </w:rPr>
        <w:t xml:space="preserve"> (the “IRPA”) and the provision specifically directed to fulfilling this obligation in relation to </w:t>
      </w:r>
      <w:r w:rsidRPr="00F56A44">
        <w:rPr>
          <w:rFonts w:cs="Times New Roman"/>
          <w:i/>
          <w:sz w:val="20"/>
          <w:szCs w:val="20"/>
        </w:rPr>
        <w:t>non-</w:t>
      </w:r>
      <w:proofErr w:type="spellStart"/>
      <w:r w:rsidRPr="00F56A44">
        <w:rPr>
          <w:rFonts w:cs="Times New Roman"/>
          <w:i/>
          <w:sz w:val="20"/>
          <w:szCs w:val="20"/>
        </w:rPr>
        <w:t>refoulement</w:t>
      </w:r>
      <w:proofErr w:type="spellEnd"/>
      <w:r w:rsidRPr="00F56A44">
        <w:rPr>
          <w:rFonts w:cs="Times New Roman"/>
          <w:i/>
          <w:sz w:val="20"/>
          <w:szCs w:val="20"/>
        </w:rPr>
        <w:t xml:space="preserve"> </w:t>
      </w:r>
      <w:r w:rsidRPr="00F56A44">
        <w:rPr>
          <w:rFonts w:cs="Times New Roman"/>
          <w:sz w:val="20"/>
          <w:szCs w:val="20"/>
        </w:rPr>
        <w:t xml:space="preserve">is s. 115 which provides that a “protected person”, which includes a refugee, “shall not be removed from Canada to a country where they would be at risk of persecution for reasons of race, religion, nationality, membership in a particular social group or political opinion”.  The meaning of the words “removed from Canada” in s. 115 when read in context has a specialized meaning in the IRPA that does not include removal by extradition.  While it is accepted that protection against </w:t>
      </w:r>
      <w:proofErr w:type="spellStart"/>
      <w:r w:rsidRPr="00F56A44">
        <w:rPr>
          <w:rFonts w:cs="Times New Roman"/>
          <w:i/>
          <w:sz w:val="20"/>
          <w:szCs w:val="20"/>
        </w:rPr>
        <w:t>refoulement</w:t>
      </w:r>
      <w:proofErr w:type="spellEnd"/>
      <w:r w:rsidRPr="00F56A44">
        <w:rPr>
          <w:rFonts w:cs="Times New Roman"/>
          <w:sz w:val="20"/>
          <w:szCs w:val="20"/>
        </w:rPr>
        <w:t xml:space="preserve"> under the Refugee Convention applies to expulsion by extradition and where possible statutes should be interpreted in a way which makes their provisions consistent with Canada’s international treaty obligations and principles of international law, the presumption that legislation implements Canada’s international obligations is rebuttable.  If the provisions are unambiguous, they must be given effect and since s. 115 does not address removal by extradition, </w:t>
      </w:r>
      <w:proofErr w:type="spellStart"/>
      <w:r w:rsidRPr="00F56A44">
        <w:rPr>
          <w:rFonts w:cs="Times New Roman"/>
          <w:sz w:val="20"/>
          <w:szCs w:val="20"/>
        </w:rPr>
        <w:t>its</w:t>
      </w:r>
      <w:proofErr w:type="spellEnd"/>
      <w:r w:rsidRPr="00F56A44">
        <w:rPr>
          <w:rFonts w:cs="Times New Roman"/>
          <w:sz w:val="20"/>
          <w:szCs w:val="20"/>
        </w:rPr>
        <w:t xml:space="preserve"> clear meaning must be given effect.  This interpretation of s. 115 does not result in Canadian domestic law failing to respect its </w:t>
      </w:r>
      <w:r w:rsidRPr="00F56A44">
        <w:rPr>
          <w:rFonts w:cs="Times New Roman"/>
          <w:i/>
          <w:sz w:val="20"/>
          <w:szCs w:val="20"/>
        </w:rPr>
        <w:t>non-</w:t>
      </w:r>
      <w:proofErr w:type="spellStart"/>
      <w:r w:rsidRPr="00F56A44">
        <w:rPr>
          <w:rFonts w:cs="Times New Roman"/>
          <w:i/>
          <w:sz w:val="20"/>
          <w:szCs w:val="20"/>
        </w:rPr>
        <w:t>refoulement</w:t>
      </w:r>
      <w:proofErr w:type="spellEnd"/>
      <w:r w:rsidRPr="00F56A44">
        <w:rPr>
          <w:rFonts w:cs="Times New Roman"/>
          <w:sz w:val="20"/>
          <w:szCs w:val="20"/>
        </w:rPr>
        <w:t xml:space="preserve"> obligations under the Refugee Convention, as those obligations in the context of extradition are fully satisfied by a correct interpretation and application of s. 44 of the </w:t>
      </w:r>
      <w:r w:rsidRPr="00F56A44">
        <w:rPr>
          <w:rFonts w:cs="Times New Roman"/>
          <w:i/>
          <w:sz w:val="20"/>
          <w:szCs w:val="20"/>
        </w:rPr>
        <w:t xml:space="preserve">Extradition Act </w:t>
      </w:r>
      <w:r w:rsidRPr="00F56A44">
        <w:rPr>
          <w:rFonts w:cs="Times New Roman"/>
          <w:sz w:val="20"/>
          <w:szCs w:val="20"/>
        </w:rPr>
        <w:t xml:space="preserve">(“EA”).  Therefore, s. 115 of the IRPA does not conflict with the EA because the prohibition on removal from Canada does not apply to extradition. </w:t>
      </w:r>
    </w:p>
    <w:p w:rsidR="0012561B" w:rsidRPr="00F56A44" w:rsidRDefault="0012561B" w:rsidP="0012561B">
      <w:pPr>
        <w:jc w:val="both"/>
        <w:rPr>
          <w:rFonts w:cs="Times New Roman"/>
          <w:sz w:val="20"/>
          <w:szCs w:val="20"/>
        </w:rPr>
      </w:pPr>
    </w:p>
    <w:p w:rsidR="0012561B" w:rsidRPr="00F56A44" w:rsidRDefault="0012561B" w:rsidP="0012561B">
      <w:pPr>
        <w:ind w:firstLine="720"/>
        <w:jc w:val="both"/>
        <w:rPr>
          <w:rFonts w:cs="Times New Roman"/>
          <w:sz w:val="20"/>
          <w:szCs w:val="20"/>
        </w:rPr>
      </w:pPr>
      <w:r w:rsidRPr="00F56A44">
        <w:rPr>
          <w:rFonts w:cs="Times New Roman"/>
          <w:sz w:val="20"/>
          <w:szCs w:val="20"/>
        </w:rPr>
        <w:t xml:space="preserve">The absence of a provision in the EA expressly addressing the extradition of a person with refugee status does not withhold that power from the Minister of Justice.  The “silence” argument is premised on the fact that the EA addresses extradition only in the context of a refugee claimant, not a person with refugee status.  The position that an </w:t>
      </w:r>
      <w:r w:rsidRPr="00F56A44">
        <w:rPr>
          <w:rFonts w:cs="Times New Roman"/>
          <w:sz w:val="20"/>
          <w:szCs w:val="20"/>
        </w:rPr>
        <w:lastRenderedPageBreak/>
        <w:t xml:space="preserve">earlier finding of refugee status under the IRPA is binding on the Minister of Justice under the EA until it is ended using the procedures of cessation or revocation under the IRPA finds no explicit support in the text of the IRPA or the EA and is inconsistent with the apparent intention of Parliament.  The Minister of Justice was intended to take the lead when a refugee’s rights are implicated in an extradition decision.  The Refugee Convention does not bind the contracting states to any particular process for either granting or withdrawing refugee status.  </w:t>
      </w:r>
      <w:proofErr w:type="spellStart"/>
      <w:r w:rsidRPr="00F56A44">
        <w:rPr>
          <w:rFonts w:cs="Times New Roman"/>
          <w:sz w:val="20"/>
          <w:szCs w:val="20"/>
        </w:rPr>
        <w:t>Moreoever</w:t>
      </w:r>
      <w:proofErr w:type="spellEnd"/>
      <w:r w:rsidRPr="00F56A44">
        <w:rPr>
          <w:rFonts w:cs="Times New Roman"/>
          <w:sz w:val="20"/>
          <w:szCs w:val="20"/>
        </w:rPr>
        <w:t xml:space="preserve">, looking beyond the terms of the Refugee Convention, there are no international law norms to the effect that extradition may only be ordered if a previous finding that a person is a refugee has been formally set aside.  Therefore, the Minister of Justice in dealing with an extradition request is not bound by a finding under the IRPA that the person sought is a refugee and can surrender that person for extradition even though his or her refugee status has not ceased or been vacated using the procedures provided under the IRPA. </w:t>
      </w:r>
    </w:p>
    <w:p w:rsidR="0012561B" w:rsidRPr="00F56A44" w:rsidRDefault="0012561B" w:rsidP="0012561B">
      <w:pPr>
        <w:jc w:val="both"/>
        <w:rPr>
          <w:rFonts w:cs="Times New Roman"/>
          <w:sz w:val="20"/>
          <w:szCs w:val="20"/>
        </w:rPr>
      </w:pPr>
    </w:p>
    <w:p w:rsidR="0012561B" w:rsidRPr="00F56A44" w:rsidRDefault="0012561B" w:rsidP="0012561B">
      <w:pPr>
        <w:ind w:firstLine="720"/>
        <w:jc w:val="both"/>
        <w:rPr>
          <w:rFonts w:cs="Times New Roman"/>
          <w:sz w:val="20"/>
          <w:szCs w:val="20"/>
        </w:rPr>
      </w:pPr>
      <w:r w:rsidRPr="00F56A44">
        <w:rPr>
          <w:rFonts w:cs="Times New Roman"/>
          <w:sz w:val="20"/>
          <w:szCs w:val="20"/>
        </w:rPr>
        <w:t xml:space="preserve">The Minister of Justice’s power to surrender someone for extradition under the EA is discretionary.  However, this discretion to order or to refuse surrender is structured and, in some circumstances, constrained by the other provisions of the statute, the applicable treaty and the </w:t>
      </w:r>
      <w:r w:rsidRPr="00F56A44">
        <w:rPr>
          <w:rFonts w:cs="Times New Roman"/>
          <w:i/>
          <w:sz w:val="20"/>
          <w:szCs w:val="20"/>
        </w:rPr>
        <w:t>Canadian Charter of Rights and Freedoms</w:t>
      </w:r>
      <w:r w:rsidRPr="00F56A44">
        <w:rPr>
          <w:rFonts w:cs="Times New Roman"/>
          <w:sz w:val="20"/>
          <w:szCs w:val="20"/>
        </w:rPr>
        <w:t xml:space="preserve">.  Although there are no express references to refugees in the EA, it does provide for protections of persons who fear abusive treatment, persecution or torture in the requesting state.  The most relevant provision in this regard is s. 44 which sets out mandatory reasons for refusal of surrender.  Under s. 44(1) of the EA, the Minister must refuse to make a surrender order if satisfied that (a) the surrender would be unjust or oppressive having regard to all the relevant circumstances; or (b) the request for extradition is made for the purpose of prosecuting or punishing the person by reason of their race, religion, nationality, ethnic origin, language, colour, political opinion, sex, sexual orientation, age, mental or physical disability or status or that the person’s position may be prejudiced for any of those reasons.  These mandatory reasons for refusal of surrender prevail over provisions of an extradition treaty and as the exercise of the Minister’s power to surrender implicates the liberty and in some cases the security of the person sought, the Minister owes a duty of fairness both at common law and in accordance with the principles of fundamental justice under s. 7 of the </w:t>
      </w:r>
      <w:r w:rsidRPr="00F56A44">
        <w:rPr>
          <w:rFonts w:cs="Times New Roman"/>
          <w:i/>
          <w:sz w:val="20"/>
          <w:szCs w:val="20"/>
        </w:rPr>
        <w:t>Charter</w:t>
      </w:r>
      <w:r w:rsidRPr="00F56A44">
        <w:rPr>
          <w:rFonts w:cs="Times New Roman"/>
          <w:sz w:val="20"/>
          <w:szCs w:val="20"/>
        </w:rPr>
        <w:t xml:space="preserve">.  There is thus an overlap between the provisions of s. 44 and the </w:t>
      </w:r>
      <w:r w:rsidRPr="00F56A44">
        <w:rPr>
          <w:rFonts w:cs="Times New Roman"/>
          <w:i/>
          <w:sz w:val="20"/>
          <w:szCs w:val="20"/>
        </w:rPr>
        <w:t>Charter</w:t>
      </w:r>
      <w:r w:rsidRPr="00F56A44">
        <w:rPr>
          <w:rFonts w:cs="Times New Roman"/>
          <w:sz w:val="20"/>
          <w:szCs w:val="20"/>
        </w:rPr>
        <w:t>.  While s. 44(1</w:t>
      </w:r>
      <w:proofErr w:type="gramStart"/>
      <w:r w:rsidRPr="00F56A44">
        <w:rPr>
          <w:rFonts w:cs="Times New Roman"/>
          <w:sz w:val="20"/>
          <w:szCs w:val="20"/>
        </w:rPr>
        <w:t>)(</w:t>
      </w:r>
      <w:proofErr w:type="gramEnd"/>
      <w:r w:rsidRPr="00F56A44">
        <w:rPr>
          <w:rFonts w:cs="Times New Roman"/>
          <w:i/>
          <w:sz w:val="20"/>
          <w:szCs w:val="20"/>
        </w:rPr>
        <w:t>a</w:t>
      </w:r>
      <w:r w:rsidRPr="00F56A44">
        <w:rPr>
          <w:rFonts w:cs="Times New Roman"/>
          <w:sz w:val="20"/>
          <w:szCs w:val="20"/>
        </w:rPr>
        <w:t xml:space="preserve">) is not limited to conduct that would constitute a breach of the </w:t>
      </w:r>
      <w:r w:rsidRPr="00F56A44">
        <w:rPr>
          <w:rFonts w:cs="Times New Roman"/>
          <w:i/>
          <w:sz w:val="20"/>
          <w:szCs w:val="20"/>
        </w:rPr>
        <w:t>Charter</w:t>
      </w:r>
      <w:r w:rsidRPr="00F56A44">
        <w:rPr>
          <w:rFonts w:cs="Times New Roman"/>
          <w:sz w:val="20"/>
          <w:szCs w:val="20"/>
        </w:rPr>
        <w:t>, it is nonetheless the case that where surrender would be contrary to the principles of fundamental justice, it will also be unjust and oppressive within the meaning of s. 44(1)(</w:t>
      </w:r>
      <w:r w:rsidRPr="00F56A44">
        <w:rPr>
          <w:rFonts w:cs="Times New Roman"/>
          <w:i/>
          <w:sz w:val="20"/>
          <w:szCs w:val="20"/>
        </w:rPr>
        <w:t>a</w:t>
      </w:r>
      <w:r w:rsidRPr="00F56A44">
        <w:rPr>
          <w:rFonts w:cs="Times New Roman"/>
          <w:sz w:val="20"/>
          <w:szCs w:val="20"/>
        </w:rPr>
        <w:t>).  Furthermore, where extradition is sought for the purpose of persecuting an individual on the basis of a prohibited ground as contemplated by the first branch of s. 44(1</w:t>
      </w:r>
      <w:proofErr w:type="gramStart"/>
      <w:r w:rsidRPr="00F56A44">
        <w:rPr>
          <w:rFonts w:cs="Times New Roman"/>
          <w:sz w:val="20"/>
          <w:szCs w:val="20"/>
        </w:rPr>
        <w:t>)(</w:t>
      </w:r>
      <w:proofErr w:type="gramEnd"/>
      <w:r w:rsidRPr="00F56A44">
        <w:rPr>
          <w:rFonts w:cs="Times New Roman"/>
          <w:i/>
          <w:sz w:val="20"/>
          <w:szCs w:val="20"/>
        </w:rPr>
        <w:t>b</w:t>
      </w:r>
      <w:r w:rsidRPr="00F56A44">
        <w:rPr>
          <w:rFonts w:cs="Times New Roman"/>
          <w:sz w:val="20"/>
          <w:szCs w:val="20"/>
        </w:rPr>
        <w:t>), ordering surrender will be contrary to the principles of fundamental justice.</w:t>
      </w:r>
    </w:p>
    <w:p w:rsidR="0012561B" w:rsidRPr="00F56A44" w:rsidRDefault="0012561B" w:rsidP="0012561B">
      <w:pPr>
        <w:jc w:val="both"/>
        <w:rPr>
          <w:rFonts w:cs="Times New Roman"/>
          <w:sz w:val="20"/>
          <w:szCs w:val="20"/>
        </w:rPr>
      </w:pPr>
    </w:p>
    <w:p w:rsidR="0012561B" w:rsidRPr="00F56A44" w:rsidRDefault="0012561B" w:rsidP="0012561B">
      <w:pPr>
        <w:ind w:firstLine="720"/>
        <w:jc w:val="both"/>
        <w:rPr>
          <w:rFonts w:cs="Times New Roman"/>
          <w:sz w:val="20"/>
          <w:szCs w:val="20"/>
        </w:rPr>
      </w:pPr>
      <w:r w:rsidRPr="00F56A44">
        <w:rPr>
          <w:rFonts w:cs="Times New Roman"/>
          <w:sz w:val="20"/>
          <w:szCs w:val="20"/>
        </w:rPr>
        <w:t>Section 44(1</w:t>
      </w:r>
      <w:proofErr w:type="gramStart"/>
      <w:r w:rsidRPr="00F56A44">
        <w:rPr>
          <w:rFonts w:cs="Times New Roman"/>
          <w:sz w:val="20"/>
          <w:szCs w:val="20"/>
        </w:rPr>
        <w:t>)(</w:t>
      </w:r>
      <w:proofErr w:type="gramEnd"/>
      <w:r w:rsidRPr="00F56A44">
        <w:rPr>
          <w:rFonts w:cs="Times New Roman"/>
          <w:i/>
          <w:sz w:val="20"/>
          <w:szCs w:val="20"/>
        </w:rPr>
        <w:t>b</w:t>
      </w:r>
      <w:r w:rsidRPr="00F56A44">
        <w:rPr>
          <w:rFonts w:cs="Times New Roman"/>
          <w:sz w:val="20"/>
          <w:szCs w:val="20"/>
        </w:rPr>
        <w:t xml:space="preserve">) of the EA is Canada’s primary legislative vehicle to give effect to its </w:t>
      </w:r>
      <w:proofErr w:type="spellStart"/>
      <w:r w:rsidRPr="00F56A44">
        <w:rPr>
          <w:rFonts w:cs="Times New Roman"/>
          <w:i/>
          <w:sz w:val="20"/>
          <w:szCs w:val="20"/>
        </w:rPr>
        <w:t>non</w:t>
      </w:r>
      <w:r w:rsidRPr="00F56A44">
        <w:rPr>
          <w:rFonts w:cs="Times New Roman"/>
          <w:i/>
          <w:sz w:val="20"/>
          <w:szCs w:val="20"/>
        </w:rPr>
        <w:noBreakHyphen/>
        <w:t>refoulement</w:t>
      </w:r>
      <w:proofErr w:type="spellEnd"/>
      <w:r w:rsidRPr="00F56A44">
        <w:rPr>
          <w:rFonts w:cs="Times New Roman"/>
          <w:sz w:val="20"/>
          <w:szCs w:val="20"/>
        </w:rPr>
        <w:t xml:space="preserve"> obligations when a refugee is sought for extradition.  This provision is inspired by the provisions in the </w:t>
      </w:r>
      <w:r w:rsidRPr="00F56A44">
        <w:rPr>
          <w:rFonts w:cs="Times New Roman"/>
          <w:i/>
          <w:sz w:val="20"/>
          <w:szCs w:val="20"/>
        </w:rPr>
        <w:t>European Convention on Extradition</w:t>
      </w:r>
      <w:r w:rsidRPr="00F56A44">
        <w:rPr>
          <w:rFonts w:cs="Times New Roman"/>
          <w:sz w:val="20"/>
          <w:szCs w:val="20"/>
        </w:rPr>
        <w:t xml:space="preserve"> and the United Nations’ </w:t>
      </w:r>
      <w:r w:rsidRPr="00F56A44">
        <w:rPr>
          <w:rFonts w:cs="Times New Roman"/>
          <w:i/>
          <w:sz w:val="20"/>
          <w:szCs w:val="20"/>
        </w:rPr>
        <w:t>Model Treaty on Extradition</w:t>
      </w:r>
      <w:r w:rsidRPr="00F56A44">
        <w:rPr>
          <w:rFonts w:cs="Times New Roman"/>
          <w:sz w:val="20"/>
          <w:szCs w:val="20"/>
        </w:rPr>
        <w:t xml:space="preserve"> and the similarity of their texts makes clear that the provision was adopted to serve the purpose of protecting against prejudice in the requesting state, particularly when extradition would constitute a violation of the requested state’s obligation in relation to </w:t>
      </w:r>
      <w:r w:rsidRPr="00F56A44">
        <w:rPr>
          <w:rFonts w:cs="Times New Roman"/>
          <w:i/>
          <w:sz w:val="20"/>
          <w:szCs w:val="20"/>
        </w:rPr>
        <w:t>non-</w:t>
      </w:r>
      <w:proofErr w:type="spellStart"/>
      <w:r w:rsidRPr="00F56A44">
        <w:rPr>
          <w:rFonts w:cs="Times New Roman"/>
          <w:i/>
          <w:sz w:val="20"/>
          <w:szCs w:val="20"/>
        </w:rPr>
        <w:t>refoulement</w:t>
      </w:r>
      <w:proofErr w:type="spellEnd"/>
      <w:r w:rsidRPr="00F56A44">
        <w:rPr>
          <w:rFonts w:cs="Times New Roman"/>
          <w:sz w:val="20"/>
          <w:szCs w:val="20"/>
        </w:rPr>
        <w:t>.  Both the English and the French texts of s. 44(1)(</w:t>
      </w:r>
      <w:r w:rsidRPr="00F56A44">
        <w:rPr>
          <w:rFonts w:cs="Times New Roman"/>
          <w:i/>
          <w:sz w:val="20"/>
          <w:szCs w:val="20"/>
        </w:rPr>
        <w:t>b</w:t>
      </w:r>
      <w:r w:rsidRPr="00F56A44">
        <w:rPr>
          <w:rFonts w:cs="Times New Roman"/>
          <w:sz w:val="20"/>
          <w:szCs w:val="20"/>
        </w:rPr>
        <w:t xml:space="preserve">) support the view that it contains two branches and that the “position” of the party is not limited to his or her position in relation to prosecution or punishment.  Reading the section as being confined to prejudice in the prosecution or punishment of the refugee would not allow the section to achieve the purpose of giving effect to Canada’s obligations with respect to </w:t>
      </w:r>
      <w:r w:rsidRPr="00F56A44">
        <w:rPr>
          <w:rFonts w:cs="Times New Roman"/>
          <w:i/>
          <w:sz w:val="20"/>
          <w:szCs w:val="20"/>
        </w:rPr>
        <w:t>non-</w:t>
      </w:r>
      <w:proofErr w:type="spellStart"/>
      <w:r w:rsidRPr="00F56A44">
        <w:rPr>
          <w:rFonts w:cs="Times New Roman"/>
          <w:i/>
          <w:sz w:val="20"/>
          <w:szCs w:val="20"/>
        </w:rPr>
        <w:t>refoulement</w:t>
      </w:r>
      <w:proofErr w:type="spellEnd"/>
      <w:r w:rsidRPr="00F56A44">
        <w:rPr>
          <w:rFonts w:cs="Times New Roman"/>
          <w:sz w:val="20"/>
          <w:szCs w:val="20"/>
        </w:rPr>
        <w:t>.  Given the text and purpose of s. 44(1</w:t>
      </w:r>
      <w:proofErr w:type="gramStart"/>
      <w:r w:rsidRPr="00F56A44">
        <w:rPr>
          <w:rFonts w:cs="Times New Roman"/>
          <w:sz w:val="20"/>
          <w:szCs w:val="20"/>
        </w:rPr>
        <w:t>)(</w:t>
      </w:r>
      <w:proofErr w:type="gramEnd"/>
      <w:r w:rsidRPr="00F56A44">
        <w:rPr>
          <w:rFonts w:cs="Times New Roman"/>
          <w:i/>
          <w:sz w:val="20"/>
          <w:szCs w:val="20"/>
        </w:rPr>
        <w:t>b</w:t>
      </w:r>
      <w:r w:rsidRPr="00F56A44">
        <w:rPr>
          <w:rFonts w:cs="Times New Roman"/>
          <w:sz w:val="20"/>
          <w:szCs w:val="20"/>
        </w:rPr>
        <w:t xml:space="preserve">) and the interpretation which has been given to the </w:t>
      </w:r>
      <w:r w:rsidRPr="00F56A44">
        <w:rPr>
          <w:rFonts w:cs="Times New Roman"/>
          <w:i/>
          <w:sz w:val="20"/>
          <w:szCs w:val="20"/>
        </w:rPr>
        <w:t>European Convention on Extradition</w:t>
      </w:r>
      <w:r w:rsidRPr="00F56A44">
        <w:rPr>
          <w:rFonts w:cs="Times New Roman"/>
          <w:sz w:val="20"/>
          <w:szCs w:val="20"/>
        </w:rPr>
        <w:t xml:space="preserve"> on which it is based, the closing words of s. 44(1)(</w:t>
      </w:r>
      <w:r w:rsidRPr="00F56A44">
        <w:rPr>
          <w:rFonts w:cs="Times New Roman"/>
          <w:i/>
          <w:sz w:val="20"/>
          <w:szCs w:val="20"/>
        </w:rPr>
        <w:t>b</w:t>
      </w:r>
      <w:r w:rsidRPr="00F56A44">
        <w:rPr>
          <w:rFonts w:cs="Times New Roman"/>
          <w:sz w:val="20"/>
          <w:szCs w:val="20"/>
        </w:rPr>
        <w:t xml:space="preserve">) are read broadly as protecting a refugee against </w:t>
      </w:r>
      <w:proofErr w:type="spellStart"/>
      <w:r w:rsidRPr="00F56A44">
        <w:rPr>
          <w:rFonts w:cs="Times New Roman"/>
          <w:i/>
          <w:sz w:val="20"/>
          <w:szCs w:val="20"/>
        </w:rPr>
        <w:t>refoulement</w:t>
      </w:r>
      <w:proofErr w:type="spellEnd"/>
      <w:r w:rsidRPr="00F56A44">
        <w:rPr>
          <w:rFonts w:cs="Times New Roman"/>
          <w:sz w:val="20"/>
          <w:szCs w:val="20"/>
        </w:rPr>
        <w:t xml:space="preserve"> which risks prejudice to him or her on the listed grounds in the requesting state whether or not the prejudice is strictly linked to prosecution or punishment.</w:t>
      </w:r>
    </w:p>
    <w:p w:rsidR="0012561B" w:rsidRPr="00F56A44" w:rsidRDefault="0012561B" w:rsidP="0012561B">
      <w:pPr>
        <w:jc w:val="both"/>
        <w:rPr>
          <w:rFonts w:cs="Times New Roman"/>
          <w:sz w:val="20"/>
          <w:szCs w:val="20"/>
        </w:rPr>
      </w:pPr>
    </w:p>
    <w:p w:rsidR="0012561B" w:rsidRPr="00F56A44" w:rsidRDefault="0012561B" w:rsidP="0012561B">
      <w:pPr>
        <w:ind w:firstLine="720"/>
        <w:jc w:val="both"/>
        <w:rPr>
          <w:rFonts w:cs="Times New Roman"/>
          <w:sz w:val="20"/>
          <w:szCs w:val="20"/>
        </w:rPr>
      </w:pPr>
      <w:r w:rsidRPr="00F56A44">
        <w:rPr>
          <w:rFonts w:cs="Times New Roman"/>
          <w:sz w:val="20"/>
          <w:szCs w:val="20"/>
        </w:rPr>
        <w:t>Section 44(1)(</w:t>
      </w:r>
      <w:r w:rsidRPr="00F56A44">
        <w:rPr>
          <w:rFonts w:cs="Times New Roman"/>
          <w:i/>
          <w:sz w:val="20"/>
          <w:szCs w:val="20"/>
        </w:rPr>
        <w:t>b</w:t>
      </w:r>
      <w:r w:rsidRPr="00F56A44">
        <w:rPr>
          <w:rFonts w:cs="Times New Roman"/>
          <w:sz w:val="20"/>
          <w:szCs w:val="20"/>
        </w:rPr>
        <w:t xml:space="preserve">) must be considered whenever the Minister’s surrender decision concerns a person with refugee status in Canada and the requesting state is the one from which the refugee has been granted protection.  Refusal of surrender is mandatory if the Minister is satisfied that the conditions which led to conferral of refugee status still exist and it is not shown that the person sought was or has become ineligible for refugee status.  An individual’s status as a refugee under the Refugee Convention has a temporal aspect; the status depends on the situation that exists at the time protection is sought.  In the same way, the relevant time for assessing entitlement to </w:t>
      </w:r>
      <w:r w:rsidRPr="00F56A44">
        <w:rPr>
          <w:rFonts w:cs="Times New Roman"/>
          <w:i/>
          <w:sz w:val="20"/>
          <w:szCs w:val="20"/>
        </w:rPr>
        <w:t>non-</w:t>
      </w:r>
      <w:proofErr w:type="spellStart"/>
      <w:r w:rsidRPr="00F56A44">
        <w:rPr>
          <w:rFonts w:cs="Times New Roman"/>
          <w:i/>
          <w:sz w:val="20"/>
          <w:szCs w:val="20"/>
        </w:rPr>
        <w:t>refoulement</w:t>
      </w:r>
      <w:proofErr w:type="spellEnd"/>
      <w:r w:rsidRPr="00F56A44">
        <w:rPr>
          <w:rFonts w:cs="Times New Roman"/>
          <w:sz w:val="20"/>
          <w:szCs w:val="20"/>
        </w:rPr>
        <w:t xml:space="preserve"> protection is the time removal is sought.  The same principle applies to s. 44(1</w:t>
      </w:r>
      <w:proofErr w:type="gramStart"/>
      <w:r w:rsidRPr="00F56A44">
        <w:rPr>
          <w:rFonts w:cs="Times New Roman"/>
          <w:sz w:val="20"/>
          <w:szCs w:val="20"/>
        </w:rPr>
        <w:t>)(</w:t>
      </w:r>
      <w:proofErr w:type="gramEnd"/>
      <w:r w:rsidRPr="00F56A44">
        <w:rPr>
          <w:rFonts w:cs="Times New Roman"/>
          <w:i/>
          <w:sz w:val="20"/>
          <w:szCs w:val="20"/>
        </w:rPr>
        <w:t>b</w:t>
      </w:r>
      <w:r w:rsidRPr="00F56A44">
        <w:rPr>
          <w:rFonts w:cs="Times New Roman"/>
          <w:sz w:val="20"/>
          <w:szCs w:val="20"/>
        </w:rPr>
        <w:t xml:space="preserve">).  The question of entitlement to protection against </w:t>
      </w:r>
      <w:proofErr w:type="spellStart"/>
      <w:r w:rsidRPr="00F56A44">
        <w:rPr>
          <w:rFonts w:cs="Times New Roman"/>
          <w:i/>
          <w:sz w:val="20"/>
          <w:szCs w:val="20"/>
        </w:rPr>
        <w:t>refoulement</w:t>
      </w:r>
      <w:proofErr w:type="spellEnd"/>
      <w:r w:rsidRPr="00F56A44">
        <w:rPr>
          <w:rFonts w:cs="Times New Roman"/>
          <w:sz w:val="20"/>
          <w:szCs w:val="20"/>
        </w:rPr>
        <w:t xml:space="preserve"> arises at the time surrender is being considered and must be assessed in light of the circumstances at the time.  Where a person has been found, according to the processes established by Canadian law, to be a refugee and therefore to have at least a </w:t>
      </w:r>
      <w:r w:rsidRPr="00F56A44">
        <w:rPr>
          <w:rFonts w:cs="Times New Roman"/>
          <w:i/>
          <w:sz w:val="20"/>
          <w:szCs w:val="20"/>
        </w:rPr>
        <w:t>prima facie</w:t>
      </w:r>
      <w:r w:rsidRPr="00F56A44">
        <w:rPr>
          <w:rFonts w:cs="Times New Roman"/>
          <w:sz w:val="20"/>
          <w:szCs w:val="20"/>
        </w:rPr>
        <w:t xml:space="preserve"> entitlement to protection against </w:t>
      </w:r>
      <w:proofErr w:type="spellStart"/>
      <w:r w:rsidRPr="00F56A44">
        <w:rPr>
          <w:rFonts w:cs="Times New Roman"/>
          <w:i/>
          <w:sz w:val="20"/>
          <w:szCs w:val="20"/>
        </w:rPr>
        <w:t>refoulement</w:t>
      </w:r>
      <w:proofErr w:type="spellEnd"/>
      <w:r w:rsidRPr="00F56A44">
        <w:rPr>
          <w:rFonts w:cs="Times New Roman"/>
          <w:sz w:val="20"/>
          <w:szCs w:val="20"/>
        </w:rPr>
        <w:t xml:space="preserve">, that determination must be given appropriate weight by the Minister in exercising his duty to refuse extradition on the basis </w:t>
      </w:r>
      <w:r w:rsidRPr="00F56A44">
        <w:rPr>
          <w:rFonts w:cs="Times New Roman"/>
          <w:sz w:val="20"/>
          <w:szCs w:val="20"/>
        </w:rPr>
        <w:lastRenderedPageBreak/>
        <w:t xml:space="preserve">of risk of persecution.  There should not be a burden on a person who has refugee status to persuade the Minister that the conditions which led to the conferral of refugee protection have not changed.  This approach is not only consistent with Canada’s domestic law in relation to cessation of refugee protection on the basis of changed circumstances, but with Canada’s international undertakings with respect to </w:t>
      </w:r>
      <w:r w:rsidRPr="00F56A44">
        <w:rPr>
          <w:rFonts w:cs="Times New Roman"/>
          <w:i/>
          <w:sz w:val="20"/>
          <w:szCs w:val="20"/>
        </w:rPr>
        <w:t>non-</w:t>
      </w:r>
      <w:proofErr w:type="spellStart"/>
      <w:r w:rsidRPr="00F56A44">
        <w:rPr>
          <w:rFonts w:cs="Times New Roman"/>
          <w:i/>
          <w:sz w:val="20"/>
          <w:szCs w:val="20"/>
        </w:rPr>
        <w:t>refoulement</w:t>
      </w:r>
      <w:proofErr w:type="spellEnd"/>
      <w:r w:rsidRPr="00F56A44">
        <w:rPr>
          <w:rFonts w:cs="Times New Roman"/>
          <w:sz w:val="20"/>
          <w:szCs w:val="20"/>
        </w:rPr>
        <w:t xml:space="preserve"> of refugees.  This is a more practical and fair approach than placing a burden on refugees to prove current conditions in the country from which they have been absent perhaps for an extended period.  The obligations under the Refugee Convention and the analogy to the cessation and revocation provisions under the IRPA suggest that, under s. 44(1)(</w:t>
      </w:r>
      <w:r w:rsidRPr="00F56A44">
        <w:rPr>
          <w:rFonts w:cs="Times New Roman"/>
          <w:i/>
          <w:sz w:val="20"/>
          <w:szCs w:val="20"/>
        </w:rPr>
        <w:t>b</w:t>
      </w:r>
      <w:r w:rsidRPr="00F56A44">
        <w:rPr>
          <w:rFonts w:cs="Times New Roman"/>
          <w:sz w:val="20"/>
          <w:szCs w:val="20"/>
        </w:rPr>
        <w:t xml:space="preserve">) of the EA, a refugee should not have to establish at the surrender phase that the conditions which led to conferring refugee status, and thus to </w:t>
      </w:r>
      <w:r w:rsidRPr="00F56A44">
        <w:rPr>
          <w:rFonts w:cs="Times New Roman"/>
          <w:i/>
          <w:sz w:val="20"/>
          <w:szCs w:val="20"/>
        </w:rPr>
        <w:t>non-</w:t>
      </w:r>
      <w:proofErr w:type="spellStart"/>
      <w:r w:rsidRPr="00F56A44">
        <w:rPr>
          <w:rFonts w:cs="Times New Roman"/>
          <w:i/>
          <w:sz w:val="20"/>
          <w:szCs w:val="20"/>
        </w:rPr>
        <w:t>refoulement</w:t>
      </w:r>
      <w:proofErr w:type="spellEnd"/>
      <w:r w:rsidRPr="00F56A44">
        <w:rPr>
          <w:rFonts w:cs="Times New Roman"/>
          <w:sz w:val="20"/>
          <w:szCs w:val="20"/>
        </w:rPr>
        <w:t xml:space="preserve"> protection, continue to exist.  When the Minister acting under the EA is in effect determining that refugee protection (and thus </w:t>
      </w:r>
      <w:proofErr w:type="spellStart"/>
      <w:r w:rsidRPr="00F56A44">
        <w:rPr>
          <w:rFonts w:cs="Times New Roman"/>
          <w:i/>
          <w:sz w:val="20"/>
          <w:szCs w:val="20"/>
        </w:rPr>
        <w:t>non</w:t>
      </w:r>
      <w:r w:rsidRPr="00F56A44">
        <w:rPr>
          <w:rFonts w:cs="Times New Roman"/>
          <w:i/>
          <w:sz w:val="20"/>
          <w:szCs w:val="20"/>
        </w:rPr>
        <w:noBreakHyphen/>
        <w:t>refoulement</w:t>
      </w:r>
      <w:proofErr w:type="spellEnd"/>
      <w:r w:rsidRPr="00F56A44">
        <w:rPr>
          <w:rFonts w:cs="Times New Roman"/>
          <w:i/>
          <w:sz w:val="20"/>
          <w:szCs w:val="20"/>
        </w:rPr>
        <w:t xml:space="preserve"> </w:t>
      </w:r>
      <w:r w:rsidRPr="00F56A44">
        <w:rPr>
          <w:rFonts w:cs="Times New Roman"/>
          <w:sz w:val="20"/>
          <w:szCs w:val="20"/>
        </w:rPr>
        <w:t>protection under the Refugee Convention) of a person sought is excluded or is no longer required by virtue of a change of circumstances in the requesting country, he must be satisfied on the balance of probabilities that the person sought is no longer entitled to refugee status in Canada.  The Minister of Justice must consult with the Minister of Citizenship and Immigration concerning current conditions in the requesting state in considering whether the person sought is no longer entitled to refugee protection on the basis of changed circumstances.  Finally, a duty of fairness applies to the Minister’s consideration of the issue under s. 44(1</w:t>
      </w:r>
      <w:proofErr w:type="gramStart"/>
      <w:r w:rsidRPr="00F56A44">
        <w:rPr>
          <w:rFonts w:cs="Times New Roman"/>
          <w:sz w:val="20"/>
          <w:szCs w:val="20"/>
        </w:rPr>
        <w:t>)(</w:t>
      </w:r>
      <w:proofErr w:type="gramEnd"/>
      <w:r w:rsidRPr="00F56A44">
        <w:rPr>
          <w:rFonts w:cs="Times New Roman"/>
          <w:i/>
          <w:sz w:val="20"/>
          <w:szCs w:val="20"/>
        </w:rPr>
        <w:t>b</w:t>
      </w:r>
      <w:r w:rsidRPr="00F56A44">
        <w:rPr>
          <w:rFonts w:cs="Times New Roman"/>
          <w:sz w:val="20"/>
          <w:szCs w:val="20"/>
        </w:rPr>
        <w:t>) which includes providing the refugee with the case to meet, providing a reasonable opportunity to challenge that case as well as a reasonable opportunity to present his or her own case.</w:t>
      </w:r>
    </w:p>
    <w:p w:rsidR="0012561B" w:rsidRPr="00F56A44" w:rsidRDefault="0012561B" w:rsidP="0012561B">
      <w:pPr>
        <w:jc w:val="both"/>
        <w:rPr>
          <w:rFonts w:cs="Times New Roman"/>
          <w:sz w:val="20"/>
          <w:szCs w:val="20"/>
        </w:rPr>
      </w:pPr>
    </w:p>
    <w:p w:rsidR="00736C0F" w:rsidRDefault="00E9141D" w:rsidP="0012561B">
      <w:pPr>
        <w:jc w:val="both"/>
        <w:rPr>
          <w:rFonts w:cs="Times New Roman"/>
          <w:sz w:val="20"/>
          <w:szCs w:val="20"/>
        </w:rPr>
      </w:pPr>
      <w:r>
        <w:rPr>
          <w:rFonts w:cs="Times New Roman"/>
          <w:sz w:val="20"/>
          <w:szCs w:val="20"/>
        </w:rPr>
        <w:tab/>
      </w:r>
      <w:r w:rsidR="0012561B" w:rsidRPr="00F56A44">
        <w:rPr>
          <w:rFonts w:cs="Times New Roman"/>
          <w:sz w:val="20"/>
          <w:szCs w:val="20"/>
        </w:rPr>
        <w:t xml:space="preserve">In this case, the Minister’s approach to the exercise of his powers failed to give sufficient weight or scope to Canada’s </w:t>
      </w:r>
      <w:proofErr w:type="spellStart"/>
      <w:r w:rsidR="0012561B" w:rsidRPr="00F56A44">
        <w:rPr>
          <w:rFonts w:cs="Times New Roman"/>
          <w:i/>
          <w:sz w:val="20"/>
          <w:szCs w:val="20"/>
        </w:rPr>
        <w:t>non</w:t>
      </w:r>
      <w:r w:rsidR="0012561B" w:rsidRPr="00F56A44">
        <w:rPr>
          <w:rFonts w:cs="Times New Roman"/>
          <w:i/>
          <w:sz w:val="20"/>
          <w:szCs w:val="20"/>
        </w:rPr>
        <w:noBreakHyphen/>
        <w:t>refoulement</w:t>
      </w:r>
      <w:proofErr w:type="spellEnd"/>
      <w:r w:rsidR="0012561B" w:rsidRPr="00F56A44">
        <w:rPr>
          <w:rFonts w:cs="Times New Roman"/>
          <w:sz w:val="20"/>
          <w:szCs w:val="20"/>
        </w:rPr>
        <w:t xml:space="preserve"> obligations in light of which those powers must be interpreted and applied.  The Minister’s consideration of the </w:t>
      </w:r>
      <w:proofErr w:type="spellStart"/>
      <w:r w:rsidR="0012561B" w:rsidRPr="00F56A44">
        <w:rPr>
          <w:rFonts w:cs="Times New Roman"/>
          <w:sz w:val="20"/>
          <w:szCs w:val="20"/>
        </w:rPr>
        <w:t>Némeths</w:t>
      </w:r>
      <w:proofErr w:type="spellEnd"/>
      <w:r w:rsidR="0012561B" w:rsidRPr="00F56A44">
        <w:rPr>
          <w:rFonts w:cs="Times New Roman"/>
          <w:sz w:val="20"/>
          <w:szCs w:val="20"/>
        </w:rPr>
        <w:t>’ case was fundamentally flawed.  He focussed exclusively on s. 44(1)(</w:t>
      </w:r>
      <w:r w:rsidR="0012561B" w:rsidRPr="00F56A44">
        <w:rPr>
          <w:rFonts w:cs="Times New Roman"/>
          <w:i/>
          <w:sz w:val="20"/>
          <w:szCs w:val="20"/>
        </w:rPr>
        <w:t>a</w:t>
      </w:r>
      <w:r w:rsidR="0012561B" w:rsidRPr="00F56A44">
        <w:rPr>
          <w:rFonts w:cs="Times New Roman"/>
          <w:sz w:val="20"/>
          <w:szCs w:val="20"/>
        </w:rPr>
        <w:t xml:space="preserve">) of the EA in requiring the </w:t>
      </w:r>
      <w:proofErr w:type="spellStart"/>
      <w:r w:rsidR="0012561B" w:rsidRPr="00F56A44">
        <w:rPr>
          <w:rFonts w:cs="Times New Roman"/>
          <w:sz w:val="20"/>
          <w:szCs w:val="20"/>
        </w:rPr>
        <w:t>Némeths</w:t>
      </w:r>
      <w:proofErr w:type="spellEnd"/>
      <w:r w:rsidR="0012561B" w:rsidRPr="00F56A44">
        <w:rPr>
          <w:rFonts w:cs="Times New Roman"/>
          <w:sz w:val="20"/>
          <w:szCs w:val="20"/>
        </w:rPr>
        <w:t xml:space="preserve"> to establish, on the balance of probabilities, that they would face persecution on their return to Hungary and that the persecution they face would shock the conscience or be fundamentally unacceptable to Canadian society.  He imposed too high a threshold for determining whether the </w:t>
      </w:r>
      <w:proofErr w:type="spellStart"/>
      <w:r w:rsidR="0012561B" w:rsidRPr="00F56A44">
        <w:rPr>
          <w:rFonts w:cs="Times New Roman"/>
          <w:sz w:val="20"/>
          <w:szCs w:val="20"/>
        </w:rPr>
        <w:t>Némeths</w:t>
      </w:r>
      <w:proofErr w:type="spellEnd"/>
      <w:r w:rsidR="0012561B" w:rsidRPr="00F56A44">
        <w:rPr>
          <w:rFonts w:cs="Times New Roman"/>
          <w:sz w:val="20"/>
          <w:szCs w:val="20"/>
        </w:rPr>
        <w:t xml:space="preserve"> would face persecution on their return and placed the burden of proof on this issue on the </w:t>
      </w:r>
      <w:proofErr w:type="spellStart"/>
      <w:r w:rsidR="0012561B" w:rsidRPr="00F56A44">
        <w:rPr>
          <w:rFonts w:cs="Times New Roman"/>
          <w:sz w:val="20"/>
          <w:szCs w:val="20"/>
        </w:rPr>
        <w:t>Némeths</w:t>
      </w:r>
      <w:proofErr w:type="spellEnd"/>
      <w:r w:rsidR="0012561B" w:rsidRPr="00F56A44">
        <w:rPr>
          <w:rFonts w:cs="Times New Roman"/>
          <w:sz w:val="20"/>
          <w:szCs w:val="20"/>
        </w:rPr>
        <w:t xml:space="preserve"> notwithstanding the earlier finding that they were refugees.  Further, the Minister failed to address s. 44(1</w:t>
      </w:r>
      <w:proofErr w:type="gramStart"/>
      <w:r w:rsidR="0012561B" w:rsidRPr="00F56A44">
        <w:rPr>
          <w:rFonts w:cs="Times New Roman"/>
          <w:sz w:val="20"/>
          <w:szCs w:val="20"/>
        </w:rPr>
        <w:t>)(</w:t>
      </w:r>
      <w:proofErr w:type="gramEnd"/>
      <w:r w:rsidR="0012561B" w:rsidRPr="00F56A44">
        <w:rPr>
          <w:rFonts w:cs="Times New Roman"/>
          <w:i/>
          <w:sz w:val="20"/>
          <w:szCs w:val="20"/>
        </w:rPr>
        <w:t>b</w:t>
      </w:r>
      <w:r w:rsidR="0012561B" w:rsidRPr="00F56A44">
        <w:rPr>
          <w:rFonts w:cs="Times New Roman"/>
          <w:sz w:val="20"/>
          <w:szCs w:val="20"/>
        </w:rPr>
        <w:t>) which is the most relevant provision of the EA in relation to their surrender.  The Minister applied incorrect legal principles and acted unreasonably in reaching his conclusions.</w:t>
      </w:r>
    </w:p>
    <w:p w:rsidR="003F4721" w:rsidRDefault="003F4721" w:rsidP="0012561B">
      <w:pPr>
        <w:jc w:val="both"/>
        <w:rPr>
          <w:rFonts w:cs="Times New Roman"/>
          <w:sz w:val="20"/>
          <w:szCs w:val="20"/>
        </w:rPr>
      </w:pPr>
    </w:p>
    <w:p w:rsidR="003F4721" w:rsidRPr="00F56A44" w:rsidRDefault="003F4721" w:rsidP="003F4721">
      <w:pPr>
        <w:pStyle w:val="SCCNormalDoubleSpacing"/>
        <w:spacing w:line="240" w:lineRule="auto"/>
        <w:rPr>
          <w:sz w:val="20"/>
        </w:rPr>
      </w:pPr>
      <w:r w:rsidRPr="00F56A44">
        <w:rPr>
          <w:sz w:val="20"/>
          <w:lang w:val="en-US"/>
        </w:rPr>
        <w:tab/>
      </w:r>
      <w:r w:rsidRPr="00F56A44">
        <w:rPr>
          <w:sz w:val="20"/>
        </w:rPr>
        <w:t>APPEAL from a judgment of the Quebec Court of Appeal (</w:t>
      </w:r>
      <w:proofErr w:type="spellStart"/>
      <w:r w:rsidRPr="00F56A44">
        <w:rPr>
          <w:sz w:val="20"/>
        </w:rPr>
        <w:t>Rochette</w:t>
      </w:r>
      <w:proofErr w:type="spellEnd"/>
      <w:r w:rsidRPr="00F56A44">
        <w:rPr>
          <w:sz w:val="20"/>
        </w:rPr>
        <w:t xml:space="preserve">, </w:t>
      </w:r>
      <w:proofErr w:type="spellStart"/>
      <w:r w:rsidRPr="00F56A44">
        <w:rPr>
          <w:sz w:val="20"/>
        </w:rPr>
        <w:t>Rochon</w:t>
      </w:r>
      <w:proofErr w:type="spellEnd"/>
      <w:r w:rsidRPr="00F56A44">
        <w:rPr>
          <w:sz w:val="20"/>
        </w:rPr>
        <w:t xml:space="preserve"> and Doyon JJ.A.), 2009 QCCA 99, [2009] R.J.Q. 253, 83 </w:t>
      </w:r>
      <w:proofErr w:type="spellStart"/>
      <w:r w:rsidRPr="00F56A44">
        <w:rPr>
          <w:sz w:val="20"/>
        </w:rPr>
        <w:t>Imm</w:t>
      </w:r>
      <w:proofErr w:type="spellEnd"/>
      <w:r w:rsidRPr="00F56A44">
        <w:rPr>
          <w:sz w:val="20"/>
        </w:rPr>
        <w:t xml:space="preserve">. </w:t>
      </w:r>
      <w:proofErr w:type="gramStart"/>
      <w:r w:rsidRPr="00F56A44">
        <w:rPr>
          <w:sz w:val="20"/>
        </w:rPr>
        <w:t xml:space="preserve">L.R. (3d) 16, 2009 </w:t>
      </w:r>
      <w:proofErr w:type="spellStart"/>
      <w:r w:rsidRPr="00F56A44">
        <w:rPr>
          <w:sz w:val="20"/>
        </w:rPr>
        <w:t>CarswellQue</w:t>
      </w:r>
      <w:proofErr w:type="spellEnd"/>
      <w:r w:rsidRPr="00F56A44">
        <w:rPr>
          <w:sz w:val="20"/>
        </w:rPr>
        <w:t xml:space="preserve"> 8504, [2009] Q.J. No. 271 (QL), dismissing an application for judicial review of a decision by the Minister of Justice of Canada ordering the appellants’ surrender.</w:t>
      </w:r>
      <w:proofErr w:type="gramEnd"/>
      <w:r w:rsidRPr="00F56A44">
        <w:rPr>
          <w:sz w:val="20"/>
        </w:rPr>
        <w:t xml:space="preserve">  Appeal allowed.</w:t>
      </w:r>
    </w:p>
    <w:p w:rsidR="003F4721" w:rsidRPr="00F56A44" w:rsidRDefault="003F4721" w:rsidP="003F4721">
      <w:pPr>
        <w:pStyle w:val="SCCNormalDoubleSpacing"/>
        <w:spacing w:line="240" w:lineRule="auto"/>
        <w:rPr>
          <w:rStyle w:val="SCCCounselNameChar"/>
          <w:sz w:val="20"/>
        </w:rPr>
      </w:pPr>
    </w:p>
    <w:p w:rsidR="003F4721" w:rsidRPr="00F56A44" w:rsidRDefault="003F4721" w:rsidP="003F4721">
      <w:pPr>
        <w:pStyle w:val="SCCNormalDoubleSpacing"/>
        <w:spacing w:line="240" w:lineRule="auto"/>
        <w:rPr>
          <w:sz w:val="20"/>
        </w:rPr>
      </w:pPr>
      <w:r w:rsidRPr="00F56A44">
        <w:rPr>
          <w:rStyle w:val="SCCCounselNameChar"/>
          <w:sz w:val="20"/>
        </w:rPr>
        <w:tab/>
      </w:r>
      <w:proofErr w:type="gramStart"/>
      <w:r w:rsidRPr="00F56A44">
        <w:rPr>
          <w:rStyle w:val="SCCCounselNameChar"/>
          <w:sz w:val="20"/>
        </w:rPr>
        <w:t>Marie-Hélène Giroux</w:t>
      </w:r>
      <w:r w:rsidRPr="003F4721">
        <w:rPr>
          <w:rStyle w:val="SCCCounselSeparatorChar"/>
          <w:sz w:val="20"/>
          <w:lang w:val="en-CA"/>
        </w:rPr>
        <w:t xml:space="preserve"> and </w:t>
      </w:r>
      <w:proofErr w:type="spellStart"/>
      <w:r w:rsidRPr="00F56A44">
        <w:rPr>
          <w:rStyle w:val="SCCCounselNameChar"/>
          <w:sz w:val="20"/>
        </w:rPr>
        <w:t>Clément</w:t>
      </w:r>
      <w:proofErr w:type="spellEnd"/>
      <w:r w:rsidRPr="00F56A44">
        <w:rPr>
          <w:rStyle w:val="SCCCounselNameChar"/>
          <w:sz w:val="20"/>
        </w:rPr>
        <w:t xml:space="preserve"> </w:t>
      </w:r>
      <w:proofErr w:type="spellStart"/>
      <w:r w:rsidRPr="00F56A44">
        <w:rPr>
          <w:rStyle w:val="SCCCounselNameChar"/>
          <w:sz w:val="20"/>
        </w:rPr>
        <w:t>Monterosso</w:t>
      </w:r>
      <w:proofErr w:type="spellEnd"/>
      <w:r w:rsidRPr="00F56A44">
        <w:rPr>
          <w:rStyle w:val="SCCCounselPartyRoleChar"/>
          <w:sz w:val="20"/>
        </w:rPr>
        <w:t>, for the appellants.</w:t>
      </w:r>
      <w:proofErr w:type="gramEnd"/>
    </w:p>
    <w:p w:rsidR="003F4721" w:rsidRPr="00F56A44" w:rsidRDefault="003F4721" w:rsidP="003F4721">
      <w:pPr>
        <w:pStyle w:val="SCCNormalDoubleSpacing"/>
        <w:spacing w:line="240" w:lineRule="auto"/>
        <w:rPr>
          <w:rStyle w:val="SCCCounselNameChar"/>
          <w:sz w:val="20"/>
        </w:rPr>
      </w:pPr>
    </w:p>
    <w:p w:rsidR="003F4721" w:rsidRPr="00F56A44" w:rsidRDefault="003F4721" w:rsidP="003F4721">
      <w:pPr>
        <w:pStyle w:val="SCCNormalDoubleSpacing"/>
        <w:spacing w:line="240" w:lineRule="auto"/>
        <w:rPr>
          <w:sz w:val="20"/>
        </w:rPr>
      </w:pPr>
      <w:r w:rsidRPr="00F56A44">
        <w:rPr>
          <w:rStyle w:val="SCCCounselNameChar"/>
          <w:sz w:val="20"/>
        </w:rPr>
        <w:tab/>
      </w:r>
      <w:proofErr w:type="spellStart"/>
      <w:proofErr w:type="gramStart"/>
      <w:r w:rsidRPr="00F56A44">
        <w:rPr>
          <w:rStyle w:val="SCCCounselNameChar"/>
          <w:sz w:val="20"/>
        </w:rPr>
        <w:t>Ginette</w:t>
      </w:r>
      <w:proofErr w:type="spellEnd"/>
      <w:r w:rsidRPr="00F56A44">
        <w:rPr>
          <w:rStyle w:val="SCCCounselNameChar"/>
          <w:sz w:val="20"/>
        </w:rPr>
        <w:t xml:space="preserve"> </w:t>
      </w:r>
      <w:proofErr w:type="spellStart"/>
      <w:r w:rsidRPr="00F56A44">
        <w:rPr>
          <w:rStyle w:val="SCCCounselNameChar"/>
          <w:sz w:val="20"/>
        </w:rPr>
        <w:t>Gobeil</w:t>
      </w:r>
      <w:proofErr w:type="spellEnd"/>
      <w:r w:rsidRPr="003F4721">
        <w:rPr>
          <w:rStyle w:val="SCCCounselSeparatorChar"/>
          <w:sz w:val="20"/>
          <w:lang w:val="en-CA"/>
        </w:rPr>
        <w:t xml:space="preserve"> and </w:t>
      </w:r>
      <w:r w:rsidRPr="00F56A44">
        <w:rPr>
          <w:rStyle w:val="SCCCounselNameChar"/>
          <w:sz w:val="20"/>
        </w:rPr>
        <w:t xml:space="preserve">Janet </w:t>
      </w:r>
      <w:proofErr w:type="spellStart"/>
      <w:r w:rsidRPr="00F56A44">
        <w:rPr>
          <w:rStyle w:val="SCCCounselNameChar"/>
          <w:sz w:val="20"/>
        </w:rPr>
        <w:t>Henchey</w:t>
      </w:r>
      <w:proofErr w:type="spellEnd"/>
      <w:r w:rsidRPr="00F56A44">
        <w:rPr>
          <w:rStyle w:val="SCCCounselPartyRoleChar"/>
          <w:sz w:val="20"/>
        </w:rPr>
        <w:t>, for the respondent.</w:t>
      </w:r>
      <w:proofErr w:type="gramEnd"/>
    </w:p>
    <w:p w:rsidR="003F4721" w:rsidRPr="00F56A44" w:rsidRDefault="003F4721" w:rsidP="003F4721">
      <w:pPr>
        <w:pStyle w:val="SCCNormalDoubleSpacing"/>
        <w:spacing w:line="240" w:lineRule="auto"/>
        <w:rPr>
          <w:sz w:val="20"/>
        </w:rPr>
      </w:pPr>
    </w:p>
    <w:p w:rsidR="003F4721" w:rsidRPr="00F56A44" w:rsidRDefault="003F4721" w:rsidP="003F4721">
      <w:pPr>
        <w:pStyle w:val="SCCNormalDoubleSpacing"/>
        <w:spacing w:line="240" w:lineRule="auto"/>
        <w:rPr>
          <w:sz w:val="20"/>
        </w:rPr>
      </w:pPr>
      <w:r w:rsidRPr="00F56A44">
        <w:rPr>
          <w:rStyle w:val="SCCCounselNameChar"/>
          <w:sz w:val="20"/>
        </w:rPr>
        <w:tab/>
      </w:r>
      <w:proofErr w:type="gramStart"/>
      <w:r w:rsidRPr="00F56A44">
        <w:rPr>
          <w:rStyle w:val="SCCCounselNameChar"/>
          <w:sz w:val="20"/>
        </w:rPr>
        <w:t xml:space="preserve">Pierre </w:t>
      </w:r>
      <w:proofErr w:type="spellStart"/>
      <w:r w:rsidRPr="00F56A44">
        <w:rPr>
          <w:rStyle w:val="SCCCounselNameChar"/>
          <w:sz w:val="20"/>
        </w:rPr>
        <w:t>Poupart</w:t>
      </w:r>
      <w:proofErr w:type="spellEnd"/>
      <w:r w:rsidRPr="00F56A44">
        <w:rPr>
          <w:rStyle w:val="SCCCounselSeparatorChar"/>
          <w:sz w:val="20"/>
          <w:lang w:val="en-CA"/>
        </w:rPr>
        <w:t xml:space="preserve"> and </w:t>
      </w:r>
      <w:r w:rsidRPr="00F56A44">
        <w:rPr>
          <w:rStyle w:val="SCCCounselNameChar"/>
          <w:sz w:val="20"/>
        </w:rPr>
        <w:t xml:space="preserve">Ronald </w:t>
      </w:r>
      <w:proofErr w:type="spellStart"/>
      <w:r w:rsidRPr="00F56A44">
        <w:rPr>
          <w:rStyle w:val="SCCCounselNameChar"/>
          <w:sz w:val="20"/>
        </w:rPr>
        <w:t>Prégent</w:t>
      </w:r>
      <w:proofErr w:type="spellEnd"/>
      <w:r w:rsidRPr="00F56A44">
        <w:rPr>
          <w:rStyle w:val="SCCCounselPartyRoleChar"/>
          <w:sz w:val="20"/>
        </w:rPr>
        <w:t xml:space="preserve">, for the intervener </w:t>
      </w:r>
      <w:proofErr w:type="spellStart"/>
      <w:r w:rsidRPr="00F56A44">
        <w:rPr>
          <w:rStyle w:val="SCCCounselPartyRoleChar"/>
          <w:sz w:val="20"/>
        </w:rPr>
        <w:t>Barreau</w:t>
      </w:r>
      <w:proofErr w:type="spellEnd"/>
      <w:r w:rsidRPr="00F56A44">
        <w:rPr>
          <w:rStyle w:val="SCCCounselPartyRoleChar"/>
          <w:sz w:val="20"/>
        </w:rPr>
        <w:t xml:space="preserve"> du Québec.</w:t>
      </w:r>
      <w:proofErr w:type="gramEnd"/>
    </w:p>
    <w:p w:rsidR="003F4721" w:rsidRPr="00F56A44" w:rsidRDefault="003F4721" w:rsidP="003F4721">
      <w:pPr>
        <w:pStyle w:val="SCCNormalDoubleSpacing"/>
        <w:spacing w:line="240" w:lineRule="auto"/>
        <w:rPr>
          <w:sz w:val="20"/>
        </w:rPr>
      </w:pPr>
    </w:p>
    <w:p w:rsidR="003F4721" w:rsidRPr="00F56A44" w:rsidRDefault="003F4721" w:rsidP="003F4721">
      <w:pPr>
        <w:pStyle w:val="SCCNormalDoubleSpacing"/>
        <w:spacing w:line="240" w:lineRule="auto"/>
        <w:rPr>
          <w:sz w:val="20"/>
          <w:lang w:val="en-US"/>
        </w:rPr>
      </w:pPr>
      <w:r w:rsidRPr="00F56A44">
        <w:rPr>
          <w:rStyle w:val="SCCCounselNameChar"/>
          <w:sz w:val="20"/>
        </w:rPr>
        <w:tab/>
      </w:r>
      <w:proofErr w:type="spellStart"/>
      <w:proofErr w:type="gramStart"/>
      <w:r w:rsidRPr="00F56A44">
        <w:rPr>
          <w:rStyle w:val="SCCCounselNameChar"/>
          <w:sz w:val="20"/>
          <w:lang w:val="en-US"/>
        </w:rPr>
        <w:t>Johanne</w:t>
      </w:r>
      <w:proofErr w:type="spellEnd"/>
      <w:r w:rsidRPr="00F56A44">
        <w:rPr>
          <w:rStyle w:val="SCCCounselNameChar"/>
          <w:sz w:val="20"/>
          <w:lang w:val="en-US"/>
        </w:rPr>
        <w:t xml:space="preserve"> Doyon</w:t>
      </w:r>
      <w:r w:rsidRPr="00F56A44">
        <w:rPr>
          <w:rStyle w:val="SCCCounselSeparatorChar"/>
          <w:sz w:val="20"/>
          <w:lang w:val="en-US"/>
        </w:rPr>
        <w:t xml:space="preserve">, </w:t>
      </w:r>
      <w:r w:rsidRPr="00F56A44">
        <w:rPr>
          <w:rStyle w:val="SCCCounselSeparatorChar"/>
          <w:i/>
          <w:sz w:val="20"/>
          <w:lang w:val="en-US"/>
        </w:rPr>
        <w:t>E</w:t>
      </w:r>
      <w:r w:rsidRPr="00F56A44">
        <w:rPr>
          <w:rStyle w:val="SCCCounselNameChar"/>
          <w:sz w:val="20"/>
          <w:lang w:val="en-US"/>
        </w:rPr>
        <w:t xml:space="preserve">laine Doyon and Dan </w:t>
      </w:r>
      <w:proofErr w:type="spellStart"/>
      <w:r w:rsidRPr="00F56A44">
        <w:rPr>
          <w:rStyle w:val="SCCCounselNameChar"/>
          <w:sz w:val="20"/>
          <w:lang w:val="en-US"/>
        </w:rPr>
        <w:t>Bohbot</w:t>
      </w:r>
      <w:proofErr w:type="spellEnd"/>
      <w:r w:rsidRPr="00F56A44">
        <w:rPr>
          <w:rStyle w:val="SCCCounselNameChar"/>
          <w:sz w:val="20"/>
          <w:lang w:val="en-US"/>
        </w:rPr>
        <w:t>,</w:t>
      </w:r>
      <w:r w:rsidRPr="00F56A44">
        <w:rPr>
          <w:rStyle w:val="SCCCounselPartyRoleChar"/>
          <w:sz w:val="20"/>
          <w:lang w:val="en-US"/>
        </w:rPr>
        <w:t xml:space="preserve"> for the intervener Québec Immigration Lawyers Association.</w:t>
      </w:r>
      <w:proofErr w:type="gramEnd"/>
    </w:p>
    <w:p w:rsidR="003F4721" w:rsidRPr="00F56A44" w:rsidRDefault="003F4721" w:rsidP="003F4721">
      <w:pPr>
        <w:pStyle w:val="SCCNormalDoubleSpacing"/>
        <w:spacing w:line="240" w:lineRule="auto"/>
        <w:rPr>
          <w:sz w:val="20"/>
          <w:lang w:val="en-US"/>
        </w:rPr>
      </w:pPr>
    </w:p>
    <w:p w:rsidR="003F4721" w:rsidRPr="00F56A44" w:rsidRDefault="003F4721" w:rsidP="003F4721">
      <w:pPr>
        <w:pStyle w:val="SCCNormalDoubleSpacing"/>
        <w:spacing w:line="240" w:lineRule="auto"/>
        <w:rPr>
          <w:sz w:val="20"/>
        </w:rPr>
      </w:pPr>
      <w:r w:rsidRPr="00F56A44">
        <w:rPr>
          <w:rStyle w:val="SCCCounselNameChar"/>
          <w:sz w:val="20"/>
          <w:lang w:val="en-US"/>
        </w:rPr>
        <w:tab/>
      </w:r>
      <w:proofErr w:type="gramStart"/>
      <w:r w:rsidRPr="00F56A44">
        <w:rPr>
          <w:rStyle w:val="SCCCounselNameChar"/>
          <w:sz w:val="20"/>
        </w:rPr>
        <w:t>John Norris</w:t>
      </w:r>
      <w:r w:rsidRPr="003F4721">
        <w:rPr>
          <w:rStyle w:val="SCCCounselSeparatorChar"/>
          <w:sz w:val="20"/>
          <w:lang w:val="en-CA"/>
        </w:rPr>
        <w:t xml:space="preserve"> and </w:t>
      </w:r>
      <w:proofErr w:type="spellStart"/>
      <w:r w:rsidRPr="00F56A44">
        <w:rPr>
          <w:rStyle w:val="SCCCounselNameChar"/>
          <w:sz w:val="20"/>
        </w:rPr>
        <w:t>Brydie</w:t>
      </w:r>
      <w:proofErr w:type="spellEnd"/>
      <w:r w:rsidRPr="00F56A44">
        <w:rPr>
          <w:rStyle w:val="SCCCounselNameChar"/>
          <w:sz w:val="20"/>
        </w:rPr>
        <w:t xml:space="preserve"> </w:t>
      </w:r>
      <w:proofErr w:type="spellStart"/>
      <w:r w:rsidRPr="00F56A44">
        <w:rPr>
          <w:rStyle w:val="SCCCounselNameChar"/>
          <w:sz w:val="20"/>
        </w:rPr>
        <w:t>Bethell</w:t>
      </w:r>
      <w:proofErr w:type="spellEnd"/>
      <w:r w:rsidRPr="00F56A44">
        <w:rPr>
          <w:rStyle w:val="SCCCounselPartyRoleChar"/>
          <w:sz w:val="20"/>
        </w:rPr>
        <w:t>, for the intervener the Canadian Council for Refugees.</w:t>
      </w:r>
      <w:proofErr w:type="gramEnd"/>
    </w:p>
    <w:p w:rsidR="003F4721" w:rsidRPr="00F56A44" w:rsidRDefault="003F4721" w:rsidP="003F4721">
      <w:pPr>
        <w:pStyle w:val="SCCNormalDoubleSpacing"/>
        <w:spacing w:line="240" w:lineRule="auto"/>
        <w:rPr>
          <w:sz w:val="20"/>
        </w:rPr>
      </w:pPr>
    </w:p>
    <w:p w:rsidR="003F4721" w:rsidRPr="00F56A44" w:rsidRDefault="003F4721" w:rsidP="003F4721">
      <w:pPr>
        <w:pStyle w:val="SCCLawFirm"/>
        <w:spacing w:line="240" w:lineRule="auto"/>
        <w:rPr>
          <w:sz w:val="20"/>
        </w:rPr>
      </w:pPr>
      <w:r w:rsidRPr="00F56A44">
        <w:rPr>
          <w:sz w:val="20"/>
        </w:rPr>
        <w:tab/>
        <w:t>Solicitors for the appellants:  </w:t>
      </w:r>
      <w:proofErr w:type="spellStart"/>
      <w:r w:rsidRPr="00F56A44">
        <w:rPr>
          <w:sz w:val="20"/>
        </w:rPr>
        <w:t>Monterosso</w:t>
      </w:r>
      <w:proofErr w:type="spellEnd"/>
      <w:r w:rsidRPr="00F56A44">
        <w:rPr>
          <w:sz w:val="20"/>
        </w:rPr>
        <w:t xml:space="preserve"> Giroux, Montréal.</w:t>
      </w:r>
    </w:p>
    <w:p w:rsidR="003F4721" w:rsidRPr="00F56A44" w:rsidRDefault="003F4721" w:rsidP="003F4721">
      <w:pPr>
        <w:pStyle w:val="SCCLawFirm"/>
        <w:spacing w:line="240" w:lineRule="auto"/>
        <w:rPr>
          <w:sz w:val="20"/>
        </w:rPr>
      </w:pPr>
    </w:p>
    <w:p w:rsidR="003F4721" w:rsidRPr="00F56A44" w:rsidRDefault="003F4721" w:rsidP="003F4721">
      <w:pPr>
        <w:pStyle w:val="SCCLawFirm"/>
        <w:spacing w:line="240" w:lineRule="auto"/>
        <w:rPr>
          <w:sz w:val="20"/>
        </w:rPr>
      </w:pPr>
      <w:r w:rsidRPr="00F56A44">
        <w:rPr>
          <w:sz w:val="20"/>
        </w:rPr>
        <w:tab/>
        <w:t>Solicitor for the respondent:  Attorney General of Canada, Montréal.</w:t>
      </w:r>
    </w:p>
    <w:p w:rsidR="003F4721" w:rsidRPr="00F56A44" w:rsidRDefault="003F4721" w:rsidP="003F4721">
      <w:pPr>
        <w:pStyle w:val="SCCLawFirm"/>
        <w:spacing w:line="240" w:lineRule="auto"/>
        <w:rPr>
          <w:sz w:val="20"/>
        </w:rPr>
      </w:pPr>
    </w:p>
    <w:p w:rsidR="003F4721" w:rsidRPr="00F56A44" w:rsidRDefault="003F4721" w:rsidP="003F4721">
      <w:pPr>
        <w:pStyle w:val="SCCLawFirm"/>
        <w:spacing w:line="240" w:lineRule="auto"/>
        <w:rPr>
          <w:sz w:val="20"/>
          <w:lang w:val="fr-CA"/>
        </w:rPr>
      </w:pPr>
      <w:r w:rsidRPr="00F56A44">
        <w:rPr>
          <w:sz w:val="20"/>
        </w:rPr>
        <w:tab/>
      </w:r>
      <w:r w:rsidRPr="00F56A44">
        <w:rPr>
          <w:sz w:val="20"/>
          <w:lang w:val="fr-CA"/>
        </w:rPr>
        <w:t xml:space="preserve">Solicitors for the </w:t>
      </w:r>
      <w:proofErr w:type="spellStart"/>
      <w:r w:rsidRPr="00F56A44">
        <w:rPr>
          <w:sz w:val="20"/>
          <w:lang w:val="fr-CA"/>
        </w:rPr>
        <w:t>intervener</w:t>
      </w:r>
      <w:proofErr w:type="spellEnd"/>
      <w:r w:rsidRPr="00F56A44">
        <w:rPr>
          <w:sz w:val="20"/>
          <w:lang w:val="fr-CA"/>
        </w:rPr>
        <w:t xml:space="preserve"> Barreau du Québec:</w:t>
      </w:r>
      <w:proofErr w:type="gramStart"/>
      <w:r w:rsidRPr="00F56A44">
        <w:rPr>
          <w:sz w:val="20"/>
          <w:lang w:val="fr-CA"/>
        </w:rPr>
        <w:t>  Poupart</w:t>
      </w:r>
      <w:proofErr w:type="gramEnd"/>
      <w:r w:rsidRPr="00F56A44">
        <w:rPr>
          <w:sz w:val="20"/>
          <w:lang w:val="fr-CA"/>
        </w:rPr>
        <w:t xml:space="preserve">, </w:t>
      </w:r>
      <w:proofErr w:type="spellStart"/>
      <w:r w:rsidRPr="00F56A44">
        <w:rPr>
          <w:sz w:val="20"/>
          <w:lang w:val="fr-CA"/>
        </w:rPr>
        <w:t>Dadour</w:t>
      </w:r>
      <w:proofErr w:type="spellEnd"/>
      <w:r w:rsidRPr="00F56A44">
        <w:rPr>
          <w:sz w:val="20"/>
          <w:lang w:val="fr-CA"/>
        </w:rPr>
        <w:t xml:space="preserve"> et Associés and </w:t>
      </w:r>
      <w:proofErr w:type="spellStart"/>
      <w:r w:rsidRPr="00F56A44">
        <w:rPr>
          <w:sz w:val="20"/>
          <w:lang w:val="fr-CA"/>
        </w:rPr>
        <w:t>Shadley</w:t>
      </w:r>
      <w:proofErr w:type="spellEnd"/>
      <w:r w:rsidRPr="00F56A44">
        <w:rPr>
          <w:sz w:val="20"/>
          <w:lang w:val="fr-CA"/>
        </w:rPr>
        <w:t xml:space="preserve">, </w:t>
      </w:r>
      <w:proofErr w:type="spellStart"/>
      <w:r w:rsidRPr="00F56A44">
        <w:rPr>
          <w:sz w:val="20"/>
          <w:lang w:val="fr-CA"/>
        </w:rPr>
        <w:t>Battista</w:t>
      </w:r>
      <w:proofErr w:type="spellEnd"/>
      <w:r w:rsidRPr="00F56A44">
        <w:rPr>
          <w:sz w:val="20"/>
          <w:lang w:val="fr-CA"/>
        </w:rPr>
        <w:t>, Montréal.</w:t>
      </w:r>
    </w:p>
    <w:p w:rsidR="003F4721" w:rsidRPr="00F56A44" w:rsidRDefault="003F4721" w:rsidP="003F4721">
      <w:pPr>
        <w:pStyle w:val="SCCLawFirm"/>
        <w:spacing w:line="240" w:lineRule="auto"/>
        <w:rPr>
          <w:sz w:val="20"/>
          <w:lang w:val="fr-CA"/>
        </w:rPr>
      </w:pPr>
    </w:p>
    <w:p w:rsidR="003F4721" w:rsidRPr="00F56A44" w:rsidRDefault="003F4721" w:rsidP="003F4721">
      <w:pPr>
        <w:pStyle w:val="SCCLawFirm"/>
        <w:spacing w:line="240" w:lineRule="auto"/>
        <w:rPr>
          <w:sz w:val="20"/>
          <w:lang w:val="fr-CA"/>
        </w:rPr>
      </w:pPr>
      <w:r w:rsidRPr="00F56A44">
        <w:rPr>
          <w:sz w:val="20"/>
          <w:lang w:val="fr-CA"/>
        </w:rPr>
        <w:tab/>
        <w:t xml:space="preserve">Solicitors for the </w:t>
      </w:r>
      <w:proofErr w:type="spellStart"/>
      <w:r w:rsidRPr="00F56A44">
        <w:rPr>
          <w:sz w:val="20"/>
          <w:lang w:val="fr-CA"/>
        </w:rPr>
        <w:t>intervener</w:t>
      </w:r>
      <w:proofErr w:type="spellEnd"/>
      <w:r w:rsidRPr="00F56A44">
        <w:rPr>
          <w:sz w:val="20"/>
          <w:lang w:val="fr-CA"/>
        </w:rPr>
        <w:t xml:space="preserve"> Québec Immigration </w:t>
      </w:r>
      <w:proofErr w:type="spellStart"/>
      <w:r w:rsidRPr="00F56A44">
        <w:rPr>
          <w:sz w:val="20"/>
          <w:lang w:val="fr-CA"/>
        </w:rPr>
        <w:t>Lawyers</w:t>
      </w:r>
      <w:proofErr w:type="spellEnd"/>
      <w:r w:rsidRPr="00F56A44">
        <w:rPr>
          <w:sz w:val="20"/>
          <w:lang w:val="fr-CA"/>
        </w:rPr>
        <w:t xml:space="preserve"> Association:</w:t>
      </w:r>
      <w:proofErr w:type="gramStart"/>
      <w:r w:rsidRPr="00F56A44">
        <w:rPr>
          <w:sz w:val="20"/>
          <w:lang w:val="fr-CA"/>
        </w:rPr>
        <w:t>  Doyon</w:t>
      </w:r>
      <w:proofErr w:type="gramEnd"/>
      <w:r w:rsidRPr="00F56A44">
        <w:rPr>
          <w:sz w:val="20"/>
          <w:lang w:val="fr-CA"/>
        </w:rPr>
        <w:t xml:space="preserve"> et Associés, Montréal.</w:t>
      </w:r>
    </w:p>
    <w:p w:rsidR="003F4721" w:rsidRPr="00F56A44" w:rsidRDefault="003F4721" w:rsidP="003F4721">
      <w:pPr>
        <w:pStyle w:val="SCCLawFirm"/>
        <w:spacing w:line="240" w:lineRule="auto"/>
        <w:rPr>
          <w:sz w:val="20"/>
          <w:lang w:val="fr-CA"/>
        </w:rPr>
      </w:pPr>
    </w:p>
    <w:p w:rsidR="00874152" w:rsidRPr="000E0012" w:rsidRDefault="003F4721" w:rsidP="000E0012">
      <w:pPr>
        <w:jc w:val="both"/>
        <w:rPr>
          <w:sz w:val="20"/>
          <w:szCs w:val="20"/>
        </w:rPr>
      </w:pPr>
      <w:r w:rsidRPr="00F56A44">
        <w:rPr>
          <w:rFonts w:cs="Times New Roman"/>
          <w:sz w:val="20"/>
          <w:szCs w:val="20"/>
          <w:lang w:val="fr-CA"/>
        </w:rPr>
        <w:tab/>
      </w:r>
      <w:r w:rsidRPr="003F4721">
        <w:rPr>
          <w:rFonts w:cs="Times New Roman"/>
          <w:i/>
          <w:sz w:val="20"/>
          <w:szCs w:val="20"/>
        </w:rPr>
        <w:t xml:space="preserve">Solicitors for the intervener the Canadian Council for Refugees:  John Norris and </w:t>
      </w:r>
      <w:proofErr w:type="spellStart"/>
      <w:r w:rsidRPr="003F4721">
        <w:rPr>
          <w:rFonts w:cs="Times New Roman"/>
          <w:i/>
          <w:sz w:val="20"/>
          <w:szCs w:val="20"/>
        </w:rPr>
        <w:t>Brydie</w:t>
      </w:r>
      <w:proofErr w:type="spellEnd"/>
      <w:r w:rsidRPr="003F4721">
        <w:rPr>
          <w:rFonts w:cs="Times New Roman"/>
          <w:i/>
          <w:sz w:val="20"/>
          <w:szCs w:val="20"/>
        </w:rPr>
        <w:t xml:space="preserve"> </w:t>
      </w:r>
      <w:proofErr w:type="spellStart"/>
      <w:r w:rsidRPr="003F4721">
        <w:rPr>
          <w:rFonts w:cs="Times New Roman"/>
          <w:i/>
          <w:sz w:val="20"/>
          <w:szCs w:val="20"/>
        </w:rPr>
        <w:t>Bethell</w:t>
      </w:r>
      <w:proofErr w:type="spellEnd"/>
      <w:r w:rsidRPr="003F4721">
        <w:rPr>
          <w:rFonts w:cs="Times New Roman"/>
          <w:i/>
          <w:sz w:val="20"/>
          <w:szCs w:val="20"/>
        </w:rPr>
        <w:t>, Toronto.</w:t>
      </w:r>
      <w:r w:rsidR="000E0012" w:rsidRPr="000E0012">
        <w:rPr>
          <w:sz w:val="20"/>
          <w:szCs w:val="20"/>
        </w:rPr>
        <w:t xml:space="preserve"> </w:t>
      </w:r>
    </w:p>
    <w:p w:rsidR="00874152" w:rsidRDefault="00874152" w:rsidP="005C6840">
      <w:pPr>
        <w:rPr>
          <w:sz w:val="20"/>
          <w:szCs w:val="20"/>
        </w:rPr>
      </w:pPr>
    </w:p>
    <w:p w:rsidR="00736C0F" w:rsidRDefault="00857426" w:rsidP="005C6840">
      <w:pPr>
        <w:rPr>
          <w:sz w:val="20"/>
          <w:szCs w:val="20"/>
          <w:lang w:val="fr-CA"/>
        </w:rPr>
      </w:pPr>
      <w:r w:rsidRPr="00857426">
        <w:rPr>
          <w:sz w:val="20"/>
          <w:szCs w:val="20"/>
          <w:lang w:val="fr-CA"/>
        </w:rPr>
        <w:pict>
          <v:rect id="_x0000_i1084" style="width:144.3pt;height:1pt" o:hrpct="300" o:hralign="center" o:hrstd="t" o:hrnoshade="t" o:hr="t" fillcolor="black [3213]" stroked="f"/>
        </w:pict>
      </w:r>
    </w:p>
    <w:p w:rsidR="00736C0F" w:rsidRPr="00736C0F" w:rsidRDefault="00736C0F" w:rsidP="00736C0F">
      <w:pPr>
        <w:jc w:val="both"/>
        <w:rPr>
          <w:rFonts w:eastAsia="Calibri" w:cs="Times New Roman"/>
          <w:sz w:val="20"/>
          <w:szCs w:val="20"/>
          <w:lang w:val="fr-CA"/>
        </w:rPr>
      </w:pPr>
      <w:proofErr w:type="spellStart"/>
      <w:r w:rsidRPr="00736C0F">
        <w:rPr>
          <w:rFonts w:eastAsia="Calibri" w:cs="Times New Roman"/>
          <w:i/>
          <w:sz w:val="20"/>
          <w:szCs w:val="20"/>
          <w:lang w:val="fr-CA"/>
        </w:rPr>
        <w:lastRenderedPageBreak/>
        <w:t>Tiberiu</w:t>
      </w:r>
      <w:proofErr w:type="spellEnd"/>
      <w:r w:rsidRPr="00736C0F">
        <w:rPr>
          <w:rFonts w:eastAsia="Calibri" w:cs="Times New Roman"/>
          <w:i/>
          <w:sz w:val="20"/>
          <w:szCs w:val="20"/>
          <w:lang w:val="fr-CA"/>
        </w:rPr>
        <w:t xml:space="preserve"> </w:t>
      </w:r>
      <w:proofErr w:type="spellStart"/>
      <w:r w:rsidRPr="00736C0F">
        <w:rPr>
          <w:rFonts w:eastAsia="Calibri" w:cs="Times New Roman"/>
          <w:i/>
          <w:sz w:val="20"/>
          <w:szCs w:val="20"/>
          <w:lang w:val="fr-CA"/>
        </w:rPr>
        <w:t>Gavrila</w:t>
      </w:r>
      <w:proofErr w:type="spellEnd"/>
      <w:r w:rsidRPr="00736C0F">
        <w:rPr>
          <w:rFonts w:eastAsia="Calibri" w:cs="Times New Roman"/>
          <w:i/>
          <w:sz w:val="20"/>
          <w:szCs w:val="20"/>
          <w:lang w:val="fr-CA"/>
        </w:rPr>
        <w:t xml:space="preserve"> c. Ministre de la Justice  du Canada</w:t>
      </w:r>
      <w:r w:rsidRPr="00736C0F">
        <w:rPr>
          <w:rFonts w:eastAsia="Calibri" w:cs="Times New Roman"/>
          <w:sz w:val="20"/>
          <w:szCs w:val="20"/>
          <w:lang w:val="fr-CA"/>
        </w:rPr>
        <w:t xml:space="preserve"> (</w:t>
      </w:r>
      <w:proofErr w:type="spellStart"/>
      <w:r w:rsidRPr="00736C0F">
        <w:rPr>
          <w:rFonts w:eastAsia="Calibri" w:cs="Times New Roman"/>
          <w:sz w:val="20"/>
          <w:szCs w:val="20"/>
          <w:lang w:val="fr-CA"/>
        </w:rPr>
        <w:t>Qc</w:t>
      </w:r>
      <w:proofErr w:type="spellEnd"/>
      <w:r w:rsidRPr="00736C0F">
        <w:rPr>
          <w:rFonts w:eastAsia="Calibri" w:cs="Times New Roman"/>
          <w:sz w:val="20"/>
          <w:szCs w:val="20"/>
          <w:lang w:val="fr-CA"/>
        </w:rPr>
        <w:t>) (33313)</w:t>
      </w:r>
    </w:p>
    <w:p w:rsidR="000E0012" w:rsidRPr="00653C06" w:rsidRDefault="000E0012" w:rsidP="000E0012">
      <w:pPr>
        <w:jc w:val="both"/>
        <w:rPr>
          <w:rFonts w:cs="Times New Roman"/>
          <w:b/>
          <w:sz w:val="20"/>
          <w:szCs w:val="20"/>
        </w:rPr>
      </w:pPr>
      <w:r w:rsidRPr="00AA4A7D">
        <w:rPr>
          <w:rFonts w:cs="Times New Roman"/>
          <w:b/>
          <w:sz w:val="20"/>
          <w:szCs w:val="20"/>
        </w:rPr>
        <w:t>Indexed as:  </w:t>
      </w:r>
      <w:proofErr w:type="spellStart"/>
      <w:r w:rsidRPr="000E0012">
        <w:rPr>
          <w:rStyle w:val="SCCAppellantForIndexChar"/>
          <w:rFonts w:eastAsiaTheme="minorHAnsi"/>
          <w:sz w:val="20"/>
          <w:lang w:val="en-CA"/>
        </w:rPr>
        <w:t>Gavrila</w:t>
      </w:r>
      <w:proofErr w:type="spellEnd"/>
      <w:r w:rsidRPr="00AA4A7D">
        <w:rPr>
          <w:rFonts w:cs="Times New Roman"/>
          <w:b/>
          <w:sz w:val="20"/>
          <w:szCs w:val="20"/>
        </w:rPr>
        <w:t xml:space="preserve"> </w:t>
      </w:r>
      <w:r w:rsidRPr="00AA4A7D">
        <w:rPr>
          <w:rFonts w:cs="Times New Roman"/>
          <w:b/>
          <w:i/>
          <w:sz w:val="20"/>
          <w:szCs w:val="20"/>
        </w:rPr>
        <w:t>v.</w:t>
      </w:r>
      <w:r w:rsidRPr="00AA4A7D">
        <w:rPr>
          <w:rFonts w:cs="Times New Roman"/>
          <w:b/>
          <w:sz w:val="20"/>
          <w:szCs w:val="20"/>
        </w:rPr>
        <w:t xml:space="preserve"> </w:t>
      </w:r>
      <w:r w:rsidRPr="00AA4A7D">
        <w:rPr>
          <w:rStyle w:val="SCCRespondentForIndexChar"/>
          <w:rFonts w:eastAsiaTheme="minorHAnsi"/>
          <w:sz w:val="20"/>
        </w:rPr>
        <w:t xml:space="preserve">Canada (Justice) </w:t>
      </w:r>
      <w:r>
        <w:rPr>
          <w:rStyle w:val="SCCRespondentForIndexChar"/>
          <w:rFonts w:eastAsiaTheme="minorHAnsi"/>
          <w:sz w:val="20"/>
        </w:rPr>
        <w:t xml:space="preserve">/ </w:t>
      </w:r>
      <w:proofErr w:type="spellStart"/>
      <w:proofErr w:type="gramStart"/>
      <w:r w:rsidRPr="00653C06">
        <w:rPr>
          <w:rFonts w:cs="Times New Roman"/>
          <w:b/>
          <w:sz w:val="20"/>
          <w:szCs w:val="20"/>
        </w:rPr>
        <w:t>Répertorié</w:t>
      </w:r>
      <w:proofErr w:type="spellEnd"/>
      <w:r w:rsidRPr="00653C06">
        <w:rPr>
          <w:rFonts w:cs="Times New Roman"/>
          <w:b/>
          <w:sz w:val="20"/>
          <w:szCs w:val="20"/>
        </w:rPr>
        <w:t> :</w:t>
      </w:r>
      <w:proofErr w:type="gramEnd"/>
      <w:r w:rsidRPr="00653C06">
        <w:rPr>
          <w:rFonts w:cs="Times New Roman"/>
          <w:b/>
          <w:sz w:val="20"/>
          <w:szCs w:val="20"/>
        </w:rPr>
        <w:t> </w:t>
      </w:r>
      <w:proofErr w:type="spellStart"/>
      <w:r w:rsidRPr="00307D49">
        <w:rPr>
          <w:rStyle w:val="SCCAppellantForIndexChar"/>
          <w:rFonts w:eastAsiaTheme="minorHAnsi"/>
          <w:sz w:val="20"/>
          <w:lang w:val="en-CA"/>
        </w:rPr>
        <w:t>Gavrila</w:t>
      </w:r>
      <w:proofErr w:type="spellEnd"/>
      <w:r w:rsidRPr="00653C06">
        <w:rPr>
          <w:rFonts w:cs="Times New Roman"/>
          <w:b/>
          <w:sz w:val="20"/>
          <w:szCs w:val="20"/>
        </w:rPr>
        <w:t xml:space="preserve"> </w:t>
      </w:r>
      <w:r w:rsidRPr="00653C06">
        <w:rPr>
          <w:rFonts w:cs="Times New Roman"/>
          <w:b/>
          <w:i/>
          <w:sz w:val="20"/>
          <w:szCs w:val="20"/>
        </w:rPr>
        <w:t>c.</w:t>
      </w:r>
      <w:r w:rsidRPr="00653C06">
        <w:rPr>
          <w:rFonts w:cs="Times New Roman"/>
          <w:b/>
          <w:sz w:val="20"/>
          <w:szCs w:val="20"/>
        </w:rPr>
        <w:t xml:space="preserve"> </w:t>
      </w:r>
      <w:r w:rsidRPr="00653C06">
        <w:rPr>
          <w:rStyle w:val="SCCRespondentForIndexChar"/>
          <w:rFonts w:eastAsiaTheme="minorHAnsi"/>
          <w:sz w:val="20"/>
        </w:rPr>
        <w:t>Canada (Justice)</w:t>
      </w:r>
    </w:p>
    <w:p w:rsidR="00736C0F" w:rsidRPr="00307D49" w:rsidRDefault="00736C0F" w:rsidP="00736C0F">
      <w:pPr>
        <w:pStyle w:val="SCCSystemYear"/>
        <w:jc w:val="both"/>
        <w:rPr>
          <w:sz w:val="20"/>
          <w:lang w:val="en-CA"/>
        </w:rPr>
      </w:pPr>
      <w:r w:rsidRPr="00307D49">
        <w:rPr>
          <w:sz w:val="20"/>
          <w:lang w:val="en-CA"/>
        </w:rPr>
        <w:t>Neutral citation:  2010 SCC 5</w:t>
      </w:r>
      <w:r w:rsidR="000E0012" w:rsidRPr="00307D49">
        <w:rPr>
          <w:sz w:val="20"/>
          <w:lang w:val="en-CA"/>
        </w:rPr>
        <w:t>7</w:t>
      </w:r>
      <w:r w:rsidRPr="00307D49">
        <w:rPr>
          <w:sz w:val="20"/>
          <w:lang w:val="en-CA"/>
        </w:rPr>
        <w:t xml:space="preserve"> / </w:t>
      </w:r>
      <w:proofErr w:type="spellStart"/>
      <w:r w:rsidRPr="00307D49">
        <w:rPr>
          <w:sz w:val="20"/>
          <w:lang w:val="en-CA"/>
        </w:rPr>
        <w:t>Référence</w:t>
      </w:r>
      <w:proofErr w:type="spellEnd"/>
      <w:r w:rsidRPr="00307D49">
        <w:rPr>
          <w:sz w:val="20"/>
          <w:lang w:val="en-CA"/>
        </w:rPr>
        <w:t xml:space="preserve"> </w:t>
      </w:r>
      <w:proofErr w:type="spellStart"/>
      <w:proofErr w:type="gramStart"/>
      <w:r w:rsidRPr="00307D49">
        <w:rPr>
          <w:sz w:val="20"/>
          <w:lang w:val="en-CA"/>
        </w:rPr>
        <w:t>neutre</w:t>
      </w:r>
      <w:proofErr w:type="spellEnd"/>
      <w:r w:rsidRPr="00307D49">
        <w:rPr>
          <w:sz w:val="20"/>
          <w:lang w:val="en-CA"/>
        </w:rPr>
        <w:t xml:space="preserve"> :</w:t>
      </w:r>
      <w:proofErr w:type="gramEnd"/>
      <w:r w:rsidRPr="00307D49">
        <w:rPr>
          <w:sz w:val="20"/>
          <w:lang w:val="en-CA"/>
        </w:rPr>
        <w:t xml:space="preserve"> 2010 CSC 5</w:t>
      </w:r>
      <w:r w:rsidR="000E0012" w:rsidRPr="00307D49">
        <w:rPr>
          <w:sz w:val="20"/>
          <w:lang w:val="en-CA"/>
        </w:rPr>
        <w:t>7</w:t>
      </w:r>
    </w:p>
    <w:p w:rsidR="00736C0F" w:rsidRPr="001E6992" w:rsidRDefault="00736C0F" w:rsidP="00736C0F">
      <w:pPr>
        <w:rPr>
          <w:sz w:val="20"/>
          <w:szCs w:val="20"/>
        </w:rPr>
      </w:pPr>
      <w:r w:rsidRPr="001E6992">
        <w:rPr>
          <w:sz w:val="20"/>
          <w:szCs w:val="20"/>
        </w:rPr>
        <w:t xml:space="preserve">Hearing:  </w:t>
      </w:r>
      <w:r w:rsidR="00307D49" w:rsidRPr="001E6992">
        <w:rPr>
          <w:sz w:val="20"/>
          <w:szCs w:val="20"/>
        </w:rPr>
        <w:t>January 13</w:t>
      </w:r>
      <w:r w:rsidRPr="001E6992">
        <w:rPr>
          <w:sz w:val="20"/>
          <w:szCs w:val="20"/>
        </w:rPr>
        <w:t>, 2010 / Judgment:  November 2</w:t>
      </w:r>
      <w:r w:rsidR="00307D49" w:rsidRPr="001E6992">
        <w:rPr>
          <w:sz w:val="20"/>
          <w:szCs w:val="20"/>
        </w:rPr>
        <w:t>5</w:t>
      </w:r>
      <w:r w:rsidRPr="001E6992">
        <w:rPr>
          <w:sz w:val="20"/>
          <w:szCs w:val="20"/>
        </w:rPr>
        <w:t>, 2010</w:t>
      </w:r>
    </w:p>
    <w:p w:rsidR="00736C0F" w:rsidRPr="00E452DD" w:rsidRDefault="00736C0F" w:rsidP="00736C0F">
      <w:pPr>
        <w:rPr>
          <w:sz w:val="20"/>
          <w:szCs w:val="20"/>
          <w:lang w:val="fr-CA"/>
        </w:rPr>
      </w:pPr>
      <w:r w:rsidRPr="00E452DD">
        <w:rPr>
          <w:sz w:val="20"/>
          <w:szCs w:val="20"/>
          <w:lang w:val="fr-CA"/>
        </w:rPr>
        <w:t xml:space="preserve">Audition : Le </w:t>
      </w:r>
      <w:r>
        <w:rPr>
          <w:sz w:val="20"/>
          <w:szCs w:val="20"/>
          <w:lang w:val="fr-CA"/>
        </w:rPr>
        <w:t>1</w:t>
      </w:r>
      <w:r w:rsidR="00307D49">
        <w:rPr>
          <w:sz w:val="20"/>
          <w:szCs w:val="20"/>
          <w:lang w:val="fr-CA"/>
        </w:rPr>
        <w:t>3 janvier</w:t>
      </w:r>
      <w:r w:rsidRPr="00E452DD">
        <w:rPr>
          <w:sz w:val="20"/>
          <w:szCs w:val="20"/>
          <w:lang w:val="fr-CA"/>
        </w:rPr>
        <w:t xml:space="preserve"> 20</w:t>
      </w:r>
      <w:r>
        <w:rPr>
          <w:sz w:val="20"/>
          <w:szCs w:val="20"/>
          <w:lang w:val="fr-CA"/>
        </w:rPr>
        <w:t>1</w:t>
      </w:r>
      <w:r w:rsidRPr="00E452DD">
        <w:rPr>
          <w:sz w:val="20"/>
          <w:szCs w:val="20"/>
          <w:lang w:val="fr-CA"/>
        </w:rPr>
        <w:t>0 / Jugement : Le 2</w:t>
      </w:r>
      <w:r w:rsidR="00307D49">
        <w:rPr>
          <w:sz w:val="20"/>
          <w:szCs w:val="20"/>
          <w:lang w:val="fr-CA"/>
        </w:rPr>
        <w:t>5</w:t>
      </w:r>
      <w:r>
        <w:rPr>
          <w:sz w:val="20"/>
          <w:szCs w:val="20"/>
          <w:lang w:val="fr-CA"/>
        </w:rPr>
        <w:t xml:space="preserve"> novem</w:t>
      </w:r>
      <w:r w:rsidRPr="00E452DD">
        <w:rPr>
          <w:sz w:val="20"/>
          <w:szCs w:val="20"/>
          <w:lang w:val="fr-CA"/>
        </w:rPr>
        <w:t>bre 2010</w:t>
      </w:r>
    </w:p>
    <w:p w:rsidR="00736C0F" w:rsidRPr="00E452DD" w:rsidRDefault="00857426" w:rsidP="00736C0F">
      <w:pPr>
        <w:rPr>
          <w:sz w:val="20"/>
          <w:szCs w:val="20"/>
          <w:lang w:val="fr-CA"/>
        </w:rPr>
      </w:pPr>
      <w:r w:rsidRPr="00857426">
        <w:rPr>
          <w:i/>
          <w:sz w:val="20"/>
          <w:szCs w:val="20"/>
        </w:rPr>
        <w:pict>
          <v:rect id="_x0000_i1085" style="width:480.95pt;height:1pt" o:hralign="center" o:hrstd="t" o:hrnoshade="t" o:hr="t" fillcolor="black [3213]" stroked="f"/>
        </w:pict>
      </w:r>
    </w:p>
    <w:p w:rsidR="00736C0F" w:rsidRDefault="00736C0F" w:rsidP="005C6840">
      <w:pPr>
        <w:rPr>
          <w:sz w:val="20"/>
          <w:szCs w:val="20"/>
          <w:lang w:val="fr-CA"/>
        </w:rPr>
      </w:pPr>
    </w:p>
    <w:p w:rsidR="00307D49" w:rsidRDefault="00307D49" w:rsidP="00307D49">
      <w:pPr>
        <w:jc w:val="both"/>
        <w:rPr>
          <w:rFonts w:cs="Times New Roman"/>
          <w:sz w:val="20"/>
          <w:szCs w:val="20"/>
          <w:lang w:val="fr-CA"/>
        </w:rPr>
      </w:pPr>
      <w:r w:rsidRPr="00307D49">
        <w:rPr>
          <w:rFonts w:cs="Times New Roman"/>
          <w:sz w:val="20"/>
          <w:szCs w:val="20"/>
          <w:lang w:val="fr-CA"/>
        </w:rPr>
        <w:t xml:space="preserve">Présents : La juge en chef </w:t>
      </w:r>
      <w:proofErr w:type="spellStart"/>
      <w:r w:rsidRPr="00307D49">
        <w:rPr>
          <w:rFonts w:cs="Times New Roman"/>
          <w:sz w:val="20"/>
          <w:szCs w:val="20"/>
          <w:lang w:val="fr-CA"/>
        </w:rPr>
        <w:t>McLachlin</w:t>
      </w:r>
      <w:proofErr w:type="spellEnd"/>
      <w:r w:rsidRPr="00307D49">
        <w:rPr>
          <w:rFonts w:cs="Times New Roman"/>
          <w:sz w:val="20"/>
          <w:szCs w:val="20"/>
          <w:lang w:val="fr-CA"/>
        </w:rPr>
        <w:t xml:space="preserve"> et les juges </w:t>
      </w:r>
      <w:proofErr w:type="spellStart"/>
      <w:r w:rsidRPr="00307D49">
        <w:rPr>
          <w:rFonts w:cs="Times New Roman"/>
          <w:sz w:val="20"/>
          <w:szCs w:val="20"/>
          <w:lang w:val="fr-CA"/>
        </w:rPr>
        <w:t>Binnie</w:t>
      </w:r>
      <w:proofErr w:type="spellEnd"/>
      <w:r w:rsidRPr="00307D49">
        <w:rPr>
          <w:rFonts w:cs="Times New Roman"/>
          <w:sz w:val="20"/>
          <w:szCs w:val="20"/>
          <w:lang w:val="fr-CA"/>
        </w:rPr>
        <w:t xml:space="preserve">, </w:t>
      </w:r>
      <w:proofErr w:type="spellStart"/>
      <w:r w:rsidRPr="00307D49">
        <w:rPr>
          <w:rFonts w:cs="Times New Roman"/>
          <w:sz w:val="20"/>
          <w:szCs w:val="20"/>
          <w:lang w:val="fr-CA"/>
        </w:rPr>
        <w:t>LeBel</w:t>
      </w:r>
      <w:proofErr w:type="spellEnd"/>
      <w:r w:rsidRPr="00307D49">
        <w:rPr>
          <w:rFonts w:cs="Times New Roman"/>
          <w:sz w:val="20"/>
          <w:szCs w:val="20"/>
          <w:lang w:val="fr-CA"/>
        </w:rPr>
        <w:t xml:space="preserve">, Deschamps, Fish, Abella, Charron, </w:t>
      </w:r>
      <w:proofErr w:type="spellStart"/>
      <w:r w:rsidRPr="00307D49">
        <w:rPr>
          <w:rFonts w:cs="Times New Roman"/>
          <w:sz w:val="20"/>
          <w:szCs w:val="20"/>
          <w:lang w:val="fr-CA"/>
        </w:rPr>
        <w:t>Rothstein</w:t>
      </w:r>
      <w:proofErr w:type="spellEnd"/>
      <w:r w:rsidRPr="00307D49">
        <w:rPr>
          <w:rFonts w:cs="Times New Roman"/>
          <w:sz w:val="20"/>
          <w:szCs w:val="20"/>
          <w:lang w:val="fr-CA"/>
        </w:rPr>
        <w:t xml:space="preserve"> et Cromwell.</w:t>
      </w:r>
    </w:p>
    <w:p w:rsidR="00307D49" w:rsidRDefault="00307D49" w:rsidP="00307D49">
      <w:pPr>
        <w:jc w:val="both"/>
        <w:rPr>
          <w:rFonts w:cs="Times New Roman"/>
          <w:sz w:val="20"/>
          <w:szCs w:val="20"/>
          <w:lang w:val="fr-CA"/>
        </w:rPr>
      </w:pPr>
    </w:p>
    <w:p w:rsidR="00307D49" w:rsidRPr="00307D49" w:rsidRDefault="00307D49" w:rsidP="00307D49">
      <w:pPr>
        <w:pStyle w:val="SCCNormalDoubleSpacing"/>
        <w:spacing w:line="240" w:lineRule="auto"/>
        <w:rPr>
          <w:i/>
          <w:sz w:val="20"/>
          <w:lang w:val="fr-CA"/>
        </w:rPr>
      </w:pPr>
      <w:r w:rsidRPr="001E6992">
        <w:rPr>
          <w:sz w:val="20"/>
          <w:lang w:val="fr-CA"/>
        </w:rPr>
        <w:tab/>
      </w:r>
      <w:r w:rsidRPr="00307D49">
        <w:rPr>
          <w:i/>
          <w:sz w:val="20"/>
          <w:lang w:val="fr-CA"/>
        </w:rPr>
        <w:t xml:space="preserve">Extradition ― Remise ― Réfugiés au sens de la convention ― Principe de </w:t>
      </w:r>
      <w:proofErr w:type="spellStart"/>
      <w:r w:rsidRPr="00307D49">
        <w:rPr>
          <w:i/>
          <w:sz w:val="20"/>
          <w:lang w:val="fr-CA"/>
        </w:rPr>
        <w:t>non</w:t>
      </w:r>
      <w:r w:rsidRPr="00307D49">
        <w:rPr>
          <w:i/>
          <w:sz w:val="20"/>
          <w:lang w:val="fr-CA"/>
        </w:rPr>
        <w:noBreakHyphen/>
        <w:t>refoulement</w:t>
      </w:r>
      <w:proofErr w:type="spellEnd"/>
      <w:r w:rsidRPr="00307D49">
        <w:rPr>
          <w:i/>
          <w:sz w:val="20"/>
          <w:lang w:val="fr-CA"/>
        </w:rPr>
        <w:t xml:space="preserve"> ― Extradition vers la Roumanie d’un réfugié au sens de la Convention ordonnée par le ministre de la Justice ― Le ministre de la Justice </w:t>
      </w:r>
      <w:proofErr w:type="spellStart"/>
      <w:r w:rsidRPr="00307D49">
        <w:rPr>
          <w:i/>
          <w:sz w:val="20"/>
          <w:lang w:val="fr-CA"/>
        </w:rPr>
        <w:t>était</w:t>
      </w:r>
      <w:r w:rsidRPr="00307D49">
        <w:rPr>
          <w:i/>
          <w:sz w:val="20"/>
          <w:lang w:val="fr-CA"/>
        </w:rPr>
        <w:noBreakHyphen/>
        <w:t>il</w:t>
      </w:r>
      <w:proofErr w:type="spellEnd"/>
      <w:r w:rsidRPr="00307D49">
        <w:rPr>
          <w:i/>
          <w:sz w:val="20"/>
          <w:lang w:val="fr-CA"/>
        </w:rPr>
        <w:t xml:space="preserve"> légalement habilité à ordonner l’extradition d’un réfugié dont la qualité de réfugié n’a pas été perdue ou révoquée? ― Si oui, le ministre </w:t>
      </w:r>
      <w:proofErr w:type="spellStart"/>
      <w:r w:rsidRPr="00307D49">
        <w:rPr>
          <w:i/>
          <w:sz w:val="20"/>
          <w:lang w:val="fr-CA"/>
        </w:rPr>
        <w:t>a</w:t>
      </w:r>
      <w:r w:rsidRPr="00307D49">
        <w:rPr>
          <w:i/>
          <w:sz w:val="20"/>
          <w:lang w:val="fr-CA"/>
        </w:rPr>
        <w:noBreakHyphen/>
        <w:t>t</w:t>
      </w:r>
      <w:r w:rsidRPr="00307D49">
        <w:rPr>
          <w:i/>
          <w:sz w:val="20"/>
          <w:lang w:val="fr-CA"/>
        </w:rPr>
        <w:noBreakHyphen/>
        <w:t>il</w:t>
      </w:r>
      <w:proofErr w:type="spellEnd"/>
      <w:r w:rsidRPr="00307D49">
        <w:rPr>
          <w:i/>
          <w:sz w:val="20"/>
          <w:lang w:val="fr-CA"/>
        </w:rPr>
        <w:t xml:space="preserve"> exercé de manière raisonnable son pouvoir d’ordonner l’extradition? ― Loi sur l’Extradition, L.C. 1999, ch. 18, art. 44 ― Loi sur l’immigration et la protection des réfugiés, L.C. 2001, ch. 27, art. 115</w:t>
      </w:r>
      <w:r w:rsidR="0076787B">
        <w:rPr>
          <w:i/>
          <w:sz w:val="20"/>
          <w:lang w:val="fr-CA"/>
        </w:rPr>
        <w:t>.</w:t>
      </w:r>
    </w:p>
    <w:p w:rsidR="00307D49" w:rsidRPr="00307D49" w:rsidRDefault="00307D49" w:rsidP="00307D49">
      <w:pPr>
        <w:pStyle w:val="SCCNormalDoubleSpacing"/>
        <w:spacing w:line="240" w:lineRule="auto"/>
        <w:rPr>
          <w:i/>
          <w:sz w:val="20"/>
          <w:lang w:val="fr-CA"/>
        </w:rPr>
      </w:pPr>
    </w:p>
    <w:p w:rsidR="00307D49" w:rsidRPr="00307D49" w:rsidRDefault="00307D49" w:rsidP="00307D49">
      <w:pPr>
        <w:pStyle w:val="SCCNormalDoubleSpacing"/>
        <w:spacing w:line="240" w:lineRule="auto"/>
        <w:rPr>
          <w:sz w:val="20"/>
          <w:lang w:val="fr-CA"/>
        </w:rPr>
      </w:pPr>
      <w:r w:rsidRPr="00307D49">
        <w:rPr>
          <w:i/>
          <w:sz w:val="20"/>
          <w:lang w:val="fr-CA"/>
        </w:rPr>
        <w:tab/>
        <w:t xml:space="preserve">Extradition ― Remise ― Preuve ― Fardeau de la preuve ― Demande d’extradition d’un réfugié au sens de la Convention ― Motifs prévus par la loi justifiant le refus du ministre de la Justice de prendre un arrêté d’extradition ― Le risque de persécution constitue </w:t>
      </w:r>
      <w:proofErr w:type="spellStart"/>
      <w:r w:rsidRPr="00307D49">
        <w:rPr>
          <w:i/>
          <w:sz w:val="20"/>
          <w:lang w:val="fr-CA"/>
        </w:rPr>
        <w:t>t</w:t>
      </w:r>
      <w:r w:rsidRPr="00307D49">
        <w:rPr>
          <w:i/>
          <w:sz w:val="20"/>
          <w:lang w:val="fr-CA"/>
        </w:rPr>
        <w:noBreakHyphen/>
        <w:t>il</w:t>
      </w:r>
      <w:proofErr w:type="spellEnd"/>
      <w:r w:rsidRPr="00307D49">
        <w:rPr>
          <w:i/>
          <w:sz w:val="20"/>
          <w:lang w:val="fr-CA"/>
        </w:rPr>
        <w:t xml:space="preserve">, au sens de l’al. 44(1)b) de la Loi sur l’extradition, un motif obligatoire de refuser l’extradition? ― Le ministre de la Justice </w:t>
      </w:r>
      <w:proofErr w:type="spellStart"/>
      <w:r w:rsidRPr="00307D49">
        <w:rPr>
          <w:i/>
          <w:sz w:val="20"/>
          <w:lang w:val="fr-CA"/>
        </w:rPr>
        <w:t>a</w:t>
      </w:r>
      <w:r w:rsidRPr="00307D49">
        <w:rPr>
          <w:i/>
          <w:sz w:val="20"/>
          <w:lang w:val="fr-CA"/>
        </w:rPr>
        <w:noBreakHyphen/>
        <w:t>t</w:t>
      </w:r>
      <w:r w:rsidRPr="00307D49">
        <w:rPr>
          <w:i/>
          <w:sz w:val="20"/>
          <w:lang w:val="fr-CA"/>
        </w:rPr>
        <w:noBreakHyphen/>
        <w:t>il</w:t>
      </w:r>
      <w:proofErr w:type="spellEnd"/>
      <w:r w:rsidRPr="00307D49">
        <w:rPr>
          <w:i/>
          <w:sz w:val="20"/>
          <w:lang w:val="fr-CA"/>
        </w:rPr>
        <w:t xml:space="preserve"> commis une erreur en imposant au réfugié le fardeau de prouver qu’il serait persécuté s’il était extradé? ― Loi sur l’Extradition, L.C. 1999, ch. 18, art. 44(1)b).</w:t>
      </w:r>
      <w:r w:rsidRPr="00307D49">
        <w:rPr>
          <w:sz w:val="20"/>
          <w:lang w:val="fr-CA"/>
        </w:rPr>
        <w:t xml:space="preserve"> </w:t>
      </w:r>
    </w:p>
    <w:p w:rsidR="00307D49" w:rsidRPr="00307D49" w:rsidRDefault="00307D49" w:rsidP="00307D49">
      <w:pPr>
        <w:pStyle w:val="SCCNormalDoubleSpacing"/>
        <w:spacing w:line="240" w:lineRule="auto"/>
        <w:rPr>
          <w:sz w:val="20"/>
          <w:lang w:val="fr-CA"/>
        </w:rPr>
      </w:pPr>
    </w:p>
    <w:p w:rsidR="00307D49" w:rsidRPr="00307D49" w:rsidRDefault="00307D49" w:rsidP="00307D49">
      <w:pPr>
        <w:pStyle w:val="SCCNormalDoubleSpacing"/>
        <w:spacing w:line="240" w:lineRule="auto"/>
        <w:rPr>
          <w:sz w:val="20"/>
          <w:lang w:val="fr-CA"/>
        </w:rPr>
      </w:pPr>
      <w:r w:rsidRPr="00307D49">
        <w:rPr>
          <w:sz w:val="20"/>
          <w:lang w:val="fr-CA"/>
        </w:rPr>
        <w:tab/>
        <w:t xml:space="preserve">G est entré au Canada en 2004 et y a revendiqué le statut de réfugié, alléguant qu'il avait été persécuté en Roumanie en raison de son origine ethnique et de ses activités au sein d'une association de défense des </w:t>
      </w:r>
      <w:proofErr w:type="spellStart"/>
      <w:r w:rsidRPr="00307D49">
        <w:rPr>
          <w:sz w:val="20"/>
          <w:lang w:val="fr-CA"/>
        </w:rPr>
        <w:t>Roms</w:t>
      </w:r>
      <w:proofErr w:type="spellEnd"/>
      <w:r w:rsidRPr="00307D49">
        <w:rPr>
          <w:sz w:val="20"/>
          <w:lang w:val="fr-CA"/>
        </w:rPr>
        <w:t xml:space="preserve">.  Il a obtenu la qualité de réfugié.  Par la suite, les autorités roumaines ont réclamé son extradition pour qu'il purge une peine d’emprisonnement relativement à une condamnation pour fabrication de faux visas.  G aurait été reconnu coupable, en Roumanie, d’avoir participé à la fabrication de faux visas pour deux personnes, pour une valeur de 1 800 $ US.  En 2008, le ministre de la Justice a ordonné que G soit extradé dans son pays d'origine pour y purger sa peine d’emprisonnement.  La Cour d’appel a rejeté la requête en révision judiciaire. </w:t>
      </w:r>
    </w:p>
    <w:p w:rsidR="00307D49" w:rsidRPr="00307D49" w:rsidRDefault="00307D49" w:rsidP="00307D49">
      <w:pPr>
        <w:pStyle w:val="SCCNormalDoubleSpacing"/>
        <w:spacing w:line="240" w:lineRule="auto"/>
        <w:rPr>
          <w:sz w:val="20"/>
          <w:lang w:val="fr-CA"/>
        </w:rPr>
      </w:pPr>
    </w:p>
    <w:p w:rsidR="00307D49" w:rsidRPr="00307D49" w:rsidRDefault="00307D49" w:rsidP="00307D49">
      <w:pPr>
        <w:pStyle w:val="SCCNormalDoubleSpacing"/>
        <w:spacing w:line="240" w:lineRule="auto"/>
        <w:rPr>
          <w:sz w:val="20"/>
          <w:lang w:val="fr-CA"/>
        </w:rPr>
      </w:pPr>
      <w:r w:rsidRPr="00307D49">
        <w:rPr>
          <w:sz w:val="20"/>
          <w:lang w:val="fr-CA"/>
        </w:rPr>
        <w:tab/>
      </w:r>
      <w:r w:rsidRPr="00307D49">
        <w:rPr>
          <w:i/>
          <w:sz w:val="20"/>
          <w:lang w:val="fr-CA"/>
        </w:rPr>
        <w:t>Arrêt</w:t>
      </w:r>
      <w:r w:rsidRPr="00307D49">
        <w:rPr>
          <w:sz w:val="20"/>
          <w:lang w:val="fr-CA"/>
        </w:rPr>
        <w:t> </w:t>
      </w:r>
      <w:r w:rsidRPr="00653C06">
        <w:rPr>
          <w:rStyle w:val="QuoteChar"/>
          <w:sz w:val="20"/>
        </w:rPr>
        <w:t>:</w:t>
      </w:r>
      <w:r w:rsidRPr="00307D49">
        <w:rPr>
          <w:sz w:val="20"/>
          <w:lang w:val="fr-CA"/>
        </w:rPr>
        <w:t xml:space="preserve"> Le pourvoi est accueilli et l’affaire est renvoyée au ministre de la Justice pour réexamen.</w:t>
      </w:r>
    </w:p>
    <w:p w:rsidR="00307D49" w:rsidRPr="00307D49" w:rsidRDefault="00307D49" w:rsidP="00307D49">
      <w:pPr>
        <w:pStyle w:val="SCCNormalDoubleSpacing"/>
        <w:spacing w:line="240" w:lineRule="auto"/>
        <w:rPr>
          <w:sz w:val="20"/>
          <w:lang w:val="fr-CA"/>
        </w:rPr>
      </w:pPr>
    </w:p>
    <w:p w:rsidR="00307D49" w:rsidRDefault="00307D49" w:rsidP="00307D49">
      <w:pPr>
        <w:pStyle w:val="SCCNormalDoubleSpacing"/>
        <w:spacing w:line="240" w:lineRule="auto"/>
        <w:rPr>
          <w:sz w:val="20"/>
          <w:lang w:val="fr-CA"/>
        </w:rPr>
      </w:pPr>
      <w:r w:rsidRPr="00307D49">
        <w:rPr>
          <w:sz w:val="20"/>
          <w:lang w:val="fr-CA"/>
        </w:rPr>
        <w:tab/>
        <w:t xml:space="preserve">Pour les motifs exposés dans </w:t>
      </w:r>
      <w:proofErr w:type="spellStart"/>
      <w:r w:rsidRPr="00307D49">
        <w:rPr>
          <w:i/>
          <w:sz w:val="20"/>
          <w:lang w:val="fr-CA"/>
        </w:rPr>
        <w:t>Németh</w:t>
      </w:r>
      <w:proofErr w:type="spellEnd"/>
      <w:r w:rsidRPr="00307D49">
        <w:rPr>
          <w:i/>
          <w:sz w:val="20"/>
          <w:lang w:val="fr-CA"/>
        </w:rPr>
        <w:t xml:space="preserve"> c. Canada (Justice)</w:t>
      </w:r>
      <w:r w:rsidRPr="00307D49">
        <w:rPr>
          <w:sz w:val="20"/>
          <w:lang w:val="fr-CA"/>
        </w:rPr>
        <w:t>, le ministre n’a pas appliqué les bons critères juridiques, puisque la qualité de réfugié de G n’avait pas été perdue ou révoquée lorsque la décision d’extradition a été prise.  Le ministre aurait dû appliquer l’al. 44(1)</w:t>
      </w:r>
      <w:r w:rsidRPr="00307D49">
        <w:rPr>
          <w:i/>
          <w:sz w:val="20"/>
          <w:lang w:val="fr-CA"/>
        </w:rPr>
        <w:t>b</w:t>
      </w:r>
      <w:r w:rsidRPr="00307D49">
        <w:rPr>
          <w:sz w:val="20"/>
          <w:lang w:val="fr-CA"/>
        </w:rPr>
        <w:t xml:space="preserve">) de la </w:t>
      </w:r>
      <w:r w:rsidRPr="00307D49">
        <w:rPr>
          <w:i/>
          <w:sz w:val="20"/>
          <w:lang w:val="fr-CA"/>
        </w:rPr>
        <w:t>Loi sur l’extradition</w:t>
      </w:r>
      <w:r w:rsidRPr="00307D49">
        <w:rPr>
          <w:sz w:val="20"/>
          <w:lang w:val="fr-CA"/>
        </w:rPr>
        <w:t xml:space="preserve">.  La décision du ministre étant fondée sur des principes juridiques erronés, elle est déraisonnable et doit être annulée.  Les décisions prises sous le régime de la </w:t>
      </w:r>
      <w:r w:rsidRPr="00307D49">
        <w:rPr>
          <w:i/>
          <w:sz w:val="20"/>
          <w:lang w:val="fr-CA"/>
        </w:rPr>
        <w:t>Loi sur l’immigration et la protection des réfugiés</w:t>
      </w:r>
      <w:r w:rsidRPr="00307D49">
        <w:rPr>
          <w:sz w:val="20"/>
          <w:lang w:val="fr-CA"/>
        </w:rPr>
        <w:t xml:space="preserve"> ne lient pas le ministre, mais G n’aurait pas dû avoir à prouver qu’il aurait effectivement été victime de persécution et que cette persécution choquerait la conscience de la société canadienne ou serait fondamentalement inacceptable pour elle, et son dossier n’aurait pas dû être évalué uniquement en application de l’al. 44(1)</w:t>
      </w:r>
      <w:r w:rsidRPr="00307D49">
        <w:rPr>
          <w:i/>
          <w:sz w:val="20"/>
          <w:lang w:val="fr-CA"/>
        </w:rPr>
        <w:t>a</w:t>
      </w:r>
      <w:r w:rsidRPr="00307D49">
        <w:rPr>
          <w:sz w:val="20"/>
          <w:lang w:val="fr-CA"/>
        </w:rPr>
        <w:t xml:space="preserve">). </w:t>
      </w:r>
    </w:p>
    <w:p w:rsidR="00307D49" w:rsidRPr="00307D49" w:rsidRDefault="00307D49" w:rsidP="00307D49">
      <w:pPr>
        <w:pStyle w:val="SCCNormalDoubleSpacing"/>
        <w:spacing w:line="240" w:lineRule="auto"/>
        <w:rPr>
          <w:sz w:val="20"/>
          <w:lang w:val="fr-CA"/>
        </w:rPr>
      </w:pPr>
    </w:p>
    <w:p w:rsidR="00307D49" w:rsidRPr="001E6992" w:rsidRDefault="00307D49" w:rsidP="00307D49">
      <w:pPr>
        <w:pStyle w:val="SCCNormalDoubleSpacing"/>
        <w:spacing w:line="240" w:lineRule="auto"/>
        <w:rPr>
          <w:sz w:val="20"/>
          <w:lang w:val="fr-CA"/>
        </w:rPr>
      </w:pPr>
      <w:r w:rsidRPr="001E6992">
        <w:rPr>
          <w:sz w:val="20"/>
          <w:lang w:val="fr-CA"/>
        </w:rPr>
        <w:tab/>
      </w:r>
      <w:r w:rsidRPr="00307D49">
        <w:rPr>
          <w:sz w:val="20"/>
          <w:lang w:val="fr-CA"/>
        </w:rPr>
        <w:t xml:space="preserve">POURVOI contre un arrêt de la Cour d’appel du Québec (les juges Beauregard, </w:t>
      </w:r>
      <w:proofErr w:type="spellStart"/>
      <w:r w:rsidRPr="00307D49">
        <w:rPr>
          <w:sz w:val="20"/>
          <w:lang w:val="fr-CA"/>
        </w:rPr>
        <w:t>Gendreau</w:t>
      </w:r>
      <w:proofErr w:type="spellEnd"/>
      <w:r w:rsidRPr="00307D49">
        <w:rPr>
          <w:sz w:val="20"/>
          <w:lang w:val="fr-CA"/>
        </w:rPr>
        <w:t xml:space="preserve"> et Côté) 2009 QCCA 1288, [2009] J.Q. n</w:t>
      </w:r>
      <w:r w:rsidRPr="00307D49">
        <w:rPr>
          <w:sz w:val="20"/>
          <w:vertAlign w:val="superscript"/>
          <w:lang w:val="fr-CA"/>
        </w:rPr>
        <w:t>o</w:t>
      </w:r>
      <w:r w:rsidRPr="00307D49">
        <w:rPr>
          <w:sz w:val="20"/>
          <w:lang w:val="fr-CA"/>
        </w:rPr>
        <w:t xml:space="preserve"> 6686 (QL), 2009 </w:t>
      </w:r>
      <w:proofErr w:type="spellStart"/>
      <w:r w:rsidRPr="00307D49">
        <w:rPr>
          <w:sz w:val="20"/>
          <w:lang w:val="fr-CA"/>
        </w:rPr>
        <w:t>CarswellQue</w:t>
      </w:r>
      <w:proofErr w:type="spellEnd"/>
      <w:r w:rsidRPr="00307D49">
        <w:rPr>
          <w:sz w:val="20"/>
          <w:lang w:val="fr-CA"/>
        </w:rPr>
        <w:t xml:space="preserve"> 6650, qui a rejeté la demande de révision judiciaire à l’encontre de la décision du ministre de la Justice du Canada ordonnant la remise de l’appelant. </w:t>
      </w:r>
      <w:r w:rsidRPr="001E6992">
        <w:rPr>
          <w:sz w:val="20"/>
          <w:lang w:val="fr-CA"/>
        </w:rPr>
        <w:t xml:space="preserve">Pourvoi accueilli. </w:t>
      </w:r>
    </w:p>
    <w:p w:rsidR="00307D49" w:rsidRPr="001E6992" w:rsidRDefault="00307D49" w:rsidP="00307D49">
      <w:pPr>
        <w:pStyle w:val="SCCNormalDoubleSpacing"/>
        <w:spacing w:line="240" w:lineRule="auto"/>
        <w:rPr>
          <w:sz w:val="20"/>
          <w:lang w:val="fr-CA"/>
        </w:rPr>
      </w:pPr>
    </w:p>
    <w:p w:rsidR="00307D49" w:rsidRPr="00307D49" w:rsidRDefault="00307D49" w:rsidP="00307D49">
      <w:pPr>
        <w:pStyle w:val="SCCNormalDoubleSpacing"/>
        <w:spacing w:line="240" w:lineRule="auto"/>
        <w:rPr>
          <w:sz w:val="20"/>
          <w:lang w:val="fr-CA"/>
        </w:rPr>
      </w:pPr>
      <w:r w:rsidRPr="001E6992">
        <w:rPr>
          <w:rStyle w:val="SCCCounselNameChar"/>
          <w:sz w:val="20"/>
          <w:lang w:val="fr-CA"/>
        </w:rPr>
        <w:tab/>
      </w:r>
      <w:r w:rsidRPr="00307D49">
        <w:rPr>
          <w:rStyle w:val="SCCCounselNameChar"/>
          <w:sz w:val="20"/>
          <w:lang w:val="fr-CA"/>
        </w:rPr>
        <w:t xml:space="preserve">Stéphane </w:t>
      </w:r>
      <w:proofErr w:type="spellStart"/>
      <w:r w:rsidRPr="00307D49">
        <w:rPr>
          <w:rStyle w:val="SCCCounselNameChar"/>
          <w:sz w:val="20"/>
          <w:lang w:val="fr-CA"/>
        </w:rPr>
        <w:t>Handfield</w:t>
      </w:r>
      <w:proofErr w:type="spellEnd"/>
      <w:r w:rsidRPr="00653C06">
        <w:rPr>
          <w:rStyle w:val="SCCCounselSeparatorChar"/>
          <w:sz w:val="20"/>
        </w:rPr>
        <w:t xml:space="preserve"> et </w:t>
      </w:r>
      <w:proofErr w:type="spellStart"/>
      <w:r w:rsidRPr="00307D49">
        <w:rPr>
          <w:rStyle w:val="SCCCounselNameChar"/>
          <w:sz w:val="20"/>
          <w:lang w:val="fr-CA"/>
        </w:rPr>
        <w:t>Dimitrios</w:t>
      </w:r>
      <w:proofErr w:type="spellEnd"/>
      <w:r w:rsidRPr="00307D49">
        <w:rPr>
          <w:rStyle w:val="SCCCounselNameChar"/>
          <w:sz w:val="20"/>
          <w:lang w:val="fr-CA"/>
        </w:rPr>
        <w:t xml:space="preserve"> </w:t>
      </w:r>
      <w:proofErr w:type="spellStart"/>
      <w:r w:rsidRPr="00307D49">
        <w:rPr>
          <w:rStyle w:val="SCCCounselNameChar"/>
          <w:sz w:val="20"/>
          <w:lang w:val="fr-CA"/>
        </w:rPr>
        <w:t>Strapatsas</w:t>
      </w:r>
      <w:proofErr w:type="spellEnd"/>
      <w:r w:rsidRPr="00307D49">
        <w:rPr>
          <w:rStyle w:val="SCCCounselPartyRoleChar"/>
          <w:sz w:val="20"/>
          <w:lang w:val="fr-CA"/>
        </w:rPr>
        <w:t>, pour l’appelant.</w:t>
      </w:r>
    </w:p>
    <w:p w:rsidR="00307D49" w:rsidRPr="00307D49" w:rsidRDefault="00307D49" w:rsidP="00307D49">
      <w:pPr>
        <w:pStyle w:val="SCCNormalDoubleSpacing"/>
        <w:spacing w:line="240" w:lineRule="auto"/>
        <w:rPr>
          <w:sz w:val="20"/>
          <w:lang w:val="fr-CA"/>
        </w:rPr>
      </w:pPr>
    </w:p>
    <w:p w:rsidR="00307D49" w:rsidRPr="00307D49" w:rsidRDefault="00307D49" w:rsidP="00307D49">
      <w:pPr>
        <w:pStyle w:val="SCCNormalDoubleSpacing"/>
        <w:spacing w:line="240" w:lineRule="auto"/>
        <w:rPr>
          <w:sz w:val="20"/>
          <w:lang w:val="fr-CA"/>
        </w:rPr>
      </w:pPr>
      <w:r w:rsidRPr="00307D49">
        <w:rPr>
          <w:rStyle w:val="SCCCounselNameChar"/>
          <w:sz w:val="20"/>
          <w:lang w:val="fr-CA"/>
        </w:rPr>
        <w:tab/>
        <w:t xml:space="preserve">Ginette </w:t>
      </w:r>
      <w:proofErr w:type="spellStart"/>
      <w:r w:rsidRPr="00307D49">
        <w:rPr>
          <w:rStyle w:val="SCCCounselNameChar"/>
          <w:sz w:val="20"/>
          <w:lang w:val="fr-CA"/>
        </w:rPr>
        <w:t>Gobeil</w:t>
      </w:r>
      <w:proofErr w:type="spellEnd"/>
      <w:r w:rsidRPr="00653C06">
        <w:rPr>
          <w:rStyle w:val="SCCCounselSeparatorChar"/>
          <w:sz w:val="20"/>
        </w:rPr>
        <w:t xml:space="preserve"> et </w:t>
      </w:r>
      <w:r w:rsidRPr="00307D49">
        <w:rPr>
          <w:rStyle w:val="SCCCounselNameChar"/>
          <w:sz w:val="20"/>
          <w:lang w:val="fr-CA"/>
        </w:rPr>
        <w:t xml:space="preserve">Janet </w:t>
      </w:r>
      <w:proofErr w:type="spellStart"/>
      <w:r w:rsidRPr="00307D49">
        <w:rPr>
          <w:rStyle w:val="SCCCounselNameChar"/>
          <w:sz w:val="20"/>
          <w:lang w:val="fr-CA"/>
        </w:rPr>
        <w:t>Henchey</w:t>
      </w:r>
      <w:proofErr w:type="spellEnd"/>
      <w:r w:rsidRPr="00307D49">
        <w:rPr>
          <w:rStyle w:val="SCCCounselPartyRoleChar"/>
          <w:sz w:val="20"/>
          <w:lang w:val="fr-CA"/>
        </w:rPr>
        <w:t>, pour l’intimé.</w:t>
      </w:r>
    </w:p>
    <w:p w:rsidR="00307D49" w:rsidRPr="00307D49" w:rsidRDefault="00307D49" w:rsidP="00307D49">
      <w:pPr>
        <w:pStyle w:val="SCCNormalDoubleSpacing"/>
        <w:spacing w:line="240" w:lineRule="auto"/>
        <w:rPr>
          <w:sz w:val="20"/>
          <w:lang w:val="fr-CA"/>
        </w:rPr>
      </w:pPr>
    </w:p>
    <w:p w:rsidR="00307D49" w:rsidRPr="00307D49" w:rsidRDefault="00307D49" w:rsidP="00307D49">
      <w:pPr>
        <w:pStyle w:val="SCCNormalDoubleSpacing"/>
        <w:spacing w:line="240" w:lineRule="auto"/>
        <w:rPr>
          <w:sz w:val="20"/>
          <w:lang w:val="fr-CA"/>
        </w:rPr>
      </w:pPr>
      <w:r w:rsidRPr="00307D49">
        <w:rPr>
          <w:rStyle w:val="SCCCounselNameChar"/>
          <w:sz w:val="20"/>
          <w:lang w:val="fr-CA"/>
        </w:rPr>
        <w:tab/>
        <w:t>Johanne Doyon</w:t>
      </w:r>
      <w:r w:rsidRPr="00653C06">
        <w:rPr>
          <w:rStyle w:val="SCCCounselSeparatorChar"/>
          <w:sz w:val="20"/>
        </w:rPr>
        <w:t xml:space="preserve">, </w:t>
      </w:r>
      <w:proofErr w:type="spellStart"/>
      <w:r w:rsidRPr="00307D49">
        <w:rPr>
          <w:rStyle w:val="SCCCounselNameChar"/>
          <w:sz w:val="20"/>
          <w:lang w:val="fr-CA"/>
        </w:rPr>
        <w:t>Elaine</w:t>
      </w:r>
      <w:proofErr w:type="spellEnd"/>
      <w:r w:rsidRPr="00307D49">
        <w:rPr>
          <w:rStyle w:val="SCCCounselNameChar"/>
          <w:sz w:val="20"/>
          <w:lang w:val="fr-CA"/>
        </w:rPr>
        <w:t xml:space="preserve"> Doyon et Dan </w:t>
      </w:r>
      <w:proofErr w:type="spellStart"/>
      <w:r w:rsidRPr="00307D49">
        <w:rPr>
          <w:rStyle w:val="SCCCounselNameChar"/>
          <w:sz w:val="20"/>
          <w:lang w:val="fr-CA"/>
        </w:rPr>
        <w:t>Bohbot</w:t>
      </w:r>
      <w:proofErr w:type="spellEnd"/>
      <w:r w:rsidRPr="00307D49">
        <w:rPr>
          <w:rStyle w:val="SCCCounselPartyRoleChar"/>
          <w:sz w:val="20"/>
          <w:lang w:val="fr-CA"/>
        </w:rPr>
        <w:t>, pour l’intervenante l’Association québécoise des a</w:t>
      </w:r>
      <w:r w:rsidR="00E9141D">
        <w:rPr>
          <w:rStyle w:val="SCCCounselPartyRoleChar"/>
          <w:sz w:val="20"/>
          <w:lang w:val="fr-CA"/>
        </w:rPr>
        <w:t>vocats et avocates en droit de l’</w:t>
      </w:r>
      <w:r w:rsidRPr="00307D49">
        <w:rPr>
          <w:rStyle w:val="SCCCounselPartyRoleChar"/>
          <w:sz w:val="20"/>
          <w:lang w:val="fr-CA"/>
        </w:rPr>
        <w:t>immigration.</w:t>
      </w:r>
    </w:p>
    <w:p w:rsidR="00307D49" w:rsidRPr="00307D49" w:rsidRDefault="00307D49" w:rsidP="00307D49">
      <w:pPr>
        <w:pStyle w:val="SCCNormalDoubleSpacing"/>
        <w:spacing w:line="240" w:lineRule="auto"/>
        <w:rPr>
          <w:sz w:val="20"/>
          <w:lang w:val="fr-CA"/>
        </w:rPr>
      </w:pPr>
    </w:p>
    <w:p w:rsidR="00307D49" w:rsidRPr="00307D49" w:rsidRDefault="00307D49" w:rsidP="00307D49">
      <w:pPr>
        <w:pStyle w:val="SCCNormalDoubleSpacing"/>
        <w:spacing w:line="240" w:lineRule="auto"/>
        <w:rPr>
          <w:sz w:val="20"/>
          <w:lang w:val="fr-CA"/>
        </w:rPr>
      </w:pPr>
      <w:r w:rsidRPr="00307D49">
        <w:rPr>
          <w:rStyle w:val="SCCCounselNameChar"/>
          <w:sz w:val="20"/>
          <w:lang w:val="fr-CA"/>
        </w:rPr>
        <w:tab/>
        <w:t xml:space="preserve">Lorne </w:t>
      </w:r>
      <w:proofErr w:type="spellStart"/>
      <w:r w:rsidRPr="00307D49">
        <w:rPr>
          <w:rStyle w:val="SCCCounselNameChar"/>
          <w:sz w:val="20"/>
          <w:lang w:val="fr-CA"/>
        </w:rPr>
        <w:t>Waldman</w:t>
      </w:r>
      <w:proofErr w:type="spellEnd"/>
      <w:r w:rsidRPr="00653C06">
        <w:rPr>
          <w:rStyle w:val="SCCCounselSeparatorChar"/>
          <w:sz w:val="20"/>
        </w:rPr>
        <w:t xml:space="preserve"> et </w:t>
      </w:r>
      <w:r w:rsidRPr="00307D49">
        <w:rPr>
          <w:rStyle w:val="SCCCounselNameChar"/>
          <w:sz w:val="20"/>
          <w:lang w:val="fr-CA"/>
        </w:rPr>
        <w:t xml:space="preserve">Jacqueline </w:t>
      </w:r>
      <w:proofErr w:type="spellStart"/>
      <w:r w:rsidRPr="00307D49">
        <w:rPr>
          <w:rStyle w:val="SCCCounselNameChar"/>
          <w:sz w:val="20"/>
          <w:lang w:val="fr-CA"/>
        </w:rPr>
        <w:t>Swaisland</w:t>
      </w:r>
      <w:proofErr w:type="spellEnd"/>
      <w:r w:rsidRPr="00307D49">
        <w:rPr>
          <w:rStyle w:val="SCCCounselPartyRoleChar"/>
          <w:sz w:val="20"/>
          <w:lang w:val="fr-CA"/>
        </w:rPr>
        <w:t>, pour l’intervenante Amnesty International (Canada Section).</w:t>
      </w:r>
    </w:p>
    <w:p w:rsidR="00307D49" w:rsidRPr="00307D49" w:rsidRDefault="00307D49" w:rsidP="00307D49">
      <w:pPr>
        <w:pStyle w:val="SCCNormalDoubleSpacing"/>
        <w:spacing w:line="240" w:lineRule="auto"/>
        <w:rPr>
          <w:sz w:val="20"/>
          <w:lang w:val="fr-CA"/>
        </w:rPr>
      </w:pPr>
    </w:p>
    <w:p w:rsidR="00307D49" w:rsidRPr="00307D49" w:rsidRDefault="00307D49" w:rsidP="00307D49">
      <w:pPr>
        <w:pStyle w:val="SCCNormalDoubleSpacing"/>
        <w:spacing w:line="240" w:lineRule="auto"/>
        <w:rPr>
          <w:sz w:val="20"/>
          <w:lang w:val="fr-CA"/>
        </w:rPr>
      </w:pPr>
      <w:r w:rsidRPr="00307D49">
        <w:rPr>
          <w:rStyle w:val="SCCCounselNameChar"/>
          <w:sz w:val="20"/>
          <w:lang w:val="fr-CA"/>
        </w:rPr>
        <w:lastRenderedPageBreak/>
        <w:tab/>
      </w:r>
      <w:proofErr w:type="spellStart"/>
      <w:r w:rsidRPr="00307D49">
        <w:rPr>
          <w:rStyle w:val="SCCCounselNameChar"/>
          <w:sz w:val="20"/>
          <w:lang w:val="fr-CA"/>
        </w:rPr>
        <w:t>Sukanya</w:t>
      </w:r>
      <w:proofErr w:type="spellEnd"/>
      <w:r w:rsidRPr="00307D49">
        <w:rPr>
          <w:rStyle w:val="SCCCounselNameChar"/>
          <w:sz w:val="20"/>
          <w:lang w:val="fr-CA"/>
        </w:rPr>
        <w:t xml:space="preserve"> </w:t>
      </w:r>
      <w:proofErr w:type="spellStart"/>
      <w:r w:rsidRPr="00307D49">
        <w:rPr>
          <w:rStyle w:val="SCCCounselNameChar"/>
          <w:sz w:val="20"/>
          <w:lang w:val="fr-CA"/>
        </w:rPr>
        <w:t>Pillay</w:t>
      </w:r>
      <w:proofErr w:type="spellEnd"/>
      <w:r w:rsidRPr="00307D49">
        <w:rPr>
          <w:rStyle w:val="SCCCounselPartyRoleChar"/>
          <w:sz w:val="20"/>
          <w:lang w:val="fr-CA"/>
        </w:rPr>
        <w:t>, pour l’intervenante l’Association canadienne des libertés civiles.</w:t>
      </w:r>
    </w:p>
    <w:p w:rsidR="00307D49" w:rsidRPr="00307D49" w:rsidRDefault="00307D49" w:rsidP="00307D49">
      <w:pPr>
        <w:pStyle w:val="SCCNormalDoubleSpacing"/>
        <w:spacing w:line="240" w:lineRule="auto"/>
        <w:rPr>
          <w:sz w:val="20"/>
          <w:lang w:val="fr-CA"/>
        </w:rPr>
      </w:pPr>
    </w:p>
    <w:p w:rsidR="00307D49" w:rsidRPr="00307D49" w:rsidRDefault="00307D49" w:rsidP="00307D49">
      <w:pPr>
        <w:pStyle w:val="SCCLawFirm"/>
        <w:spacing w:line="240" w:lineRule="auto"/>
        <w:rPr>
          <w:sz w:val="20"/>
          <w:lang w:val="fr-CA"/>
        </w:rPr>
      </w:pPr>
      <w:r w:rsidRPr="00307D49">
        <w:rPr>
          <w:sz w:val="20"/>
          <w:lang w:val="fr-CA"/>
        </w:rPr>
        <w:tab/>
        <w:t>Procureur de l’appelant : Lapointe &amp; Associés, Montréal.</w:t>
      </w:r>
    </w:p>
    <w:p w:rsidR="00307D49" w:rsidRPr="00307D49" w:rsidRDefault="00307D49" w:rsidP="00307D49">
      <w:pPr>
        <w:pStyle w:val="SCCLawFirm"/>
        <w:spacing w:line="240" w:lineRule="auto"/>
        <w:rPr>
          <w:sz w:val="20"/>
          <w:lang w:val="fr-CA"/>
        </w:rPr>
      </w:pPr>
    </w:p>
    <w:p w:rsidR="00307D49" w:rsidRPr="00307D49" w:rsidRDefault="00307D49" w:rsidP="00307D49">
      <w:pPr>
        <w:pStyle w:val="SCCLawFirm"/>
        <w:spacing w:line="240" w:lineRule="auto"/>
        <w:rPr>
          <w:sz w:val="20"/>
          <w:lang w:val="fr-CA"/>
        </w:rPr>
      </w:pPr>
      <w:r w:rsidRPr="00307D49">
        <w:rPr>
          <w:sz w:val="20"/>
          <w:lang w:val="fr-CA"/>
        </w:rPr>
        <w:tab/>
        <w:t>Procureur de l’intimé : Procureur général du Canada, Montréal.</w:t>
      </w:r>
    </w:p>
    <w:p w:rsidR="00307D49" w:rsidRPr="00307D49" w:rsidRDefault="00307D49" w:rsidP="00307D49">
      <w:pPr>
        <w:pStyle w:val="SCCLawFirm"/>
        <w:spacing w:line="240" w:lineRule="auto"/>
        <w:rPr>
          <w:sz w:val="20"/>
          <w:lang w:val="fr-CA"/>
        </w:rPr>
      </w:pPr>
    </w:p>
    <w:p w:rsidR="00307D49" w:rsidRPr="00307D49" w:rsidRDefault="00307D49" w:rsidP="00307D49">
      <w:pPr>
        <w:pStyle w:val="SCCLawFirm"/>
        <w:spacing w:line="240" w:lineRule="auto"/>
        <w:rPr>
          <w:sz w:val="20"/>
          <w:lang w:val="fr-CA"/>
        </w:rPr>
      </w:pPr>
      <w:r w:rsidRPr="00307D49">
        <w:rPr>
          <w:sz w:val="20"/>
          <w:lang w:val="fr-CA"/>
        </w:rPr>
        <w:tab/>
        <w:t>Procureurs de l’intervenante l’Association québécoise des avocats et avocates en droit de l’immigration : Doyon et Associés, Montréal.</w:t>
      </w:r>
    </w:p>
    <w:p w:rsidR="00307D49" w:rsidRPr="00307D49" w:rsidRDefault="00307D49" w:rsidP="00307D49">
      <w:pPr>
        <w:pStyle w:val="SCCLawFirm"/>
        <w:spacing w:line="240" w:lineRule="auto"/>
        <w:rPr>
          <w:sz w:val="20"/>
          <w:lang w:val="fr-CA"/>
        </w:rPr>
      </w:pPr>
    </w:p>
    <w:p w:rsidR="00307D49" w:rsidRPr="00307D49" w:rsidRDefault="00307D49" w:rsidP="00307D49">
      <w:pPr>
        <w:pStyle w:val="SCCLawFirm"/>
        <w:spacing w:line="240" w:lineRule="auto"/>
        <w:rPr>
          <w:sz w:val="20"/>
          <w:lang w:val="fr-CA"/>
        </w:rPr>
      </w:pPr>
      <w:r w:rsidRPr="00307D49">
        <w:rPr>
          <w:sz w:val="20"/>
          <w:lang w:val="fr-CA"/>
        </w:rPr>
        <w:tab/>
        <w:t>Procureurs de l’intervenante Amnesty International (Canada Section) : </w:t>
      </w:r>
      <w:proofErr w:type="spellStart"/>
      <w:r w:rsidRPr="00307D49">
        <w:rPr>
          <w:sz w:val="20"/>
          <w:lang w:val="fr-CA"/>
        </w:rPr>
        <w:t>Waldman</w:t>
      </w:r>
      <w:proofErr w:type="spellEnd"/>
      <w:r w:rsidRPr="00307D49">
        <w:rPr>
          <w:sz w:val="20"/>
          <w:lang w:val="fr-CA"/>
        </w:rPr>
        <w:t xml:space="preserve"> &amp; Associates, Toronto.</w:t>
      </w:r>
    </w:p>
    <w:p w:rsidR="00307D49" w:rsidRPr="00307D49" w:rsidRDefault="00307D49" w:rsidP="00307D49">
      <w:pPr>
        <w:pStyle w:val="SCCLawFirm"/>
        <w:spacing w:line="240" w:lineRule="auto"/>
        <w:rPr>
          <w:sz w:val="20"/>
          <w:lang w:val="fr-CA"/>
        </w:rPr>
      </w:pPr>
    </w:p>
    <w:p w:rsidR="00307D49" w:rsidRPr="00155975" w:rsidRDefault="00307D49" w:rsidP="00307D49">
      <w:pPr>
        <w:jc w:val="both"/>
        <w:rPr>
          <w:rFonts w:cs="Times New Roman"/>
          <w:sz w:val="20"/>
          <w:szCs w:val="20"/>
          <w:lang w:val="fr-CA"/>
        </w:rPr>
      </w:pPr>
      <w:r w:rsidRPr="00307D49">
        <w:rPr>
          <w:rFonts w:cs="Times New Roman"/>
          <w:sz w:val="20"/>
          <w:szCs w:val="20"/>
          <w:lang w:val="fr-CA"/>
        </w:rPr>
        <w:tab/>
      </w:r>
      <w:r w:rsidRPr="00307D49">
        <w:rPr>
          <w:rFonts w:cs="Times New Roman"/>
          <w:i/>
          <w:sz w:val="20"/>
          <w:szCs w:val="20"/>
          <w:lang w:val="fr-CA"/>
        </w:rPr>
        <w:t>Procureur de l’intervenante l’Association canadienne des libertés civiles : Association canadienne des libertés civiles, Toronto.</w:t>
      </w:r>
    </w:p>
    <w:p w:rsidR="000E0012" w:rsidRDefault="000E0012" w:rsidP="00307D49">
      <w:pPr>
        <w:jc w:val="both"/>
        <w:rPr>
          <w:sz w:val="20"/>
          <w:szCs w:val="20"/>
        </w:rPr>
      </w:pPr>
      <w:r w:rsidRPr="00492DCE">
        <w:rPr>
          <w:sz w:val="20"/>
          <w:szCs w:val="20"/>
        </w:rPr>
        <w:t>________________________</w:t>
      </w:r>
    </w:p>
    <w:p w:rsidR="000E0012" w:rsidRPr="001E6992" w:rsidRDefault="000E0012" w:rsidP="000E0012">
      <w:pPr>
        <w:rPr>
          <w:sz w:val="20"/>
          <w:szCs w:val="20"/>
        </w:rPr>
      </w:pPr>
    </w:p>
    <w:p w:rsidR="00307D49" w:rsidRPr="00AA4A7D" w:rsidRDefault="00307D49" w:rsidP="00307D49">
      <w:pPr>
        <w:jc w:val="both"/>
        <w:rPr>
          <w:rFonts w:cs="Times New Roman"/>
          <w:sz w:val="20"/>
          <w:szCs w:val="20"/>
        </w:rPr>
      </w:pPr>
      <w:r w:rsidRPr="00AA4A7D">
        <w:rPr>
          <w:rFonts w:cs="Times New Roman"/>
          <w:sz w:val="20"/>
          <w:szCs w:val="20"/>
        </w:rPr>
        <w:t>Present:  </w:t>
      </w:r>
      <w:proofErr w:type="spellStart"/>
      <w:r w:rsidRPr="00AA4A7D">
        <w:rPr>
          <w:rFonts w:cs="Times New Roman"/>
          <w:sz w:val="20"/>
          <w:szCs w:val="20"/>
        </w:rPr>
        <w:t>McLachlin</w:t>
      </w:r>
      <w:proofErr w:type="spellEnd"/>
      <w:r w:rsidRPr="00AA4A7D">
        <w:rPr>
          <w:rFonts w:cs="Times New Roman"/>
          <w:sz w:val="20"/>
          <w:szCs w:val="20"/>
        </w:rPr>
        <w:t xml:space="preserve"> C.J. and </w:t>
      </w:r>
      <w:proofErr w:type="spellStart"/>
      <w:r w:rsidRPr="00AA4A7D">
        <w:rPr>
          <w:rFonts w:cs="Times New Roman"/>
          <w:sz w:val="20"/>
          <w:szCs w:val="20"/>
        </w:rPr>
        <w:t>Binnie</w:t>
      </w:r>
      <w:proofErr w:type="spellEnd"/>
      <w:r w:rsidRPr="00AA4A7D">
        <w:rPr>
          <w:rFonts w:cs="Times New Roman"/>
          <w:sz w:val="20"/>
          <w:szCs w:val="20"/>
        </w:rPr>
        <w:t xml:space="preserve">, </w:t>
      </w:r>
      <w:proofErr w:type="spellStart"/>
      <w:r w:rsidRPr="00AA4A7D">
        <w:rPr>
          <w:rFonts w:cs="Times New Roman"/>
          <w:sz w:val="20"/>
          <w:szCs w:val="20"/>
        </w:rPr>
        <w:t>LeBel</w:t>
      </w:r>
      <w:proofErr w:type="spellEnd"/>
      <w:r w:rsidRPr="00AA4A7D">
        <w:rPr>
          <w:rFonts w:cs="Times New Roman"/>
          <w:sz w:val="20"/>
          <w:szCs w:val="20"/>
        </w:rPr>
        <w:t xml:space="preserve">, </w:t>
      </w:r>
      <w:proofErr w:type="spellStart"/>
      <w:r w:rsidRPr="00AA4A7D">
        <w:rPr>
          <w:rFonts w:cs="Times New Roman"/>
          <w:sz w:val="20"/>
          <w:szCs w:val="20"/>
        </w:rPr>
        <w:t>Deschamps</w:t>
      </w:r>
      <w:proofErr w:type="spellEnd"/>
      <w:r w:rsidRPr="00AA4A7D">
        <w:rPr>
          <w:rFonts w:cs="Times New Roman"/>
          <w:sz w:val="20"/>
          <w:szCs w:val="20"/>
        </w:rPr>
        <w:t xml:space="preserve">, Fish, </w:t>
      </w:r>
      <w:proofErr w:type="spellStart"/>
      <w:r w:rsidRPr="00AA4A7D">
        <w:rPr>
          <w:rFonts w:cs="Times New Roman"/>
          <w:sz w:val="20"/>
          <w:szCs w:val="20"/>
        </w:rPr>
        <w:t>Abella</w:t>
      </w:r>
      <w:proofErr w:type="spellEnd"/>
      <w:r w:rsidRPr="00AA4A7D">
        <w:rPr>
          <w:rFonts w:cs="Times New Roman"/>
          <w:sz w:val="20"/>
          <w:szCs w:val="20"/>
        </w:rPr>
        <w:t xml:space="preserve">, </w:t>
      </w:r>
      <w:proofErr w:type="spellStart"/>
      <w:r w:rsidRPr="00AA4A7D">
        <w:rPr>
          <w:rFonts w:cs="Times New Roman"/>
          <w:sz w:val="20"/>
          <w:szCs w:val="20"/>
        </w:rPr>
        <w:t>Charron</w:t>
      </w:r>
      <w:proofErr w:type="spellEnd"/>
      <w:r w:rsidRPr="00AA4A7D">
        <w:rPr>
          <w:rFonts w:cs="Times New Roman"/>
          <w:sz w:val="20"/>
          <w:szCs w:val="20"/>
        </w:rPr>
        <w:t>, Rothstein and Cromwell JJ.</w:t>
      </w:r>
    </w:p>
    <w:p w:rsidR="00307D49" w:rsidRPr="00307D49" w:rsidRDefault="00307D49" w:rsidP="000E0012">
      <w:pPr>
        <w:rPr>
          <w:sz w:val="20"/>
          <w:szCs w:val="20"/>
        </w:rPr>
      </w:pPr>
    </w:p>
    <w:p w:rsidR="00307D49" w:rsidRPr="00AA4A7D" w:rsidRDefault="00307D49" w:rsidP="00307D49">
      <w:pPr>
        <w:jc w:val="both"/>
        <w:rPr>
          <w:rFonts w:cs="Times New Roman"/>
          <w:i/>
          <w:sz w:val="20"/>
          <w:szCs w:val="20"/>
        </w:rPr>
      </w:pPr>
      <w:r w:rsidRPr="00AA4A7D">
        <w:rPr>
          <w:rFonts w:cs="Times New Roman"/>
          <w:i/>
          <w:sz w:val="20"/>
          <w:szCs w:val="20"/>
        </w:rPr>
        <w:tab/>
        <w:t xml:space="preserve">Extradition </w:t>
      </w:r>
      <w:r w:rsidRPr="00AA4A7D">
        <w:rPr>
          <w:rFonts w:cs="Times New Roman"/>
          <w:i/>
          <w:iCs/>
          <w:sz w:val="20"/>
          <w:szCs w:val="20"/>
        </w:rPr>
        <w:t>—</w:t>
      </w:r>
      <w:r w:rsidRPr="00AA4A7D">
        <w:rPr>
          <w:rFonts w:cs="Times New Roman"/>
          <w:i/>
          <w:sz w:val="20"/>
          <w:szCs w:val="20"/>
        </w:rPr>
        <w:t xml:space="preserve"> Surrender </w:t>
      </w:r>
      <w:r w:rsidRPr="00AA4A7D">
        <w:rPr>
          <w:rFonts w:cs="Times New Roman"/>
          <w:i/>
          <w:iCs/>
          <w:sz w:val="20"/>
          <w:szCs w:val="20"/>
        </w:rPr>
        <w:t>—</w:t>
      </w:r>
      <w:r w:rsidRPr="00AA4A7D">
        <w:rPr>
          <w:rFonts w:cs="Times New Roman"/>
          <w:i/>
          <w:sz w:val="20"/>
          <w:szCs w:val="20"/>
        </w:rPr>
        <w:t xml:space="preserve"> Convention refugees </w:t>
      </w:r>
      <w:r w:rsidRPr="00AA4A7D">
        <w:rPr>
          <w:rFonts w:cs="Times New Roman"/>
          <w:i/>
          <w:iCs/>
          <w:sz w:val="20"/>
          <w:szCs w:val="20"/>
        </w:rPr>
        <w:t>—</w:t>
      </w:r>
      <w:r w:rsidRPr="00AA4A7D">
        <w:rPr>
          <w:rFonts w:cs="Times New Roman"/>
          <w:i/>
          <w:sz w:val="20"/>
          <w:szCs w:val="20"/>
        </w:rPr>
        <w:t xml:space="preserve"> Principle of “non-</w:t>
      </w:r>
      <w:proofErr w:type="spellStart"/>
      <w:r w:rsidRPr="00AA4A7D">
        <w:rPr>
          <w:rFonts w:cs="Times New Roman"/>
          <w:i/>
          <w:sz w:val="20"/>
          <w:szCs w:val="20"/>
        </w:rPr>
        <w:t>refoulement</w:t>
      </w:r>
      <w:proofErr w:type="spellEnd"/>
      <w:r w:rsidRPr="00AA4A7D">
        <w:rPr>
          <w:rFonts w:cs="Times New Roman"/>
          <w:i/>
          <w:sz w:val="20"/>
          <w:szCs w:val="20"/>
        </w:rPr>
        <w:t xml:space="preserve">” </w:t>
      </w:r>
      <w:r w:rsidRPr="00AA4A7D">
        <w:rPr>
          <w:rFonts w:cs="Times New Roman"/>
          <w:i/>
          <w:iCs/>
          <w:sz w:val="20"/>
          <w:szCs w:val="20"/>
        </w:rPr>
        <w:t>—</w:t>
      </w:r>
      <w:r w:rsidRPr="00AA4A7D">
        <w:rPr>
          <w:rFonts w:cs="Times New Roman"/>
          <w:i/>
          <w:sz w:val="20"/>
          <w:szCs w:val="20"/>
        </w:rPr>
        <w:t xml:space="preserve"> Minister of Justice ordered extradition of Convention refugee to Romania </w:t>
      </w:r>
      <w:r w:rsidRPr="00AA4A7D">
        <w:rPr>
          <w:rFonts w:cs="Times New Roman"/>
          <w:i/>
          <w:iCs/>
          <w:sz w:val="20"/>
          <w:szCs w:val="20"/>
        </w:rPr>
        <w:t>—</w:t>
      </w:r>
      <w:r w:rsidRPr="00AA4A7D">
        <w:rPr>
          <w:rFonts w:cs="Times New Roman"/>
          <w:i/>
          <w:sz w:val="20"/>
          <w:szCs w:val="20"/>
        </w:rPr>
        <w:t xml:space="preserve"> Whether Minister of Justice had legal authority to surrender for extradition refugee whose refugee status had not ceased or been revoked </w:t>
      </w:r>
      <w:r w:rsidRPr="00AA4A7D">
        <w:rPr>
          <w:rFonts w:cs="Times New Roman"/>
          <w:i/>
          <w:iCs/>
          <w:sz w:val="20"/>
          <w:szCs w:val="20"/>
        </w:rPr>
        <w:t>—</w:t>
      </w:r>
      <w:r w:rsidRPr="00AA4A7D">
        <w:rPr>
          <w:rFonts w:cs="Times New Roman"/>
          <w:i/>
          <w:sz w:val="20"/>
          <w:szCs w:val="20"/>
        </w:rPr>
        <w:t xml:space="preserve"> If so, whether Minister reasonably exercised his authority to surrender </w:t>
      </w:r>
      <w:r w:rsidRPr="00AA4A7D">
        <w:rPr>
          <w:rFonts w:cs="Times New Roman"/>
          <w:i/>
          <w:iCs/>
          <w:sz w:val="20"/>
          <w:szCs w:val="20"/>
        </w:rPr>
        <w:t>—</w:t>
      </w:r>
      <w:r w:rsidRPr="00AA4A7D">
        <w:rPr>
          <w:rFonts w:cs="Times New Roman"/>
          <w:i/>
          <w:sz w:val="20"/>
          <w:szCs w:val="20"/>
        </w:rPr>
        <w:t xml:space="preserve"> Extradition Act, S.C. 1999, c. 18, s. 44 </w:t>
      </w:r>
      <w:r w:rsidRPr="00AA4A7D">
        <w:rPr>
          <w:rFonts w:cs="Times New Roman"/>
          <w:i/>
          <w:iCs/>
          <w:sz w:val="20"/>
          <w:szCs w:val="20"/>
        </w:rPr>
        <w:t>—</w:t>
      </w:r>
      <w:r w:rsidRPr="00AA4A7D">
        <w:rPr>
          <w:rFonts w:cs="Times New Roman"/>
          <w:i/>
          <w:sz w:val="20"/>
          <w:szCs w:val="20"/>
        </w:rPr>
        <w:t xml:space="preserve"> Immigration and Refugee Protection Act, S.C. 2001, c. 27, s. 115.</w:t>
      </w:r>
    </w:p>
    <w:p w:rsidR="00307D49" w:rsidRPr="00AA4A7D" w:rsidRDefault="00307D49" w:rsidP="00307D49">
      <w:pPr>
        <w:jc w:val="both"/>
        <w:rPr>
          <w:rFonts w:cs="Times New Roman"/>
          <w:i/>
          <w:sz w:val="20"/>
          <w:szCs w:val="20"/>
        </w:rPr>
      </w:pPr>
    </w:p>
    <w:p w:rsidR="00307D49" w:rsidRPr="00AA4A7D" w:rsidRDefault="00307D49" w:rsidP="00307D49">
      <w:pPr>
        <w:jc w:val="both"/>
        <w:rPr>
          <w:rFonts w:cs="Times New Roman"/>
          <w:i/>
          <w:sz w:val="20"/>
          <w:szCs w:val="20"/>
        </w:rPr>
      </w:pPr>
      <w:r w:rsidRPr="00AA4A7D">
        <w:rPr>
          <w:rFonts w:cs="Times New Roman"/>
          <w:i/>
          <w:sz w:val="20"/>
          <w:szCs w:val="20"/>
        </w:rPr>
        <w:tab/>
        <w:t xml:space="preserve">Extradition </w:t>
      </w:r>
      <w:r w:rsidRPr="00AA4A7D">
        <w:rPr>
          <w:rFonts w:cs="Times New Roman"/>
          <w:i/>
          <w:iCs/>
          <w:sz w:val="20"/>
          <w:szCs w:val="20"/>
        </w:rPr>
        <w:t>—</w:t>
      </w:r>
      <w:r w:rsidRPr="00AA4A7D">
        <w:rPr>
          <w:rFonts w:cs="Times New Roman"/>
          <w:i/>
          <w:sz w:val="20"/>
          <w:szCs w:val="20"/>
        </w:rPr>
        <w:t xml:space="preserve"> Surrender </w:t>
      </w:r>
      <w:r w:rsidRPr="00AA4A7D">
        <w:rPr>
          <w:rFonts w:cs="Times New Roman"/>
          <w:i/>
          <w:iCs/>
          <w:sz w:val="20"/>
          <w:szCs w:val="20"/>
        </w:rPr>
        <w:t>—</w:t>
      </w:r>
      <w:r w:rsidRPr="00AA4A7D">
        <w:rPr>
          <w:rFonts w:cs="Times New Roman"/>
          <w:i/>
          <w:sz w:val="20"/>
          <w:szCs w:val="20"/>
        </w:rPr>
        <w:t xml:space="preserve"> Evidence </w:t>
      </w:r>
      <w:r w:rsidRPr="00AA4A7D">
        <w:rPr>
          <w:rFonts w:cs="Times New Roman"/>
          <w:i/>
          <w:iCs/>
          <w:sz w:val="20"/>
          <w:szCs w:val="20"/>
        </w:rPr>
        <w:t>—</w:t>
      </w:r>
      <w:r w:rsidRPr="00AA4A7D">
        <w:rPr>
          <w:rFonts w:cs="Times New Roman"/>
          <w:i/>
          <w:sz w:val="20"/>
          <w:szCs w:val="20"/>
        </w:rPr>
        <w:t xml:space="preserve"> Burden of proof </w:t>
      </w:r>
      <w:r w:rsidRPr="00AA4A7D">
        <w:rPr>
          <w:rFonts w:cs="Times New Roman"/>
          <w:i/>
          <w:iCs/>
          <w:sz w:val="20"/>
          <w:szCs w:val="20"/>
        </w:rPr>
        <w:t>—</w:t>
      </w:r>
      <w:r w:rsidRPr="00AA4A7D">
        <w:rPr>
          <w:rFonts w:cs="Times New Roman"/>
          <w:i/>
          <w:sz w:val="20"/>
          <w:szCs w:val="20"/>
        </w:rPr>
        <w:t xml:space="preserve"> Convention refugees sought for </w:t>
      </w:r>
      <w:proofErr w:type="gramStart"/>
      <w:r w:rsidRPr="00AA4A7D">
        <w:rPr>
          <w:rFonts w:cs="Times New Roman"/>
          <w:i/>
          <w:sz w:val="20"/>
          <w:szCs w:val="20"/>
        </w:rPr>
        <w:t xml:space="preserve">extradition  </w:t>
      </w:r>
      <w:r w:rsidRPr="00AA4A7D">
        <w:rPr>
          <w:rFonts w:cs="Times New Roman"/>
          <w:i/>
          <w:iCs/>
          <w:sz w:val="20"/>
          <w:szCs w:val="20"/>
        </w:rPr>
        <w:t>—</w:t>
      </w:r>
      <w:proofErr w:type="gramEnd"/>
      <w:r w:rsidRPr="00AA4A7D">
        <w:rPr>
          <w:rFonts w:cs="Times New Roman"/>
          <w:i/>
          <w:sz w:val="20"/>
          <w:szCs w:val="20"/>
        </w:rPr>
        <w:t xml:space="preserve">  Statutory grounds justifying Minister of Justice’s refusal to make surrender order </w:t>
      </w:r>
      <w:r w:rsidRPr="00AA4A7D">
        <w:rPr>
          <w:rFonts w:cs="Times New Roman"/>
          <w:i/>
          <w:iCs/>
          <w:sz w:val="20"/>
          <w:szCs w:val="20"/>
        </w:rPr>
        <w:t>—</w:t>
      </w:r>
      <w:r w:rsidRPr="00AA4A7D">
        <w:rPr>
          <w:rFonts w:cs="Times New Roman"/>
          <w:i/>
          <w:sz w:val="20"/>
          <w:szCs w:val="20"/>
        </w:rPr>
        <w:t xml:space="preserve"> Whether s. 44(1)(b) of Extradition Act makes risk of persecution mandatory ground of refusal of surrender </w:t>
      </w:r>
      <w:r w:rsidRPr="00AA4A7D">
        <w:rPr>
          <w:rFonts w:cs="Times New Roman"/>
          <w:i/>
          <w:iCs/>
          <w:sz w:val="20"/>
          <w:szCs w:val="20"/>
        </w:rPr>
        <w:t>—</w:t>
      </w:r>
      <w:r w:rsidRPr="00AA4A7D">
        <w:rPr>
          <w:rFonts w:cs="Times New Roman"/>
          <w:i/>
          <w:sz w:val="20"/>
          <w:szCs w:val="20"/>
        </w:rPr>
        <w:t xml:space="preserve">  Whether Minister of Justice erred by imposing on refugees the burden of showing that they would suffer persecution if extradited </w:t>
      </w:r>
      <w:r w:rsidRPr="00AA4A7D">
        <w:rPr>
          <w:rFonts w:cs="Times New Roman"/>
          <w:i/>
          <w:iCs/>
          <w:sz w:val="20"/>
          <w:szCs w:val="20"/>
        </w:rPr>
        <w:t>—</w:t>
      </w:r>
      <w:r w:rsidRPr="00AA4A7D">
        <w:rPr>
          <w:rFonts w:cs="Times New Roman"/>
          <w:i/>
          <w:sz w:val="20"/>
          <w:szCs w:val="20"/>
        </w:rPr>
        <w:t xml:space="preserve"> Extradition Act, S.C. 1999, c. 18, s. 44(1)(b). </w:t>
      </w:r>
    </w:p>
    <w:p w:rsidR="00307D49" w:rsidRPr="00AA4A7D" w:rsidRDefault="00307D49" w:rsidP="00307D49">
      <w:pPr>
        <w:jc w:val="both"/>
        <w:rPr>
          <w:rFonts w:cs="Times New Roman"/>
          <w:i/>
          <w:sz w:val="20"/>
          <w:szCs w:val="20"/>
        </w:rPr>
      </w:pPr>
    </w:p>
    <w:p w:rsidR="00307D49" w:rsidRPr="00AA4A7D" w:rsidRDefault="00307D49" w:rsidP="00307D49">
      <w:pPr>
        <w:ind w:firstLine="720"/>
        <w:jc w:val="both"/>
        <w:rPr>
          <w:rFonts w:cs="Times New Roman"/>
          <w:sz w:val="20"/>
          <w:szCs w:val="20"/>
        </w:rPr>
      </w:pPr>
      <w:r w:rsidRPr="00AA4A7D">
        <w:rPr>
          <w:rFonts w:cs="Times New Roman"/>
          <w:sz w:val="20"/>
          <w:szCs w:val="20"/>
        </w:rPr>
        <w:t>G came to Canada in 2004 and successfully made a claim for refugee protection, alleging that he had been persecuted in Romania because of his ethnic origin and activities in a Roma advocacy association.  The Romanian authorities later requested that G be extradited to serve a prison sentence on a conviction for forging visas.  G had allegedly been convicted in Romania for participating in the forging of visas for two people in exchange for US$1,800.  In 2008, the Minister of Justice ordered that G be extradited to his country of origin to serve his prison sentence.  The Court of Appeal dismissed the application for judicial review.</w:t>
      </w:r>
    </w:p>
    <w:p w:rsidR="00307D49" w:rsidRPr="00AA4A7D" w:rsidRDefault="00307D49" w:rsidP="00307D49">
      <w:pPr>
        <w:jc w:val="both"/>
        <w:rPr>
          <w:rFonts w:cs="Times New Roman"/>
          <w:sz w:val="20"/>
          <w:szCs w:val="20"/>
        </w:rPr>
      </w:pPr>
    </w:p>
    <w:p w:rsidR="00307D49" w:rsidRPr="00AA4A7D" w:rsidRDefault="00307D49" w:rsidP="00307D49">
      <w:pPr>
        <w:jc w:val="both"/>
        <w:rPr>
          <w:rFonts w:cs="Times New Roman"/>
          <w:sz w:val="20"/>
          <w:szCs w:val="20"/>
        </w:rPr>
      </w:pPr>
      <w:r w:rsidRPr="00AA4A7D">
        <w:rPr>
          <w:rFonts w:cs="Times New Roman"/>
          <w:sz w:val="20"/>
          <w:szCs w:val="20"/>
        </w:rPr>
        <w:tab/>
      </w:r>
      <w:r w:rsidRPr="00AA4A7D">
        <w:rPr>
          <w:rFonts w:cs="Times New Roman"/>
          <w:i/>
          <w:sz w:val="20"/>
          <w:szCs w:val="20"/>
        </w:rPr>
        <w:t>Held</w:t>
      </w:r>
      <w:r w:rsidRPr="00AA4A7D">
        <w:rPr>
          <w:rFonts w:cs="Times New Roman"/>
          <w:sz w:val="20"/>
          <w:szCs w:val="20"/>
        </w:rPr>
        <w:t xml:space="preserve">:  The appeal should be allowed and the matter remitted to the Minister of Justice for reconsideration. </w:t>
      </w:r>
    </w:p>
    <w:p w:rsidR="00307D49" w:rsidRPr="00AA4A7D" w:rsidRDefault="00307D49" w:rsidP="00307D49">
      <w:pPr>
        <w:jc w:val="both"/>
        <w:rPr>
          <w:rFonts w:cs="Times New Roman"/>
          <w:sz w:val="20"/>
          <w:szCs w:val="20"/>
        </w:rPr>
      </w:pPr>
    </w:p>
    <w:p w:rsidR="00307D49" w:rsidRPr="00AA4A7D" w:rsidRDefault="00307D49" w:rsidP="00307D49">
      <w:pPr>
        <w:ind w:firstLine="720"/>
        <w:jc w:val="both"/>
        <w:rPr>
          <w:rFonts w:cs="Times New Roman"/>
          <w:sz w:val="20"/>
          <w:szCs w:val="20"/>
        </w:rPr>
      </w:pPr>
      <w:r w:rsidRPr="00AA4A7D">
        <w:rPr>
          <w:rFonts w:cs="Times New Roman"/>
          <w:sz w:val="20"/>
          <w:szCs w:val="20"/>
        </w:rPr>
        <w:t xml:space="preserve">For the reasons given in </w:t>
      </w:r>
      <w:proofErr w:type="spellStart"/>
      <w:r w:rsidRPr="00AA4A7D">
        <w:rPr>
          <w:rFonts w:cs="Times New Roman"/>
          <w:i/>
          <w:sz w:val="20"/>
          <w:szCs w:val="20"/>
        </w:rPr>
        <w:t>Németh</w:t>
      </w:r>
      <w:proofErr w:type="spellEnd"/>
      <w:r w:rsidRPr="00AA4A7D">
        <w:rPr>
          <w:rFonts w:cs="Times New Roman"/>
          <w:i/>
          <w:sz w:val="20"/>
          <w:szCs w:val="20"/>
        </w:rPr>
        <w:t xml:space="preserve"> v. Canada (Justice)</w:t>
      </w:r>
      <w:r w:rsidRPr="00AA4A7D">
        <w:rPr>
          <w:rFonts w:cs="Times New Roman"/>
          <w:sz w:val="20"/>
          <w:szCs w:val="20"/>
        </w:rPr>
        <w:t>, the Minister did not apply the correct legal principles given that at the time the surrender decision was made, G’s refugee status had not ceased or been revoked.  The Minister ought to have considered the application of s. 44(1</w:t>
      </w:r>
      <w:proofErr w:type="gramStart"/>
      <w:r w:rsidRPr="00AA4A7D">
        <w:rPr>
          <w:rFonts w:cs="Times New Roman"/>
          <w:sz w:val="20"/>
          <w:szCs w:val="20"/>
        </w:rPr>
        <w:t>)(</w:t>
      </w:r>
      <w:proofErr w:type="gramEnd"/>
      <w:r w:rsidRPr="00AA4A7D">
        <w:rPr>
          <w:rFonts w:cs="Times New Roman"/>
          <w:i/>
          <w:sz w:val="20"/>
          <w:szCs w:val="20"/>
        </w:rPr>
        <w:t>b</w:t>
      </w:r>
      <w:r w:rsidRPr="00AA4A7D">
        <w:rPr>
          <w:rFonts w:cs="Times New Roman"/>
          <w:sz w:val="20"/>
          <w:szCs w:val="20"/>
        </w:rPr>
        <w:t xml:space="preserve">) of the </w:t>
      </w:r>
      <w:r w:rsidRPr="00AA4A7D">
        <w:rPr>
          <w:rFonts w:cs="Times New Roman"/>
          <w:i/>
          <w:sz w:val="20"/>
          <w:szCs w:val="20"/>
        </w:rPr>
        <w:t>Extradition Act</w:t>
      </w:r>
      <w:r w:rsidRPr="00AA4A7D">
        <w:rPr>
          <w:rFonts w:cs="Times New Roman"/>
          <w:sz w:val="20"/>
          <w:szCs w:val="20"/>
        </w:rPr>
        <w:t xml:space="preserve">.  The Minister’s decision having been founded on wrong legal principles was unreasonable and must be set aside.  While the decisions taken under the </w:t>
      </w:r>
      <w:r w:rsidRPr="00AA4A7D">
        <w:rPr>
          <w:rFonts w:cs="Times New Roman"/>
          <w:i/>
          <w:sz w:val="20"/>
          <w:szCs w:val="20"/>
        </w:rPr>
        <w:t>Immigration Refugee Protection Act</w:t>
      </w:r>
      <w:r w:rsidRPr="00AA4A7D">
        <w:rPr>
          <w:rFonts w:cs="Times New Roman"/>
          <w:sz w:val="20"/>
          <w:szCs w:val="20"/>
        </w:rPr>
        <w:t xml:space="preserve"> are not binding on the Minister, G should not have been required to prove that persecution would in fact occur and that it would either shock the conscience or be fundamentally unacceptable to Canadians and should not have had his case evaluated only on the basis of s. 44(1</w:t>
      </w:r>
      <w:proofErr w:type="gramStart"/>
      <w:r w:rsidRPr="00AA4A7D">
        <w:rPr>
          <w:rFonts w:cs="Times New Roman"/>
          <w:sz w:val="20"/>
          <w:szCs w:val="20"/>
        </w:rPr>
        <w:t>)(</w:t>
      </w:r>
      <w:proofErr w:type="gramEnd"/>
      <w:r w:rsidRPr="00AA4A7D">
        <w:rPr>
          <w:rFonts w:cs="Times New Roman"/>
          <w:i/>
          <w:sz w:val="20"/>
          <w:szCs w:val="20"/>
        </w:rPr>
        <w:t>a</w:t>
      </w:r>
      <w:r w:rsidRPr="00AA4A7D">
        <w:rPr>
          <w:rFonts w:cs="Times New Roman"/>
          <w:sz w:val="20"/>
          <w:szCs w:val="20"/>
        </w:rPr>
        <w:t>) considerations.</w:t>
      </w:r>
    </w:p>
    <w:p w:rsidR="00736C0F" w:rsidRDefault="00736C0F" w:rsidP="005C6840">
      <w:pPr>
        <w:rPr>
          <w:sz w:val="20"/>
          <w:szCs w:val="20"/>
        </w:rPr>
      </w:pPr>
    </w:p>
    <w:p w:rsidR="00155975" w:rsidRPr="00AA4A7D" w:rsidRDefault="00155975" w:rsidP="00155975">
      <w:pPr>
        <w:pStyle w:val="SCCNormalDoubleSpacing"/>
        <w:spacing w:line="240" w:lineRule="auto"/>
        <w:rPr>
          <w:sz w:val="20"/>
        </w:rPr>
      </w:pPr>
      <w:r w:rsidRPr="00AA4A7D">
        <w:rPr>
          <w:sz w:val="20"/>
        </w:rPr>
        <w:tab/>
        <w:t xml:space="preserve">APPEAL from a judgment of the Quebec Court of Appeal (Beauregard, </w:t>
      </w:r>
      <w:proofErr w:type="spellStart"/>
      <w:r w:rsidRPr="00AA4A7D">
        <w:rPr>
          <w:sz w:val="20"/>
        </w:rPr>
        <w:t>Gendreau</w:t>
      </w:r>
      <w:proofErr w:type="spellEnd"/>
      <w:r w:rsidRPr="00AA4A7D">
        <w:rPr>
          <w:sz w:val="20"/>
        </w:rPr>
        <w:t xml:space="preserve"> and </w:t>
      </w:r>
      <w:proofErr w:type="spellStart"/>
      <w:r w:rsidRPr="00AA4A7D">
        <w:rPr>
          <w:sz w:val="20"/>
        </w:rPr>
        <w:t>Côté</w:t>
      </w:r>
      <w:proofErr w:type="spellEnd"/>
      <w:r w:rsidRPr="00AA4A7D">
        <w:rPr>
          <w:sz w:val="20"/>
        </w:rPr>
        <w:t> JJ.A.), 2009 QCCA 1288, [2009] J.Q. n</w:t>
      </w:r>
      <w:r w:rsidRPr="00AA4A7D">
        <w:rPr>
          <w:sz w:val="20"/>
          <w:vertAlign w:val="superscript"/>
        </w:rPr>
        <w:t>o </w:t>
      </w:r>
      <w:r w:rsidRPr="00AA4A7D">
        <w:rPr>
          <w:sz w:val="20"/>
        </w:rPr>
        <w:t xml:space="preserve">6686 (QL), 2009 </w:t>
      </w:r>
      <w:proofErr w:type="spellStart"/>
      <w:r w:rsidRPr="00AA4A7D">
        <w:rPr>
          <w:sz w:val="20"/>
        </w:rPr>
        <w:t>CarswellQue</w:t>
      </w:r>
      <w:proofErr w:type="spellEnd"/>
      <w:r w:rsidRPr="00AA4A7D">
        <w:rPr>
          <w:sz w:val="20"/>
        </w:rPr>
        <w:t xml:space="preserve"> 6650, dismissing an application for judicial review of a decision by the Minister of Justice of Canada ordering the appellant’s surrender.  Appeal allowed.</w:t>
      </w:r>
    </w:p>
    <w:p w:rsidR="00155975" w:rsidRPr="00AA4A7D" w:rsidRDefault="00155975" w:rsidP="00155975">
      <w:pPr>
        <w:pStyle w:val="SCCNormalDoubleSpacing"/>
        <w:spacing w:line="240" w:lineRule="auto"/>
        <w:rPr>
          <w:sz w:val="20"/>
        </w:rPr>
      </w:pPr>
    </w:p>
    <w:p w:rsidR="00155975" w:rsidRPr="00AA4A7D" w:rsidRDefault="00155975" w:rsidP="00155975">
      <w:pPr>
        <w:pStyle w:val="SCCNormalDoubleSpacing"/>
        <w:spacing w:line="240" w:lineRule="auto"/>
        <w:rPr>
          <w:sz w:val="20"/>
        </w:rPr>
      </w:pPr>
      <w:r w:rsidRPr="00AA4A7D">
        <w:rPr>
          <w:rStyle w:val="SCCCounselNameChar"/>
          <w:sz w:val="20"/>
        </w:rPr>
        <w:tab/>
      </w:r>
      <w:proofErr w:type="spellStart"/>
      <w:proofErr w:type="gramStart"/>
      <w:r w:rsidRPr="00AA4A7D">
        <w:rPr>
          <w:rStyle w:val="SCCCounselNameChar"/>
          <w:sz w:val="20"/>
        </w:rPr>
        <w:t>Stéphane</w:t>
      </w:r>
      <w:proofErr w:type="spellEnd"/>
      <w:r w:rsidRPr="00AA4A7D">
        <w:rPr>
          <w:rStyle w:val="SCCCounselNameChar"/>
          <w:sz w:val="20"/>
        </w:rPr>
        <w:t xml:space="preserve"> </w:t>
      </w:r>
      <w:proofErr w:type="spellStart"/>
      <w:r w:rsidRPr="00AA4A7D">
        <w:rPr>
          <w:rStyle w:val="SCCCounselNameChar"/>
          <w:sz w:val="20"/>
        </w:rPr>
        <w:t>Handfield</w:t>
      </w:r>
      <w:proofErr w:type="spellEnd"/>
      <w:r w:rsidRPr="00155975">
        <w:rPr>
          <w:rStyle w:val="SCCCounselSeparatorChar"/>
          <w:sz w:val="20"/>
          <w:lang w:val="en-CA"/>
        </w:rPr>
        <w:t xml:space="preserve"> and </w:t>
      </w:r>
      <w:proofErr w:type="spellStart"/>
      <w:r w:rsidRPr="00AA4A7D">
        <w:rPr>
          <w:rStyle w:val="SCCCounselNameChar"/>
          <w:sz w:val="20"/>
        </w:rPr>
        <w:t>Dimitrios</w:t>
      </w:r>
      <w:proofErr w:type="spellEnd"/>
      <w:r w:rsidRPr="00AA4A7D">
        <w:rPr>
          <w:rStyle w:val="SCCCounselNameChar"/>
          <w:sz w:val="20"/>
        </w:rPr>
        <w:t xml:space="preserve"> </w:t>
      </w:r>
      <w:proofErr w:type="spellStart"/>
      <w:r w:rsidRPr="00AA4A7D">
        <w:rPr>
          <w:rStyle w:val="SCCCounselNameChar"/>
          <w:sz w:val="20"/>
        </w:rPr>
        <w:t>Strapatsas</w:t>
      </w:r>
      <w:proofErr w:type="spellEnd"/>
      <w:r w:rsidRPr="00AA4A7D">
        <w:rPr>
          <w:rStyle w:val="SCCCounselPartyRoleChar"/>
          <w:sz w:val="20"/>
        </w:rPr>
        <w:t>, for the appellant.</w:t>
      </w:r>
      <w:proofErr w:type="gramEnd"/>
    </w:p>
    <w:p w:rsidR="00155975" w:rsidRPr="00AA4A7D" w:rsidRDefault="00155975" w:rsidP="00155975">
      <w:pPr>
        <w:pStyle w:val="SCCNormalDoubleSpacing"/>
        <w:spacing w:line="240" w:lineRule="auto"/>
        <w:rPr>
          <w:sz w:val="20"/>
        </w:rPr>
      </w:pPr>
    </w:p>
    <w:p w:rsidR="00155975" w:rsidRPr="00AA4A7D" w:rsidRDefault="00155975" w:rsidP="00155975">
      <w:pPr>
        <w:pStyle w:val="SCCNormalDoubleSpacing"/>
        <w:spacing w:line="240" w:lineRule="auto"/>
        <w:rPr>
          <w:sz w:val="20"/>
        </w:rPr>
      </w:pPr>
      <w:r w:rsidRPr="00AA4A7D">
        <w:rPr>
          <w:rStyle w:val="SCCCounselNameChar"/>
          <w:sz w:val="20"/>
        </w:rPr>
        <w:tab/>
      </w:r>
      <w:proofErr w:type="spellStart"/>
      <w:proofErr w:type="gramStart"/>
      <w:r w:rsidRPr="00AA4A7D">
        <w:rPr>
          <w:rStyle w:val="SCCCounselNameChar"/>
          <w:sz w:val="20"/>
        </w:rPr>
        <w:t>Ginette</w:t>
      </w:r>
      <w:proofErr w:type="spellEnd"/>
      <w:r w:rsidRPr="00AA4A7D">
        <w:rPr>
          <w:rStyle w:val="SCCCounselNameChar"/>
          <w:sz w:val="20"/>
        </w:rPr>
        <w:t xml:space="preserve"> </w:t>
      </w:r>
      <w:proofErr w:type="spellStart"/>
      <w:r w:rsidRPr="00AA4A7D">
        <w:rPr>
          <w:rStyle w:val="SCCCounselNameChar"/>
          <w:sz w:val="20"/>
        </w:rPr>
        <w:t>Gobeil</w:t>
      </w:r>
      <w:proofErr w:type="spellEnd"/>
      <w:r w:rsidRPr="00155975">
        <w:rPr>
          <w:rStyle w:val="SCCCounselSeparatorChar"/>
          <w:sz w:val="20"/>
          <w:lang w:val="en-CA"/>
        </w:rPr>
        <w:t xml:space="preserve"> and </w:t>
      </w:r>
      <w:r w:rsidRPr="00AA4A7D">
        <w:rPr>
          <w:rStyle w:val="SCCCounselNameChar"/>
          <w:sz w:val="20"/>
        </w:rPr>
        <w:t xml:space="preserve">Janet </w:t>
      </w:r>
      <w:proofErr w:type="spellStart"/>
      <w:r w:rsidRPr="00AA4A7D">
        <w:rPr>
          <w:rStyle w:val="SCCCounselNameChar"/>
          <w:sz w:val="20"/>
        </w:rPr>
        <w:t>Henchey</w:t>
      </w:r>
      <w:proofErr w:type="spellEnd"/>
      <w:r w:rsidRPr="00AA4A7D">
        <w:rPr>
          <w:rStyle w:val="SCCCounselPartyRoleChar"/>
          <w:sz w:val="20"/>
        </w:rPr>
        <w:t>, for the respondent.</w:t>
      </w:r>
      <w:proofErr w:type="gramEnd"/>
    </w:p>
    <w:p w:rsidR="00155975" w:rsidRPr="00AA4A7D" w:rsidRDefault="00155975" w:rsidP="00155975">
      <w:pPr>
        <w:pStyle w:val="SCCNormalDoubleSpacing"/>
        <w:spacing w:line="240" w:lineRule="auto"/>
        <w:rPr>
          <w:sz w:val="20"/>
        </w:rPr>
      </w:pPr>
    </w:p>
    <w:p w:rsidR="00155975" w:rsidRPr="00155975" w:rsidRDefault="00155975" w:rsidP="00155975">
      <w:pPr>
        <w:pStyle w:val="SCCNormalDoubleSpacing"/>
        <w:spacing w:line="240" w:lineRule="auto"/>
        <w:rPr>
          <w:sz w:val="20"/>
        </w:rPr>
      </w:pPr>
      <w:r w:rsidRPr="00AA4A7D">
        <w:rPr>
          <w:rStyle w:val="SCCCounselNameChar"/>
          <w:sz w:val="20"/>
        </w:rPr>
        <w:tab/>
      </w:r>
      <w:proofErr w:type="spellStart"/>
      <w:proofErr w:type="gramStart"/>
      <w:r w:rsidRPr="00155975">
        <w:rPr>
          <w:rStyle w:val="SCCCounselNameChar"/>
          <w:sz w:val="20"/>
        </w:rPr>
        <w:t>Johanne</w:t>
      </w:r>
      <w:proofErr w:type="spellEnd"/>
      <w:r w:rsidRPr="00155975">
        <w:rPr>
          <w:rStyle w:val="SCCCounselNameChar"/>
          <w:sz w:val="20"/>
        </w:rPr>
        <w:t xml:space="preserve"> Doyon</w:t>
      </w:r>
      <w:r w:rsidRPr="00155975">
        <w:rPr>
          <w:rStyle w:val="SCCCounselSeparatorChar"/>
          <w:sz w:val="20"/>
          <w:lang w:val="en-CA"/>
        </w:rPr>
        <w:t xml:space="preserve">, </w:t>
      </w:r>
      <w:r w:rsidRPr="00155975">
        <w:rPr>
          <w:rStyle w:val="SCCCounselSeparatorChar"/>
          <w:i/>
          <w:sz w:val="20"/>
          <w:lang w:val="en-CA"/>
        </w:rPr>
        <w:t xml:space="preserve">Elaine Doyon and </w:t>
      </w:r>
      <w:r w:rsidRPr="00155975">
        <w:rPr>
          <w:rStyle w:val="SCCCounselNameChar"/>
          <w:sz w:val="20"/>
        </w:rPr>
        <w:t xml:space="preserve">Dan </w:t>
      </w:r>
      <w:proofErr w:type="spellStart"/>
      <w:r w:rsidRPr="00155975">
        <w:rPr>
          <w:rStyle w:val="SCCCounselNameChar"/>
          <w:sz w:val="20"/>
        </w:rPr>
        <w:t>Bohbot</w:t>
      </w:r>
      <w:proofErr w:type="spellEnd"/>
      <w:r w:rsidRPr="00155975">
        <w:rPr>
          <w:rStyle w:val="SCCCounselPartyRoleChar"/>
          <w:sz w:val="20"/>
        </w:rPr>
        <w:t>, for the intervener Québec Immigration Lawyers Association.</w:t>
      </w:r>
      <w:proofErr w:type="gramEnd"/>
    </w:p>
    <w:p w:rsidR="00155975" w:rsidRPr="00AA4A7D" w:rsidRDefault="00155975" w:rsidP="00155975">
      <w:pPr>
        <w:pStyle w:val="SCCNormalDoubleSpacing"/>
        <w:spacing w:line="240" w:lineRule="auto"/>
        <w:rPr>
          <w:rStyle w:val="SCCCounselPartyRoleChar"/>
          <w:sz w:val="20"/>
        </w:rPr>
      </w:pPr>
      <w:r w:rsidRPr="00155975">
        <w:rPr>
          <w:rStyle w:val="SCCCounselNameChar"/>
          <w:sz w:val="20"/>
        </w:rPr>
        <w:lastRenderedPageBreak/>
        <w:tab/>
      </w:r>
      <w:proofErr w:type="gramStart"/>
      <w:r w:rsidRPr="00AA4A7D">
        <w:rPr>
          <w:rStyle w:val="SCCCounselNameChar"/>
          <w:sz w:val="20"/>
        </w:rPr>
        <w:t>Lorne Waldman</w:t>
      </w:r>
      <w:r w:rsidRPr="00155975">
        <w:rPr>
          <w:rStyle w:val="SCCCounselSeparatorChar"/>
          <w:sz w:val="20"/>
          <w:lang w:val="en-CA"/>
        </w:rPr>
        <w:t xml:space="preserve"> and </w:t>
      </w:r>
      <w:r w:rsidRPr="00AA4A7D">
        <w:rPr>
          <w:rStyle w:val="SCCCounselNameChar"/>
          <w:sz w:val="20"/>
        </w:rPr>
        <w:t xml:space="preserve">Jacqueline </w:t>
      </w:r>
      <w:proofErr w:type="spellStart"/>
      <w:r w:rsidRPr="00AA4A7D">
        <w:rPr>
          <w:rStyle w:val="SCCCounselNameChar"/>
          <w:sz w:val="20"/>
        </w:rPr>
        <w:t>Swaisland</w:t>
      </w:r>
      <w:proofErr w:type="spellEnd"/>
      <w:r w:rsidRPr="00AA4A7D">
        <w:rPr>
          <w:rStyle w:val="SCCCounselPartyRoleChar"/>
          <w:sz w:val="20"/>
        </w:rPr>
        <w:t>, for the intervener Amnesty International (Canada Section).</w:t>
      </w:r>
      <w:proofErr w:type="gramEnd"/>
    </w:p>
    <w:p w:rsidR="00155975" w:rsidRPr="00AA4A7D" w:rsidRDefault="00155975" w:rsidP="00155975">
      <w:pPr>
        <w:pStyle w:val="SCCNormalDoubleSpacing"/>
        <w:spacing w:line="240" w:lineRule="auto"/>
        <w:rPr>
          <w:sz w:val="20"/>
        </w:rPr>
      </w:pPr>
    </w:p>
    <w:p w:rsidR="00155975" w:rsidRPr="00AA4A7D" w:rsidRDefault="00155975" w:rsidP="00155975">
      <w:pPr>
        <w:pStyle w:val="SCCNormalDoubleSpacing"/>
        <w:spacing w:line="240" w:lineRule="auto"/>
        <w:rPr>
          <w:sz w:val="20"/>
        </w:rPr>
      </w:pPr>
      <w:r w:rsidRPr="00AA4A7D">
        <w:rPr>
          <w:rStyle w:val="SCCCounselNameChar"/>
          <w:sz w:val="20"/>
        </w:rPr>
        <w:tab/>
      </w:r>
      <w:proofErr w:type="spellStart"/>
      <w:proofErr w:type="gramStart"/>
      <w:r w:rsidRPr="00AA4A7D">
        <w:rPr>
          <w:rStyle w:val="SCCCounselNameChar"/>
          <w:sz w:val="20"/>
        </w:rPr>
        <w:t>Sukanya</w:t>
      </w:r>
      <w:proofErr w:type="spellEnd"/>
      <w:r w:rsidRPr="00AA4A7D">
        <w:rPr>
          <w:rStyle w:val="SCCCounselNameChar"/>
          <w:sz w:val="20"/>
        </w:rPr>
        <w:t xml:space="preserve"> </w:t>
      </w:r>
      <w:proofErr w:type="spellStart"/>
      <w:r w:rsidRPr="00AA4A7D">
        <w:rPr>
          <w:rStyle w:val="SCCCounselNameChar"/>
          <w:sz w:val="20"/>
        </w:rPr>
        <w:t>Pillay</w:t>
      </w:r>
      <w:proofErr w:type="spellEnd"/>
      <w:r w:rsidRPr="00AA4A7D">
        <w:rPr>
          <w:rStyle w:val="SCCCounselPartyRoleChar"/>
          <w:sz w:val="20"/>
        </w:rPr>
        <w:t>, for the intervener Canadian Civil Liberties Association.</w:t>
      </w:r>
      <w:proofErr w:type="gramEnd"/>
    </w:p>
    <w:p w:rsidR="00155975" w:rsidRPr="00AA4A7D" w:rsidRDefault="00155975" w:rsidP="00155975">
      <w:pPr>
        <w:pStyle w:val="SCCNormalDoubleSpacing"/>
        <w:spacing w:line="240" w:lineRule="auto"/>
        <w:rPr>
          <w:sz w:val="20"/>
        </w:rPr>
      </w:pPr>
    </w:p>
    <w:p w:rsidR="00155975" w:rsidRPr="00AA4A7D" w:rsidRDefault="00155975" w:rsidP="00155975">
      <w:pPr>
        <w:pStyle w:val="SCCLawFirm"/>
        <w:spacing w:line="240" w:lineRule="auto"/>
        <w:rPr>
          <w:sz w:val="20"/>
          <w:lang w:val="fr-CA"/>
        </w:rPr>
      </w:pPr>
      <w:r w:rsidRPr="00AA4A7D">
        <w:rPr>
          <w:sz w:val="20"/>
        </w:rPr>
        <w:tab/>
      </w:r>
      <w:r w:rsidRPr="00AA4A7D">
        <w:rPr>
          <w:sz w:val="20"/>
          <w:lang w:val="fr-CA"/>
        </w:rPr>
        <w:t xml:space="preserve">Solicitors for the </w:t>
      </w:r>
      <w:proofErr w:type="spellStart"/>
      <w:r w:rsidRPr="00AA4A7D">
        <w:rPr>
          <w:sz w:val="20"/>
          <w:lang w:val="fr-CA"/>
        </w:rPr>
        <w:t>appellant</w:t>
      </w:r>
      <w:proofErr w:type="spellEnd"/>
      <w:r w:rsidRPr="00AA4A7D">
        <w:rPr>
          <w:sz w:val="20"/>
          <w:lang w:val="fr-CA"/>
        </w:rPr>
        <w:t>:</w:t>
      </w:r>
      <w:proofErr w:type="gramStart"/>
      <w:r w:rsidRPr="00AA4A7D">
        <w:rPr>
          <w:sz w:val="20"/>
          <w:lang w:val="fr-CA"/>
        </w:rPr>
        <w:t>  Lapointe</w:t>
      </w:r>
      <w:proofErr w:type="gramEnd"/>
      <w:r w:rsidRPr="00AA4A7D">
        <w:rPr>
          <w:sz w:val="20"/>
          <w:lang w:val="fr-CA"/>
        </w:rPr>
        <w:t xml:space="preserve"> &amp; Associés, Montréal.</w:t>
      </w:r>
    </w:p>
    <w:p w:rsidR="00155975" w:rsidRPr="00AA4A7D" w:rsidRDefault="00155975" w:rsidP="00155975">
      <w:pPr>
        <w:pStyle w:val="SCCLawFirm"/>
        <w:spacing w:line="240" w:lineRule="auto"/>
        <w:rPr>
          <w:sz w:val="20"/>
          <w:lang w:val="fr-CA"/>
        </w:rPr>
      </w:pPr>
    </w:p>
    <w:p w:rsidR="00155975" w:rsidRPr="00AA4A7D" w:rsidRDefault="00155975" w:rsidP="00155975">
      <w:pPr>
        <w:pStyle w:val="SCCLawFirm"/>
        <w:spacing w:line="240" w:lineRule="auto"/>
        <w:rPr>
          <w:sz w:val="20"/>
          <w:lang w:val="en-US"/>
        </w:rPr>
      </w:pPr>
      <w:r w:rsidRPr="00AA4A7D">
        <w:rPr>
          <w:sz w:val="20"/>
          <w:lang w:val="fr-CA"/>
        </w:rPr>
        <w:tab/>
      </w:r>
      <w:r w:rsidRPr="00AA4A7D">
        <w:rPr>
          <w:sz w:val="20"/>
          <w:lang w:val="en-US"/>
        </w:rPr>
        <w:t>Solicitor for the respondent:  Attorney General of Canada, Montréal.</w:t>
      </w:r>
    </w:p>
    <w:p w:rsidR="00155975" w:rsidRPr="00AA4A7D" w:rsidRDefault="00155975" w:rsidP="00155975">
      <w:pPr>
        <w:pStyle w:val="SCCLawFirm"/>
        <w:spacing w:line="240" w:lineRule="auto"/>
        <w:rPr>
          <w:sz w:val="20"/>
          <w:lang w:val="en-US"/>
        </w:rPr>
      </w:pPr>
    </w:p>
    <w:p w:rsidR="00155975" w:rsidRPr="00AA4A7D" w:rsidRDefault="00155975" w:rsidP="00155975">
      <w:pPr>
        <w:pStyle w:val="SCCLawFirm"/>
        <w:spacing w:line="240" w:lineRule="auto"/>
        <w:rPr>
          <w:sz w:val="20"/>
          <w:lang w:val="fr-CA"/>
        </w:rPr>
      </w:pPr>
      <w:r w:rsidRPr="00AA4A7D">
        <w:rPr>
          <w:sz w:val="20"/>
          <w:lang w:val="en-US"/>
        </w:rPr>
        <w:tab/>
      </w:r>
      <w:r w:rsidRPr="00AA4A7D">
        <w:rPr>
          <w:sz w:val="20"/>
          <w:lang w:val="fr-CA"/>
        </w:rPr>
        <w:t xml:space="preserve">Solicitors for the </w:t>
      </w:r>
      <w:proofErr w:type="spellStart"/>
      <w:r w:rsidRPr="00AA4A7D">
        <w:rPr>
          <w:sz w:val="20"/>
          <w:lang w:val="fr-CA"/>
        </w:rPr>
        <w:t>intervener</w:t>
      </w:r>
      <w:proofErr w:type="spellEnd"/>
      <w:r w:rsidRPr="00AA4A7D">
        <w:rPr>
          <w:sz w:val="20"/>
          <w:lang w:val="fr-CA"/>
        </w:rPr>
        <w:t xml:space="preserve"> Québec Immigration </w:t>
      </w:r>
      <w:proofErr w:type="spellStart"/>
      <w:r w:rsidRPr="00AA4A7D">
        <w:rPr>
          <w:sz w:val="20"/>
          <w:lang w:val="fr-CA"/>
        </w:rPr>
        <w:t>Lawyers</w:t>
      </w:r>
      <w:proofErr w:type="spellEnd"/>
      <w:r w:rsidRPr="00AA4A7D">
        <w:rPr>
          <w:sz w:val="20"/>
          <w:lang w:val="fr-CA"/>
        </w:rPr>
        <w:t xml:space="preserve"> Association:</w:t>
      </w:r>
      <w:proofErr w:type="gramStart"/>
      <w:r w:rsidRPr="00AA4A7D">
        <w:rPr>
          <w:sz w:val="20"/>
          <w:lang w:val="fr-CA"/>
        </w:rPr>
        <w:t>  Doyon</w:t>
      </w:r>
      <w:proofErr w:type="gramEnd"/>
      <w:r w:rsidRPr="00AA4A7D">
        <w:rPr>
          <w:sz w:val="20"/>
          <w:lang w:val="fr-CA"/>
        </w:rPr>
        <w:t xml:space="preserve"> et Associés, Montréal.</w:t>
      </w:r>
    </w:p>
    <w:p w:rsidR="00155975" w:rsidRPr="00AA4A7D" w:rsidRDefault="00155975" w:rsidP="00155975">
      <w:pPr>
        <w:pStyle w:val="SCCLawFirm"/>
        <w:spacing w:line="240" w:lineRule="auto"/>
        <w:rPr>
          <w:sz w:val="20"/>
          <w:lang w:val="fr-CA"/>
        </w:rPr>
      </w:pPr>
    </w:p>
    <w:p w:rsidR="00155975" w:rsidRPr="00AA4A7D" w:rsidRDefault="00155975" w:rsidP="00155975">
      <w:pPr>
        <w:pStyle w:val="SCCLawFirm"/>
        <w:spacing w:line="240" w:lineRule="auto"/>
        <w:rPr>
          <w:sz w:val="20"/>
        </w:rPr>
      </w:pPr>
      <w:r w:rsidRPr="00AA4A7D">
        <w:rPr>
          <w:sz w:val="20"/>
          <w:lang w:val="fr-CA"/>
        </w:rPr>
        <w:tab/>
      </w:r>
      <w:r w:rsidRPr="00AA4A7D">
        <w:rPr>
          <w:sz w:val="20"/>
        </w:rPr>
        <w:t>Solicitors for the intervener Amnesty International (Canada Section):  Waldman &amp; Associates, Toronto.</w:t>
      </w:r>
    </w:p>
    <w:p w:rsidR="00155975" w:rsidRPr="00AA4A7D" w:rsidRDefault="00155975" w:rsidP="00155975">
      <w:pPr>
        <w:pStyle w:val="SCCLawFirm"/>
        <w:spacing w:line="240" w:lineRule="auto"/>
        <w:rPr>
          <w:sz w:val="20"/>
        </w:rPr>
      </w:pPr>
    </w:p>
    <w:p w:rsidR="00155975" w:rsidRPr="00AA4A7D" w:rsidRDefault="00155975" w:rsidP="00155975">
      <w:pPr>
        <w:pStyle w:val="SCCLawFirm"/>
        <w:spacing w:line="240" w:lineRule="auto"/>
        <w:rPr>
          <w:sz w:val="20"/>
        </w:rPr>
      </w:pPr>
      <w:r w:rsidRPr="00AA4A7D">
        <w:rPr>
          <w:sz w:val="20"/>
        </w:rPr>
        <w:tab/>
        <w:t xml:space="preserve">Solicitor for the intervener the Canadian Civil Liberties Association:  Canadian Civil Liberties Association, Toronto. </w:t>
      </w:r>
    </w:p>
    <w:p w:rsidR="00155975" w:rsidRDefault="00155975" w:rsidP="005C6840">
      <w:pPr>
        <w:rPr>
          <w:sz w:val="20"/>
          <w:szCs w:val="20"/>
        </w:rPr>
      </w:pPr>
    </w:p>
    <w:p w:rsidR="00155975" w:rsidRDefault="00857426" w:rsidP="005C6840">
      <w:pPr>
        <w:rPr>
          <w:sz w:val="20"/>
          <w:szCs w:val="20"/>
          <w:lang w:val="fr-CA"/>
        </w:rPr>
      </w:pPr>
      <w:r w:rsidRPr="00857426">
        <w:rPr>
          <w:sz w:val="20"/>
          <w:szCs w:val="20"/>
          <w:lang w:val="fr-CA"/>
        </w:rPr>
        <w:pict>
          <v:rect id="_x0000_i1086" style="width:144.3pt;height:1pt" o:hrpct="300" o:hralign="center" o:hrstd="t" o:hrnoshade="t" o:hr="t" fillcolor="black [3213]" stroked="f"/>
        </w:pict>
      </w:r>
    </w:p>
    <w:p w:rsidR="00155975" w:rsidRPr="00307D49" w:rsidRDefault="00155975" w:rsidP="005C6840">
      <w:pPr>
        <w:rPr>
          <w:sz w:val="20"/>
          <w:szCs w:val="20"/>
        </w:rPr>
      </w:pPr>
    </w:p>
    <w:p w:rsidR="005C6840" w:rsidRPr="00307D49" w:rsidRDefault="005C6840" w:rsidP="005C6840">
      <w:pPr>
        <w:rPr>
          <w:sz w:val="20"/>
          <w:szCs w:val="20"/>
        </w:rPr>
      </w:pPr>
      <w:r w:rsidRPr="00307D49">
        <w:rPr>
          <w:sz w:val="20"/>
          <w:szCs w:val="20"/>
        </w:rPr>
        <w:br w:type="page"/>
      </w:r>
    </w:p>
    <w:p w:rsidR="00155975" w:rsidRPr="00155975" w:rsidRDefault="00155975" w:rsidP="00155975">
      <w:pPr>
        <w:jc w:val="both"/>
        <w:rPr>
          <w:rFonts w:eastAsia="Calibri" w:cs="Times New Roman"/>
          <w:sz w:val="20"/>
          <w:szCs w:val="20"/>
        </w:rPr>
      </w:pPr>
      <w:proofErr w:type="spellStart"/>
      <w:proofErr w:type="gramStart"/>
      <w:r w:rsidRPr="00155975">
        <w:rPr>
          <w:rFonts w:eastAsia="Calibri" w:cs="Times New Roman"/>
          <w:i/>
          <w:sz w:val="20"/>
          <w:szCs w:val="20"/>
          <w:lang w:val="en-GB"/>
        </w:rPr>
        <w:lastRenderedPageBreak/>
        <w:t>Thieu</w:t>
      </w:r>
      <w:proofErr w:type="spellEnd"/>
      <w:r w:rsidRPr="00155975">
        <w:rPr>
          <w:rFonts w:eastAsia="Calibri" w:cs="Times New Roman"/>
          <w:i/>
          <w:sz w:val="20"/>
          <w:szCs w:val="20"/>
          <w:lang w:val="en-GB"/>
        </w:rPr>
        <w:t xml:space="preserve"> </w:t>
      </w:r>
      <w:proofErr w:type="spellStart"/>
      <w:r w:rsidRPr="00155975">
        <w:rPr>
          <w:rFonts w:eastAsia="Calibri" w:cs="Times New Roman"/>
          <w:i/>
          <w:sz w:val="20"/>
          <w:szCs w:val="20"/>
          <w:lang w:val="en-GB"/>
        </w:rPr>
        <w:t>Kham</w:t>
      </w:r>
      <w:proofErr w:type="spellEnd"/>
      <w:r w:rsidRPr="00155975">
        <w:rPr>
          <w:rFonts w:eastAsia="Calibri" w:cs="Times New Roman"/>
          <w:i/>
          <w:sz w:val="20"/>
          <w:szCs w:val="20"/>
          <w:lang w:val="en-GB"/>
        </w:rPr>
        <w:t xml:space="preserve"> Tran v.</w:t>
      </w:r>
      <w:proofErr w:type="gramEnd"/>
      <w:r w:rsidRPr="00155975">
        <w:rPr>
          <w:rFonts w:eastAsia="Calibri" w:cs="Times New Roman"/>
          <w:i/>
          <w:sz w:val="20"/>
          <w:szCs w:val="20"/>
          <w:lang w:val="en-GB"/>
        </w:rPr>
        <w:t xml:space="preserve"> Her Majesty the Queen</w:t>
      </w:r>
      <w:r w:rsidRPr="00155975">
        <w:rPr>
          <w:rFonts w:eastAsia="Calibri" w:cs="Times New Roman"/>
          <w:sz w:val="20"/>
          <w:szCs w:val="20"/>
          <w:lang w:val="en-GB"/>
        </w:rPr>
        <w:t xml:space="preserve"> (Alta.) (33467)</w:t>
      </w:r>
    </w:p>
    <w:p w:rsidR="00661748" w:rsidRPr="00EC010C" w:rsidRDefault="00661748" w:rsidP="00661748">
      <w:pPr>
        <w:jc w:val="both"/>
        <w:rPr>
          <w:b/>
          <w:sz w:val="20"/>
          <w:szCs w:val="20"/>
        </w:rPr>
      </w:pPr>
      <w:r w:rsidRPr="00B04D25">
        <w:rPr>
          <w:b/>
          <w:sz w:val="20"/>
          <w:szCs w:val="20"/>
        </w:rPr>
        <w:t>Indexed as:  </w:t>
      </w:r>
      <w:r w:rsidRPr="00661748">
        <w:rPr>
          <w:rStyle w:val="SCCAppellantForIndexChar"/>
          <w:rFonts w:eastAsiaTheme="minorHAnsi"/>
          <w:sz w:val="20"/>
          <w:lang w:val="en-CA"/>
        </w:rPr>
        <w:t>R.</w:t>
      </w:r>
      <w:r w:rsidRPr="00B04D25">
        <w:rPr>
          <w:b/>
          <w:sz w:val="20"/>
          <w:szCs w:val="20"/>
        </w:rPr>
        <w:t xml:space="preserve"> </w:t>
      </w:r>
      <w:r w:rsidRPr="00B04D25">
        <w:rPr>
          <w:b/>
          <w:i/>
          <w:sz w:val="20"/>
          <w:szCs w:val="20"/>
        </w:rPr>
        <w:t>v.</w:t>
      </w:r>
      <w:r w:rsidRPr="00B04D25">
        <w:rPr>
          <w:b/>
          <w:sz w:val="20"/>
          <w:szCs w:val="20"/>
        </w:rPr>
        <w:t xml:space="preserve"> </w:t>
      </w:r>
      <w:r w:rsidRPr="00B04D25">
        <w:rPr>
          <w:rStyle w:val="SCCRespondentForIndexChar"/>
          <w:rFonts w:eastAsiaTheme="minorHAnsi"/>
          <w:sz w:val="20"/>
        </w:rPr>
        <w:t>Tran</w:t>
      </w:r>
      <w:r>
        <w:rPr>
          <w:rStyle w:val="SCCRespondentForIndexChar"/>
          <w:rFonts w:eastAsiaTheme="minorHAnsi"/>
          <w:sz w:val="20"/>
        </w:rPr>
        <w:t xml:space="preserve"> / </w:t>
      </w:r>
      <w:proofErr w:type="spellStart"/>
      <w:proofErr w:type="gramStart"/>
      <w:r w:rsidRPr="00EC010C">
        <w:rPr>
          <w:b/>
          <w:sz w:val="20"/>
          <w:szCs w:val="20"/>
        </w:rPr>
        <w:t>Répertorié</w:t>
      </w:r>
      <w:proofErr w:type="spellEnd"/>
      <w:r w:rsidRPr="00EC010C">
        <w:rPr>
          <w:b/>
          <w:sz w:val="20"/>
          <w:szCs w:val="20"/>
        </w:rPr>
        <w:t> :</w:t>
      </w:r>
      <w:proofErr w:type="gramEnd"/>
      <w:r w:rsidRPr="00EC010C">
        <w:rPr>
          <w:b/>
          <w:sz w:val="20"/>
          <w:szCs w:val="20"/>
        </w:rPr>
        <w:t> </w:t>
      </w:r>
      <w:r w:rsidRPr="00661748">
        <w:rPr>
          <w:rStyle w:val="SCCAppellantForIndexChar"/>
          <w:rFonts w:eastAsiaTheme="minorHAnsi"/>
          <w:sz w:val="20"/>
          <w:lang w:val="en-CA"/>
        </w:rPr>
        <w:t>R.</w:t>
      </w:r>
      <w:r w:rsidRPr="00EC010C">
        <w:rPr>
          <w:b/>
          <w:sz w:val="20"/>
          <w:szCs w:val="20"/>
        </w:rPr>
        <w:t xml:space="preserve"> </w:t>
      </w:r>
      <w:r w:rsidRPr="00EC010C">
        <w:rPr>
          <w:b/>
          <w:i/>
          <w:sz w:val="20"/>
          <w:szCs w:val="20"/>
        </w:rPr>
        <w:t>c.</w:t>
      </w:r>
      <w:r w:rsidRPr="00EC010C">
        <w:rPr>
          <w:b/>
          <w:sz w:val="20"/>
          <w:szCs w:val="20"/>
        </w:rPr>
        <w:t xml:space="preserve"> </w:t>
      </w:r>
      <w:r w:rsidRPr="00EC010C">
        <w:rPr>
          <w:rStyle w:val="SCCRespondentForIndexChar"/>
          <w:rFonts w:eastAsiaTheme="minorHAnsi"/>
          <w:sz w:val="20"/>
        </w:rPr>
        <w:t>Tran</w:t>
      </w:r>
    </w:p>
    <w:p w:rsidR="005C6840" w:rsidRPr="00E452DD" w:rsidRDefault="005C6840" w:rsidP="005C6840">
      <w:pPr>
        <w:pStyle w:val="SCCSystemYear"/>
        <w:jc w:val="both"/>
        <w:rPr>
          <w:sz w:val="20"/>
          <w:lang w:val="en-CA"/>
        </w:rPr>
      </w:pPr>
      <w:r w:rsidRPr="00E452DD">
        <w:rPr>
          <w:sz w:val="20"/>
          <w:lang w:val="en-CA"/>
        </w:rPr>
        <w:t>Neutral citation:  2010 SCC </w:t>
      </w:r>
      <w:r w:rsidR="00661748">
        <w:rPr>
          <w:sz w:val="20"/>
          <w:lang w:val="en-CA"/>
        </w:rPr>
        <w:t>58</w:t>
      </w:r>
      <w:r w:rsidRPr="00E452DD">
        <w:rPr>
          <w:sz w:val="20"/>
          <w:lang w:val="en-CA"/>
        </w:rPr>
        <w:t xml:space="preserve"> / </w:t>
      </w:r>
      <w:proofErr w:type="spellStart"/>
      <w:r w:rsidRPr="00E452DD">
        <w:rPr>
          <w:sz w:val="20"/>
          <w:lang w:val="en-CA"/>
        </w:rPr>
        <w:t>Référence</w:t>
      </w:r>
      <w:proofErr w:type="spellEnd"/>
      <w:r w:rsidRPr="00E452DD">
        <w:rPr>
          <w:sz w:val="20"/>
          <w:lang w:val="en-CA"/>
        </w:rPr>
        <w:t xml:space="preserve"> </w:t>
      </w:r>
      <w:proofErr w:type="spellStart"/>
      <w:proofErr w:type="gramStart"/>
      <w:r w:rsidRPr="00E452DD">
        <w:rPr>
          <w:sz w:val="20"/>
          <w:lang w:val="en-CA"/>
        </w:rPr>
        <w:t>neutre</w:t>
      </w:r>
      <w:proofErr w:type="spellEnd"/>
      <w:r w:rsidRPr="00E452DD">
        <w:rPr>
          <w:sz w:val="20"/>
          <w:lang w:val="en-CA"/>
        </w:rPr>
        <w:t xml:space="preserve"> :</w:t>
      </w:r>
      <w:proofErr w:type="gramEnd"/>
      <w:r w:rsidRPr="00E452DD">
        <w:rPr>
          <w:sz w:val="20"/>
          <w:lang w:val="en-CA"/>
        </w:rPr>
        <w:t xml:space="preserve"> 2010 CSC </w:t>
      </w:r>
      <w:r w:rsidR="00661748">
        <w:rPr>
          <w:sz w:val="20"/>
          <w:lang w:val="en-CA"/>
        </w:rPr>
        <w:t>58</w:t>
      </w:r>
    </w:p>
    <w:p w:rsidR="005C6840" w:rsidRPr="003A718B" w:rsidRDefault="005C6840" w:rsidP="005C6840">
      <w:pPr>
        <w:rPr>
          <w:sz w:val="20"/>
          <w:szCs w:val="20"/>
        </w:rPr>
      </w:pPr>
      <w:r w:rsidRPr="003A718B">
        <w:rPr>
          <w:sz w:val="20"/>
          <w:szCs w:val="20"/>
        </w:rPr>
        <w:t>Hearing:  May 1</w:t>
      </w:r>
      <w:r w:rsidR="00661748" w:rsidRPr="003A718B">
        <w:rPr>
          <w:sz w:val="20"/>
          <w:szCs w:val="20"/>
        </w:rPr>
        <w:t>3</w:t>
      </w:r>
      <w:r w:rsidRPr="003A718B">
        <w:rPr>
          <w:sz w:val="20"/>
          <w:szCs w:val="20"/>
        </w:rPr>
        <w:t xml:space="preserve">, 2010 / Judgment:  </w:t>
      </w:r>
      <w:r w:rsidR="00661748" w:rsidRPr="003A718B">
        <w:rPr>
          <w:sz w:val="20"/>
          <w:szCs w:val="20"/>
        </w:rPr>
        <w:t xml:space="preserve">November </w:t>
      </w:r>
      <w:r w:rsidRPr="003A718B">
        <w:rPr>
          <w:sz w:val="20"/>
          <w:szCs w:val="20"/>
        </w:rPr>
        <w:t>2</w:t>
      </w:r>
      <w:r w:rsidR="00661748" w:rsidRPr="003A718B">
        <w:rPr>
          <w:sz w:val="20"/>
          <w:szCs w:val="20"/>
        </w:rPr>
        <w:t>6</w:t>
      </w:r>
      <w:r w:rsidRPr="003A718B">
        <w:rPr>
          <w:sz w:val="20"/>
          <w:szCs w:val="20"/>
        </w:rPr>
        <w:t>, 2010</w:t>
      </w:r>
    </w:p>
    <w:p w:rsidR="005C6840" w:rsidRPr="00E452DD" w:rsidRDefault="005C6840" w:rsidP="005C6840">
      <w:pPr>
        <w:rPr>
          <w:sz w:val="20"/>
          <w:szCs w:val="20"/>
          <w:lang w:val="fr-CA"/>
        </w:rPr>
      </w:pPr>
      <w:r w:rsidRPr="00E452DD">
        <w:rPr>
          <w:sz w:val="20"/>
          <w:szCs w:val="20"/>
          <w:lang w:val="fr-CA"/>
        </w:rPr>
        <w:t>Audition : Le 1</w:t>
      </w:r>
      <w:r w:rsidR="00661748">
        <w:rPr>
          <w:sz w:val="20"/>
          <w:szCs w:val="20"/>
          <w:lang w:val="fr-CA"/>
        </w:rPr>
        <w:t>3</w:t>
      </w:r>
      <w:r w:rsidRPr="00E452DD">
        <w:rPr>
          <w:sz w:val="20"/>
          <w:szCs w:val="20"/>
          <w:lang w:val="fr-CA"/>
        </w:rPr>
        <w:t xml:space="preserve"> mai 2010 / Jugement : Le 2</w:t>
      </w:r>
      <w:r w:rsidR="00661748">
        <w:rPr>
          <w:sz w:val="20"/>
          <w:szCs w:val="20"/>
          <w:lang w:val="fr-CA"/>
        </w:rPr>
        <w:t>6</w:t>
      </w:r>
      <w:r w:rsidRPr="00E452DD">
        <w:rPr>
          <w:sz w:val="20"/>
          <w:szCs w:val="20"/>
          <w:lang w:val="fr-CA"/>
        </w:rPr>
        <w:t xml:space="preserve"> </w:t>
      </w:r>
      <w:r w:rsidR="00661748">
        <w:rPr>
          <w:sz w:val="20"/>
          <w:szCs w:val="20"/>
          <w:lang w:val="fr-CA"/>
        </w:rPr>
        <w:t>novem</w:t>
      </w:r>
      <w:r w:rsidRPr="00E452DD">
        <w:rPr>
          <w:sz w:val="20"/>
          <w:szCs w:val="20"/>
          <w:lang w:val="fr-CA"/>
        </w:rPr>
        <w:t>bre 2010</w:t>
      </w:r>
    </w:p>
    <w:p w:rsidR="005C6840" w:rsidRPr="00E452DD" w:rsidRDefault="00857426" w:rsidP="005C6840">
      <w:pPr>
        <w:rPr>
          <w:sz w:val="20"/>
          <w:szCs w:val="20"/>
          <w:lang w:val="fr-CA"/>
        </w:rPr>
      </w:pPr>
      <w:r w:rsidRPr="00857426">
        <w:rPr>
          <w:i/>
          <w:sz w:val="20"/>
          <w:szCs w:val="20"/>
        </w:rPr>
        <w:pict>
          <v:rect id="_x0000_i1087" style="width:480.95pt;height:1pt" o:hralign="center" o:hrstd="t" o:hrnoshade="t" o:hr="t" fillcolor="black [3213]" stroked="f"/>
        </w:pict>
      </w:r>
    </w:p>
    <w:p w:rsidR="005C6840" w:rsidRPr="00E452DD" w:rsidRDefault="005C6840" w:rsidP="005C6840">
      <w:pPr>
        <w:spacing w:line="0" w:lineRule="atLeast"/>
        <w:rPr>
          <w:sz w:val="20"/>
          <w:szCs w:val="20"/>
          <w:lang w:val="fr-CA"/>
        </w:rPr>
      </w:pPr>
    </w:p>
    <w:p w:rsidR="00661748" w:rsidRPr="00B04D25" w:rsidRDefault="00661748" w:rsidP="00661748">
      <w:pPr>
        <w:jc w:val="both"/>
        <w:rPr>
          <w:sz w:val="20"/>
          <w:szCs w:val="20"/>
        </w:rPr>
      </w:pPr>
      <w:r w:rsidRPr="00B04D25">
        <w:rPr>
          <w:sz w:val="20"/>
          <w:szCs w:val="20"/>
        </w:rPr>
        <w:t>Present:  </w:t>
      </w:r>
      <w:proofErr w:type="spellStart"/>
      <w:r w:rsidRPr="00B04D25">
        <w:rPr>
          <w:sz w:val="20"/>
          <w:szCs w:val="20"/>
        </w:rPr>
        <w:t>Binnie</w:t>
      </w:r>
      <w:proofErr w:type="spellEnd"/>
      <w:r w:rsidRPr="00B04D25">
        <w:rPr>
          <w:sz w:val="20"/>
          <w:szCs w:val="20"/>
        </w:rPr>
        <w:t xml:space="preserve">, </w:t>
      </w:r>
      <w:proofErr w:type="spellStart"/>
      <w:r w:rsidRPr="00B04D25">
        <w:rPr>
          <w:sz w:val="20"/>
          <w:szCs w:val="20"/>
        </w:rPr>
        <w:t>Deschamps</w:t>
      </w:r>
      <w:proofErr w:type="spellEnd"/>
      <w:r w:rsidRPr="00B04D25">
        <w:rPr>
          <w:sz w:val="20"/>
          <w:szCs w:val="20"/>
        </w:rPr>
        <w:t xml:space="preserve">, Fish, </w:t>
      </w:r>
      <w:proofErr w:type="spellStart"/>
      <w:r w:rsidRPr="00B04D25">
        <w:rPr>
          <w:sz w:val="20"/>
          <w:szCs w:val="20"/>
        </w:rPr>
        <w:t>Abella</w:t>
      </w:r>
      <w:proofErr w:type="spellEnd"/>
      <w:r w:rsidRPr="00B04D25">
        <w:rPr>
          <w:sz w:val="20"/>
          <w:szCs w:val="20"/>
        </w:rPr>
        <w:t xml:space="preserve">, </w:t>
      </w:r>
      <w:proofErr w:type="spellStart"/>
      <w:r w:rsidRPr="00B04D25">
        <w:rPr>
          <w:sz w:val="20"/>
          <w:szCs w:val="20"/>
        </w:rPr>
        <w:t>Charron</w:t>
      </w:r>
      <w:proofErr w:type="spellEnd"/>
      <w:r w:rsidRPr="00B04D25">
        <w:rPr>
          <w:sz w:val="20"/>
          <w:szCs w:val="20"/>
        </w:rPr>
        <w:t>, Rothstein and Cromwell JJ.</w:t>
      </w:r>
    </w:p>
    <w:p w:rsidR="00155975" w:rsidRDefault="00155975" w:rsidP="00155975">
      <w:pPr>
        <w:jc w:val="both"/>
        <w:rPr>
          <w:rFonts w:cs="Times New Roman"/>
          <w:sz w:val="20"/>
          <w:szCs w:val="20"/>
        </w:rPr>
      </w:pPr>
    </w:p>
    <w:p w:rsidR="00661748" w:rsidRPr="00B04D25" w:rsidRDefault="00661748" w:rsidP="00661748">
      <w:pPr>
        <w:pStyle w:val="SCCNormalDoubleSpacing"/>
        <w:spacing w:line="240" w:lineRule="auto"/>
        <w:ind w:firstLine="720"/>
        <w:rPr>
          <w:i/>
          <w:sz w:val="20"/>
        </w:rPr>
      </w:pPr>
      <w:r w:rsidRPr="00B04D25">
        <w:rPr>
          <w:i/>
          <w:sz w:val="20"/>
        </w:rPr>
        <w:t xml:space="preserve">Criminal law </w:t>
      </w:r>
      <w:r w:rsidRPr="00B04D25">
        <w:rPr>
          <w:sz w:val="20"/>
        </w:rPr>
        <w:t xml:space="preserve">— </w:t>
      </w:r>
      <w:r w:rsidRPr="00B04D25">
        <w:rPr>
          <w:i/>
          <w:sz w:val="20"/>
        </w:rPr>
        <w:t xml:space="preserve">Defences </w:t>
      </w:r>
      <w:r w:rsidRPr="00B04D25">
        <w:rPr>
          <w:sz w:val="20"/>
        </w:rPr>
        <w:t>—</w:t>
      </w:r>
      <w:r w:rsidRPr="00B04D25">
        <w:rPr>
          <w:i/>
          <w:sz w:val="20"/>
        </w:rPr>
        <w:t xml:space="preserve"> Provocation </w:t>
      </w:r>
      <w:r w:rsidRPr="00B04D25">
        <w:rPr>
          <w:sz w:val="20"/>
        </w:rPr>
        <w:t>—</w:t>
      </w:r>
      <w:r w:rsidRPr="00B04D25">
        <w:rPr>
          <w:i/>
          <w:sz w:val="20"/>
        </w:rPr>
        <w:t xml:space="preserve"> Objective and subjective components to provocation </w:t>
      </w:r>
      <w:r w:rsidRPr="00B04D25">
        <w:rPr>
          <w:sz w:val="20"/>
        </w:rPr>
        <w:t>—</w:t>
      </w:r>
      <w:r w:rsidRPr="00B04D25">
        <w:rPr>
          <w:i/>
          <w:sz w:val="20"/>
        </w:rPr>
        <w:t xml:space="preserve"> Whether estranged wife’s relationship with another man after separating from accused amounted to “insult” sufficient to deprive accused of power of </w:t>
      </w:r>
      <w:proofErr w:type="spellStart"/>
      <w:r w:rsidRPr="00B04D25">
        <w:rPr>
          <w:i/>
          <w:sz w:val="20"/>
        </w:rPr>
        <w:t>self</w:t>
      </w:r>
      <w:r w:rsidRPr="00B04D25">
        <w:rPr>
          <w:i/>
          <w:sz w:val="20"/>
        </w:rPr>
        <w:noBreakHyphen/>
        <w:t>control</w:t>
      </w:r>
      <w:proofErr w:type="spellEnd"/>
      <w:r w:rsidRPr="00B04D25">
        <w:rPr>
          <w:i/>
          <w:sz w:val="20"/>
        </w:rPr>
        <w:t xml:space="preserve"> </w:t>
      </w:r>
      <w:r w:rsidRPr="00B04D25">
        <w:rPr>
          <w:sz w:val="20"/>
        </w:rPr>
        <w:t>—</w:t>
      </w:r>
      <w:r w:rsidRPr="00B04D25">
        <w:rPr>
          <w:i/>
          <w:sz w:val="20"/>
        </w:rPr>
        <w:t xml:space="preserve"> Whether there was air of reality to accused acting on sudden at time of killing </w:t>
      </w:r>
      <w:r w:rsidRPr="00B04D25">
        <w:rPr>
          <w:sz w:val="20"/>
        </w:rPr>
        <w:t>—</w:t>
      </w:r>
      <w:r w:rsidRPr="00B04D25">
        <w:rPr>
          <w:i/>
          <w:sz w:val="20"/>
        </w:rPr>
        <w:t xml:space="preserve"> Definition of “insult” </w:t>
      </w:r>
      <w:r w:rsidRPr="00B04D25">
        <w:rPr>
          <w:sz w:val="20"/>
        </w:rPr>
        <w:t>—</w:t>
      </w:r>
      <w:r w:rsidRPr="00B04D25">
        <w:rPr>
          <w:i/>
          <w:sz w:val="20"/>
        </w:rPr>
        <w:t xml:space="preserve"> Criminal Code</w:t>
      </w:r>
      <w:r w:rsidRPr="00B04D25">
        <w:rPr>
          <w:sz w:val="20"/>
        </w:rPr>
        <w:t>,</w:t>
      </w:r>
      <w:r w:rsidRPr="00B04D25">
        <w:rPr>
          <w:i/>
          <w:sz w:val="20"/>
        </w:rPr>
        <w:t xml:space="preserve"> R.S.C. 1985, c. C</w:t>
      </w:r>
      <w:r w:rsidRPr="00B04D25">
        <w:rPr>
          <w:i/>
          <w:sz w:val="20"/>
        </w:rPr>
        <w:noBreakHyphen/>
        <w:t>46, s. 232.</w:t>
      </w:r>
    </w:p>
    <w:p w:rsidR="00661748" w:rsidRPr="00B04D25" w:rsidRDefault="00661748" w:rsidP="00661748">
      <w:pPr>
        <w:pStyle w:val="SCCNormalDoubleSpacing"/>
        <w:spacing w:line="240" w:lineRule="auto"/>
        <w:rPr>
          <w:sz w:val="20"/>
        </w:rPr>
      </w:pPr>
    </w:p>
    <w:p w:rsidR="00661748" w:rsidRPr="00B04D25" w:rsidRDefault="00661748" w:rsidP="00661748">
      <w:pPr>
        <w:pStyle w:val="SCCNormalDoubleSpacing"/>
        <w:spacing w:line="240" w:lineRule="auto"/>
        <w:ind w:firstLine="720"/>
        <w:rPr>
          <w:sz w:val="20"/>
        </w:rPr>
      </w:pPr>
      <w:r w:rsidRPr="00B04D25">
        <w:rPr>
          <w:sz w:val="20"/>
        </w:rPr>
        <w:t>The accused had knowledge that his estranged wife was involved with another man. One afternoon, the accused entered his estranged wife’s home, unexpected and uninvited, and he discovered his estranged wife in bed with her boyfriend.  The accused viciously attacked them both, killing the boyfriend by repeatedly stabbing him.  Having accepted the defence of provocation, the trial judge acquitted the accused of murder, but convicted him of manslaughter.  The Court of Appeal allowed the Crown’s appeal and substituted a conviction for second degree murder.</w:t>
      </w:r>
    </w:p>
    <w:p w:rsidR="00661748" w:rsidRPr="00B04D25" w:rsidRDefault="00661748" w:rsidP="00661748">
      <w:pPr>
        <w:pStyle w:val="SCCNormalDoubleSpacing"/>
        <w:spacing w:line="240" w:lineRule="auto"/>
        <w:rPr>
          <w:sz w:val="20"/>
        </w:rPr>
      </w:pPr>
    </w:p>
    <w:p w:rsidR="00661748" w:rsidRPr="00B04D25" w:rsidRDefault="00661748" w:rsidP="00661748">
      <w:pPr>
        <w:pStyle w:val="SCCNormalDoubleSpacing"/>
        <w:spacing w:line="240" w:lineRule="auto"/>
        <w:rPr>
          <w:sz w:val="20"/>
        </w:rPr>
      </w:pPr>
      <w:r w:rsidRPr="00B04D25">
        <w:rPr>
          <w:sz w:val="20"/>
        </w:rPr>
        <w:tab/>
      </w:r>
      <w:r w:rsidRPr="00661748">
        <w:rPr>
          <w:rStyle w:val="QuoteChar"/>
          <w:sz w:val="20"/>
          <w:lang w:val="en-CA"/>
        </w:rPr>
        <w:t>Held:</w:t>
      </w:r>
      <w:r w:rsidRPr="00B04D25">
        <w:rPr>
          <w:sz w:val="20"/>
        </w:rPr>
        <w:t>  The appeal should be dismissed.</w:t>
      </w:r>
    </w:p>
    <w:p w:rsidR="00661748" w:rsidRPr="00B04D25" w:rsidRDefault="00661748" w:rsidP="00661748">
      <w:pPr>
        <w:pStyle w:val="SCCNormalDoubleSpacing"/>
        <w:spacing w:line="240" w:lineRule="auto"/>
        <w:rPr>
          <w:sz w:val="20"/>
        </w:rPr>
      </w:pPr>
    </w:p>
    <w:p w:rsidR="00661748" w:rsidRPr="00B04D25" w:rsidRDefault="00661748" w:rsidP="00661748">
      <w:pPr>
        <w:pStyle w:val="SCCNormalDoubleSpacing"/>
        <w:spacing w:line="240" w:lineRule="auto"/>
        <w:ind w:firstLine="720"/>
        <w:rPr>
          <w:sz w:val="20"/>
        </w:rPr>
      </w:pPr>
      <w:r w:rsidRPr="00B04D25">
        <w:rPr>
          <w:sz w:val="20"/>
        </w:rPr>
        <w:t xml:space="preserve">Provocation is a partial defence exclusive to homicide which reduces the conviction from murder to manslaughter.  There is both an objective and a subjective component to provocation in s. 232 of the </w:t>
      </w:r>
      <w:r w:rsidRPr="00B04D25">
        <w:rPr>
          <w:i/>
          <w:sz w:val="20"/>
        </w:rPr>
        <w:t>Criminal Code</w:t>
      </w:r>
      <w:r w:rsidRPr="00B04D25">
        <w:rPr>
          <w:sz w:val="20"/>
        </w:rPr>
        <w:t xml:space="preserve">.  Once it is established that the wrongful act or insult was sufficient to deprive an ordinary person of the power of </w:t>
      </w:r>
      <w:proofErr w:type="spellStart"/>
      <w:r w:rsidRPr="00B04D25">
        <w:rPr>
          <w:sz w:val="20"/>
        </w:rPr>
        <w:t>self</w:t>
      </w:r>
      <w:r w:rsidRPr="00B04D25">
        <w:rPr>
          <w:sz w:val="20"/>
        </w:rPr>
        <w:noBreakHyphen/>
        <w:t>control</w:t>
      </w:r>
      <w:proofErr w:type="spellEnd"/>
      <w:r w:rsidRPr="00B04D25">
        <w:rPr>
          <w:sz w:val="20"/>
        </w:rPr>
        <w:t>, the inquiry turns to a consideration of the subjective element of the defence, which is whether the accused acted in response to the provocation and on the sudden before there was time for his or her passion to cool.</w:t>
      </w:r>
    </w:p>
    <w:p w:rsidR="00661748" w:rsidRPr="00B04D25" w:rsidRDefault="00661748" w:rsidP="00661748">
      <w:pPr>
        <w:pStyle w:val="SCCNormalDoubleSpacing"/>
        <w:spacing w:line="240" w:lineRule="auto"/>
        <w:rPr>
          <w:sz w:val="20"/>
        </w:rPr>
      </w:pPr>
    </w:p>
    <w:p w:rsidR="00661748" w:rsidRPr="00B04D25" w:rsidRDefault="00661748" w:rsidP="00661748">
      <w:pPr>
        <w:pStyle w:val="SCCNormalDoubleSpacing"/>
        <w:spacing w:line="240" w:lineRule="auto"/>
        <w:ind w:firstLine="720"/>
        <w:rPr>
          <w:sz w:val="20"/>
        </w:rPr>
      </w:pPr>
      <w:r w:rsidRPr="00B04D25">
        <w:rPr>
          <w:sz w:val="20"/>
        </w:rPr>
        <w:t xml:space="preserve">The “ordinary person” standard is informed by contemporary norms of behaviour, including fundamental values such as the commitment to equality provided for in the </w:t>
      </w:r>
      <w:r w:rsidRPr="00B04D25">
        <w:rPr>
          <w:i/>
          <w:sz w:val="20"/>
        </w:rPr>
        <w:t>Canadian Charter of Rights and Freedoms</w:t>
      </w:r>
      <w:r w:rsidRPr="00B04D25">
        <w:rPr>
          <w:sz w:val="20"/>
        </w:rPr>
        <w:t xml:space="preserve">.  The accused must have a justifiable sense of being wronged.  A central concern with the objective standard has been the extent to which the </w:t>
      </w:r>
      <w:proofErr w:type="spellStart"/>
      <w:r w:rsidRPr="00B04D25">
        <w:rPr>
          <w:sz w:val="20"/>
        </w:rPr>
        <w:t>accused’s</w:t>
      </w:r>
      <w:proofErr w:type="spellEnd"/>
      <w:r w:rsidRPr="00B04D25">
        <w:rPr>
          <w:sz w:val="20"/>
        </w:rPr>
        <w:t xml:space="preserve"> own personal characteristics and circumstances should be considered.  A restrictive approach to the “ordinary person” approach ignores relevant contextual circumstances.  Conversely, an individualized approach would lead to anomalous results if all the </w:t>
      </w:r>
      <w:proofErr w:type="spellStart"/>
      <w:r w:rsidRPr="00B04D25">
        <w:rPr>
          <w:sz w:val="20"/>
        </w:rPr>
        <w:t>accused’s</w:t>
      </w:r>
      <w:proofErr w:type="spellEnd"/>
      <w:r w:rsidRPr="00B04D25">
        <w:rPr>
          <w:sz w:val="20"/>
        </w:rPr>
        <w:t xml:space="preserve"> characteristics were taken into account; it would also ignore the cardinal principle that the criminal law is concerned with setting standards of human behaviour.</w:t>
      </w:r>
    </w:p>
    <w:p w:rsidR="00661748" w:rsidRPr="00B04D25" w:rsidRDefault="00661748" w:rsidP="00661748">
      <w:pPr>
        <w:pStyle w:val="SCCNormalDoubleSpacing"/>
        <w:spacing w:line="240" w:lineRule="auto"/>
        <w:rPr>
          <w:sz w:val="20"/>
        </w:rPr>
      </w:pPr>
    </w:p>
    <w:p w:rsidR="00661748" w:rsidRPr="00B04D25" w:rsidRDefault="00661748" w:rsidP="00661748">
      <w:pPr>
        <w:pStyle w:val="SCCNormalDoubleSpacing"/>
        <w:spacing w:line="240" w:lineRule="auto"/>
        <w:ind w:firstLine="720"/>
        <w:rPr>
          <w:sz w:val="20"/>
        </w:rPr>
      </w:pPr>
      <w:r w:rsidRPr="00B04D25">
        <w:rPr>
          <w:sz w:val="20"/>
        </w:rPr>
        <w:t>It is important not to subvert the logic of the objective inquiry.  The proper approach is one that takes into account some, but not all, of the individual characteristics of the accused.  Personal circumstances may be relevant to determining whether the accused was in fact provoked — the subjective element of the defence — but they do not shift the ordinary person standard to suit the individual accused.  There is an important distinction between contextualizing the objective standard, which is necessary and proper, and individualizing it, which would only serve to defeat its purpose.</w:t>
      </w:r>
    </w:p>
    <w:p w:rsidR="00661748" w:rsidRPr="00B04D25" w:rsidRDefault="00661748" w:rsidP="00661748">
      <w:pPr>
        <w:pStyle w:val="SCCNormalDoubleSpacing"/>
        <w:spacing w:line="240" w:lineRule="auto"/>
        <w:rPr>
          <w:sz w:val="20"/>
        </w:rPr>
      </w:pPr>
    </w:p>
    <w:p w:rsidR="00661748" w:rsidRPr="00B04D25" w:rsidRDefault="00661748" w:rsidP="00661748">
      <w:pPr>
        <w:pStyle w:val="SCCNormalDoubleSpacing"/>
        <w:spacing w:line="240" w:lineRule="auto"/>
        <w:ind w:firstLine="720"/>
        <w:rPr>
          <w:sz w:val="20"/>
        </w:rPr>
      </w:pPr>
      <w:r w:rsidRPr="00B04D25">
        <w:rPr>
          <w:sz w:val="20"/>
        </w:rPr>
        <w:t xml:space="preserve">The subjective element of the defence of provocation focuses on the </w:t>
      </w:r>
      <w:proofErr w:type="spellStart"/>
      <w:r w:rsidRPr="00B04D25">
        <w:rPr>
          <w:sz w:val="20"/>
        </w:rPr>
        <w:t>accused’s</w:t>
      </w:r>
      <w:proofErr w:type="spellEnd"/>
      <w:r w:rsidRPr="00B04D25">
        <w:rPr>
          <w:sz w:val="20"/>
        </w:rPr>
        <w:t xml:space="preserve"> subjective perceptions of the circumstances, including what the accused believed, intended or knew.  The accused must have killed because he was provoked and not merely because the provocation existed.  The requirement of suddenness serves to distinguish a response taken in vengeance from one that was provoked.  Suddenness applies to both the act of provocation and the </w:t>
      </w:r>
      <w:proofErr w:type="spellStart"/>
      <w:r w:rsidRPr="00B04D25">
        <w:rPr>
          <w:sz w:val="20"/>
        </w:rPr>
        <w:t>accused’s</w:t>
      </w:r>
      <w:proofErr w:type="spellEnd"/>
      <w:r w:rsidRPr="00B04D25">
        <w:rPr>
          <w:sz w:val="20"/>
        </w:rPr>
        <w:t xml:space="preserve"> reaction to it.</w:t>
      </w:r>
    </w:p>
    <w:p w:rsidR="00661748" w:rsidRPr="00B04D25" w:rsidRDefault="00661748" w:rsidP="00661748">
      <w:pPr>
        <w:pStyle w:val="SCCNormalDoubleSpacing"/>
        <w:spacing w:line="240" w:lineRule="auto"/>
        <w:rPr>
          <w:sz w:val="20"/>
        </w:rPr>
      </w:pPr>
    </w:p>
    <w:p w:rsidR="00661748" w:rsidRPr="00B04D25" w:rsidRDefault="00661748" w:rsidP="00661748">
      <w:pPr>
        <w:pStyle w:val="SCCNormalDoubleSpacing"/>
        <w:spacing w:line="240" w:lineRule="auto"/>
        <w:ind w:firstLine="720"/>
        <w:rPr>
          <w:sz w:val="20"/>
        </w:rPr>
      </w:pPr>
      <w:r w:rsidRPr="00B04D25">
        <w:rPr>
          <w:sz w:val="20"/>
        </w:rPr>
        <w:t xml:space="preserve">Here, on the basis of the trial judge’s findings of fact and uncontested evidence, there was no air of reality to the defence of provocation.  The conduct at issue does not amount to an “insult” within the meaning of s. 232 of the </w:t>
      </w:r>
      <w:r w:rsidRPr="00B04D25">
        <w:rPr>
          <w:i/>
          <w:sz w:val="20"/>
        </w:rPr>
        <w:t>Criminal Code</w:t>
      </w:r>
      <w:r w:rsidRPr="00B04D25">
        <w:rPr>
          <w:sz w:val="20"/>
        </w:rPr>
        <w:t xml:space="preserve">, as the accused alleges, nor does it meet the requirement of suddenness.  The discovery of his estranged wife’s involvement with another man is not an “insult” within the meaning of s. 232 of the </w:t>
      </w:r>
      <w:r w:rsidRPr="00B04D25">
        <w:rPr>
          <w:i/>
          <w:sz w:val="20"/>
        </w:rPr>
        <w:t>Criminal Code</w:t>
      </w:r>
      <w:r w:rsidRPr="00B04D25">
        <w:rPr>
          <w:sz w:val="20"/>
        </w:rPr>
        <w:t xml:space="preserve">.  The </w:t>
      </w:r>
      <w:proofErr w:type="spellStart"/>
      <w:r w:rsidRPr="00B04D25">
        <w:rPr>
          <w:sz w:val="20"/>
        </w:rPr>
        <w:t>accused’s</w:t>
      </w:r>
      <w:proofErr w:type="spellEnd"/>
      <w:r w:rsidRPr="00B04D25">
        <w:rPr>
          <w:sz w:val="20"/>
        </w:rPr>
        <w:t xml:space="preserve"> view of his estranged wife’s sexual involvement with another man after the couple had separated — found at trial to be the insult — cannot in law be sufficient to excuse a loss of control in the form of a homicidal rage and </w:t>
      </w:r>
      <w:r w:rsidRPr="00B04D25">
        <w:rPr>
          <w:sz w:val="20"/>
        </w:rPr>
        <w:lastRenderedPageBreak/>
        <w:t xml:space="preserve">constitute an excuse for the ordinary person of whatever personal circumstances or background.  Furthermore, there was nothing sudden about the </w:t>
      </w:r>
      <w:proofErr w:type="spellStart"/>
      <w:r w:rsidRPr="00B04D25">
        <w:rPr>
          <w:sz w:val="20"/>
        </w:rPr>
        <w:t>accused’s</w:t>
      </w:r>
      <w:proofErr w:type="spellEnd"/>
      <w:r w:rsidRPr="00B04D25">
        <w:rPr>
          <w:sz w:val="20"/>
        </w:rPr>
        <w:t xml:space="preserve"> discovery and it cannot be said that it struck upon a mind unprepared for it.</w:t>
      </w:r>
    </w:p>
    <w:p w:rsidR="00661748" w:rsidRDefault="00661748" w:rsidP="00155975">
      <w:pPr>
        <w:jc w:val="both"/>
        <w:rPr>
          <w:rFonts w:cs="Times New Roman"/>
          <w:sz w:val="20"/>
          <w:szCs w:val="20"/>
        </w:rPr>
      </w:pPr>
    </w:p>
    <w:p w:rsidR="00661748" w:rsidRPr="00B04D25" w:rsidRDefault="00661748" w:rsidP="00661748">
      <w:pPr>
        <w:jc w:val="both"/>
        <w:rPr>
          <w:sz w:val="20"/>
          <w:szCs w:val="20"/>
          <w:lang w:val="en-US"/>
        </w:rPr>
      </w:pPr>
      <w:r w:rsidRPr="00B04D25">
        <w:rPr>
          <w:sz w:val="20"/>
          <w:szCs w:val="20"/>
        </w:rPr>
        <w:tab/>
        <w:t>APPEAL from a judgment of the Court of Appeal of Alberta (</w:t>
      </w:r>
      <w:r w:rsidR="00857426" w:rsidRPr="00B04D25">
        <w:rPr>
          <w:sz w:val="20"/>
          <w:szCs w:val="20"/>
        </w:rPr>
        <w:fldChar w:fldCharType="begin"/>
      </w:r>
      <w:r w:rsidRPr="00B04D25">
        <w:rPr>
          <w:sz w:val="20"/>
          <w:szCs w:val="20"/>
        </w:rPr>
        <w:instrText xml:space="preserve"> SEQ CHAPTER \h \r 1</w:instrText>
      </w:r>
      <w:r w:rsidR="00857426" w:rsidRPr="00B04D25">
        <w:rPr>
          <w:sz w:val="20"/>
          <w:szCs w:val="20"/>
        </w:rPr>
        <w:fldChar w:fldCharType="end"/>
      </w:r>
      <w:r w:rsidRPr="00B04D25">
        <w:rPr>
          <w:sz w:val="20"/>
          <w:szCs w:val="20"/>
          <w:lang w:val="en-US"/>
        </w:rPr>
        <w:t>Hunt and Watson JJ.A. and Hillier J. (</w:t>
      </w:r>
      <w:r w:rsidRPr="00B04D25">
        <w:rPr>
          <w:i/>
          <w:sz w:val="20"/>
          <w:szCs w:val="20"/>
          <w:lang w:val="en-US"/>
        </w:rPr>
        <w:t>ad hoc</w:t>
      </w:r>
      <w:r w:rsidRPr="00B04D25">
        <w:rPr>
          <w:sz w:val="20"/>
          <w:szCs w:val="20"/>
          <w:lang w:val="en-US"/>
        </w:rPr>
        <w:t xml:space="preserve">)), </w:t>
      </w:r>
      <w:r w:rsidR="00857426" w:rsidRPr="00B04D25">
        <w:rPr>
          <w:sz w:val="20"/>
          <w:szCs w:val="20"/>
        </w:rPr>
        <w:fldChar w:fldCharType="begin"/>
      </w:r>
      <w:r w:rsidRPr="00B04D25">
        <w:rPr>
          <w:sz w:val="20"/>
          <w:szCs w:val="20"/>
        </w:rPr>
        <w:instrText xml:space="preserve"> SEQ CHAPTER \h \r 1</w:instrText>
      </w:r>
      <w:r w:rsidR="00857426" w:rsidRPr="00B04D25">
        <w:rPr>
          <w:sz w:val="20"/>
          <w:szCs w:val="20"/>
        </w:rPr>
        <w:fldChar w:fldCharType="end"/>
      </w:r>
      <w:r w:rsidRPr="00B04D25">
        <w:rPr>
          <w:sz w:val="20"/>
          <w:szCs w:val="20"/>
          <w:lang w:val="en-US"/>
        </w:rPr>
        <w:t xml:space="preserve">2008 ABCA 209, 91 Alta. L.R. (4th) 113, 432 A.R. 234, 424 W.A.C. 234, 58 C.R. (6th) 246, [2008] 9 W.W.R. 431, [2008] A.J. No. 587 (QL), 2008 </w:t>
      </w:r>
      <w:proofErr w:type="spellStart"/>
      <w:r w:rsidRPr="00B04D25">
        <w:rPr>
          <w:sz w:val="20"/>
          <w:szCs w:val="20"/>
          <w:lang w:val="en-US"/>
        </w:rPr>
        <w:t>CarswellAlta</w:t>
      </w:r>
      <w:proofErr w:type="spellEnd"/>
      <w:r w:rsidRPr="00B04D25">
        <w:rPr>
          <w:sz w:val="20"/>
          <w:szCs w:val="20"/>
          <w:lang w:val="en-US"/>
        </w:rPr>
        <w:t xml:space="preserve"> 709, setting aside the </w:t>
      </w:r>
      <w:proofErr w:type="spellStart"/>
      <w:r w:rsidRPr="00B04D25">
        <w:rPr>
          <w:sz w:val="20"/>
          <w:szCs w:val="20"/>
          <w:lang w:val="en-US"/>
        </w:rPr>
        <w:t>accused’s</w:t>
      </w:r>
      <w:proofErr w:type="spellEnd"/>
      <w:r w:rsidRPr="00B04D25">
        <w:rPr>
          <w:sz w:val="20"/>
          <w:szCs w:val="20"/>
          <w:lang w:val="en-US"/>
        </w:rPr>
        <w:t xml:space="preserve"> conviction for manslaughter and substituting a conviction for second degree murder.  Appeal dismissed.</w:t>
      </w:r>
    </w:p>
    <w:p w:rsidR="00661748" w:rsidRPr="00B04D25" w:rsidRDefault="00661748" w:rsidP="00661748">
      <w:pPr>
        <w:pStyle w:val="SCCNormalDoubleSpacing"/>
        <w:spacing w:line="240" w:lineRule="auto"/>
        <w:rPr>
          <w:sz w:val="20"/>
          <w:lang w:val="en-US"/>
        </w:rPr>
      </w:pPr>
    </w:p>
    <w:p w:rsidR="00661748" w:rsidRPr="00B04D25" w:rsidRDefault="00661748" w:rsidP="00661748">
      <w:pPr>
        <w:pStyle w:val="SCCNormalDoubleSpacing"/>
        <w:spacing w:line="240" w:lineRule="auto"/>
        <w:rPr>
          <w:sz w:val="20"/>
        </w:rPr>
      </w:pPr>
      <w:r w:rsidRPr="00B04D25">
        <w:rPr>
          <w:rStyle w:val="SCCCounselNameChar"/>
          <w:sz w:val="20"/>
        </w:rPr>
        <w:tab/>
        <w:t>Peter J. Royal, Q.C.</w:t>
      </w:r>
      <w:r w:rsidRPr="00661748">
        <w:rPr>
          <w:rStyle w:val="SCCCounselSeparatorChar"/>
          <w:sz w:val="20"/>
          <w:lang w:val="en-CA"/>
        </w:rPr>
        <w:t xml:space="preserve">, </w:t>
      </w:r>
      <w:r w:rsidRPr="00B04D25">
        <w:rPr>
          <w:rStyle w:val="SCCCounselPartyRoleChar"/>
          <w:sz w:val="20"/>
        </w:rPr>
        <w:t>for the appellant.</w:t>
      </w:r>
    </w:p>
    <w:p w:rsidR="00661748" w:rsidRPr="00B04D25" w:rsidRDefault="00661748" w:rsidP="00661748">
      <w:pPr>
        <w:pStyle w:val="SCCNormalDoubleSpacing"/>
        <w:spacing w:line="240" w:lineRule="auto"/>
        <w:rPr>
          <w:sz w:val="20"/>
        </w:rPr>
      </w:pPr>
    </w:p>
    <w:p w:rsidR="00661748" w:rsidRPr="00B04D25" w:rsidRDefault="00661748" w:rsidP="00661748">
      <w:pPr>
        <w:pStyle w:val="SCCNormalDoubleSpacing"/>
        <w:spacing w:line="240" w:lineRule="auto"/>
        <w:rPr>
          <w:sz w:val="20"/>
        </w:rPr>
      </w:pPr>
      <w:r w:rsidRPr="00B04D25">
        <w:rPr>
          <w:rStyle w:val="SCCCounselNameChar"/>
          <w:sz w:val="20"/>
        </w:rPr>
        <w:tab/>
      </w:r>
      <w:proofErr w:type="gramStart"/>
      <w:r w:rsidRPr="00B04D25">
        <w:rPr>
          <w:rStyle w:val="SCCCounselNameChar"/>
          <w:sz w:val="20"/>
        </w:rPr>
        <w:t>Susan D. Hughson, Q.C.</w:t>
      </w:r>
      <w:r w:rsidRPr="00661748">
        <w:rPr>
          <w:rStyle w:val="SCCCounselSeparatorChar"/>
          <w:sz w:val="20"/>
          <w:lang w:val="en-CA"/>
        </w:rPr>
        <w:t xml:space="preserve">, and </w:t>
      </w:r>
      <w:r w:rsidRPr="00B04D25">
        <w:rPr>
          <w:rStyle w:val="SCCCounselNameChar"/>
          <w:sz w:val="20"/>
        </w:rPr>
        <w:t>Jason Russell</w:t>
      </w:r>
      <w:r w:rsidRPr="00B04D25">
        <w:rPr>
          <w:rStyle w:val="SCCCounselPartyRoleChar"/>
          <w:sz w:val="20"/>
        </w:rPr>
        <w:t>, for the respondent.</w:t>
      </w:r>
      <w:proofErr w:type="gramEnd"/>
    </w:p>
    <w:p w:rsidR="00661748" w:rsidRPr="00B04D25" w:rsidRDefault="00661748" w:rsidP="00661748">
      <w:pPr>
        <w:pStyle w:val="SCCNormalDoubleSpacing"/>
        <w:spacing w:line="240" w:lineRule="auto"/>
        <w:rPr>
          <w:sz w:val="20"/>
        </w:rPr>
      </w:pPr>
    </w:p>
    <w:p w:rsidR="00661748" w:rsidRPr="00B04D25" w:rsidRDefault="00661748" w:rsidP="00661748">
      <w:pPr>
        <w:pStyle w:val="SCCNormalDoubleSpacing"/>
        <w:spacing w:line="240" w:lineRule="auto"/>
        <w:rPr>
          <w:sz w:val="20"/>
        </w:rPr>
      </w:pPr>
      <w:r w:rsidRPr="00B04D25">
        <w:rPr>
          <w:rStyle w:val="SCCCounselNameChar"/>
          <w:sz w:val="20"/>
        </w:rPr>
        <w:tab/>
      </w:r>
      <w:proofErr w:type="spellStart"/>
      <w:proofErr w:type="gramStart"/>
      <w:r w:rsidRPr="00B04D25">
        <w:rPr>
          <w:rStyle w:val="SCCCounselNameChar"/>
          <w:sz w:val="20"/>
        </w:rPr>
        <w:t>Riun</w:t>
      </w:r>
      <w:proofErr w:type="spellEnd"/>
      <w:r w:rsidRPr="00B04D25">
        <w:rPr>
          <w:rStyle w:val="SCCCounselNameChar"/>
          <w:sz w:val="20"/>
        </w:rPr>
        <w:t xml:space="preserve"> </w:t>
      </w:r>
      <w:proofErr w:type="spellStart"/>
      <w:r w:rsidRPr="00B04D25">
        <w:rPr>
          <w:rStyle w:val="SCCCounselNameChar"/>
          <w:sz w:val="20"/>
        </w:rPr>
        <w:t>Shandler</w:t>
      </w:r>
      <w:proofErr w:type="spellEnd"/>
      <w:r w:rsidRPr="00661748">
        <w:rPr>
          <w:rStyle w:val="SCCCounselSeparatorChar"/>
          <w:sz w:val="20"/>
          <w:lang w:val="en-CA"/>
        </w:rPr>
        <w:t xml:space="preserve"> and </w:t>
      </w:r>
      <w:r w:rsidRPr="00B04D25">
        <w:rPr>
          <w:rStyle w:val="SCCCounselNameChar"/>
          <w:sz w:val="20"/>
        </w:rPr>
        <w:t>Stacey D. Young</w:t>
      </w:r>
      <w:r w:rsidRPr="00B04D25">
        <w:rPr>
          <w:rStyle w:val="SCCCounselPartyRoleChar"/>
          <w:sz w:val="20"/>
        </w:rPr>
        <w:t>, for the intervener.</w:t>
      </w:r>
      <w:proofErr w:type="gramEnd"/>
    </w:p>
    <w:p w:rsidR="00661748" w:rsidRPr="00B04D25" w:rsidRDefault="00661748" w:rsidP="00661748">
      <w:pPr>
        <w:pStyle w:val="SCCNormalDoubleSpacing"/>
        <w:spacing w:line="240" w:lineRule="auto"/>
        <w:rPr>
          <w:sz w:val="20"/>
        </w:rPr>
      </w:pPr>
    </w:p>
    <w:p w:rsidR="00661748" w:rsidRPr="00B04D25" w:rsidRDefault="00661748" w:rsidP="00661748">
      <w:pPr>
        <w:pStyle w:val="SCCLawFirm"/>
        <w:spacing w:line="240" w:lineRule="auto"/>
        <w:rPr>
          <w:sz w:val="20"/>
        </w:rPr>
      </w:pPr>
      <w:r w:rsidRPr="00B04D25">
        <w:rPr>
          <w:sz w:val="20"/>
        </w:rPr>
        <w:tab/>
        <w:t xml:space="preserve">Solicitors for the appellant:  Royal </w:t>
      </w:r>
      <w:proofErr w:type="spellStart"/>
      <w:r w:rsidRPr="00B04D25">
        <w:rPr>
          <w:sz w:val="20"/>
        </w:rPr>
        <w:t>Teskey</w:t>
      </w:r>
      <w:proofErr w:type="spellEnd"/>
      <w:r w:rsidRPr="00B04D25">
        <w:rPr>
          <w:sz w:val="20"/>
        </w:rPr>
        <w:t>, Edmonton.</w:t>
      </w:r>
    </w:p>
    <w:p w:rsidR="00661748" w:rsidRPr="00B04D25" w:rsidRDefault="00661748" w:rsidP="00661748">
      <w:pPr>
        <w:pStyle w:val="SCCLawFirm"/>
        <w:spacing w:line="240" w:lineRule="auto"/>
        <w:rPr>
          <w:sz w:val="20"/>
        </w:rPr>
      </w:pPr>
    </w:p>
    <w:p w:rsidR="00661748" w:rsidRPr="00B04D25" w:rsidRDefault="00661748" w:rsidP="00661748">
      <w:pPr>
        <w:pStyle w:val="SCCLawFirm"/>
        <w:spacing w:line="240" w:lineRule="auto"/>
        <w:rPr>
          <w:sz w:val="20"/>
        </w:rPr>
      </w:pPr>
      <w:r w:rsidRPr="00B04D25">
        <w:rPr>
          <w:sz w:val="20"/>
        </w:rPr>
        <w:tab/>
        <w:t>Solicitor for the respondent:  Attorney General of Alberta, Calgary.</w:t>
      </w:r>
    </w:p>
    <w:p w:rsidR="00661748" w:rsidRPr="00B04D25" w:rsidRDefault="00661748" w:rsidP="00661748">
      <w:pPr>
        <w:pStyle w:val="SCCLawFirm"/>
        <w:spacing w:line="240" w:lineRule="auto"/>
        <w:rPr>
          <w:sz w:val="20"/>
        </w:rPr>
      </w:pPr>
    </w:p>
    <w:p w:rsidR="00661748" w:rsidRPr="00661748" w:rsidRDefault="00661748" w:rsidP="00661748">
      <w:pPr>
        <w:jc w:val="both"/>
        <w:rPr>
          <w:rFonts w:cs="Times New Roman"/>
          <w:i/>
          <w:sz w:val="20"/>
          <w:szCs w:val="20"/>
        </w:rPr>
      </w:pPr>
      <w:r w:rsidRPr="00B04D25">
        <w:rPr>
          <w:sz w:val="20"/>
          <w:szCs w:val="20"/>
        </w:rPr>
        <w:tab/>
      </w:r>
      <w:r w:rsidRPr="00661748">
        <w:rPr>
          <w:i/>
          <w:sz w:val="20"/>
          <w:szCs w:val="20"/>
        </w:rPr>
        <w:t>Solicitor for the intervener:  Attorney General of Ontario, Toronto.</w:t>
      </w:r>
    </w:p>
    <w:p w:rsidR="00155975" w:rsidRPr="00661748" w:rsidRDefault="00155975" w:rsidP="00155975">
      <w:pPr>
        <w:jc w:val="both"/>
        <w:rPr>
          <w:sz w:val="20"/>
          <w:szCs w:val="20"/>
          <w:lang w:val="fr-CA"/>
        </w:rPr>
      </w:pPr>
      <w:r w:rsidRPr="00661748">
        <w:rPr>
          <w:sz w:val="20"/>
          <w:szCs w:val="20"/>
          <w:lang w:val="fr-CA"/>
        </w:rPr>
        <w:t>________________________</w:t>
      </w:r>
    </w:p>
    <w:p w:rsidR="00155975" w:rsidRDefault="00155975" w:rsidP="00155975">
      <w:pPr>
        <w:rPr>
          <w:sz w:val="20"/>
          <w:szCs w:val="20"/>
          <w:lang w:val="fr-CA"/>
        </w:rPr>
      </w:pPr>
    </w:p>
    <w:p w:rsidR="00661748" w:rsidRPr="00661748" w:rsidRDefault="00661748" w:rsidP="00661748">
      <w:pPr>
        <w:jc w:val="both"/>
        <w:rPr>
          <w:sz w:val="20"/>
          <w:szCs w:val="20"/>
          <w:lang w:val="fr-CA"/>
        </w:rPr>
      </w:pPr>
      <w:r w:rsidRPr="00661748">
        <w:rPr>
          <w:sz w:val="20"/>
          <w:szCs w:val="20"/>
          <w:lang w:val="fr-CA"/>
        </w:rPr>
        <w:t xml:space="preserve">Présents : Les juges </w:t>
      </w:r>
      <w:proofErr w:type="spellStart"/>
      <w:r w:rsidRPr="00661748">
        <w:rPr>
          <w:sz w:val="20"/>
          <w:szCs w:val="20"/>
          <w:lang w:val="fr-CA"/>
        </w:rPr>
        <w:t>Binnie</w:t>
      </w:r>
      <w:proofErr w:type="spellEnd"/>
      <w:r w:rsidRPr="00661748">
        <w:rPr>
          <w:sz w:val="20"/>
          <w:szCs w:val="20"/>
          <w:lang w:val="fr-CA"/>
        </w:rPr>
        <w:t xml:space="preserve">, Deschamps, Fish, Abella, Charron, </w:t>
      </w:r>
      <w:proofErr w:type="spellStart"/>
      <w:r w:rsidRPr="00661748">
        <w:rPr>
          <w:sz w:val="20"/>
          <w:szCs w:val="20"/>
          <w:lang w:val="fr-CA"/>
        </w:rPr>
        <w:t>Rothstein</w:t>
      </w:r>
      <w:proofErr w:type="spellEnd"/>
      <w:r w:rsidRPr="00661748">
        <w:rPr>
          <w:sz w:val="20"/>
          <w:szCs w:val="20"/>
          <w:lang w:val="fr-CA"/>
        </w:rPr>
        <w:t xml:space="preserve"> et Cromwell.</w:t>
      </w:r>
    </w:p>
    <w:p w:rsidR="005C6840" w:rsidRDefault="005C6840" w:rsidP="005C6840">
      <w:pPr>
        <w:tabs>
          <w:tab w:val="left" w:pos="720"/>
        </w:tabs>
        <w:spacing w:line="0" w:lineRule="atLeast"/>
        <w:rPr>
          <w:sz w:val="20"/>
          <w:szCs w:val="20"/>
          <w:lang w:val="fr-CA"/>
        </w:rPr>
      </w:pPr>
    </w:p>
    <w:p w:rsidR="00661748" w:rsidRPr="00661748" w:rsidRDefault="00661748" w:rsidP="00661748">
      <w:pPr>
        <w:pStyle w:val="SCCNormalDoubleSpacing"/>
        <w:spacing w:line="240" w:lineRule="auto"/>
        <w:rPr>
          <w:i/>
          <w:sz w:val="20"/>
          <w:lang w:val="fr-CA"/>
        </w:rPr>
      </w:pPr>
      <w:r w:rsidRPr="003A718B">
        <w:rPr>
          <w:sz w:val="20"/>
          <w:lang w:val="fr-CA"/>
        </w:rPr>
        <w:tab/>
      </w:r>
      <w:r w:rsidRPr="00661748">
        <w:rPr>
          <w:i/>
          <w:sz w:val="20"/>
          <w:lang w:val="fr-CA"/>
        </w:rPr>
        <w:t xml:space="preserve">Droit criminel </w:t>
      </w:r>
      <w:r w:rsidR="00857426" w:rsidRPr="00EC010C">
        <w:rPr>
          <w:sz w:val="20"/>
        </w:rPr>
        <w:fldChar w:fldCharType="begin"/>
      </w:r>
      <w:r w:rsidRPr="00661748">
        <w:rPr>
          <w:sz w:val="20"/>
          <w:lang w:val="fr-CA"/>
        </w:rPr>
        <w:instrText xml:space="preserve"> SEQ CHAPTER \h \r 1</w:instrText>
      </w:r>
      <w:r w:rsidR="00857426" w:rsidRPr="00EC010C">
        <w:rPr>
          <w:sz w:val="20"/>
        </w:rPr>
        <w:fldChar w:fldCharType="end"/>
      </w:r>
      <w:r w:rsidRPr="00661748">
        <w:rPr>
          <w:sz w:val="20"/>
          <w:lang w:val="fr-CA"/>
        </w:rPr>
        <w:t>—</w:t>
      </w:r>
      <w:r w:rsidRPr="00661748">
        <w:rPr>
          <w:i/>
          <w:sz w:val="20"/>
          <w:lang w:val="fr-CA"/>
        </w:rPr>
        <w:t xml:space="preserve"> Moyens de défense </w:t>
      </w:r>
      <w:r w:rsidR="00857426" w:rsidRPr="00EC010C">
        <w:rPr>
          <w:sz w:val="20"/>
        </w:rPr>
        <w:fldChar w:fldCharType="begin"/>
      </w:r>
      <w:r w:rsidRPr="00661748">
        <w:rPr>
          <w:sz w:val="20"/>
          <w:lang w:val="fr-CA"/>
        </w:rPr>
        <w:instrText xml:space="preserve"> SEQ CHAPTER \h \r 1</w:instrText>
      </w:r>
      <w:r w:rsidR="00857426" w:rsidRPr="00EC010C">
        <w:rPr>
          <w:sz w:val="20"/>
        </w:rPr>
        <w:fldChar w:fldCharType="end"/>
      </w:r>
      <w:r w:rsidRPr="00661748">
        <w:rPr>
          <w:sz w:val="20"/>
          <w:lang w:val="fr-CA"/>
        </w:rPr>
        <w:t>—</w:t>
      </w:r>
      <w:r w:rsidRPr="00661748">
        <w:rPr>
          <w:i/>
          <w:sz w:val="20"/>
          <w:lang w:val="fr-CA"/>
        </w:rPr>
        <w:t xml:space="preserve"> Provocation </w:t>
      </w:r>
      <w:r w:rsidR="00857426" w:rsidRPr="00EC010C">
        <w:rPr>
          <w:sz w:val="20"/>
        </w:rPr>
        <w:fldChar w:fldCharType="begin"/>
      </w:r>
      <w:r w:rsidRPr="00661748">
        <w:rPr>
          <w:sz w:val="20"/>
          <w:lang w:val="fr-CA"/>
        </w:rPr>
        <w:instrText xml:space="preserve"> SEQ CHAPTER \h \r 1</w:instrText>
      </w:r>
      <w:r w:rsidR="00857426" w:rsidRPr="00EC010C">
        <w:rPr>
          <w:sz w:val="20"/>
        </w:rPr>
        <w:fldChar w:fldCharType="end"/>
      </w:r>
      <w:r w:rsidRPr="00661748">
        <w:rPr>
          <w:sz w:val="20"/>
          <w:lang w:val="fr-CA"/>
        </w:rPr>
        <w:t>—</w:t>
      </w:r>
      <w:r w:rsidRPr="00661748">
        <w:rPr>
          <w:i/>
          <w:sz w:val="20"/>
          <w:lang w:val="fr-CA"/>
        </w:rPr>
        <w:t xml:space="preserve"> Composantes objective et subjective de la provocation </w:t>
      </w:r>
      <w:r w:rsidR="00857426" w:rsidRPr="00EC010C">
        <w:rPr>
          <w:sz w:val="20"/>
        </w:rPr>
        <w:fldChar w:fldCharType="begin"/>
      </w:r>
      <w:r w:rsidRPr="00661748">
        <w:rPr>
          <w:sz w:val="20"/>
          <w:lang w:val="fr-CA"/>
        </w:rPr>
        <w:instrText xml:space="preserve"> SEQ CHAPTER \h \r 1</w:instrText>
      </w:r>
      <w:r w:rsidR="00857426" w:rsidRPr="00EC010C">
        <w:rPr>
          <w:sz w:val="20"/>
        </w:rPr>
        <w:fldChar w:fldCharType="end"/>
      </w:r>
      <w:r w:rsidRPr="00661748">
        <w:rPr>
          <w:sz w:val="20"/>
          <w:lang w:val="fr-CA"/>
        </w:rPr>
        <w:t>—</w:t>
      </w:r>
      <w:r w:rsidRPr="00661748">
        <w:rPr>
          <w:i/>
          <w:sz w:val="20"/>
          <w:lang w:val="fr-CA"/>
        </w:rPr>
        <w:t xml:space="preserve"> La liaison de l’</w:t>
      </w:r>
      <w:proofErr w:type="spellStart"/>
      <w:r w:rsidRPr="00661748">
        <w:rPr>
          <w:i/>
          <w:sz w:val="20"/>
          <w:lang w:val="fr-CA"/>
        </w:rPr>
        <w:t>ex</w:t>
      </w:r>
      <w:r w:rsidRPr="00661748">
        <w:rPr>
          <w:i/>
          <w:sz w:val="20"/>
          <w:lang w:val="fr-CA"/>
        </w:rPr>
        <w:noBreakHyphen/>
        <w:t>épouse</w:t>
      </w:r>
      <w:proofErr w:type="spellEnd"/>
      <w:r w:rsidRPr="00661748">
        <w:rPr>
          <w:i/>
          <w:sz w:val="20"/>
          <w:lang w:val="fr-CA"/>
        </w:rPr>
        <w:t xml:space="preserve"> avec un autre homme après sa séparation d’avec l’accusé </w:t>
      </w:r>
      <w:proofErr w:type="spellStart"/>
      <w:r w:rsidRPr="00661748">
        <w:rPr>
          <w:i/>
          <w:sz w:val="20"/>
          <w:lang w:val="fr-CA"/>
        </w:rPr>
        <w:t>constituait</w:t>
      </w:r>
      <w:r w:rsidRPr="00661748">
        <w:rPr>
          <w:i/>
          <w:sz w:val="20"/>
          <w:lang w:val="fr-CA"/>
        </w:rPr>
        <w:noBreakHyphen/>
        <w:t>elle</w:t>
      </w:r>
      <w:proofErr w:type="spellEnd"/>
      <w:r w:rsidRPr="00661748">
        <w:rPr>
          <w:i/>
          <w:sz w:val="20"/>
          <w:lang w:val="fr-CA"/>
        </w:rPr>
        <w:t xml:space="preserve"> une «insulte» suffisante pour priver ce dernier du pouvoir de se maîtriser? </w:t>
      </w:r>
      <w:r w:rsidR="00857426" w:rsidRPr="00EC010C">
        <w:rPr>
          <w:sz w:val="20"/>
        </w:rPr>
        <w:fldChar w:fldCharType="begin"/>
      </w:r>
      <w:r w:rsidRPr="00661748">
        <w:rPr>
          <w:sz w:val="20"/>
          <w:lang w:val="fr-CA"/>
        </w:rPr>
        <w:instrText xml:space="preserve"> SEQ CHAPTER \h \r 1</w:instrText>
      </w:r>
      <w:r w:rsidR="00857426" w:rsidRPr="00EC010C">
        <w:rPr>
          <w:sz w:val="20"/>
        </w:rPr>
        <w:fldChar w:fldCharType="end"/>
      </w:r>
      <w:r w:rsidRPr="00661748">
        <w:rPr>
          <w:sz w:val="20"/>
          <w:lang w:val="fr-CA"/>
        </w:rPr>
        <w:t>—</w:t>
      </w:r>
      <w:r w:rsidRPr="00661748">
        <w:rPr>
          <w:i/>
          <w:sz w:val="20"/>
          <w:lang w:val="fr-CA"/>
        </w:rPr>
        <w:t xml:space="preserve"> </w:t>
      </w:r>
      <w:proofErr w:type="spellStart"/>
      <w:r w:rsidRPr="00661748">
        <w:rPr>
          <w:i/>
          <w:sz w:val="20"/>
          <w:lang w:val="fr-CA"/>
        </w:rPr>
        <w:t>Était</w:t>
      </w:r>
      <w:r w:rsidRPr="00661748">
        <w:rPr>
          <w:i/>
          <w:sz w:val="20"/>
          <w:lang w:val="fr-CA"/>
        </w:rPr>
        <w:noBreakHyphen/>
        <w:t>il</w:t>
      </w:r>
      <w:proofErr w:type="spellEnd"/>
      <w:r w:rsidRPr="00661748">
        <w:rPr>
          <w:i/>
          <w:sz w:val="20"/>
          <w:lang w:val="fr-CA"/>
        </w:rPr>
        <w:t xml:space="preserve"> vraisemblable que l’accusé ait agi sous l’impulsion du moment lors de la perpétration de l’homicide? </w:t>
      </w:r>
      <w:r w:rsidRPr="00661748">
        <w:rPr>
          <w:sz w:val="20"/>
          <w:lang w:val="fr-CA"/>
        </w:rPr>
        <w:t>—</w:t>
      </w:r>
      <w:r w:rsidRPr="00661748">
        <w:rPr>
          <w:i/>
          <w:sz w:val="20"/>
          <w:lang w:val="fr-CA"/>
        </w:rPr>
        <w:t xml:space="preserve"> Définition d’« insulte » </w:t>
      </w:r>
      <w:r w:rsidR="00857426" w:rsidRPr="00EC010C">
        <w:rPr>
          <w:sz w:val="20"/>
        </w:rPr>
        <w:fldChar w:fldCharType="begin"/>
      </w:r>
      <w:r w:rsidRPr="00661748">
        <w:rPr>
          <w:sz w:val="20"/>
          <w:lang w:val="fr-CA"/>
        </w:rPr>
        <w:instrText xml:space="preserve"> SEQ CHAPTER \h \r 1</w:instrText>
      </w:r>
      <w:r w:rsidR="00857426" w:rsidRPr="00EC010C">
        <w:rPr>
          <w:sz w:val="20"/>
        </w:rPr>
        <w:fldChar w:fldCharType="end"/>
      </w:r>
      <w:r w:rsidRPr="00661748">
        <w:rPr>
          <w:sz w:val="20"/>
          <w:lang w:val="fr-CA"/>
        </w:rPr>
        <w:t>—</w:t>
      </w:r>
      <w:r w:rsidRPr="00661748">
        <w:rPr>
          <w:i/>
          <w:sz w:val="20"/>
          <w:lang w:val="fr-CA"/>
        </w:rPr>
        <w:t xml:space="preserve"> Code criminel, L.R.C. 1985, ch. C</w:t>
      </w:r>
      <w:r w:rsidRPr="00661748">
        <w:rPr>
          <w:i/>
          <w:sz w:val="20"/>
          <w:lang w:val="fr-CA"/>
        </w:rPr>
        <w:noBreakHyphen/>
        <w:t>46, art. 232.</w:t>
      </w:r>
    </w:p>
    <w:p w:rsidR="00661748" w:rsidRPr="00661748" w:rsidRDefault="00661748" w:rsidP="00661748">
      <w:pPr>
        <w:pStyle w:val="SCCNormalDoubleSpacing"/>
        <w:spacing w:line="240" w:lineRule="auto"/>
        <w:rPr>
          <w:sz w:val="20"/>
          <w:lang w:val="fr-CA"/>
        </w:rPr>
      </w:pPr>
    </w:p>
    <w:p w:rsidR="00661748" w:rsidRPr="00661748" w:rsidRDefault="00661748" w:rsidP="00661748">
      <w:pPr>
        <w:pStyle w:val="SCCNormalDoubleSpacing"/>
        <w:spacing w:line="240" w:lineRule="auto"/>
        <w:rPr>
          <w:sz w:val="20"/>
          <w:lang w:val="fr-CA"/>
        </w:rPr>
      </w:pPr>
      <w:r w:rsidRPr="00661748">
        <w:rPr>
          <w:sz w:val="20"/>
          <w:lang w:val="fr-CA"/>
        </w:rPr>
        <w:tab/>
        <w:t xml:space="preserve">L’accusé était au courant de la liaison de son </w:t>
      </w:r>
      <w:proofErr w:type="spellStart"/>
      <w:r w:rsidRPr="00661748">
        <w:rPr>
          <w:sz w:val="20"/>
          <w:lang w:val="fr-CA"/>
        </w:rPr>
        <w:t>ex</w:t>
      </w:r>
      <w:r w:rsidRPr="00661748">
        <w:rPr>
          <w:sz w:val="20"/>
          <w:lang w:val="fr-CA"/>
        </w:rPr>
        <w:noBreakHyphen/>
        <w:t>épouse</w:t>
      </w:r>
      <w:proofErr w:type="spellEnd"/>
      <w:r w:rsidRPr="00661748">
        <w:rPr>
          <w:sz w:val="20"/>
          <w:lang w:val="fr-CA"/>
        </w:rPr>
        <w:t xml:space="preserve"> avec un autre homme. Un </w:t>
      </w:r>
      <w:proofErr w:type="spellStart"/>
      <w:r w:rsidRPr="00661748">
        <w:rPr>
          <w:sz w:val="20"/>
          <w:lang w:val="fr-CA"/>
        </w:rPr>
        <w:t>après</w:t>
      </w:r>
      <w:r w:rsidRPr="00661748">
        <w:rPr>
          <w:sz w:val="20"/>
          <w:lang w:val="fr-CA"/>
        </w:rPr>
        <w:noBreakHyphen/>
        <w:t>midi</w:t>
      </w:r>
      <w:proofErr w:type="spellEnd"/>
      <w:r w:rsidRPr="00661748">
        <w:rPr>
          <w:sz w:val="20"/>
          <w:lang w:val="fr-CA"/>
        </w:rPr>
        <w:t xml:space="preserve">, il s’est introduit dans la demeure de son </w:t>
      </w:r>
      <w:proofErr w:type="spellStart"/>
      <w:r w:rsidRPr="00661748">
        <w:rPr>
          <w:sz w:val="20"/>
          <w:lang w:val="fr-CA"/>
        </w:rPr>
        <w:t>ex</w:t>
      </w:r>
      <w:r w:rsidRPr="00661748">
        <w:rPr>
          <w:sz w:val="20"/>
          <w:lang w:val="fr-CA"/>
        </w:rPr>
        <w:noBreakHyphen/>
        <w:t>épouse</w:t>
      </w:r>
      <w:proofErr w:type="spellEnd"/>
      <w:r w:rsidRPr="00661748">
        <w:rPr>
          <w:sz w:val="20"/>
          <w:lang w:val="fr-CA"/>
        </w:rPr>
        <w:t>, sans y être attendu ni y avoir été invité, et il l’a trouvée au lit avec son amoureux.  L’accusé s’en est brutalement pris aux deux, tuant l’amoureux de multiples coups de couteau.  Après avoir fait droit à la défense de provocation, la juge du procès l’a acquitté de meurtre, mais elle l’a reconnu coupable d’homicide involontaire coupable.  La Cour d’appel a accueilli l’appel du ministère public et a plutôt déclaré l’accusé coupable de meurtre au deuxième degré.</w:t>
      </w:r>
    </w:p>
    <w:p w:rsidR="00661748" w:rsidRPr="00661748" w:rsidRDefault="00661748" w:rsidP="00661748">
      <w:pPr>
        <w:pStyle w:val="SCCNormalDoubleSpacing"/>
        <w:spacing w:line="240" w:lineRule="auto"/>
        <w:rPr>
          <w:sz w:val="20"/>
          <w:lang w:val="fr-CA"/>
        </w:rPr>
      </w:pPr>
    </w:p>
    <w:p w:rsidR="00661748" w:rsidRPr="00661748" w:rsidRDefault="00661748" w:rsidP="00661748">
      <w:pPr>
        <w:pStyle w:val="SCCNormalDoubleSpacing"/>
        <w:spacing w:line="240" w:lineRule="auto"/>
        <w:rPr>
          <w:sz w:val="20"/>
          <w:lang w:val="fr-CA"/>
        </w:rPr>
      </w:pPr>
      <w:r w:rsidRPr="00661748">
        <w:rPr>
          <w:sz w:val="20"/>
          <w:lang w:val="fr-CA"/>
        </w:rPr>
        <w:tab/>
      </w:r>
      <w:r w:rsidRPr="00661748">
        <w:rPr>
          <w:i/>
          <w:sz w:val="20"/>
          <w:lang w:val="fr-CA"/>
        </w:rPr>
        <w:t>Arrêt</w:t>
      </w:r>
      <w:r w:rsidRPr="00661748">
        <w:rPr>
          <w:sz w:val="20"/>
          <w:lang w:val="fr-CA"/>
        </w:rPr>
        <w:t> </w:t>
      </w:r>
      <w:r w:rsidRPr="00EC010C">
        <w:rPr>
          <w:rStyle w:val="QuoteChar"/>
          <w:sz w:val="20"/>
        </w:rPr>
        <w:t>:</w:t>
      </w:r>
      <w:r w:rsidRPr="00661748">
        <w:rPr>
          <w:sz w:val="20"/>
          <w:lang w:val="fr-CA"/>
        </w:rPr>
        <w:t> Le pourvoi est rejeté.</w:t>
      </w:r>
    </w:p>
    <w:p w:rsidR="00661748" w:rsidRPr="00EC010C" w:rsidRDefault="00661748" w:rsidP="00661748">
      <w:pPr>
        <w:pStyle w:val="ListParagraph"/>
        <w:spacing w:before="240" w:after="480"/>
        <w:ind w:left="0"/>
        <w:jc w:val="both"/>
        <w:rPr>
          <w:sz w:val="20"/>
          <w:szCs w:val="20"/>
          <w:lang w:val="fr-CA"/>
        </w:rPr>
      </w:pPr>
      <w:r w:rsidRPr="00EC010C">
        <w:rPr>
          <w:sz w:val="20"/>
          <w:szCs w:val="20"/>
          <w:lang w:val="fr-CA"/>
        </w:rPr>
        <w:tab/>
        <w:t xml:space="preserve">La provocation est un moyen de défense partiel qui ne s’applique qu’à l’homicide et qui permet de réduire le meurtre à un homicide involontaire coupable.  Suivant l’art. 232 du </w:t>
      </w:r>
      <w:r w:rsidRPr="00EC010C">
        <w:rPr>
          <w:i/>
          <w:sz w:val="20"/>
          <w:szCs w:val="20"/>
          <w:lang w:val="fr-CA"/>
        </w:rPr>
        <w:t>Code criminel</w:t>
      </w:r>
      <w:r w:rsidRPr="00EC010C">
        <w:rPr>
          <w:sz w:val="20"/>
          <w:szCs w:val="20"/>
          <w:lang w:val="fr-CA"/>
        </w:rPr>
        <w:t xml:space="preserve">, elle comporte à la fois un volet objectif et un volet subjectif.  Une fois établi que l’action injuste ou l’insulte était suffisante pour priver une personne ordinaire du pouvoir de se maîtriser, il faut se pencher sur le volet subjectif du moyen de défense, à savoir si l’accusé a agi en réaction à la provocation et sous l’impulsion du moment, avant d’avoir eu le temps de reprendre son </w:t>
      </w:r>
      <w:proofErr w:type="spellStart"/>
      <w:r w:rsidRPr="00EC010C">
        <w:rPr>
          <w:sz w:val="20"/>
          <w:szCs w:val="20"/>
          <w:lang w:val="fr-CA"/>
        </w:rPr>
        <w:t>sang</w:t>
      </w:r>
      <w:r w:rsidRPr="00EC010C">
        <w:rPr>
          <w:sz w:val="20"/>
          <w:szCs w:val="20"/>
          <w:lang w:val="fr-CA"/>
        </w:rPr>
        <w:noBreakHyphen/>
        <w:t>froid</w:t>
      </w:r>
      <w:proofErr w:type="spellEnd"/>
      <w:r w:rsidRPr="00EC010C">
        <w:rPr>
          <w:sz w:val="20"/>
          <w:szCs w:val="20"/>
          <w:lang w:val="fr-CA"/>
        </w:rPr>
        <w:t>.</w:t>
      </w:r>
    </w:p>
    <w:p w:rsidR="00661748" w:rsidRDefault="00661748" w:rsidP="00661748">
      <w:pPr>
        <w:pStyle w:val="ListParagraph"/>
        <w:tabs>
          <w:tab w:val="left" w:pos="1170"/>
        </w:tabs>
        <w:spacing w:before="240" w:after="480"/>
        <w:ind w:left="0"/>
        <w:jc w:val="both"/>
        <w:rPr>
          <w:sz w:val="20"/>
          <w:szCs w:val="20"/>
          <w:lang w:val="fr-CA"/>
        </w:rPr>
      </w:pPr>
    </w:p>
    <w:p w:rsidR="00661748" w:rsidRPr="00EC010C" w:rsidRDefault="00661748" w:rsidP="00661748">
      <w:pPr>
        <w:pStyle w:val="ListParagraph"/>
        <w:spacing w:before="240" w:after="480"/>
        <w:ind w:left="0"/>
        <w:jc w:val="both"/>
        <w:rPr>
          <w:sz w:val="20"/>
          <w:szCs w:val="20"/>
          <w:lang w:val="fr-CA"/>
        </w:rPr>
      </w:pPr>
      <w:r w:rsidRPr="00EC010C">
        <w:rPr>
          <w:sz w:val="20"/>
          <w:szCs w:val="20"/>
          <w:lang w:val="fr-CA"/>
        </w:rPr>
        <w:tab/>
        <w:t xml:space="preserve">La notion de « personne ordinaire » est circonscrite en fonction des normes de comportement actuelles, y compris les valeurs fondamentales comme la recherche de l’égalité consacrée par la </w:t>
      </w:r>
      <w:r w:rsidRPr="00EC010C">
        <w:rPr>
          <w:i/>
          <w:sz w:val="20"/>
          <w:szCs w:val="20"/>
          <w:lang w:val="fr-CA"/>
        </w:rPr>
        <w:t>Charte canadienne des droits et libertés</w:t>
      </w:r>
      <w:r w:rsidRPr="00EC010C">
        <w:rPr>
          <w:sz w:val="20"/>
          <w:szCs w:val="20"/>
          <w:lang w:val="fr-CA"/>
        </w:rPr>
        <w:t>.  L’accusé doit avoir eu le sentiment justifié de subir une injustice.  La principale difficulté soulevée par l’application de la norme objective est de savoir dans quelle mesure les caractéristiques et la situation personnelles de l’accusé doivent être prises en compte.  Une interprétation stricte de la notion de « personne ordinaire » fait abstraction de données contextuelles pertinentes.  À l’inverse, une approche individualisée mène à une situation anormale si toutes les caractéristiques de l’accusé sont prises en compte; elle fait aussi abstraction du principe fondamental voulant que le droit criminel s’attache à l’établissement de normes de comportement humain.</w:t>
      </w:r>
    </w:p>
    <w:p w:rsidR="00661748" w:rsidRDefault="00661748" w:rsidP="00661748">
      <w:pPr>
        <w:pStyle w:val="ListParagraph"/>
        <w:spacing w:before="240" w:after="480"/>
        <w:ind w:left="0"/>
        <w:jc w:val="both"/>
        <w:rPr>
          <w:sz w:val="20"/>
          <w:szCs w:val="20"/>
          <w:lang w:val="fr-CA"/>
        </w:rPr>
      </w:pPr>
    </w:p>
    <w:p w:rsidR="00661748" w:rsidRPr="00EC010C" w:rsidRDefault="00661748" w:rsidP="00661748">
      <w:pPr>
        <w:pStyle w:val="ListParagraph"/>
        <w:spacing w:before="240" w:after="480"/>
        <w:ind w:left="0"/>
        <w:jc w:val="both"/>
        <w:rPr>
          <w:sz w:val="20"/>
          <w:szCs w:val="20"/>
          <w:lang w:val="fr-CA"/>
        </w:rPr>
      </w:pPr>
      <w:r w:rsidRPr="00EC010C">
        <w:rPr>
          <w:sz w:val="20"/>
          <w:szCs w:val="20"/>
          <w:lang w:val="fr-CA"/>
        </w:rPr>
        <w:tab/>
        <w:t xml:space="preserve">Il importe de ne pas bouleverser la logique de l’examen objectif.  La bonne démarche est celle qui tient compte de certaines des caractéristiques personnelles de l’accusé, mais pas de toutes.  La situation personnelle peut importer </w:t>
      </w:r>
      <w:r w:rsidRPr="00EC010C">
        <w:rPr>
          <w:sz w:val="20"/>
          <w:szCs w:val="20"/>
          <w:lang w:val="fr-CA"/>
        </w:rPr>
        <w:lastRenderedPageBreak/>
        <w:t xml:space="preserve">pour déterminer si l’accusé a de fait été provoqué </w:t>
      </w:r>
      <w:r w:rsidR="00857426" w:rsidRPr="00EC010C">
        <w:rPr>
          <w:sz w:val="20"/>
          <w:szCs w:val="20"/>
        </w:rPr>
        <w:fldChar w:fldCharType="begin"/>
      </w:r>
      <w:r w:rsidRPr="00EC010C">
        <w:rPr>
          <w:sz w:val="20"/>
          <w:szCs w:val="20"/>
          <w:lang w:val="fr-CA"/>
        </w:rPr>
        <w:instrText xml:space="preserve"> SEQ CHAPTER \h \r 1</w:instrText>
      </w:r>
      <w:r w:rsidR="00857426" w:rsidRPr="00EC010C">
        <w:rPr>
          <w:sz w:val="20"/>
          <w:szCs w:val="20"/>
        </w:rPr>
        <w:fldChar w:fldCharType="end"/>
      </w:r>
      <w:r w:rsidRPr="00EC010C">
        <w:rPr>
          <w:sz w:val="20"/>
          <w:szCs w:val="20"/>
          <w:lang w:val="fr-CA"/>
        </w:rPr>
        <w:t xml:space="preserve">— l’élément subjectif du moyen de défense </w:t>
      </w:r>
      <w:r w:rsidR="00857426" w:rsidRPr="00EC010C">
        <w:rPr>
          <w:sz w:val="20"/>
          <w:szCs w:val="20"/>
        </w:rPr>
        <w:fldChar w:fldCharType="begin"/>
      </w:r>
      <w:r w:rsidRPr="00EC010C">
        <w:rPr>
          <w:sz w:val="20"/>
          <w:szCs w:val="20"/>
          <w:lang w:val="fr-CA"/>
        </w:rPr>
        <w:instrText xml:space="preserve"> SEQ CHAPTER \h \r 1</w:instrText>
      </w:r>
      <w:r w:rsidR="00857426" w:rsidRPr="00EC010C">
        <w:rPr>
          <w:sz w:val="20"/>
          <w:szCs w:val="20"/>
        </w:rPr>
        <w:fldChar w:fldCharType="end"/>
      </w:r>
      <w:r w:rsidRPr="00EC010C">
        <w:rPr>
          <w:sz w:val="20"/>
          <w:szCs w:val="20"/>
          <w:lang w:val="fr-CA"/>
        </w:rPr>
        <w:t xml:space="preserve">—, mais elle n’a pas pour effet de modifier la norme de la personne ordinaire pour qu’elle convienne à l’individu accusé.  Il existe une distinction importante entre la </w:t>
      </w:r>
      <w:proofErr w:type="spellStart"/>
      <w:r w:rsidRPr="00EC010C">
        <w:rPr>
          <w:sz w:val="20"/>
          <w:szCs w:val="20"/>
          <w:lang w:val="fr-CA"/>
        </w:rPr>
        <w:t>contextualisation</w:t>
      </w:r>
      <w:proofErr w:type="spellEnd"/>
      <w:r w:rsidRPr="00EC010C">
        <w:rPr>
          <w:sz w:val="20"/>
          <w:szCs w:val="20"/>
          <w:lang w:val="fr-CA"/>
        </w:rPr>
        <w:t xml:space="preserve"> de la norme objective, qui est nécessaire et opportune, et son individualisation, qui contrecarre son objectif même.</w:t>
      </w:r>
    </w:p>
    <w:p w:rsidR="00661748" w:rsidRDefault="00661748" w:rsidP="00661748">
      <w:pPr>
        <w:pStyle w:val="ListParagraph"/>
        <w:tabs>
          <w:tab w:val="left" w:pos="1170"/>
        </w:tabs>
        <w:spacing w:before="240" w:after="480"/>
        <w:ind w:left="0"/>
        <w:jc w:val="both"/>
        <w:rPr>
          <w:sz w:val="20"/>
          <w:szCs w:val="20"/>
          <w:lang w:val="fr-CA"/>
        </w:rPr>
      </w:pPr>
    </w:p>
    <w:p w:rsidR="00661748" w:rsidRPr="00EC010C" w:rsidRDefault="00661748" w:rsidP="00661748">
      <w:pPr>
        <w:pStyle w:val="ListParagraph"/>
        <w:spacing w:before="240" w:after="480"/>
        <w:ind w:left="0"/>
        <w:jc w:val="both"/>
        <w:rPr>
          <w:sz w:val="20"/>
          <w:szCs w:val="20"/>
          <w:lang w:val="fr-CA"/>
        </w:rPr>
      </w:pPr>
      <w:r w:rsidRPr="00EC010C">
        <w:rPr>
          <w:sz w:val="20"/>
          <w:szCs w:val="20"/>
          <w:lang w:val="fr-CA"/>
        </w:rPr>
        <w:tab/>
        <w:t>Le volet subjectif de la défense de provocation s’attache à la perception subjective des circonstances par l’accusé, notamment ce qu’il croyait, ce qu’il voulait ou ce qu’il savait.  Il faut que l’accusé ait tué parce qu’il a été provoqué et non seulement parce qu’il y a eu provocation.  La soudaineté est exigée pour distinguer l’acte motivé par la vengeance de l’acte qui est provoqué.  Elle s’applique tant à l’acte de provocation qu’à la réaction de l’accusé.</w:t>
      </w:r>
    </w:p>
    <w:p w:rsidR="00661748" w:rsidRDefault="00661748" w:rsidP="00661748">
      <w:pPr>
        <w:pStyle w:val="ListParagraph"/>
        <w:spacing w:after="480"/>
        <w:ind w:left="0"/>
        <w:jc w:val="both"/>
        <w:rPr>
          <w:sz w:val="20"/>
          <w:szCs w:val="20"/>
          <w:lang w:val="fr-CA"/>
        </w:rPr>
      </w:pPr>
    </w:p>
    <w:p w:rsidR="00661748" w:rsidRPr="00EC010C" w:rsidRDefault="00661748" w:rsidP="00661748">
      <w:pPr>
        <w:pStyle w:val="ListParagraph"/>
        <w:ind w:left="0"/>
        <w:jc w:val="both"/>
        <w:rPr>
          <w:sz w:val="20"/>
          <w:szCs w:val="20"/>
          <w:lang w:val="fr-CA"/>
        </w:rPr>
      </w:pPr>
      <w:r w:rsidRPr="00EC010C">
        <w:rPr>
          <w:sz w:val="20"/>
          <w:szCs w:val="20"/>
          <w:lang w:val="fr-CA"/>
        </w:rPr>
        <w:tab/>
        <w:t xml:space="preserve">En l’espèce, compte tenu des conclusions de fait de la juge du procès et des éléments de preuve non contestés, la provocation n’était pas vraisemblable.  La conduite en cause n’équivaut pas à une « insulte » au sens de l’art. 232 du </w:t>
      </w:r>
      <w:r w:rsidRPr="00EC010C">
        <w:rPr>
          <w:i/>
          <w:sz w:val="20"/>
          <w:szCs w:val="20"/>
          <w:lang w:val="fr-CA"/>
        </w:rPr>
        <w:t>Code criminel</w:t>
      </w:r>
      <w:r w:rsidRPr="00EC010C">
        <w:rPr>
          <w:sz w:val="20"/>
          <w:szCs w:val="20"/>
          <w:lang w:val="fr-CA"/>
        </w:rPr>
        <w:t xml:space="preserve"> comme le prétend l’accusé, et elle ne satisfait pas non plus à l’exigence de la soudaineté.  La découverte de la liaison de l’</w:t>
      </w:r>
      <w:proofErr w:type="spellStart"/>
      <w:r w:rsidRPr="00EC010C">
        <w:rPr>
          <w:sz w:val="20"/>
          <w:szCs w:val="20"/>
          <w:lang w:val="fr-CA"/>
        </w:rPr>
        <w:t>ex</w:t>
      </w:r>
      <w:r w:rsidRPr="00EC010C">
        <w:rPr>
          <w:sz w:val="20"/>
          <w:szCs w:val="20"/>
          <w:lang w:val="fr-CA"/>
        </w:rPr>
        <w:noBreakHyphen/>
        <w:t>épouse</w:t>
      </w:r>
      <w:proofErr w:type="spellEnd"/>
      <w:r w:rsidRPr="00EC010C">
        <w:rPr>
          <w:sz w:val="20"/>
          <w:szCs w:val="20"/>
          <w:lang w:val="fr-CA"/>
        </w:rPr>
        <w:t xml:space="preserve"> avec un autre homme ne constitue pas une « insulte » au sens de l’art. 232 du </w:t>
      </w:r>
      <w:r w:rsidRPr="00EC010C">
        <w:rPr>
          <w:i/>
          <w:sz w:val="20"/>
          <w:szCs w:val="20"/>
          <w:lang w:val="fr-CA"/>
        </w:rPr>
        <w:t>Code criminel</w:t>
      </w:r>
      <w:r w:rsidRPr="00EC010C">
        <w:rPr>
          <w:sz w:val="20"/>
          <w:szCs w:val="20"/>
          <w:lang w:val="fr-CA"/>
        </w:rPr>
        <w:t xml:space="preserve">. La vue par l’accusé de son </w:t>
      </w:r>
      <w:proofErr w:type="spellStart"/>
      <w:r w:rsidRPr="00EC010C">
        <w:rPr>
          <w:sz w:val="20"/>
          <w:szCs w:val="20"/>
          <w:lang w:val="fr-CA"/>
        </w:rPr>
        <w:t>ex</w:t>
      </w:r>
      <w:r w:rsidRPr="00EC010C">
        <w:rPr>
          <w:sz w:val="20"/>
          <w:szCs w:val="20"/>
          <w:lang w:val="fr-CA"/>
        </w:rPr>
        <w:noBreakHyphen/>
        <w:t>épouse</w:t>
      </w:r>
      <w:proofErr w:type="spellEnd"/>
      <w:r w:rsidRPr="00EC010C">
        <w:rPr>
          <w:sz w:val="20"/>
          <w:szCs w:val="20"/>
          <w:lang w:val="fr-CA"/>
        </w:rPr>
        <w:t xml:space="preserve"> au lit avec un autre homme après leur séparation — ce qui a été assimilé à une « insulte » lors du procès — ne saurait légalement suffire à excuser une perte de maîtrise de soi revêtant la forme d’une fureur homicide ni constituer une excuse pour une personne ordinaire quels que soient sa situation personnelle ou ses antécédents.  Aussi, la découverte faite par l’accusé n’a rien eu de soudain et on ne saurait la qualifier d’inattendue.</w:t>
      </w:r>
    </w:p>
    <w:p w:rsidR="00661748" w:rsidRDefault="00661748" w:rsidP="005C6840">
      <w:pPr>
        <w:tabs>
          <w:tab w:val="left" w:pos="720"/>
        </w:tabs>
        <w:spacing w:line="0" w:lineRule="atLeast"/>
        <w:rPr>
          <w:sz w:val="20"/>
          <w:szCs w:val="20"/>
          <w:lang w:val="fr-CA"/>
        </w:rPr>
      </w:pPr>
    </w:p>
    <w:p w:rsidR="00661748" w:rsidRPr="00661748" w:rsidRDefault="00661748" w:rsidP="00661748">
      <w:pPr>
        <w:pStyle w:val="SCCNormalDoubleSpacing"/>
        <w:spacing w:line="240" w:lineRule="auto"/>
        <w:rPr>
          <w:sz w:val="20"/>
          <w:lang w:val="fr-CA"/>
        </w:rPr>
      </w:pPr>
      <w:r>
        <w:rPr>
          <w:sz w:val="20"/>
          <w:lang w:val="fr-CA"/>
        </w:rPr>
        <w:tab/>
      </w:r>
      <w:r w:rsidRPr="00661748">
        <w:rPr>
          <w:sz w:val="20"/>
          <w:lang w:val="fr-CA"/>
        </w:rPr>
        <w:t xml:space="preserve">POURVOI contre un arrêt de la Cour d’appel de l’Alberta (les juges </w:t>
      </w:r>
      <w:r w:rsidR="00857426" w:rsidRPr="00EC010C">
        <w:rPr>
          <w:sz w:val="20"/>
        </w:rPr>
        <w:fldChar w:fldCharType="begin"/>
      </w:r>
      <w:r w:rsidRPr="00661748">
        <w:rPr>
          <w:sz w:val="20"/>
          <w:lang w:val="fr-CA"/>
        </w:rPr>
        <w:instrText xml:space="preserve"> SEQ CHAPTER \h \r 1</w:instrText>
      </w:r>
      <w:r w:rsidR="00857426" w:rsidRPr="00EC010C">
        <w:rPr>
          <w:sz w:val="20"/>
        </w:rPr>
        <w:fldChar w:fldCharType="end"/>
      </w:r>
      <w:r w:rsidRPr="00661748">
        <w:rPr>
          <w:sz w:val="20"/>
          <w:lang w:val="fr-CA"/>
        </w:rPr>
        <w:t xml:space="preserve">Hunt et Watson et le juge </w:t>
      </w:r>
      <w:proofErr w:type="spellStart"/>
      <w:r w:rsidRPr="00661748">
        <w:rPr>
          <w:sz w:val="20"/>
          <w:lang w:val="fr-CA"/>
        </w:rPr>
        <w:t>Hillier</w:t>
      </w:r>
      <w:proofErr w:type="spellEnd"/>
      <w:r w:rsidRPr="00661748">
        <w:rPr>
          <w:sz w:val="20"/>
          <w:lang w:val="fr-CA"/>
        </w:rPr>
        <w:t xml:space="preserve"> (</w:t>
      </w:r>
      <w:r w:rsidRPr="00661748">
        <w:rPr>
          <w:i/>
          <w:sz w:val="20"/>
          <w:lang w:val="fr-CA"/>
        </w:rPr>
        <w:t>ad hoc</w:t>
      </w:r>
      <w:r w:rsidRPr="00661748">
        <w:rPr>
          <w:sz w:val="20"/>
          <w:lang w:val="fr-CA"/>
        </w:rPr>
        <w:t xml:space="preserve">)), </w:t>
      </w:r>
      <w:r w:rsidR="00857426" w:rsidRPr="00EC010C">
        <w:rPr>
          <w:sz w:val="20"/>
        </w:rPr>
        <w:fldChar w:fldCharType="begin"/>
      </w:r>
      <w:r w:rsidRPr="00661748">
        <w:rPr>
          <w:sz w:val="20"/>
          <w:lang w:val="fr-CA"/>
        </w:rPr>
        <w:instrText xml:space="preserve"> SEQ CHAPTER \h \r 1</w:instrText>
      </w:r>
      <w:r w:rsidR="00857426" w:rsidRPr="00EC010C">
        <w:rPr>
          <w:sz w:val="20"/>
        </w:rPr>
        <w:fldChar w:fldCharType="end"/>
      </w:r>
      <w:r w:rsidRPr="00661748">
        <w:rPr>
          <w:sz w:val="20"/>
          <w:lang w:val="fr-CA"/>
        </w:rPr>
        <w:t xml:space="preserve">2008 ABCA 209, 91 Alta. L.R. (4th) 113, 432 A.R. 234, 424 W.A.C. 234, 58 C.R. (6th) 246, [2008] 9 W.W.R. 431, [2008] A.J. No. 587 (QL), 2008 </w:t>
      </w:r>
      <w:proofErr w:type="spellStart"/>
      <w:r w:rsidRPr="00661748">
        <w:rPr>
          <w:sz w:val="20"/>
          <w:lang w:val="fr-CA"/>
        </w:rPr>
        <w:t>CarswellAlta</w:t>
      </w:r>
      <w:proofErr w:type="spellEnd"/>
      <w:r w:rsidRPr="00661748">
        <w:rPr>
          <w:sz w:val="20"/>
          <w:lang w:val="fr-CA"/>
        </w:rPr>
        <w:t xml:space="preserve"> 709, qui a annulé la déclaration de culpabilité d’homicide involontaire coupable et lui a substitué une déclaration de culpabilité de meurtre au deuxième degré.  Pourvoi rejeté.</w:t>
      </w:r>
    </w:p>
    <w:p w:rsidR="00661748" w:rsidRPr="00661748" w:rsidRDefault="00661748" w:rsidP="00661748">
      <w:pPr>
        <w:pStyle w:val="SCCNormalDoubleSpacing"/>
        <w:spacing w:line="240" w:lineRule="auto"/>
        <w:rPr>
          <w:sz w:val="20"/>
          <w:lang w:val="fr-CA"/>
        </w:rPr>
      </w:pPr>
    </w:p>
    <w:p w:rsidR="00661748" w:rsidRPr="00661748" w:rsidRDefault="00661748" w:rsidP="00661748">
      <w:pPr>
        <w:pStyle w:val="SCCNormalDoubleSpacing"/>
        <w:spacing w:line="240" w:lineRule="auto"/>
        <w:rPr>
          <w:sz w:val="20"/>
          <w:lang w:val="fr-CA"/>
        </w:rPr>
      </w:pPr>
      <w:r w:rsidRPr="00661748">
        <w:rPr>
          <w:rStyle w:val="SCCCounselNameChar"/>
          <w:sz w:val="20"/>
          <w:lang w:val="fr-CA"/>
        </w:rPr>
        <w:tab/>
        <w:t>Peter J. Royal, c.r.</w:t>
      </w:r>
      <w:r w:rsidRPr="00EC010C">
        <w:rPr>
          <w:rStyle w:val="SCCCounselSeparatorChar"/>
          <w:sz w:val="20"/>
        </w:rPr>
        <w:t>,</w:t>
      </w:r>
      <w:r w:rsidRPr="00661748">
        <w:rPr>
          <w:rStyle w:val="SCCCounselPartyRoleChar"/>
          <w:sz w:val="20"/>
          <w:lang w:val="fr-CA"/>
        </w:rPr>
        <w:t xml:space="preserve"> pour l’appelant.</w:t>
      </w:r>
    </w:p>
    <w:p w:rsidR="00661748" w:rsidRPr="00661748" w:rsidRDefault="00661748" w:rsidP="00661748">
      <w:pPr>
        <w:pStyle w:val="SCCNormalDoubleSpacing"/>
        <w:spacing w:line="240" w:lineRule="auto"/>
        <w:rPr>
          <w:sz w:val="20"/>
          <w:lang w:val="fr-CA"/>
        </w:rPr>
      </w:pPr>
    </w:p>
    <w:p w:rsidR="00661748" w:rsidRPr="00661748" w:rsidRDefault="00661748" w:rsidP="00661748">
      <w:pPr>
        <w:pStyle w:val="SCCNormalDoubleSpacing"/>
        <w:spacing w:line="240" w:lineRule="auto"/>
        <w:rPr>
          <w:sz w:val="20"/>
          <w:lang w:val="fr-CA"/>
        </w:rPr>
      </w:pPr>
      <w:r w:rsidRPr="00661748">
        <w:rPr>
          <w:rStyle w:val="SCCCounselNameChar"/>
          <w:sz w:val="20"/>
          <w:lang w:val="fr-CA"/>
        </w:rPr>
        <w:tab/>
        <w:t xml:space="preserve">Susan D. </w:t>
      </w:r>
      <w:proofErr w:type="spellStart"/>
      <w:r w:rsidRPr="00661748">
        <w:rPr>
          <w:rStyle w:val="SCCCounselNameChar"/>
          <w:sz w:val="20"/>
          <w:lang w:val="fr-CA"/>
        </w:rPr>
        <w:t>Hughson</w:t>
      </w:r>
      <w:proofErr w:type="spellEnd"/>
      <w:r w:rsidRPr="00661748">
        <w:rPr>
          <w:rStyle w:val="SCCCounselNameChar"/>
          <w:sz w:val="20"/>
          <w:lang w:val="fr-CA"/>
        </w:rPr>
        <w:t>, c.r.</w:t>
      </w:r>
      <w:r w:rsidRPr="00EC010C">
        <w:rPr>
          <w:rStyle w:val="SCCCounselSeparatorChar"/>
          <w:sz w:val="20"/>
        </w:rPr>
        <w:t xml:space="preserve">, et </w:t>
      </w:r>
      <w:r w:rsidRPr="00661748">
        <w:rPr>
          <w:rStyle w:val="SCCCounselNameChar"/>
          <w:sz w:val="20"/>
          <w:lang w:val="fr-CA"/>
        </w:rPr>
        <w:t>Jason Russell</w:t>
      </w:r>
      <w:r w:rsidRPr="00661748">
        <w:rPr>
          <w:rStyle w:val="SCCCounselPartyRoleChar"/>
          <w:sz w:val="20"/>
          <w:lang w:val="fr-CA"/>
        </w:rPr>
        <w:t>, pour l’intimée.</w:t>
      </w:r>
    </w:p>
    <w:p w:rsidR="00661748" w:rsidRPr="00661748" w:rsidRDefault="00661748" w:rsidP="00661748">
      <w:pPr>
        <w:pStyle w:val="SCCNormalDoubleSpacing"/>
        <w:spacing w:line="240" w:lineRule="auto"/>
        <w:rPr>
          <w:sz w:val="20"/>
          <w:lang w:val="fr-CA"/>
        </w:rPr>
      </w:pPr>
    </w:p>
    <w:p w:rsidR="00661748" w:rsidRPr="00661748" w:rsidRDefault="00661748" w:rsidP="00661748">
      <w:pPr>
        <w:pStyle w:val="SCCNormalDoubleSpacing"/>
        <w:spacing w:line="240" w:lineRule="auto"/>
        <w:rPr>
          <w:sz w:val="20"/>
          <w:lang w:val="fr-CA"/>
        </w:rPr>
      </w:pPr>
      <w:r w:rsidRPr="00661748">
        <w:rPr>
          <w:rStyle w:val="SCCCounselNameChar"/>
          <w:sz w:val="20"/>
          <w:lang w:val="fr-CA"/>
        </w:rPr>
        <w:tab/>
      </w:r>
      <w:proofErr w:type="spellStart"/>
      <w:r w:rsidRPr="00661748">
        <w:rPr>
          <w:rStyle w:val="SCCCounselNameChar"/>
          <w:sz w:val="20"/>
          <w:lang w:val="fr-CA"/>
        </w:rPr>
        <w:t>Riun</w:t>
      </w:r>
      <w:proofErr w:type="spellEnd"/>
      <w:r w:rsidRPr="00661748">
        <w:rPr>
          <w:rStyle w:val="SCCCounselNameChar"/>
          <w:sz w:val="20"/>
          <w:lang w:val="fr-CA"/>
        </w:rPr>
        <w:t xml:space="preserve"> </w:t>
      </w:r>
      <w:proofErr w:type="spellStart"/>
      <w:r w:rsidRPr="00661748">
        <w:rPr>
          <w:rStyle w:val="SCCCounselNameChar"/>
          <w:sz w:val="20"/>
          <w:lang w:val="fr-CA"/>
        </w:rPr>
        <w:t>Shandler</w:t>
      </w:r>
      <w:proofErr w:type="spellEnd"/>
      <w:r w:rsidRPr="00EC010C">
        <w:rPr>
          <w:rStyle w:val="SCCCounselSeparatorChar"/>
          <w:sz w:val="20"/>
        </w:rPr>
        <w:t xml:space="preserve"> et </w:t>
      </w:r>
      <w:r w:rsidRPr="00661748">
        <w:rPr>
          <w:rStyle w:val="SCCCounselNameChar"/>
          <w:sz w:val="20"/>
          <w:lang w:val="fr-CA"/>
        </w:rPr>
        <w:t>Stacey D. Young</w:t>
      </w:r>
      <w:r w:rsidRPr="00661748">
        <w:rPr>
          <w:rStyle w:val="SCCCounselPartyRoleChar"/>
          <w:sz w:val="20"/>
          <w:lang w:val="fr-CA"/>
        </w:rPr>
        <w:t>, pour l’intervenant.</w:t>
      </w:r>
    </w:p>
    <w:p w:rsidR="00661748" w:rsidRPr="00661748" w:rsidRDefault="00661748" w:rsidP="00661748">
      <w:pPr>
        <w:pStyle w:val="SCCNormalDoubleSpacing"/>
        <w:spacing w:line="240" w:lineRule="auto"/>
        <w:rPr>
          <w:sz w:val="20"/>
          <w:lang w:val="fr-CA"/>
        </w:rPr>
      </w:pPr>
    </w:p>
    <w:p w:rsidR="00661748" w:rsidRPr="00661748" w:rsidRDefault="00661748" w:rsidP="00661748">
      <w:pPr>
        <w:pStyle w:val="SCCLawFirm"/>
        <w:spacing w:line="240" w:lineRule="auto"/>
        <w:rPr>
          <w:sz w:val="20"/>
          <w:lang w:val="fr-CA"/>
        </w:rPr>
      </w:pPr>
      <w:r w:rsidRPr="00661748">
        <w:rPr>
          <w:sz w:val="20"/>
          <w:lang w:val="fr-CA"/>
        </w:rPr>
        <w:tab/>
        <w:t xml:space="preserve">Procureurs de l’appelant : Royal </w:t>
      </w:r>
      <w:proofErr w:type="spellStart"/>
      <w:r w:rsidRPr="00661748">
        <w:rPr>
          <w:sz w:val="20"/>
          <w:lang w:val="fr-CA"/>
        </w:rPr>
        <w:t>Teskey</w:t>
      </w:r>
      <w:proofErr w:type="spellEnd"/>
      <w:r w:rsidRPr="00661748">
        <w:rPr>
          <w:sz w:val="20"/>
          <w:lang w:val="fr-CA"/>
        </w:rPr>
        <w:t>, Edmonton.</w:t>
      </w:r>
    </w:p>
    <w:p w:rsidR="00661748" w:rsidRPr="00661748" w:rsidRDefault="00661748" w:rsidP="00661748">
      <w:pPr>
        <w:pStyle w:val="SCCLawFirm"/>
        <w:spacing w:line="240" w:lineRule="auto"/>
        <w:rPr>
          <w:sz w:val="20"/>
          <w:lang w:val="fr-CA"/>
        </w:rPr>
      </w:pPr>
    </w:p>
    <w:p w:rsidR="00661748" w:rsidRPr="00661748" w:rsidRDefault="00661748" w:rsidP="00661748">
      <w:pPr>
        <w:pStyle w:val="SCCLawFirm"/>
        <w:spacing w:line="240" w:lineRule="auto"/>
        <w:rPr>
          <w:sz w:val="20"/>
          <w:lang w:val="fr-CA"/>
        </w:rPr>
      </w:pPr>
      <w:r w:rsidRPr="00661748">
        <w:rPr>
          <w:sz w:val="20"/>
          <w:lang w:val="fr-CA"/>
        </w:rPr>
        <w:tab/>
        <w:t>Procureur de l’intimée : Procureur général de l’Alberta, Calgary.</w:t>
      </w:r>
    </w:p>
    <w:p w:rsidR="00661748" w:rsidRPr="00661748" w:rsidRDefault="00661748" w:rsidP="00661748">
      <w:pPr>
        <w:pStyle w:val="SCCLawFirm"/>
        <w:spacing w:line="240" w:lineRule="auto"/>
        <w:rPr>
          <w:sz w:val="20"/>
          <w:lang w:val="fr-CA"/>
        </w:rPr>
      </w:pPr>
    </w:p>
    <w:p w:rsidR="00661748" w:rsidRPr="00661748" w:rsidRDefault="00661748" w:rsidP="00661748">
      <w:pPr>
        <w:pStyle w:val="SCCLawFirm"/>
        <w:spacing w:line="240" w:lineRule="auto"/>
        <w:rPr>
          <w:sz w:val="20"/>
          <w:lang w:val="fr-CA"/>
        </w:rPr>
      </w:pPr>
      <w:r w:rsidRPr="00661748">
        <w:rPr>
          <w:sz w:val="20"/>
          <w:lang w:val="fr-CA"/>
        </w:rPr>
        <w:tab/>
        <w:t>Procureur de l’intervenant : Procureur général de l’Ontario, Toronto.</w:t>
      </w:r>
    </w:p>
    <w:p w:rsidR="00661748" w:rsidRPr="00661748" w:rsidRDefault="00661748" w:rsidP="005C6840">
      <w:pPr>
        <w:tabs>
          <w:tab w:val="left" w:pos="720"/>
        </w:tabs>
        <w:spacing w:line="0" w:lineRule="atLeast"/>
        <w:rPr>
          <w:sz w:val="20"/>
          <w:szCs w:val="20"/>
          <w:lang w:val="fr-CA"/>
        </w:rPr>
      </w:pPr>
    </w:p>
    <w:p w:rsidR="00782AE4" w:rsidRPr="00E452DD" w:rsidRDefault="00857426" w:rsidP="005C6840">
      <w:pPr>
        <w:jc w:val="both"/>
        <w:rPr>
          <w:sz w:val="20"/>
          <w:szCs w:val="20"/>
          <w:lang w:val="fr-CA"/>
        </w:rPr>
      </w:pPr>
      <w:r w:rsidRPr="00857426">
        <w:rPr>
          <w:sz w:val="20"/>
          <w:szCs w:val="20"/>
          <w:lang w:val="fr-CA"/>
        </w:rPr>
        <w:pict>
          <v:rect id="_x0000_i1088"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736C0F">
            <w:pPr>
              <w:keepNext/>
              <w:keepLines/>
              <w:rPr>
                <w:b/>
                <w:szCs w:val="24"/>
              </w:rPr>
            </w:pPr>
            <w:r w:rsidRPr="00C50A5C">
              <w:rPr>
                <w:b/>
                <w:szCs w:val="24"/>
              </w:rPr>
              <w:lastRenderedPageBreak/>
              <w:t>AGENDA FOR D</w:t>
            </w:r>
            <w:r w:rsidR="00736C0F">
              <w:rPr>
                <w:b/>
                <w:szCs w:val="24"/>
              </w:rPr>
              <w:t>ECEMBER 2010</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736C0F">
            <w:pPr>
              <w:keepNext/>
              <w:keepLines/>
              <w:rPr>
                <w:b/>
                <w:szCs w:val="24"/>
                <w:lang w:val="fr-CA"/>
              </w:rPr>
            </w:pPr>
            <w:r w:rsidRPr="00C50A5C">
              <w:rPr>
                <w:b/>
                <w:szCs w:val="24"/>
                <w:lang w:val="fr-CA"/>
              </w:rPr>
              <w:t>CALENDRIER DE D</w:t>
            </w:r>
            <w:r w:rsidR="00736C0F">
              <w:rPr>
                <w:b/>
                <w:szCs w:val="24"/>
                <w:lang w:val="fr-CA"/>
              </w:rPr>
              <w:t>ÉCEMBRE 2010</w:t>
            </w:r>
          </w:p>
        </w:tc>
      </w:tr>
    </w:tbl>
    <w:p w:rsidR="004B66B4" w:rsidRPr="004D5859" w:rsidRDefault="004B66B4" w:rsidP="004B66B4">
      <w:pPr>
        <w:rPr>
          <w:b/>
          <w:sz w:val="20"/>
          <w:szCs w:val="20"/>
        </w:rPr>
      </w:pPr>
    </w:p>
    <w:p w:rsidR="004B66B4" w:rsidRPr="004D5859" w:rsidRDefault="004B66B4" w:rsidP="004B66B4">
      <w:pPr>
        <w:rPr>
          <w:b/>
          <w:sz w:val="20"/>
          <w:szCs w:val="20"/>
        </w:rPr>
      </w:pPr>
      <w:proofErr w:type="gramStart"/>
      <w:r w:rsidRPr="004D5859">
        <w:rPr>
          <w:b/>
          <w:sz w:val="20"/>
          <w:szCs w:val="20"/>
        </w:rPr>
        <w:t xml:space="preserve">AGENDA for the weeks of </w:t>
      </w:r>
      <w:r w:rsidR="00736C0F">
        <w:rPr>
          <w:b/>
          <w:sz w:val="20"/>
          <w:szCs w:val="20"/>
        </w:rPr>
        <w:t>Dece</w:t>
      </w:r>
      <w:r w:rsidRPr="004D5859">
        <w:rPr>
          <w:b/>
          <w:sz w:val="20"/>
          <w:szCs w:val="20"/>
        </w:rPr>
        <w:t>mber</w:t>
      </w:r>
      <w:r w:rsidR="00CB7CA3">
        <w:rPr>
          <w:b/>
          <w:sz w:val="20"/>
          <w:szCs w:val="20"/>
        </w:rPr>
        <w:t xml:space="preserve"> 6</w:t>
      </w:r>
      <w:r w:rsidRPr="004D5859">
        <w:rPr>
          <w:b/>
          <w:sz w:val="20"/>
          <w:szCs w:val="20"/>
        </w:rPr>
        <w:t xml:space="preserve"> and </w:t>
      </w:r>
      <w:r w:rsidR="00CB7CA3">
        <w:rPr>
          <w:b/>
          <w:sz w:val="20"/>
          <w:szCs w:val="20"/>
        </w:rPr>
        <w:t>13</w:t>
      </w:r>
      <w:r w:rsidRPr="004D5859">
        <w:rPr>
          <w:b/>
          <w:sz w:val="20"/>
          <w:szCs w:val="20"/>
        </w:rPr>
        <w:t>, 2010.</w:t>
      </w:r>
      <w:proofErr w:type="gramEnd"/>
    </w:p>
    <w:p w:rsidR="004B66B4" w:rsidRPr="004D5859" w:rsidRDefault="004B66B4" w:rsidP="004B66B4">
      <w:pPr>
        <w:rPr>
          <w:sz w:val="20"/>
          <w:szCs w:val="20"/>
          <w:lang w:val="fr-CA"/>
        </w:rPr>
      </w:pPr>
      <w:r w:rsidRPr="004D5859">
        <w:rPr>
          <w:b/>
          <w:sz w:val="20"/>
          <w:szCs w:val="20"/>
          <w:lang w:val="fr-CA"/>
        </w:rPr>
        <w:t xml:space="preserve">CALENDRIER de la semaine du </w:t>
      </w:r>
      <w:r w:rsidR="00CB7CA3">
        <w:rPr>
          <w:b/>
          <w:sz w:val="20"/>
          <w:szCs w:val="20"/>
          <w:lang w:val="fr-CA"/>
        </w:rPr>
        <w:t>6 déce</w:t>
      </w:r>
      <w:r w:rsidRPr="004D5859">
        <w:rPr>
          <w:b/>
          <w:sz w:val="20"/>
          <w:szCs w:val="20"/>
          <w:lang w:val="fr-CA"/>
        </w:rPr>
        <w:t xml:space="preserve">mbre et celle du </w:t>
      </w:r>
      <w:r w:rsidR="00CB7CA3">
        <w:rPr>
          <w:b/>
          <w:sz w:val="20"/>
          <w:szCs w:val="20"/>
          <w:lang w:val="fr-CA"/>
        </w:rPr>
        <w:t>13 déc</w:t>
      </w:r>
      <w:r w:rsidRPr="004D5859">
        <w:rPr>
          <w:b/>
          <w:sz w:val="20"/>
          <w:szCs w:val="20"/>
          <w:lang w:val="fr-CA"/>
        </w:rPr>
        <w:t>embre 2010.</w:t>
      </w:r>
    </w:p>
    <w:p w:rsidR="004B66B4" w:rsidRPr="004D5859" w:rsidRDefault="004B66B4" w:rsidP="004B66B4">
      <w:pPr>
        <w:rPr>
          <w:sz w:val="20"/>
          <w:szCs w:val="20"/>
          <w:lang w:val="fr-CA"/>
        </w:rPr>
      </w:pPr>
    </w:p>
    <w:p w:rsidR="004B66B4" w:rsidRPr="004D5859" w:rsidRDefault="004B66B4" w:rsidP="004B66B4">
      <w:pPr>
        <w:rPr>
          <w:sz w:val="20"/>
          <w:szCs w:val="20"/>
        </w:rPr>
      </w:pPr>
      <w:r w:rsidRPr="004D5859">
        <w:rPr>
          <w:sz w:val="20"/>
          <w:szCs w:val="20"/>
        </w:rPr>
        <w:t xml:space="preserve">The Court will not be sitting during the weeks of </w:t>
      </w:r>
      <w:r w:rsidR="00CB7CA3">
        <w:rPr>
          <w:sz w:val="20"/>
          <w:szCs w:val="20"/>
        </w:rPr>
        <w:t>Dec</w:t>
      </w:r>
      <w:r w:rsidRPr="004D5859">
        <w:rPr>
          <w:sz w:val="20"/>
          <w:szCs w:val="20"/>
        </w:rPr>
        <w:t xml:space="preserve">ember </w:t>
      </w:r>
      <w:r w:rsidR="00CB7CA3">
        <w:rPr>
          <w:sz w:val="20"/>
          <w:szCs w:val="20"/>
        </w:rPr>
        <w:t>20</w:t>
      </w:r>
      <w:r w:rsidRPr="004D5859">
        <w:rPr>
          <w:sz w:val="20"/>
          <w:szCs w:val="20"/>
        </w:rPr>
        <w:t xml:space="preserve"> and 2</w:t>
      </w:r>
      <w:r w:rsidR="00CB7CA3">
        <w:rPr>
          <w:sz w:val="20"/>
          <w:szCs w:val="20"/>
        </w:rPr>
        <w:t>7</w:t>
      </w:r>
      <w:r w:rsidRPr="004D5859">
        <w:rPr>
          <w:sz w:val="20"/>
          <w:szCs w:val="20"/>
        </w:rPr>
        <w:t>, 2010.</w:t>
      </w:r>
    </w:p>
    <w:p w:rsidR="004B66B4" w:rsidRPr="004D5859" w:rsidRDefault="004B66B4" w:rsidP="004B66B4">
      <w:pPr>
        <w:rPr>
          <w:sz w:val="20"/>
          <w:szCs w:val="20"/>
          <w:lang w:val="fr-CA"/>
        </w:rPr>
      </w:pPr>
      <w:r w:rsidRPr="004D5859">
        <w:rPr>
          <w:sz w:val="20"/>
          <w:szCs w:val="20"/>
          <w:lang w:val="fr-CA"/>
        </w:rPr>
        <w:t xml:space="preserve">La Cour ne siègera pas pendant les semaines du </w:t>
      </w:r>
      <w:r w:rsidR="00CB7CA3">
        <w:rPr>
          <w:sz w:val="20"/>
          <w:szCs w:val="20"/>
          <w:lang w:val="fr-CA"/>
        </w:rPr>
        <w:t>20</w:t>
      </w:r>
      <w:r w:rsidRPr="004D5859">
        <w:rPr>
          <w:sz w:val="20"/>
          <w:szCs w:val="20"/>
          <w:lang w:val="fr-CA"/>
        </w:rPr>
        <w:t xml:space="preserve"> et du 2</w:t>
      </w:r>
      <w:r w:rsidR="00CB7CA3">
        <w:rPr>
          <w:sz w:val="20"/>
          <w:szCs w:val="20"/>
          <w:lang w:val="fr-CA"/>
        </w:rPr>
        <w:t>7</w:t>
      </w:r>
      <w:r w:rsidRPr="004D5859">
        <w:rPr>
          <w:sz w:val="20"/>
          <w:szCs w:val="20"/>
          <w:lang w:val="fr-CA"/>
        </w:rPr>
        <w:t xml:space="preserve"> </w:t>
      </w:r>
      <w:r w:rsidR="00CB7CA3">
        <w:rPr>
          <w:sz w:val="20"/>
          <w:szCs w:val="20"/>
          <w:lang w:val="fr-CA"/>
        </w:rPr>
        <w:t>déc</w:t>
      </w:r>
      <w:r w:rsidRPr="004D5859">
        <w:rPr>
          <w:sz w:val="20"/>
          <w:szCs w:val="20"/>
          <w:lang w:val="fr-CA"/>
        </w:rPr>
        <w:t>embre 2010.</w:t>
      </w:r>
    </w:p>
    <w:p w:rsidR="004B66B4" w:rsidRPr="004D5859" w:rsidRDefault="00857426" w:rsidP="004B66B4">
      <w:pPr>
        <w:rPr>
          <w:sz w:val="20"/>
          <w:szCs w:val="20"/>
        </w:rPr>
      </w:pPr>
      <w:r w:rsidRPr="00857426">
        <w:rPr>
          <w:sz w:val="20"/>
          <w:szCs w:val="20"/>
        </w:rPr>
        <w:pict>
          <v:rect id="_x0000_i1091" style="width:480.95pt;height:1pt" o:hralign="center" o:hrstd="t" o:hrnoshade="t" o:hr="t" fillcolor="black [3213]" stroked="f"/>
        </w:pict>
      </w:r>
    </w:p>
    <w:p w:rsidR="004B66B4" w:rsidRPr="004D5859" w:rsidRDefault="004B66B4" w:rsidP="00FE02CB">
      <w:pPr>
        <w:ind w:left="2160" w:hanging="2160"/>
        <w:rPr>
          <w:sz w:val="20"/>
          <w:szCs w:val="20"/>
          <w:lang w:val="fr-CA"/>
        </w:rPr>
      </w:pPr>
    </w:p>
    <w:p w:rsidR="004B66B4" w:rsidRPr="004D5859" w:rsidRDefault="004B66B4" w:rsidP="00FE02CB">
      <w:pPr>
        <w:ind w:left="2160" w:hanging="2160"/>
        <w:rPr>
          <w:sz w:val="20"/>
          <w:szCs w:val="20"/>
        </w:rPr>
      </w:pPr>
      <w:r w:rsidRPr="004D5859">
        <w:rPr>
          <w:sz w:val="20"/>
          <w:szCs w:val="20"/>
        </w:rPr>
        <w:t>DATE OF HEARING /</w:t>
      </w:r>
      <w:r w:rsidR="00FE02CB">
        <w:rPr>
          <w:sz w:val="20"/>
          <w:szCs w:val="20"/>
        </w:rPr>
        <w:tab/>
      </w:r>
      <w:r w:rsidRPr="004D5859">
        <w:rPr>
          <w:sz w:val="20"/>
          <w:szCs w:val="20"/>
        </w:rPr>
        <w:t>NAME AND CASE NUMBER /</w:t>
      </w:r>
    </w:p>
    <w:p w:rsidR="004B66B4" w:rsidRPr="004D5859" w:rsidRDefault="004B66B4" w:rsidP="00FE02CB">
      <w:pPr>
        <w:ind w:left="2160" w:hanging="2160"/>
        <w:rPr>
          <w:sz w:val="20"/>
          <w:szCs w:val="20"/>
          <w:lang w:val="fr-CA"/>
        </w:rPr>
      </w:pPr>
      <w:r w:rsidRPr="004D5859">
        <w:rPr>
          <w:sz w:val="20"/>
          <w:szCs w:val="20"/>
          <w:lang w:val="fr-CA"/>
        </w:rPr>
        <w:t>DATE D’AUDITION</w:t>
      </w:r>
      <w:r w:rsidRPr="004D5859">
        <w:rPr>
          <w:sz w:val="20"/>
          <w:szCs w:val="20"/>
          <w:lang w:val="fr-CA"/>
        </w:rPr>
        <w:tab/>
        <w:t>NOM DE LA CAUSE ET NUMÉRO</w:t>
      </w:r>
    </w:p>
    <w:p w:rsidR="004B66B4" w:rsidRPr="004D5859" w:rsidRDefault="004B66B4" w:rsidP="00FE02CB">
      <w:pPr>
        <w:ind w:left="2160" w:hanging="2160"/>
        <w:rPr>
          <w:sz w:val="20"/>
          <w:szCs w:val="20"/>
          <w:lang w:val="fr-CA"/>
        </w:rPr>
      </w:pPr>
    </w:p>
    <w:p w:rsidR="004B66B4" w:rsidRPr="00CB7CA3" w:rsidRDefault="004B66B4" w:rsidP="00FE02CB">
      <w:pPr>
        <w:ind w:left="2160" w:hanging="2160"/>
        <w:jc w:val="both"/>
        <w:rPr>
          <w:sz w:val="20"/>
          <w:szCs w:val="20"/>
        </w:rPr>
      </w:pPr>
      <w:r w:rsidRPr="004D5859">
        <w:rPr>
          <w:sz w:val="20"/>
          <w:szCs w:val="20"/>
        </w:rPr>
        <w:t>2010-1</w:t>
      </w:r>
      <w:r w:rsidR="00CB7CA3">
        <w:rPr>
          <w:sz w:val="20"/>
          <w:szCs w:val="20"/>
        </w:rPr>
        <w:t>2</w:t>
      </w:r>
      <w:r w:rsidRPr="004D5859">
        <w:rPr>
          <w:sz w:val="20"/>
          <w:szCs w:val="20"/>
        </w:rPr>
        <w:t>-0</w:t>
      </w:r>
      <w:r w:rsidR="00CB7CA3">
        <w:rPr>
          <w:sz w:val="20"/>
          <w:szCs w:val="20"/>
        </w:rPr>
        <w:t>6</w:t>
      </w:r>
      <w:r w:rsidRPr="004D5859">
        <w:rPr>
          <w:sz w:val="20"/>
          <w:szCs w:val="20"/>
        </w:rPr>
        <w:tab/>
      </w:r>
      <w:r w:rsidRPr="004D5859">
        <w:rPr>
          <w:i/>
          <w:sz w:val="20"/>
          <w:szCs w:val="20"/>
        </w:rPr>
        <w:t>Her Majesty the Queen</w:t>
      </w:r>
      <w:r w:rsidR="00CB7CA3">
        <w:rPr>
          <w:i/>
          <w:sz w:val="20"/>
          <w:szCs w:val="20"/>
        </w:rPr>
        <w:t xml:space="preserve"> v. J.J. et al.</w:t>
      </w:r>
      <w:r w:rsidRPr="004D5859">
        <w:rPr>
          <w:sz w:val="20"/>
          <w:szCs w:val="20"/>
        </w:rPr>
        <w:t xml:space="preserve"> (Ont.) </w:t>
      </w:r>
      <w:r w:rsidRPr="00CB7CA3">
        <w:rPr>
          <w:sz w:val="20"/>
          <w:szCs w:val="20"/>
        </w:rPr>
        <w:t>(Criminal) (By Leave) (33</w:t>
      </w:r>
      <w:r w:rsidR="00CB7CA3" w:rsidRPr="00CB7CA3">
        <w:rPr>
          <w:sz w:val="20"/>
          <w:szCs w:val="20"/>
        </w:rPr>
        <w:t>6</w:t>
      </w:r>
      <w:r w:rsidRPr="00CB7CA3">
        <w:rPr>
          <w:sz w:val="20"/>
          <w:szCs w:val="20"/>
        </w:rPr>
        <w:t>36)</w:t>
      </w:r>
    </w:p>
    <w:p w:rsidR="004B66B4" w:rsidRPr="00CB7CA3" w:rsidRDefault="004B66B4" w:rsidP="00FE02CB">
      <w:pPr>
        <w:ind w:left="2160" w:hanging="2160"/>
        <w:jc w:val="both"/>
        <w:rPr>
          <w:sz w:val="20"/>
          <w:szCs w:val="20"/>
        </w:rPr>
      </w:pPr>
      <w:r w:rsidRPr="00CB7CA3">
        <w:rPr>
          <w:sz w:val="20"/>
          <w:szCs w:val="20"/>
        </w:rPr>
        <w:tab/>
        <w:t xml:space="preserve">(Oral </w:t>
      </w:r>
      <w:proofErr w:type="gramStart"/>
      <w:r w:rsidRPr="00CB7CA3">
        <w:rPr>
          <w:sz w:val="20"/>
          <w:szCs w:val="20"/>
        </w:rPr>
        <w:t xml:space="preserve">hearing on </w:t>
      </w:r>
      <w:r w:rsidR="00CB7CA3" w:rsidRPr="00CB7CA3">
        <w:rPr>
          <w:sz w:val="20"/>
          <w:szCs w:val="20"/>
        </w:rPr>
        <w:t>application for leave to appeal</w:t>
      </w:r>
      <w:r w:rsidRPr="00CB7CA3">
        <w:rPr>
          <w:sz w:val="20"/>
          <w:szCs w:val="20"/>
        </w:rPr>
        <w:t xml:space="preserve"> / Audience </w:t>
      </w:r>
      <w:proofErr w:type="spellStart"/>
      <w:r w:rsidR="00CB7CA3" w:rsidRPr="00CB7CA3">
        <w:rPr>
          <w:sz w:val="20"/>
          <w:szCs w:val="20"/>
        </w:rPr>
        <w:t>orale</w:t>
      </w:r>
      <w:proofErr w:type="spellEnd"/>
      <w:r w:rsidR="00CB7CA3" w:rsidRPr="00CB7CA3">
        <w:rPr>
          <w:sz w:val="20"/>
          <w:szCs w:val="20"/>
        </w:rPr>
        <w:t xml:space="preserve"> pour</w:t>
      </w:r>
      <w:proofErr w:type="gramEnd"/>
      <w:r w:rsidR="00CB7CA3" w:rsidRPr="00CB7CA3">
        <w:rPr>
          <w:sz w:val="20"/>
          <w:szCs w:val="20"/>
        </w:rPr>
        <w:t xml:space="preserve"> la </w:t>
      </w:r>
      <w:proofErr w:type="spellStart"/>
      <w:r w:rsidR="00CB7CA3" w:rsidRPr="00CB7CA3">
        <w:rPr>
          <w:sz w:val="20"/>
          <w:szCs w:val="20"/>
        </w:rPr>
        <w:t>demande</w:t>
      </w:r>
      <w:proofErr w:type="spellEnd"/>
      <w:r w:rsidR="00CB7CA3" w:rsidRPr="00CB7CA3">
        <w:rPr>
          <w:sz w:val="20"/>
          <w:szCs w:val="20"/>
        </w:rPr>
        <w:t xml:space="preserve"> </w:t>
      </w:r>
      <w:proofErr w:type="spellStart"/>
      <w:r w:rsidR="00CB7CA3" w:rsidRPr="00CB7CA3">
        <w:rPr>
          <w:sz w:val="20"/>
          <w:szCs w:val="20"/>
        </w:rPr>
        <w:t>d’autorisation</w:t>
      </w:r>
      <w:proofErr w:type="spellEnd"/>
      <w:r w:rsidR="00CB7CA3" w:rsidRPr="00CB7CA3">
        <w:rPr>
          <w:sz w:val="20"/>
          <w:szCs w:val="20"/>
        </w:rPr>
        <w:t xml:space="preserve"> </w:t>
      </w:r>
      <w:proofErr w:type="spellStart"/>
      <w:r w:rsidR="00CB7CA3" w:rsidRPr="00CB7CA3">
        <w:rPr>
          <w:sz w:val="20"/>
          <w:szCs w:val="20"/>
        </w:rPr>
        <w:t>d’appel</w:t>
      </w:r>
      <w:proofErr w:type="spellEnd"/>
      <w:r w:rsidRPr="00CB7CA3">
        <w:rPr>
          <w:sz w:val="20"/>
          <w:szCs w:val="20"/>
        </w:rPr>
        <w:t>)</w:t>
      </w:r>
    </w:p>
    <w:p w:rsidR="004B66B4" w:rsidRPr="00CB7CA3" w:rsidRDefault="004B66B4" w:rsidP="00FE02CB">
      <w:pPr>
        <w:ind w:left="2160" w:hanging="2160"/>
        <w:jc w:val="both"/>
        <w:rPr>
          <w:sz w:val="20"/>
          <w:szCs w:val="20"/>
        </w:rPr>
      </w:pPr>
    </w:p>
    <w:p w:rsidR="004B66B4" w:rsidRPr="00CB7CA3" w:rsidRDefault="004B66B4" w:rsidP="00FE02CB">
      <w:pPr>
        <w:ind w:left="2160" w:hanging="2160"/>
        <w:jc w:val="both"/>
        <w:rPr>
          <w:sz w:val="20"/>
          <w:szCs w:val="20"/>
        </w:rPr>
      </w:pPr>
      <w:r w:rsidRPr="00CB7CA3">
        <w:rPr>
          <w:sz w:val="20"/>
          <w:szCs w:val="20"/>
        </w:rPr>
        <w:t>2010-1</w:t>
      </w:r>
      <w:r w:rsidR="00CB7CA3" w:rsidRPr="00CB7CA3">
        <w:rPr>
          <w:sz w:val="20"/>
          <w:szCs w:val="20"/>
        </w:rPr>
        <w:t>2</w:t>
      </w:r>
      <w:r w:rsidRPr="00CB7CA3">
        <w:rPr>
          <w:sz w:val="20"/>
          <w:szCs w:val="20"/>
        </w:rPr>
        <w:t>-0</w:t>
      </w:r>
      <w:r w:rsidR="00CB7CA3" w:rsidRPr="00CB7CA3">
        <w:rPr>
          <w:sz w:val="20"/>
          <w:szCs w:val="20"/>
        </w:rPr>
        <w:t>7</w:t>
      </w:r>
      <w:r w:rsidRPr="00CB7CA3">
        <w:rPr>
          <w:sz w:val="20"/>
          <w:szCs w:val="20"/>
        </w:rPr>
        <w:tab/>
      </w:r>
      <w:r w:rsidR="00CB7CA3" w:rsidRPr="00CB7CA3">
        <w:rPr>
          <w:i/>
          <w:sz w:val="20"/>
          <w:szCs w:val="20"/>
        </w:rPr>
        <w:t>Wayne Crookes et al.</w:t>
      </w:r>
      <w:r w:rsidRPr="00CB7CA3">
        <w:rPr>
          <w:i/>
          <w:sz w:val="20"/>
          <w:szCs w:val="20"/>
        </w:rPr>
        <w:t xml:space="preserve"> v. </w:t>
      </w:r>
      <w:r w:rsidR="00CB7CA3">
        <w:rPr>
          <w:i/>
          <w:sz w:val="20"/>
          <w:szCs w:val="20"/>
        </w:rPr>
        <w:t>Jon Newton</w:t>
      </w:r>
      <w:r w:rsidRPr="00CB7CA3">
        <w:rPr>
          <w:sz w:val="20"/>
          <w:szCs w:val="20"/>
        </w:rPr>
        <w:t xml:space="preserve"> (</w:t>
      </w:r>
      <w:r w:rsidR="00CB7CA3">
        <w:rPr>
          <w:sz w:val="20"/>
          <w:szCs w:val="20"/>
        </w:rPr>
        <w:t>B.C.</w:t>
      </w:r>
      <w:r w:rsidRPr="00CB7CA3">
        <w:rPr>
          <w:sz w:val="20"/>
          <w:szCs w:val="20"/>
        </w:rPr>
        <w:t>) (Ci</w:t>
      </w:r>
      <w:r w:rsidR="00CB7CA3">
        <w:rPr>
          <w:sz w:val="20"/>
          <w:szCs w:val="20"/>
        </w:rPr>
        <w:t>vi</w:t>
      </w:r>
      <w:r w:rsidRPr="00CB7CA3">
        <w:rPr>
          <w:sz w:val="20"/>
          <w:szCs w:val="20"/>
        </w:rPr>
        <w:t>l) (By Leave) (33</w:t>
      </w:r>
      <w:r w:rsidR="00CB7CA3">
        <w:rPr>
          <w:sz w:val="20"/>
          <w:szCs w:val="20"/>
        </w:rPr>
        <w:t>412</w:t>
      </w:r>
      <w:r w:rsidRPr="00CB7CA3">
        <w:rPr>
          <w:sz w:val="20"/>
          <w:szCs w:val="20"/>
        </w:rPr>
        <w:t>)</w:t>
      </w:r>
    </w:p>
    <w:p w:rsidR="004B66B4" w:rsidRPr="00CB7CA3" w:rsidRDefault="004B66B4" w:rsidP="00FE02CB">
      <w:pPr>
        <w:ind w:left="2160" w:hanging="2160"/>
        <w:jc w:val="both"/>
        <w:rPr>
          <w:sz w:val="20"/>
          <w:szCs w:val="20"/>
        </w:rPr>
      </w:pPr>
      <w:r w:rsidRPr="00CB7CA3">
        <w:rPr>
          <w:sz w:val="20"/>
          <w:szCs w:val="20"/>
        </w:rPr>
        <w:tab/>
      </w:r>
    </w:p>
    <w:p w:rsidR="004B66B4" w:rsidRPr="004D5859" w:rsidRDefault="004B66B4" w:rsidP="00FE02CB">
      <w:pPr>
        <w:ind w:left="2160" w:hanging="2160"/>
        <w:jc w:val="both"/>
        <w:rPr>
          <w:sz w:val="20"/>
          <w:szCs w:val="20"/>
        </w:rPr>
      </w:pPr>
      <w:r w:rsidRPr="004D5859">
        <w:rPr>
          <w:sz w:val="20"/>
          <w:szCs w:val="20"/>
        </w:rPr>
        <w:t>2010-1</w:t>
      </w:r>
      <w:r w:rsidR="00CB7CA3">
        <w:rPr>
          <w:sz w:val="20"/>
          <w:szCs w:val="20"/>
        </w:rPr>
        <w:t>2</w:t>
      </w:r>
      <w:r w:rsidRPr="004D5859">
        <w:rPr>
          <w:sz w:val="20"/>
          <w:szCs w:val="20"/>
        </w:rPr>
        <w:t>-0</w:t>
      </w:r>
      <w:r w:rsidR="00CB7CA3">
        <w:rPr>
          <w:sz w:val="20"/>
          <w:szCs w:val="20"/>
        </w:rPr>
        <w:t>8</w:t>
      </w:r>
      <w:r w:rsidRPr="004D5859">
        <w:rPr>
          <w:sz w:val="20"/>
          <w:szCs w:val="20"/>
        </w:rPr>
        <w:tab/>
      </w:r>
      <w:r w:rsidR="00CB7CA3">
        <w:rPr>
          <w:i/>
          <w:sz w:val="20"/>
          <w:szCs w:val="20"/>
        </w:rPr>
        <w:t xml:space="preserve">Masterpiece Inc. v. </w:t>
      </w:r>
      <w:proofErr w:type="spellStart"/>
      <w:r w:rsidR="00CB7CA3">
        <w:rPr>
          <w:i/>
          <w:sz w:val="20"/>
          <w:szCs w:val="20"/>
        </w:rPr>
        <w:t>Alavida</w:t>
      </w:r>
      <w:proofErr w:type="spellEnd"/>
      <w:r w:rsidR="00CB7CA3">
        <w:rPr>
          <w:i/>
          <w:sz w:val="20"/>
          <w:szCs w:val="20"/>
        </w:rPr>
        <w:t xml:space="preserve"> Lifestyles Inc. </w:t>
      </w:r>
      <w:r w:rsidRPr="004D5859">
        <w:rPr>
          <w:sz w:val="20"/>
          <w:szCs w:val="20"/>
        </w:rPr>
        <w:t>(</w:t>
      </w:r>
      <w:r w:rsidR="00CB7CA3">
        <w:rPr>
          <w:sz w:val="20"/>
          <w:szCs w:val="20"/>
        </w:rPr>
        <w:t>F.C</w:t>
      </w:r>
      <w:proofErr w:type="gramStart"/>
      <w:r w:rsidR="00CB7CA3">
        <w:rPr>
          <w:sz w:val="20"/>
          <w:szCs w:val="20"/>
        </w:rPr>
        <w:t>.</w:t>
      </w:r>
      <w:r w:rsidRPr="004D5859">
        <w:rPr>
          <w:sz w:val="20"/>
          <w:szCs w:val="20"/>
        </w:rPr>
        <w:t>.)</w:t>
      </w:r>
      <w:proofErr w:type="gramEnd"/>
      <w:r w:rsidRPr="004D5859">
        <w:rPr>
          <w:sz w:val="20"/>
          <w:szCs w:val="20"/>
        </w:rPr>
        <w:t xml:space="preserve"> (Ci</w:t>
      </w:r>
      <w:r w:rsidR="00CB7CA3">
        <w:rPr>
          <w:sz w:val="20"/>
          <w:szCs w:val="20"/>
        </w:rPr>
        <w:t>vi</w:t>
      </w:r>
      <w:r w:rsidRPr="004D5859">
        <w:rPr>
          <w:sz w:val="20"/>
          <w:szCs w:val="20"/>
        </w:rPr>
        <w:t>l) (</w:t>
      </w:r>
      <w:r w:rsidR="00CB7CA3">
        <w:rPr>
          <w:sz w:val="20"/>
          <w:szCs w:val="20"/>
        </w:rPr>
        <w:t>By Leave</w:t>
      </w:r>
      <w:r w:rsidRPr="004D5859">
        <w:rPr>
          <w:sz w:val="20"/>
          <w:szCs w:val="20"/>
        </w:rPr>
        <w:t>) (33</w:t>
      </w:r>
      <w:r w:rsidR="00133B1B">
        <w:rPr>
          <w:sz w:val="20"/>
          <w:szCs w:val="20"/>
        </w:rPr>
        <w:t>4</w:t>
      </w:r>
      <w:r w:rsidRPr="004D5859">
        <w:rPr>
          <w:sz w:val="20"/>
          <w:szCs w:val="20"/>
        </w:rPr>
        <w:t>5</w:t>
      </w:r>
      <w:r w:rsidR="00133B1B">
        <w:rPr>
          <w:sz w:val="20"/>
          <w:szCs w:val="20"/>
        </w:rPr>
        <w:t>9</w:t>
      </w:r>
      <w:r w:rsidRPr="004D5859">
        <w:rPr>
          <w:sz w:val="20"/>
          <w:szCs w:val="20"/>
        </w:rPr>
        <w:t>)</w:t>
      </w:r>
    </w:p>
    <w:p w:rsidR="004B66B4" w:rsidRPr="004D5859" w:rsidRDefault="004B66B4" w:rsidP="00FE02CB">
      <w:pPr>
        <w:ind w:left="2160" w:hanging="2160"/>
        <w:jc w:val="both"/>
        <w:rPr>
          <w:sz w:val="20"/>
          <w:szCs w:val="20"/>
        </w:rPr>
      </w:pPr>
    </w:p>
    <w:p w:rsidR="004B66B4" w:rsidRPr="004D5859" w:rsidRDefault="004B66B4" w:rsidP="00FE02CB">
      <w:pPr>
        <w:ind w:left="2160" w:hanging="2160"/>
        <w:jc w:val="both"/>
        <w:rPr>
          <w:sz w:val="20"/>
          <w:szCs w:val="20"/>
        </w:rPr>
      </w:pPr>
      <w:r w:rsidRPr="004D5859">
        <w:rPr>
          <w:sz w:val="20"/>
          <w:szCs w:val="20"/>
        </w:rPr>
        <w:t>2010-1</w:t>
      </w:r>
      <w:r w:rsidR="00CB7CA3">
        <w:rPr>
          <w:sz w:val="20"/>
          <w:szCs w:val="20"/>
        </w:rPr>
        <w:t>2</w:t>
      </w:r>
      <w:r w:rsidRPr="004D5859">
        <w:rPr>
          <w:sz w:val="20"/>
          <w:szCs w:val="20"/>
        </w:rPr>
        <w:t>-0</w:t>
      </w:r>
      <w:r w:rsidR="00CB7CA3">
        <w:rPr>
          <w:sz w:val="20"/>
          <w:szCs w:val="20"/>
        </w:rPr>
        <w:t>9</w:t>
      </w:r>
      <w:r w:rsidRPr="004D5859">
        <w:rPr>
          <w:sz w:val="20"/>
          <w:szCs w:val="20"/>
        </w:rPr>
        <w:tab/>
      </w:r>
      <w:r w:rsidR="0049235C" w:rsidRPr="00FE02CB">
        <w:rPr>
          <w:i/>
          <w:sz w:val="20"/>
          <w:szCs w:val="20"/>
        </w:rPr>
        <w:t xml:space="preserve">Attorney General of Canada et al. </w:t>
      </w:r>
      <w:r w:rsidR="00FE02CB">
        <w:rPr>
          <w:i/>
          <w:sz w:val="20"/>
          <w:szCs w:val="20"/>
        </w:rPr>
        <w:t>v</w:t>
      </w:r>
      <w:r w:rsidR="0049235C" w:rsidRPr="00FE02CB">
        <w:rPr>
          <w:i/>
          <w:sz w:val="20"/>
          <w:szCs w:val="20"/>
        </w:rPr>
        <w:t xml:space="preserve">. </w:t>
      </w:r>
      <w:proofErr w:type="spellStart"/>
      <w:r w:rsidR="0049235C" w:rsidRPr="00FE02CB">
        <w:rPr>
          <w:i/>
          <w:sz w:val="20"/>
          <w:szCs w:val="20"/>
        </w:rPr>
        <w:t>Pritpal</w:t>
      </w:r>
      <w:proofErr w:type="spellEnd"/>
      <w:r w:rsidR="0049235C" w:rsidRPr="00FE02CB">
        <w:rPr>
          <w:i/>
          <w:sz w:val="20"/>
          <w:szCs w:val="20"/>
        </w:rPr>
        <w:t xml:space="preserve"> Singh </w:t>
      </w:r>
      <w:proofErr w:type="spellStart"/>
      <w:r w:rsidR="0049235C" w:rsidRPr="00FE02CB">
        <w:rPr>
          <w:i/>
          <w:sz w:val="20"/>
          <w:szCs w:val="20"/>
        </w:rPr>
        <w:t>Mavi</w:t>
      </w:r>
      <w:proofErr w:type="spellEnd"/>
      <w:r w:rsidR="0049235C" w:rsidRPr="00FE02CB">
        <w:rPr>
          <w:i/>
          <w:sz w:val="20"/>
          <w:szCs w:val="20"/>
        </w:rPr>
        <w:t xml:space="preserve"> et al</w:t>
      </w:r>
      <w:r w:rsidR="00FE02CB" w:rsidRPr="00FE02CB">
        <w:rPr>
          <w:i/>
          <w:sz w:val="20"/>
          <w:szCs w:val="20"/>
        </w:rPr>
        <w:t>.</w:t>
      </w:r>
      <w:r w:rsidRPr="00FE02CB">
        <w:rPr>
          <w:sz w:val="20"/>
          <w:szCs w:val="20"/>
        </w:rPr>
        <w:t xml:space="preserve"> (Ont.) </w:t>
      </w:r>
      <w:r w:rsidRPr="004D5859">
        <w:rPr>
          <w:sz w:val="20"/>
          <w:szCs w:val="20"/>
        </w:rPr>
        <w:t>(Civil) (By Leave) (33</w:t>
      </w:r>
      <w:r w:rsidR="00133B1B">
        <w:rPr>
          <w:sz w:val="20"/>
          <w:szCs w:val="20"/>
        </w:rPr>
        <w:t>520</w:t>
      </w:r>
      <w:r w:rsidRPr="004D5859">
        <w:rPr>
          <w:sz w:val="20"/>
          <w:szCs w:val="20"/>
        </w:rPr>
        <w:t>)</w:t>
      </w:r>
    </w:p>
    <w:p w:rsidR="004B66B4" w:rsidRPr="004D5859" w:rsidRDefault="004B66B4" w:rsidP="00FE02CB">
      <w:pPr>
        <w:ind w:left="2160" w:hanging="2160"/>
        <w:jc w:val="both"/>
        <w:rPr>
          <w:sz w:val="20"/>
          <w:szCs w:val="20"/>
        </w:rPr>
      </w:pPr>
    </w:p>
    <w:p w:rsidR="004B66B4" w:rsidRPr="004D5859" w:rsidRDefault="004B66B4" w:rsidP="00FE02CB">
      <w:pPr>
        <w:ind w:left="2160" w:hanging="2160"/>
        <w:jc w:val="both"/>
        <w:rPr>
          <w:sz w:val="20"/>
          <w:szCs w:val="20"/>
        </w:rPr>
      </w:pPr>
      <w:r w:rsidRPr="004D5859">
        <w:rPr>
          <w:sz w:val="20"/>
          <w:szCs w:val="20"/>
        </w:rPr>
        <w:t>2010-1</w:t>
      </w:r>
      <w:r w:rsidR="00CB7CA3">
        <w:rPr>
          <w:sz w:val="20"/>
          <w:szCs w:val="20"/>
        </w:rPr>
        <w:t>2</w:t>
      </w:r>
      <w:r w:rsidRPr="004D5859">
        <w:rPr>
          <w:sz w:val="20"/>
          <w:szCs w:val="20"/>
        </w:rPr>
        <w:t>-</w:t>
      </w:r>
      <w:r w:rsidR="00CB7CA3">
        <w:rPr>
          <w:sz w:val="20"/>
          <w:szCs w:val="20"/>
        </w:rPr>
        <w:t>1</w:t>
      </w:r>
      <w:r w:rsidRPr="004D5859">
        <w:rPr>
          <w:sz w:val="20"/>
          <w:szCs w:val="20"/>
        </w:rPr>
        <w:t>0</w:t>
      </w:r>
      <w:r w:rsidRPr="004D5859">
        <w:rPr>
          <w:sz w:val="20"/>
          <w:szCs w:val="20"/>
        </w:rPr>
        <w:tab/>
      </w:r>
      <w:r w:rsidR="0049235C" w:rsidRPr="002834E8">
        <w:rPr>
          <w:i/>
          <w:sz w:val="20"/>
          <w:szCs w:val="20"/>
        </w:rPr>
        <w:t xml:space="preserve">Canada </w:t>
      </w:r>
      <w:proofErr w:type="spellStart"/>
      <w:r w:rsidR="0049235C" w:rsidRPr="002834E8">
        <w:rPr>
          <w:i/>
          <w:sz w:val="20"/>
          <w:szCs w:val="20"/>
        </w:rPr>
        <w:t>Trustco</w:t>
      </w:r>
      <w:proofErr w:type="spellEnd"/>
      <w:r w:rsidR="0049235C" w:rsidRPr="002834E8">
        <w:rPr>
          <w:i/>
          <w:sz w:val="20"/>
          <w:szCs w:val="20"/>
        </w:rPr>
        <w:t xml:space="preserve"> Mortgage Company v. Her Majesty the Queen</w:t>
      </w:r>
      <w:r w:rsidRPr="004D5859">
        <w:rPr>
          <w:sz w:val="20"/>
          <w:szCs w:val="20"/>
        </w:rPr>
        <w:t xml:space="preserve"> (</w:t>
      </w:r>
      <w:r w:rsidR="0049235C">
        <w:rPr>
          <w:sz w:val="20"/>
          <w:szCs w:val="20"/>
        </w:rPr>
        <w:t>F</w:t>
      </w:r>
      <w:r w:rsidRPr="004D5859">
        <w:rPr>
          <w:sz w:val="20"/>
          <w:szCs w:val="20"/>
        </w:rPr>
        <w:t>.</w:t>
      </w:r>
      <w:r w:rsidR="0049235C">
        <w:rPr>
          <w:sz w:val="20"/>
          <w:szCs w:val="20"/>
        </w:rPr>
        <w:t>C.</w:t>
      </w:r>
      <w:r w:rsidRPr="004D5859">
        <w:rPr>
          <w:sz w:val="20"/>
          <w:szCs w:val="20"/>
        </w:rPr>
        <w:t>) (Ci</w:t>
      </w:r>
      <w:r w:rsidR="0049235C">
        <w:rPr>
          <w:sz w:val="20"/>
          <w:szCs w:val="20"/>
        </w:rPr>
        <w:t>v</w:t>
      </w:r>
      <w:r w:rsidRPr="004D5859">
        <w:rPr>
          <w:sz w:val="20"/>
          <w:szCs w:val="20"/>
        </w:rPr>
        <w:t>il) (</w:t>
      </w:r>
      <w:r w:rsidR="0049235C">
        <w:rPr>
          <w:sz w:val="20"/>
          <w:szCs w:val="20"/>
        </w:rPr>
        <w:t>By Leave</w:t>
      </w:r>
      <w:r w:rsidRPr="004D5859">
        <w:rPr>
          <w:sz w:val="20"/>
          <w:szCs w:val="20"/>
        </w:rPr>
        <w:t>) (33</w:t>
      </w:r>
      <w:r w:rsidR="00133B1B">
        <w:rPr>
          <w:sz w:val="20"/>
          <w:szCs w:val="20"/>
        </w:rPr>
        <w:t>422</w:t>
      </w:r>
      <w:r w:rsidRPr="004D5859">
        <w:rPr>
          <w:sz w:val="20"/>
          <w:szCs w:val="20"/>
        </w:rPr>
        <w:t>)</w:t>
      </w:r>
    </w:p>
    <w:p w:rsidR="004B66B4" w:rsidRPr="004D5859" w:rsidRDefault="004B66B4" w:rsidP="00FE02CB">
      <w:pPr>
        <w:ind w:left="2160" w:hanging="2160"/>
        <w:jc w:val="both"/>
        <w:rPr>
          <w:sz w:val="20"/>
          <w:szCs w:val="20"/>
        </w:rPr>
      </w:pPr>
    </w:p>
    <w:p w:rsidR="004B66B4" w:rsidRPr="004D5859" w:rsidRDefault="004B66B4" w:rsidP="00FE02CB">
      <w:pPr>
        <w:ind w:left="2160" w:hanging="2160"/>
        <w:jc w:val="both"/>
        <w:rPr>
          <w:sz w:val="20"/>
          <w:szCs w:val="20"/>
        </w:rPr>
      </w:pPr>
      <w:r w:rsidRPr="004D5859">
        <w:rPr>
          <w:sz w:val="20"/>
          <w:szCs w:val="20"/>
        </w:rPr>
        <w:t>2010-1</w:t>
      </w:r>
      <w:r w:rsidR="00CB7CA3">
        <w:rPr>
          <w:sz w:val="20"/>
          <w:szCs w:val="20"/>
        </w:rPr>
        <w:t>2</w:t>
      </w:r>
      <w:r w:rsidRPr="004D5859">
        <w:rPr>
          <w:sz w:val="20"/>
          <w:szCs w:val="20"/>
        </w:rPr>
        <w:t>-</w:t>
      </w:r>
      <w:r w:rsidR="00CB7CA3">
        <w:rPr>
          <w:sz w:val="20"/>
          <w:szCs w:val="20"/>
        </w:rPr>
        <w:t>13</w:t>
      </w:r>
      <w:r w:rsidRPr="004D5859">
        <w:rPr>
          <w:sz w:val="20"/>
          <w:szCs w:val="20"/>
        </w:rPr>
        <w:tab/>
      </w:r>
      <w:r w:rsidR="0049235C" w:rsidRPr="002834E8">
        <w:rPr>
          <w:i/>
          <w:sz w:val="20"/>
          <w:szCs w:val="20"/>
        </w:rPr>
        <w:t>Canadian Human Rights Commission v. Attorney General of Canada et al</w:t>
      </w:r>
      <w:r w:rsidR="0049235C">
        <w:rPr>
          <w:i/>
          <w:sz w:val="20"/>
          <w:szCs w:val="20"/>
        </w:rPr>
        <w:t>.</w:t>
      </w:r>
      <w:r w:rsidRPr="004D5859">
        <w:rPr>
          <w:sz w:val="20"/>
          <w:szCs w:val="20"/>
        </w:rPr>
        <w:t xml:space="preserve"> (</w:t>
      </w:r>
      <w:r w:rsidR="0049235C">
        <w:rPr>
          <w:sz w:val="20"/>
          <w:szCs w:val="20"/>
        </w:rPr>
        <w:t>F.C</w:t>
      </w:r>
      <w:r w:rsidRPr="004D5859">
        <w:rPr>
          <w:sz w:val="20"/>
          <w:szCs w:val="20"/>
        </w:rPr>
        <w:t>.) (Crim</w:t>
      </w:r>
      <w:r w:rsidR="0026348A">
        <w:rPr>
          <w:sz w:val="20"/>
          <w:szCs w:val="20"/>
        </w:rPr>
        <w:t>inal</w:t>
      </w:r>
      <w:r w:rsidRPr="004D5859">
        <w:rPr>
          <w:sz w:val="20"/>
          <w:szCs w:val="20"/>
        </w:rPr>
        <w:t>) (</w:t>
      </w:r>
      <w:r w:rsidR="0049235C">
        <w:rPr>
          <w:sz w:val="20"/>
          <w:szCs w:val="20"/>
        </w:rPr>
        <w:t>By Leave</w:t>
      </w:r>
      <w:r w:rsidRPr="004D5859">
        <w:rPr>
          <w:sz w:val="20"/>
          <w:szCs w:val="20"/>
        </w:rPr>
        <w:t>) (33</w:t>
      </w:r>
      <w:r w:rsidR="00133B1B">
        <w:rPr>
          <w:sz w:val="20"/>
          <w:szCs w:val="20"/>
        </w:rPr>
        <w:t>507</w:t>
      </w:r>
      <w:r w:rsidRPr="004D5859">
        <w:rPr>
          <w:sz w:val="20"/>
          <w:szCs w:val="20"/>
        </w:rPr>
        <w:t>)</w:t>
      </w:r>
    </w:p>
    <w:p w:rsidR="004B66B4" w:rsidRPr="004D5859" w:rsidRDefault="004B66B4" w:rsidP="00FE02CB">
      <w:pPr>
        <w:ind w:left="2160" w:hanging="2160"/>
        <w:jc w:val="both"/>
        <w:rPr>
          <w:sz w:val="20"/>
          <w:szCs w:val="20"/>
        </w:rPr>
      </w:pPr>
    </w:p>
    <w:p w:rsidR="004B66B4" w:rsidRPr="004D5859" w:rsidRDefault="004B66B4" w:rsidP="00FE02CB">
      <w:pPr>
        <w:ind w:left="2160" w:hanging="2160"/>
        <w:jc w:val="both"/>
        <w:rPr>
          <w:sz w:val="20"/>
          <w:szCs w:val="20"/>
        </w:rPr>
      </w:pPr>
      <w:r w:rsidRPr="004D5859">
        <w:rPr>
          <w:sz w:val="20"/>
          <w:szCs w:val="20"/>
        </w:rPr>
        <w:t>2010-1</w:t>
      </w:r>
      <w:r w:rsidR="00CB7CA3">
        <w:rPr>
          <w:sz w:val="20"/>
          <w:szCs w:val="20"/>
        </w:rPr>
        <w:t>2</w:t>
      </w:r>
      <w:r w:rsidRPr="004D5859">
        <w:rPr>
          <w:sz w:val="20"/>
          <w:szCs w:val="20"/>
        </w:rPr>
        <w:t>-</w:t>
      </w:r>
      <w:r w:rsidR="00CB7CA3">
        <w:rPr>
          <w:sz w:val="20"/>
          <w:szCs w:val="20"/>
        </w:rPr>
        <w:t>14</w:t>
      </w:r>
      <w:r w:rsidRPr="004D5859">
        <w:rPr>
          <w:sz w:val="20"/>
          <w:szCs w:val="20"/>
        </w:rPr>
        <w:tab/>
      </w:r>
      <w:r w:rsidR="002834E8" w:rsidRPr="002834E8">
        <w:rPr>
          <w:i/>
          <w:sz w:val="20"/>
          <w:szCs w:val="20"/>
        </w:rPr>
        <w:t>Her Majesty the Queen v. Terrence Sinclair</w:t>
      </w:r>
      <w:r w:rsidRPr="004D5859">
        <w:rPr>
          <w:sz w:val="20"/>
          <w:szCs w:val="20"/>
        </w:rPr>
        <w:t xml:space="preserve"> (</w:t>
      </w:r>
      <w:r w:rsidR="002834E8">
        <w:rPr>
          <w:sz w:val="20"/>
          <w:szCs w:val="20"/>
        </w:rPr>
        <w:t>Ma</w:t>
      </w:r>
      <w:r w:rsidRPr="004D5859">
        <w:rPr>
          <w:sz w:val="20"/>
          <w:szCs w:val="20"/>
        </w:rPr>
        <w:t>n.) (Criminal) (</w:t>
      </w:r>
      <w:r w:rsidR="002834E8">
        <w:rPr>
          <w:sz w:val="20"/>
          <w:szCs w:val="20"/>
        </w:rPr>
        <w:t>By Leave</w:t>
      </w:r>
      <w:r w:rsidRPr="004D5859">
        <w:rPr>
          <w:sz w:val="20"/>
          <w:szCs w:val="20"/>
        </w:rPr>
        <w:t>) (33</w:t>
      </w:r>
      <w:r w:rsidR="00133B1B">
        <w:rPr>
          <w:sz w:val="20"/>
          <w:szCs w:val="20"/>
        </w:rPr>
        <w:t>35</w:t>
      </w:r>
      <w:r w:rsidRPr="004D5859">
        <w:rPr>
          <w:sz w:val="20"/>
          <w:szCs w:val="20"/>
        </w:rPr>
        <w:t>9)</w:t>
      </w:r>
    </w:p>
    <w:p w:rsidR="004B66B4" w:rsidRPr="004D5859" w:rsidRDefault="004B66B4" w:rsidP="00FE02CB">
      <w:pPr>
        <w:ind w:left="2160" w:hanging="2160"/>
        <w:jc w:val="both"/>
        <w:rPr>
          <w:sz w:val="20"/>
          <w:szCs w:val="20"/>
        </w:rPr>
      </w:pPr>
    </w:p>
    <w:p w:rsidR="004B66B4" w:rsidRDefault="004B66B4" w:rsidP="00FE02CB">
      <w:pPr>
        <w:ind w:left="2160" w:hanging="2160"/>
        <w:jc w:val="both"/>
        <w:rPr>
          <w:sz w:val="20"/>
          <w:szCs w:val="20"/>
        </w:rPr>
      </w:pPr>
      <w:proofErr w:type="gramStart"/>
      <w:r w:rsidRPr="004D5859">
        <w:rPr>
          <w:sz w:val="20"/>
          <w:szCs w:val="20"/>
        </w:rPr>
        <w:t>2010-1</w:t>
      </w:r>
      <w:r w:rsidR="00CB7CA3">
        <w:rPr>
          <w:sz w:val="20"/>
          <w:szCs w:val="20"/>
        </w:rPr>
        <w:t>2</w:t>
      </w:r>
      <w:r w:rsidRPr="004D5859">
        <w:rPr>
          <w:sz w:val="20"/>
          <w:szCs w:val="20"/>
        </w:rPr>
        <w:t>-</w:t>
      </w:r>
      <w:r w:rsidR="00CB7CA3">
        <w:rPr>
          <w:sz w:val="20"/>
          <w:szCs w:val="20"/>
        </w:rPr>
        <w:t>15</w:t>
      </w:r>
      <w:r w:rsidRPr="004D5859">
        <w:rPr>
          <w:sz w:val="20"/>
          <w:szCs w:val="20"/>
        </w:rPr>
        <w:tab/>
      </w:r>
      <w:r w:rsidR="002834E8" w:rsidRPr="002834E8">
        <w:rPr>
          <w:i/>
          <w:sz w:val="20"/>
          <w:szCs w:val="20"/>
        </w:rPr>
        <w:t>Olga Maria Nixon v.</w:t>
      </w:r>
      <w:proofErr w:type="gramEnd"/>
      <w:r w:rsidR="002834E8" w:rsidRPr="002834E8">
        <w:rPr>
          <w:i/>
          <w:sz w:val="20"/>
          <w:szCs w:val="20"/>
        </w:rPr>
        <w:t xml:space="preserve"> Her Majesty the Queen</w:t>
      </w:r>
      <w:r w:rsidRPr="004D5859">
        <w:rPr>
          <w:sz w:val="20"/>
          <w:szCs w:val="20"/>
        </w:rPr>
        <w:t xml:space="preserve"> (</w:t>
      </w:r>
      <w:r w:rsidR="002834E8">
        <w:rPr>
          <w:sz w:val="20"/>
          <w:szCs w:val="20"/>
        </w:rPr>
        <w:t>Alt</w:t>
      </w:r>
      <w:r w:rsidRPr="004D5859">
        <w:rPr>
          <w:sz w:val="20"/>
          <w:szCs w:val="20"/>
        </w:rPr>
        <w:t>a.) (C</w:t>
      </w:r>
      <w:r w:rsidR="002834E8">
        <w:rPr>
          <w:sz w:val="20"/>
          <w:szCs w:val="20"/>
        </w:rPr>
        <w:t>r</w:t>
      </w:r>
      <w:r w:rsidRPr="004D5859">
        <w:rPr>
          <w:sz w:val="20"/>
          <w:szCs w:val="20"/>
        </w:rPr>
        <w:t>i</w:t>
      </w:r>
      <w:r w:rsidR="002834E8">
        <w:rPr>
          <w:sz w:val="20"/>
          <w:szCs w:val="20"/>
        </w:rPr>
        <w:t>m</w:t>
      </w:r>
      <w:r w:rsidR="0026348A">
        <w:rPr>
          <w:sz w:val="20"/>
          <w:szCs w:val="20"/>
        </w:rPr>
        <w:t>inal</w:t>
      </w:r>
      <w:r w:rsidRPr="004D5859">
        <w:rPr>
          <w:sz w:val="20"/>
          <w:szCs w:val="20"/>
        </w:rPr>
        <w:t>) (By Leave) (334</w:t>
      </w:r>
      <w:r w:rsidR="00133B1B">
        <w:rPr>
          <w:sz w:val="20"/>
          <w:szCs w:val="20"/>
        </w:rPr>
        <w:t>76</w:t>
      </w:r>
      <w:r w:rsidRPr="004D5859">
        <w:rPr>
          <w:sz w:val="20"/>
          <w:szCs w:val="20"/>
        </w:rPr>
        <w:t>)</w:t>
      </w:r>
    </w:p>
    <w:p w:rsidR="0026348A" w:rsidRPr="004D5859" w:rsidRDefault="0026348A" w:rsidP="00FE02CB">
      <w:pPr>
        <w:ind w:left="2160" w:hanging="2160"/>
        <w:jc w:val="both"/>
        <w:rPr>
          <w:sz w:val="20"/>
          <w:szCs w:val="20"/>
        </w:rPr>
      </w:pPr>
      <w:r>
        <w:rPr>
          <w:sz w:val="20"/>
          <w:szCs w:val="20"/>
        </w:rPr>
        <w:tab/>
        <w:t xml:space="preserve">(Early start time: 9:00 a.m. / </w:t>
      </w:r>
      <w:proofErr w:type="spellStart"/>
      <w:r>
        <w:rPr>
          <w:sz w:val="20"/>
          <w:szCs w:val="20"/>
        </w:rPr>
        <w:t>Horaire</w:t>
      </w:r>
      <w:proofErr w:type="spellEnd"/>
      <w:r>
        <w:rPr>
          <w:sz w:val="20"/>
          <w:szCs w:val="20"/>
        </w:rPr>
        <w:t xml:space="preserve"> </w:t>
      </w:r>
      <w:proofErr w:type="spellStart"/>
      <w:proofErr w:type="gramStart"/>
      <w:r>
        <w:rPr>
          <w:sz w:val="20"/>
          <w:szCs w:val="20"/>
        </w:rPr>
        <w:t>modifié</w:t>
      </w:r>
      <w:proofErr w:type="spellEnd"/>
      <w:r>
        <w:rPr>
          <w:sz w:val="20"/>
          <w:szCs w:val="20"/>
        </w:rPr>
        <w:t xml:space="preserve"> :</w:t>
      </w:r>
      <w:proofErr w:type="gramEnd"/>
      <w:r>
        <w:rPr>
          <w:sz w:val="20"/>
          <w:szCs w:val="20"/>
        </w:rPr>
        <w:t xml:space="preserve"> audience debutant à 9h)</w:t>
      </w:r>
    </w:p>
    <w:p w:rsidR="004B66B4" w:rsidRPr="004D5859" w:rsidRDefault="004B66B4" w:rsidP="00FE02CB">
      <w:pPr>
        <w:ind w:left="2160" w:hanging="2160"/>
        <w:jc w:val="both"/>
        <w:rPr>
          <w:sz w:val="20"/>
          <w:szCs w:val="20"/>
        </w:rPr>
      </w:pPr>
    </w:p>
    <w:p w:rsidR="004B66B4" w:rsidRDefault="004B66B4" w:rsidP="00FE02CB">
      <w:pPr>
        <w:ind w:left="2160" w:hanging="2160"/>
        <w:jc w:val="both"/>
        <w:rPr>
          <w:sz w:val="20"/>
          <w:szCs w:val="20"/>
        </w:rPr>
      </w:pPr>
      <w:r w:rsidRPr="004D5859">
        <w:rPr>
          <w:sz w:val="20"/>
          <w:szCs w:val="20"/>
        </w:rPr>
        <w:t>2010-1</w:t>
      </w:r>
      <w:r w:rsidR="00CB7CA3">
        <w:rPr>
          <w:sz w:val="20"/>
          <w:szCs w:val="20"/>
        </w:rPr>
        <w:t>2</w:t>
      </w:r>
      <w:r w:rsidRPr="004D5859">
        <w:rPr>
          <w:sz w:val="20"/>
          <w:szCs w:val="20"/>
        </w:rPr>
        <w:t>-1</w:t>
      </w:r>
      <w:r w:rsidR="00CB7CA3">
        <w:rPr>
          <w:sz w:val="20"/>
          <w:szCs w:val="20"/>
        </w:rPr>
        <w:t>6</w:t>
      </w:r>
      <w:r w:rsidRPr="004D5859">
        <w:rPr>
          <w:sz w:val="20"/>
          <w:szCs w:val="20"/>
        </w:rPr>
        <w:tab/>
      </w:r>
      <w:r w:rsidR="002834E8" w:rsidRPr="002834E8">
        <w:rPr>
          <w:i/>
          <w:sz w:val="20"/>
          <w:szCs w:val="20"/>
        </w:rPr>
        <w:t>Her Majesty the Queen in Right of Alberta (Minister of Aboriginal Affairs and Northern Development) et al. v. Barbara Cunningham et al.</w:t>
      </w:r>
      <w:r w:rsidR="002834E8">
        <w:rPr>
          <w:sz w:val="20"/>
          <w:szCs w:val="20"/>
        </w:rPr>
        <w:t xml:space="preserve"> </w:t>
      </w:r>
      <w:r w:rsidRPr="004D5859">
        <w:rPr>
          <w:sz w:val="20"/>
          <w:szCs w:val="20"/>
        </w:rPr>
        <w:t>(</w:t>
      </w:r>
      <w:r w:rsidR="00133B1B">
        <w:rPr>
          <w:sz w:val="20"/>
          <w:szCs w:val="20"/>
        </w:rPr>
        <w:t>Alta.</w:t>
      </w:r>
      <w:r w:rsidRPr="004D5859">
        <w:rPr>
          <w:sz w:val="20"/>
          <w:szCs w:val="20"/>
        </w:rPr>
        <w:t xml:space="preserve">) </w:t>
      </w:r>
      <w:r w:rsidRPr="00133B1B">
        <w:rPr>
          <w:sz w:val="20"/>
          <w:szCs w:val="20"/>
        </w:rPr>
        <w:t>(Civil) (By Leave) (33</w:t>
      </w:r>
      <w:r w:rsidR="00133B1B">
        <w:rPr>
          <w:sz w:val="20"/>
          <w:szCs w:val="20"/>
        </w:rPr>
        <w:t>340</w:t>
      </w:r>
      <w:r w:rsidRPr="00133B1B">
        <w:rPr>
          <w:sz w:val="20"/>
          <w:szCs w:val="20"/>
        </w:rPr>
        <w:t>)</w:t>
      </w:r>
    </w:p>
    <w:p w:rsidR="00FE02CB" w:rsidRPr="004D5859" w:rsidRDefault="00FE02CB" w:rsidP="00FE02CB">
      <w:pPr>
        <w:ind w:left="2160" w:hanging="2160"/>
        <w:jc w:val="both"/>
        <w:rPr>
          <w:sz w:val="20"/>
          <w:szCs w:val="20"/>
        </w:rPr>
      </w:pPr>
      <w:r>
        <w:rPr>
          <w:sz w:val="20"/>
          <w:szCs w:val="20"/>
        </w:rPr>
        <w:tab/>
        <w:t xml:space="preserve">(Early start time: 9:00 a.m. / </w:t>
      </w:r>
      <w:proofErr w:type="spellStart"/>
      <w:r>
        <w:rPr>
          <w:sz w:val="20"/>
          <w:szCs w:val="20"/>
        </w:rPr>
        <w:t>Horaire</w:t>
      </w:r>
      <w:proofErr w:type="spellEnd"/>
      <w:r>
        <w:rPr>
          <w:sz w:val="20"/>
          <w:szCs w:val="20"/>
        </w:rPr>
        <w:t xml:space="preserve"> </w:t>
      </w:r>
      <w:proofErr w:type="spellStart"/>
      <w:proofErr w:type="gramStart"/>
      <w:r>
        <w:rPr>
          <w:sz w:val="20"/>
          <w:szCs w:val="20"/>
        </w:rPr>
        <w:t>modifié</w:t>
      </w:r>
      <w:proofErr w:type="spellEnd"/>
      <w:r>
        <w:rPr>
          <w:sz w:val="20"/>
          <w:szCs w:val="20"/>
        </w:rPr>
        <w:t xml:space="preserve"> :</w:t>
      </w:r>
      <w:proofErr w:type="gramEnd"/>
      <w:r>
        <w:rPr>
          <w:sz w:val="20"/>
          <w:szCs w:val="20"/>
        </w:rPr>
        <w:t xml:space="preserve"> audience debutant à 9h)</w:t>
      </w:r>
    </w:p>
    <w:p w:rsidR="004B66B4" w:rsidRPr="00133B1B" w:rsidRDefault="004B66B4" w:rsidP="00FE02CB">
      <w:pPr>
        <w:ind w:left="2160" w:hanging="2160"/>
        <w:jc w:val="both"/>
        <w:rPr>
          <w:sz w:val="20"/>
          <w:szCs w:val="20"/>
        </w:rPr>
      </w:pPr>
    </w:p>
    <w:p w:rsidR="004B66B4" w:rsidRPr="00133B1B" w:rsidRDefault="004B66B4" w:rsidP="00FE02CB">
      <w:pPr>
        <w:ind w:left="2160" w:hanging="2160"/>
        <w:jc w:val="both"/>
        <w:rPr>
          <w:sz w:val="20"/>
          <w:szCs w:val="20"/>
        </w:rPr>
      </w:pPr>
      <w:proofErr w:type="gramStart"/>
      <w:r w:rsidRPr="00133B1B">
        <w:rPr>
          <w:sz w:val="20"/>
          <w:szCs w:val="20"/>
        </w:rPr>
        <w:t>2010-12</w:t>
      </w:r>
      <w:r w:rsidR="00CB7CA3" w:rsidRPr="00133B1B">
        <w:rPr>
          <w:sz w:val="20"/>
          <w:szCs w:val="20"/>
        </w:rPr>
        <w:t>-17</w:t>
      </w:r>
      <w:r w:rsidRPr="00133B1B">
        <w:rPr>
          <w:sz w:val="20"/>
          <w:szCs w:val="20"/>
        </w:rPr>
        <w:tab/>
      </w:r>
      <w:r w:rsidR="002834E8">
        <w:rPr>
          <w:i/>
          <w:sz w:val="20"/>
          <w:szCs w:val="20"/>
        </w:rPr>
        <w:t xml:space="preserve">Marko </w:t>
      </w:r>
      <w:proofErr w:type="spellStart"/>
      <w:r w:rsidR="002834E8">
        <w:rPr>
          <w:i/>
          <w:sz w:val="20"/>
          <w:szCs w:val="20"/>
        </w:rPr>
        <w:t>Miljevic</w:t>
      </w:r>
      <w:proofErr w:type="spellEnd"/>
      <w:r w:rsidR="002834E8">
        <w:rPr>
          <w:i/>
          <w:sz w:val="20"/>
          <w:szCs w:val="20"/>
        </w:rPr>
        <w:t xml:space="preserve"> v.</w:t>
      </w:r>
      <w:proofErr w:type="gramEnd"/>
      <w:r w:rsidR="002834E8">
        <w:rPr>
          <w:i/>
          <w:sz w:val="20"/>
          <w:szCs w:val="20"/>
        </w:rPr>
        <w:t xml:space="preserve"> Her Majesty the Queen </w:t>
      </w:r>
      <w:r w:rsidRPr="00133B1B">
        <w:rPr>
          <w:sz w:val="20"/>
          <w:szCs w:val="20"/>
        </w:rPr>
        <w:t>(</w:t>
      </w:r>
      <w:r w:rsidR="00133B1B">
        <w:rPr>
          <w:sz w:val="20"/>
          <w:szCs w:val="20"/>
        </w:rPr>
        <w:t>Alta</w:t>
      </w:r>
      <w:r w:rsidRPr="00133B1B">
        <w:rPr>
          <w:sz w:val="20"/>
          <w:szCs w:val="20"/>
        </w:rPr>
        <w:t>.) (</w:t>
      </w:r>
      <w:r w:rsidR="00133B1B">
        <w:rPr>
          <w:sz w:val="20"/>
          <w:szCs w:val="20"/>
        </w:rPr>
        <w:t>Crim</w:t>
      </w:r>
      <w:r w:rsidR="0026348A">
        <w:rPr>
          <w:sz w:val="20"/>
          <w:szCs w:val="20"/>
        </w:rPr>
        <w:t>inal</w:t>
      </w:r>
      <w:r w:rsidRPr="00133B1B">
        <w:rPr>
          <w:sz w:val="20"/>
          <w:szCs w:val="20"/>
        </w:rPr>
        <w:t>) (</w:t>
      </w:r>
      <w:r w:rsidR="00133B1B" w:rsidRPr="00133B1B">
        <w:rPr>
          <w:sz w:val="20"/>
          <w:szCs w:val="20"/>
        </w:rPr>
        <w:t>As of Right</w:t>
      </w:r>
      <w:r w:rsidRPr="00133B1B">
        <w:rPr>
          <w:sz w:val="20"/>
          <w:szCs w:val="20"/>
        </w:rPr>
        <w:t>) (33</w:t>
      </w:r>
      <w:r w:rsidR="00133B1B" w:rsidRPr="00133B1B">
        <w:rPr>
          <w:sz w:val="20"/>
          <w:szCs w:val="20"/>
        </w:rPr>
        <w:t>714</w:t>
      </w:r>
      <w:r w:rsidRPr="00133B1B">
        <w:rPr>
          <w:sz w:val="20"/>
          <w:szCs w:val="20"/>
        </w:rPr>
        <w:t>)</w:t>
      </w:r>
    </w:p>
    <w:p w:rsidR="004B66B4" w:rsidRPr="00133B1B" w:rsidRDefault="004B66B4" w:rsidP="004B66B4">
      <w:pPr>
        <w:ind w:left="1890" w:hanging="1890"/>
        <w:jc w:val="both"/>
        <w:rPr>
          <w:sz w:val="20"/>
          <w:szCs w:val="20"/>
        </w:rPr>
      </w:pPr>
    </w:p>
    <w:p w:rsidR="004B66B4" w:rsidRPr="004D5859" w:rsidRDefault="004B66B4" w:rsidP="004B66B4">
      <w:pPr>
        <w:tabs>
          <w:tab w:val="left" w:pos="1980"/>
        </w:tabs>
        <w:jc w:val="both"/>
        <w:rPr>
          <w:sz w:val="20"/>
          <w:szCs w:val="20"/>
        </w:rPr>
      </w:pPr>
    </w:p>
    <w:p w:rsidR="004B66B4" w:rsidRPr="004D5859" w:rsidRDefault="004B66B4" w:rsidP="004B66B4">
      <w:pPr>
        <w:jc w:val="both"/>
        <w:rPr>
          <w:sz w:val="20"/>
          <w:szCs w:val="20"/>
        </w:rPr>
      </w:pPr>
      <w:r w:rsidRPr="004D5859">
        <w:rPr>
          <w:b/>
          <w:sz w:val="20"/>
          <w:szCs w:val="20"/>
        </w:rPr>
        <w:t>NOTE:</w:t>
      </w:r>
      <w:r w:rsidRPr="004D585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4D5859" w:rsidRDefault="004B66B4" w:rsidP="004B66B4">
      <w:pPr>
        <w:jc w:val="both"/>
        <w:rPr>
          <w:sz w:val="20"/>
          <w:szCs w:val="20"/>
        </w:rPr>
      </w:pPr>
    </w:p>
    <w:p w:rsidR="004B66B4" w:rsidRPr="004D5859" w:rsidRDefault="004B66B4" w:rsidP="004B66B4">
      <w:pPr>
        <w:jc w:val="both"/>
        <w:rPr>
          <w:sz w:val="20"/>
          <w:szCs w:val="20"/>
          <w:lang w:val="fr-CA"/>
        </w:rPr>
      </w:pPr>
      <w:r w:rsidRPr="004D585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Default="005F263E" w:rsidP="005F263E">
      <w:pPr>
        <w:tabs>
          <w:tab w:val="left" w:pos="-1440"/>
          <w:tab w:val="left" w:pos="-720"/>
        </w:tabs>
        <w:ind w:left="720" w:hanging="720"/>
        <w:jc w:val="both"/>
        <w:rPr>
          <w:b/>
          <w:sz w:val="20"/>
          <w:szCs w:val="20"/>
        </w:rPr>
      </w:pPr>
    </w:p>
    <w:p w:rsidR="00F95699" w:rsidRPr="00F95699" w:rsidRDefault="00F95699" w:rsidP="00F95699">
      <w:pPr>
        <w:ind w:left="720" w:hanging="720"/>
        <w:jc w:val="both"/>
        <w:rPr>
          <w:sz w:val="20"/>
          <w:szCs w:val="20"/>
        </w:rPr>
      </w:pPr>
      <w:r>
        <w:rPr>
          <w:b/>
          <w:sz w:val="20"/>
          <w:szCs w:val="20"/>
        </w:rPr>
        <w:t>33636</w:t>
      </w:r>
      <w:r>
        <w:rPr>
          <w:b/>
          <w:sz w:val="20"/>
          <w:szCs w:val="20"/>
        </w:rPr>
        <w:tab/>
        <w:t>Her Majesty the Queen v. J.J.</w:t>
      </w:r>
      <w:r w:rsidR="00886A14">
        <w:rPr>
          <w:b/>
          <w:sz w:val="20"/>
          <w:szCs w:val="20"/>
        </w:rPr>
        <w:t>, D.E., A.J., L.E. and T.M.</w:t>
      </w:r>
      <w:r>
        <w:rPr>
          <w:b/>
          <w:sz w:val="20"/>
          <w:szCs w:val="20"/>
        </w:rPr>
        <w:t xml:space="preserve"> </w:t>
      </w:r>
      <w:r>
        <w:rPr>
          <w:sz w:val="20"/>
          <w:szCs w:val="20"/>
        </w:rPr>
        <w:t>(Ont.) (Criminal) (By Leave)</w:t>
      </w:r>
    </w:p>
    <w:p w:rsidR="00F95699" w:rsidRPr="008B7164" w:rsidRDefault="00F95699" w:rsidP="005F263E">
      <w:pPr>
        <w:tabs>
          <w:tab w:val="left" w:pos="-1440"/>
          <w:tab w:val="left" w:pos="-720"/>
        </w:tabs>
        <w:ind w:left="720" w:hanging="720"/>
        <w:jc w:val="both"/>
        <w:rPr>
          <w:b/>
          <w:sz w:val="20"/>
          <w:szCs w:val="20"/>
        </w:rPr>
      </w:pPr>
    </w:p>
    <w:p w:rsidR="008B7164" w:rsidRPr="008B7164" w:rsidRDefault="008B7164" w:rsidP="008B7164">
      <w:pPr>
        <w:widowControl w:val="0"/>
        <w:jc w:val="both"/>
        <w:rPr>
          <w:rFonts w:eastAsia="Calibri" w:cs="Times New Roman"/>
          <w:sz w:val="20"/>
          <w:szCs w:val="20"/>
        </w:rPr>
      </w:pPr>
      <w:r w:rsidRPr="008B7164">
        <w:rPr>
          <w:rFonts w:eastAsia="Calibri" w:cs="Times New Roman"/>
          <w:smallCaps/>
          <w:sz w:val="20"/>
          <w:szCs w:val="20"/>
        </w:rPr>
        <w:t>(Publication ban on party)</w:t>
      </w:r>
      <w:r w:rsidRPr="008B7164">
        <w:rPr>
          <w:rFonts w:eastAsia="Calibri" w:cs="Times New Roman"/>
          <w:sz w:val="20"/>
          <w:szCs w:val="20"/>
        </w:rPr>
        <w:t xml:space="preserve"> </w:t>
      </w:r>
    </w:p>
    <w:p w:rsidR="008B7164" w:rsidRPr="008B7164" w:rsidRDefault="008B7164" w:rsidP="008B7164">
      <w:pPr>
        <w:widowControl w:val="0"/>
        <w:jc w:val="both"/>
        <w:rPr>
          <w:rFonts w:eastAsia="Calibri" w:cs="Times New Roman"/>
          <w:sz w:val="20"/>
          <w:szCs w:val="20"/>
        </w:rPr>
      </w:pPr>
    </w:p>
    <w:p w:rsidR="008B7164" w:rsidRPr="008B7164" w:rsidRDefault="008B7164" w:rsidP="008B7164">
      <w:pPr>
        <w:jc w:val="both"/>
        <w:rPr>
          <w:b/>
          <w:sz w:val="20"/>
          <w:szCs w:val="20"/>
        </w:rPr>
      </w:pPr>
      <w:r w:rsidRPr="008B7164">
        <w:rPr>
          <w:rFonts w:eastAsia="Calibri" w:cs="Times New Roman"/>
          <w:sz w:val="20"/>
          <w:szCs w:val="20"/>
        </w:rPr>
        <w:t xml:space="preserve">Legislation – Interpretation – </w:t>
      </w:r>
      <w:r w:rsidRPr="008B7164">
        <w:rPr>
          <w:rFonts w:eastAsia="Calibri" w:cs="Times New Roman"/>
          <w:i/>
          <w:sz w:val="20"/>
          <w:szCs w:val="20"/>
        </w:rPr>
        <w:t xml:space="preserve">Criminal Code </w:t>
      </w:r>
      <w:r w:rsidRPr="008B7164">
        <w:rPr>
          <w:rFonts w:eastAsia="Calibri" w:cs="Times New Roman"/>
          <w:sz w:val="20"/>
          <w:szCs w:val="20"/>
        </w:rPr>
        <w:t xml:space="preserve">– Offences – Whether s. 25.1 of the </w:t>
      </w:r>
      <w:r w:rsidRPr="008B7164">
        <w:rPr>
          <w:rFonts w:eastAsia="Calibri" w:cs="Times New Roman"/>
          <w:i/>
          <w:sz w:val="20"/>
          <w:szCs w:val="20"/>
        </w:rPr>
        <w:t xml:space="preserve">Criminal Code </w:t>
      </w:r>
      <w:r w:rsidRPr="008B7164">
        <w:rPr>
          <w:rFonts w:eastAsia="Calibri" w:cs="Times New Roman"/>
          <w:sz w:val="20"/>
          <w:szCs w:val="20"/>
        </w:rPr>
        <w:t xml:space="preserve">creates a general legal justification for police investigative conduct that falls within its terms or a limited </w:t>
      </w:r>
      <w:r w:rsidRPr="008B7164">
        <w:rPr>
          <w:rFonts w:eastAsia="Calibri" w:cs="Times New Roman"/>
          <w:i/>
          <w:sz w:val="20"/>
          <w:szCs w:val="20"/>
        </w:rPr>
        <w:t xml:space="preserve">in </w:t>
      </w:r>
      <w:proofErr w:type="spellStart"/>
      <w:r w:rsidRPr="008B7164">
        <w:rPr>
          <w:rFonts w:eastAsia="Calibri" w:cs="Times New Roman"/>
          <w:i/>
          <w:sz w:val="20"/>
          <w:szCs w:val="20"/>
        </w:rPr>
        <w:t>personam</w:t>
      </w:r>
      <w:proofErr w:type="spellEnd"/>
      <w:r w:rsidRPr="008B7164">
        <w:rPr>
          <w:rFonts w:eastAsia="Calibri" w:cs="Times New Roman"/>
          <w:i/>
          <w:sz w:val="20"/>
          <w:szCs w:val="20"/>
        </w:rPr>
        <w:t xml:space="preserve"> </w:t>
      </w:r>
      <w:r w:rsidRPr="008B7164">
        <w:rPr>
          <w:rFonts w:eastAsia="Calibri" w:cs="Times New Roman"/>
          <w:sz w:val="20"/>
          <w:szCs w:val="20"/>
        </w:rPr>
        <w:t>defence available only to police officers charged with criminal offences committed during the course of investigative activity.</w:t>
      </w:r>
    </w:p>
    <w:p w:rsidR="00F95699" w:rsidRDefault="00F95699" w:rsidP="005F263E">
      <w:pPr>
        <w:tabs>
          <w:tab w:val="left" w:pos="-1440"/>
          <w:tab w:val="left" w:pos="-720"/>
        </w:tabs>
        <w:ind w:left="720" w:hanging="720"/>
        <w:jc w:val="both"/>
        <w:rPr>
          <w:b/>
          <w:sz w:val="20"/>
          <w:szCs w:val="20"/>
        </w:rPr>
      </w:pPr>
    </w:p>
    <w:p w:rsidR="008B7164" w:rsidRPr="004D5859" w:rsidRDefault="00857426" w:rsidP="008B7164">
      <w:pPr>
        <w:tabs>
          <w:tab w:val="left" w:pos="-1440"/>
          <w:tab w:val="left" w:pos="-720"/>
        </w:tabs>
        <w:ind w:left="720" w:hanging="720"/>
        <w:jc w:val="both"/>
        <w:rPr>
          <w:sz w:val="20"/>
          <w:szCs w:val="20"/>
        </w:rPr>
      </w:pPr>
      <w:r w:rsidRPr="00857426">
        <w:rPr>
          <w:sz w:val="20"/>
          <w:szCs w:val="20"/>
          <w:lang w:val="fr-CA"/>
        </w:rPr>
        <w:pict>
          <v:rect id="_x0000_i1094" style="width:2in;height:1pt" o:hrpct="0" o:hralign="center" o:hrstd="t" o:hrnoshade="t" o:hr="t" fillcolor="black [3213]" stroked="f"/>
        </w:pict>
      </w:r>
    </w:p>
    <w:p w:rsidR="008B7164" w:rsidRPr="004D5859" w:rsidRDefault="008B7164" w:rsidP="008B7164">
      <w:pPr>
        <w:tabs>
          <w:tab w:val="left" w:pos="-1440"/>
          <w:tab w:val="left" w:pos="-720"/>
        </w:tabs>
        <w:ind w:left="720" w:hanging="720"/>
        <w:jc w:val="both"/>
        <w:rPr>
          <w:b/>
          <w:sz w:val="20"/>
          <w:szCs w:val="20"/>
        </w:rPr>
      </w:pPr>
    </w:p>
    <w:p w:rsidR="008B7164" w:rsidRPr="004D5859" w:rsidRDefault="008B7164" w:rsidP="008B7164">
      <w:pPr>
        <w:tabs>
          <w:tab w:val="left" w:pos="-1440"/>
          <w:tab w:val="left" w:pos="-720"/>
        </w:tabs>
        <w:ind w:left="720" w:hanging="720"/>
        <w:jc w:val="both"/>
        <w:rPr>
          <w:sz w:val="20"/>
          <w:szCs w:val="20"/>
          <w:lang w:val="fr-CA"/>
        </w:rPr>
      </w:pPr>
      <w:r w:rsidRPr="00886A14">
        <w:rPr>
          <w:b/>
          <w:sz w:val="20"/>
          <w:szCs w:val="20"/>
          <w:lang w:val="fr-CA"/>
        </w:rPr>
        <w:t>33536</w:t>
      </w:r>
      <w:r w:rsidRPr="00886A14">
        <w:rPr>
          <w:b/>
          <w:sz w:val="20"/>
          <w:szCs w:val="20"/>
          <w:lang w:val="fr-CA"/>
        </w:rPr>
        <w:tab/>
      </w:r>
      <w:r w:rsidR="00886A14" w:rsidRPr="00886A14">
        <w:rPr>
          <w:b/>
          <w:sz w:val="20"/>
          <w:szCs w:val="20"/>
          <w:lang w:val="fr-CA"/>
        </w:rPr>
        <w:t xml:space="preserve">Sa Majesté la Reine </w:t>
      </w:r>
      <w:r w:rsidRPr="00886A14">
        <w:rPr>
          <w:b/>
          <w:sz w:val="20"/>
          <w:szCs w:val="20"/>
          <w:lang w:val="fr-CA"/>
        </w:rPr>
        <w:t>c. J.J.</w:t>
      </w:r>
      <w:r w:rsidR="00886A14">
        <w:rPr>
          <w:b/>
          <w:sz w:val="20"/>
          <w:szCs w:val="20"/>
          <w:lang w:val="fr-CA"/>
        </w:rPr>
        <w:t>, D.E., A.J., L.E. et T.M.</w:t>
      </w:r>
      <w:r w:rsidRPr="00886A14">
        <w:rPr>
          <w:b/>
          <w:sz w:val="20"/>
          <w:szCs w:val="20"/>
          <w:lang w:val="fr-CA"/>
        </w:rPr>
        <w:t xml:space="preserve"> </w:t>
      </w:r>
      <w:r w:rsidRPr="004D5859">
        <w:rPr>
          <w:sz w:val="20"/>
          <w:szCs w:val="20"/>
          <w:lang w:val="fr-CA"/>
        </w:rPr>
        <w:t>(Ont.) (Criminelle) (Autorisation)</w:t>
      </w:r>
    </w:p>
    <w:p w:rsidR="008B7164" w:rsidRPr="008B7164" w:rsidRDefault="008B7164" w:rsidP="005F263E">
      <w:pPr>
        <w:tabs>
          <w:tab w:val="left" w:pos="-1440"/>
          <w:tab w:val="left" w:pos="-720"/>
        </w:tabs>
        <w:ind w:left="720" w:hanging="720"/>
        <w:jc w:val="both"/>
        <w:rPr>
          <w:b/>
          <w:sz w:val="20"/>
          <w:szCs w:val="20"/>
          <w:lang w:val="fr-CA"/>
        </w:rPr>
      </w:pPr>
    </w:p>
    <w:p w:rsidR="008B7164" w:rsidRPr="008B7164" w:rsidRDefault="008B7164" w:rsidP="008B7164">
      <w:pPr>
        <w:widowControl w:val="0"/>
        <w:jc w:val="both"/>
        <w:rPr>
          <w:rFonts w:eastAsia="Calibri" w:cs="Times New Roman"/>
          <w:sz w:val="20"/>
          <w:szCs w:val="20"/>
          <w:lang w:val="fr-CA"/>
        </w:rPr>
      </w:pPr>
      <w:r w:rsidRPr="008B7164">
        <w:rPr>
          <w:rFonts w:eastAsia="Calibri" w:cs="Times New Roman"/>
          <w:smallCaps/>
          <w:sz w:val="20"/>
          <w:szCs w:val="20"/>
          <w:lang w:val="fr-CA"/>
        </w:rPr>
        <w:t>(Ordonnance de non-publication visant une partie)</w:t>
      </w:r>
      <w:r w:rsidRPr="008B7164">
        <w:rPr>
          <w:rFonts w:eastAsia="Calibri" w:cs="Times New Roman"/>
          <w:sz w:val="20"/>
          <w:szCs w:val="20"/>
          <w:lang w:val="fr-CA"/>
        </w:rPr>
        <w:t xml:space="preserve"> </w:t>
      </w:r>
    </w:p>
    <w:p w:rsidR="008B7164" w:rsidRPr="008B7164" w:rsidRDefault="008B7164" w:rsidP="008B7164">
      <w:pPr>
        <w:widowControl w:val="0"/>
        <w:jc w:val="both"/>
        <w:rPr>
          <w:rFonts w:eastAsia="Calibri" w:cs="Times New Roman"/>
          <w:sz w:val="20"/>
          <w:szCs w:val="20"/>
          <w:lang w:val="fr-CA"/>
        </w:rPr>
      </w:pPr>
    </w:p>
    <w:p w:rsidR="008B7164" w:rsidRPr="008B7164" w:rsidRDefault="008B7164" w:rsidP="008B7164">
      <w:pPr>
        <w:jc w:val="both"/>
        <w:rPr>
          <w:b/>
          <w:sz w:val="20"/>
          <w:szCs w:val="20"/>
          <w:lang w:val="fr-CA"/>
        </w:rPr>
      </w:pPr>
      <w:r w:rsidRPr="008B7164">
        <w:rPr>
          <w:rFonts w:eastAsia="Calibri" w:cs="Times New Roman"/>
          <w:sz w:val="20"/>
          <w:szCs w:val="20"/>
          <w:lang w:val="fr-CA"/>
        </w:rPr>
        <w:t xml:space="preserve">Législation – Interprétation – </w:t>
      </w:r>
      <w:r w:rsidRPr="008B7164">
        <w:rPr>
          <w:rFonts w:eastAsia="Calibri" w:cs="Times New Roman"/>
          <w:i/>
          <w:sz w:val="20"/>
          <w:szCs w:val="20"/>
          <w:lang w:val="fr-CA"/>
        </w:rPr>
        <w:t xml:space="preserve">Code criminel </w:t>
      </w:r>
      <w:r w:rsidRPr="008B7164">
        <w:rPr>
          <w:rFonts w:eastAsia="Calibri" w:cs="Times New Roman"/>
          <w:sz w:val="20"/>
          <w:szCs w:val="20"/>
          <w:lang w:val="fr-CA"/>
        </w:rPr>
        <w:t xml:space="preserve">– Infractions – L’art. 25.1 </w:t>
      </w:r>
      <w:proofErr w:type="gramStart"/>
      <w:r w:rsidRPr="008B7164">
        <w:rPr>
          <w:rFonts w:eastAsia="Calibri" w:cs="Times New Roman"/>
          <w:sz w:val="20"/>
          <w:szCs w:val="20"/>
          <w:lang w:val="fr-CA"/>
        </w:rPr>
        <w:t>du</w:t>
      </w:r>
      <w:proofErr w:type="gramEnd"/>
      <w:r w:rsidRPr="008B7164">
        <w:rPr>
          <w:rFonts w:eastAsia="Calibri" w:cs="Times New Roman"/>
          <w:sz w:val="20"/>
          <w:szCs w:val="20"/>
          <w:lang w:val="fr-CA"/>
        </w:rPr>
        <w:t xml:space="preserve"> </w:t>
      </w:r>
      <w:r w:rsidRPr="008B7164">
        <w:rPr>
          <w:rFonts w:eastAsia="Calibri" w:cs="Times New Roman"/>
          <w:i/>
          <w:sz w:val="20"/>
          <w:szCs w:val="20"/>
          <w:lang w:val="fr-CA"/>
        </w:rPr>
        <w:t xml:space="preserve">Code criminel </w:t>
      </w:r>
      <w:r w:rsidRPr="008B7164">
        <w:rPr>
          <w:rFonts w:eastAsia="Calibri" w:cs="Times New Roman"/>
          <w:sz w:val="20"/>
          <w:szCs w:val="20"/>
          <w:lang w:val="fr-CA"/>
        </w:rPr>
        <w:t>crée-t-il une justification légale générale à l’égard du comportement de policiers enquêteurs visé par l’article, ou bien un moyen de défense personnel limité qui ne peut être invoqué que par les policiers accusés d’infractions criminelles commises au cours de l’enquête?</w:t>
      </w:r>
    </w:p>
    <w:p w:rsidR="000B3C9A" w:rsidRPr="004D5859" w:rsidRDefault="000B3C9A" w:rsidP="000B3C9A">
      <w:pPr>
        <w:tabs>
          <w:tab w:val="left" w:pos="-1440"/>
          <w:tab w:val="left" w:pos="-720"/>
        </w:tabs>
        <w:ind w:left="720" w:hanging="720"/>
        <w:jc w:val="both"/>
        <w:rPr>
          <w:sz w:val="20"/>
          <w:szCs w:val="20"/>
          <w:lang w:val="fr-CA"/>
        </w:rPr>
      </w:pPr>
    </w:p>
    <w:p w:rsidR="000B3C9A" w:rsidRPr="004D5859" w:rsidRDefault="00857426" w:rsidP="000B3C9A">
      <w:pPr>
        <w:tabs>
          <w:tab w:val="left" w:pos="-1440"/>
          <w:tab w:val="left" w:pos="-720"/>
        </w:tabs>
        <w:ind w:left="720" w:hanging="720"/>
        <w:jc w:val="both"/>
        <w:rPr>
          <w:sz w:val="20"/>
          <w:szCs w:val="20"/>
          <w:lang w:val="fr-CA"/>
        </w:rPr>
      </w:pPr>
      <w:r w:rsidRPr="00857426">
        <w:rPr>
          <w:sz w:val="20"/>
          <w:szCs w:val="20"/>
          <w:lang w:val="fr-CA"/>
        </w:rPr>
        <w:pict>
          <v:rect id="_x0000_i1095" style="width:2in;height:1pt" o:hrpct="0" o:hralign="center" o:hrstd="t" o:hrnoshade="t" o:hr="t" fillcolor="black [3213]" stroked="f"/>
        </w:pict>
      </w:r>
    </w:p>
    <w:p w:rsidR="000B3C9A" w:rsidRPr="004D5859" w:rsidRDefault="000B3C9A" w:rsidP="000B3C9A">
      <w:pPr>
        <w:tabs>
          <w:tab w:val="left" w:pos="-1440"/>
          <w:tab w:val="left" w:pos="-720"/>
        </w:tabs>
        <w:ind w:left="720" w:hanging="720"/>
        <w:jc w:val="both"/>
        <w:rPr>
          <w:sz w:val="20"/>
          <w:szCs w:val="20"/>
          <w:lang w:val="fr-CA"/>
        </w:rPr>
      </w:pPr>
      <w:r w:rsidRPr="004D5859">
        <w:rPr>
          <w:sz w:val="20"/>
          <w:szCs w:val="20"/>
          <w:lang w:val="fr-CA"/>
        </w:rPr>
        <w:br w:type="page"/>
      </w:r>
    </w:p>
    <w:p w:rsidR="00202391" w:rsidRPr="00202391" w:rsidRDefault="00857426" w:rsidP="00202391">
      <w:pPr>
        <w:widowControl w:val="0"/>
        <w:jc w:val="both"/>
        <w:rPr>
          <w:sz w:val="20"/>
          <w:szCs w:val="20"/>
        </w:rPr>
      </w:pPr>
      <w:r w:rsidRPr="00202391">
        <w:rPr>
          <w:sz w:val="20"/>
          <w:szCs w:val="20"/>
        </w:rPr>
        <w:lastRenderedPageBreak/>
        <w:fldChar w:fldCharType="begin"/>
      </w:r>
      <w:r w:rsidR="00202391" w:rsidRPr="00202391">
        <w:rPr>
          <w:sz w:val="20"/>
          <w:szCs w:val="20"/>
        </w:rPr>
        <w:instrText xml:space="preserve"> SEQ CHAPTER \h \r 1</w:instrText>
      </w:r>
      <w:r w:rsidRPr="00202391">
        <w:rPr>
          <w:sz w:val="20"/>
          <w:szCs w:val="20"/>
        </w:rPr>
        <w:fldChar w:fldCharType="end"/>
      </w:r>
      <w:r w:rsidR="00202391" w:rsidRPr="00202391">
        <w:rPr>
          <w:b/>
          <w:sz w:val="20"/>
          <w:szCs w:val="20"/>
        </w:rPr>
        <w:t>33412</w:t>
      </w:r>
      <w:r w:rsidR="00202391" w:rsidRPr="00202391">
        <w:rPr>
          <w:sz w:val="20"/>
          <w:szCs w:val="20"/>
        </w:rPr>
        <w:tab/>
      </w:r>
      <w:r w:rsidR="00202391" w:rsidRPr="00202391">
        <w:rPr>
          <w:b/>
          <w:i/>
          <w:sz w:val="20"/>
          <w:szCs w:val="20"/>
        </w:rPr>
        <w:t>Wayne Crookes and West Coast Title Search Ltd. v. Jon Newton</w:t>
      </w:r>
    </w:p>
    <w:p w:rsidR="00202391" w:rsidRPr="00202391" w:rsidRDefault="00202391" w:rsidP="00202391">
      <w:pPr>
        <w:widowControl w:val="0"/>
        <w:jc w:val="both"/>
        <w:rPr>
          <w:sz w:val="20"/>
          <w:szCs w:val="20"/>
        </w:rPr>
      </w:pPr>
    </w:p>
    <w:p w:rsidR="00202391" w:rsidRPr="00202391" w:rsidRDefault="00202391" w:rsidP="00202391">
      <w:pPr>
        <w:widowControl w:val="0"/>
        <w:jc w:val="both"/>
        <w:rPr>
          <w:sz w:val="20"/>
          <w:szCs w:val="20"/>
        </w:rPr>
      </w:pPr>
      <w:r w:rsidRPr="00202391">
        <w:rPr>
          <w:sz w:val="20"/>
          <w:szCs w:val="20"/>
        </w:rPr>
        <w:t>Torts - Intentional torts - Defamation - Internet hyperlinks - Publication - Whether the author of a website article, through deliberate insertion of a hyperlink in the article which links to a defamatory website article, can be presumed to have published the defamatory article - If the author cannot be presumed to have published the hyperlinked article, under what circumstances can it be inferred that the author has published this defamatory article?</w:t>
      </w:r>
    </w:p>
    <w:p w:rsidR="00202391" w:rsidRPr="00202391" w:rsidRDefault="00202391" w:rsidP="00202391">
      <w:pPr>
        <w:widowControl w:val="0"/>
        <w:jc w:val="both"/>
        <w:rPr>
          <w:sz w:val="20"/>
          <w:szCs w:val="20"/>
        </w:rPr>
      </w:pPr>
    </w:p>
    <w:p w:rsidR="00202391" w:rsidRPr="00202391" w:rsidRDefault="00202391" w:rsidP="00202391">
      <w:pPr>
        <w:widowControl w:val="0"/>
        <w:jc w:val="both"/>
        <w:rPr>
          <w:sz w:val="20"/>
          <w:szCs w:val="20"/>
        </w:rPr>
      </w:pPr>
      <w:r w:rsidRPr="00202391">
        <w:rPr>
          <w:sz w:val="20"/>
          <w:szCs w:val="20"/>
        </w:rPr>
        <w:t>The Appellant Wayne Crookes alleges that he has been defamed in various articles which first appeared on the Internet in 2005.  The Respondent, Jon Newton, owns and operates the website www.p2pnet.net.  On July 18, 2006, he authored an article, headed “Free Speech in Canada”, which hyperlinked one of the articles, as well as the website containing the other impugned articles.  Those articles, in turn, were hyperlinked to one another.  Mr. Crookes takes the position that, by creating these hyperlinks, or by refusing to remove the hyperlinks when advised of their defamatory character, Mr. Newton became a publisher of the impugned articles found at the hyperlinked websites.  Mr. Crookes and his company, the Appellant West Coast Title Search Ltd., brought an action against Mr. Newton for damages for defamation.</w:t>
      </w:r>
    </w:p>
    <w:p w:rsidR="00202391" w:rsidRPr="00202391" w:rsidRDefault="00202391" w:rsidP="00202391">
      <w:pPr>
        <w:widowControl w:val="0"/>
        <w:jc w:val="both"/>
        <w:rPr>
          <w:sz w:val="20"/>
          <w:szCs w:val="20"/>
        </w:rPr>
      </w:pPr>
    </w:p>
    <w:p w:rsidR="00202391" w:rsidRPr="00202391" w:rsidRDefault="00202391" w:rsidP="00202391">
      <w:pPr>
        <w:widowControl w:val="0"/>
        <w:jc w:val="both"/>
        <w:rPr>
          <w:sz w:val="20"/>
          <w:szCs w:val="20"/>
        </w:rPr>
      </w:pPr>
    </w:p>
    <w:p w:rsidR="00202391" w:rsidRPr="00202391" w:rsidRDefault="00202391" w:rsidP="00202391">
      <w:pPr>
        <w:widowControl w:val="0"/>
        <w:ind w:left="3600" w:hanging="3600"/>
        <w:jc w:val="both"/>
        <w:rPr>
          <w:sz w:val="20"/>
          <w:szCs w:val="20"/>
        </w:rPr>
      </w:pPr>
      <w:r w:rsidRPr="00202391">
        <w:rPr>
          <w:sz w:val="20"/>
          <w:szCs w:val="20"/>
        </w:rPr>
        <w:t>Origin of the case:</w:t>
      </w:r>
      <w:r w:rsidRPr="00202391">
        <w:rPr>
          <w:sz w:val="20"/>
          <w:szCs w:val="20"/>
        </w:rPr>
        <w:tab/>
        <w:t>British Columbia</w:t>
      </w:r>
    </w:p>
    <w:p w:rsidR="00202391" w:rsidRPr="00202391" w:rsidRDefault="00202391" w:rsidP="00202391">
      <w:pPr>
        <w:widowControl w:val="0"/>
        <w:ind w:left="3600" w:hanging="3600"/>
        <w:jc w:val="both"/>
        <w:rPr>
          <w:sz w:val="20"/>
          <w:szCs w:val="20"/>
        </w:rPr>
      </w:pPr>
    </w:p>
    <w:p w:rsidR="00202391" w:rsidRPr="00202391" w:rsidRDefault="00202391" w:rsidP="00202391">
      <w:pPr>
        <w:widowControl w:val="0"/>
        <w:ind w:left="3600" w:hanging="3600"/>
        <w:jc w:val="both"/>
        <w:rPr>
          <w:sz w:val="20"/>
          <w:szCs w:val="20"/>
        </w:rPr>
      </w:pPr>
      <w:r w:rsidRPr="00202391">
        <w:rPr>
          <w:sz w:val="20"/>
          <w:szCs w:val="20"/>
        </w:rPr>
        <w:t>File No.:</w:t>
      </w:r>
      <w:r w:rsidRPr="00202391">
        <w:rPr>
          <w:sz w:val="20"/>
          <w:szCs w:val="20"/>
        </w:rPr>
        <w:tab/>
        <w:t>33412</w:t>
      </w:r>
    </w:p>
    <w:p w:rsidR="00202391" w:rsidRPr="00202391" w:rsidRDefault="00202391" w:rsidP="00202391">
      <w:pPr>
        <w:widowControl w:val="0"/>
        <w:ind w:left="3600" w:hanging="3600"/>
        <w:jc w:val="both"/>
        <w:rPr>
          <w:sz w:val="20"/>
          <w:szCs w:val="20"/>
        </w:rPr>
      </w:pPr>
    </w:p>
    <w:p w:rsidR="00202391" w:rsidRPr="00202391" w:rsidRDefault="00202391" w:rsidP="00202391">
      <w:pPr>
        <w:widowControl w:val="0"/>
        <w:ind w:left="3600" w:hanging="3600"/>
        <w:jc w:val="both"/>
        <w:rPr>
          <w:sz w:val="20"/>
          <w:szCs w:val="20"/>
        </w:rPr>
      </w:pPr>
      <w:r w:rsidRPr="00202391">
        <w:rPr>
          <w:sz w:val="20"/>
          <w:szCs w:val="20"/>
        </w:rPr>
        <w:t>Judgment of the Court of Appeal:</w:t>
      </w:r>
      <w:r w:rsidRPr="00202391">
        <w:rPr>
          <w:sz w:val="20"/>
          <w:szCs w:val="20"/>
        </w:rPr>
        <w:tab/>
        <w:t>September 15, 2009</w:t>
      </w:r>
    </w:p>
    <w:p w:rsidR="00202391" w:rsidRPr="00202391" w:rsidRDefault="00202391" w:rsidP="00202391">
      <w:pPr>
        <w:widowControl w:val="0"/>
        <w:ind w:left="3600" w:hanging="3600"/>
        <w:jc w:val="both"/>
        <w:rPr>
          <w:sz w:val="20"/>
          <w:szCs w:val="20"/>
        </w:rPr>
      </w:pPr>
    </w:p>
    <w:p w:rsidR="00202391" w:rsidRPr="00202391" w:rsidRDefault="00202391" w:rsidP="00202391">
      <w:pPr>
        <w:widowControl w:val="0"/>
        <w:ind w:left="3600" w:hanging="3600"/>
        <w:jc w:val="both"/>
        <w:rPr>
          <w:sz w:val="20"/>
          <w:szCs w:val="20"/>
        </w:rPr>
      </w:pPr>
      <w:r w:rsidRPr="00202391">
        <w:rPr>
          <w:sz w:val="20"/>
          <w:szCs w:val="20"/>
        </w:rPr>
        <w:t>Counsel:</w:t>
      </w:r>
      <w:r w:rsidRPr="00202391">
        <w:rPr>
          <w:sz w:val="20"/>
          <w:szCs w:val="20"/>
        </w:rPr>
        <w:tab/>
        <w:t xml:space="preserve">Robert A. </w:t>
      </w:r>
      <w:proofErr w:type="spellStart"/>
      <w:r w:rsidRPr="00202391">
        <w:rPr>
          <w:sz w:val="20"/>
          <w:szCs w:val="20"/>
        </w:rPr>
        <w:t>Kasting</w:t>
      </w:r>
      <w:proofErr w:type="spellEnd"/>
      <w:r w:rsidRPr="00202391">
        <w:rPr>
          <w:sz w:val="20"/>
          <w:szCs w:val="20"/>
        </w:rPr>
        <w:t xml:space="preserve"> and Donald J. Jordan, Q.C. for the Appellants</w:t>
      </w:r>
    </w:p>
    <w:p w:rsidR="00202391" w:rsidRPr="00202391" w:rsidRDefault="00202391" w:rsidP="00202391">
      <w:pPr>
        <w:widowControl w:val="0"/>
        <w:ind w:left="3600" w:hanging="3600"/>
        <w:jc w:val="both"/>
        <w:rPr>
          <w:sz w:val="20"/>
          <w:szCs w:val="20"/>
        </w:rPr>
      </w:pPr>
      <w:r>
        <w:rPr>
          <w:sz w:val="20"/>
          <w:szCs w:val="20"/>
        </w:rPr>
        <w:tab/>
      </w:r>
      <w:r w:rsidRPr="00202391">
        <w:rPr>
          <w:sz w:val="20"/>
          <w:szCs w:val="20"/>
        </w:rPr>
        <w:t>Daniel J. Burnett for the Respondent</w:t>
      </w:r>
    </w:p>
    <w:p w:rsidR="00202391" w:rsidRPr="00202391" w:rsidRDefault="00202391" w:rsidP="000B3C9A">
      <w:pPr>
        <w:tabs>
          <w:tab w:val="left" w:pos="-1440"/>
          <w:tab w:val="left" w:pos="-720"/>
        </w:tabs>
        <w:jc w:val="both"/>
        <w:rPr>
          <w:sz w:val="20"/>
          <w:szCs w:val="20"/>
        </w:rPr>
      </w:pPr>
    </w:p>
    <w:p w:rsidR="000B3C9A" w:rsidRDefault="00857426" w:rsidP="000B3C9A">
      <w:pPr>
        <w:tabs>
          <w:tab w:val="left" w:pos="-1440"/>
          <w:tab w:val="left" w:pos="-720"/>
        </w:tabs>
        <w:jc w:val="both"/>
        <w:rPr>
          <w:sz w:val="20"/>
          <w:szCs w:val="20"/>
          <w:lang w:val="fr-CA"/>
        </w:rPr>
      </w:pPr>
      <w:r w:rsidRPr="00857426">
        <w:rPr>
          <w:sz w:val="20"/>
          <w:szCs w:val="20"/>
          <w:lang w:val="fr-CA"/>
        </w:rPr>
        <w:pict>
          <v:rect id="_x0000_i1096" style="width:2in;height:1pt" o:hrpct="0" o:hralign="center" o:hrstd="t" o:hrnoshade="t" o:hr="t" fillcolor="black [3213]" stroked="f"/>
        </w:pict>
      </w:r>
    </w:p>
    <w:p w:rsidR="00643C4A" w:rsidRDefault="00643C4A">
      <w:pPr>
        <w:rPr>
          <w:sz w:val="20"/>
          <w:szCs w:val="20"/>
          <w:lang w:val="fr-CA"/>
        </w:rPr>
      </w:pPr>
      <w:r>
        <w:rPr>
          <w:sz w:val="20"/>
          <w:szCs w:val="20"/>
          <w:lang w:val="fr-CA"/>
        </w:rPr>
        <w:br w:type="page"/>
      </w:r>
    </w:p>
    <w:p w:rsidR="00643C4A" w:rsidRPr="00643C4A" w:rsidRDefault="00857426" w:rsidP="00643C4A">
      <w:pPr>
        <w:widowControl w:val="0"/>
        <w:jc w:val="both"/>
        <w:rPr>
          <w:sz w:val="20"/>
          <w:szCs w:val="20"/>
        </w:rPr>
      </w:pPr>
      <w:r w:rsidRPr="00857426">
        <w:rPr>
          <w:sz w:val="20"/>
          <w:szCs w:val="20"/>
          <w:lang w:val="fr-CA"/>
        </w:rPr>
        <w:lastRenderedPageBreak/>
        <w:fldChar w:fldCharType="begin"/>
      </w:r>
      <w:r w:rsidR="00643C4A" w:rsidRPr="00643C4A">
        <w:rPr>
          <w:sz w:val="20"/>
          <w:szCs w:val="20"/>
        </w:rPr>
        <w:instrText xml:space="preserve"> SEQ CHAPTER \h \r 1</w:instrText>
      </w:r>
      <w:r w:rsidRPr="00643C4A">
        <w:rPr>
          <w:sz w:val="20"/>
          <w:szCs w:val="20"/>
        </w:rPr>
        <w:fldChar w:fldCharType="end"/>
      </w:r>
      <w:r w:rsidR="00643C4A" w:rsidRPr="00643C4A">
        <w:rPr>
          <w:b/>
          <w:sz w:val="20"/>
          <w:szCs w:val="20"/>
        </w:rPr>
        <w:t>33412</w:t>
      </w:r>
      <w:r w:rsidR="00643C4A" w:rsidRPr="00643C4A">
        <w:rPr>
          <w:sz w:val="20"/>
          <w:szCs w:val="20"/>
        </w:rPr>
        <w:tab/>
      </w:r>
      <w:r w:rsidR="00643C4A" w:rsidRPr="00643C4A">
        <w:rPr>
          <w:b/>
          <w:i/>
          <w:sz w:val="20"/>
          <w:szCs w:val="20"/>
        </w:rPr>
        <w:t xml:space="preserve">Wayne Crookes </w:t>
      </w:r>
      <w:proofErr w:type="gramStart"/>
      <w:r w:rsidR="00643C4A" w:rsidRPr="00643C4A">
        <w:rPr>
          <w:b/>
          <w:i/>
          <w:sz w:val="20"/>
          <w:szCs w:val="20"/>
        </w:rPr>
        <w:t>et</w:t>
      </w:r>
      <w:proofErr w:type="gramEnd"/>
      <w:r w:rsidR="00643C4A" w:rsidRPr="00643C4A">
        <w:rPr>
          <w:b/>
          <w:i/>
          <w:sz w:val="20"/>
          <w:szCs w:val="20"/>
        </w:rPr>
        <w:t xml:space="preserve"> West Coast Title Search Ltd. c. Jon Newton</w:t>
      </w:r>
    </w:p>
    <w:p w:rsidR="00643C4A" w:rsidRPr="00643C4A" w:rsidRDefault="00643C4A" w:rsidP="00643C4A">
      <w:pPr>
        <w:widowControl w:val="0"/>
        <w:jc w:val="both"/>
        <w:rPr>
          <w:sz w:val="20"/>
          <w:szCs w:val="20"/>
        </w:rPr>
      </w:pPr>
    </w:p>
    <w:p w:rsidR="00202391" w:rsidRPr="00202391" w:rsidRDefault="00202391" w:rsidP="00202391">
      <w:pPr>
        <w:widowControl w:val="0"/>
        <w:jc w:val="both"/>
        <w:rPr>
          <w:sz w:val="20"/>
          <w:szCs w:val="20"/>
          <w:lang w:val="fr-CA"/>
        </w:rPr>
      </w:pPr>
      <w:r w:rsidRPr="00202391">
        <w:rPr>
          <w:sz w:val="20"/>
          <w:szCs w:val="20"/>
          <w:lang w:val="fr-CA"/>
        </w:rPr>
        <w:t xml:space="preserve">Responsabilité délictuelle - Délits intentionnels - Diffamation - Liens hypertextes sur Internet - Publication - L’auteur d’un article publié sur un site Web, par l’insertion délibérée d’un hyperlien dans l’article qui lie à un article diffamatoire sur un site Web, peut-il être présumé avoir publié l’article diffamatoire? - Si l’on ne peut présumer que l’auteur a publié l’article </w:t>
      </w:r>
      <w:proofErr w:type="spellStart"/>
      <w:r w:rsidRPr="00202391">
        <w:rPr>
          <w:sz w:val="20"/>
          <w:szCs w:val="20"/>
          <w:lang w:val="fr-CA"/>
        </w:rPr>
        <w:t>hyperlié</w:t>
      </w:r>
      <w:proofErr w:type="spellEnd"/>
      <w:r w:rsidRPr="00202391">
        <w:rPr>
          <w:sz w:val="20"/>
          <w:szCs w:val="20"/>
          <w:lang w:val="fr-CA"/>
        </w:rPr>
        <w:t>, dans quelles circonstances peut-on conclure que l’auteur a publié cet article diffamatoire?</w:t>
      </w:r>
    </w:p>
    <w:p w:rsidR="00202391" w:rsidRPr="00202391" w:rsidRDefault="00202391" w:rsidP="00202391">
      <w:pPr>
        <w:widowControl w:val="0"/>
        <w:jc w:val="both"/>
        <w:rPr>
          <w:sz w:val="20"/>
          <w:szCs w:val="20"/>
          <w:lang w:val="fr-CA"/>
        </w:rPr>
      </w:pPr>
    </w:p>
    <w:p w:rsidR="00202391" w:rsidRPr="00202391" w:rsidRDefault="00202391" w:rsidP="00202391">
      <w:pPr>
        <w:widowControl w:val="0"/>
        <w:jc w:val="both"/>
        <w:rPr>
          <w:sz w:val="20"/>
          <w:szCs w:val="20"/>
          <w:lang w:val="fr-CA"/>
        </w:rPr>
      </w:pPr>
      <w:r w:rsidRPr="00202391">
        <w:rPr>
          <w:sz w:val="20"/>
          <w:szCs w:val="20"/>
          <w:lang w:val="fr-CA"/>
        </w:rPr>
        <w:t xml:space="preserve">L’appelant Wayne Crookes prétend avoir été victime de diffamation par suite de la publication de divers articles qui ont été diffusés pour la première fois sur Internet en 2005.  L’intimé, Jon Newton, possède et exploite le site Internet www.p2pnet.net.  Le 18 juillet 2006, il a écrit un article intitulé « </w:t>
      </w:r>
      <w:r w:rsidRPr="00202391">
        <w:rPr>
          <w:i/>
          <w:sz w:val="20"/>
          <w:szCs w:val="20"/>
          <w:lang w:val="fr-CA"/>
        </w:rPr>
        <w:t>Free Speech in Canada</w:t>
      </w:r>
      <w:r w:rsidRPr="00202391">
        <w:rPr>
          <w:sz w:val="20"/>
          <w:szCs w:val="20"/>
          <w:lang w:val="fr-CA"/>
        </w:rPr>
        <w:t xml:space="preserve"> » (</w:t>
      </w:r>
      <w:r w:rsidRPr="00202391">
        <w:rPr>
          <w:smallCaps/>
          <w:sz w:val="20"/>
          <w:szCs w:val="20"/>
          <w:lang w:val="fr-CA"/>
        </w:rPr>
        <w:t>[traduction]</w:t>
      </w:r>
      <w:r w:rsidRPr="00202391">
        <w:rPr>
          <w:sz w:val="20"/>
          <w:szCs w:val="20"/>
          <w:lang w:val="fr-CA"/>
        </w:rPr>
        <w:t xml:space="preserve"> « La liberté d’expression au Canada »), qui renvoyait, au moyen de liens hypertextes, à l’un des articles en question ainsi qu’au site Web contenant les autres articles contestés.  Ces articles étaient eux-mêmes </w:t>
      </w:r>
      <w:proofErr w:type="spellStart"/>
      <w:r w:rsidRPr="00202391">
        <w:rPr>
          <w:sz w:val="20"/>
          <w:szCs w:val="20"/>
          <w:lang w:val="fr-CA"/>
        </w:rPr>
        <w:t>hyperliés</w:t>
      </w:r>
      <w:proofErr w:type="spellEnd"/>
      <w:r w:rsidRPr="00202391">
        <w:rPr>
          <w:sz w:val="20"/>
          <w:szCs w:val="20"/>
          <w:lang w:val="fr-CA"/>
        </w:rPr>
        <w:t xml:space="preserve"> entre eux.  La thèse de M. Crookes est qu’en créant ces liens hypertextes ou en refusant de les retirer après avoir été avisé de leur caractère diffamatoire, M. Newton est devenu un diffuseur des articles contestés qui se trouvaient dans les sites Web </w:t>
      </w:r>
      <w:proofErr w:type="spellStart"/>
      <w:r w:rsidRPr="00202391">
        <w:rPr>
          <w:sz w:val="20"/>
          <w:szCs w:val="20"/>
          <w:lang w:val="fr-CA"/>
        </w:rPr>
        <w:t>hyperliés</w:t>
      </w:r>
      <w:proofErr w:type="spellEnd"/>
      <w:r w:rsidRPr="00202391">
        <w:rPr>
          <w:sz w:val="20"/>
          <w:szCs w:val="20"/>
          <w:lang w:val="fr-CA"/>
        </w:rPr>
        <w:t xml:space="preserve">.  Monsieur Crookes et sa compagnie, l’appelante West </w:t>
      </w:r>
      <w:proofErr w:type="spellStart"/>
      <w:r w:rsidRPr="00202391">
        <w:rPr>
          <w:sz w:val="20"/>
          <w:szCs w:val="20"/>
          <w:lang w:val="fr-CA"/>
        </w:rPr>
        <w:t>Coast</w:t>
      </w:r>
      <w:proofErr w:type="spellEnd"/>
      <w:r w:rsidRPr="00202391">
        <w:rPr>
          <w:sz w:val="20"/>
          <w:szCs w:val="20"/>
          <w:lang w:val="fr-CA"/>
        </w:rPr>
        <w:t xml:space="preserve"> </w:t>
      </w:r>
      <w:proofErr w:type="spellStart"/>
      <w:r w:rsidRPr="00202391">
        <w:rPr>
          <w:sz w:val="20"/>
          <w:szCs w:val="20"/>
          <w:lang w:val="fr-CA"/>
        </w:rPr>
        <w:t>Title</w:t>
      </w:r>
      <w:proofErr w:type="spellEnd"/>
      <w:r w:rsidRPr="00202391">
        <w:rPr>
          <w:sz w:val="20"/>
          <w:szCs w:val="20"/>
          <w:lang w:val="fr-CA"/>
        </w:rPr>
        <w:t xml:space="preserve"> </w:t>
      </w:r>
      <w:proofErr w:type="spellStart"/>
      <w:r w:rsidRPr="00202391">
        <w:rPr>
          <w:sz w:val="20"/>
          <w:szCs w:val="20"/>
          <w:lang w:val="fr-CA"/>
        </w:rPr>
        <w:t>Search</w:t>
      </w:r>
      <w:proofErr w:type="spellEnd"/>
      <w:r w:rsidRPr="00202391">
        <w:rPr>
          <w:sz w:val="20"/>
          <w:szCs w:val="20"/>
          <w:lang w:val="fr-CA"/>
        </w:rPr>
        <w:t xml:space="preserve"> Ltd., poursuivent M. Newton en dommages-intérêts pour diffamation.</w:t>
      </w:r>
    </w:p>
    <w:p w:rsidR="00202391" w:rsidRPr="00202391" w:rsidRDefault="00202391" w:rsidP="00202391">
      <w:pPr>
        <w:widowControl w:val="0"/>
        <w:jc w:val="both"/>
        <w:rPr>
          <w:sz w:val="20"/>
          <w:szCs w:val="20"/>
          <w:lang w:val="fr-CA"/>
        </w:rPr>
      </w:pPr>
    </w:p>
    <w:p w:rsidR="00202391" w:rsidRPr="00202391" w:rsidRDefault="00202391" w:rsidP="00202391">
      <w:pPr>
        <w:widowControl w:val="0"/>
        <w:jc w:val="both"/>
        <w:rPr>
          <w:sz w:val="20"/>
          <w:szCs w:val="20"/>
          <w:lang w:val="fr-CA"/>
        </w:rPr>
      </w:pPr>
    </w:p>
    <w:p w:rsidR="00202391" w:rsidRPr="00202391" w:rsidRDefault="00202391" w:rsidP="00202391">
      <w:pPr>
        <w:widowControl w:val="0"/>
        <w:ind w:left="3600" w:hanging="3600"/>
        <w:jc w:val="both"/>
        <w:rPr>
          <w:sz w:val="20"/>
          <w:szCs w:val="20"/>
          <w:lang w:val="fr-CA"/>
        </w:rPr>
      </w:pPr>
      <w:r w:rsidRPr="00202391">
        <w:rPr>
          <w:sz w:val="20"/>
          <w:szCs w:val="20"/>
          <w:lang w:val="fr-CA"/>
        </w:rPr>
        <w:t>Origine :</w:t>
      </w:r>
      <w:r w:rsidRPr="00202391">
        <w:rPr>
          <w:sz w:val="20"/>
          <w:szCs w:val="20"/>
          <w:lang w:val="fr-CA"/>
        </w:rPr>
        <w:tab/>
        <w:t>Colombie-Britannique</w:t>
      </w:r>
    </w:p>
    <w:p w:rsidR="00202391" w:rsidRPr="00202391" w:rsidRDefault="00202391" w:rsidP="00202391">
      <w:pPr>
        <w:widowControl w:val="0"/>
        <w:jc w:val="both"/>
        <w:rPr>
          <w:sz w:val="20"/>
          <w:szCs w:val="20"/>
          <w:lang w:val="fr-CA"/>
        </w:rPr>
      </w:pPr>
    </w:p>
    <w:p w:rsidR="00202391" w:rsidRPr="00202391" w:rsidRDefault="00202391" w:rsidP="00202391">
      <w:pPr>
        <w:widowControl w:val="0"/>
        <w:ind w:left="3600" w:hanging="3600"/>
        <w:jc w:val="both"/>
        <w:rPr>
          <w:sz w:val="20"/>
          <w:szCs w:val="20"/>
          <w:lang w:val="fr-CA"/>
        </w:rPr>
      </w:pPr>
      <w:r w:rsidRPr="00202391">
        <w:rPr>
          <w:sz w:val="20"/>
          <w:szCs w:val="20"/>
          <w:lang w:val="fr-CA"/>
        </w:rPr>
        <w:t>N</w:t>
      </w:r>
      <w:r w:rsidRPr="00202391">
        <w:rPr>
          <w:sz w:val="20"/>
          <w:szCs w:val="20"/>
          <w:vertAlign w:val="superscript"/>
          <w:lang w:val="fr-CA"/>
        </w:rPr>
        <w:t>o</w:t>
      </w:r>
      <w:r w:rsidRPr="00202391">
        <w:rPr>
          <w:sz w:val="20"/>
          <w:szCs w:val="20"/>
          <w:lang w:val="fr-CA"/>
        </w:rPr>
        <w:t xml:space="preserve"> du greffe :</w:t>
      </w:r>
      <w:r w:rsidRPr="00202391">
        <w:rPr>
          <w:sz w:val="20"/>
          <w:szCs w:val="20"/>
          <w:lang w:val="fr-CA"/>
        </w:rPr>
        <w:tab/>
        <w:t>33412</w:t>
      </w:r>
    </w:p>
    <w:p w:rsidR="00202391" w:rsidRPr="00202391" w:rsidRDefault="00202391" w:rsidP="00202391">
      <w:pPr>
        <w:widowControl w:val="0"/>
        <w:jc w:val="both"/>
        <w:rPr>
          <w:sz w:val="20"/>
          <w:szCs w:val="20"/>
          <w:lang w:val="fr-CA"/>
        </w:rPr>
      </w:pPr>
    </w:p>
    <w:p w:rsidR="00202391" w:rsidRPr="00202391" w:rsidRDefault="00202391" w:rsidP="00202391">
      <w:pPr>
        <w:widowControl w:val="0"/>
        <w:ind w:left="3600" w:hanging="3600"/>
        <w:jc w:val="both"/>
        <w:rPr>
          <w:sz w:val="20"/>
          <w:szCs w:val="20"/>
          <w:lang w:val="fr-CA"/>
        </w:rPr>
      </w:pPr>
      <w:r w:rsidRPr="00202391">
        <w:rPr>
          <w:sz w:val="20"/>
          <w:szCs w:val="20"/>
          <w:lang w:val="fr-CA"/>
        </w:rPr>
        <w:t>Arrêt de la Cour d’appel :</w:t>
      </w:r>
      <w:r w:rsidRPr="00202391">
        <w:rPr>
          <w:sz w:val="20"/>
          <w:szCs w:val="20"/>
          <w:lang w:val="fr-CA"/>
        </w:rPr>
        <w:tab/>
        <w:t>le 15 septembre 2009</w:t>
      </w:r>
    </w:p>
    <w:p w:rsidR="00202391" w:rsidRPr="00202391" w:rsidRDefault="00202391" w:rsidP="00202391">
      <w:pPr>
        <w:widowControl w:val="0"/>
        <w:jc w:val="both"/>
        <w:rPr>
          <w:sz w:val="20"/>
          <w:szCs w:val="20"/>
          <w:lang w:val="fr-CA"/>
        </w:rPr>
      </w:pPr>
    </w:p>
    <w:p w:rsidR="00202391" w:rsidRPr="00202391" w:rsidRDefault="00202391" w:rsidP="00202391">
      <w:pPr>
        <w:widowControl w:val="0"/>
        <w:ind w:left="3600" w:hanging="3600"/>
        <w:jc w:val="both"/>
        <w:rPr>
          <w:sz w:val="20"/>
          <w:szCs w:val="20"/>
          <w:lang w:val="fr-CA"/>
        </w:rPr>
      </w:pPr>
      <w:r w:rsidRPr="00202391">
        <w:rPr>
          <w:sz w:val="20"/>
          <w:szCs w:val="20"/>
          <w:lang w:val="fr-CA"/>
        </w:rPr>
        <w:t>Avocats :</w:t>
      </w:r>
      <w:r w:rsidRPr="00202391">
        <w:rPr>
          <w:sz w:val="20"/>
          <w:szCs w:val="20"/>
          <w:lang w:val="fr-CA"/>
        </w:rPr>
        <w:tab/>
        <w:t xml:space="preserve">Robert A. </w:t>
      </w:r>
      <w:proofErr w:type="spellStart"/>
      <w:r w:rsidRPr="00202391">
        <w:rPr>
          <w:sz w:val="20"/>
          <w:szCs w:val="20"/>
          <w:lang w:val="fr-CA"/>
        </w:rPr>
        <w:t>Kasting</w:t>
      </w:r>
      <w:proofErr w:type="spellEnd"/>
      <w:r w:rsidRPr="00202391">
        <w:rPr>
          <w:sz w:val="20"/>
          <w:szCs w:val="20"/>
          <w:lang w:val="fr-CA"/>
        </w:rPr>
        <w:t xml:space="preserve"> et Donald J. Jordan, </w:t>
      </w:r>
      <w:proofErr w:type="spellStart"/>
      <w:r w:rsidRPr="00202391">
        <w:rPr>
          <w:sz w:val="20"/>
          <w:szCs w:val="20"/>
          <w:lang w:val="fr-CA"/>
        </w:rPr>
        <w:t>c.r</w:t>
      </w:r>
      <w:proofErr w:type="spellEnd"/>
      <w:r w:rsidRPr="00202391">
        <w:rPr>
          <w:sz w:val="20"/>
          <w:szCs w:val="20"/>
          <w:lang w:val="fr-CA"/>
        </w:rPr>
        <w:t>. pour les appelants</w:t>
      </w:r>
    </w:p>
    <w:p w:rsidR="00202391" w:rsidRPr="00202391" w:rsidRDefault="00202391" w:rsidP="00202391">
      <w:pPr>
        <w:widowControl w:val="0"/>
        <w:ind w:left="3600"/>
        <w:jc w:val="both"/>
        <w:rPr>
          <w:sz w:val="20"/>
          <w:szCs w:val="20"/>
          <w:lang w:val="fr-CA"/>
        </w:rPr>
      </w:pPr>
      <w:r w:rsidRPr="00202391">
        <w:rPr>
          <w:sz w:val="20"/>
          <w:szCs w:val="20"/>
          <w:lang w:val="fr-CA"/>
        </w:rPr>
        <w:t xml:space="preserve">Daniel J. </w:t>
      </w:r>
      <w:proofErr w:type="spellStart"/>
      <w:r w:rsidRPr="00202391">
        <w:rPr>
          <w:sz w:val="20"/>
          <w:szCs w:val="20"/>
          <w:lang w:val="fr-CA"/>
        </w:rPr>
        <w:t>Burnett</w:t>
      </w:r>
      <w:proofErr w:type="spellEnd"/>
      <w:r w:rsidRPr="00202391">
        <w:rPr>
          <w:sz w:val="20"/>
          <w:szCs w:val="20"/>
          <w:lang w:val="fr-CA"/>
        </w:rPr>
        <w:t xml:space="preserve"> pour l’intimé</w:t>
      </w:r>
    </w:p>
    <w:p w:rsidR="00643C4A" w:rsidRDefault="00643C4A" w:rsidP="00643C4A">
      <w:pPr>
        <w:jc w:val="both"/>
        <w:rPr>
          <w:sz w:val="20"/>
          <w:szCs w:val="20"/>
          <w:lang w:val="fr-CA"/>
        </w:rPr>
      </w:pPr>
    </w:p>
    <w:p w:rsidR="00643C4A" w:rsidRDefault="00857426" w:rsidP="00643C4A">
      <w:pPr>
        <w:jc w:val="both"/>
        <w:rPr>
          <w:sz w:val="20"/>
          <w:szCs w:val="20"/>
          <w:lang w:val="fr-CA"/>
        </w:rPr>
      </w:pPr>
      <w:r w:rsidRPr="00857426">
        <w:rPr>
          <w:sz w:val="20"/>
          <w:szCs w:val="20"/>
          <w:lang w:val="fr-CA"/>
        </w:rPr>
        <w:pict>
          <v:rect id="_x0000_i1097" style="width:2in;height:1pt" o:hrpct="0" o:hralign="center" o:hrstd="t" o:hrnoshade="t" o:hr="t" fillcolor="black [3213]" stroked="f"/>
        </w:pict>
      </w:r>
    </w:p>
    <w:p w:rsidR="00643C4A" w:rsidRDefault="00643C4A" w:rsidP="00643C4A">
      <w:pPr>
        <w:jc w:val="both"/>
        <w:rPr>
          <w:sz w:val="20"/>
          <w:szCs w:val="20"/>
          <w:lang w:val="fr-CA"/>
        </w:rPr>
      </w:pPr>
    </w:p>
    <w:p w:rsidR="00643C4A" w:rsidRDefault="00643C4A">
      <w:pPr>
        <w:rPr>
          <w:sz w:val="20"/>
          <w:szCs w:val="20"/>
          <w:lang w:val="fr-CA"/>
        </w:rPr>
      </w:pPr>
      <w:r>
        <w:rPr>
          <w:sz w:val="20"/>
          <w:szCs w:val="20"/>
          <w:lang w:val="fr-CA"/>
        </w:rPr>
        <w:br w:type="page"/>
      </w:r>
    </w:p>
    <w:p w:rsidR="00643C4A" w:rsidRPr="00643C4A" w:rsidRDefault="00857426" w:rsidP="00643C4A">
      <w:pPr>
        <w:widowControl w:val="0"/>
        <w:jc w:val="both"/>
        <w:rPr>
          <w:sz w:val="20"/>
          <w:szCs w:val="20"/>
        </w:rPr>
      </w:pPr>
      <w:r w:rsidRPr="00643C4A">
        <w:rPr>
          <w:sz w:val="20"/>
          <w:szCs w:val="20"/>
        </w:rPr>
        <w:lastRenderedPageBreak/>
        <w:fldChar w:fldCharType="begin"/>
      </w:r>
      <w:r w:rsidR="00643C4A" w:rsidRPr="00643C4A">
        <w:rPr>
          <w:sz w:val="20"/>
          <w:szCs w:val="20"/>
        </w:rPr>
        <w:instrText xml:space="preserve"> SEQ CHAPTER \h \r 1</w:instrText>
      </w:r>
      <w:r w:rsidRPr="00643C4A">
        <w:rPr>
          <w:sz w:val="20"/>
          <w:szCs w:val="20"/>
        </w:rPr>
        <w:fldChar w:fldCharType="end"/>
      </w:r>
      <w:r w:rsidR="00643C4A" w:rsidRPr="00643C4A">
        <w:rPr>
          <w:b/>
          <w:sz w:val="20"/>
          <w:szCs w:val="20"/>
        </w:rPr>
        <w:t>33459</w:t>
      </w:r>
      <w:r w:rsidR="00643C4A" w:rsidRPr="00643C4A">
        <w:rPr>
          <w:sz w:val="20"/>
          <w:szCs w:val="20"/>
        </w:rPr>
        <w:tab/>
      </w:r>
      <w:r w:rsidR="00643C4A" w:rsidRPr="00643C4A">
        <w:rPr>
          <w:b/>
          <w:i/>
          <w:sz w:val="20"/>
          <w:szCs w:val="20"/>
        </w:rPr>
        <w:t xml:space="preserve">Masterpiece Inc. v. </w:t>
      </w:r>
      <w:proofErr w:type="spellStart"/>
      <w:r w:rsidR="00643C4A" w:rsidRPr="00643C4A">
        <w:rPr>
          <w:b/>
          <w:i/>
          <w:sz w:val="20"/>
          <w:szCs w:val="20"/>
        </w:rPr>
        <w:t>Alavida</w:t>
      </w:r>
      <w:proofErr w:type="spellEnd"/>
      <w:r w:rsidR="00643C4A" w:rsidRPr="00643C4A">
        <w:rPr>
          <w:b/>
          <w:i/>
          <w:sz w:val="20"/>
          <w:szCs w:val="20"/>
        </w:rPr>
        <w:t xml:space="preserve"> Lifestyles Inc.</w:t>
      </w:r>
    </w:p>
    <w:p w:rsidR="00643C4A" w:rsidRPr="00643C4A" w:rsidRDefault="00643C4A" w:rsidP="00643C4A">
      <w:pPr>
        <w:widowControl w:val="0"/>
        <w:jc w:val="both"/>
        <w:rPr>
          <w:sz w:val="20"/>
          <w:szCs w:val="20"/>
        </w:rPr>
      </w:pPr>
    </w:p>
    <w:p w:rsidR="00643C4A" w:rsidRPr="00643C4A" w:rsidRDefault="00643C4A" w:rsidP="00643C4A">
      <w:pPr>
        <w:widowControl w:val="0"/>
        <w:jc w:val="both"/>
        <w:rPr>
          <w:sz w:val="20"/>
          <w:szCs w:val="20"/>
        </w:rPr>
      </w:pPr>
      <w:r w:rsidRPr="00643C4A">
        <w:rPr>
          <w:sz w:val="20"/>
          <w:szCs w:val="20"/>
        </w:rPr>
        <w:t xml:space="preserve">Intellectual property - Trade-marks - Confusion - Whether the courts below erred in finding that there can be no likelihood of confusion between two trade-marks unless they are currently in competitive use in the same geographic area - Whether the courts below erred in finding that the likelihood of confusion between two trade-marks can be overcome by the manner in which one is actually used after the relevant date (i.e. by the “get-up” extraneous to the mark itself) - Whether the courts below erred in finding that there was no likelihood of confusion between the Respondent’s “Masterpiece Living” and the Masterpiece Inc. trade name and trade-marks in use prior to the relevant date, and whether the courts erred in refusing to order </w:t>
      </w:r>
      <w:proofErr w:type="spellStart"/>
      <w:r w:rsidRPr="00643C4A">
        <w:rPr>
          <w:sz w:val="20"/>
          <w:szCs w:val="20"/>
        </w:rPr>
        <w:t>expungement</w:t>
      </w:r>
      <w:proofErr w:type="spellEnd"/>
      <w:r w:rsidRPr="00643C4A">
        <w:rPr>
          <w:sz w:val="20"/>
          <w:szCs w:val="20"/>
        </w:rPr>
        <w:t xml:space="preserve"> - </w:t>
      </w:r>
      <w:r w:rsidRPr="00643C4A">
        <w:rPr>
          <w:i/>
          <w:sz w:val="20"/>
          <w:szCs w:val="20"/>
        </w:rPr>
        <w:t>Trade-marks Act</w:t>
      </w:r>
      <w:r w:rsidRPr="00643C4A">
        <w:rPr>
          <w:sz w:val="20"/>
          <w:szCs w:val="20"/>
        </w:rPr>
        <w:t>, R.S.C. 1985, c. T-3, ss. 6, 16.</w:t>
      </w:r>
    </w:p>
    <w:p w:rsidR="00643C4A" w:rsidRPr="00643C4A" w:rsidRDefault="00643C4A" w:rsidP="00643C4A">
      <w:pPr>
        <w:widowControl w:val="0"/>
        <w:jc w:val="both"/>
        <w:rPr>
          <w:sz w:val="20"/>
          <w:szCs w:val="20"/>
        </w:rPr>
      </w:pPr>
    </w:p>
    <w:p w:rsidR="00643C4A" w:rsidRPr="00643C4A" w:rsidRDefault="00643C4A" w:rsidP="00643C4A">
      <w:pPr>
        <w:widowControl w:val="0"/>
        <w:jc w:val="both"/>
        <w:rPr>
          <w:sz w:val="20"/>
          <w:szCs w:val="20"/>
        </w:rPr>
      </w:pPr>
      <w:r w:rsidRPr="00643C4A">
        <w:rPr>
          <w:sz w:val="20"/>
          <w:szCs w:val="20"/>
        </w:rPr>
        <w:t>The parties both operate in the retirement residence industry.  The Appellant claimed to have been using an evolving series of unregistered trade-marks, all of which used the word “masterpiece”, and some of which also used the word “living”, since 2001.  The Appellant began using the mark “Masterpiece Living” in late 2005 or early 2006.  The Respondent applied to register the trade-mark “Masterpiece Living” on December 1, 2005.  The application was granted.  In 2006, the Appellant applied to register the marks “Masterpiece” and “Masterpiece Living”.  In September 2006, the Canadian Intellectual Property Office denied the Appellant’s application on the basis that the Respondent had already applied for the mark “Masterpiece Living”.  The Appellant applied to expunge the Respondent’s trade-mark on the ground that it was confusing as of the date of registration.</w:t>
      </w:r>
    </w:p>
    <w:p w:rsidR="00643C4A" w:rsidRPr="00643C4A" w:rsidRDefault="00643C4A" w:rsidP="00643C4A">
      <w:pPr>
        <w:widowControl w:val="0"/>
        <w:jc w:val="both"/>
        <w:rPr>
          <w:sz w:val="20"/>
          <w:szCs w:val="20"/>
        </w:rPr>
      </w:pPr>
    </w:p>
    <w:p w:rsidR="00643C4A" w:rsidRPr="00643C4A" w:rsidRDefault="00643C4A" w:rsidP="00643C4A">
      <w:pPr>
        <w:widowControl w:val="0"/>
        <w:jc w:val="both"/>
        <w:rPr>
          <w:sz w:val="20"/>
          <w:szCs w:val="20"/>
        </w:rPr>
      </w:pPr>
    </w:p>
    <w:p w:rsidR="00643C4A" w:rsidRPr="00643C4A" w:rsidRDefault="00643C4A" w:rsidP="00592F3E">
      <w:pPr>
        <w:widowControl w:val="0"/>
        <w:tabs>
          <w:tab w:val="left" w:pos="3600"/>
        </w:tabs>
        <w:jc w:val="both"/>
        <w:rPr>
          <w:sz w:val="20"/>
          <w:szCs w:val="20"/>
        </w:rPr>
      </w:pPr>
      <w:r w:rsidRPr="00643C4A">
        <w:rPr>
          <w:sz w:val="20"/>
          <w:szCs w:val="20"/>
        </w:rPr>
        <w:t>Origin of the case:</w:t>
      </w:r>
      <w:r w:rsidRPr="00643C4A">
        <w:rPr>
          <w:sz w:val="20"/>
          <w:szCs w:val="20"/>
        </w:rPr>
        <w:tab/>
        <w:t>Federal Court of Appeal</w:t>
      </w:r>
    </w:p>
    <w:p w:rsidR="00643C4A" w:rsidRPr="00643C4A" w:rsidRDefault="00643C4A" w:rsidP="00592F3E">
      <w:pPr>
        <w:widowControl w:val="0"/>
        <w:tabs>
          <w:tab w:val="left" w:pos="3600"/>
        </w:tabs>
        <w:jc w:val="both"/>
        <w:rPr>
          <w:sz w:val="20"/>
          <w:szCs w:val="20"/>
        </w:rPr>
      </w:pPr>
    </w:p>
    <w:p w:rsidR="00643C4A" w:rsidRPr="00643C4A" w:rsidRDefault="00643C4A" w:rsidP="00592F3E">
      <w:pPr>
        <w:widowControl w:val="0"/>
        <w:tabs>
          <w:tab w:val="left" w:pos="3600"/>
        </w:tabs>
        <w:jc w:val="both"/>
        <w:rPr>
          <w:sz w:val="20"/>
          <w:szCs w:val="20"/>
        </w:rPr>
      </w:pPr>
      <w:r w:rsidRPr="00643C4A">
        <w:rPr>
          <w:sz w:val="20"/>
          <w:szCs w:val="20"/>
        </w:rPr>
        <w:t>File No.:</w:t>
      </w:r>
      <w:r w:rsidRPr="00643C4A">
        <w:rPr>
          <w:sz w:val="20"/>
          <w:szCs w:val="20"/>
        </w:rPr>
        <w:tab/>
        <w:t>33459</w:t>
      </w:r>
    </w:p>
    <w:p w:rsidR="00643C4A" w:rsidRPr="00643C4A" w:rsidRDefault="00643C4A" w:rsidP="00592F3E">
      <w:pPr>
        <w:widowControl w:val="0"/>
        <w:tabs>
          <w:tab w:val="left" w:pos="3600"/>
        </w:tabs>
        <w:jc w:val="both"/>
        <w:rPr>
          <w:sz w:val="20"/>
          <w:szCs w:val="20"/>
        </w:rPr>
      </w:pPr>
    </w:p>
    <w:p w:rsidR="00643C4A" w:rsidRPr="00643C4A" w:rsidRDefault="00643C4A" w:rsidP="00592F3E">
      <w:pPr>
        <w:widowControl w:val="0"/>
        <w:tabs>
          <w:tab w:val="left" w:pos="3600"/>
        </w:tabs>
        <w:jc w:val="both"/>
        <w:rPr>
          <w:sz w:val="20"/>
          <w:szCs w:val="20"/>
        </w:rPr>
      </w:pPr>
      <w:r w:rsidRPr="00643C4A">
        <w:rPr>
          <w:sz w:val="20"/>
          <w:szCs w:val="20"/>
        </w:rPr>
        <w:t>Judgment of the Court of Appeal:</w:t>
      </w:r>
      <w:r>
        <w:rPr>
          <w:sz w:val="20"/>
          <w:szCs w:val="20"/>
        </w:rPr>
        <w:tab/>
      </w:r>
      <w:r w:rsidRPr="00643C4A">
        <w:rPr>
          <w:sz w:val="20"/>
          <w:szCs w:val="20"/>
        </w:rPr>
        <w:t>October 13, 2009</w:t>
      </w:r>
    </w:p>
    <w:p w:rsidR="00643C4A" w:rsidRPr="00643C4A" w:rsidRDefault="00643C4A" w:rsidP="00592F3E">
      <w:pPr>
        <w:widowControl w:val="0"/>
        <w:tabs>
          <w:tab w:val="left" w:pos="3600"/>
        </w:tabs>
        <w:jc w:val="both"/>
        <w:rPr>
          <w:sz w:val="20"/>
          <w:szCs w:val="20"/>
        </w:rPr>
      </w:pPr>
    </w:p>
    <w:p w:rsidR="00643C4A" w:rsidRPr="00643C4A" w:rsidRDefault="00643C4A" w:rsidP="00592F3E">
      <w:pPr>
        <w:widowControl w:val="0"/>
        <w:tabs>
          <w:tab w:val="left" w:pos="3600"/>
        </w:tabs>
        <w:jc w:val="both"/>
        <w:rPr>
          <w:sz w:val="20"/>
          <w:szCs w:val="20"/>
        </w:rPr>
      </w:pPr>
      <w:r w:rsidRPr="00643C4A">
        <w:rPr>
          <w:sz w:val="20"/>
          <w:szCs w:val="20"/>
        </w:rPr>
        <w:t>Counsel:</w:t>
      </w:r>
      <w:r w:rsidRPr="00643C4A">
        <w:rPr>
          <w:sz w:val="20"/>
          <w:szCs w:val="20"/>
        </w:rPr>
        <w:tab/>
        <w:t>Clarke Hunter, Q.C. for the Appellant</w:t>
      </w:r>
    </w:p>
    <w:p w:rsidR="00643C4A" w:rsidRPr="00643C4A" w:rsidRDefault="00643C4A" w:rsidP="00592F3E">
      <w:pPr>
        <w:widowControl w:val="0"/>
        <w:tabs>
          <w:tab w:val="left" w:pos="3600"/>
        </w:tabs>
        <w:jc w:val="both"/>
        <w:rPr>
          <w:sz w:val="20"/>
          <w:szCs w:val="20"/>
        </w:rPr>
      </w:pPr>
      <w:r w:rsidRPr="00643C4A">
        <w:rPr>
          <w:sz w:val="20"/>
          <w:szCs w:val="20"/>
        </w:rPr>
        <w:tab/>
        <w:t>Scott Miller and Sharon Griffin for the Respondent</w:t>
      </w:r>
    </w:p>
    <w:p w:rsidR="00643C4A" w:rsidRPr="00643C4A" w:rsidRDefault="00643C4A" w:rsidP="00643C4A">
      <w:pPr>
        <w:jc w:val="both"/>
        <w:rPr>
          <w:sz w:val="20"/>
          <w:szCs w:val="20"/>
        </w:rPr>
      </w:pPr>
    </w:p>
    <w:p w:rsidR="00643C4A" w:rsidRPr="00E078E5" w:rsidRDefault="00857426" w:rsidP="00643C4A">
      <w:pPr>
        <w:jc w:val="both"/>
        <w:rPr>
          <w:sz w:val="20"/>
          <w:szCs w:val="20"/>
          <w:lang w:val="fr-CA"/>
        </w:rPr>
      </w:pPr>
      <w:r w:rsidRPr="00857426">
        <w:rPr>
          <w:sz w:val="20"/>
          <w:szCs w:val="20"/>
          <w:lang w:val="fr-CA"/>
        </w:rPr>
        <w:pict>
          <v:rect id="_x0000_i1098" style="width:2in;height:1pt" o:hrpct="0" o:hralign="center" o:hrstd="t" o:hrnoshade="t" o:hr="t" fillcolor="black [3213]" stroked="f"/>
        </w:pict>
      </w:r>
    </w:p>
    <w:p w:rsidR="00643C4A" w:rsidRDefault="00643C4A">
      <w:pPr>
        <w:rPr>
          <w:sz w:val="20"/>
          <w:szCs w:val="20"/>
          <w:lang w:val="fr-CA"/>
        </w:rPr>
      </w:pPr>
      <w:r>
        <w:rPr>
          <w:sz w:val="20"/>
          <w:szCs w:val="20"/>
          <w:lang w:val="fr-CA"/>
        </w:rPr>
        <w:br w:type="page"/>
      </w:r>
    </w:p>
    <w:p w:rsidR="00643C4A" w:rsidRPr="00643C4A" w:rsidRDefault="00857426" w:rsidP="00643C4A">
      <w:pPr>
        <w:widowControl w:val="0"/>
        <w:jc w:val="both"/>
        <w:rPr>
          <w:sz w:val="20"/>
          <w:szCs w:val="20"/>
        </w:rPr>
      </w:pPr>
      <w:r w:rsidRPr="00857426">
        <w:rPr>
          <w:sz w:val="20"/>
          <w:szCs w:val="20"/>
          <w:lang w:val="fr-CA"/>
        </w:rPr>
        <w:lastRenderedPageBreak/>
        <w:fldChar w:fldCharType="begin"/>
      </w:r>
      <w:r w:rsidR="00643C4A" w:rsidRPr="00643C4A">
        <w:rPr>
          <w:sz w:val="20"/>
          <w:szCs w:val="20"/>
        </w:rPr>
        <w:instrText xml:space="preserve"> SEQ CHAPTER \h \r 1</w:instrText>
      </w:r>
      <w:r w:rsidRPr="00643C4A">
        <w:rPr>
          <w:sz w:val="20"/>
          <w:szCs w:val="20"/>
        </w:rPr>
        <w:fldChar w:fldCharType="end"/>
      </w:r>
      <w:r w:rsidR="00643C4A" w:rsidRPr="00643C4A">
        <w:rPr>
          <w:b/>
          <w:sz w:val="20"/>
          <w:szCs w:val="20"/>
        </w:rPr>
        <w:t>33459</w:t>
      </w:r>
      <w:r w:rsidR="00643C4A" w:rsidRPr="00643C4A">
        <w:rPr>
          <w:sz w:val="20"/>
          <w:szCs w:val="20"/>
        </w:rPr>
        <w:tab/>
      </w:r>
      <w:r w:rsidR="00643C4A" w:rsidRPr="00643C4A">
        <w:rPr>
          <w:b/>
          <w:i/>
          <w:sz w:val="20"/>
          <w:szCs w:val="20"/>
        </w:rPr>
        <w:t xml:space="preserve">Masterpiece Inc. c. </w:t>
      </w:r>
      <w:proofErr w:type="spellStart"/>
      <w:r w:rsidR="00643C4A" w:rsidRPr="00643C4A">
        <w:rPr>
          <w:b/>
          <w:i/>
          <w:sz w:val="20"/>
          <w:szCs w:val="20"/>
        </w:rPr>
        <w:t>Alavida</w:t>
      </w:r>
      <w:proofErr w:type="spellEnd"/>
      <w:r w:rsidR="00643C4A" w:rsidRPr="00643C4A">
        <w:rPr>
          <w:b/>
          <w:i/>
          <w:sz w:val="20"/>
          <w:szCs w:val="20"/>
        </w:rPr>
        <w:t xml:space="preserve"> Lifestyles Inc.</w:t>
      </w:r>
    </w:p>
    <w:p w:rsidR="00643C4A" w:rsidRPr="00643C4A" w:rsidRDefault="00643C4A" w:rsidP="00643C4A">
      <w:pPr>
        <w:widowControl w:val="0"/>
        <w:jc w:val="both"/>
        <w:rPr>
          <w:sz w:val="20"/>
          <w:szCs w:val="20"/>
        </w:rPr>
      </w:pPr>
    </w:p>
    <w:p w:rsidR="00643C4A" w:rsidRPr="00643C4A" w:rsidRDefault="00643C4A" w:rsidP="00643C4A">
      <w:pPr>
        <w:widowControl w:val="0"/>
        <w:jc w:val="both"/>
        <w:rPr>
          <w:sz w:val="20"/>
          <w:szCs w:val="20"/>
          <w:lang w:val="fr-CA"/>
        </w:rPr>
      </w:pPr>
      <w:r w:rsidRPr="00643C4A">
        <w:rPr>
          <w:sz w:val="20"/>
          <w:szCs w:val="20"/>
          <w:lang w:val="fr-CA"/>
        </w:rPr>
        <w:t xml:space="preserve">Propriété intellectuelle - Marques de commerce - Confusion - Les juridictions inférieures ont-elles commis une erreur en concluant qu’il ne peut y avoir de probabilité de confusion entre deux marques de commerce que si ces marques se livrent actuellement concurrence dans la même région géographique? - Les juridictions inférieures ont-elles commis une erreur en concluant que la probabilité de confusion entre deux marques de commerce peut-être écartée par la manière dont une des marques est effectivement utilisée après la date pertinente (c’est-à-dire par l’ « habillage » extrinsèque à la marque elle-même)? - Les juridictions inférieures ont-elles commis une erreur en concluant qu’il n’y avait aucune probabilité de confusion entre la marque « </w:t>
      </w:r>
      <w:proofErr w:type="spellStart"/>
      <w:r w:rsidRPr="00643C4A">
        <w:rPr>
          <w:sz w:val="20"/>
          <w:szCs w:val="20"/>
          <w:lang w:val="fr-CA"/>
        </w:rPr>
        <w:t>Masterpiece</w:t>
      </w:r>
      <w:proofErr w:type="spellEnd"/>
      <w:r w:rsidRPr="00643C4A">
        <w:rPr>
          <w:sz w:val="20"/>
          <w:szCs w:val="20"/>
          <w:lang w:val="fr-CA"/>
        </w:rPr>
        <w:t xml:space="preserve"> Living » de l’intimée et le nom commercial et les marques de commerce de </w:t>
      </w:r>
      <w:proofErr w:type="spellStart"/>
      <w:r w:rsidRPr="00643C4A">
        <w:rPr>
          <w:sz w:val="20"/>
          <w:szCs w:val="20"/>
          <w:lang w:val="fr-CA"/>
        </w:rPr>
        <w:t>Masterpiece</w:t>
      </w:r>
      <w:proofErr w:type="spellEnd"/>
      <w:r w:rsidRPr="00643C4A">
        <w:rPr>
          <w:sz w:val="20"/>
          <w:szCs w:val="20"/>
          <w:lang w:val="fr-CA"/>
        </w:rPr>
        <w:t xml:space="preserve"> Inc. utilisés avant la date pertinente, et les tribunaux ont-ils commis une erreur en refusant d’ordonner la radiation? - </w:t>
      </w:r>
      <w:r w:rsidRPr="00643C4A">
        <w:rPr>
          <w:i/>
          <w:sz w:val="20"/>
          <w:szCs w:val="20"/>
          <w:lang w:val="fr-CA"/>
        </w:rPr>
        <w:t>Loi sur les marques de commerce</w:t>
      </w:r>
      <w:r w:rsidRPr="00643C4A">
        <w:rPr>
          <w:sz w:val="20"/>
          <w:szCs w:val="20"/>
          <w:lang w:val="fr-CA"/>
        </w:rPr>
        <w:t>, L.R.C. 1985, ch. T-3, art. 6, 16.</w:t>
      </w:r>
    </w:p>
    <w:p w:rsidR="00643C4A" w:rsidRPr="00643C4A" w:rsidRDefault="00643C4A" w:rsidP="00643C4A">
      <w:pPr>
        <w:widowControl w:val="0"/>
        <w:jc w:val="both"/>
        <w:rPr>
          <w:sz w:val="20"/>
          <w:szCs w:val="20"/>
          <w:lang w:val="fr-CA"/>
        </w:rPr>
      </w:pPr>
    </w:p>
    <w:p w:rsidR="00643C4A" w:rsidRPr="00643C4A" w:rsidRDefault="00643C4A" w:rsidP="00643C4A">
      <w:pPr>
        <w:widowControl w:val="0"/>
        <w:jc w:val="both"/>
        <w:rPr>
          <w:sz w:val="20"/>
          <w:szCs w:val="20"/>
          <w:lang w:val="fr-CA"/>
        </w:rPr>
      </w:pPr>
      <w:r w:rsidRPr="00643C4A">
        <w:rPr>
          <w:sz w:val="20"/>
          <w:szCs w:val="20"/>
          <w:lang w:val="fr-CA"/>
        </w:rPr>
        <w:t xml:space="preserve">Les parties exercent toutes deux leurs activités dans le domaine des résidences pour personnes âgées.  L’appelante a affirmé qu’elle utilisait depuis 2001 diverses marques de commerce non enregistrées qui comprenaient toutes le mot « </w:t>
      </w:r>
      <w:proofErr w:type="spellStart"/>
      <w:r w:rsidRPr="00643C4A">
        <w:rPr>
          <w:sz w:val="20"/>
          <w:szCs w:val="20"/>
          <w:lang w:val="fr-CA"/>
        </w:rPr>
        <w:t>masterpiece</w:t>
      </w:r>
      <w:proofErr w:type="spellEnd"/>
      <w:r w:rsidRPr="00643C4A">
        <w:rPr>
          <w:sz w:val="20"/>
          <w:szCs w:val="20"/>
          <w:lang w:val="fr-CA"/>
        </w:rPr>
        <w:t xml:space="preserve"> » et dont certaines incorporaient aussi le mot « living ».  L’appelante a commencé à employer la marque « </w:t>
      </w:r>
      <w:proofErr w:type="spellStart"/>
      <w:r w:rsidRPr="00643C4A">
        <w:rPr>
          <w:sz w:val="20"/>
          <w:szCs w:val="20"/>
          <w:lang w:val="fr-CA"/>
        </w:rPr>
        <w:t>Masterpiece</w:t>
      </w:r>
      <w:proofErr w:type="spellEnd"/>
      <w:r w:rsidRPr="00643C4A">
        <w:rPr>
          <w:sz w:val="20"/>
          <w:szCs w:val="20"/>
          <w:lang w:val="fr-CA"/>
        </w:rPr>
        <w:t xml:space="preserve"> Living » vers la fin de 2005 ou au début de 2006.  Le 1</w:t>
      </w:r>
      <w:r w:rsidRPr="00643C4A">
        <w:rPr>
          <w:sz w:val="20"/>
          <w:szCs w:val="20"/>
          <w:vertAlign w:val="superscript"/>
          <w:lang w:val="fr-CA"/>
        </w:rPr>
        <w:t>er</w:t>
      </w:r>
      <w:r w:rsidRPr="00643C4A">
        <w:rPr>
          <w:sz w:val="20"/>
          <w:szCs w:val="20"/>
          <w:lang w:val="fr-CA"/>
        </w:rPr>
        <w:t xml:space="preserve"> décembre 2005, l’intimée a présenté une demande en vue de faire enregistrer la marque de commerce « </w:t>
      </w:r>
      <w:proofErr w:type="spellStart"/>
      <w:r w:rsidRPr="00643C4A">
        <w:rPr>
          <w:sz w:val="20"/>
          <w:szCs w:val="20"/>
          <w:lang w:val="fr-CA"/>
        </w:rPr>
        <w:t>Masterpiece</w:t>
      </w:r>
      <w:proofErr w:type="spellEnd"/>
      <w:r w:rsidRPr="00643C4A">
        <w:rPr>
          <w:sz w:val="20"/>
          <w:szCs w:val="20"/>
          <w:lang w:val="fr-CA"/>
        </w:rPr>
        <w:t xml:space="preserve"> Living ».  La demande a été accueillie.  En 2006, l’appelante a sollicité l’enregistrement des marques « </w:t>
      </w:r>
      <w:proofErr w:type="spellStart"/>
      <w:r w:rsidRPr="00643C4A">
        <w:rPr>
          <w:sz w:val="20"/>
          <w:szCs w:val="20"/>
          <w:lang w:val="fr-CA"/>
        </w:rPr>
        <w:t>Masterpiece</w:t>
      </w:r>
      <w:proofErr w:type="spellEnd"/>
      <w:r w:rsidRPr="00643C4A">
        <w:rPr>
          <w:sz w:val="20"/>
          <w:szCs w:val="20"/>
          <w:lang w:val="fr-CA"/>
        </w:rPr>
        <w:t xml:space="preserve"> » et « </w:t>
      </w:r>
      <w:proofErr w:type="spellStart"/>
      <w:r w:rsidRPr="00643C4A">
        <w:rPr>
          <w:sz w:val="20"/>
          <w:szCs w:val="20"/>
          <w:lang w:val="fr-CA"/>
        </w:rPr>
        <w:t>Masterpiece</w:t>
      </w:r>
      <w:proofErr w:type="spellEnd"/>
      <w:r w:rsidRPr="00643C4A">
        <w:rPr>
          <w:sz w:val="20"/>
          <w:szCs w:val="20"/>
          <w:lang w:val="fr-CA"/>
        </w:rPr>
        <w:t xml:space="preserve"> Living ».  En septembre 2006, l’Office de la propriété intellectuelle du Canada a rejeté cette demande, au motif que l’appelante avait déjà demandé l’enregistrement de la marque « </w:t>
      </w:r>
      <w:proofErr w:type="spellStart"/>
      <w:r w:rsidRPr="00643C4A">
        <w:rPr>
          <w:sz w:val="20"/>
          <w:szCs w:val="20"/>
          <w:lang w:val="fr-CA"/>
        </w:rPr>
        <w:t>Masterpiece</w:t>
      </w:r>
      <w:proofErr w:type="spellEnd"/>
      <w:r w:rsidRPr="00643C4A">
        <w:rPr>
          <w:sz w:val="20"/>
          <w:szCs w:val="20"/>
          <w:lang w:val="fr-CA"/>
        </w:rPr>
        <w:t xml:space="preserve"> Living ».  L’appelante a sollicité la radiation de la marque de commerce de l’intimée, au motif qu’elle créait de la confusion à la date de son enregistrement.</w:t>
      </w:r>
    </w:p>
    <w:p w:rsidR="00643C4A" w:rsidRPr="00643C4A" w:rsidRDefault="00643C4A" w:rsidP="00643C4A">
      <w:pPr>
        <w:widowControl w:val="0"/>
        <w:jc w:val="both"/>
        <w:rPr>
          <w:sz w:val="20"/>
          <w:szCs w:val="20"/>
          <w:lang w:val="fr-CA"/>
        </w:rPr>
      </w:pPr>
    </w:p>
    <w:p w:rsidR="00643C4A" w:rsidRPr="00643C4A" w:rsidRDefault="00643C4A" w:rsidP="00643C4A">
      <w:pPr>
        <w:widowControl w:val="0"/>
        <w:jc w:val="both"/>
        <w:rPr>
          <w:sz w:val="20"/>
          <w:szCs w:val="20"/>
          <w:lang w:val="fr-CA"/>
        </w:rPr>
      </w:pPr>
    </w:p>
    <w:p w:rsidR="00643C4A" w:rsidRPr="00643C4A" w:rsidRDefault="00643C4A" w:rsidP="00643C4A">
      <w:pPr>
        <w:widowControl w:val="0"/>
        <w:ind w:left="3600" w:hanging="3600"/>
        <w:jc w:val="both"/>
        <w:rPr>
          <w:sz w:val="20"/>
          <w:szCs w:val="20"/>
          <w:lang w:val="fr-CA"/>
        </w:rPr>
      </w:pPr>
      <w:r w:rsidRPr="00643C4A">
        <w:rPr>
          <w:sz w:val="20"/>
          <w:szCs w:val="20"/>
          <w:lang w:val="fr-CA"/>
        </w:rPr>
        <w:t>Origine :</w:t>
      </w:r>
      <w:r w:rsidRPr="00643C4A">
        <w:rPr>
          <w:sz w:val="20"/>
          <w:szCs w:val="20"/>
          <w:lang w:val="fr-CA"/>
        </w:rPr>
        <w:tab/>
        <w:t>Cour d’appel fédérale</w:t>
      </w:r>
    </w:p>
    <w:p w:rsidR="00643C4A" w:rsidRPr="00643C4A" w:rsidRDefault="00643C4A" w:rsidP="00643C4A">
      <w:pPr>
        <w:widowControl w:val="0"/>
        <w:jc w:val="both"/>
        <w:rPr>
          <w:sz w:val="20"/>
          <w:szCs w:val="20"/>
          <w:lang w:val="fr-CA"/>
        </w:rPr>
      </w:pPr>
    </w:p>
    <w:p w:rsidR="00643C4A" w:rsidRPr="00643C4A" w:rsidRDefault="00643C4A" w:rsidP="00643C4A">
      <w:pPr>
        <w:widowControl w:val="0"/>
        <w:ind w:left="3600" w:hanging="3600"/>
        <w:jc w:val="both"/>
        <w:rPr>
          <w:sz w:val="20"/>
          <w:szCs w:val="20"/>
          <w:lang w:val="fr-CA"/>
        </w:rPr>
      </w:pPr>
      <w:r w:rsidRPr="00643C4A">
        <w:rPr>
          <w:sz w:val="20"/>
          <w:szCs w:val="20"/>
          <w:lang w:val="fr-CA"/>
        </w:rPr>
        <w:t>N</w:t>
      </w:r>
      <w:r w:rsidRPr="00643C4A">
        <w:rPr>
          <w:sz w:val="20"/>
          <w:szCs w:val="20"/>
          <w:vertAlign w:val="superscript"/>
          <w:lang w:val="fr-CA"/>
        </w:rPr>
        <w:t>o</w:t>
      </w:r>
      <w:r w:rsidRPr="00643C4A">
        <w:rPr>
          <w:sz w:val="20"/>
          <w:szCs w:val="20"/>
          <w:lang w:val="fr-CA"/>
        </w:rPr>
        <w:t xml:space="preserve"> du greffe :</w:t>
      </w:r>
      <w:r w:rsidRPr="00643C4A">
        <w:rPr>
          <w:sz w:val="20"/>
          <w:szCs w:val="20"/>
          <w:lang w:val="fr-CA"/>
        </w:rPr>
        <w:tab/>
        <w:t>33459</w:t>
      </w:r>
    </w:p>
    <w:p w:rsidR="00643C4A" w:rsidRPr="00643C4A" w:rsidRDefault="00643C4A" w:rsidP="00643C4A">
      <w:pPr>
        <w:widowControl w:val="0"/>
        <w:jc w:val="both"/>
        <w:rPr>
          <w:sz w:val="20"/>
          <w:szCs w:val="20"/>
          <w:lang w:val="fr-CA"/>
        </w:rPr>
      </w:pPr>
    </w:p>
    <w:p w:rsidR="00643C4A" w:rsidRPr="00643C4A" w:rsidRDefault="00643C4A" w:rsidP="00643C4A">
      <w:pPr>
        <w:widowControl w:val="0"/>
        <w:ind w:left="3600" w:hanging="3600"/>
        <w:jc w:val="both"/>
        <w:rPr>
          <w:sz w:val="20"/>
          <w:szCs w:val="20"/>
          <w:lang w:val="fr-CA"/>
        </w:rPr>
      </w:pPr>
      <w:r w:rsidRPr="00643C4A">
        <w:rPr>
          <w:sz w:val="20"/>
          <w:szCs w:val="20"/>
          <w:lang w:val="fr-CA"/>
        </w:rPr>
        <w:t>Arrêt de la Cour d’appel :</w:t>
      </w:r>
      <w:r w:rsidRPr="00643C4A">
        <w:rPr>
          <w:sz w:val="20"/>
          <w:szCs w:val="20"/>
          <w:lang w:val="fr-CA"/>
        </w:rPr>
        <w:tab/>
        <w:t>le 13 octobre 2009</w:t>
      </w:r>
    </w:p>
    <w:p w:rsidR="00643C4A" w:rsidRPr="00643C4A" w:rsidRDefault="00643C4A" w:rsidP="00643C4A">
      <w:pPr>
        <w:widowControl w:val="0"/>
        <w:jc w:val="both"/>
        <w:rPr>
          <w:sz w:val="20"/>
          <w:szCs w:val="20"/>
          <w:lang w:val="fr-CA"/>
        </w:rPr>
      </w:pPr>
    </w:p>
    <w:p w:rsidR="00643C4A" w:rsidRPr="00643C4A" w:rsidRDefault="00643C4A" w:rsidP="00643C4A">
      <w:pPr>
        <w:widowControl w:val="0"/>
        <w:ind w:left="3600" w:hanging="3600"/>
        <w:jc w:val="both"/>
        <w:rPr>
          <w:sz w:val="20"/>
          <w:szCs w:val="20"/>
          <w:lang w:val="fr-CA"/>
        </w:rPr>
      </w:pPr>
      <w:r w:rsidRPr="00643C4A">
        <w:rPr>
          <w:sz w:val="20"/>
          <w:szCs w:val="20"/>
          <w:lang w:val="fr-CA"/>
        </w:rPr>
        <w:t>Avocats :</w:t>
      </w:r>
      <w:r w:rsidRPr="00643C4A">
        <w:rPr>
          <w:sz w:val="20"/>
          <w:szCs w:val="20"/>
          <w:lang w:val="fr-CA"/>
        </w:rPr>
        <w:tab/>
        <w:t xml:space="preserve">Clarke Hunter, </w:t>
      </w:r>
      <w:proofErr w:type="spellStart"/>
      <w:r w:rsidRPr="00643C4A">
        <w:rPr>
          <w:sz w:val="20"/>
          <w:szCs w:val="20"/>
          <w:lang w:val="fr-CA"/>
        </w:rPr>
        <w:t>c.r</w:t>
      </w:r>
      <w:proofErr w:type="spellEnd"/>
      <w:r w:rsidRPr="00643C4A">
        <w:rPr>
          <w:sz w:val="20"/>
          <w:szCs w:val="20"/>
          <w:lang w:val="fr-CA"/>
        </w:rPr>
        <w:t>. pour l’appelante</w:t>
      </w:r>
    </w:p>
    <w:p w:rsidR="00643C4A" w:rsidRPr="00643C4A" w:rsidRDefault="00643C4A" w:rsidP="00643C4A">
      <w:pPr>
        <w:widowControl w:val="0"/>
        <w:ind w:left="3600"/>
        <w:jc w:val="both"/>
        <w:rPr>
          <w:sz w:val="20"/>
          <w:szCs w:val="20"/>
          <w:lang w:val="fr-CA"/>
        </w:rPr>
      </w:pPr>
      <w:r w:rsidRPr="00643C4A">
        <w:rPr>
          <w:sz w:val="20"/>
          <w:szCs w:val="20"/>
          <w:lang w:val="fr-CA"/>
        </w:rPr>
        <w:t>Scott Miller et Sharon Griffin pour l’intimée</w:t>
      </w:r>
    </w:p>
    <w:p w:rsidR="00643C4A" w:rsidRDefault="00643C4A" w:rsidP="00643C4A">
      <w:pPr>
        <w:jc w:val="both"/>
        <w:rPr>
          <w:sz w:val="20"/>
          <w:szCs w:val="20"/>
          <w:lang w:val="fr-CA"/>
        </w:rPr>
      </w:pPr>
    </w:p>
    <w:p w:rsidR="00643C4A" w:rsidRDefault="00857426" w:rsidP="00643C4A">
      <w:pPr>
        <w:jc w:val="both"/>
        <w:rPr>
          <w:sz w:val="20"/>
          <w:szCs w:val="20"/>
          <w:lang w:val="fr-CA"/>
        </w:rPr>
      </w:pPr>
      <w:r w:rsidRPr="00857426">
        <w:rPr>
          <w:sz w:val="20"/>
          <w:szCs w:val="20"/>
          <w:lang w:val="fr-CA"/>
        </w:rPr>
        <w:pict>
          <v:rect id="_x0000_i1099" style="width:2in;height:1pt" o:hrpct="0" o:hralign="center" o:hrstd="t" o:hrnoshade="t" o:hr="t" fillcolor="black [3213]" stroked="f"/>
        </w:pict>
      </w:r>
    </w:p>
    <w:p w:rsidR="00592F3E" w:rsidRDefault="00592F3E">
      <w:pPr>
        <w:rPr>
          <w:sz w:val="20"/>
          <w:szCs w:val="20"/>
          <w:lang w:val="fr-CA"/>
        </w:rPr>
      </w:pPr>
      <w:r>
        <w:rPr>
          <w:sz w:val="20"/>
          <w:szCs w:val="20"/>
          <w:lang w:val="fr-CA"/>
        </w:rPr>
        <w:br w:type="page"/>
      </w:r>
    </w:p>
    <w:bookmarkStart w:id="2" w:name="1"/>
    <w:bookmarkEnd w:id="2"/>
    <w:p w:rsidR="00592F3E" w:rsidRPr="00592F3E" w:rsidRDefault="00857426" w:rsidP="00592F3E">
      <w:pPr>
        <w:widowControl w:val="0"/>
        <w:jc w:val="both"/>
        <w:rPr>
          <w:sz w:val="20"/>
          <w:szCs w:val="20"/>
        </w:rPr>
      </w:pPr>
      <w:r w:rsidRPr="00592F3E">
        <w:rPr>
          <w:b/>
          <w:sz w:val="20"/>
          <w:szCs w:val="20"/>
        </w:rPr>
        <w:lastRenderedPageBreak/>
        <w:fldChar w:fldCharType="begin"/>
      </w:r>
      <w:r w:rsidR="00592F3E" w:rsidRPr="00592F3E">
        <w:rPr>
          <w:b/>
          <w:sz w:val="20"/>
          <w:szCs w:val="20"/>
        </w:rPr>
        <w:instrText xml:space="preserve"> SEQ CHAPTER \h \r 1</w:instrText>
      </w:r>
      <w:r w:rsidRPr="00592F3E">
        <w:rPr>
          <w:b/>
          <w:sz w:val="20"/>
          <w:szCs w:val="20"/>
        </w:rPr>
        <w:fldChar w:fldCharType="end"/>
      </w:r>
      <w:r w:rsidR="00592F3E" w:rsidRPr="00592F3E">
        <w:rPr>
          <w:b/>
          <w:sz w:val="20"/>
          <w:szCs w:val="20"/>
        </w:rPr>
        <w:t>33520</w:t>
      </w:r>
      <w:r w:rsidR="00592F3E" w:rsidRPr="00592F3E">
        <w:rPr>
          <w:sz w:val="20"/>
          <w:szCs w:val="20"/>
        </w:rPr>
        <w:tab/>
      </w:r>
      <w:bookmarkStart w:id="3" w:name="3"/>
      <w:bookmarkEnd w:id="3"/>
      <w:r w:rsidR="00592F3E" w:rsidRPr="00592F3E">
        <w:rPr>
          <w:b/>
          <w:i/>
          <w:sz w:val="20"/>
          <w:szCs w:val="20"/>
        </w:rPr>
        <w:t xml:space="preserve">Attorney General of Canada et al. v. </w:t>
      </w:r>
      <w:proofErr w:type="spellStart"/>
      <w:r w:rsidR="00592F3E" w:rsidRPr="00592F3E">
        <w:rPr>
          <w:b/>
          <w:i/>
          <w:sz w:val="20"/>
          <w:szCs w:val="20"/>
        </w:rPr>
        <w:t>Pritpal</w:t>
      </w:r>
      <w:proofErr w:type="spellEnd"/>
      <w:r w:rsidR="00592F3E" w:rsidRPr="00592F3E">
        <w:rPr>
          <w:b/>
          <w:i/>
          <w:sz w:val="20"/>
          <w:szCs w:val="20"/>
        </w:rPr>
        <w:t xml:space="preserve"> Singh </w:t>
      </w:r>
      <w:proofErr w:type="spellStart"/>
      <w:r w:rsidR="00592F3E" w:rsidRPr="00592F3E">
        <w:rPr>
          <w:b/>
          <w:i/>
          <w:sz w:val="20"/>
          <w:szCs w:val="20"/>
        </w:rPr>
        <w:t>Mavi</w:t>
      </w:r>
      <w:proofErr w:type="spellEnd"/>
      <w:r w:rsidR="00592F3E" w:rsidRPr="00592F3E">
        <w:rPr>
          <w:b/>
          <w:i/>
          <w:sz w:val="20"/>
          <w:szCs w:val="20"/>
        </w:rPr>
        <w:t xml:space="preserve"> et al.</w:t>
      </w:r>
    </w:p>
    <w:p w:rsidR="00592F3E" w:rsidRPr="00592F3E" w:rsidRDefault="00592F3E" w:rsidP="00592F3E">
      <w:pPr>
        <w:widowControl w:val="0"/>
        <w:jc w:val="both"/>
        <w:rPr>
          <w:sz w:val="20"/>
          <w:szCs w:val="20"/>
        </w:rPr>
      </w:pPr>
    </w:p>
    <w:p w:rsidR="00592F3E" w:rsidRPr="00592F3E" w:rsidRDefault="00592F3E" w:rsidP="00592F3E">
      <w:pPr>
        <w:jc w:val="both"/>
        <w:rPr>
          <w:sz w:val="20"/>
          <w:szCs w:val="20"/>
        </w:rPr>
      </w:pPr>
      <w:r w:rsidRPr="00592F3E">
        <w:rPr>
          <w:sz w:val="20"/>
          <w:szCs w:val="20"/>
        </w:rPr>
        <w:t xml:space="preserve">Legislation - Interpretation - </w:t>
      </w:r>
      <w:r w:rsidRPr="00592F3E">
        <w:rPr>
          <w:i/>
          <w:sz w:val="20"/>
          <w:szCs w:val="20"/>
        </w:rPr>
        <w:t>Immigration and Refugee Protection Act</w:t>
      </w:r>
      <w:r w:rsidRPr="00592F3E">
        <w:rPr>
          <w:sz w:val="20"/>
          <w:szCs w:val="20"/>
        </w:rPr>
        <w:t xml:space="preserve">, S.C. 2001, c. 27 - Sponsors of family class immigrants must undertake to repay government for amount of any social assistance received by sponsored relative during sponsorship period - </w:t>
      </w:r>
      <w:r w:rsidRPr="00592F3E">
        <w:rPr>
          <w:i/>
          <w:sz w:val="20"/>
          <w:szCs w:val="20"/>
        </w:rPr>
        <w:t>Immigration and Refugee Protection Act</w:t>
      </w:r>
      <w:r w:rsidRPr="00592F3E">
        <w:rPr>
          <w:sz w:val="20"/>
          <w:szCs w:val="20"/>
        </w:rPr>
        <w:t xml:space="preserve"> stating that debt “may be recovered” by federal or provincial government - Whether </w:t>
      </w:r>
      <w:r w:rsidRPr="00592F3E">
        <w:rPr>
          <w:i/>
          <w:sz w:val="20"/>
          <w:szCs w:val="20"/>
        </w:rPr>
        <w:t>Immigration and Refugee Protection Act</w:t>
      </w:r>
      <w:r w:rsidRPr="00592F3E">
        <w:rPr>
          <w:sz w:val="20"/>
          <w:szCs w:val="20"/>
        </w:rPr>
        <w:t xml:space="preserve"> provides a discretion to enforce sponsorship debt - Whether there is a duty of procedural fairness on both the federal and provincial government before they can exercise any rights to recover sponsorship debt - Whether, if there is a duty of fairness, the government is required to do more than to provide notice that it intended to exercise its rights to recover the debt.</w:t>
      </w:r>
    </w:p>
    <w:p w:rsidR="00592F3E" w:rsidRPr="00592F3E" w:rsidRDefault="00592F3E" w:rsidP="00592F3E">
      <w:pPr>
        <w:widowControl w:val="0"/>
        <w:jc w:val="both"/>
        <w:rPr>
          <w:sz w:val="20"/>
          <w:szCs w:val="20"/>
        </w:rPr>
      </w:pPr>
    </w:p>
    <w:p w:rsidR="00592F3E" w:rsidRPr="00592F3E" w:rsidRDefault="00592F3E" w:rsidP="00592F3E">
      <w:pPr>
        <w:jc w:val="both"/>
        <w:rPr>
          <w:sz w:val="20"/>
          <w:szCs w:val="20"/>
        </w:rPr>
      </w:pPr>
      <w:r w:rsidRPr="00592F3E">
        <w:rPr>
          <w:sz w:val="20"/>
          <w:szCs w:val="20"/>
        </w:rPr>
        <w:t xml:space="preserve">Each of the eight </w:t>
      </w:r>
      <w:r w:rsidR="00857426" w:rsidRPr="00592F3E">
        <w:rPr>
          <w:sz w:val="20"/>
          <w:szCs w:val="20"/>
        </w:rPr>
        <w:fldChar w:fldCharType="begin"/>
      </w:r>
      <w:r w:rsidRPr="00592F3E">
        <w:rPr>
          <w:sz w:val="20"/>
          <w:szCs w:val="20"/>
        </w:rPr>
        <w:instrText xml:space="preserve"> SEQ CHAPTER \h \r 1</w:instrText>
      </w:r>
      <w:r w:rsidR="00857426" w:rsidRPr="00592F3E">
        <w:rPr>
          <w:sz w:val="20"/>
          <w:szCs w:val="20"/>
        </w:rPr>
        <w:fldChar w:fldCharType="end"/>
      </w:r>
      <w:r w:rsidRPr="00592F3E">
        <w:rPr>
          <w:sz w:val="20"/>
          <w:szCs w:val="20"/>
        </w:rPr>
        <w:t xml:space="preserve">respondents sponsored a relative who was a member of the family class for immigration into Canada.  The respondents each signed undertakings to the Government of Canada confirming that they would support the sponsored relatives and would repay any social assistance benefits that were paid to their sponsored relatives by the government.  Each respondent’s sponsored relative received social assistance payments from Ontario during their sponsorship periods.  Ontario attempted to recover these payments from the sponsors under but all of the sponsors defaulted on the debts.  The respondents applied for numerous declarations to be relieved of the obligation to pay the debts.  The Ontario Superior Court of Justice dismissed the application for the declarations.  The Court of Appeal for Ontario allowed the appeal and entered declarations stating that Canada and Ontario have a </w:t>
      </w:r>
      <w:proofErr w:type="spellStart"/>
      <w:r w:rsidRPr="00592F3E">
        <w:rPr>
          <w:sz w:val="20"/>
          <w:szCs w:val="20"/>
        </w:rPr>
        <w:t>case</w:t>
      </w:r>
      <w:r w:rsidRPr="00592F3E">
        <w:rPr>
          <w:sz w:val="20"/>
          <w:szCs w:val="20"/>
        </w:rPr>
        <w:noBreakHyphen/>
        <w:t>by</w:t>
      </w:r>
      <w:r w:rsidRPr="00592F3E">
        <w:rPr>
          <w:sz w:val="20"/>
          <w:szCs w:val="20"/>
        </w:rPr>
        <w:noBreakHyphen/>
        <w:t>case</w:t>
      </w:r>
      <w:proofErr w:type="spellEnd"/>
      <w:r w:rsidRPr="00592F3E">
        <w:rPr>
          <w:sz w:val="20"/>
          <w:szCs w:val="20"/>
        </w:rPr>
        <w:t xml:space="preserve"> discretion whether to enforce sponsorship debt, that Ontario fettered its discretion by adopting policies that are inconsistent with the provisions of the family class immigration regime, that Canada and Ontario owe sponsors a duty of procedural fairness when enforcing sponsorship debt and that the duty of procedural fairness includes the obligation to provide a process for explaining relevant personal and financial circumstances, the obligation to consider those circumstances and the obligation to inform that submissions have been considered and of the decision that was made.</w:t>
      </w:r>
    </w:p>
    <w:p w:rsidR="00592F3E" w:rsidRDefault="00592F3E" w:rsidP="00592F3E">
      <w:pPr>
        <w:jc w:val="both"/>
        <w:rPr>
          <w:sz w:val="20"/>
          <w:szCs w:val="20"/>
        </w:rPr>
      </w:pPr>
    </w:p>
    <w:p w:rsidR="00903604" w:rsidRPr="00592F3E" w:rsidRDefault="00903604" w:rsidP="00592F3E">
      <w:pPr>
        <w:jc w:val="both"/>
        <w:rPr>
          <w:sz w:val="20"/>
          <w:szCs w:val="20"/>
        </w:rPr>
      </w:pPr>
    </w:p>
    <w:p w:rsidR="00592F3E" w:rsidRPr="00592F3E" w:rsidRDefault="00592F3E" w:rsidP="00592F3E">
      <w:pPr>
        <w:widowControl w:val="0"/>
        <w:ind w:left="3600" w:hanging="3600"/>
        <w:jc w:val="both"/>
        <w:rPr>
          <w:sz w:val="20"/>
          <w:szCs w:val="20"/>
        </w:rPr>
      </w:pPr>
      <w:r w:rsidRPr="00592F3E">
        <w:rPr>
          <w:sz w:val="20"/>
          <w:szCs w:val="20"/>
        </w:rPr>
        <w:t>Origin of the case:</w:t>
      </w:r>
      <w:r w:rsidRPr="00592F3E">
        <w:rPr>
          <w:sz w:val="20"/>
          <w:szCs w:val="20"/>
        </w:rPr>
        <w:tab/>
      </w:r>
      <w:bookmarkStart w:id="4" w:name="4"/>
      <w:bookmarkEnd w:id="4"/>
      <w:r w:rsidRPr="00592F3E">
        <w:rPr>
          <w:sz w:val="20"/>
          <w:szCs w:val="20"/>
        </w:rPr>
        <w:t>Ontario</w:t>
      </w:r>
    </w:p>
    <w:p w:rsidR="00592F3E" w:rsidRPr="00592F3E" w:rsidRDefault="00592F3E" w:rsidP="00592F3E">
      <w:pPr>
        <w:widowControl w:val="0"/>
        <w:tabs>
          <w:tab w:val="left" w:pos="3600"/>
        </w:tabs>
        <w:jc w:val="both"/>
        <w:rPr>
          <w:sz w:val="20"/>
          <w:szCs w:val="20"/>
        </w:rPr>
      </w:pPr>
    </w:p>
    <w:p w:rsidR="00592F3E" w:rsidRPr="00592F3E" w:rsidRDefault="00592F3E" w:rsidP="00592F3E">
      <w:pPr>
        <w:widowControl w:val="0"/>
        <w:tabs>
          <w:tab w:val="left" w:pos="3600"/>
        </w:tabs>
        <w:jc w:val="both"/>
        <w:rPr>
          <w:sz w:val="20"/>
          <w:szCs w:val="20"/>
        </w:rPr>
      </w:pPr>
      <w:r w:rsidRPr="00592F3E">
        <w:rPr>
          <w:sz w:val="20"/>
          <w:szCs w:val="20"/>
        </w:rPr>
        <w:t>File No.:</w:t>
      </w:r>
      <w:r w:rsidRPr="00592F3E">
        <w:rPr>
          <w:sz w:val="20"/>
          <w:szCs w:val="20"/>
        </w:rPr>
        <w:tab/>
      </w:r>
      <w:bookmarkStart w:id="5" w:name="2"/>
      <w:bookmarkEnd w:id="5"/>
      <w:r w:rsidRPr="00592F3E">
        <w:rPr>
          <w:sz w:val="20"/>
          <w:szCs w:val="20"/>
        </w:rPr>
        <w:t>33520</w:t>
      </w:r>
    </w:p>
    <w:p w:rsidR="00592F3E" w:rsidRPr="00592F3E" w:rsidRDefault="00592F3E" w:rsidP="00592F3E">
      <w:pPr>
        <w:widowControl w:val="0"/>
        <w:tabs>
          <w:tab w:val="left" w:pos="3600"/>
        </w:tabs>
        <w:jc w:val="both"/>
        <w:rPr>
          <w:sz w:val="20"/>
          <w:szCs w:val="20"/>
        </w:rPr>
      </w:pPr>
    </w:p>
    <w:p w:rsidR="00592F3E" w:rsidRPr="00592F3E" w:rsidRDefault="00592F3E" w:rsidP="00592F3E">
      <w:pPr>
        <w:widowControl w:val="0"/>
        <w:tabs>
          <w:tab w:val="left" w:pos="3600"/>
        </w:tabs>
        <w:jc w:val="both"/>
        <w:rPr>
          <w:sz w:val="20"/>
          <w:szCs w:val="20"/>
        </w:rPr>
      </w:pPr>
      <w:r w:rsidRPr="00592F3E">
        <w:rPr>
          <w:sz w:val="20"/>
          <w:szCs w:val="20"/>
        </w:rPr>
        <w:t>Judgment of the Court of Appeal:</w:t>
      </w:r>
      <w:r w:rsidRPr="00592F3E">
        <w:rPr>
          <w:sz w:val="20"/>
          <w:szCs w:val="20"/>
        </w:rPr>
        <w:tab/>
      </w:r>
      <w:bookmarkStart w:id="6" w:name="5"/>
      <w:bookmarkEnd w:id="6"/>
      <w:r w:rsidRPr="00592F3E">
        <w:rPr>
          <w:sz w:val="20"/>
          <w:szCs w:val="20"/>
        </w:rPr>
        <w:t>November 12, 2009</w:t>
      </w:r>
    </w:p>
    <w:p w:rsidR="00592F3E" w:rsidRPr="00592F3E" w:rsidRDefault="00592F3E" w:rsidP="00592F3E">
      <w:pPr>
        <w:widowControl w:val="0"/>
        <w:tabs>
          <w:tab w:val="left" w:pos="3600"/>
        </w:tabs>
        <w:jc w:val="both"/>
        <w:rPr>
          <w:sz w:val="20"/>
          <w:szCs w:val="20"/>
        </w:rPr>
      </w:pPr>
    </w:p>
    <w:p w:rsidR="00592F3E" w:rsidRPr="00592F3E" w:rsidRDefault="00592F3E" w:rsidP="00592F3E">
      <w:pPr>
        <w:widowControl w:val="0"/>
        <w:tabs>
          <w:tab w:val="left" w:pos="3600"/>
        </w:tabs>
        <w:ind w:left="3600" w:hanging="3600"/>
        <w:jc w:val="both"/>
        <w:rPr>
          <w:sz w:val="20"/>
          <w:szCs w:val="20"/>
        </w:rPr>
      </w:pPr>
      <w:r w:rsidRPr="00592F3E">
        <w:rPr>
          <w:sz w:val="20"/>
          <w:szCs w:val="20"/>
        </w:rPr>
        <w:t>Counsel:</w:t>
      </w:r>
      <w:r w:rsidRPr="00592F3E">
        <w:rPr>
          <w:sz w:val="20"/>
          <w:szCs w:val="20"/>
        </w:rPr>
        <w:tab/>
      </w:r>
      <w:bookmarkStart w:id="7" w:name="6"/>
      <w:bookmarkEnd w:id="7"/>
      <w:proofErr w:type="spellStart"/>
      <w:r w:rsidRPr="00592F3E">
        <w:rPr>
          <w:sz w:val="20"/>
          <w:szCs w:val="20"/>
        </w:rPr>
        <w:t>Urszula</w:t>
      </w:r>
      <w:proofErr w:type="spellEnd"/>
      <w:r w:rsidRPr="00592F3E">
        <w:rPr>
          <w:sz w:val="20"/>
          <w:szCs w:val="20"/>
        </w:rPr>
        <w:t xml:space="preserve"> </w:t>
      </w:r>
      <w:proofErr w:type="spellStart"/>
      <w:r w:rsidRPr="00592F3E">
        <w:rPr>
          <w:sz w:val="20"/>
          <w:szCs w:val="20"/>
        </w:rPr>
        <w:t>Kaczmarcyk</w:t>
      </w:r>
      <w:proofErr w:type="spellEnd"/>
      <w:r w:rsidRPr="00592F3E">
        <w:rPr>
          <w:sz w:val="20"/>
          <w:szCs w:val="20"/>
        </w:rPr>
        <w:t xml:space="preserve">, Christine Mohr and Lorne </w:t>
      </w:r>
      <w:proofErr w:type="spellStart"/>
      <w:r w:rsidRPr="00592F3E">
        <w:rPr>
          <w:sz w:val="20"/>
          <w:szCs w:val="20"/>
        </w:rPr>
        <w:t>McClenaghan</w:t>
      </w:r>
      <w:proofErr w:type="spellEnd"/>
      <w:r w:rsidRPr="00592F3E">
        <w:rPr>
          <w:sz w:val="20"/>
          <w:szCs w:val="20"/>
        </w:rPr>
        <w:t xml:space="preserve"> for the Appellant Attorney General of Canada</w:t>
      </w:r>
    </w:p>
    <w:p w:rsidR="00592F3E" w:rsidRPr="00592F3E" w:rsidRDefault="00592F3E" w:rsidP="00592F3E">
      <w:pPr>
        <w:widowControl w:val="0"/>
        <w:tabs>
          <w:tab w:val="left" w:pos="3600"/>
        </w:tabs>
        <w:ind w:left="3600" w:hanging="3600"/>
        <w:jc w:val="both"/>
        <w:rPr>
          <w:sz w:val="20"/>
          <w:szCs w:val="20"/>
        </w:rPr>
      </w:pPr>
      <w:r w:rsidRPr="00592F3E">
        <w:rPr>
          <w:sz w:val="20"/>
          <w:szCs w:val="20"/>
        </w:rPr>
        <w:tab/>
        <w:t xml:space="preserve">Robert </w:t>
      </w:r>
      <w:proofErr w:type="spellStart"/>
      <w:r w:rsidRPr="00592F3E">
        <w:rPr>
          <w:sz w:val="20"/>
          <w:szCs w:val="20"/>
        </w:rPr>
        <w:t>Ratcliffe</w:t>
      </w:r>
      <w:proofErr w:type="spellEnd"/>
      <w:r w:rsidRPr="00592F3E">
        <w:rPr>
          <w:sz w:val="20"/>
          <w:szCs w:val="20"/>
        </w:rPr>
        <w:t xml:space="preserve">, Sara Blake and </w:t>
      </w:r>
      <w:proofErr w:type="spellStart"/>
      <w:r w:rsidRPr="00592F3E">
        <w:rPr>
          <w:sz w:val="20"/>
          <w:szCs w:val="20"/>
        </w:rPr>
        <w:t>Baaba</w:t>
      </w:r>
      <w:proofErr w:type="spellEnd"/>
      <w:r w:rsidRPr="00592F3E">
        <w:rPr>
          <w:sz w:val="20"/>
          <w:szCs w:val="20"/>
        </w:rPr>
        <w:t xml:space="preserve"> </w:t>
      </w:r>
      <w:proofErr w:type="spellStart"/>
      <w:r w:rsidRPr="00592F3E">
        <w:rPr>
          <w:sz w:val="20"/>
          <w:szCs w:val="20"/>
        </w:rPr>
        <w:t>Forson</w:t>
      </w:r>
      <w:proofErr w:type="spellEnd"/>
      <w:r w:rsidRPr="00592F3E">
        <w:rPr>
          <w:sz w:val="20"/>
          <w:szCs w:val="20"/>
        </w:rPr>
        <w:t xml:space="preserve"> for the Appellant Attorney General of Ontario</w:t>
      </w:r>
    </w:p>
    <w:p w:rsidR="00592F3E" w:rsidRPr="00592F3E" w:rsidRDefault="00592F3E" w:rsidP="00592F3E">
      <w:pPr>
        <w:widowControl w:val="0"/>
        <w:tabs>
          <w:tab w:val="left" w:pos="3600"/>
        </w:tabs>
        <w:jc w:val="both"/>
        <w:rPr>
          <w:sz w:val="20"/>
          <w:szCs w:val="20"/>
        </w:rPr>
      </w:pPr>
      <w:r w:rsidRPr="00592F3E">
        <w:rPr>
          <w:sz w:val="20"/>
          <w:szCs w:val="20"/>
        </w:rPr>
        <w:tab/>
      </w:r>
      <w:bookmarkStart w:id="8" w:name="7"/>
      <w:bookmarkEnd w:id="8"/>
      <w:r w:rsidRPr="00592F3E">
        <w:rPr>
          <w:sz w:val="20"/>
          <w:szCs w:val="20"/>
        </w:rPr>
        <w:t xml:space="preserve">Lorne Waldman for the Respondent </w:t>
      </w:r>
      <w:proofErr w:type="spellStart"/>
      <w:r w:rsidRPr="00592F3E">
        <w:rPr>
          <w:sz w:val="20"/>
          <w:szCs w:val="20"/>
        </w:rPr>
        <w:t>Nedzad</w:t>
      </w:r>
      <w:proofErr w:type="spellEnd"/>
      <w:r w:rsidRPr="00592F3E">
        <w:rPr>
          <w:sz w:val="20"/>
          <w:szCs w:val="20"/>
        </w:rPr>
        <w:t xml:space="preserve"> </w:t>
      </w:r>
      <w:proofErr w:type="spellStart"/>
      <w:r w:rsidRPr="00592F3E">
        <w:rPr>
          <w:sz w:val="20"/>
          <w:szCs w:val="20"/>
        </w:rPr>
        <w:t>Dzihic</w:t>
      </w:r>
      <w:proofErr w:type="spellEnd"/>
    </w:p>
    <w:p w:rsidR="00592F3E" w:rsidRPr="00592F3E" w:rsidRDefault="00592F3E" w:rsidP="00592F3E">
      <w:pPr>
        <w:widowControl w:val="0"/>
        <w:tabs>
          <w:tab w:val="left" w:pos="3600"/>
        </w:tabs>
        <w:ind w:left="3600"/>
        <w:jc w:val="both"/>
        <w:rPr>
          <w:sz w:val="20"/>
          <w:szCs w:val="20"/>
        </w:rPr>
      </w:pPr>
      <w:r w:rsidRPr="00592F3E">
        <w:rPr>
          <w:sz w:val="20"/>
          <w:szCs w:val="20"/>
        </w:rPr>
        <w:t xml:space="preserve">Lucas E. Lung and Lisa Loader for the Respondents </w:t>
      </w:r>
      <w:proofErr w:type="spellStart"/>
      <w:r w:rsidRPr="00592F3E">
        <w:rPr>
          <w:sz w:val="20"/>
          <w:szCs w:val="20"/>
        </w:rPr>
        <w:t>Pritpal</w:t>
      </w:r>
      <w:proofErr w:type="spellEnd"/>
      <w:r w:rsidRPr="00592F3E">
        <w:rPr>
          <w:sz w:val="20"/>
          <w:szCs w:val="20"/>
        </w:rPr>
        <w:t xml:space="preserve"> Singh </w:t>
      </w:r>
      <w:proofErr w:type="spellStart"/>
      <w:r w:rsidRPr="00592F3E">
        <w:rPr>
          <w:sz w:val="20"/>
          <w:szCs w:val="20"/>
        </w:rPr>
        <w:t>Mavi</w:t>
      </w:r>
      <w:proofErr w:type="spellEnd"/>
      <w:r w:rsidRPr="00592F3E">
        <w:rPr>
          <w:sz w:val="20"/>
          <w:szCs w:val="20"/>
        </w:rPr>
        <w:t xml:space="preserve">, Maria Cristina </w:t>
      </w:r>
      <w:proofErr w:type="spellStart"/>
      <w:r w:rsidRPr="00592F3E">
        <w:rPr>
          <w:sz w:val="20"/>
          <w:szCs w:val="20"/>
        </w:rPr>
        <w:t>Jatuff</w:t>
      </w:r>
      <w:proofErr w:type="spellEnd"/>
      <w:r w:rsidRPr="00592F3E">
        <w:rPr>
          <w:sz w:val="20"/>
          <w:szCs w:val="20"/>
        </w:rPr>
        <w:t xml:space="preserve"> de </w:t>
      </w:r>
      <w:proofErr w:type="spellStart"/>
      <w:r w:rsidRPr="00592F3E">
        <w:rPr>
          <w:sz w:val="20"/>
          <w:szCs w:val="20"/>
        </w:rPr>
        <w:t>Altamirano</w:t>
      </w:r>
      <w:proofErr w:type="spellEnd"/>
      <w:r w:rsidRPr="00592F3E">
        <w:rPr>
          <w:sz w:val="20"/>
          <w:szCs w:val="20"/>
        </w:rPr>
        <w:t xml:space="preserve">, Oleg </w:t>
      </w:r>
      <w:proofErr w:type="spellStart"/>
      <w:r w:rsidRPr="00592F3E">
        <w:rPr>
          <w:sz w:val="20"/>
          <w:szCs w:val="20"/>
        </w:rPr>
        <w:t>Grankin</w:t>
      </w:r>
      <w:proofErr w:type="spellEnd"/>
      <w:r w:rsidRPr="00592F3E">
        <w:rPr>
          <w:sz w:val="20"/>
          <w:szCs w:val="20"/>
        </w:rPr>
        <w:t xml:space="preserve">, Raymond </w:t>
      </w:r>
      <w:proofErr w:type="spellStart"/>
      <w:r w:rsidRPr="00592F3E">
        <w:rPr>
          <w:sz w:val="20"/>
          <w:szCs w:val="20"/>
        </w:rPr>
        <w:t>Hince</w:t>
      </w:r>
      <w:proofErr w:type="spellEnd"/>
      <w:r w:rsidRPr="00592F3E">
        <w:rPr>
          <w:sz w:val="20"/>
          <w:szCs w:val="20"/>
        </w:rPr>
        <w:t xml:space="preserve"> and </w:t>
      </w:r>
      <w:proofErr w:type="spellStart"/>
      <w:r w:rsidRPr="00592F3E">
        <w:rPr>
          <w:sz w:val="20"/>
          <w:szCs w:val="20"/>
        </w:rPr>
        <w:t>Homa</w:t>
      </w:r>
      <w:proofErr w:type="spellEnd"/>
      <w:r w:rsidRPr="00592F3E">
        <w:rPr>
          <w:sz w:val="20"/>
          <w:szCs w:val="20"/>
        </w:rPr>
        <w:t xml:space="preserve"> </w:t>
      </w:r>
      <w:proofErr w:type="spellStart"/>
      <w:r w:rsidRPr="00592F3E">
        <w:rPr>
          <w:sz w:val="20"/>
          <w:szCs w:val="20"/>
        </w:rPr>
        <w:t>Vossoughi</w:t>
      </w:r>
      <w:proofErr w:type="spellEnd"/>
    </w:p>
    <w:p w:rsidR="00592F3E" w:rsidRPr="00592F3E" w:rsidRDefault="00592F3E" w:rsidP="00592F3E">
      <w:pPr>
        <w:widowControl w:val="0"/>
        <w:tabs>
          <w:tab w:val="left" w:pos="3600"/>
        </w:tabs>
        <w:ind w:left="3600"/>
        <w:jc w:val="both"/>
        <w:rPr>
          <w:sz w:val="20"/>
          <w:szCs w:val="20"/>
        </w:rPr>
      </w:pPr>
      <w:r w:rsidRPr="00592F3E">
        <w:rPr>
          <w:sz w:val="20"/>
          <w:szCs w:val="20"/>
        </w:rPr>
        <w:t xml:space="preserve">Hugh M. Evans for the Respondents </w:t>
      </w:r>
      <w:proofErr w:type="spellStart"/>
      <w:r w:rsidRPr="00592F3E">
        <w:rPr>
          <w:sz w:val="20"/>
          <w:szCs w:val="20"/>
        </w:rPr>
        <w:t>Rania</w:t>
      </w:r>
      <w:proofErr w:type="spellEnd"/>
      <w:r w:rsidRPr="00592F3E">
        <w:rPr>
          <w:sz w:val="20"/>
          <w:szCs w:val="20"/>
        </w:rPr>
        <w:t xml:space="preserve"> </w:t>
      </w:r>
      <w:proofErr w:type="spellStart"/>
      <w:r w:rsidRPr="00592F3E">
        <w:rPr>
          <w:sz w:val="20"/>
          <w:szCs w:val="20"/>
        </w:rPr>
        <w:t>El</w:t>
      </w:r>
      <w:r w:rsidRPr="00592F3E">
        <w:rPr>
          <w:sz w:val="20"/>
          <w:szCs w:val="20"/>
        </w:rPr>
        <w:noBreakHyphen/>
        <w:t>Murr</w:t>
      </w:r>
      <w:proofErr w:type="spellEnd"/>
      <w:r w:rsidRPr="00592F3E">
        <w:rPr>
          <w:sz w:val="20"/>
          <w:szCs w:val="20"/>
        </w:rPr>
        <w:t xml:space="preserve"> and </w:t>
      </w:r>
      <w:proofErr w:type="spellStart"/>
      <w:r w:rsidRPr="00592F3E">
        <w:rPr>
          <w:sz w:val="20"/>
          <w:szCs w:val="20"/>
        </w:rPr>
        <w:t>Hamid</w:t>
      </w:r>
      <w:proofErr w:type="spellEnd"/>
      <w:r w:rsidRPr="00592F3E">
        <w:rPr>
          <w:sz w:val="20"/>
          <w:szCs w:val="20"/>
        </w:rPr>
        <w:t xml:space="preserve"> </w:t>
      </w:r>
      <w:proofErr w:type="spellStart"/>
      <w:r w:rsidRPr="00592F3E">
        <w:rPr>
          <w:sz w:val="20"/>
          <w:szCs w:val="20"/>
        </w:rPr>
        <w:t>Zebaradami</w:t>
      </w:r>
      <w:proofErr w:type="spellEnd"/>
    </w:p>
    <w:p w:rsidR="00643C4A" w:rsidRPr="00592F3E" w:rsidRDefault="00643C4A" w:rsidP="00643C4A">
      <w:pPr>
        <w:jc w:val="both"/>
        <w:rPr>
          <w:sz w:val="20"/>
          <w:szCs w:val="20"/>
        </w:rPr>
      </w:pPr>
    </w:p>
    <w:p w:rsidR="00592F3E" w:rsidRDefault="00857426" w:rsidP="00643C4A">
      <w:pPr>
        <w:jc w:val="both"/>
        <w:rPr>
          <w:sz w:val="20"/>
          <w:szCs w:val="20"/>
          <w:lang w:val="fr-CA"/>
        </w:rPr>
      </w:pPr>
      <w:r w:rsidRPr="00857426">
        <w:rPr>
          <w:sz w:val="20"/>
          <w:szCs w:val="20"/>
          <w:lang w:val="fr-CA"/>
        </w:rPr>
        <w:pict>
          <v:rect id="_x0000_i1100" style="width:2in;height:1pt" o:hrpct="0" o:hralign="center" o:hrstd="t" o:hrnoshade="t" o:hr="t" fillcolor="black [3213]" stroked="f"/>
        </w:pict>
      </w:r>
    </w:p>
    <w:p w:rsidR="00592F3E" w:rsidRDefault="00592F3E">
      <w:pPr>
        <w:rPr>
          <w:sz w:val="20"/>
          <w:szCs w:val="20"/>
          <w:lang w:val="fr-CA"/>
        </w:rPr>
      </w:pPr>
      <w:r>
        <w:rPr>
          <w:sz w:val="20"/>
          <w:szCs w:val="20"/>
          <w:lang w:val="fr-CA"/>
        </w:rPr>
        <w:br w:type="page"/>
      </w:r>
    </w:p>
    <w:bookmarkStart w:id="9" w:name="BM1"/>
    <w:bookmarkEnd w:id="9"/>
    <w:p w:rsidR="00592F3E" w:rsidRPr="00592F3E" w:rsidRDefault="00857426" w:rsidP="00592F3E">
      <w:pPr>
        <w:widowControl w:val="0"/>
        <w:jc w:val="both"/>
        <w:rPr>
          <w:sz w:val="20"/>
          <w:szCs w:val="20"/>
          <w:lang w:val="fr-CA"/>
        </w:rPr>
      </w:pPr>
      <w:r w:rsidRPr="00592F3E">
        <w:rPr>
          <w:b/>
          <w:sz w:val="20"/>
          <w:szCs w:val="20"/>
          <w:lang w:val="fr-CA"/>
        </w:rPr>
        <w:lastRenderedPageBreak/>
        <w:fldChar w:fldCharType="begin"/>
      </w:r>
      <w:r w:rsidR="00592F3E" w:rsidRPr="00592F3E">
        <w:rPr>
          <w:b/>
          <w:sz w:val="20"/>
          <w:szCs w:val="20"/>
          <w:lang w:val="fr-CA"/>
        </w:rPr>
        <w:instrText xml:space="preserve"> SEQ CHAPTER \h \r 1</w:instrText>
      </w:r>
      <w:r w:rsidRPr="00592F3E">
        <w:rPr>
          <w:b/>
          <w:sz w:val="20"/>
          <w:szCs w:val="20"/>
          <w:lang w:val="fr-CA"/>
        </w:rPr>
        <w:fldChar w:fldCharType="end"/>
      </w:r>
      <w:r w:rsidR="00592F3E" w:rsidRPr="00592F3E">
        <w:rPr>
          <w:b/>
          <w:sz w:val="20"/>
          <w:szCs w:val="20"/>
          <w:lang w:val="fr-CA"/>
        </w:rPr>
        <w:t>33520</w:t>
      </w:r>
      <w:r w:rsidR="00592F3E" w:rsidRPr="00592F3E">
        <w:rPr>
          <w:sz w:val="20"/>
          <w:szCs w:val="20"/>
          <w:lang w:val="fr-CA"/>
        </w:rPr>
        <w:tab/>
      </w:r>
      <w:bookmarkStart w:id="10" w:name="BM3"/>
      <w:bookmarkEnd w:id="10"/>
      <w:r w:rsidR="00592F3E" w:rsidRPr="00592F3E">
        <w:rPr>
          <w:b/>
          <w:bCs/>
          <w:i/>
          <w:iCs/>
          <w:sz w:val="20"/>
          <w:szCs w:val="20"/>
          <w:lang w:val="fr-CA"/>
        </w:rPr>
        <w:t>Procureur général du Canada et a</w:t>
      </w:r>
      <w:r w:rsidR="00592F3E">
        <w:rPr>
          <w:b/>
          <w:bCs/>
          <w:i/>
          <w:iCs/>
          <w:sz w:val="20"/>
          <w:szCs w:val="20"/>
          <w:lang w:val="fr-CA"/>
        </w:rPr>
        <w:t>utre</w:t>
      </w:r>
      <w:r w:rsidR="00592F3E" w:rsidRPr="00592F3E">
        <w:rPr>
          <w:b/>
          <w:bCs/>
          <w:i/>
          <w:iCs/>
          <w:sz w:val="20"/>
          <w:szCs w:val="20"/>
          <w:lang w:val="fr-CA"/>
        </w:rPr>
        <w:t xml:space="preserve"> c. </w:t>
      </w:r>
      <w:proofErr w:type="spellStart"/>
      <w:r w:rsidR="00592F3E" w:rsidRPr="00592F3E">
        <w:rPr>
          <w:b/>
          <w:bCs/>
          <w:i/>
          <w:iCs/>
          <w:sz w:val="20"/>
          <w:szCs w:val="20"/>
          <w:lang w:val="fr-CA"/>
        </w:rPr>
        <w:t>Pritpal</w:t>
      </w:r>
      <w:proofErr w:type="spellEnd"/>
      <w:r w:rsidR="00592F3E" w:rsidRPr="00592F3E">
        <w:rPr>
          <w:b/>
          <w:bCs/>
          <w:i/>
          <w:iCs/>
          <w:sz w:val="20"/>
          <w:szCs w:val="20"/>
          <w:lang w:val="fr-CA"/>
        </w:rPr>
        <w:t xml:space="preserve"> Singh </w:t>
      </w:r>
      <w:proofErr w:type="spellStart"/>
      <w:r w:rsidR="00592F3E" w:rsidRPr="00592F3E">
        <w:rPr>
          <w:b/>
          <w:bCs/>
          <w:i/>
          <w:iCs/>
          <w:sz w:val="20"/>
          <w:szCs w:val="20"/>
          <w:lang w:val="fr-CA"/>
        </w:rPr>
        <w:t>Mavi</w:t>
      </w:r>
      <w:proofErr w:type="spellEnd"/>
      <w:r w:rsidR="00592F3E" w:rsidRPr="00592F3E">
        <w:rPr>
          <w:b/>
          <w:bCs/>
          <w:i/>
          <w:iCs/>
          <w:sz w:val="20"/>
          <w:szCs w:val="20"/>
          <w:lang w:val="fr-CA"/>
        </w:rPr>
        <w:t xml:space="preserve"> et a</w:t>
      </w:r>
      <w:r w:rsidR="00592F3E">
        <w:rPr>
          <w:b/>
          <w:bCs/>
          <w:i/>
          <w:iCs/>
          <w:sz w:val="20"/>
          <w:szCs w:val="20"/>
          <w:lang w:val="fr-CA"/>
        </w:rPr>
        <w:t>utre</w:t>
      </w:r>
      <w:r w:rsidR="005D5772">
        <w:rPr>
          <w:b/>
          <w:bCs/>
          <w:i/>
          <w:iCs/>
          <w:sz w:val="20"/>
          <w:szCs w:val="20"/>
          <w:lang w:val="fr-CA"/>
        </w:rPr>
        <w:t>s</w:t>
      </w:r>
    </w:p>
    <w:p w:rsidR="00592F3E" w:rsidRPr="00592F3E" w:rsidRDefault="00592F3E" w:rsidP="00592F3E">
      <w:pPr>
        <w:widowControl w:val="0"/>
        <w:jc w:val="both"/>
        <w:rPr>
          <w:sz w:val="20"/>
          <w:szCs w:val="20"/>
          <w:lang w:val="fr-CA"/>
        </w:rPr>
      </w:pPr>
    </w:p>
    <w:p w:rsidR="00592F3E" w:rsidRPr="00592F3E" w:rsidRDefault="00592F3E" w:rsidP="00592F3E">
      <w:pPr>
        <w:jc w:val="both"/>
        <w:rPr>
          <w:sz w:val="20"/>
          <w:szCs w:val="20"/>
          <w:lang w:val="fr-CA"/>
        </w:rPr>
      </w:pPr>
      <w:r w:rsidRPr="00592F3E">
        <w:rPr>
          <w:sz w:val="20"/>
          <w:szCs w:val="20"/>
          <w:lang w:val="fr-CA"/>
        </w:rPr>
        <w:t xml:space="preserve">Législation - Interprétation - </w:t>
      </w:r>
      <w:r w:rsidRPr="00592F3E">
        <w:rPr>
          <w:i/>
          <w:iCs/>
          <w:sz w:val="20"/>
          <w:szCs w:val="20"/>
          <w:lang w:val="fr-CA"/>
        </w:rPr>
        <w:t>Loi sur l’immigration et la protection des réfugiés</w:t>
      </w:r>
      <w:r w:rsidRPr="00592F3E">
        <w:rPr>
          <w:sz w:val="20"/>
          <w:szCs w:val="20"/>
          <w:lang w:val="fr-CA"/>
        </w:rPr>
        <w:t xml:space="preserve">, L.C. 2001, ch. 27 - Les répondants d’immigrants au titre du regroupement familial doivent s’engager à rembourser au gouvernement le montant de toute aide sociale reçue par le parent parrainé pendant la période de parrainage - La </w:t>
      </w:r>
      <w:r w:rsidRPr="00592F3E">
        <w:rPr>
          <w:i/>
          <w:iCs/>
          <w:sz w:val="20"/>
          <w:szCs w:val="20"/>
          <w:lang w:val="fr-CA"/>
        </w:rPr>
        <w:t>Loi sur l’immigration et la protection des réfugiés</w:t>
      </w:r>
      <w:r w:rsidRPr="00592F3E">
        <w:rPr>
          <w:sz w:val="20"/>
          <w:szCs w:val="20"/>
          <w:lang w:val="fr-CA"/>
        </w:rPr>
        <w:t xml:space="preserve"> prévoit que le gouvernement fédéral ou provincial « peut recouvrer » la créance - La </w:t>
      </w:r>
      <w:r w:rsidRPr="00592F3E">
        <w:rPr>
          <w:i/>
          <w:iCs/>
          <w:sz w:val="20"/>
          <w:szCs w:val="20"/>
          <w:lang w:val="fr-CA"/>
        </w:rPr>
        <w:t>Loi sur l’immigration et la protection des réfugiés</w:t>
      </w:r>
      <w:r w:rsidRPr="00592F3E">
        <w:rPr>
          <w:sz w:val="20"/>
          <w:szCs w:val="20"/>
          <w:lang w:val="fr-CA"/>
        </w:rPr>
        <w:t xml:space="preserve"> </w:t>
      </w:r>
      <w:proofErr w:type="spellStart"/>
      <w:r w:rsidRPr="00592F3E">
        <w:rPr>
          <w:sz w:val="20"/>
          <w:szCs w:val="20"/>
          <w:lang w:val="fr-CA"/>
        </w:rPr>
        <w:t>confère</w:t>
      </w:r>
      <w:r w:rsidRPr="00592F3E">
        <w:rPr>
          <w:sz w:val="20"/>
          <w:szCs w:val="20"/>
          <w:lang w:val="fr-CA"/>
        </w:rPr>
        <w:noBreakHyphen/>
        <w:t>t</w:t>
      </w:r>
      <w:r w:rsidRPr="00592F3E">
        <w:rPr>
          <w:sz w:val="20"/>
          <w:szCs w:val="20"/>
          <w:lang w:val="fr-CA"/>
        </w:rPr>
        <w:noBreakHyphen/>
        <w:t>elle</w:t>
      </w:r>
      <w:proofErr w:type="spellEnd"/>
      <w:r w:rsidRPr="00592F3E">
        <w:rPr>
          <w:sz w:val="20"/>
          <w:szCs w:val="20"/>
          <w:lang w:val="fr-CA"/>
        </w:rPr>
        <w:t xml:space="preserve"> un pouvoir discrétionnaire en ce qui a trait au recouvrement de la créance de parrainage? - Le gouvernement fédéral et le gouvernement provincial </w:t>
      </w:r>
      <w:proofErr w:type="spellStart"/>
      <w:r w:rsidRPr="00592F3E">
        <w:rPr>
          <w:sz w:val="20"/>
          <w:szCs w:val="20"/>
          <w:lang w:val="fr-CA"/>
        </w:rPr>
        <w:t>ont</w:t>
      </w:r>
      <w:r w:rsidRPr="00592F3E">
        <w:rPr>
          <w:sz w:val="20"/>
          <w:szCs w:val="20"/>
          <w:lang w:val="fr-CA"/>
        </w:rPr>
        <w:noBreakHyphen/>
        <w:t>ils</w:t>
      </w:r>
      <w:proofErr w:type="spellEnd"/>
      <w:r w:rsidRPr="00592F3E">
        <w:rPr>
          <w:sz w:val="20"/>
          <w:szCs w:val="20"/>
          <w:lang w:val="fr-CA"/>
        </w:rPr>
        <w:t xml:space="preserve"> tous les deux une obligation d’équité procédurale avant de pouvoir exercer des droits de recouvrement d’une créance de parrainage? - Dans l’affirmative, le gouvernement </w:t>
      </w:r>
      <w:proofErr w:type="spellStart"/>
      <w:r w:rsidRPr="00592F3E">
        <w:rPr>
          <w:sz w:val="20"/>
          <w:szCs w:val="20"/>
          <w:lang w:val="fr-CA"/>
        </w:rPr>
        <w:t>est</w:t>
      </w:r>
      <w:r w:rsidRPr="00592F3E">
        <w:rPr>
          <w:sz w:val="20"/>
          <w:szCs w:val="20"/>
          <w:lang w:val="fr-CA"/>
        </w:rPr>
        <w:noBreakHyphen/>
        <w:t>il</w:t>
      </w:r>
      <w:proofErr w:type="spellEnd"/>
      <w:r w:rsidRPr="00592F3E">
        <w:rPr>
          <w:sz w:val="20"/>
          <w:szCs w:val="20"/>
          <w:lang w:val="fr-CA"/>
        </w:rPr>
        <w:t xml:space="preserve"> tenu de faire plus que d’aviser de son intention d’exercer ses droits de recouvrement de la créance?</w:t>
      </w:r>
    </w:p>
    <w:p w:rsidR="00592F3E" w:rsidRPr="00592F3E" w:rsidRDefault="00592F3E" w:rsidP="00592F3E">
      <w:pPr>
        <w:widowControl w:val="0"/>
        <w:jc w:val="both"/>
        <w:rPr>
          <w:sz w:val="20"/>
          <w:szCs w:val="20"/>
          <w:lang w:val="fr-CA"/>
        </w:rPr>
      </w:pPr>
    </w:p>
    <w:p w:rsidR="00592F3E" w:rsidRPr="00592F3E" w:rsidRDefault="00592F3E" w:rsidP="00592F3E">
      <w:pPr>
        <w:jc w:val="both"/>
        <w:rPr>
          <w:sz w:val="20"/>
          <w:szCs w:val="20"/>
          <w:lang w:val="fr-CA"/>
        </w:rPr>
      </w:pPr>
      <w:r w:rsidRPr="00592F3E">
        <w:rPr>
          <w:sz w:val="20"/>
          <w:szCs w:val="20"/>
          <w:lang w:val="fr-CA"/>
        </w:rPr>
        <w:t>Chacun des huit intimés a parrainé l’immigration au Canada d’un parent au titre du regroupement familial.  Chacun des intimés a signé des engagements envers le gouvernement du Canada confirmant qu’il prendrait à sa charge les parents parrainés et rembourserait les prestations d’aide sociale que verserait le gouvernement à ses parents parrainés, le cas échéant.  Les parents parrainés de chacun des intimés ont reçu des prestations d’aide sociale de l’Ontario pendant leurs périodes de parrainage.  L’Ontario a tenté de recouvrer ces paiements des répondants, mais aucun n’a honoré ses engagements.  Les intimés ont demandé plusieurs jugements déclaratoires pour être dispensés de l’obligation de payer les créances.  La Cour supérieure de justice a rejeté les demandes de jugements déclaratoires.  La Cour d’appel de l’Ontario a accueilli l’appel et a inscrit des jugements déclarant que le Canada et l’Ontario ont le pouvoir discrétionnaire de décider au cas par cas de recouvrer ou non la créance de parrainage, que l’Ontario avait entravé l’exercice de son pouvoir discrétionnaire en adoptant des politiques incompatibles avec les dispositions du régime d’immigration au titre du regroupement familial, que le Canada et l’Ontario ont une obligation d’équité procédurale envers les répondants lorsqu’ils recouvrent une créance de parrainage et que l’obligation d’équité procédurale comprend l’obligation de prévoir un processus qui permet d’expliquer la situation personnelle et financière particulière de l’intéressé, l’obligation de prendre en compte cette situation et l’obligation d’informer que les observations ont été prises en compte et de la décision qui a été prise.</w:t>
      </w:r>
    </w:p>
    <w:p w:rsidR="00592F3E" w:rsidRPr="00592F3E" w:rsidRDefault="00592F3E" w:rsidP="00592F3E">
      <w:pPr>
        <w:jc w:val="both"/>
        <w:rPr>
          <w:sz w:val="20"/>
          <w:szCs w:val="20"/>
          <w:lang w:val="fr-CA"/>
        </w:rPr>
      </w:pPr>
    </w:p>
    <w:p w:rsidR="00592F3E" w:rsidRPr="00592F3E" w:rsidRDefault="00592F3E" w:rsidP="00592F3E">
      <w:pPr>
        <w:jc w:val="both"/>
        <w:rPr>
          <w:sz w:val="20"/>
          <w:szCs w:val="20"/>
          <w:lang w:val="fr-CA"/>
        </w:rPr>
      </w:pPr>
    </w:p>
    <w:p w:rsidR="00592F3E" w:rsidRPr="00592F3E" w:rsidRDefault="00592F3E" w:rsidP="00592F3E">
      <w:pPr>
        <w:widowControl w:val="0"/>
        <w:ind w:left="3600" w:hanging="3600"/>
        <w:jc w:val="both"/>
        <w:rPr>
          <w:sz w:val="20"/>
          <w:szCs w:val="20"/>
          <w:lang w:val="fr-CA"/>
        </w:rPr>
      </w:pPr>
      <w:r w:rsidRPr="00592F3E">
        <w:rPr>
          <w:sz w:val="20"/>
          <w:szCs w:val="20"/>
          <w:lang w:val="fr-CA"/>
        </w:rPr>
        <w:t>Origine :</w:t>
      </w:r>
      <w:bookmarkStart w:id="11" w:name="BM4"/>
      <w:bookmarkEnd w:id="11"/>
      <w:r w:rsidRPr="00592F3E">
        <w:rPr>
          <w:sz w:val="20"/>
          <w:szCs w:val="20"/>
          <w:lang w:val="fr-CA"/>
        </w:rPr>
        <w:tab/>
        <w:t>Ontario</w:t>
      </w:r>
    </w:p>
    <w:p w:rsidR="00592F3E" w:rsidRPr="00592F3E" w:rsidRDefault="00592F3E" w:rsidP="00592F3E">
      <w:pPr>
        <w:widowControl w:val="0"/>
        <w:ind w:left="3600" w:hanging="3600"/>
        <w:jc w:val="both"/>
        <w:rPr>
          <w:sz w:val="20"/>
          <w:szCs w:val="20"/>
          <w:lang w:val="fr-CA"/>
        </w:rPr>
      </w:pPr>
    </w:p>
    <w:p w:rsidR="00592F3E" w:rsidRPr="00592F3E" w:rsidRDefault="00592F3E" w:rsidP="00592F3E">
      <w:pPr>
        <w:widowControl w:val="0"/>
        <w:ind w:left="3600" w:hanging="3600"/>
        <w:jc w:val="both"/>
        <w:rPr>
          <w:sz w:val="20"/>
          <w:szCs w:val="20"/>
          <w:lang w:val="fr-CA"/>
        </w:rPr>
      </w:pPr>
      <w:r w:rsidRPr="00592F3E">
        <w:rPr>
          <w:sz w:val="20"/>
          <w:szCs w:val="20"/>
          <w:lang w:val="fr-CA"/>
        </w:rPr>
        <w:t>N</w:t>
      </w:r>
      <w:r w:rsidRPr="00592F3E">
        <w:rPr>
          <w:sz w:val="20"/>
          <w:szCs w:val="20"/>
          <w:vertAlign w:val="superscript"/>
          <w:lang w:val="fr-CA"/>
        </w:rPr>
        <w:t>o</w:t>
      </w:r>
      <w:r w:rsidRPr="00592F3E">
        <w:rPr>
          <w:sz w:val="20"/>
          <w:szCs w:val="20"/>
          <w:lang w:val="fr-CA"/>
        </w:rPr>
        <w:t xml:space="preserve"> du greffe :</w:t>
      </w:r>
      <w:r w:rsidRPr="00592F3E">
        <w:rPr>
          <w:sz w:val="20"/>
          <w:szCs w:val="20"/>
          <w:lang w:val="fr-CA"/>
        </w:rPr>
        <w:tab/>
      </w:r>
      <w:bookmarkStart w:id="12" w:name="BM2"/>
      <w:bookmarkEnd w:id="12"/>
      <w:r w:rsidRPr="00592F3E">
        <w:rPr>
          <w:sz w:val="20"/>
          <w:szCs w:val="20"/>
          <w:lang w:val="fr-CA"/>
        </w:rPr>
        <w:t>33520</w:t>
      </w:r>
    </w:p>
    <w:p w:rsidR="00592F3E" w:rsidRPr="00592F3E" w:rsidRDefault="00592F3E" w:rsidP="00592F3E">
      <w:pPr>
        <w:widowControl w:val="0"/>
        <w:ind w:left="3600" w:hanging="3600"/>
        <w:jc w:val="both"/>
        <w:rPr>
          <w:sz w:val="20"/>
          <w:szCs w:val="20"/>
          <w:lang w:val="fr-CA"/>
        </w:rPr>
      </w:pPr>
    </w:p>
    <w:p w:rsidR="00592F3E" w:rsidRPr="00592F3E" w:rsidRDefault="00592F3E" w:rsidP="00592F3E">
      <w:pPr>
        <w:widowControl w:val="0"/>
        <w:ind w:left="3600" w:hanging="3600"/>
        <w:jc w:val="both"/>
        <w:rPr>
          <w:sz w:val="20"/>
          <w:szCs w:val="20"/>
          <w:lang w:val="fr-CA"/>
        </w:rPr>
      </w:pPr>
      <w:r w:rsidRPr="00592F3E">
        <w:rPr>
          <w:sz w:val="20"/>
          <w:szCs w:val="20"/>
          <w:lang w:val="fr-CA"/>
        </w:rPr>
        <w:t>Arrêt de la Cour d’appel :</w:t>
      </w:r>
      <w:r w:rsidRPr="00592F3E">
        <w:rPr>
          <w:sz w:val="20"/>
          <w:szCs w:val="20"/>
          <w:lang w:val="fr-CA"/>
        </w:rPr>
        <w:tab/>
      </w:r>
      <w:bookmarkStart w:id="13" w:name="BM5"/>
      <w:bookmarkEnd w:id="13"/>
      <w:r w:rsidRPr="00592F3E">
        <w:rPr>
          <w:sz w:val="20"/>
          <w:szCs w:val="20"/>
          <w:lang w:val="fr-CA"/>
        </w:rPr>
        <w:t>12 novembre 2009</w:t>
      </w:r>
    </w:p>
    <w:p w:rsidR="00592F3E" w:rsidRPr="00592F3E" w:rsidRDefault="00592F3E" w:rsidP="00592F3E">
      <w:pPr>
        <w:widowControl w:val="0"/>
        <w:ind w:left="3600" w:hanging="3600"/>
        <w:jc w:val="both"/>
        <w:rPr>
          <w:sz w:val="20"/>
          <w:szCs w:val="20"/>
          <w:lang w:val="fr-CA"/>
        </w:rPr>
      </w:pPr>
    </w:p>
    <w:p w:rsidR="00592F3E" w:rsidRPr="00592F3E" w:rsidRDefault="00592F3E" w:rsidP="00592F3E">
      <w:pPr>
        <w:widowControl w:val="0"/>
        <w:ind w:left="3600" w:hanging="3600"/>
        <w:jc w:val="both"/>
        <w:rPr>
          <w:sz w:val="20"/>
          <w:szCs w:val="20"/>
          <w:lang w:val="fr-CA"/>
        </w:rPr>
      </w:pPr>
      <w:r w:rsidRPr="00592F3E">
        <w:rPr>
          <w:sz w:val="20"/>
          <w:szCs w:val="20"/>
          <w:lang w:val="fr-CA"/>
        </w:rPr>
        <w:t>Avocats :</w:t>
      </w:r>
      <w:r w:rsidRPr="00592F3E">
        <w:rPr>
          <w:sz w:val="20"/>
          <w:szCs w:val="20"/>
          <w:lang w:val="fr-CA"/>
        </w:rPr>
        <w:tab/>
      </w:r>
      <w:bookmarkStart w:id="14" w:name="BM6"/>
      <w:bookmarkEnd w:id="14"/>
      <w:proofErr w:type="spellStart"/>
      <w:r w:rsidRPr="00592F3E">
        <w:rPr>
          <w:sz w:val="20"/>
          <w:szCs w:val="20"/>
          <w:lang w:val="fr-CA"/>
        </w:rPr>
        <w:t>Urszula</w:t>
      </w:r>
      <w:proofErr w:type="spellEnd"/>
      <w:r w:rsidRPr="00592F3E">
        <w:rPr>
          <w:sz w:val="20"/>
          <w:szCs w:val="20"/>
          <w:lang w:val="fr-CA"/>
        </w:rPr>
        <w:t xml:space="preserve"> </w:t>
      </w:r>
      <w:proofErr w:type="spellStart"/>
      <w:r w:rsidRPr="00592F3E">
        <w:rPr>
          <w:sz w:val="20"/>
          <w:szCs w:val="20"/>
          <w:lang w:val="fr-CA"/>
        </w:rPr>
        <w:t>Kaczmarcyk</w:t>
      </w:r>
      <w:proofErr w:type="spellEnd"/>
      <w:r w:rsidRPr="00592F3E">
        <w:rPr>
          <w:sz w:val="20"/>
          <w:szCs w:val="20"/>
          <w:lang w:val="fr-CA"/>
        </w:rPr>
        <w:t xml:space="preserve">, Christine </w:t>
      </w:r>
      <w:proofErr w:type="spellStart"/>
      <w:r w:rsidRPr="00592F3E">
        <w:rPr>
          <w:sz w:val="20"/>
          <w:szCs w:val="20"/>
          <w:lang w:val="fr-CA"/>
        </w:rPr>
        <w:t>Mohr</w:t>
      </w:r>
      <w:proofErr w:type="spellEnd"/>
      <w:r w:rsidRPr="00592F3E">
        <w:rPr>
          <w:sz w:val="20"/>
          <w:szCs w:val="20"/>
          <w:lang w:val="fr-CA"/>
        </w:rPr>
        <w:t xml:space="preserve"> et Lorne </w:t>
      </w:r>
      <w:proofErr w:type="spellStart"/>
      <w:r w:rsidRPr="00592F3E">
        <w:rPr>
          <w:sz w:val="20"/>
          <w:szCs w:val="20"/>
          <w:lang w:val="fr-CA"/>
        </w:rPr>
        <w:t>McClenaghan</w:t>
      </w:r>
      <w:proofErr w:type="spellEnd"/>
      <w:r w:rsidRPr="00592F3E">
        <w:rPr>
          <w:sz w:val="20"/>
          <w:szCs w:val="20"/>
          <w:lang w:val="fr-CA"/>
        </w:rPr>
        <w:t xml:space="preserve"> pour l’appelant procureur général du Canada</w:t>
      </w:r>
    </w:p>
    <w:p w:rsidR="00592F3E" w:rsidRPr="00592F3E" w:rsidRDefault="00592F3E" w:rsidP="00592F3E">
      <w:pPr>
        <w:widowControl w:val="0"/>
        <w:ind w:left="3600" w:hanging="3600"/>
        <w:jc w:val="both"/>
        <w:rPr>
          <w:sz w:val="20"/>
          <w:szCs w:val="20"/>
          <w:lang w:val="fr-CA"/>
        </w:rPr>
      </w:pPr>
      <w:r w:rsidRPr="00592F3E">
        <w:rPr>
          <w:sz w:val="20"/>
          <w:szCs w:val="20"/>
          <w:lang w:val="fr-CA"/>
        </w:rPr>
        <w:tab/>
        <w:t xml:space="preserve">Robert </w:t>
      </w:r>
      <w:proofErr w:type="spellStart"/>
      <w:r w:rsidRPr="00592F3E">
        <w:rPr>
          <w:sz w:val="20"/>
          <w:szCs w:val="20"/>
          <w:lang w:val="fr-CA"/>
        </w:rPr>
        <w:t>Ratcliffe</w:t>
      </w:r>
      <w:proofErr w:type="spellEnd"/>
      <w:r w:rsidRPr="00592F3E">
        <w:rPr>
          <w:sz w:val="20"/>
          <w:szCs w:val="20"/>
          <w:lang w:val="fr-CA"/>
        </w:rPr>
        <w:t xml:space="preserve">, Sara Blake et </w:t>
      </w:r>
      <w:proofErr w:type="spellStart"/>
      <w:r w:rsidRPr="00592F3E">
        <w:rPr>
          <w:sz w:val="20"/>
          <w:szCs w:val="20"/>
          <w:lang w:val="fr-CA"/>
        </w:rPr>
        <w:t>Baaba</w:t>
      </w:r>
      <w:proofErr w:type="spellEnd"/>
      <w:r w:rsidRPr="00592F3E">
        <w:rPr>
          <w:sz w:val="20"/>
          <w:szCs w:val="20"/>
          <w:lang w:val="fr-CA"/>
        </w:rPr>
        <w:t xml:space="preserve"> </w:t>
      </w:r>
      <w:proofErr w:type="spellStart"/>
      <w:r w:rsidRPr="00592F3E">
        <w:rPr>
          <w:sz w:val="20"/>
          <w:szCs w:val="20"/>
          <w:lang w:val="fr-CA"/>
        </w:rPr>
        <w:t>Forson</w:t>
      </w:r>
      <w:proofErr w:type="spellEnd"/>
      <w:r w:rsidRPr="00592F3E">
        <w:rPr>
          <w:sz w:val="20"/>
          <w:szCs w:val="20"/>
          <w:lang w:val="fr-CA"/>
        </w:rPr>
        <w:t xml:space="preserve"> pour l’appelant procureur général de l’Ontario</w:t>
      </w:r>
    </w:p>
    <w:p w:rsidR="00592F3E" w:rsidRDefault="00592F3E" w:rsidP="00592F3E">
      <w:pPr>
        <w:widowControl w:val="0"/>
        <w:ind w:left="3600" w:hanging="3600"/>
        <w:jc w:val="both"/>
        <w:rPr>
          <w:sz w:val="20"/>
          <w:szCs w:val="20"/>
          <w:lang w:val="fr-CA"/>
        </w:rPr>
      </w:pPr>
      <w:r w:rsidRPr="00592F3E">
        <w:rPr>
          <w:sz w:val="20"/>
          <w:szCs w:val="20"/>
          <w:lang w:val="fr-CA"/>
        </w:rPr>
        <w:tab/>
      </w:r>
      <w:bookmarkStart w:id="15" w:name="BM7"/>
      <w:bookmarkEnd w:id="15"/>
      <w:r w:rsidRPr="00592F3E">
        <w:rPr>
          <w:sz w:val="20"/>
          <w:szCs w:val="20"/>
          <w:lang w:val="fr-CA"/>
        </w:rPr>
        <w:t xml:space="preserve">Lorne </w:t>
      </w:r>
      <w:proofErr w:type="spellStart"/>
      <w:r w:rsidRPr="00592F3E">
        <w:rPr>
          <w:sz w:val="20"/>
          <w:szCs w:val="20"/>
          <w:lang w:val="fr-CA"/>
        </w:rPr>
        <w:t>Waldman</w:t>
      </w:r>
      <w:proofErr w:type="spellEnd"/>
      <w:r w:rsidRPr="00592F3E">
        <w:rPr>
          <w:sz w:val="20"/>
          <w:szCs w:val="20"/>
          <w:lang w:val="fr-CA"/>
        </w:rPr>
        <w:t xml:space="preserve"> pour l’intimé </w:t>
      </w:r>
      <w:proofErr w:type="spellStart"/>
      <w:r w:rsidRPr="00592F3E">
        <w:rPr>
          <w:sz w:val="20"/>
          <w:szCs w:val="20"/>
          <w:lang w:val="fr-CA"/>
        </w:rPr>
        <w:t>Nedzad</w:t>
      </w:r>
      <w:proofErr w:type="spellEnd"/>
      <w:r w:rsidRPr="00592F3E">
        <w:rPr>
          <w:sz w:val="20"/>
          <w:szCs w:val="20"/>
          <w:lang w:val="fr-CA"/>
        </w:rPr>
        <w:t xml:space="preserve"> </w:t>
      </w:r>
      <w:proofErr w:type="spellStart"/>
      <w:r w:rsidRPr="00592F3E">
        <w:rPr>
          <w:sz w:val="20"/>
          <w:szCs w:val="20"/>
          <w:lang w:val="fr-CA"/>
        </w:rPr>
        <w:t>Dzihic</w:t>
      </w:r>
      <w:proofErr w:type="spellEnd"/>
    </w:p>
    <w:p w:rsidR="00592F3E" w:rsidRPr="00592F3E" w:rsidRDefault="00592F3E" w:rsidP="00592F3E">
      <w:pPr>
        <w:widowControl w:val="0"/>
        <w:ind w:left="3600"/>
        <w:jc w:val="both"/>
        <w:rPr>
          <w:sz w:val="20"/>
          <w:szCs w:val="20"/>
          <w:lang w:val="fr-CA"/>
        </w:rPr>
      </w:pPr>
      <w:r w:rsidRPr="00592F3E">
        <w:rPr>
          <w:sz w:val="20"/>
          <w:szCs w:val="20"/>
          <w:lang w:val="fr-CA"/>
        </w:rPr>
        <w:t xml:space="preserve">Lucas E. Lung et Lisa Loader pour les intimés </w:t>
      </w:r>
      <w:proofErr w:type="spellStart"/>
      <w:r w:rsidRPr="00592F3E">
        <w:rPr>
          <w:sz w:val="20"/>
          <w:szCs w:val="20"/>
          <w:lang w:val="fr-CA"/>
        </w:rPr>
        <w:t>Pritpal</w:t>
      </w:r>
      <w:proofErr w:type="spellEnd"/>
      <w:r w:rsidRPr="00592F3E">
        <w:rPr>
          <w:sz w:val="20"/>
          <w:szCs w:val="20"/>
          <w:lang w:val="fr-CA"/>
        </w:rPr>
        <w:t xml:space="preserve"> Singh </w:t>
      </w:r>
      <w:proofErr w:type="spellStart"/>
      <w:r w:rsidRPr="00592F3E">
        <w:rPr>
          <w:sz w:val="20"/>
          <w:szCs w:val="20"/>
          <w:lang w:val="fr-CA"/>
        </w:rPr>
        <w:t>Mavi</w:t>
      </w:r>
      <w:proofErr w:type="spellEnd"/>
      <w:r w:rsidRPr="00592F3E">
        <w:rPr>
          <w:sz w:val="20"/>
          <w:szCs w:val="20"/>
          <w:lang w:val="fr-CA"/>
        </w:rPr>
        <w:t xml:space="preserve">, Maria Cristina </w:t>
      </w:r>
      <w:proofErr w:type="spellStart"/>
      <w:r w:rsidRPr="00592F3E">
        <w:rPr>
          <w:sz w:val="20"/>
          <w:szCs w:val="20"/>
          <w:lang w:val="fr-CA"/>
        </w:rPr>
        <w:t>Jatuff</w:t>
      </w:r>
      <w:proofErr w:type="spellEnd"/>
      <w:r w:rsidRPr="00592F3E">
        <w:rPr>
          <w:sz w:val="20"/>
          <w:szCs w:val="20"/>
          <w:lang w:val="fr-CA"/>
        </w:rPr>
        <w:t xml:space="preserve"> de </w:t>
      </w:r>
      <w:proofErr w:type="spellStart"/>
      <w:r w:rsidRPr="00592F3E">
        <w:rPr>
          <w:sz w:val="20"/>
          <w:szCs w:val="20"/>
          <w:lang w:val="fr-CA"/>
        </w:rPr>
        <w:t>Altamirano</w:t>
      </w:r>
      <w:proofErr w:type="spellEnd"/>
      <w:r w:rsidRPr="00592F3E">
        <w:rPr>
          <w:sz w:val="20"/>
          <w:szCs w:val="20"/>
          <w:lang w:val="fr-CA"/>
        </w:rPr>
        <w:t xml:space="preserve">, Oleg </w:t>
      </w:r>
      <w:proofErr w:type="spellStart"/>
      <w:r w:rsidRPr="00592F3E">
        <w:rPr>
          <w:sz w:val="20"/>
          <w:szCs w:val="20"/>
          <w:lang w:val="fr-CA"/>
        </w:rPr>
        <w:t>Grankin</w:t>
      </w:r>
      <w:proofErr w:type="spellEnd"/>
      <w:r w:rsidRPr="00592F3E">
        <w:rPr>
          <w:sz w:val="20"/>
          <w:szCs w:val="20"/>
          <w:lang w:val="fr-CA"/>
        </w:rPr>
        <w:t xml:space="preserve">, Raymond </w:t>
      </w:r>
      <w:proofErr w:type="spellStart"/>
      <w:r w:rsidRPr="00592F3E">
        <w:rPr>
          <w:sz w:val="20"/>
          <w:szCs w:val="20"/>
          <w:lang w:val="fr-CA"/>
        </w:rPr>
        <w:t>Hince</w:t>
      </w:r>
      <w:proofErr w:type="spellEnd"/>
      <w:r w:rsidRPr="00592F3E">
        <w:rPr>
          <w:sz w:val="20"/>
          <w:szCs w:val="20"/>
          <w:lang w:val="fr-CA"/>
        </w:rPr>
        <w:t xml:space="preserve"> et Homa </w:t>
      </w:r>
      <w:proofErr w:type="spellStart"/>
      <w:r w:rsidRPr="00592F3E">
        <w:rPr>
          <w:sz w:val="20"/>
          <w:szCs w:val="20"/>
          <w:lang w:val="fr-CA"/>
        </w:rPr>
        <w:t>Vossoughi</w:t>
      </w:r>
      <w:proofErr w:type="spellEnd"/>
    </w:p>
    <w:p w:rsidR="00592F3E" w:rsidRPr="00592F3E" w:rsidRDefault="00592F3E" w:rsidP="00592F3E">
      <w:pPr>
        <w:widowControl w:val="0"/>
        <w:ind w:left="3600"/>
        <w:jc w:val="both"/>
        <w:rPr>
          <w:sz w:val="20"/>
          <w:szCs w:val="20"/>
          <w:lang w:val="fr-CA"/>
        </w:rPr>
      </w:pPr>
      <w:r w:rsidRPr="00592F3E">
        <w:rPr>
          <w:sz w:val="20"/>
          <w:szCs w:val="20"/>
          <w:lang w:val="fr-CA"/>
        </w:rPr>
        <w:t xml:space="preserve">Hugh M. Evans pour les intimés </w:t>
      </w:r>
      <w:proofErr w:type="spellStart"/>
      <w:r w:rsidRPr="00592F3E">
        <w:rPr>
          <w:sz w:val="20"/>
          <w:szCs w:val="20"/>
          <w:lang w:val="fr-CA"/>
        </w:rPr>
        <w:t>Rania</w:t>
      </w:r>
      <w:proofErr w:type="spellEnd"/>
      <w:r w:rsidRPr="00592F3E">
        <w:rPr>
          <w:sz w:val="20"/>
          <w:szCs w:val="20"/>
          <w:lang w:val="fr-CA"/>
        </w:rPr>
        <w:t xml:space="preserve"> </w:t>
      </w:r>
      <w:proofErr w:type="spellStart"/>
      <w:r w:rsidRPr="00592F3E">
        <w:rPr>
          <w:sz w:val="20"/>
          <w:szCs w:val="20"/>
          <w:lang w:val="fr-CA"/>
        </w:rPr>
        <w:t>El</w:t>
      </w:r>
      <w:r w:rsidRPr="00592F3E">
        <w:rPr>
          <w:sz w:val="20"/>
          <w:szCs w:val="20"/>
          <w:lang w:val="fr-CA"/>
        </w:rPr>
        <w:noBreakHyphen/>
        <w:t>Murr</w:t>
      </w:r>
      <w:proofErr w:type="spellEnd"/>
      <w:r w:rsidRPr="00592F3E">
        <w:rPr>
          <w:sz w:val="20"/>
          <w:szCs w:val="20"/>
          <w:lang w:val="fr-CA"/>
        </w:rPr>
        <w:t xml:space="preserve"> et Hamid </w:t>
      </w:r>
      <w:proofErr w:type="spellStart"/>
      <w:r w:rsidRPr="00592F3E">
        <w:rPr>
          <w:sz w:val="20"/>
          <w:szCs w:val="20"/>
          <w:lang w:val="fr-CA"/>
        </w:rPr>
        <w:t>Zebaradami</w:t>
      </w:r>
      <w:proofErr w:type="spellEnd"/>
    </w:p>
    <w:p w:rsidR="00592F3E" w:rsidRPr="00592F3E" w:rsidRDefault="00592F3E" w:rsidP="00592F3E">
      <w:pPr>
        <w:widowControl w:val="0"/>
        <w:ind w:left="3600" w:hanging="3600"/>
        <w:jc w:val="both"/>
        <w:rPr>
          <w:sz w:val="20"/>
          <w:szCs w:val="20"/>
          <w:lang w:val="fr-CA"/>
        </w:rPr>
      </w:pPr>
    </w:p>
    <w:p w:rsidR="00592F3E" w:rsidRDefault="00857426" w:rsidP="00643C4A">
      <w:pPr>
        <w:jc w:val="both"/>
        <w:rPr>
          <w:sz w:val="20"/>
          <w:szCs w:val="20"/>
          <w:lang w:val="fr-CA"/>
        </w:rPr>
      </w:pPr>
      <w:r w:rsidRPr="00857426">
        <w:rPr>
          <w:sz w:val="20"/>
          <w:szCs w:val="20"/>
          <w:lang w:val="fr-CA"/>
        </w:rPr>
        <w:pict>
          <v:rect id="_x0000_i1101" style="width:2in;height:1pt" o:hrpct="0" o:hralign="center" o:hrstd="t" o:hrnoshade="t" o:hr="t" fillcolor="black [3213]" stroked="f"/>
        </w:pict>
      </w:r>
    </w:p>
    <w:p w:rsidR="00307D0D" w:rsidRDefault="00307D0D">
      <w:pPr>
        <w:rPr>
          <w:sz w:val="20"/>
          <w:szCs w:val="20"/>
          <w:lang w:val="fr-CA"/>
        </w:rPr>
      </w:pPr>
      <w:r>
        <w:rPr>
          <w:sz w:val="20"/>
          <w:szCs w:val="20"/>
          <w:lang w:val="fr-CA"/>
        </w:rPr>
        <w:br w:type="page"/>
      </w:r>
    </w:p>
    <w:p w:rsidR="00307D0D" w:rsidRPr="00307D0D" w:rsidRDefault="00857426" w:rsidP="00307D0D">
      <w:pPr>
        <w:widowControl w:val="0"/>
        <w:jc w:val="both"/>
        <w:rPr>
          <w:sz w:val="20"/>
          <w:szCs w:val="20"/>
        </w:rPr>
      </w:pPr>
      <w:r w:rsidRPr="00307D0D">
        <w:rPr>
          <w:b/>
          <w:sz w:val="20"/>
          <w:szCs w:val="20"/>
        </w:rPr>
        <w:lastRenderedPageBreak/>
        <w:fldChar w:fldCharType="begin"/>
      </w:r>
      <w:r w:rsidR="00307D0D" w:rsidRPr="00307D0D">
        <w:rPr>
          <w:b/>
          <w:sz w:val="20"/>
          <w:szCs w:val="20"/>
        </w:rPr>
        <w:instrText xml:space="preserve"> SEQ CHAPTER \h \r 1</w:instrText>
      </w:r>
      <w:r w:rsidRPr="00307D0D">
        <w:rPr>
          <w:b/>
          <w:sz w:val="20"/>
          <w:szCs w:val="20"/>
        </w:rPr>
        <w:fldChar w:fldCharType="end"/>
      </w:r>
      <w:r w:rsidR="00307D0D" w:rsidRPr="00307D0D">
        <w:rPr>
          <w:b/>
          <w:sz w:val="20"/>
          <w:szCs w:val="20"/>
        </w:rPr>
        <w:t>33422</w:t>
      </w:r>
      <w:r w:rsidR="00307D0D" w:rsidRPr="00307D0D">
        <w:rPr>
          <w:sz w:val="20"/>
          <w:szCs w:val="20"/>
        </w:rPr>
        <w:tab/>
      </w:r>
      <w:r w:rsidR="00307D0D" w:rsidRPr="00307D0D">
        <w:rPr>
          <w:b/>
          <w:i/>
          <w:sz w:val="20"/>
          <w:szCs w:val="20"/>
        </w:rPr>
        <w:t xml:space="preserve">Canada </w:t>
      </w:r>
      <w:proofErr w:type="spellStart"/>
      <w:r w:rsidR="00307D0D" w:rsidRPr="00307D0D">
        <w:rPr>
          <w:b/>
          <w:i/>
          <w:sz w:val="20"/>
          <w:szCs w:val="20"/>
        </w:rPr>
        <w:t>Trustco</w:t>
      </w:r>
      <w:proofErr w:type="spellEnd"/>
      <w:r w:rsidR="00307D0D" w:rsidRPr="00307D0D">
        <w:rPr>
          <w:b/>
          <w:i/>
          <w:sz w:val="20"/>
          <w:szCs w:val="20"/>
        </w:rPr>
        <w:t xml:space="preserve"> Mortgage Company v. Her Majesty the Queen</w:t>
      </w:r>
    </w:p>
    <w:p w:rsidR="00307D0D" w:rsidRPr="00307D0D" w:rsidRDefault="00307D0D" w:rsidP="00307D0D">
      <w:pPr>
        <w:widowControl w:val="0"/>
        <w:jc w:val="both"/>
        <w:rPr>
          <w:sz w:val="20"/>
          <w:szCs w:val="20"/>
        </w:rPr>
      </w:pPr>
    </w:p>
    <w:p w:rsidR="00307D0D" w:rsidRPr="00307D0D" w:rsidRDefault="00857426" w:rsidP="00307D0D">
      <w:pPr>
        <w:jc w:val="both"/>
        <w:rPr>
          <w:sz w:val="20"/>
          <w:szCs w:val="20"/>
        </w:rPr>
      </w:pPr>
      <w:r w:rsidRPr="00307D0D">
        <w:rPr>
          <w:sz w:val="20"/>
          <w:szCs w:val="20"/>
        </w:rPr>
        <w:fldChar w:fldCharType="begin"/>
      </w:r>
      <w:r w:rsidR="00307D0D" w:rsidRPr="00307D0D">
        <w:rPr>
          <w:sz w:val="20"/>
          <w:szCs w:val="20"/>
        </w:rPr>
        <w:instrText xml:space="preserve"> SEQ CHAPTER \h \r 1</w:instrText>
      </w:r>
      <w:r w:rsidRPr="00307D0D">
        <w:rPr>
          <w:sz w:val="20"/>
          <w:szCs w:val="20"/>
        </w:rPr>
        <w:fldChar w:fldCharType="end"/>
      </w:r>
      <w:r w:rsidR="00307D0D" w:rsidRPr="00307D0D">
        <w:rPr>
          <w:sz w:val="20"/>
          <w:szCs w:val="20"/>
        </w:rPr>
        <w:t xml:space="preserve">Taxation - Income tax - Collection - Garnishment - Minister of National Revenue issuing requirements to pay to appellant financial institution with respect to lawyer’s tax liability - Whether the courts below erred in finding that the act of delivering the cheques for deposit into the joint account rendered the bank liable to make a payment to the tax debtor such that the funds were payable to the tax debtor within the meaning of s. 224(1) of the </w:t>
      </w:r>
      <w:r w:rsidR="00307D0D" w:rsidRPr="00307D0D">
        <w:rPr>
          <w:i/>
          <w:sz w:val="20"/>
          <w:szCs w:val="20"/>
        </w:rPr>
        <w:t>Income Tax Act</w:t>
      </w:r>
      <w:r w:rsidR="00307D0D" w:rsidRPr="00307D0D">
        <w:rPr>
          <w:sz w:val="20"/>
          <w:szCs w:val="20"/>
        </w:rPr>
        <w:t>, R.S.C. 1985, c. 1 (5th Supp.) - Whether the courts below erred in concluding that cheques written on a bank account by an account holder and made payable to that account holder, with instructions to deposit the amounts in another of the account holder’s accounts, are demands for payment, once presented to the bank.</w:t>
      </w:r>
    </w:p>
    <w:p w:rsidR="00307D0D" w:rsidRPr="00307D0D" w:rsidRDefault="00307D0D" w:rsidP="00307D0D">
      <w:pPr>
        <w:widowControl w:val="0"/>
        <w:jc w:val="both"/>
        <w:rPr>
          <w:sz w:val="20"/>
          <w:szCs w:val="20"/>
        </w:rPr>
      </w:pPr>
    </w:p>
    <w:p w:rsidR="00307D0D" w:rsidRPr="00307D0D" w:rsidRDefault="00857426" w:rsidP="00307D0D">
      <w:pPr>
        <w:jc w:val="both"/>
        <w:rPr>
          <w:sz w:val="20"/>
          <w:szCs w:val="20"/>
        </w:rPr>
      </w:pPr>
      <w:r w:rsidRPr="00307D0D">
        <w:rPr>
          <w:sz w:val="20"/>
          <w:szCs w:val="20"/>
        </w:rPr>
        <w:fldChar w:fldCharType="begin"/>
      </w:r>
      <w:r w:rsidR="00307D0D" w:rsidRPr="00307D0D">
        <w:rPr>
          <w:sz w:val="20"/>
          <w:szCs w:val="20"/>
        </w:rPr>
        <w:instrText xml:space="preserve"> SEQ CHAPTER \h \r 1</w:instrText>
      </w:r>
      <w:r w:rsidRPr="00307D0D">
        <w:rPr>
          <w:sz w:val="20"/>
          <w:szCs w:val="20"/>
        </w:rPr>
        <w:fldChar w:fldCharType="end"/>
      </w:r>
      <w:r w:rsidR="00307D0D" w:rsidRPr="00307D0D">
        <w:rPr>
          <w:sz w:val="20"/>
          <w:szCs w:val="20"/>
        </w:rPr>
        <w:t xml:space="preserve">The Minister of National Revenue issued three Requirements to Pay to the appellant bank with respect to the tax liability of a lawyer, pursuant to s. 224(1) of the </w:t>
      </w:r>
      <w:r w:rsidR="00307D0D" w:rsidRPr="00307D0D">
        <w:rPr>
          <w:i/>
          <w:iCs/>
          <w:sz w:val="20"/>
          <w:szCs w:val="20"/>
        </w:rPr>
        <w:t>Income Tax Act</w:t>
      </w:r>
      <w:r w:rsidR="00307D0D" w:rsidRPr="00307D0D">
        <w:rPr>
          <w:sz w:val="20"/>
          <w:szCs w:val="20"/>
        </w:rPr>
        <w:t>, R.S.C. 1985, c. 1 (5th Supp.).  The lawyer held two accounts with the bank, a lawyer’s trust account and a joint account with another individual.  Cheques were drawn on the trust account, with the lawyer identified as the payee.  Each cheque was presented to the bank for deposit into the joint account.  In each instance, the cheque was accepted by the bank for deposit to the joint account.  A credit was made to the joint account, and a debit was made to the trust account.  The Minister issued notices of assessment for failure to comply with the Requirements to Pay.  After receiving the assessments, the bank filed Notices of Objection, which were rejected by the Canada Revenue Agency.  The bank appealed the assessments to the Tax Court of Canada.</w:t>
      </w:r>
    </w:p>
    <w:p w:rsidR="00307D0D" w:rsidRPr="00307D0D" w:rsidRDefault="00307D0D" w:rsidP="00307D0D">
      <w:pPr>
        <w:widowControl w:val="0"/>
        <w:jc w:val="both"/>
        <w:rPr>
          <w:sz w:val="20"/>
          <w:szCs w:val="20"/>
        </w:rPr>
      </w:pPr>
    </w:p>
    <w:p w:rsidR="00307D0D" w:rsidRPr="00307D0D" w:rsidRDefault="00307D0D" w:rsidP="00307D0D">
      <w:pPr>
        <w:widowControl w:val="0"/>
        <w:jc w:val="both"/>
        <w:rPr>
          <w:sz w:val="20"/>
          <w:szCs w:val="20"/>
        </w:rPr>
      </w:pPr>
    </w:p>
    <w:p w:rsidR="00307D0D" w:rsidRPr="00307D0D" w:rsidRDefault="00307D0D" w:rsidP="00307D0D">
      <w:pPr>
        <w:widowControl w:val="0"/>
        <w:ind w:left="3600" w:hanging="3600"/>
        <w:jc w:val="both"/>
        <w:rPr>
          <w:sz w:val="20"/>
          <w:szCs w:val="20"/>
        </w:rPr>
      </w:pPr>
      <w:r w:rsidRPr="00307D0D">
        <w:rPr>
          <w:sz w:val="20"/>
          <w:szCs w:val="20"/>
        </w:rPr>
        <w:t>Origin of the case:</w:t>
      </w:r>
      <w:r w:rsidRPr="00307D0D">
        <w:rPr>
          <w:sz w:val="20"/>
          <w:szCs w:val="20"/>
        </w:rPr>
        <w:tab/>
        <w:t>Federal Court of Appeal</w:t>
      </w:r>
    </w:p>
    <w:p w:rsidR="00307D0D" w:rsidRPr="00307D0D" w:rsidRDefault="00307D0D" w:rsidP="00307D0D">
      <w:pPr>
        <w:widowControl w:val="0"/>
        <w:ind w:left="3600" w:hanging="3600"/>
        <w:jc w:val="both"/>
        <w:rPr>
          <w:sz w:val="20"/>
          <w:szCs w:val="20"/>
        </w:rPr>
      </w:pPr>
    </w:p>
    <w:p w:rsidR="00307D0D" w:rsidRPr="00307D0D" w:rsidRDefault="00307D0D" w:rsidP="00307D0D">
      <w:pPr>
        <w:widowControl w:val="0"/>
        <w:ind w:left="3600" w:hanging="3600"/>
        <w:jc w:val="both"/>
        <w:rPr>
          <w:sz w:val="20"/>
          <w:szCs w:val="20"/>
        </w:rPr>
      </w:pPr>
      <w:r w:rsidRPr="00307D0D">
        <w:rPr>
          <w:sz w:val="20"/>
          <w:szCs w:val="20"/>
        </w:rPr>
        <w:t>File No.:</w:t>
      </w:r>
      <w:r w:rsidRPr="00307D0D">
        <w:rPr>
          <w:sz w:val="20"/>
          <w:szCs w:val="20"/>
        </w:rPr>
        <w:tab/>
        <w:t>33422</w:t>
      </w:r>
    </w:p>
    <w:p w:rsidR="00307D0D" w:rsidRPr="00307D0D" w:rsidRDefault="00307D0D" w:rsidP="00307D0D">
      <w:pPr>
        <w:widowControl w:val="0"/>
        <w:ind w:left="3600" w:hanging="3600"/>
        <w:jc w:val="both"/>
        <w:rPr>
          <w:sz w:val="20"/>
          <w:szCs w:val="20"/>
        </w:rPr>
      </w:pPr>
    </w:p>
    <w:p w:rsidR="00307D0D" w:rsidRPr="00307D0D" w:rsidRDefault="00307D0D" w:rsidP="00307D0D">
      <w:pPr>
        <w:widowControl w:val="0"/>
        <w:ind w:left="3600" w:hanging="3600"/>
        <w:jc w:val="both"/>
        <w:rPr>
          <w:sz w:val="20"/>
          <w:szCs w:val="20"/>
        </w:rPr>
      </w:pPr>
      <w:r w:rsidRPr="00307D0D">
        <w:rPr>
          <w:sz w:val="20"/>
          <w:szCs w:val="20"/>
        </w:rPr>
        <w:t>Judgment of the Court of Appeal:</w:t>
      </w:r>
      <w:r w:rsidRPr="00307D0D">
        <w:rPr>
          <w:sz w:val="20"/>
          <w:szCs w:val="20"/>
        </w:rPr>
        <w:tab/>
        <w:t>September 15, 2009</w:t>
      </w:r>
    </w:p>
    <w:p w:rsidR="00307D0D" w:rsidRPr="00307D0D" w:rsidRDefault="00307D0D" w:rsidP="00307D0D">
      <w:pPr>
        <w:widowControl w:val="0"/>
        <w:ind w:left="3600" w:hanging="3600"/>
        <w:jc w:val="both"/>
        <w:rPr>
          <w:sz w:val="20"/>
          <w:szCs w:val="20"/>
        </w:rPr>
      </w:pPr>
    </w:p>
    <w:p w:rsidR="00307D0D" w:rsidRPr="00307D0D" w:rsidRDefault="00307D0D" w:rsidP="00307D0D">
      <w:pPr>
        <w:widowControl w:val="0"/>
        <w:ind w:left="3600" w:hanging="3600"/>
        <w:jc w:val="both"/>
        <w:rPr>
          <w:sz w:val="20"/>
          <w:szCs w:val="20"/>
        </w:rPr>
      </w:pPr>
      <w:r w:rsidRPr="00307D0D">
        <w:rPr>
          <w:sz w:val="20"/>
          <w:szCs w:val="20"/>
        </w:rPr>
        <w:t>Counsel:</w:t>
      </w:r>
      <w:r>
        <w:rPr>
          <w:sz w:val="20"/>
          <w:szCs w:val="20"/>
        </w:rPr>
        <w:tab/>
      </w:r>
      <w:r w:rsidRPr="00307D0D">
        <w:rPr>
          <w:sz w:val="20"/>
          <w:szCs w:val="20"/>
        </w:rPr>
        <w:t>R. Paul Steep and Thomas N.T. Sutton for the appellant</w:t>
      </w:r>
    </w:p>
    <w:p w:rsidR="00307D0D" w:rsidRDefault="00307D0D" w:rsidP="00307D0D">
      <w:pPr>
        <w:widowControl w:val="0"/>
        <w:ind w:left="3600" w:hanging="3600"/>
        <w:jc w:val="both"/>
        <w:rPr>
          <w:sz w:val="20"/>
          <w:szCs w:val="20"/>
        </w:rPr>
      </w:pPr>
      <w:r w:rsidRPr="00307D0D">
        <w:rPr>
          <w:sz w:val="20"/>
          <w:szCs w:val="20"/>
        </w:rPr>
        <w:tab/>
        <w:t xml:space="preserve">Myles J. </w:t>
      </w:r>
      <w:proofErr w:type="spellStart"/>
      <w:r w:rsidRPr="00307D0D">
        <w:rPr>
          <w:sz w:val="20"/>
          <w:szCs w:val="20"/>
        </w:rPr>
        <w:t>Kirvan</w:t>
      </w:r>
      <w:proofErr w:type="spellEnd"/>
      <w:r w:rsidRPr="00307D0D">
        <w:rPr>
          <w:sz w:val="20"/>
          <w:szCs w:val="20"/>
        </w:rPr>
        <w:t xml:space="preserve"> for the respondent</w:t>
      </w:r>
    </w:p>
    <w:p w:rsidR="00307D0D" w:rsidRDefault="00307D0D" w:rsidP="00307D0D">
      <w:pPr>
        <w:widowControl w:val="0"/>
        <w:ind w:left="3600" w:hanging="3600"/>
        <w:jc w:val="both"/>
        <w:rPr>
          <w:sz w:val="20"/>
          <w:szCs w:val="20"/>
        </w:rPr>
      </w:pPr>
    </w:p>
    <w:p w:rsidR="00307D0D" w:rsidRDefault="00857426" w:rsidP="00307D0D">
      <w:pPr>
        <w:jc w:val="both"/>
        <w:rPr>
          <w:sz w:val="20"/>
          <w:szCs w:val="20"/>
          <w:lang w:val="fr-CA"/>
        </w:rPr>
      </w:pPr>
      <w:r w:rsidRPr="00857426">
        <w:rPr>
          <w:sz w:val="20"/>
          <w:szCs w:val="20"/>
          <w:lang w:val="fr-CA"/>
        </w:rPr>
        <w:pict>
          <v:rect id="_x0000_i1102" style="width:2in;height:1pt" o:hrpct="0" o:hralign="center" o:hrstd="t" o:hrnoshade="t" o:hr="t" fillcolor="black [3213]" stroked="f"/>
        </w:pict>
      </w:r>
    </w:p>
    <w:p w:rsidR="005D5772" w:rsidRDefault="005D5772">
      <w:pPr>
        <w:rPr>
          <w:sz w:val="20"/>
          <w:szCs w:val="20"/>
          <w:lang w:val="fr-CA"/>
        </w:rPr>
      </w:pPr>
      <w:r>
        <w:rPr>
          <w:sz w:val="20"/>
          <w:szCs w:val="20"/>
          <w:lang w:val="fr-CA"/>
        </w:rPr>
        <w:br w:type="page"/>
      </w:r>
    </w:p>
    <w:p w:rsidR="005D5772" w:rsidRPr="005D5772" w:rsidRDefault="00857426" w:rsidP="005D5772">
      <w:pPr>
        <w:widowControl w:val="0"/>
        <w:jc w:val="both"/>
        <w:rPr>
          <w:sz w:val="20"/>
          <w:szCs w:val="20"/>
          <w:lang w:val="fr-CA"/>
        </w:rPr>
      </w:pPr>
      <w:r w:rsidRPr="005D5772">
        <w:rPr>
          <w:b/>
          <w:sz w:val="20"/>
          <w:szCs w:val="20"/>
          <w:lang w:val="fr-CA"/>
        </w:rPr>
        <w:lastRenderedPageBreak/>
        <w:fldChar w:fldCharType="begin"/>
      </w:r>
      <w:r w:rsidR="005D5772" w:rsidRPr="005D5772">
        <w:rPr>
          <w:b/>
          <w:sz w:val="20"/>
          <w:szCs w:val="20"/>
          <w:lang w:val="fr-CA"/>
        </w:rPr>
        <w:instrText xml:space="preserve"> SEQ CHAPTER \h \r 1</w:instrText>
      </w:r>
      <w:r w:rsidRPr="005D5772">
        <w:rPr>
          <w:b/>
          <w:sz w:val="20"/>
          <w:szCs w:val="20"/>
          <w:lang w:val="fr-CA"/>
        </w:rPr>
        <w:fldChar w:fldCharType="end"/>
      </w:r>
      <w:r w:rsidR="005D5772" w:rsidRPr="005D5772">
        <w:rPr>
          <w:b/>
          <w:sz w:val="20"/>
          <w:szCs w:val="20"/>
          <w:lang w:val="fr-CA"/>
        </w:rPr>
        <w:t>33422</w:t>
      </w:r>
      <w:r w:rsidR="005D5772" w:rsidRPr="005D5772">
        <w:rPr>
          <w:sz w:val="20"/>
          <w:szCs w:val="20"/>
          <w:lang w:val="fr-CA"/>
        </w:rPr>
        <w:tab/>
      </w:r>
      <w:r w:rsidR="005D5772" w:rsidRPr="00C43A66">
        <w:rPr>
          <w:b/>
          <w:i/>
          <w:sz w:val="20"/>
          <w:szCs w:val="20"/>
          <w:lang w:val="fr-CA"/>
        </w:rPr>
        <w:t xml:space="preserve">Hypothèques </w:t>
      </w:r>
      <w:proofErr w:type="spellStart"/>
      <w:r w:rsidR="005D5772" w:rsidRPr="00C43A66">
        <w:rPr>
          <w:b/>
          <w:i/>
          <w:sz w:val="20"/>
          <w:szCs w:val="20"/>
          <w:lang w:val="fr-CA"/>
        </w:rPr>
        <w:t>Trustco</w:t>
      </w:r>
      <w:proofErr w:type="spellEnd"/>
      <w:r w:rsidR="005D5772" w:rsidRPr="00C43A66">
        <w:rPr>
          <w:b/>
          <w:i/>
          <w:sz w:val="20"/>
          <w:szCs w:val="20"/>
          <w:lang w:val="fr-CA"/>
        </w:rPr>
        <w:t xml:space="preserve"> Canada c. Sa Majesté la Reine</w:t>
      </w:r>
    </w:p>
    <w:p w:rsidR="005D5772" w:rsidRPr="005D5772" w:rsidRDefault="005D5772" w:rsidP="005D5772">
      <w:pPr>
        <w:widowControl w:val="0"/>
        <w:jc w:val="both"/>
        <w:rPr>
          <w:sz w:val="20"/>
          <w:szCs w:val="20"/>
          <w:lang w:val="fr-CA"/>
        </w:rPr>
      </w:pPr>
    </w:p>
    <w:p w:rsidR="005D5772" w:rsidRPr="005D5772" w:rsidRDefault="005D5772" w:rsidP="005D5772">
      <w:pPr>
        <w:widowControl w:val="0"/>
        <w:jc w:val="both"/>
        <w:rPr>
          <w:sz w:val="20"/>
          <w:szCs w:val="20"/>
          <w:lang w:val="fr-CA"/>
        </w:rPr>
      </w:pPr>
      <w:r w:rsidRPr="005D5772">
        <w:rPr>
          <w:sz w:val="20"/>
          <w:szCs w:val="20"/>
          <w:lang w:val="fr-CA"/>
        </w:rPr>
        <w:t xml:space="preserve">Droit fiscal - Impôt sur le revenu - Recouvrement - Saisie-arrêt - Le ministre du Revenu national a délivré des demandes péremptoires de paiement à l’institution financière appelante relativement à la dette fiscale d’un avocat - Les juridictions inférieures </w:t>
      </w:r>
      <w:proofErr w:type="spellStart"/>
      <w:r w:rsidRPr="005D5772">
        <w:rPr>
          <w:sz w:val="20"/>
          <w:szCs w:val="20"/>
          <w:lang w:val="fr-CA"/>
        </w:rPr>
        <w:t>ont</w:t>
      </w:r>
      <w:r w:rsidRPr="005D5772">
        <w:rPr>
          <w:sz w:val="20"/>
          <w:szCs w:val="20"/>
          <w:lang w:val="fr-CA"/>
        </w:rPr>
        <w:noBreakHyphen/>
        <w:t>elles</w:t>
      </w:r>
      <w:proofErr w:type="spellEnd"/>
      <w:r w:rsidRPr="005D5772">
        <w:rPr>
          <w:sz w:val="20"/>
          <w:szCs w:val="20"/>
          <w:lang w:val="fr-CA"/>
        </w:rPr>
        <w:t xml:space="preserve"> eu tort de conclure que la présentation de chèques pour dépôt dans le compte conjoint faisait en sorte que la banque était tenue de faire un paiement au débiteur fiscal, si bien que les fonds étaient payables au débiteur fiscal au sens du par. 224(1) de la </w:t>
      </w:r>
      <w:r w:rsidRPr="005D5772">
        <w:rPr>
          <w:i/>
          <w:sz w:val="20"/>
          <w:szCs w:val="20"/>
          <w:lang w:val="fr-CA"/>
        </w:rPr>
        <w:t>Loi de l’impôt sur le revenu</w:t>
      </w:r>
      <w:r w:rsidRPr="005D5772">
        <w:rPr>
          <w:sz w:val="20"/>
          <w:szCs w:val="20"/>
          <w:lang w:val="fr-CA"/>
        </w:rPr>
        <w:t>, L.R.C. 1985, ch. 1 (5</w:t>
      </w:r>
      <w:r w:rsidRPr="005D5772">
        <w:rPr>
          <w:sz w:val="20"/>
          <w:szCs w:val="20"/>
          <w:vertAlign w:val="superscript"/>
          <w:lang w:val="fr-CA"/>
        </w:rPr>
        <w:t>e</w:t>
      </w:r>
      <w:r w:rsidRPr="005D5772">
        <w:rPr>
          <w:sz w:val="20"/>
          <w:szCs w:val="20"/>
          <w:lang w:val="fr-CA"/>
        </w:rPr>
        <w:t xml:space="preserve"> suppl.)? - Les juridictions inférieures </w:t>
      </w:r>
      <w:proofErr w:type="spellStart"/>
      <w:r w:rsidRPr="005D5772">
        <w:rPr>
          <w:sz w:val="20"/>
          <w:szCs w:val="20"/>
          <w:lang w:val="fr-CA"/>
        </w:rPr>
        <w:t>ont</w:t>
      </w:r>
      <w:r w:rsidRPr="005D5772">
        <w:rPr>
          <w:sz w:val="20"/>
          <w:szCs w:val="20"/>
          <w:lang w:val="fr-CA"/>
        </w:rPr>
        <w:noBreakHyphen/>
        <w:t>elles</w:t>
      </w:r>
      <w:proofErr w:type="spellEnd"/>
      <w:r w:rsidRPr="005D5772">
        <w:rPr>
          <w:sz w:val="20"/>
          <w:szCs w:val="20"/>
          <w:lang w:val="fr-CA"/>
        </w:rPr>
        <w:t xml:space="preserve"> eu tort de conclure que les chèques tirés d’un compte bancaire par un titulaire de compte et faits à l’ordre de ce titulaire, avec des directives de déposer les montants dans un autre compte du titulaire, sont des demandes de paiement, une fois présentés à la banque?</w:t>
      </w:r>
    </w:p>
    <w:p w:rsidR="005D5772" w:rsidRPr="005D5772" w:rsidRDefault="005D5772" w:rsidP="005D5772">
      <w:pPr>
        <w:widowControl w:val="0"/>
        <w:jc w:val="both"/>
        <w:rPr>
          <w:sz w:val="20"/>
          <w:szCs w:val="20"/>
          <w:lang w:val="fr-CA"/>
        </w:rPr>
      </w:pPr>
    </w:p>
    <w:p w:rsidR="005D5772" w:rsidRPr="005D5772" w:rsidRDefault="005D5772" w:rsidP="005D5772">
      <w:pPr>
        <w:widowControl w:val="0"/>
        <w:jc w:val="both"/>
        <w:rPr>
          <w:sz w:val="20"/>
          <w:szCs w:val="20"/>
          <w:lang w:val="fr-CA"/>
        </w:rPr>
      </w:pPr>
      <w:r w:rsidRPr="005D5772">
        <w:rPr>
          <w:sz w:val="20"/>
          <w:szCs w:val="20"/>
          <w:lang w:val="fr-CA"/>
        </w:rPr>
        <w:t>Le ministre du Revenu national a délivré trois demandes péremptoires de paiement à la banque appelante relativement à la dette fiscale d’un avocat, conformément au par. 224(1) de la</w:t>
      </w:r>
      <w:r w:rsidRPr="005D5772">
        <w:rPr>
          <w:i/>
          <w:sz w:val="20"/>
          <w:szCs w:val="20"/>
          <w:lang w:val="fr-CA"/>
        </w:rPr>
        <w:t xml:space="preserve"> Loi de l’impôt sur le revenu</w:t>
      </w:r>
      <w:r w:rsidRPr="005D5772">
        <w:rPr>
          <w:sz w:val="20"/>
          <w:szCs w:val="20"/>
          <w:lang w:val="fr-CA"/>
        </w:rPr>
        <w:t>, L.R.C. 1985, ch. 1 (5</w:t>
      </w:r>
      <w:r w:rsidRPr="005D5772">
        <w:rPr>
          <w:sz w:val="20"/>
          <w:szCs w:val="20"/>
          <w:vertAlign w:val="superscript"/>
          <w:lang w:val="fr-CA"/>
        </w:rPr>
        <w:t>e</w:t>
      </w:r>
      <w:r w:rsidRPr="005D5772">
        <w:rPr>
          <w:sz w:val="20"/>
          <w:szCs w:val="20"/>
          <w:lang w:val="fr-CA"/>
        </w:rPr>
        <w:t xml:space="preserve"> suppl.).  L’avocat avait deux comptes à la banque, un compte en fiducie comme avocat et un compte conjoint avec un autre particulier.  Des chèques ont été tirés sur le compte en fiducie et l’avocat était désigné comme bénéficiaire.  Chacun des chèques a été présenté à la banque pour dépôt dans le compte conjoint.  Dans chaque cas, le chèque a été accepté par la banque pour dépôt dans le compte conjoint.  Un crédit a été porté au compte conjoint et un débit a été porté au compte en fiducie.  Le ministre a établi des avis de cotisation pour défaut de s’être conformée aux demandes péremptoires de paiement.  Après avoir reçu les cotisations, la banque a produit des avis d’opposition qui ont été rejetés par l’Agence du revenu du Canada.  La banque a interjeté appel des cotisations à la Cour canadienne de l’impôt.</w:t>
      </w:r>
    </w:p>
    <w:p w:rsidR="005D5772" w:rsidRPr="005D5772" w:rsidRDefault="005D5772" w:rsidP="005D5772">
      <w:pPr>
        <w:widowControl w:val="0"/>
        <w:jc w:val="both"/>
        <w:rPr>
          <w:sz w:val="20"/>
          <w:szCs w:val="20"/>
          <w:lang w:val="fr-CA"/>
        </w:rPr>
      </w:pPr>
    </w:p>
    <w:p w:rsidR="005D5772" w:rsidRPr="005D5772" w:rsidRDefault="005D5772" w:rsidP="005D5772">
      <w:pPr>
        <w:widowControl w:val="0"/>
        <w:ind w:left="3600" w:hanging="3600"/>
        <w:jc w:val="both"/>
        <w:rPr>
          <w:sz w:val="20"/>
          <w:szCs w:val="20"/>
          <w:lang w:val="fr-CA"/>
        </w:rPr>
      </w:pPr>
    </w:p>
    <w:p w:rsidR="005D5772" w:rsidRPr="005D5772" w:rsidRDefault="005D5772" w:rsidP="005D5772">
      <w:pPr>
        <w:widowControl w:val="0"/>
        <w:ind w:left="3600" w:hanging="3600"/>
        <w:jc w:val="both"/>
        <w:rPr>
          <w:sz w:val="20"/>
          <w:szCs w:val="20"/>
          <w:lang w:val="fr-CA"/>
        </w:rPr>
      </w:pPr>
      <w:r w:rsidRPr="005D5772">
        <w:rPr>
          <w:sz w:val="20"/>
          <w:szCs w:val="20"/>
          <w:lang w:val="fr-CA"/>
        </w:rPr>
        <w:t>Origine :</w:t>
      </w:r>
      <w:r w:rsidRPr="005D5772">
        <w:rPr>
          <w:sz w:val="20"/>
          <w:szCs w:val="20"/>
          <w:lang w:val="fr-CA"/>
        </w:rPr>
        <w:tab/>
        <w:t>Cour d’appel fédérale</w:t>
      </w:r>
    </w:p>
    <w:p w:rsidR="005D5772" w:rsidRPr="005D5772" w:rsidRDefault="005D5772" w:rsidP="005D5772">
      <w:pPr>
        <w:widowControl w:val="0"/>
        <w:ind w:left="3600" w:hanging="3600"/>
        <w:jc w:val="both"/>
        <w:rPr>
          <w:sz w:val="20"/>
          <w:szCs w:val="20"/>
          <w:lang w:val="fr-CA"/>
        </w:rPr>
      </w:pPr>
    </w:p>
    <w:p w:rsidR="005D5772" w:rsidRPr="005D5772" w:rsidRDefault="005D5772" w:rsidP="005D5772">
      <w:pPr>
        <w:widowControl w:val="0"/>
        <w:ind w:left="3600" w:hanging="3600"/>
        <w:jc w:val="both"/>
        <w:rPr>
          <w:sz w:val="20"/>
          <w:szCs w:val="20"/>
          <w:lang w:val="fr-CA"/>
        </w:rPr>
      </w:pPr>
      <w:r w:rsidRPr="005D5772">
        <w:rPr>
          <w:sz w:val="20"/>
          <w:szCs w:val="20"/>
          <w:lang w:val="fr-CA"/>
        </w:rPr>
        <w:t>N</w:t>
      </w:r>
      <w:r w:rsidRPr="005D5772">
        <w:rPr>
          <w:sz w:val="20"/>
          <w:szCs w:val="20"/>
          <w:vertAlign w:val="superscript"/>
          <w:lang w:val="fr-CA"/>
        </w:rPr>
        <w:t>o</w:t>
      </w:r>
      <w:r w:rsidRPr="005D5772">
        <w:rPr>
          <w:sz w:val="20"/>
          <w:szCs w:val="20"/>
          <w:lang w:val="fr-CA"/>
        </w:rPr>
        <w:t xml:space="preserve"> du greffe :</w:t>
      </w:r>
      <w:r w:rsidRPr="005D5772">
        <w:rPr>
          <w:sz w:val="20"/>
          <w:szCs w:val="20"/>
          <w:lang w:val="fr-CA"/>
        </w:rPr>
        <w:tab/>
        <w:t>33422</w:t>
      </w:r>
    </w:p>
    <w:p w:rsidR="005D5772" w:rsidRPr="005D5772" w:rsidRDefault="005D5772" w:rsidP="005D5772">
      <w:pPr>
        <w:widowControl w:val="0"/>
        <w:ind w:left="3600" w:hanging="3600"/>
        <w:jc w:val="both"/>
        <w:rPr>
          <w:sz w:val="20"/>
          <w:szCs w:val="20"/>
          <w:lang w:val="fr-CA"/>
        </w:rPr>
      </w:pPr>
    </w:p>
    <w:p w:rsidR="005D5772" w:rsidRPr="005D5772" w:rsidRDefault="005D5772" w:rsidP="005D5772">
      <w:pPr>
        <w:widowControl w:val="0"/>
        <w:ind w:left="3600" w:hanging="3600"/>
        <w:jc w:val="both"/>
        <w:rPr>
          <w:sz w:val="20"/>
          <w:szCs w:val="20"/>
          <w:lang w:val="fr-CA"/>
        </w:rPr>
      </w:pPr>
      <w:r w:rsidRPr="005D5772">
        <w:rPr>
          <w:sz w:val="20"/>
          <w:szCs w:val="20"/>
          <w:lang w:val="fr-CA"/>
        </w:rPr>
        <w:t>Arrêt de la Cour d’appel :</w:t>
      </w:r>
      <w:r w:rsidRPr="005D5772">
        <w:rPr>
          <w:sz w:val="20"/>
          <w:szCs w:val="20"/>
          <w:lang w:val="fr-CA"/>
        </w:rPr>
        <w:tab/>
      </w:r>
      <w:r>
        <w:rPr>
          <w:sz w:val="20"/>
          <w:szCs w:val="20"/>
          <w:lang w:val="fr-CA"/>
        </w:rPr>
        <w:t>l</w:t>
      </w:r>
      <w:r w:rsidRPr="005D5772">
        <w:rPr>
          <w:sz w:val="20"/>
          <w:szCs w:val="20"/>
          <w:lang w:val="fr-CA"/>
        </w:rPr>
        <w:t>e 15 septembre 2009</w:t>
      </w:r>
    </w:p>
    <w:p w:rsidR="005D5772" w:rsidRPr="005D5772" w:rsidRDefault="005D5772" w:rsidP="005D5772">
      <w:pPr>
        <w:widowControl w:val="0"/>
        <w:ind w:left="3600" w:hanging="3600"/>
        <w:jc w:val="both"/>
        <w:rPr>
          <w:sz w:val="20"/>
          <w:szCs w:val="20"/>
          <w:lang w:val="fr-CA"/>
        </w:rPr>
      </w:pPr>
    </w:p>
    <w:p w:rsidR="005D5772" w:rsidRPr="005D5772" w:rsidRDefault="005D5772" w:rsidP="005D5772">
      <w:pPr>
        <w:widowControl w:val="0"/>
        <w:ind w:left="3600" w:hanging="3600"/>
        <w:jc w:val="both"/>
        <w:rPr>
          <w:sz w:val="20"/>
          <w:szCs w:val="20"/>
          <w:lang w:val="fr-CA"/>
        </w:rPr>
      </w:pPr>
      <w:r w:rsidRPr="005D5772">
        <w:rPr>
          <w:sz w:val="20"/>
          <w:szCs w:val="20"/>
          <w:lang w:val="fr-CA"/>
        </w:rPr>
        <w:t>Avocats :</w:t>
      </w:r>
      <w:r w:rsidRPr="005D5772">
        <w:rPr>
          <w:sz w:val="20"/>
          <w:szCs w:val="20"/>
          <w:lang w:val="fr-CA"/>
        </w:rPr>
        <w:tab/>
        <w:t xml:space="preserve">R. Paul </w:t>
      </w:r>
      <w:proofErr w:type="spellStart"/>
      <w:r w:rsidRPr="005D5772">
        <w:rPr>
          <w:sz w:val="20"/>
          <w:szCs w:val="20"/>
          <w:lang w:val="fr-CA"/>
        </w:rPr>
        <w:t>Steep</w:t>
      </w:r>
      <w:proofErr w:type="spellEnd"/>
      <w:r w:rsidRPr="005D5772">
        <w:rPr>
          <w:sz w:val="20"/>
          <w:szCs w:val="20"/>
          <w:lang w:val="fr-CA"/>
        </w:rPr>
        <w:t xml:space="preserve"> et Thomas N.T. </w:t>
      </w:r>
      <w:proofErr w:type="spellStart"/>
      <w:r w:rsidRPr="005D5772">
        <w:rPr>
          <w:sz w:val="20"/>
          <w:szCs w:val="20"/>
          <w:lang w:val="fr-CA"/>
        </w:rPr>
        <w:t>Sutton</w:t>
      </w:r>
      <w:proofErr w:type="spellEnd"/>
      <w:r w:rsidRPr="005D5772">
        <w:rPr>
          <w:sz w:val="20"/>
          <w:szCs w:val="20"/>
          <w:lang w:val="fr-CA"/>
        </w:rPr>
        <w:t xml:space="preserve"> pour l’appelante</w:t>
      </w:r>
    </w:p>
    <w:p w:rsidR="005D5772" w:rsidRPr="005D5772" w:rsidRDefault="005D5772" w:rsidP="005D5772">
      <w:pPr>
        <w:widowControl w:val="0"/>
        <w:ind w:left="3600" w:hanging="3600"/>
        <w:jc w:val="both"/>
        <w:rPr>
          <w:sz w:val="20"/>
          <w:szCs w:val="20"/>
          <w:lang w:val="fr-CA"/>
        </w:rPr>
      </w:pPr>
      <w:r w:rsidRPr="005D5772">
        <w:rPr>
          <w:sz w:val="20"/>
          <w:szCs w:val="20"/>
          <w:lang w:val="fr-CA"/>
        </w:rPr>
        <w:tab/>
      </w:r>
      <w:proofErr w:type="spellStart"/>
      <w:r w:rsidRPr="005D5772">
        <w:rPr>
          <w:sz w:val="20"/>
          <w:szCs w:val="20"/>
          <w:lang w:val="fr-CA"/>
        </w:rPr>
        <w:t>Myles</w:t>
      </w:r>
      <w:proofErr w:type="spellEnd"/>
      <w:r w:rsidRPr="005D5772">
        <w:rPr>
          <w:sz w:val="20"/>
          <w:szCs w:val="20"/>
          <w:lang w:val="fr-CA"/>
        </w:rPr>
        <w:t xml:space="preserve"> J. </w:t>
      </w:r>
      <w:proofErr w:type="spellStart"/>
      <w:r w:rsidRPr="005D5772">
        <w:rPr>
          <w:sz w:val="20"/>
          <w:szCs w:val="20"/>
          <w:lang w:val="fr-CA"/>
        </w:rPr>
        <w:t>Kirvan</w:t>
      </w:r>
      <w:proofErr w:type="spellEnd"/>
      <w:r w:rsidRPr="005D5772">
        <w:rPr>
          <w:sz w:val="20"/>
          <w:szCs w:val="20"/>
          <w:lang w:val="fr-CA"/>
        </w:rPr>
        <w:t xml:space="preserve"> pour l’intimée</w:t>
      </w:r>
    </w:p>
    <w:p w:rsidR="00307D0D" w:rsidRDefault="00307D0D" w:rsidP="00307D0D">
      <w:pPr>
        <w:jc w:val="both"/>
        <w:rPr>
          <w:sz w:val="20"/>
          <w:szCs w:val="20"/>
          <w:lang w:val="fr-CA"/>
        </w:rPr>
      </w:pPr>
    </w:p>
    <w:p w:rsidR="005F3A1E" w:rsidRDefault="00857426" w:rsidP="00307D0D">
      <w:pPr>
        <w:jc w:val="both"/>
        <w:rPr>
          <w:sz w:val="20"/>
          <w:szCs w:val="20"/>
          <w:lang w:val="fr-CA"/>
        </w:rPr>
      </w:pPr>
      <w:r w:rsidRPr="00857426">
        <w:rPr>
          <w:sz w:val="20"/>
          <w:szCs w:val="20"/>
          <w:lang w:val="fr-CA"/>
        </w:rPr>
        <w:pict>
          <v:rect id="_x0000_i1103" style="width:2in;height:1pt" o:hrpct="0" o:hralign="center" o:hrstd="t" o:hrnoshade="t" o:hr="t" fillcolor="black [3213]" stroked="f"/>
        </w:pict>
      </w:r>
    </w:p>
    <w:p w:rsidR="00307D0D" w:rsidRPr="005D5772" w:rsidRDefault="00307D0D">
      <w:pPr>
        <w:rPr>
          <w:sz w:val="20"/>
          <w:szCs w:val="20"/>
          <w:lang w:val="fr-CA"/>
        </w:rPr>
      </w:pPr>
      <w:r w:rsidRPr="005D5772">
        <w:rPr>
          <w:sz w:val="20"/>
          <w:szCs w:val="20"/>
          <w:lang w:val="fr-CA"/>
        </w:rPr>
        <w:br w:type="page"/>
      </w:r>
    </w:p>
    <w:p w:rsidR="00E6424C" w:rsidRPr="00E6424C" w:rsidRDefault="00857426" w:rsidP="00E6424C">
      <w:pPr>
        <w:widowControl w:val="0"/>
        <w:jc w:val="both"/>
        <w:rPr>
          <w:sz w:val="20"/>
          <w:szCs w:val="20"/>
        </w:rPr>
      </w:pPr>
      <w:r w:rsidRPr="00E6424C">
        <w:rPr>
          <w:b/>
          <w:sz w:val="20"/>
          <w:szCs w:val="20"/>
        </w:rPr>
        <w:lastRenderedPageBreak/>
        <w:fldChar w:fldCharType="begin"/>
      </w:r>
      <w:r w:rsidR="00E6424C" w:rsidRPr="00E6424C">
        <w:rPr>
          <w:b/>
          <w:sz w:val="20"/>
          <w:szCs w:val="20"/>
        </w:rPr>
        <w:instrText xml:space="preserve"> SEQ CHAPTER \h \r 1</w:instrText>
      </w:r>
      <w:r w:rsidRPr="00E6424C">
        <w:rPr>
          <w:b/>
          <w:sz w:val="20"/>
          <w:szCs w:val="20"/>
        </w:rPr>
        <w:fldChar w:fldCharType="end"/>
      </w:r>
      <w:r w:rsidR="00E6424C" w:rsidRPr="00E6424C">
        <w:rPr>
          <w:b/>
          <w:sz w:val="20"/>
          <w:szCs w:val="20"/>
        </w:rPr>
        <w:t>33507</w:t>
      </w:r>
      <w:r w:rsidR="00E6424C" w:rsidRPr="00E6424C">
        <w:rPr>
          <w:sz w:val="20"/>
          <w:szCs w:val="20"/>
        </w:rPr>
        <w:tab/>
      </w:r>
      <w:r w:rsidR="00E6424C" w:rsidRPr="00E6424C">
        <w:rPr>
          <w:b/>
          <w:i/>
          <w:sz w:val="20"/>
          <w:szCs w:val="20"/>
        </w:rPr>
        <w:t>Canadian Human Rights Commission et al. v. Attorney General of Canada</w:t>
      </w:r>
    </w:p>
    <w:p w:rsidR="00E6424C" w:rsidRPr="00E6424C" w:rsidRDefault="00E6424C" w:rsidP="00E6424C">
      <w:pPr>
        <w:widowControl w:val="0"/>
        <w:jc w:val="both"/>
        <w:rPr>
          <w:sz w:val="20"/>
          <w:szCs w:val="20"/>
        </w:rPr>
      </w:pPr>
    </w:p>
    <w:p w:rsidR="00E6424C" w:rsidRPr="00E6424C" w:rsidRDefault="00857426" w:rsidP="00E6424C">
      <w:pPr>
        <w:jc w:val="both"/>
        <w:rPr>
          <w:sz w:val="20"/>
          <w:szCs w:val="20"/>
        </w:rPr>
      </w:pPr>
      <w:r w:rsidRPr="00E6424C">
        <w:rPr>
          <w:sz w:val="20"/>
          <w:szCs w:val="20"/>
        </w:rPr>
        <w:fldChar w:fldCharType="begin"/>
      </w:r>
      <w:r w:rsidR="00E6424C" w:rsidRPr="00E6424C">
        <w:rPr>
          <w:sz w:val="20"/>
          <w:szCs w:val="20"/>
        </w:rPr>
        <w:instrText xml:space="preserve"> SEQ CHAPTER \h \r 1</w:instrText>
      </w:r>
      <w:r w:rsidRPr="00E6424C">
        <w:rPr>
          <w:sz w:val="20"/>
          <w:szCs w:val="20"/>
        </w:rPr>
        <w:fldChar w:fldCharType="end"/>
      </w:r>
      <w:r w:rsidR="00E6424C" w:rsidRPr="00E6424C">
        <w:rPr>
          <w:sz w:val="20"/>
          <w:szCs w:val="20"/>
        </w:rPr>
        <w:t xml:space="preserve">Human Rights - Discriminatory practices - Standard of review - Recovery of legal costs - Whether permissible - What is the appropriate standard of review of a decision of the Canadian Human Rights Tribunal as to the interpretation of paragraph 53(2)(c) of the </w:t>
      </w:r>
      <w:r w:rsidR="00E6424C" w:rsidRPr="00E6424C">
        <w:rPr>
          <w:i/>
          <w:sz w:val="20"/>
          <w:szCs w:val="20"/>
        </w:rPr>
        <w:t>Canadian Human Rights Act</w:t>
      </w:r>
      <w:r w:rsidR="00E6424C" w:rsidRPr="00E6424C">
        <w:rPr>
          <w:sz w:val="20"/>
          <w:szCs w:val="20"/>
        </w:rPr>
        <w:t>, R.S. 1985, c. H</w:t>
      </w:r>
      <w:r w:rsidR="00E6424C" w:rsidRPr="00E6424C">
        <w:rPr>
          <w:sz w:val="20"/>
          <w:szCs w:val="20"/>
        </w:rPr>
        <w:noBreakHyphen/>
        <w:t xml:space="preserve">6 - Whether paragraph 53(2)(c) of the </w:t>
      </w:r>
      <w:r w:rsidR="00E6424C" w:rsidRPr="00E6424C">
        <w:rPr>
          <w:i/>
          <w:sz w:val="20"/>
          <w:szCs w:val="20"/>
        </w:rPr>
        <w:t>Canadian Human Rights Act</w:t>
      </w:r>
      <w:r w:rsidR="00E6424C" w:rsidRPr="00E6424C">
        <w:rPr>
          <w:sz w:val="20"/>
          <w:szCs w:val="20"/>
        </w:rPr>
        <w:t xml:space="preserve"> permits the Canadian Human Rights Tribunal to award compensation for legal expenses incurred by complainants who are successful in advancing claims of discriminatory treatment in contravention of the </w:t>
      </w:r>
      <w:r w:rsidR="00E6424C" w:rsidRPr="00E6424C">
        <w:rPr>
          <w:i/>
          <w:sz w:val="20"/>
          <w:szCs w:val="20"/>
        </w:rPr>
        <w:t>Canadian Human Rights Act</w:t>
      </w:r>
      <w:r w:rsidR="00E6424C" w:rsidRPr="00E6424C">
        <w:rPr>
          <w:sz w:val="20"/>
          <w:szCs w:val="20"/>
        </w:rPr>
        <w:t>.</w:t>
      </w:r>
    </w:p>
    <w:p w:rsidR="00E6424C" w:rsidRPr="00E6424C" w:rsidRDefault="00E6424C" w:rsidP="00E6424C">
      <w:pPr>
        <w:widowControl w:val="0"/>
        <w:jc w:val="both"/>
        <w:rPr>
          <w:sz w:val="20"/>
          <w:szCs w:val="20"/>
        </w:rPr>
      </w:pPr>
    </w:p>
    <w:p w:rsidR="00E6424C" w:rsidRPr="00E6424C" w:rsidRDefault="00857426" w:rsidP="00E6424C">
      <w:pPr>
        <w:jc w:val="both"/>
        <w:rPr>
          <w:sz w:val="20"/>
          <w:szCs w:val="20"/>
        </w:rPr>
      </w:pPr>
      <w:r w:rsidRPr="00E6424C">
        <w:rPr>
          <w:sz w:val="20"/>
          <w:szCs w:val="20"/>
        </w:rPr>
        <w:fldChar w:fldCharType="begin"/>
      </w:r>
      <w:r w:rsidR="00E6424C" w:rsidRPr="00E6424C">
        <w:rPr>
          <w:sz w:val="20"/>
          <w:szCs w:val="20"/>
        </w:rPr>
        <w:instrText xml:space="preserve"> SEQ CHAPTER \h \r 1</w:instrText>
      </w:r>
      <w:r w:rsidRPr="00E6424C">
        <w:rPr>
          <w:sz w:val="20"/>
          <w:szCs w:val="20"/>
        </w:rPr>
        <w:fldChar w:fldCharType="end"/>
      </w:r>
      <w:r w:rsidR="00E6424C" w:rsidRPr="00E6424C">
        <w:rPr>
          <w:sz w:val="20"/>
          <w:szCs w:val="20"/>
        </w:rPr>
        <w:t xml:space="preserve">The Appellant Donna </w:t>
      </w:r>
      <w:proofErr w:type="spellStart"/>
      <w:r w:rsidR="00E6424C" w:rsidRPr="00E6424C">
        <w:rPr>
          <w:sz w:val="20"/>
          <w:szCs w:val="20"/>
        </w:rPr>
        <w:t>Mowat</w:t>
      </w:r>
      <w:proofErr w:type="spellEnd"/>
      <w:r w:rsidR="00E6424C" w:rsidRPr="00E6424C">
        <w:rPr>
          <w:sz w:val="20"/>
          <w:szCs w:val="20"/>
        </w:rPr>
        <w:t xml:space="preserve"> filed a human rights complaint with the Appellant Canadian Human Rights Commission alleging discrimination on the ground of sex, contrary to the provisions of the </w:t>
      </w:r>
      <w:r w:rsidR="00E6424C" w:rsidRPr="00E6424C">
        <w:rPr>
          <w:i/>
          <w:sz w:val="20"/>
          <w:szCs w:val="20"/>
        </w:rPr>
        <w:t>Canadian Human Rights Act</w:t>
      </w:r>
      <w:r w:rsidR="00E6424C" w:rsidRPr="00E6424C">
        <w:rPr>
          <w:sz w:val="20"/>
          <w:szCs w:val="20"/>
        </w:rPr>
        <w:t>, R.S. 1985, c. H</w:t>
      </w:r>
      <w:r w:rsidR="00E6424C" w:rsidRPr="00E6424C">
        <w:rPr>
          <w:sz w:val="20"/>
          <w:szCs w:val="20"/>
        </w:rPr>
        <w:noBreakHyphen/>
        <w:t>6 (the “CHRA”).  The Canadian Human Rights Tribunal (the “Tribunal”) found that the sexual harassment complaint was substantiated and awarded Ms. </w:t>
      </w:r>
      <w:proofErr w:type="spellStart"/>
      <w:r w:rsidR="00E6424C" w:rsidRPr="00E6424C">
        <w:rPr>
          <w:sz w:val="20"/>
          <w:szCs w:val="20"/>
        </w:rPr>
        <w:t>Mowat</w:t>
      </w:r>
      <w:proofErr w:type="spellEnd"/>
      <w:r w:rsidR="00E6424C" w:rsidRPr="00E6424C">
        <w:rPr>
          <w:sz w:val="20"/>
          <w:szCs w:val="20"/>
        </w:rPr>
        <w:t xml:space="preserve"> damages for pain and suffering in the amount of $4,000 plus interest.  Ms. </w:t>
      </w:r>
      <w:proofErr w:type="spellStart"/>
      <w:r w:rsidR="00E6424C" w:rsidRPr="00E6424C">
        <w:rPr>
          <w:sz w:val="20"/>
          <w:szCs w:val="20"/>
        </w:rPr>
        <w:t>Mowat</w:t>
      </w:r>
      <w:proofErr w:type="spellEnd"/>
      <w:r w:rsidR="00E6424C" w:rsidRPr="00E6424C">
        <w:rPr>
          <w:sz w:val="20"/>
          <w:szCs w:val="20"/>
        </w:rPr>
        <w:t xml:space="preserve"> also sought compensation for legal expenses.  The Tribunal found that it had jurisdiction to award legal costs under subsection 53(2</w:t>
      </w:r>
      <w:proofErr w:type="gramStart"/>
      <w:r w:rsidR="00E6424C" w:rsidRPr="00E6424C">
        <w:rPr>
          <w:sz w:val="20"/>
          <w:szCs w:val="20"/>
        </w:rPr>
        <w:t>)(</w:t>
      </w:r>
      <w:proofErr w:type="gramEnd"/>
      <w:r w:rsidR="00E6424C" w:rsidRPr="00E6424C">
        <w:rPr>
          <w:sz w:val="20"/>
          <w:szCs w:val="20"/>
        </w:rPr>
        <w:t>c) of the CHRA and awarded Ms. </w:t>
      </w:r>
      <w:proofErr w:type="spellStart"/>
      <w:r w:rsidR="00E6424C" w:rsidRPr="00E6424C">
        <w:rPr>
          <w:sz w:val="20"/>
          <w:szCs w:val="20"/>
        </w:rPr>
        <w:t>Mowat</w:t>
      </w:r>
      <w:proofErr w:type="spellEnd"/>
      <w:r w:rsidR="00E6424C" w:rsidRPr="00E6424C">
        <w:rPr>
          <w:sz w:val="20"/>
          <w:szCs w:val="20"/>
        </w:rPr>
        <w:t xml:space="preserve"> the amount of $47,000 for legal costs with interest from the date of the decision to the date of payment of the award. </w:t>
      </w:r>
    </w:p>
    <w:p w:rsidR="00E6424C" w:rsidRPr="00E6424C" w:rsidRDefault="00E6424C" w:rsidP="00E6424C">
      <w:pPr>
        <w:jc w:val="both"/>
        <w:rPr>
          <w:sz w:val="20"/>
          <w:szCs w:val="20"/>
        </w:rPr>
      </w:pPr>
    </w:p>
    <w:p w:rsidR="00E6424C" w:rsidRPr="00E6424C" w:rsidRDefault="00E6424C" w:rsidP="00E6424C">
      <w:pPr>
        <w:jc w:val="both"/>
        <w:rPr>
          <w:sz w:val="20"/>
          <w:szCs w:val="20"/>
        </w:rPr>
      </w:pPr>
      <w:r w:rsidRPr="00E6424C">
        <w:rPr>
          <w:sz w:val="20"/>
          <w:szCs w:val="20"/>
        </w:rPr>
        <w:t xml:space="preserve">The Respondent Attorney General of Canada applied to the Federal Court for judicial review of the decision of the Tribunal with respect to the Tribunal’s jurisdiction to award legal costs.  The Federal Court held that the standard of review of the Tribunal’s decision was reasonableness </w:t>
      </w:r>
      <w:proofErr w:type="spellStart"/>
      <w:r w:rsidRPr="00E6424C">
        <w:rPr>
          <w:i/>
          <w:sz w:val="20"/>
          <w:szCs w:val="20"/>
        </w:rPr>
        <w:t>simpliciter</w:t>
      </w:r>
      <w:proofErr w:type="spellEnd"/>
      <w:r w:rsidRPr="00E6424C">
        <w:rPr>
          <w:sz w:val="20"/>
          <w:szCs w:val="20"/>
        </w:rPr>
        <w:t xml:space="preserve"> and that the Tribunal’s determination that it had the authority to award costs was reasonable, but quashed the decision as it found that the Tribunal breached the principles of procedural fairness by failing to provide adequate reasons to justify the award of legal costs.  The Attorney General of Canada appealed to the Federal Court of Appeal.  The Federal Court of Appeal allowed the appeal and set aside the judgment of the Federal Court.  It held that the Tribunal has no authority to make an award of costs under the provisions of the CHRA.</w:t>
      </w:r>
    </w:p>
    <w:p w:rsidR="00E6424C" w:rsidRPr="00E6424C" w:rsidRDefault="00E6424C" w:rsidP="00E6424C">
      <w:pPr>
        <w:widowControl w:val="0"/>
        <w:jc w:val="both"/>
        <w:rPr>
          <w:sz w:val="20"/>
          <w:szCs w:val="20"/>
        </w:rPr>
      </w:pPr>
    </w:p>
    <w:p w:rsidR="00E6424C" w:rsidRPr="00E6424C" w:rsidRDefault="00E6424C" w:rsidP="00E6424C">
      <w:pPr>
        <w:widowControl w:val="0"/>
        <w:jc w:val="both"/>
        <w:rPr>
          <w:sz w:val="20"/>
          <w:szCs w:val="20"/>
        </w:rPr>
      </w:pPr>
    </w:p>
    <w:p w:rsidR="00E6424C" w:rsidRPr="00E6424C" w:rsidRDefault="00E6424C" w:rsidP="00E6424C">
      <w:pPr>
        <w:widowControl w:val="0"/>
        <w:ind w:left="3600" w:hanging="3600"/>
        <w:jc w:val="both"/>
        <w:rPr>
          <w:sz w:val="20"/>
          <w:szCs w:val="20"/>
        </w:rPr>
      </w:pPr>
      <w:r w:rsidRPr="00E6424C">
        <w:rPr>
          <w:sz w:val="20"/>
          <w:szCs w:val="20"/>
        </w:rPr>
        <w:t>Origin of the case:</w:t>
      </w:r>
      <w:r w:rsidRPr="00E6424C">
        <w:rPr>
          <w:sz w:val="20"/>
          <w:szCs w:val="20"/>
        </w:rPr>
        <w:tab/>
        <w:t>Federal Court</w:t>
      </w:r>
      <w:r w:rsidR="0062594C">
        <w:rPr>
          <w:sz w:val="20"/>
          <w:szCs w:val="20"/>
        </w:rPr>
        <w:t xml:space="preserve"> of Appeal</w:t>
      </w:r>
    </w:p>
    <w:p w:rsidR="00E6424C" w:rsidRPr="00E6424C" w:rsidRDefault="00E6424C" w:rsidP="00E6424C">
      <w:pPr>
        <w:widowControl w:val="0"/>
        <w:ind w:left="3600" w:hanging="3600"/>
        <w:jc w:val="both"/>
        <w:rPr>
          <w:sz w:val="20"/>
          <w:szCs w:val="20"/>
        </w:rPr>
      </w:pPr>
    </w:p>
    <w:p w:rsidR="00E6424C" w:rsidRPr="00E6424C" w:rsidRDefault="00E6424C" w:rsidP="00E6424C">
      <w:pPr>
        <w:widowControl w:val="0"/>
        <w:ind w:left="3600" w:hanging="3600"/>
        <w:jc w:val="both"/>
        <w:rPr>
          <w:sz w:val="20"/>
          <w:szCs w:val="20"/>
        </w:rPr>
      </w:pPr>
      <w:r w:rsidRPr="00E6424C">
        <w:rPr>
          <w:sz w:val="20"/>
          <w:szCs w:val="20"/>
        </w:rPr>
        <w:t>File No.:</w:t>
      </w:r>
      <w:r w:rsidRPr="00E6424C">
        <w:rPr>
          <w:sz w:val="20"/>
          <w:szCs w:val="20"/>
        </w:rPr>
        <w:tab/>
        <w:t>33507</w:t>
      </w:r>
    </w:p>
    <w:p w:rsidR="00E6424C" w:rsidRPr="00E6424C" w:rsidRDefault="00E6424C" w:rsidP="00E6424C">
      <w:pPr>
        <w:widowControl w:val="0"/>
        <w:ind w:left="3600" w:hanging="3600"/>
        <w:jc w:val="both"/>
        <w:rPr>
          <w:sz w:val="20"/>
          <w:szCs w:val="20"/>
        </w:rPr>
      </w:pPr>
    </w:p>
    <w:p w:rsidR="00E6424C" w:rsidRPr="00E6424C" w:rsidRDefault="00E6424C" w:rsidP="00E6424C">
      <w:pPr>
        <w:widowControl w:val="0"/>
        <w:ind w:left="3600" w:hanging="3600"/>
        <w:jc w:val="both"/>
        <w:rPr>
          <w:sz w:val="20"/>
          <w:szCs w:val="20"/>
        </w:rPr>
      </w:pPr>
      <w:r w:rsidRPr="00E6424C">
        <w:rPr>
          <w:sz w:val="20"/>
          <w:szCs w:val="20"/>
        </w:rPr>
        <w:t>Judgment of the Court of Appeal:</w:t>
      </w:r>
      <w:r w:rsidRPr="00E6424C">
        <w:rPr>
          <w:sz w:val="20"/>
          <w:szCs w:val="20"/>
        </w:rPr>
        <w:tab/>
        <w:t>October 26, 2009</w:t>
      </w:r>
    </w:p>
    <w:p w:rsidR="00E6424C" w:rsidRPr="00E6424C" w:rsidRDefault="00E6424C" w:rsidP="00E6424C">
      <w:pPr>
        <w:widowControl w:val="0"/>
        <w:ind w:left="3600" w:hanging="3600"/>
        <w:jc w:val="both"/>
        <w:rPr>
          <w:sz w:val="20"/>
          <w:szCs w:val="20"/>
        </w:rPr>
      </w:pPr>
    </w:p>
    <w:p w:rsidR="00E6424C" w:rsidRPr="00E6424C" w:rsidRDefault="00E6424C" w:rsidP="00E6424C">
      <w:pPr>
        <w:widowControl w:val="0"/>
        <w:ind w:left="3600" w:hanging="3600"/>
        <w:jc w:val="both"/>
        <w:rPr>
          <w:sz w:val="20"/>
          <w:szCs w:val="20"/>
        </w:rPr>
      </w:pPr>
      <w:r w:rsidRPr="00E6424C">
        <w:rPr>
          <w:sz w:val="20"/>
          <w:szCs w:val="20"/>
        </w:rPr>
        <w:t>Counsel:</w:t>
      </w:r>
      <w:r w:rsidRPr="00E6424C">
        <w:rPr>
          <w:sz w:val="20"/>
          <w:szCs w:val="20"/>
        </w:rPr>
        <w:tab/>
        <w:t xml:space="preserve">Philippe </w:t>
      </w:r>
      <w:proofErr w:type="spellStart"/>
      <w:r w:rsidRPr="00E6424C">
        <w:rPr>
          <w:sz w:val="20"/>
          <w:szCs w:val="20"/>
        </w:rPr>
        <w:t>Dufresne</w:t>
      </w:r>
      <w:proofErr w:type="spellEnd"/>
      <w:r w:rsidRPr="00E6424C">
        <w:rPr>
          <w:sz w:val="20"/>
          <w:szCs w:val="20"/>
        </w:rPr>
        <w:t xml:space="preserve"> and Daniel </w:t>
      </w:r>
      <w:proofErr w:type="spellStart"/>
      <w:r w:rsidRPr="00E6424C">
        <w:rPr>
          <w:sz w:val="20"/>
          <w:szCs w:val="20"/>
        </w:rPr>
        <w:t>Poulin</w:t>
      </w:r>
      <w:proofErr w:type="spellEnd"/>
      <w:r w:rsidRPr="00E6424C">
        <w:rPr>
          <w:sz w:val="20"/>
          <w:szCs w:val="20"/>
        </w:rPr>
        <w:t xml:space="preserve"> for the Appellant Canadian Human Rights Commission</w:t>
      </w:r>
    </w:p>
    <w:p w:rsidR="00E6424C" w:rsidRPr="00E6424C" w:rsidRDefault="00E6424C" w:rsidP="00E6424C">
      <w:pPr>
        <w:widowControl w:val="0"/>
        <w:ind w:left="3600" w:hanging="3600"/>
        <w:jc w:val="both"/>
        <w:rPr>
          <w:sz w:val="20"/>
          <w:szCs w:val="20"/>
        </w:rPr>
      </w:pPr>
      <w:r w:rsidRPr="00E6424C">
        <w:rPr>
          <w:sz w:val="20"/>
          <w:szCs w:val="20"/>
        </w:rPr>
        <w:tab/>
        <w:t xml:space="preserve">Andrew Raven, Andrew </w:t>
      </w:r>
      <w:proofErr w:type="spellStart"/>
      <w:r w:rsidRPr="00E6424C">
        <w:rPr>
          <w:sz w:val="20"/>
          <w:szCs w:val="20"/>
        </w:rPr>
        <w:t>Astritis</w:t>
      </w:r>
      <w:proofErr w:type="spellEnd"/>
      <w:r w:rsidRPr="00E6424C">
        <w:rPr>
          <w:sz w:val="20"/>
          <w:szCs w:val="20"/>
        </w:rPr>
        <w:t xml:space="preserve"> and </w:t>
      </w:r>
      <w:proofErr w:type="spellStart"/>
      <w:r w:rsidRPr="00E6424C">
        <w:rPr>
          <w:sz w:val="20"/>
          <w:szCs w:val="20"/>
        </w:rPr>
        <w:t>Bijon</w:t>
      </w:r>
      <w:proofErr w:type="spellEnd"/>
      <w:r w:rsidRPr="00E6424C">
        <w:rPr>
          <w:sz w:val="20"/>
          <w:szCs w:val="20"/>
        </w:rPr>
        <w:t xml:space="preserve"> Roy for the Appellant Donna </w:t>
      </w:r>
      <w:proofErr w:type="spellStart"/>
      <w:r w:rsidRPr="00E6424C">
        <w:rPr>
          <w:sz w:val="20"/>
          <w:szCs w:val="20"/>
        </w:rPr>
        <w:t>Mowat</w:t>
      </w:r>
      <w:proofErr w:type="spellEnd"/>
    </w:p>
    <w:p w:rsidR="00E6424C" w:rsidRDefault="00E6424C" w:rsidP="00E6424C">
      <w:pPr>
        <w:widowControl w:val="0"/>
        <w:ind w:left="3600" w:hanging="3600"/>
        <w:jc w:val="both"/>
        <w:rPr>
          <w:sz w:val="20"/>
          <w:szCs w:val="20"/>
        </w:rPr>
      </w:pPr>
      <w:r w:rsidRPr="00E6424C">
        <w:rPr>
          <w:sz w:val="20"/>
          <w:szCs w:val="20"/>
        </w:rPr>
        <w:tab/>
        <w:t xml:space="preserve">Peter Southey and Sean </w:t>
      </w:r>
      <w:proofErr w:type="spellStart"/>
      <w:r w:rsidRPr="00E6424C">
        <w:rPr>
          <w:sz w:val="20"/>
          <w:szCs w:val="20"/>
        </w:rPr>
        <w:t>Gaudet</w:t>
      </w:r>
      <w:proofErr w:type="spellEnd"/>
      <w:r w:rsidRPr="00E6424C">
        <w:rPr>
          <w:sz w:val="20"/>
          <w:szCs w:val="20"/>
        </w:rPr>
        <w:t xml:space="preserve"> for the Respondent</w:t>
      </w:r>
    </w:p>
    <w:p w:rsidR="00E6424C" w:rsidRDefault="00E6424C" w:rsidP="00E6424C">
      <w:pPr>
        <w:widowControl w:val="0"/>
        <w:ind w:left="3600" w:hanging="3600"/>
        <w:jc w:val="both"/>
        <w:rPr>
          <w:sz w:val="20"/>
          <w:szCs w:val="20"/>
        </w:rPr>
      </w:pPr>
    </w:p>
    <w:p w:rsidR="00307D0D" w:rsidRDefault="00857426" w:rsidP="00307D0D">
      <w:pPr>
        <w:jc w:val="both"/>
        <w:rPr>
          <w:sz w:val="20"/>
          <w:szCs w:val="20"/>
          <w:lang w:val="fr-CA"/>
        </w:rPr>
      </w:pPr>
      <w:r w:rsidRPr="00857426">
        <w:rPr>
          <w:sz w:val="20"/>
          <w:szCs w:val="20"/>
          <w:lang w:val="fr-CA"/>
        </w:rPr>
        <w:pict>
          <v:rect id="_x0000_i1104" style="width:2in;height:1pt" o:hrpct="0" o:hralign="center" o:hrstd="t" o:hrnoshade="t" o:hr="t" fillcolor="black [3213]" stroked="f"/>
        </w:pict>
      </w:r>
    </w:p>
    <w:p w:rsidR="00E6424C" w:rsidRDefault="00E6424C">
      <w:pPr>
        <w:rPr>
          <w:sz w:val="20"/>
          <w:szCs w:val="20"/>
        </w:rPr>
      </w:pPr>
      <w:r>
        <w:rPr>
          <w:sz w:val="20"/>
          <w:szCs w:val="20"/>
        </w:rPr>
        <w:br w:type="page"/>
      </w:r>
    </w:p>
    <w:p w:rsidR="00E6424C" w:rsidRPr="00E6424C" w:rsidRDefault="00857426" w:rsidP="00E6424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lang w:val="fr-CA"/>
        </w:rPr>
      </w:pPr>
      <w:r w:rsidRPr="00E6424C">
        <w:rPr>
          <w:b/>
          <w:sz w:val="20"/>
          <w:szCs w:val="20"/>
          <w:lang w:val="fr-CA"/>
        </w:rPr>
        <w:lastRenderedPageBreak/>
        <w:fldChar w:fldCharType="begin"/>
      </w:r>
      <w:r w:rsidR="00E6424C" w:rsidRPr="00E6424C">
        <w:rPr>
          <w:b/>
          <w:sz w:val="20"/>
          <w:szCs w:val="20"/>
          <w:lang w:val="fr-CA"/>
        </w:rPr>
        <w:instrText xml:space="preserve"> SEQ CHAPTER \h \r 1</w:instrText>
      </w:r>
      <w:r w:rsidRPr="00E6424C">
        <w:rPr>
          <w:b/>
          <w:sz w:val="20"/>
          <w:szCs w:val="20"/>
          <w:lang w:val="fr-CA"/>
        </w:rPr>
        <w:fldChar w:fldCharType="end"/>
      </w:r>
      <w:r w:rsidR="00E6424C" w:rsidRPr="00E6424C">
        <w:rPr>
          <w:b/>
          <w:sz w:val="20"/>
          <w:szCs w:val="20"/>
          <w:lang w:val="fr-CA"/>
        </w:rPr>
        <w:t>33507</w:t>
      </w:r>
      <w:r w:rsidR="00E6424C" w:rsidRPr="00E6424C">
        <w:rPr>
          <w:sz w:val="20"/>
          <w:szCs w:val="20"/>
          <w:lang w:val="fr-CA"/>
        </w:rPr>
        <w:tab/>
      </w:r>
      <w:r w:rsidR="00E6424C" w:rsidRPr="00E6424C">
        <w:rPr>
          <w:b/>
          <w:i/>
          <w:sz w:val="20"/>
          <w:szCs w:val="20"/>
          <w:lang w:val="fr-CA"/>
        </w:rPr>
        <w:t>Commission canadienne des droits de la personne et a</w:t>
      </w:r>
      <w:r w:rsidR="0062594C">
        <w:rPr>
          <w:b/>
          <w:i/>
          <w:sz w:val="20"/>
          <w:szCs w:val="20"/>
          <w:lang w:val="fr-CA"/>
        </w:rPr>
        <w:t>utre</w:t>
      </w:r>
      <w:r w:rsidR="00E6424C" w:rsidRPr="00E6424C">
        <w:rPr>
          <w:b/>
          <w:i/>
          <w:sz w:val="20"/>
          <w:szCs w:val="20"/>
          <w:lang w:val="fr-CA"/>
        </w:rPr>
        <w:t xml:space="preserve"> c. Procureur général du Canada</w:t>
      </w:r>
    </w:p>
    <w:p w:rsidR="00E6424C" w:rsidRPr="00E6424C" w:rsidRDefault="00E6424C" w:rsidP="00E6424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lang w:val="fr-CA"/>
        </w:rPr>
      </w:pPr>
    </w:p>
    <w:p w:rsidR="00E6424C" w:rsidRPr="00E6424C" w:rsidRDefault="00E6424C" w:rsidP="00E6424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lang w:val="fr-CA"/>
        </w:rPr>
      </w:pPr>
      <w:r w:rsidRPr="00E6424C">
        <w:rPr>
          <w:sz w:val="20"/>
          <w:szCs w:val="20"/>
          <w:lang w:val="fr-CA"/>
        </w:rPr>
        <w:t xml:space="preserve">Droits de la personne - Pratiques discriminatoires - Norme de contrôle - Recouvrement des frais de justice - Est-ce permissible? - Quelle norme de contrôle </w:t>
      </w:r>
      <w:proofErr w:type="spellStart"/>
      <w:r w:rsidRPr="00E6424C">
        <w:rPr>
          <w:sz w:val="20"/>
          <w:szCs w:val="20"/>
          <w:lang w:val="fr-CA"/>
        </w:rPr>
        <w:t>faut</w:t>
      </w:r>
      <w:r w:rsidRPr="00E6424C">
        <w:rPr>
          <w:sz w:val="20"/>
          <w:szCs w:val="20"/>
          <w:lang w:val="fr-CA"/>
        </w:rPr>
        <w:noBreakHyphen/>
        <w:t>il</w:t>
      </w:r>
      <w:proofErr w:type="spellEnd"/>
      <w:r w:rsidRPr="00E6424C">
        <w:rPr>
          <w:sz w:val="20"/>
          <w:szCs w:val="20"/>
          <w:lang w:val="fr-CA"/>
        </w:rPr>
        <w:t xml:space="preserve"> appliquer à une décision du Tribunal canadien des droits de la personne quant à l’interprétation de l’alinéa 53(2) c) de la </w:t>
      </w:r>
      <w:r w:rsidRPr="00E6424C">
        <w:rPr>
          <w:i/>
          <w:sz w:val="20"/>
          <w:szCs w:val="20"/>
          <w:lang w:val="fr-CA"/>
        </w:rPr>
        <w:t>Loi canadienne sur les droits de la personne</w:t>
      </w:r>
      <w:r w:rsidRPr="00E6424C">
        <w:rPr>
          <w:sz w:val="20"/>
          <w:szCs w:val="20"/>
          <w:lang w:val="fr-CA"/>
        </w:rPr>
        <w:t>, L.R.C. 1985, ch. H</w:t>
      </w:r>
      <w:r w:rsidRPr="00E6424C">
        <w:rPr>
          <w:sz w:val="20"/>
          <w:szCs w:val="20"/>
          <w:lang w:val="fr-CA"/>
        </w:rPr>
        <w:noBreakHyphen/>
        <w:t xml:space="preserve">6? - L’alinéa 53(2) c) de la </w:t>
      </w:r>
      <w:r w:rsidRPr="00E6424C">
        <w:rPr>
          <w:i/>
          <w:sz w:val="20"/>
          <w:szCs w:val="20"/>
          <w:lang w:val="fr-CA"/>
        </w:rPr>
        <w:t>Loi canadienne sur les droits de la personne</w:t>
      </w:r>
      <w:r w:rsidRPr="00E6424C">
        <w:rPr>
          <w:sz w:val="20"/>
          <w:szCs w:val="20"/>
          <w:lang w:val="fr-CA"/>
        </w:rPr>
        <w:t xml:space="preserve"> </w:t>
      </w:r>
      <w:proofErr w:type="spellStart"/>
      <w:r w:rsidRPr="00E6424C">
        <w:rPr>
          <w:sz w:val="20"/>
          <w:szCs w:val="20"/>
          <w:lang w:val="fr-CA"/>
        </w:rPr>
        <w:t>permet</w:t>
      </w:r>
      <w:r w:rsidRPr="00E6424C">
        <w:rPr>
          <w:sz w:val="20"/>
          <w:szCs w:val="20"/>
          <w:lang w:val="fr-CA"/>
        </w:rPr>
        <w:noBreakHyphen/>
        <w:t>il</w:t>
      </w:r>
      <w:proofErr w:type="spellEnd"/>
      <w:r w:rsidRPr="00E6424C">
        <w:rPr>
          <w:sz w:val="20"/>
          <w:szCs w:val="20"/>
          <w:lang w:val="fr-CA"/>
        </w:rPr>
        <w:t xml:space="preserve"> au Tribunal canadien des droits de la personne d’accorder une indemnité pour les frais de justice engagés par des plaignants qui réussissent à faire valoir des allégations de traitement discriminatoire en contravention de la </w:t>
      </w:r>
      <w:r w:rsidRPr="00E6424C">
        <w:rPr>
          <w:i/>
          <w:sz w:val="20"/>
          <w:szCs w:val="20"/>
          <w:lang w:val="fr-CA"/>
        </w:rPr>
        <w:t>Loi canadienne sur les droits de la personne</w:t>
      </w:r>
      <w:r w:rsidRPr="00E6424C">
        <w:rPr>
          <w:sz w:val="20"/>
          <w:szCs w:val="20"/>
          <w:lang w:val="fr-CA"/>
        </w:rPr>
        <w:t>?</w:t>
      </w:r>
    </w:p>
    <w:p w:rsidR="00E6424C" w:rsidRPr="00E6424C" w:rsidRDefault="00E6424C" w:rsidP="00E6424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lang w:val="fr-CA"/>
        </w:rPr>
      </w:pPr>
    </w:p>
    <w:p w:rsidR="00E6424C" w:rsidRPr="00E6424C" w:rsidRDefault="00E6424C" w:rsidP="00E6424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lang w:val="fr-CA"/>
        </w:rPr>
      </w:pPr>
      <w:r w:rsidRPr="00E6424C">
        <w:rPr>
          <w:sz w:val="20"/>
          <w:szCs w:val="20"/>
          <w:lang w:val="fr-CA"/>
        </w:rPr>
        <w:t xml:space="preserve">Donna </w:t>
      </w:r>
      <w:proofErr w:type="spellStart"/>
      <w:r w:rsidRPr="00E6424C">
        <w:rPr>
          <w:sz w:val="20"/>
          <w:szCs w:val="20"/>
          <w:lang w:val="fr-CA"/>
        </w:rPr>
        <w:t>Mowat</w:t>
      </w:r>
      <w:proofErr w:type="spellEnd"/>
      <w:r w:rsidRPr="00E6424C">
        <w:rPr>
          <w:sz w:val="20"/>
          <w:szCs w:val="20"/>
          <w:lang w:val="fr-CA"/>
        </w:rPr>
        <w:t xml:space="preserve">, appelante, a déposé auprès de la Commission canadienne des droits de la personne, appelante, une plainte en matière de droits de la personne alléguant une discrimination fondée sur le sexe, en contravention de la </w:t>
      </w:r>
      <w:r w:rsidRPr="00E6424C">
        <w:rPr>
          <w:i/>
          <w:sz w:val="20"/>
          <w:szCs w:val="20"/>
          <w:lang w:val="fr-CA"/>
        </w:rPr>
        <w:t>Loi canadienne sur les droits de la personne</w:t>
      </w:r>
      <w:r w:rsidRPr="00E6424C">
        <w:rPr>
          <w:sz w:val="20"/>
          <w:szCs w:val="20"/>
          <w:lang w:val="fr-CA"/>
        </w:rPr>
        <w:t>, L.R.C. 1985, ch. H</w:t>
      </w:r>
      <w:r w:rsidRPr="00E6424C">
        <w:rPr>
          <w:sz w:val="20"/>
          <w:szCs w:val="20"/>
          <w:lang w:val="fr-CA"/>
        </w:rPr>
        <w:noBreakHyphen/>
        <w:t>6 (la « </w:t>
      </w:r>
      <w:r w:rsidRPr="00E6424C">
        <w:rPr>
          <w:i/>
          <w:sz w:val="20"/>
          <w:szCs w:val="20"/>
          <w:lang w:val="fr-CA"/>
        </w:rPr>
        <w:t>LCDP</w:t>
      </w:r>
      <w:r w:rsidRPr="00E6424C">
        <w:rPr>
          <w:sz w:val="20"/>
          <w:szCs w:val="20"/>
          <w:lang w:val="fr-CA"/>
        </w:rPr>
        <w:t> »).  Le Tribunal canadien des droits de la personne (le « Tribunal ») a conclu que la plainte de harcèlement sexuel était fondée et accordé à M</w:t>
      </w:r>
      <w:r w:rsidRPr="00E6424C">
        <w:rPr>
          <w:sz w:val="20"/>
          <w:szCs w:val="20"/>
          <w:vertAlign w:val="superscript"/>
          <w:lang w:val="fr-CA"/>
        </w:rPr>
        <w:t>me</w:t>
      </w:r>
      <w:r w:rsidRPr="00E6424C">
        <w:rPr>
          <w:sz w:val="20"/>
          <w:szCs w:val="20"/>
          <w:lang w:val="fr-CA"/>
        </w:rPr>
        <w:t> </w:t>
      </w:r>
      <w:proofErr w:type="spellStart"/>
      <w:r w:rsidRPr="00E6424C">
        <w:rPr>
          <w:sz w:val="20"/>
          <w:szCs w:val="20"/>
          <w:lang w:val="fr-CA"/>
        </w:rPr>
        <w:t>Mowat</w:t>
      </w:r>
      <w:proofErr w:type="spellEnd"/>
      <w:r w:rsidRPr="00E6424C">
        <w:rPr>
          <w:sz w:val="20"/>
          <w:szCs w:val="20"/>
          <w:lang w:val="fr-CA"/>
        </w:rPr>
        <w:t xml:space="preserve"> des </w:t>
      </w:r>
      <w:proofErr w:type="spellStart"/>
      <w:r w:rsidRPr="00E6424C">
        <w:rPr>
          <w:sz w:val="20"/>
          <w:szCs w:val="20"/>
          <w:lang w:val="fr-CA"/>
        </w:rPr>
        <w:t>dommages</w:t>
      </w:r>
      <w:r w:rsidRPr="00E6424C">
        <w:rPr>
          <w:sz w:val="20"/>
          <w:szCs w:val="20"/>
          <w:lang w:val="fr-CA"/>
        </w:rPr>
        <w:noBreakHyphen/>
        <w:t>intérêts</w:t>
      </w:r>
      <w:proofErr w:type="spellEnd"/>
      <w:r w:rsidRPr="00E6424C">
        <w:rPr>
          <w:sz w:val="20"/>
          <w:szCs w:val="20"/>
          <w:lang w:val="fr-CA"/>
        </w:rPr>
        <w:t xml:space="preserve"> pour préjudice moral au montant de 4 000 $ plus les intérêts.  Madame </w:t>
      </w:r>
      <w:proofErr w:type="spellStart"/>
      <w:r w:rsidRPr="00E6424C">
        <w:rPr>
          <w:sz w:val="20"/>
          <w:szCs w:val="20"/>
          <w:lang w:val="fr-CA"/>
        </w:rPr>
        <w:t>Mowat</w:t>
      </w:r>
      <w:proofErr w:type="spellEnd"/>
      <w:r w:rsidRPr="00E6424C">
        <w:rPr>
          <w:sz w:val="20"/>
          <w:szCs w:val="20"/>
          <w:lang w:val="fr-CA"/>
        </w:rPr>
        <w:t xml:space="preserve"> a aussi demandé à être indemnisée des frais de justice.  Le Tribunal a conclu qu’il avait compétence pour accorder les dépens en vertu de l’alinéa 53(2) c) de la </w:t>
      </w:r>
      <w:r w:rsidRPr="00E6424C">
        <w:rPr>
          <w:i/>
          <w:sz w:val="20"/>
          <w:szCs w:val="20"/>
          <w:lang w:val="fr-CA"/>
        </w:rPr>
        <w:t>LCDP</w:t>
      </w:r>
      <w:r w:rsidRPr="00E6424C">
        <w:rPr>
          <w:sz w:val="20"/>
          <w:szCs w:val="20"/>
          <w:lang w:val="fr-CA"/>
        </w:rPr>
        <w:t xml:space="preserve"> et a accordé à M</w:t>
      </w:r>
      <w:r w:rsidRPr="00E6424C">
        <w:rPr>
          <w:sz w:val="20"/>
          <w:szCs w:val="20"/>
          <w:vertAlign w:val="superscript"/>
          <w:lang w:val="fr-CA"/>
        </w:rPr>
        <w:t>me</w:t>
      </w:r>
      <w:r w:rsidRPr="00E6424C">
        <w:rPr>
          <w:sz w:val="20"/>
          <w:szCs w:val="20"/>
          <w:lang w:val="fr-CA"/>
        </w:rPr>
        <w:t> </w:t>
      </w:r>
      <w:proofErr w:type="spellStart"/>
      <w:r w:rsidRPr="00E6424C">
        <w:rPr>
          <w:sz w:val="20"/>
          <w:szCs w:val="20"/>
          <w:lang w:val="fr-CA"/>
        </w:rPr>
        <w:t>Mowat</w:t>
      </w:r>
      <w:proofErr w:type="spellEnd"/>
      <w:r w:rsidRPr="00E6424C">
        <w:rPr>
          <w:sz w:val="20"/>
          <w:szCs w:val="20"/>
          <w:lang w:val="fr-CA"/>
        </w:rPr>
        <w:t xml:space="preserve"> la somme de 47 000 $ à titre de frais de justice, avec les intérêts à compter de la date de la décision jusqu’à la date du paiement du montant accordé.</w:t>
      </w:r>
    </w:p>
    <w:p w:rsidR="00E6424C" w:rsidRPr="00E6424C" w:rsidRDefault="00E6424C" w:rsidP="00E6424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lang w:val="fr-CA"/>
        </w:rPr>
      </w:pPr>
    </w:p>
    <w:p w:rsidR="00E6424C" w:rsidRPr="00E6424C" w:rsidRDefault="00E6424C" w:rsidP="00E6424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lang w:val="fr-CA"/>
        </w:rPr>
      </w:pPr>
      <w:r w:rsidRPr="00E6424C">
        <w:rPr>
          <w:sz w:val="20"/>
          <w:szCs w:val="20"/>
          <w:lang w:val="fr-CA"/>
        </w:rPr>
        <w:t xml:space="preserve">Le procureur général du Canada, intimé, a présenté à la Cour fédérale une demande de contrôle judiciaire de la décision du Tribunal relativement à la compétence du Tribunal d’accorder des dépens.  La Cour fédérale a conclu que la norme de contrôle de la décision du Tribunal était la </w:t>
      </w:r>
      <w:proofErr w:type="spellStart"/>
      <w:r w:rsidRPr="00E6424C">
        <w:rPr>
          <w:sz w:val="20"/>
          <w:szCs w:val="20"/>
          <w:lang w:val="fr-CA"/>
        </w:rPr>
        <w:t>raisonnabilité</w:t>
      </w:r>
      <w:proofErr w:type="spellEnd"/>
      <w:r w:rsidRPr="00E6424C">
        <w:rPr>
          <w:sz w:val="20"/>
          <w:szCs w:val="20"/>
          <w:lang w:val="fr-CA"/>
        </w:rPr>
        <w:t xml:space="preserve"> </w:t>
      </w:r>
      <w:proofErr w:type="spellStart"/>
      <w:r w:rsidRPr="00E6424C">
        <w:rPr>
          <w:i/>
          <w:sz w:val="20"/>
          <w:szCs w:val="20"/>
          <w:lang w:val="fr-CA"/>
        </w:rPr>
        <w:t>simpliciter</w:t>
      </w:r>
      <w:proofErr w:type="spellEnd"/>
      <w:r w:rsidRPr="00E6424C">
        <w:rPr>
          <w:sz w:val="20"/>
          <w:szCs w:val="20"/>
          <w:lang w:val="fr-CA"/>
        </w:rPr>
        <w:t xml:space="preserve"> de la décision et que la décision du Tribunal selon laquelle il avait compétence pour accorder les dépens était raisonnable, mais a annulé la décision, concluant que le Tribunal avait manqué aux principes d’équité procédurale en ne donnant pas de motifs adéquats justifiant l’attribution des dépens.  Le procureur général du Canada a interjeté appel à la Cour d’appel fédérale.  La Cour d’appel fédérale a accueilli l’appel et a annulé le jugement de la Cour fédérale.</w:t>
      </w:r>
    </w:p>
    <w:p w:rsidR="00E6424C" w:rsidRPr="00E6424C" w:rsidRDefault="00E6424C" w:rsidP="00E6424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lang w:val="fr-CA"/>
        </w:rPr>
      </w:pPr>
    </w:p>
    <w:p w:rsidR="00E6424C" w:rsidRPr="00E6424C" w:rsidRDefault="00E6424C" w:rsidP="00E6424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lang w:val="fr-CA"/>
        </w:rPr>
      </w:pPr>
    </w:p>
    <w:p w:rsidR="00E6424C" w:rsidRPr="00E6424C" w:rsidRDefault="00E6424C" w:rsidP="00E6424C">
      <w:pPr>
        <w:widowControl w:val="0"/>
        <w:ind w:left="3540" w:hanging="3540"/>
        <w:jc w:val="both"/>
        <w:rPr>
          <w:sz w:val="20"/>
          <w:szCs w:val="20"/>
          <w:lang w:val="fr-CA"/>
        </w:rPr>
      </w:pPr>
      <w:r w:rsidRPr="00E6424C">
        <w:rPr>
          <w:sz w:val="20"/>
          <w:szCs w:val="20"/>
          <w:lang w:val="fr-CA"/>
        </w:rPr>
        <w:t>Origine :</w:t>
      </w:r>
      <w:r w:rsidRPr="00E6424C">
        <w:rPr>
          <w:sz w:val="20"/>
          <w:szCs w:val="20"/>
          <w:lang w:val="fr-CA"/>
        </w:rPr>
        <w:tab/>
        <w:t xml:space="preserve">Cour </w:t>
      </w:r>
      <w:r w:rsidR="0062594C">
        <w:rPr>
          <w:sz w:val="20"/>
          <w:szCs w:val="20"/>
          <w:lang w:val="fr-CA"/>
        </w:rPr>
        <w:t xml:space="preserve">d’appel </w:t>
      </w:r>
      <w:r w:rsidRPr="00E6424C">
        <w:rPr>
          <w:sz w:val="20"/>
          <w:szCs w:val="20"/>
          <w:lang w:val="fr-CA"/>
        </w:rPr>
        <w:t>fédérale</w:t>
      </w:r>
    </w:p>
    <w:p w:rsidR="00E6424C" w:rsidRPr="00E6424C" w:rsidRDefault="00E6424C" w:rsidP="00E6424C">
      <w:pPr>
        <w:widowControl w:val="0"/>
        <w:jc w:val="both"/>
        <w:rPr>
          <w:sz w:val="20"/>
          <w:szCs w:val="20"/>
          <w:lang w:val="fr-CA"/>
        </w:rPr>
      </w:pPr>
    </w:p>
    <w:p w:rsidR="00E6424C" w:rsidRPr="00E6424C" w:rsidRDefault="00E6424C" w:rsidP="00E6424C">
      <w:pPr>
        <w:widowControl w:val="0"/>
        <w:ind w:left="3540" w:hanging="3540"/>
        <w:jc w:val="both"/>
        <w:rPr>
          <w:sz w:val="20"/>
          <w:szCs w:val="20"/>
          <w:lang w:val="fr-CA"/>
        </w:rPr>
      </w:pPr>
      <w:r w:rsidRPr="00E6424C">
        <w:rPr>
          <w:sz w:val="20"/>
          <w:szCs w:val="20"/>
          <w:lang w:val="fr-CA"/>
        </w:rPr>
        <w:t>N</w:t>
      </w:r>
      <w:r w:rsidRPr="00E6424C">
        <w:rPr>
          <w:sz w:val="20"/>
          <w:szCs w:val="20"/>
          <w:vertAlign w:val="superscript"/>
          <w:lang w:val="fr-CA"/>
        </w:rPr>
        <w:t>o</w:t>
      </w:r>
      <w:r w:rsidRPr="00E6424C">
        <w:rPr>
          <w:sz w:val="20"/>
          <w:szCs w:val="20"/>
          <w:lang w:val="fr-CA"/>
        </w:rPr>
        <w:t xml:space="preserve"> du greffe :</w:t>
      </w:r>
      <w:r w:rsidRPr="00E6424C">
        <w:rPr>
          <w:sz w:val="20"/>
          <w:szCs w:val="20"/>
          <w:lang w:val="fr-CA"/>
        </w:rPr>
        <w:tab/>
        <w:t>33507</w:t>
      </w:r>
    </w:p>
    <w:p w:rsidR="00E6424C" w:rsidRPr="00E6424C" w:rsidRDefault="00E6424C" w:rsidP="00E6424C">
      <w:pPr>
        <w:widowControl w:val="0"/>
        <w:jc w:val="both"/>
        <w:rPr>
          <w:sz w:val="20"/>
          <w:szCs w:val="20"/>
          <w:lang w:val="fr-CA"/>
        </w:rPr>
      </w:pPr>
    </w:p>
    <w:p w:rsidR="00E6424C" w:rsidRPr="00E6424C" w:rsidRDefault="00E6424C" w:rsidP="00E6424C">
      <w:pPr>
        <w:widowControl w:val="0"/>
        <w:ind w:left="3540" w:hanging="3540"/>
        <w:jc w:val="both"/>
        <w:rPr>
          <w:sz w:val="20"/>
          <w:szCs w:val="20"/>
          <w:lang w:val="fr-CA"/>
        </w:rPr>
      </w:pPr>
      <w:r w:rsidRPr="00E6424C">
        <w:rPr>
          <w:sz w:val="20"/>
          <w:szCs w:val="20"/>
          <w:lang w:val="fr-CA"/>
        </w:rPr>
        <w:t>Arrêt de la Cour d’appel :</w:t>
      </w:r>
      <w:r w:rsidRPr="00E6424C">
        <w:rPr>
          <w:sz w:val="20"/>
          <w:szCs w:val="20"/>
          <w:lang w:val="fr-CA"/>
        </w:rPr>
        <w:tab/>
        <w:t>le 26 octobre 2009</w:t>
      </w:r>
    </w:p>
    <w:p w:rsidR="00E6424C" w:rsidRPr="00E6424C" w:rsidRDefault="00E6424C" w:rsidP="00E6424C">
      <w:pPr>
        <w:widowControl w:val="0"/>
        <w:jc w:val="both"/>
        <w:rPr>
          <w:sz w:val="20"/>
          <w:szCs w:val="20"/>
          <w:lang w:val="fr-CA"/>
        </w:rPr>
      </w:pPr>
    </w:p>
    <w:p w:rsidR="00E6424C" w:rsidRPr="00E6424C" w:rsidRDefault="00E6424C" w:rsidP="00E6424C">
      <w:pPr>
        <w:widowControl w:val="0"/>
        <w:ind w:left="3540" w:hanging="3540"/>
        <w:jc w:val="both"/>
        <w:rPr>
          <w:sz w:val="20"/>
          <w:szCs w:val="20"/>
          <w:lang w:val="fr-CA"/>
        </w:rPr>
      </w:pPr>
      <w:r w:rsidRPr="00E6424C">
        <w:rPr>
          <w:sz w:val="20"/>
          <w:szCs w:val="20"/>
          <w:lang w:val="fr-CA"/>
        </w:rPr>
        <w:t>Avocats :</w:t>
      </w:r>
      <w:r w:rsidRPr="00E6424C">
        <w:rPr>
          <w:sz w:val="20"/>
          <w:szCs w:val="20"/>
          <w:lang w:val="fr-CA"/>
        </w:rPr>
        <w:tab/>
        <w:t>Philippe Dufresne et Daniel Poulin pour la Commission canadienne des droits de la personne, appelante</w:t>
      </w:r>
    </w:p>
    <w:p w:rsidR="00E6424C" w:rsidRPr="00E6424C" w:rsidRDefault="00E6424C" w:rsidP="00E6424C">
      <w:pPr>
        <w:widowControl w:val="0"/>
        <w:ind w:left="3540"/>
        <w:jc w:val="both"/>
        <w:rPr>
          <w:sz w:val="20"/>
          <w:szCs w:val="20"/>
          <w:lang w:val="fr-CA"/>
        </w:rPr>
      </w:pPr>
      <w:r w:rsidRPr="00E6424C">
        <w:rPr>
          <w:sz w:val="20"/>
          <w:szCs w:val="20"/>
          <w:lang w:val="fr-CA"/>
        </w:rPr>
        <w:t xml:space="preserve">Andrew </w:t>
      </w:r>
      <w:proofErr w:type="spellStart"/>
      <w:r w:rsidRPr="00E6424C">
        <w:rPr>
          <w:sz w:val="20"/>
          <w:szCs w:val="20"/>
          <w:lang w:val="fr-CA"/>
        </w:rPr>
        <w:t>Raven</w:t>
      </w:r>
      <w:proofErr w:type="spellEnd"/>
      <w:r w:rsidRPr="00E6424C">
        <w:rPr>
          <w:sz w:val="20"/>
          <w:szCs w:val="20"/>
          <w:lang w:val="fr-CA"/>
        </w:rPr>
        <w:t xml:space="preserve">, Andrew </w:t>
      </w:r>
      <w:proofErr w:type="spellStart"/>
      <w:r w:rsidRPr="00E6424C">
        <w:rPr>
          <w:sz w:val="20"/>
          <w:szCs w:val="20"/>
          <w:lang w:val="fr-CA"/>
        </w:rPr>
        <w:t>Astritis</w:t>
      </w:r>
      <w:proofErr w:type="spellEnd"/>
      <w:r w:rsidRPr="00E6424C">
        <w:rPr>
          <w:sz w:val="20"/>
          <w:szCs w:val="20"/>
          <w:lang w:val="fr-CA"/>
        </w:rPr>
        <w:t xml:space="preserve"> et Bijon Roy pour Donna </w:t>
      </w:r>
      <w:proofErr w:type="spellStart"/>
      <w:r w:rsidRPr="00E6424C">
        <w:rPr>
          <w:sz w:val="20"/>
          <w:szCs w:val="20"/>
          <w:lang w:val="fr-CA"/>
        </w:rPr>
        <w:t>Mowat</w:t>
      </w:r>
      <w:proofErr w:type="spellEnd"/>
      <w:r w:rsidRPr="00E6424C">
        <w:rPr>
          <w:sz w:val="20"/>
          <w:szCs w:val="20"/>
          <w:lang w:val="fr-CA"/>
        </w:rPr>
        <w:t>, appelante</w:t>
      </w:r>
    </w:p>
    <w:p w:rsidR="00E6424C" w:rsidRPr="00E6424C" w:rsidRDefault="00E6424C" w:rsidP="00E6424C">
      <w:pPr>
        <w:widowControl w:val="0"/>
        <w:ind w:left="3540"/>
        <w:jc w:val="both"/>
        <w:rPr>
          <w:sz w:val="20"/>
          <w:szCs w:val="20"/>
          <w:lang w:val="fr-CA"/>
        </w:rPr>
      </w:pPr>
      <w:r w:rsidRPr="00E6424C">
        <w:rPr>
          <w:sz w:val="20"/>
          <w:szCs w:val="20"/>
          <w:lang w:val="fr-CA"/>
        </w:rPr>
        <w:t>Peter Southey et Sean Gaudet pour l’intimé</w:t>
      </w:r>
    </w:p>
    <w:p w:rsidR="00E6424C" w:rsidRDefault="00E6424C" w:rsidP="00307D0D">
      <w:pPr>
        <w:jc w:val="both"/>
        <w:rPr>
          <w:sz w:val="20"/>
          <w:szCs w:val="20"/>
          <w:lang w:val="fr-CA"/>
        </w:rPr>
      </w:pPr>
    </w:p>
    <w:p w:rsidR="00E6424C" w:rsidRDefault="00857426" w:rsidP="00307D0D">
      <w:pPr>
        <w:jc w:val="both"/>
        <w:rPr>
          <w:sz w:val="20"/>
          <w:szCs w:val="20"/>
          <w:lang w:val="fr-CA"/>
        </w:rPr>
      </w:pPr>
      <w:r w:rsidRPr="00857426">
        <w:rPr>
          <w:sz w:val="20"/>
          <w:szCs w:val="20"/>
          <w:lang w:val="fr-CA"/>
        </w:rPr>
        <w:pict>
          <v:rect id="_x0000_i1105" style="width:2in;height:1pt" o:hrpct="0" o:hralign="center" o:hrstd="t" o:hrnoshade="t" o:hr="t" fillcolor="black [3213]" stroked="f"/>
        </w:pict>
      </w:r>
    </w:p>
    <w:p w:rsidR="00E6424C" w:rsidRDefault="00E6424C" w:rsidP="00307D0D">
      <w:pPr>
        <w:jc w:val="both"/>
        <w:rPr>
          <w:sz w:val="20"/>
          <w:szCs w:val="20"/>
          <w:lang w:val="fr-CA"/>
        </w:rPr>
      </w:pPr>
    </w:p>
    <w:p w:rsidR="00E6424C" w:rsidRDefault="00E6424C">
      <w:pPr>
        <w:rPr>
          <w:sz w:val="20"/>
          <w:szCs w:val="20"/>
          <w:lang w:val="fr-CA"/>
        </w:rPr>
      </w:pPr>
      <w:r>
        <w:rPr>
          <w:sz w:val="20"/>
          <w:szCs w:val="20"/>
          <w:lang w:val="fr-CA"/>
        </w:rPr>
        <w:br w:type="page"/>
      </w:r>
    </w:p>
    <w:p w:rsidR="00BA6780" w:rsidRPr="00BA6780" w:rsidRDefault="00857426" w:rsidP="00BA6780">
      <w:pPr>
        <w:widowControl w:val="0"/>
        <w:jc w:val="both"/>
        <w:rPr>
          <w:sz w:val="20"/>
          <w:szCs w:val="20"/>
        </w:rPr>
      </w:pPr>
      <w:r w:rsidRPr="00BA6780">
        <w:rPr>
          <w:sz w:val="20"/>
          <w:szCs w:val="20"/>
        </w:rPr>
        <w:lastRenderedPageBreak/>
        <w:fldChar w:fldCharType="begin"/>
      </w:r>
      <w:r w:rsidR="00BA6780" w:rsidRPr="00BA6780">
        <w:rPr>
          <w:sz w:val="20"/>
          <w:szCs w:val="20"/>
        </w:rPr>
        <w:instrText xml:space="preserve"> SEQ CHAPTER \h \r 1</w:instrText>
      </w:r>
      <w:r w:rsidRPr="00BA6780">
        <w:rPr>
          <w:sz w:val="20"/>
          <w:szCs w:val="20"/>
        </w:rPr>
        <w:fldChar w:fldCharType="end"/>
      </w:r>
      <w:r w:rsidR="00BA6780" w:rsidRPr="00BA6780">
        <w:rPr>
          <w:b/>
          <w:sz w:val="20"/>
          <w:szCs w:val="20"/>
        </w:rPr>
        <w:t>33359</w:t>
      </w:r>
      <w:r w:rsidR="00BA6780" w:rsidRPr="00BA6780">
        <w:rPr>
          <w:sz w:val="20"/>
          <w:szCs w:val="20"/>
        </w:rPr>
        <w:tab/>
      </w:r>
      <w:r w:rsidR="00BA6780" w:rsidRPr="00BA6780">
        <w:rPr>
          <w:b/>
          <w:i/>
          <w:sz w:val="20"/>
          <w:szCs w:val="20"/>
        </w:rPr>
        <w:t>Her Majesty the Queen v. Terrence Sinclair</w:t>
      </w:r>
    </w:p>
    <w:p w:rsidR="00BA6780" w:rsidRPr="00BA6780" w:rsidRDefault="00BA6780" w:rsidP="00BA6780">
      <w:pPr>
        <w:widowControl w:val="0"/>
        <w:jc w:val="both"/>
        <w:rPr>
          <w:sz w:val="20"/>
          <w:szCs w:val="20"/>
        </w:rPr>
      </w:pPr>
    </w:p>
    <w:p w:rsidR="00BA6780" w:rsidRPr="00BA6780" w:rsidRDefault="00BA6780" w:rsidP="00BA6780">
      <w:pPr>
        <w:widowControl w:val="0"/>
        <w:jc w:val="both"/>
        <w:rPr>
          <w:sz w:val="20"/>
          <w:szCs w:val="20"/>
        </w:rPr>
      </w:pPr>
      <w:r w:rsidRPr="00BA6780">
        <w:rPr>
          <w:smallCaps/>
          <w:sz w:val="20"/>
          <w:szCs w:val="20"/>
        </w:rPr>
        <w:t>(Publication ban in case)</w:t>
      </w:r>
    </w:p>
    <w:p w:rsidR="00BA6780" w:rsidRPr="00BA6780" w:rsidRDefault="00BA6780" w:rsidP="00BA6780">
      <w:pPr>
        <w:widowControl w:val="0"/>
        <w:jc w:val="both"/>
        <w:rPr>
          <w:sz w:val="20"/>
          <w:szCs w:val="20"/>
        </w:rPr>
      </w:pPr>
    </w:p>
    <w:p w:rsidR="00BA6780" w:rsidRPr="00BA6780" w:rsidRDefault="00BA6780" w:rsidP="00BA6780">
      <w:pPr>
        <w:widowControl w:val="0"/>
        <w:jc w:val="both"/>
        <w:rPr>
          <w:sz w:val="20"/>
          <w:szCs w:val="20"/>
        </w:rPr>
      </w:pPr>
      <w:r w:rsidRPr="00BA6780">
        <w:rPr>
          <w:sz w:val="20"/>
          <w:szCs w:val="20"/>
        </w:rPr>
        <w:t>Criminal Law - Appeals - Power of appellate court - Unreasonable verdict - Whether Court of Appeal applied the correct test for an unreasonable verdict pursuant to s. 686(1)(a)(</w:t>
      </w:r>
      <w:proofErr w:type="spellStart"/>
      <w:r w:rsidRPr="00BA6780">
        <w:rPr>
          <w:sz w:val="20"/>
          <w:szCs w:val="20"/>
        </w:rPr>
        <w:t>i</w:t>
      </w:r>
      <w:proofErr w:type="spellEnd"/>
      <w:r w:rsidRPr="00BA6780">
        <w:rPr>
          <w:sz w:val="20"/>
          <w:szCs w:val="20"/>
        </w:rPr>
        <w:t xml:space="preserve">) of the </w:t>
      </w:r>
      <w:r w:rsidRPr="00BA6780">
        <w:rPr>
          <w:i/>
          <w:sz w:val="20"/>
          <w:szCs w:val="20"/>
        </w:rPr>
        <w:t>Criminal Code</w:t>
      </w:r>
      <w:r w:rsidRPr="00BA6780">
        <w:rPr>
          <w:sz w:val="20"/>
          <w:szCs w:val="20"/>
        </w:rPr>
        <w:t>, R.S.C. 1985, c. C-46.</w:t>
      </w:r>
    </w:p>
    <w:p w:rsidR="00BA6780" w:rsidRPr="00BA6780" w:rsidRDefault="00BA6780" w:rsidP="00BA6780">
      <w:pPr>
        <w:widowControl w:val="0"/>
        <w:jc w:val="both"/>
        <w:rPr>
          <w:sz w:val="20"/>
          <w:szCs w:val="20"/>
        </w:rPr>
      </w:pPr>
    </w:p>
    <w:p w:rsidR="00BA6780" w:rsidRPr="00BA6780" w:rsidRDefault="00BA6780" w:rsidP="00BA6780">
      <w:pPr>
        <w:widowControl w:val="0"/>
        <w:jc w:val="both"/>
        <w:rPr>
          <w:sz w:val="20"/>
          <w:szCs w:val="20"/>
        </w:rPr>
      </w:pPr>
      <w:r w:rsidRPr="00BA6780">
        <w:rPr>
          <w:sz w:val="20"/>
          <w:szCs w:val="20"/>
        </w:rPr>
        <w:t>Three men were interrupted while brutally assaulting a man on a street in Winnipeg.  They fled and left their victim lying motionless in the street.  The victim was then struck by an on-coming vehicle.  He died from injuries consistent with the assault and the impact from the car.  The trial judge found that the car accident was not an intervening act that broke the chain of causation linking the assault to the death.  The evidence linking the respondent to the assault was circumstantial and there was exculpatory circumstantial evidence.  The trial judge inferred from the evidence that the respondent had planned earlier that night to commit a robbery with a co-accused and that he was with his co-accused at the time of the assault.  DNA evidence linked the co-accused to the assault.  The trial judge held that the respondent had participated in the assault and he was convicted of manslaughter. On appeal, the respondent challenged his conviction as unreasonable.</w:t>
      </w:r>
    </w:p>
    <w:p w:rsidR="00BA6780" w:rsidRPr="00BA6780" w:rsidRDefault="00BA6780" w:rsidP="00BA6780">
      <w:pPr>
        <w:widowControl w:val="0"/>
        <w:jc w:val="both"/>
        <w:rPr>
          <w:sz w:val="20"/>
          <w:szCs w:val="20"/>
        </w:rPr>
      </w:pPr>
    </w:p>
    <w:p w:rsidR="00BA6780" w:rsidRPr="00BA6780" w:rsidRDefault="00BA6780" w:rsidP="00BA6780">
      <w:pPr>
        <w:widowControl w:val="0"/>
        <w:jc w:val="both"/>
        <w:rPr>
          <w:sz w:val="20"/>
          <w:szCs w:val="20"/>
        </w:rPr>
      </w:pPr>
    </w:p>
    <w:p w:rsidR="00BA6780" w:rsidRPr="00BA6780" w:rsidRDefault="00BA6780" w:rsidP="00BA6780">
      <w:pPr>
        <w:widowControl w:val="0"/>
        <w:ind w:left="3600" w:hanging="3600"/>
        <w:jc w:val="both"/>
        <w:rPr>
          <w:sz w:val="20"/>
          <w:szCs w:val="20"/>
        </w:rPr>
      </w:pPr>
      <w:r w:rsidRPr="00BA6780">
        <w:rPr>
          <w:sz w:val="20"/>
          <w:szCs w:val="20"/>
        </w:rPr>
        <w:t>Origin of the case:</w:t>
      </w:r>
      <w:r w:rsidRPr="00BA6780">
        <w:rPr>
          <w:sz w:val="20"/>
          <w:szCs w:val="20"/>
        </w:rPr>
        <w:tab/>
        <w:t>Manitoba</w:t>
      </w:r>
    </w:p>
    <w:p w:rsidR="00BA6780" w:rsidRPr="00BA6780" w:rsidRDefault="00BA6780" w:rsidP="00BA6780">
      <w:pPr>
        <w:widowControl w:val="0"/>
        <w:ind w:left="3600" w:hanging="3600"/>
        <w:jc w:val="both"/>
        <w:rPr>
          <w:sz w:val="20"/>
          <w:szCs w:val="20"/>
        </w:rPr>
      </w:pPr>
    </w:p>
    <w:p w:rsidR="00BA6780" w:rsidRPr="00BA6780" w:rsidRDefault="00BA6780" w:rsidP="00BA6780">
      <w:pPr>
        <w:widowControl w:val="0"/>
        <w:ind w:left="3600" w:hanging="3600"/>
        <w:jc w:val="both"/>
        <w:rPr>
          <w:sz w:val="20"/>
          <w:szCs w:val="20"/>
        </w:rPr>
      </w:pPr>
      <w:r w:rsidRPr="00BA6780">
        <w:rPr>
          <w:sz w:val="20"/>
          <w:szCs w:val="20"/>
        </w:rPr>
        <w:t>File No.:</w:t>
      </w:r>
      <w:r w:rsidRPr="00BA6780">
        <w:rPr>
          <w:sz w:val="20"/>
          <w:szCs w:val="20"/>
        </w:rPr>
        <w:tab/>
        <w:t>33359</w:t>
      </w:r>
    </w:p>
    <w:p w:rsidR="00BA6780" w:rsidRPr="00BA6780" w:rsidRDefault="00BA6780" w:rsidP="00BA6780">
      <w:pPr>
        <w:widowControl w:val="0"/>
        <w:ind w:left="3600" w:hanging="3600"/>
        <w:jc w:val="both"/>
        <w:rPr>
          <w:sz w:val="20"/>
          <w:szCs w:val="20"/>
        </w:rPr>
      </w:pPr>
    </w:p>
    <w:p w:rsidR="00BA6780" w:rsidRPr="00BA6780" w:rsidRDefault="00BA6780" w:rsidP="00BA6780">
      <w:pPr>
        <w:widowControl w:val="0"/>
        <w:ind w:left="3600" w:hanging="3600"/>
        <w:jc w:val="both"/>
        <w:rPr>
          <w:sz w:val="20"/>
          <w:szCs w:val="20"/>
        </w:rPr>
      </w:pPr>
      <w:r w:rsidRPr="00BA6780">
        <w:rPr>
          <w:sz w:val="20"/>
          <w:szCs w:val="20"/>
        </w:rPr>
        <w:t>Judgment of the Court of Appeal:</w:t>
      </w:r>
      <w:r w:rsidRPr="00BA6780">
        <w:rPr>
          <w:sz w:val="20"/>
          <w:szCs w:val="20"/>
        </w:rPr>
        <w:tab/>
        <w:t>July 15, 2009</w:t>
      </w:r>
    </w:p>
    <w:p w:rsidR="00BA6780" w:rsidRPr="00BA6780" w:rsidRDefault="00BA6780" w:rsidP="00BA6780">
      <w:pPr>
        <w:widowControl w:val="0"/>
        <w:ind w:left="3600" w:hanging="3600"/>
        <w:jc w:val="both"/>
        <w:rPr>
          <w:sz w:val="20"/>
          <w:szCs w:val="20"/>
        </w:rPr>
      </w:pPr>
    </w:p>
    <w:p w:rsidR="00BA6780" w:rsidRPr="00BA6780" w:rsidRDefault="00BA6780" w:rsidP="00BA6780">
      <w:pPr>
        <w:widowControl w:val="0"/>
        <w:ind w:left="3600" w:hanging="3600"/>
        <w:jc w:val="both"/>
        <w:rPr>
          <w:sz w:val="20"/>
          <w:szCs w:val="20"/>
        </w:rPr>
      </w:pPr>
      <w:r w:rsidRPr="00BA6780">
        <w:rPr>
          <w:sz w:val="20"/>
          <w:szCs w:val="20"/>
        </w:rPr>
        <w:t>Counsel:</w:t>
      </w:r>
      <w:r w:rsidRPr="00BA6780">
        <w:rPr>
          <w:sz w:val="20"/>
          <w:szCs w:val="20"/>
        </w:rPr>
        <w:tab/>
        <w:t xml:space="preserve">Elizabeth A. Thomson and Ami </w:t>
      </w:r>
      <w:proofErr w:type="spellStart"/>
      <w:r w:rsidRPr="00BA6780">
        <w:rPr>
          <w:sz w:val="20"/>
          <w:szCs w:val="20"/>
        </w:rPr>
        <w:t>Kotler</w:t>
      </w:r>
      <w:proofErr w:type="spellEnd"/>
      <w:r w:rsidRPr="00BA6780">
        <w:rPr>
          <w:sz w:val="20"/>
          <w:szCs w:val="20"/>
        </w:rPr>
        <w:t xml:space="preserve"> for the Appellant</w:t>
      </w:r>
    </w:p>
    <w:p w:rsidR="00BA6780" w:rsidRPr="00BA6780" w:rsidRDefault="00BA6780" w:rsidP="00BA6780">
      <w:pPr>
        <w:widowControl w:val="0"/>
        <w:ind w:left="3600" w:hanging="3600"/>
        <w:jc w:val="both"/>
        <w:rPr>
          <w:sz w:val="20"/>
          <w:szCs w:val="20"/>
        </w:rPr>
      </w:pPr>
      <w:r w:rsidRPr="00BA6780">
        <w:rPr>
          <w:sz w:val="20"/>
          <w:szCs w:val="20"/>
        </w:rPr>
        <w:tab/>
        <w:t xml:space="preserve">Richard J. </w:t>
      </w:r>
      <w:proofErr w:type="spellStart"/>
      <w:r w:rsidRPr="00BA6780">
        <w:rPr>
          <w:sz w:val="20"/>
          <w:szCs w:val="20"/>
        </w:rPr>
        <w:t>Wolson</w:t>
      </w:r>
      <w:proofErr w:type="spellEnd"/>
      <w:r w:rsidRPr="00BA6780">
        <w:rPr>
          <w:sz w:val="20"/>
          <w:szCs w:val="20"/>
        </w:rPr>
        <w:t xml:space="preserve"> for the Respondent</w:t>
      </w:r>
    </w:p>
    <w:p w:rsidR="00E6424C" w:rsidRDefault="00E6424C" w:rsidP="00307D0D">
      <w:pPr>
        <w:jc w:val="both"/>
        <w:rPr>
          <w:sz w:val="20"/>
          <w:szCs w:val="20"/>
        </w:rPr>
      </w:pPr>
    </w:p>
    <w:p w:rsidR="00BA6780" w:rsidRDefault="00857426" w:rsidP="00307D0D">
      <w:pPr>
        <w:jc w:val="both"/>
        <w:rPr>
          <w:sz w:val="20"/>
          <w:szCs w:val="20"/>
        </w:rPr>
      </w:pPr>
      <w:r w:rsidRPr="00857426">
        <w:rPr>
          <w:sz w:val="20"/>
          <w:szCs w:val="20"/>
          <w:lang w:val="fr-CA"/>
        </w:rPr>
        <w:pict>
          <v:rect id="_x0000_i1106" style="width:2in;height:1pt" o:hrpct="0" o:hralign="center" o:hrstd="t" o:hrnoshade="t" o:hr="t" fillcolor="black [3213]" stroked="f"/>
        </w:pict>
      </w:r>
    </w:p>
    <w:p w:rsidR="00BA6780" w:rsidRDefault="00BA6780">
      <w:pPr>
        <w:rPr>
          <w:sz w:val="20"/>
          <w:szCs w:val="20"/>
        </w:rPr>
      </w:pPr>
      <w:r>
        <w:rPr>
          <w:sz w:val="20"/>
          <w:szCs w:val="20"/>
        </w:rPr>
        <w:br w:type="page"/>
      </w:r>
    </w:p>
    <w:p w:rsidR="00BA6780" w:rsidRPr="00BA6780" w:rsidRDefault="00857426" w:rsidP="00BA6780">
      <w:pPr>
        <w:widowControl w:val="0"/>
        <w:jc w:val="both"/>
        <w:rPr>
          <w:sz w:val="20"/>
          <w:szCs w:val="20"/>
          <w:lang w:val="fr-CA"/>
        </w:rPr>
      </w:pPr>
      <w:r w:rsidRPr="00857426">
        <w:rPr>
          <w:sz w:val="20"/>
          <w:szCs w:val="20"/>
          <w:lang w:val="fr-CA"/>
        </w:rPr>
        <w:lastRenderedPageBreak/>
        <w:fldChar w:fldCharType="begin"/>
      </w:r>
      <w:r w:rsidR="00BA6780" w:rsidRPr="00BA6780">
        <w:rPr>
          <w:sz w:val="20"/>
          <w:szCs w:val="20"/>
          <w:lang w:val="fr-CA"/>
        </w:rPr>
        <w:instrText xml:space="preserve"> SEQ CHAPTER \h \r 1</w:instrText>
      </w:r>
      <w:r w:rsidRPr="00BA6780">
        <w:rPr>
          <w:sz w:val="20"/>
          <w:szCs w:val="20"/>
        </w:rPr>
        <w:fldChar w:fldCharType="end"/>
      </w:r>
      <w:r w:rsidR="00BA6780" w:rsidRPr="00BA6780">
        <w:rPr>
          <w:b/>
          <w:sz w:val="20"/>
          <w:szCs w:val="20"/>
          <w:lang w:val="fr-CA"/>
        </w:rPr>
        <w:t>33359</w:t>
      </w:r>
      <w:r w:rsidR="00BA6780" w:rsidRPr="00BA6780">
        <w:rPr>
          <w:sz w:val="20"/>
          <w:szCs w:val="20"/>
          <w:lang w:val="fr-CA"/>
        </w:rPr>
        <w:tab/>
      </w:r>
      <w:r w:rsidR="00BA6780" w:rsidRPr="00BA6780">
        <w:rPr>
          <w:b/>
          <w:i/>
          <w:sz w:val="20"/>
          <w:szCs w:val="20"/>
          <w:lang w:val="fr-CA"/>
        </w:rPr>
        <w:t>Sa Majesté la Reine c. Terrence Sinclair</w:t>
      </w:r>
    </w:p>
    <w:p w:rsidR="00BA6780" w:rsidRPr="00BA6780" w:rsidRDefault="00BA6780" w:rsidP="00BA6780">
      <w:pPr>
        <w:widowControl w:val="0"/>
        <w:jc w:val="both"/>
        <w:rPr>
          <w:sz w:val="20"/>
          <w:szCs w:val="20"/>
          <w:lang w:val="fr-CA"/>
        </w:rPr>
      </w:pPr>
    </w:p>
    <w:p w:rsidR="00BA6780" w:rsidRPr="00BA6780" w:rsidRDefault="00BA6780" w:rsidP="00BA6780">
      <w:pPr>
        <w:widowControl w:val="0"/>
        <w:jc w:val="both"/>
        <w:rPr>
          <w:sz w:val="20"/>
          <w:szCs w:val="20"/>
          <w:lang w:val="fr-CA"/>
        </w:rPr>
      </w:pPr>
      <w:r w:rsidRPr="00BA6780">
        <w:rPr>
          <w:smallCaps/>
          <w:sz w:val="20"/>
          <w:szCs w:val="20"/>
          <w:lang w:val="fr-CA"/>
        </w:rPr>
        <w:t>(O</w:t>
      </w:r>
      <w:r>
        <w:rPr>
          <w:smallCaps/>
          <w:sz w:val="20"/>
          <w:szCs w:val="20"/>
          <w:lang w:val="fr-CA"/>
        </w:rPr>
        <w:t>rdonnance de non-publication dans le dossier</w:t>
      </w:r>
      <w:r w:rsidRPr="00BA6780">
        <w:rPr>
          <w:smallCaps/>
          <w:sz w:val="20"/>
          <w:szCs w:val="20"/>
          <w:lang w:val="fr-CA"/>
        </w:rPr>
        <w:t>)</w:t>
      </w:r>
    </w:p>
    <w:p w:rsidR="00BA6780" w:rsidRPr="00BA6780" w:rsidRDefault="00BA6780" w:rsidP="00BA6780">
      <w:pPr>
        <w:widowControl w:val="0"/>
        <w:jc w:val="both"/>
        <w:rPr>
          <w:sz w:val="20"/>
          <w:szCs w:val="20"/>
          <w:lang w:val="fr-CA"/>
        </w:rPr>
      </w:pPr>
    </w:p>
    <w:p w:rsidR="00BA6780" w:rsidRPr="00BA6780" w:rsidRDefault="00BA6780" w:rsidP="00BA6780">
      <w:pPr>
        <w:widowControl w:val="0"/>
        <w:jc w:val="both"/>
        <w:rPr>
          <w:sz w:val="20"/>
          <w:szCs w:val="20"/>
          <w:lang w:val="fr-CA"/>
        </w:rPr>
      </w:pPr>
      <w:r w:rsidRPr="00BA6780">
        <w:rPr>
          <w:sz w:val="20"/>
          <w:szCs w:val="20"/>
          <w:lang w:val="fr-CA"/>
        </w:rPr>
        <w:t xml:space="preserve">Droit criminel - Appels - Pouvoir de la cour d’appel - Verdict déraisonnable - La Cour d’appel a-t-elle appliqué le bon critère à l’égard d’un verdict déraisonnable en vertu du sous-al. 686(1) a)(i) du </w:t>
      </w:r>
      <w:r w:rsidRPr="00BA6780">
        <w:rPr>
          <w:i/>
          <w:sz w:val="20"/>
          <w:szCs w:val="20"/>
          <w:lang w:val="fr-CA"/>
        </w:rPr>
        <w:t>Code criminel</w:t>
      </w:r>
      <w:r w:rsidRPr="00BA6780">
        <w:rPr>
          <w:sz w:val="20"/>
          <w:szCs w:val="20"/>
          <w:lang w:val="fr-CA"/>
        </w:rPr>
        <w:t>, L.R.C. 1985, ch. C-46?</w:t>
      </w:r>
    </w:p>
    <w:p w:rsidR="00BA6780" w:rsidRPr="00BA6780" w:rsidRDefault="00BA6780" w:rsidP="00BA6780">
      <w:pPr>
        <w:widowControl w:val="0"/>
        <w:jc w:val="both"/>
        <w:rPr>
          <w:sz w:val="20"/>
          <w:szCs w:val="20"/>
          <w:lang w:val="fr-CA"/>
        </w:rPr>
      </w:pPr>
    </w:p>
    <w:p w:rsidR="00BA6780" w:rsidRPr="00BA6780" w:rsidRDefault="00BA6780" w:rsidP="00BA6780">
      <w:pPr>
        <w:widowControl w:val="0"/>
        <w:jc w:val="both"/>
        <w:rPr>
          <w:sz w:val="20"/>
          <w:szCs w:val="20"/>
          <w:lang w:val="fr-CA"/>
        </w:rPr>
      </w:pPr>
      <w:r w:rsidRPr="00BA6780">
        <w:rPr>
          <w:sz w:val="20"/>
          <w:szCs w:val="20"/>
          <w:lang w:val="fr-CA"/>
        </w:rPr>
        <w:t xml:space="preserve">Trois hommes ont été interrompus pendant qu’ils agressaient sauvagement un homme dans la rue à Winnipeg.  Ils ont pris la fuite et ont laissé leur victime gisant dans la rue.  La victime a alors été frappée par un véhicule.  L’homme a succombé à des blessures qui correspondaient à celles qu’auraient pu causer l’agression et l’impact du véhicule.  La juge de première instance a conclu que l’accident d’automobile n’était pas un acte intermédiaire qui aurait rompu le lien de causalité entre l’agression et le décès.  La preuve qui liait l’intimé à l’agression était circonstancielle et il existait une preuve </w:t>
      </w:r>
      <w:proofErr w:type="spellStart"/>
      <w:r w:rsidRPr="00BA6780">
        <w:rPr>
          <w:sz w:val="20"/>
          <w:szCs w:val="20"/>
          <w:lang w:val="fr-CA"/>
        </w:rPr>
        <w:t>exculpatoire</w:t>
      </w:r>
      <w:proofErr w:type="spellEnd"/>
      <w:r w:rsidRPr="00BA6780">
        <w:rPr>
          <w:sz w:val="20"/>
          <w:szCs w:val="20"/>
          <w:lang w:val="fr-CA"/>
        </w:rPr>
        <w:t xml:space="preserve"> circonstancielle.  La juge de première instance a conclu de la preuve que l’intimé avait planifié plus tôt dans la soirée de commettre un vol qualifié avec un coaccusé et qu’il se trouvait avec ce coaccusé au moment de l’agression.  Une preuve d’ADN a lié le coaccusé à l’agression.  Le juge de première instance a conclu que l’intimé avait participé à l’agression et il a été déclaré coupable d’homicide involontaire coupable.  En appel, l’intimé a contesté la déclaration de culpabilité, plaidant qu’elle était déraisonnable.</w:t>
      </w:r>
    </w:p>
    <w:p w:rsidR="00BA6780" w:rsidRPr="00BA6780" w:rsidRDefault="00BA6780" w:rsidP="00BA6780">
      <w:pPr>
        <w:widowControl w:val="0"/>
        <w:jc w:val="both"/>
        <w:rPr>
          <w:sz w:val="20"/>
          <w:szCs w:val="20"/>
          <w:lang w:val="fr-CA"/>
        </w:rPr>
      </w:pPr>
    </w:p>
    <w:p w:rsidR="00BA6780" w:rsidRPr="00BA6780" w:rsidRDefault="00BA6780" w:rsidP="00BA6780">
      <w:pPr>
        <w:widowControl w:val="0"/>
        <w:jc w:val="both"/>
        <w:rPr>
          <w:sz w:val="20"/>
          <w:szCs w:val="20"/>
          <w:lang w:val="fr-CA"/>
        </w:rPr>
      </w:pPr>
    </w:p>
    <w:p w:rsidR="00BA6780" w:rsidRPr="00BA6780" w:rsidRDefault="00BA6780" w:rsidP="00BA6780">
      <w:pPr>
        <w:widowControl w:val="0"/>
        <w:ind w:left="3600" w:hanging="3600"/>
        <w:jc w:val="both"/>
        <w:rPr>
          <w:sz w:val="20"/>
          <w:szCs w:val="20"/>
          <w:lang w:val="fr-CA"/>
        </w:rPr>
      </w:pPr>
      <w:r w:rsidRPr="00BA6780">
        <w:rPr>
          <w:sz w:val="20"/>
          <w:szCs w:val="20"/>
          <w:lang w:val="fr-CA"/>
        </w:rPr>
        <w:t>Origine :</w:t>
      </w:r>
      <w:r w:rsidRPr="00BA6780">
        <w:rPr>
          <w:sz w:val="20"/>
          <w:szCs w:val="20"/>
          <w:lang w:val="fr-CA"/>
        </w:rPr>
        <w:tab/>
        <w:t>Manitoba</w:t>
      </w:r>
    </w:p>
    <w:p w:rsidR="00BA6780" w:rsidRPr="00BA6780" w:rsidRDefault="00BA6780" w:rsidP="00BA6780">
      <w:pPr>
        <w:widowControl w:val="0"/>
        <w:jc w:val="both"/>
        <w:rPr>
          <w:sz w:val="20"/>
          <w:szCs w:val="20"/>
          <w:lang w:val="fr-CA"/>
        </w:rPr>
      </w:pPr>
    </w:p>
    <w:p w:rsidR="00BA6780" w:rsidRPr="00BA6780" w:rsidRDefault="00BA6780" w:rsidP="00BA6780">
      <w:pPr>
        <w:widowControl w:val="0"/>
        <w:ind w:left="3600" w:hanging="3600"/>
        <w:jc w:val="both"/>
        <w:rPr>
          <w:sz w:val="20"/>
          <w:szCs w:val="20"/>
          <w:lang w:val="fr-CA"/>
        </w:rPr>
      </w:pPr>
      <w:r w:rsidRPr="00BA6780">
        <w:rPr>
          <w:sz w:val="20"/>
          <w:szCs w:val="20"/>
          <w:lang w:val="fr-CA"/>
        </w:rPr>
        <w:t>N</w:t>
      </w:r>
      <w:r w:rsidRPr="00BA6780">
        <w:rPr>
          <w:sz w:val="20"/>
          <w:szCs w:val="20"/>
          <w:vertAlign w:val="superscript"/>
          <w:lang w:val="fr-CA"/>
        </w:rPr>
        <w:t>o</w:t>
      </w:r>
      <w:r w:rsidRPr="00BA6780">
        <w:rPr>
          <w:sz w:val="20"/>
          <w:szCs w:val="20"/>
          <w:lang w:val="fr-CA"/>
        </w:rPr>
        <w:t xml:space="preserve"> du greffe :</w:t>
      </w:r>
      <w:r w:rsidRPr="00BA6780">
        <w:rPr>
          <w:sz w:val="20"/>
          <w:szCs w:val="20"/>
          <w:lang w:val="fr-CA"/>
        </w:rPr>
        <w:tab/>
        <w:t>33359</w:t>
      </w:r>
    </w:p>
    <w:p w:rsidR="00BA6780" w:rsidRPr="00BA6780" w:rsidRDefault="00BA6780" w:rsidP="00BA6780">
      <w:pPr>
        <w:widowControl w:val="0"/>
        <w:jc w:val="both"/>
        <w:rPr>
          <w:sz w:val="20"/>
          <w:szCs w:val="20"/>
          <w:lang w:val="fr-CA"/>
        </w:rPr>
      </w:pPr>
    </w:p>
    <w:p w:rsidR="00BA6780" w:rsidRPr="00BA6780" w:rsidRDefault="00BA6780" w:rsidP="00BA6780">
      <w:pPr>
        <w:widowControl w:val="0"/>
        <w:ind w:left="3600" w:hanging="3600"/>
        <w:jc w:val="both"/>
        <w:rPr>
          <w:sz w:val="20"/>
          <w:szCs w:val="20"/>
          <w:lang w:val="fr-CA"/>
        </w:rPr>
      </w:pPr>
      <w:r w:rsidRPr="00BA6780">
        <w:rPr>
          <w:sz w:val="20"/>
          <w:szCs w:val="20"/>
          <w:lang w:val="fr-CA"/>
        </w:rPr>
        <w:t>Arrêt de la Cour d’appel :</w:t>
      </w:r>
      <w:r w:rsidRPr="00BA6780">
        <w:rPr>
          <w:sz w:val="20"/>
          <w:szCs w:val="20"/>
          <w:lang w:val="fr-CA"/>
        </w:rPr>
        <w:tab/>
      </w:r>
      <w:r>
        <w:rPr>
          <w:sz w:val="20"/>
          <w:szCs w:val="20"/>
          <w:lang w:val="fr-CA"/>
        </w:rPr>
        <w:t>l</w:t>
      </w:r>
      <w:r w:rsidRPr="00BA6780">
        <w:rPr>
          <w:sz w:val="20"/>
          <w:szCs w:val="20"/>
          <w:lang w:val="fr-CA"/>
        </w:rPr>
        <w:t>e 15 juillet 2009</w:t>
      </w:r>
    </w:p>
    <w:p w:rsidR="00BA6780" w:rsidRPr="00BA6780" w:rsidRDefault="00BA6780" w:rsidP="00BA6780">
      <w:pPr>
        <w:widowControl w:val="0"/>
        <w:jc w:val="both"/>
        <w:rPr>
          <w:sz w:val="20"/>
          <w:szCs w:val="20"/>
          <w:lang w:val="fr-CA"/>
        </w:rPr>
      </w:pPr>
    </w:p>
    <w:p w:rsidR="00BA6780" w:rsidRPr="00BA6780" w:rsidRDefault="00BA6780" w:rsidP="00BA6780">
      <w:pPr>
        <w:widowControl w:val="0"/>
        <w:ind w:left="3600" w:hanging="3600"/>
        <w:jc w:val="both"/>
        <w:rPr>
          <w:sz w:val="20"/>
          <w:szCs w:val="20"/>
          <w:lang w:val="fr-CA"/>
        </w:rPr>
      </w:pPr>
      <w:r w:rsidRPr="00BA6780">
        <w:rPr>
          <w:sz w:val="20"/>
          <w:szCs w:val="20"/>
          <w:lang w:val="fr-CA"/>
        </w:rPr>
        <w:t>Avocats :</w:t>
      </w:r>
      <w:r w:rsidRPr="00BA6780">
        <w:rPr>
          <w:sz w:val="20"/>
          <w:szCs w:val="20"/>
          <w:lang w:val="fr-CA"/>
        </w:rPr>
        <w:tab/>
      </w:r>
      <w:r>
        <w:rPr>
          <w:sz w:val="20"/>
          <w:szCs w:val="20"/>
          <w:lang w:val="fr-CA"/>
        </w:rPr>
        <w:t>E</w:t>
      </w:r>
      <w:r w:rsidRPr="00BA6780">
        <w:rPr>
          <w:sz w:val="20"/>
          <w:szCs w:val="20"/>
          <w:lang w:val="fr-CA"/>
        </w:rPr>
        <w:t xml:space="preserve">lizabeth A. Thomson et Ami </w:t>
      </w:r>
      <w:proofErr w:type="spellStart"/>
      <w:r w:rsidRPr="00BA6780">
        <w:rPr>
          <w:sz w:val="20"/>
          <w:szCs w:val="20"/>
          <w:lang w:val="fr-CA"/>
        </w:rPr>
        <w:t>Kotler</w:t>
      </w:r>
      <w:proofErr w:type="spellEnd"/>
      <w:r w:rsidRPr="00BA6780">
        <w:rPr>
          <w:sz w:val="20"/>
          <w:szCs w:val="20"/>
          <w:lang w:val="fr-CA"/>
        </w:rPr>
        <w:t xml:space="preserve"> pour l’appelante</w:t>
      </w:r>
    </w:p>
    <w:p w:rsidR="00BA6780" w:rsidRDefault="00BA6780" w:rsidP="00BA6780">
      <w:pPr>
        <w:widowControl w:val="0"/>
        <w:ind w:left="3600"/>
        <w:jc w:val="both"/>
        <w:rPr>
          <w:sz w:val="20"/>
          <w:szCs w:val="20"/>
          <w:lang w:val="fr-CA"/>
        </w:rPr>
      </w:pPr>
      <w:r w:rsidRPr="00BA6780">
        <w:rPr>
          <w:sz w:val="20"/>
          <w:szCs w:val="20"/>
          <w:lang w:val="fr-CA"/>
        </w:rPr>
        <w:t xml:space="preserve">Richard J. </w:t>
      </w:r>
      <w:proofErr w:type="spellStart"/>
      <w:r w:rsidRPr="00BA6780">
        <w:rPr>
          <w:sz w:val="20"/>
          <w:szCs w:val="20"/>
          <w:lang w:val="fr-CA"/>
        </w:rPr>
        <w:t>Wolson</w:t>
      </w:r>
      <w:proofErr w:type="spellEnd"/>
      <w:r w:rsidRPr="00BA6780">
        <w:rPr>
          <w:sz w:val="20"/>
          <w:szCs w:val="20"/>
          <w:lang w:val="fr-CA"/>
        </w:rPr>
        <w:t xml:space="preserve"> pour l’intimé</w:t>
      </w:r>
    </w:p>
    <w:p w:rsidR="00BA6780" w:rsidRDefault="00BA6780" w:rsidP="00BA6780">
      <w:pPr>
        <w:widowControl w:val="0"/>
        <w:ind w:left="3600"/>
        <w:jc w:val="both"/>
        <w:rPr>
          <w:sz w:val="20"/>
          <w:szCs w:val="20"/>
          <w:lang w:val="fr-CA"/>
        </w:rPr>
      </w:pPr>
    </w:p>
    <w:p w:rsidR="00BA6780" w:rsidRDefault="00857426" w:rsidP="00307D0D">
      <w:pPr>
        <w:jc w:val="both"/>
        <w:rPr>
          <w:sz w:val="20"/>
          <w:szCs w:val="20"/>
          <w:lang w:val="fr-CA"/>
        </w:rPr>
      </w:pPr>
      <w:r w:rsidRPr="00857426">
        <w:rPr>
          <w:sz w:val="20"/>
          <w:szCs w:val="20"/>
          <w:lang w:val="fr-CA"/>
        </w:rPr>
        <w:pict>
          <v:rect id="_x0000_i1107" style="width:2in;height:1pt" o:hrpct="0" o:hralign="center" o:hrstd="t" o:hrnoshade="t" o:hr="t" fillcolor="black [3213]" stroked="f"/>
        </w:pict>
      </w:r>
    </w:p>
    <w:p w:rsidR="00C525BF" w:rsidRDefault="00C525BF">
      <w:pPr>
        <w:rPr>
          <w:sz w:val="20"/>
          <w:szCs w:val="20"/>
        </w:rPr>
      </w:pPr>
      <w:r>
        <w:rPr>
          <w:sz w:val="20"/>
          <w:szCs w:val="20"/>
        </w:rPr>
        <w:br w:type="page"/>
      </w:r>
    </w:p>
    <w:p w:rsidR="00C525BF" w:rsidRPr="00C525BF" w:rsidRDefault="00857426" w:rsidP="00C525BF">
      <w:pPr>
        <w:widowControl w:val="0"/>
        <w:jc w:val="both"/>
        <w:rPr>
          <w:sz w:val="20"/>
          <w:szCs w:val="20"/>
        </w:rPr>
      </w:pPr>
      <w:r w:rsidRPr="00C525BF">
        <w:rPr>
          <w:b/>
          <w:sz w:val="20"/>
          <w:szCs w:val="20"/>
        </w:rPr>
        <w:lastRenderedPageBreak/>
        <w:fldChar w:fldCharType="begin"/>
      </w:r>
      <w:r w:rsidR="00C525BF" w:rsidRPr="00C525BF">
        <w:rPr>
          <w:b/>
          <w:sz w:val="20"/>
          <w:szCs w:val="20"/>
        </w:rPr>
        <w:instrText xml:space="preserve"> SEQ CHAPTER \h \r 1</w:instrText>
      </w:r>
      <w:r w:rsidRPr="00C525BF">
        <w:rPr>
          <w:b/>
          <w:sz w:val="20"/>
          <w:szCs w:val="20"/>
        </w:rPr>
        <w:fldChar w:fldCharType="end"/>
      </w:r>
      <w:proofErr w:type="gramStart"/>
      <w:r w:rsidR="00C525BF" w:rsidRPr="00C525BF">
        <w:rPr>
          <w:b/>
          <w:sz w:val="20"/>
          <w:szCs w:val="20"/>
        </w:rPr>
        <w:t>33476</w:t>
      </w:r>
      <w:r w:rsidR="00C525BF" w:rsidRPr="00C525BF">
        <w:rPr>
          <w:sz w:val="20"/>
          <w:szCs w:val="20"/>
        </w:rPr>
        <w:tab/>
      </w:r>
      <w:r w:rsidR="00C525BF" w:rsidRPr="00C525BF">
        <w:rPr>
          <w:b/>
          <w:i/>
          <w:sz w:val="20"/>
          <w:szCs w:val="20"/>
        </w:rPr>
        <w:t>Olga Maria Nixon v.</w:t>
      </w:r>
      <w:proofErr w:type="gramEnd"/>
      <w:r w:rsidR="00C525BF" w:rsidRPr="00C525BF">
        <w:rPr>
          <w:b/>
          <w:i/>
          <w:sz w:val="20"/>
          <w:szCs w:val="20"/>
        </w:rPr>
        <w:t xml:space="preserve"> Her Majesty the Queen</w:t>
      </w:r>
    </w:p>
    <w:p w:rsidR="00C525BF" w:rsidRPr="00C525BF" w:rsidRDefault="00C525BF" w:rsidP="00C525BF">
      <w:pPr>
        <w:widowControl w:val="0"/>
        <w:jc w:val="both"/>
        <w:rPr>
          <w:sz w:val="20"/>
          <w:szCs w:val="20"/>
        </w:rPr>
      </w:pPr>
    </w:p>
    <w:p w:rsidR="00C525BF" w:rsidRPr="00C525BF" w:rsidRDefault="00857426" w:rsidP="00C525BF">
      <w:pPr>
        <w:jc w:val="both"/>
        <w:rPr>
          <w:sz w:val="20"/>
          <w:szCs w:val="20"/>
        </w:rPr>
      </w:pPr>
      <w:r w:rsidRPr="00C525BF">
        <w:rPr>
          <w:sz w:val="20"/>
          <w:szCs w:val="20"/>
        </w:rPr>
        <w:fldChar w:fldCharType="begin"/>
      </w:r>
      <w:r w:rsidR="00C525BF" w:rsidRPr="00C525BF">
        <w:rPr>
          <w:sz w:val="20"/>
          <w:szCs w:val="20"/>
        </w:rPr>
        <w:instrText xml:space="preserve"> SEQ CHAPTER \h \r 1</w:instrText>
      </w:r>
      <w:r w:rsidRPr="00C525BF">
        <w:rPr>
          <w:sz w:val="20"/>
          <w:szCs w:val="20"/>
        </w:rPr>
        <w:fldChar w:fldCharType="end"/>
      </w:r>
      <w:r w:rsidR="00C525BF" w:rsidRPr="00C525BF">
        <w:rPr>
          <w:i/>
          <w:iCs/>
          <w:sz w:val="20"/>
          <w:szCs w:val="20"/>
        </w:rPr>
        <w:t xml:space="preserve">Charter of Rights </w:t>
      </w:r>
      <w:r w:rsidR="00C525BF" w:rsidRPr="00C525BF">
        <w:rPr>
          <w:sz w:val="20"/>
          <w:szCs w:val="20"/>
        </w:rPr>
        <w:t xml:space="preserve">- Criminal law - Prosecutorial discretion - Abuse of process - Right to life, liberty and security of person - Plea resolution agreements - Repudiation of plea resolution agreements - Whether the repudiation of a plea resolution agreement constitutes tactics or conduct before the court that falls within the inherent jurisdiction of the court to control - Whether plea resolution agreements are akin to undertakings - Whether there was an abuse of process in this case - Whether the Court of Appeal erred in permitting the Crown to reverse its position on appeal - </w:t>
      </w:r>
      <w:r w:rsidR="00C525BF" w:rsidRPr="00C525BF">
        <w:rPr>
          <w:i/>
          <w:sz w:val="20"/>
          <w:szCs w:val="20"/>
        </w:rPr>
        <w:t>Canadian Charter of Rights and Freedoms</w:t>
      </w:r>
      <w:r w:rsidR="00C525BF" w:rsidRPr="00C525BF">
        <w:rPr>
          <w:sz w:val="20"/>
          <w:szCs w:val="20"/>
        </w:rPr>
        <w:t>, s. 7.</w:t>
      </w:r>
    </w:p>
    <w:p w:rsidR="00C525BF" w:rsidRPr="00C525BF" w:rsidRDefault="00C525BF" w:rsidP="00C525BF">
      <w:pPr>
        <w:widowControl w:val="0"/>
        <w:jc w:val="both"/>
        <w:rPr>
          <w:sz w:val="20"/>
          <w:szCs w:val="20"/>
        </w:rPr>
      </w:pPr>
    </w:p>
    <w:p w:rsidR="00C525BF" w:rsidRPr="00C525BF" w:rsidRDefault="00857426" w:rsidP="00C525BF">
      <w:pPr>
        <w:widowControl w:val="0"/>
        <w:jc w:val="both"/>
        <w:rPr>
          <w:sz w:val="20"/>
          <w:szCs w:val="20"/>
        </w:rPr>
      </w:pPr>
      <w:r w:rsidRPr="00C525BF">
        <w:rPr>
          <w:sz w:val="20"/>
          <w:szCs w:val="20"/>
        </w:rPr>
        <w:fldChar w:fldCharType="begin"/>
      </w:r>
      <w:r w:rsidR="00C525BF" w:rsidRPr="00C525BF">
        <w:rPr>
          <w:sz w:val="20"/>
          <w:szCs w:val="20"/>
        </w:rPr>
        <w:instrText xml:space="preserve"> SEQ CHAPTER \h \r 1</w:instrText>
      </w:r>
      <w:r w:rsidRPr="00C525BF">
        <w:rPr>
          <w:sz w:val="20"/>
          <w:szCs w:val="20"/>
        </w:rPr>
        <w:fldChar w:fldCharType="end"/>
      </w:r>
      <w:r w:rsidR="00C525BF" w:rsidRPr="00C525BF">
        <w:rPr>
          <w:sz w:val="20"/>
          <w:szCs w:val="20"/>
        </w:rPr>
        <w:t xml:space="preserve">The prosecution in this case arose from a motor vehicle accident that took place in Alberta in September 2006.  The appellant, Ms. Nixon, drove her motor vehicle home through a stop sign and collided with another vehicle, killing a husband and wife, and injuring their seven year old child.  Ms. Nixon was charged with several </w:t>
      </w:r>
      <w:r w:rsidR="00C525BF" w:rsidRPr="00C525BF">
        <w:rPr>
          <w:i/>
          <w:iCs/>
          <w:sz w:val="20"/>
          <w:szCs w:val="20"/>
        </w:rPr>
        <w:t xml:space="preserve">Criminal Code </w:t>
      </w:r>
      <w:r w:rsidR="00C525BF" w:rsidRPr="00C525BF">
        <w:rPr>
          <w:sz w:val="20"/>
          <w:szCs w:val="20"/>
        </w:rPr>
        <w:t xml:space="preserve">offences, including impaired driving causing death, impaired driving causing bodily harm, and parallel charges for dangerous driving.  A plea resolution was eventually reached.  Ms. Nixon agreed to plead guilty to the regulatory offence of careless driving in exchange for immunity from a criminal prosecution.  Before the guilty plea was entered, the office of the Attorney General for the Province of Alberta found that the plea resolution agreement was not in the best interests of the administration of justice.  The agreement was thus withdrawn.  In response, Ms. Nixon brought a </w:t>
      </w:r>
      <w:r w:rsidR="00C525BF" w:rsidRPr="00C525BF">
        <w:rPr>
          <w:i/>
          <w:iCs/>
          <w:sz w:val="20"/>
          <w:szCs w:val="20"/>
        </w:rPr>
        <w:t>Charter</w:t>
      </w:r>
      <w:r w:rsidR="00C525BF" w:rsidRPr="00C525BF">
        <w:rPr>
          <w:sz w:val="20"/>
          <w:szCs w:val="20"/>
        </w:rPr>
        <w:t xml:space="preserve"> application, alleging that the Crown’s repudiation of the agreement constituted an abuse of process and breached her s. 7 </w:t>
      </w:r>
      <w:r w:rsidR="00C525BF" w:rsidRPr="00C525BF">
        <w:rPr>
          <w:i/>
          <w:iCs/>
          <w:sz w:val="20"/>
          <w:szCs w:val="20"/>
        </w:rPr>
        <w:t>Charter</w:t>
      </w:r>
      <w:r w:rsidR="00C525BF" w:rsidRPr="00C525BF">
        <w:rPr>
          <w:sz w:val="20"/>
          <w:szCs w:val="20"/>
        </w:rPr>
        <w:t xml:space="preserve"> right not to be deprived of life, liberty and security of the person.  The trial judge granted the application.  The Court of Appeal allowed the appeal.</w:t>
      </w:r>
    </w:p>
    <w:p w:rsidR="00C525BF" w:rsidRPr="00C525BF" w:rsidRDefault="00C525BF" w:rsidP="00C525BF">
      <w:pPr>
        <w:widowControl w:val="0"/>
        <w:jc w:val="both"/>
        <w:rPr>
          <w:sz w:val="20"/>
          <w:szCs w:val="20"/>
        </w:rPr>
      </w:pPr>
    </w:p>
    <w:p w:rsidR="00C525BF" w:rsidRPr="00C525BF" w:rsidRDefault="00C525BF" w:rsidP="00C525BF">
      <w:pPr>
        <w:widowControl w:val="0"/>
        <w:jc w:val="both"/>
        <w:rPr>
          <w:sz w:val="20"/>
          <w:szCs w:val="20"/>
        </w:rPr>
      </w:pPr>
    </w:p>
    <w:p w:rsidR="00C525BF" w:rsidRPr="00C525BF" w:rsidRDefault="00C525BF" w:rsidP="00C525BF">
      <w:pPr>
        <w:widowControl w:val="0"/>
        <w:ind w:left="3600" w:hanging="3600"/>
        <w:jc w:val="both"/>
        <w:rPr>
          <w:sz w:val="20"/>
          <w:szCs w:val="20"/>
        </w:rPr>
      </w:pPr>
      <w:r w:rsidRPr="00C525BF">
        <w:rPr>
          <w:sz w:val="20"/>
          <w:szCs w:val="20"/>
        </w:rPr>
        <w:t>Origin of the case:</w:t>
      </w:r>
      <w:r w:rsidRPr="00C525BF">
        <w:rPr>
          <w:sz w:val="20"/>
          <w:szCs w:val="20"/>
        </w:rPr>
        <w:tab/>
        <w:t>Alberta</w:t>
      </w:r>
    </w:p>
    <w:p w:rsidR="00C525BF" w:rsidRPr="00C525BF" w:rsidRDefault="00C525BF" w:rsidP="00C525BF">
      <w:pPr>
        <w:widowControl w:val="0"/>
        <w:ind w:left="3600" w:hanging="3600"/>
        <w:jc w:val="both"/>
        <w:rPr>
          <w:sz w:val="20"/>
          <w:szCs w:val="20"/>
        </w:rPr>
      </w:pPr>
    </w:p>
    <w:p w:rsidR="00C525BF" w:rsidRPr="00C525BF" w:rsidRDefault="00C525BF" w:rsidP="00C525BF">
      <w:pPr>
        <w:widowControl w:val="0"/>
        <w:ind w:left="3600" w:hanging="3600"/>
        <w:jc w:val="both"/>
        <w:rPr>
          <w:sz w:val="20"/>
          <w:szCs w:val="20"/>
        </w:rPr>
      </w:pPr>
      <w:r w:rsidRPr="00C525BF">
        <w:rPr>
          <w:sz w:val="20"/>
          <w:szCs w:val="20"/>
        </w:rPr>
        <w:t>File No.:</w:t>
      </w:r>
      <w:r w:rsidRPr="00C525BF">
        <w:rPr>
          <w:sz w:val="20"/>
          <w:szCs w:val="20"/>
        </w:rPr>
        <w:tab/>
        <w:t>33476</w:t>
      </w:r>
    </w:p>
    <w:p w:rsidR="00C525BF" w:rsidRPr="00C525BF" w:rsidRDefault="00C525BF" w:rsidP="00C525BF">
      <w:pPr>
        <w:widowControl w:val="0"/>
        <w:ind w:left="3600" w:hanging="3600"/>
        <w:jc w:val="both"/>
        <w:rPr>
          <w:sz w:val="20"/>
          <w:szCs w:val="20"/>
        </w:rPr>
      </w:pPr>
    </w:p>
    <w:p w:rsidR="00C525BF" w:rsidRPr="00C525BF" w:rsidRDefault="00C525BF" w:rsidP="00C525BF">
      <w:pPr>
        <w:widowControl w:val="0"/>
        <w:ind w:left="3600" w:hanging="3600"/>
        <w:jc w:val="both"/>
        <w:rPr>
          <w:sz w:val="20"/>
          <w:szCs w:val="20"/>
        </w:rPr>
      </w:pPr>
      <w:r w:rsidRPr="00C525BF">
        <w:rPr>
          <w:sz w:val="20"/>
          <w:szCs w:val="20"/>
        </w:rPr>
        <w:t>Judgment of the Court of Appeal:</w:t>
      </w:r>
      <w:r w:rsidRPr="00C525BF">
        <w:rPr>
          <w:sz w:val="20"/>
          <w:szCs w:val="20"/>
        </w:rPr>
        <w:tab/>
        <w:t>August 13, 2009</w:t>
      </w:r>
    </w:p>
    <w:p w:rsidR="00C525BF" w:rsidRPr="00C525BF" w:rsidRDefault="00C525BF" w:rsidP="00C525BF">
      <w:pPr>
        <w:widowControl w:val="0"/>
        <w:ind w:left="3600" w:hanging="3600"/>
        <w:jc w:val="both"/>
        <w:rPr>
          <w:sz w:val="20"/>
          <w:szCs w:val="20"/>
        </w:rPr>
      </w:pPr>
    </w:p>
    <w:p w:rsidR="00C525BF" w:rsidRPr="00C525BF" w:rsidRDefault="00C525BF" w:rsidP="00C525BF">
      <w:pPr>
        <w:widowControl w:val="0"/>
        <w:ind w:left="3600" w:hanging="3600"/>
        <w:jc w:val="both"/>
        <w:rPr>
          <w:sz w:val="20"/>
          <w:szCs w:val="20"/>
        </w:rPr>
      </w:pPr>
      <w:r w:rsidRPr="00C525BF">
        <w:rPr>
          <w:sz w:val="20"/>
          <w:szCs w:val="20"/>
        </w:rPr>
        <w:t>Counsel:</w:t>
      </w:r>
      <w:r w:rsidRPr="00C525BF">
        <w:rPr>
          <w:sz w:val="20"/>
          <w:szCs w:val="20"/>
        </w:rPr>
        <w:tab/>
        <w:t xml:space="preserve">Marvin </w:t>
      </w:r>
      <w:proofErr w:type="spellStart"/>
      <w:r w:rsidRPr="00C525BF">
        <w:rPr>
          <w:sz w:val="20"/>
          <w:szCs w:val="20"/>
        </w:rPr>
        <w:t>Bloos</w:t>
      </w:r>
      <w:proofErr w:type="spellEnd"/>
      <w:r w:rsidRPr="00C525BF">
        <w:rPr>
          <w:sz w:val="20"/>
          <w:szCs w:val="20"/>
        </w:rPr>
        <w:t xml:space="preserve">, Q.C. and Brian A. </w:t>
      </w:r>
      <w:proofErr w:type="spellStart"/>
      <w:r w:rsidRPr="00C525BF">
        <w:rPr>
          <w:sz w:val="20"/>
          <w:szCs w:val="20"/>
        </w:rPr>
        <w:t>Beresh</w:t>
      </w:r>
      <w:proofErr w:type="spellEnd"/>
      <w:r w:rsidRPr="00C525BF">
        <w:rPr>
          <w:sz w:val="20"/>
          <w:szCs w:val="20"/>
        </w:rPr>
        <w:t>, Q.C. for the appellant</w:t>
      </w:r>
    </w:p>
    <w:p w:rsidR="00C525BF" w:rsidRPr="00C525BF" w:rsidRDefault="00C525BF" w:rsidP="00C525BF">
      <w:pPr>
        <w:widowControl w:val="0"/>
        <w:ind w:left="3600" w:hanging="3600"/>
        <w:jc w:val="both"/>
        <w:rPr>
          <w:sz w:val="20"/>
          <w:szCs w:val="20"/>
        </w:rPr>
      </w:pPr>
      <w:r w:rsidRPr="00C525BF">
        <w:rPr>
          <w:sz w:val="20"/>
          <w:szCs w:val="20"/>
        </w:rPr>
        <w:tab/>
      </w:r>
      <w:proofErr w:type="spellStart"/>
      <w:r w:rsidRPr="00C525BF">
        <w:rPr>
          <w:sz w:val="20"/>
          <w:szCs w:val="20"/>
        </w:rPr>
        <w:t>Goran</w:t>
      </w:r>
      <w:proofErr w:type="spellEnd"/>
      <w:r w:rsidRPr="00C525BF">
        <w:rPr>
          <w:sz w:val="20"/>
          <w:szCs w:val="20"/>
        </w:rPr>
        <w:t xml:space="preserve"> </w:t>
      </w:r>
      <w:proofErr w:type="spellStart"/>
      <w:r w:rsidRPr="00C525BF">
        <w:rPr>
          <w:sz w:val="20"/>
          <w:szCs w:val="20"/>
        </w:rPr>
        <w:t>Tomljanovic</w:t>
      </w:r>
      <w:proofErr w:type="spellEnd"/>
      <w:r w:rsidRPr="00C525BF">
        <w:rPr>
          <w:sz w:val="20"/>
          <w:szCs w:val="20"/>
        </w:rPr>
        <w:t>, Q.C. for the respondent</w:t>
      </w:r>
    </w:p>
    <w:p w:rsidR="00BA6780" w:rsidRDefault="00BA6780" w:rsidP="00307D0D">
      <w:pPr>
        <w:jc w:val="both"/>
        <w:rPr>
          <w:sz w:val="20"/>
          <w:szCs w:val="20"/>
        </w:rPr>
      </w:pPr>
    </w:p>
    <w:p w:rsidR="00C525BF" w:rsidRDefault="00857426" w:rsidP="00307D0D">
      <w:pPr>
        <w:jc w:val="both"/>
        <w:rPr>
          <w:sz w:val="20"/>
          <w:szCs w:val="20"/>
        </w:rPr>
      </w:pPr>
      <w:r w:rsidRPr="00857426">
        <w:rPr>
          <w:sz w:val="20"/>
          <w:szCs w:val="20"/>
          <w:lang w:val="fr-CA"/>
        </w:rPr>
        <w:pict>
          <v:rect id="_x0000_i1108" style="width:2in;height:1pt" o:hrpct="0" o:hralign="center" o:hrstd="t" o:hrnoshade="t" o:hr="t" fillcolor="black [3213]" stroked="f"/>
        </w:pict>
      </w:r>
    </w:p>
    <w:p w:rsidR="00C525BF" w:rsidRDefault="00C525BF" w:rsidP="00307D0D">
      <w:pPr>
        <w:jc w:val="both"/>
        <w:rPr>
          <w:sz w:val="20"/>
          <w:szCs w:val="20"/>
        </w:rPr>
      </w:pPr>
    </w:p>
    <w:p w:rsidR="00C525BF" w:rsidRDefault="00C525BF">
      <w:pPr>
        <w:rPr>
          <w:sz w:val="20"/>
          <w:szCs w:val="20"/>
        </w:rPr>
      </w:pPr>
      <w:r>
        <w:rPr>
          <w:sz w:val="20"/>
          <w:szCs w:val="20"/>
        </w:rPr>
        <w:br w:type="page"/>
      </w:r>
    </w:p>
    <w:p w:rsidR="00C525BF" w:rsidRPr="00C525BF" w:rsidRDefault="00857426" w:rsidP="00C525BF">
      <w:pPr>
        <w:widowControl w:val="0"/>
        <w:jc w:val="both"/>
        <w:rPr>
          <w:sz w:val="20"/>
          <w:szCs w:val="20"/>
          <w:lang w:val="fr-CA"/>
        </w:rPr>
      </w:pPr>
      <w:r w:rsidRPr="00C525BF">
        <w:rPr>
          <w:b/>
          <w:sz w:val="20"/>
          <w:szCs w:val="20"/>
          <w:lang w:val="fr-CA"/>
        </w:rPr>
        <w:lastRenderedPageBreak/>
        <w:fldChar w:fldCharType="begin"/>
      </w:r>
      <w:r w:rsidR="00C525BF" w:rsidRPr="00C525BF">
        <w:rPr>
          <w:b/>
          <w:sz w:val="20"/>
          <w:szCs w:val="20"/>
          <w:lang w:val="fr-CA"/>
        </w:rPr>
        <w:instrText xml:space="preserve"> SEQ CHAPTER \h \r 1</w:instrText>
      </w:r>
      <w:r w:rsidRPr="00C525BF">
        <w:rPr>
          <w:b/>
          <w:sz w:val="20"/>
          <w:szCs w:val="20"/>
          <w:lang w:val="fr-CA"/>
        </w:rPr>
        <w:fldChar w:fldCharType="end"/>
      </w:r>
      <w:r w:rsidR="00C525BF" w:rsidRPr="00C525BF">
        <w:rPr>
          <w:b/>
          <w:sz w:val="20"/>
          <w:szCs w:val="20"/>
          <w:lang w:val="fr-CA"/>
        </w:rPr>
        <w:t>33476</w:t>
      </w:r>
      <w:r w:rsidR="00C525BF" w:rsidRPr="00C525BF">
        <w:rPr>
          <w:sz w:val="20"/>
          <w:szCs w:val="20"/>
          <w:lang w:val="fr-CA"/>
        </w:rPr>
        <w:tab/>
      </w:r>
      <w:r w:rsidR="00C525BF" w:rsidRPr="00C525BF">
        <w:rPr>
          <w:b/>
          <w:i/>
          <w:sz w:val="20"/>
          <w:szCs w:val="20"/>
          <w:lang w:val="fr-CA"/>
        </w:rPr>
        <w:t>Olga Maria Nixon c. Sa Majesté la Reine</w:t>
      </w:r>
    </w:p>
    <w:p w:rsidR="00C525BF" w:rsidRPr="00C525BF" w:rsidRDefault="00C525BF" w:rsidP="00C525BF">
      <w:pPr>
        <w:widowControl w:val="0"/>
        <w:jc w:val="both"/>
        <w:rPr>
          <w:sz w:val="20"/>
          <w:szCs w:val="20"/>
          <w:lang w:val="fr-CA"/>
        </w:rPr>
      </w:pPr>
    </w:p>
    <w:p w:rsidR="00C525BF" w:rsidRPr="00C525BF" w:rsidRDefault="00C525BF" w:rsidP="00C525BF">
      <w:pPr>
        <w:widowControl w:val="0"/>
        <w:jc w:val="both"/>
        <w:rPr>
          <w:sz w:val="20"/>
          <w:szCs w:val="20"/>
          <w:lang w:val="fr-CA"/>
        </w:rPr>
      </w:pPr>
      <w:r w:rsidRPr="00C525BF">
        <w:rPr>
          <w:i/>
          <w:sz w:val="20"/>
          <w:szCs w:val="20"/>
          <w:lang w:val="fr-CA"/>
        </w:rPr>
        <w:t>Charte des droits</w:t>
      </w:r>
      <w:r w:rsidRPr="00C525BF">
        <w:rPr>
          <w:sz w:val="20"/>
          <w:szCs w:val="20"/>
          <w:lang w:val="fr-CA"/>
        </w:rPr>
        <w:t xml:space="preserve"> - Droit criminel - Pouvoir discrétionnaire en matière de poursuites - Abus de procédure - Droit à la vie, à la liberté et à la sécurité de la personne - Transactions pénales - Répudiation des transactions pénales - La répudiation d’une transaction pénale </w:t>
      </w:r>
      <w:proofErr w:type="spellStart"/>
      <w:r w:rsidRPr="00C525BF">
        <w:rPr>
          <w:sz w:val="20"/>
          <w:szCs w:val="20"/>
          <w:lang w:val="fr-CA"/>
        </w:rPr>
        <w:t>constitue</w:t>
      </w:r>
      <w:r w:rsidRPr="00C525BF">
        <w:rPr>
          <w:sz w:val="20"/>
          <w:szCs w:val="20"/>
          <w:lang w:val="fr-CA"/>
        </w:rPr>
        <w:noBreakHyphen/>
        <w:t>t</w:t>
      </w:r>
      <w:r w:rsidRPr="00C525BF">
        <w:rPr>
          <w:sz w:val="20"/>
          <w:szCs w:val="20"/>
          <w:lang w:val="fr-CA"/>
        </w:rPr>
        <w:noBreakHyphen/>
        <w:t>elle</w:t>
      </w:r>
      <w:proofErr w:type="spellEnd"/>
      <w:r w:rsidRPr="00C525BF">
        <w:rPr>
          <w:sz w:val="20"/>
          <w:szCs w:val="20"/>
          <w:lang w:val="fr-CA"/>
        </w:rPr>
        <w:t xml:space="preserve"> une stratégie ou une conduite devant le tribunal qui relève de la compétence inhérente de contrôle du tribunal?  Les transactions pénales s’</w:t>
      </w:r>
      <w:proofErr w:type="spellStart"/>
      <w:r w:rsidRPr="00C525BF">
        <w:rPr>
          <w:sz w:val="20"/>
          <w:szCs w:val="20"/>
          <w:lang w:val="fr-CA"/>
        </w:rPr>
        <w:t>apparentent</w:t>
      </w:r>
      <w:r w:rsidRPr="00C525BF">
        <w:rPr>
          <w:sz w:val="20"/>
          <w:szCs w:val="20"/>
          <w:lang w:val="fr-CA"/>
        </w:rPr>
        <w:noBreakHyphen/>
        <w:t>elles</w:t>
      </w:r>
      <w:proofErr w:type="spellEnd"/>
      <w:r w:rsidRPr="00C525BF">
        <w:rPr>
          <w:sz w:val="20"/>
          <w:szCs w:val="20"/>
          <w:lang w:val="fr-CA"/>
        </w:rPr>
        <w:t xml:space="preserve"> aux engagements d’un avocat? - Y </w:t>
      </w:r>
      <w:proofErr w:type="spellStart"/>
      <w:r w:rsidRPr="00C525BF">
        <w:rPr>
          <w:sz w:val="20"/>
          <w:szCs w:val="20"/>
          <w:lang w:val="fr-CA"/>
        </w:rPr>
        <w:t>a</w:t>
      </w:r>
      <w:r w:rsidRPr="00C525BF">
        <w:rPr>
          <w:sz w:val="20"/>
          <w:szCs w:val="20"/>
          <w:lang w:val="fr-CA"/>
        </w:rPr>
        <w:noBreakHyphen/>
        <w:t>t</w:t>
      </w:r>
      <w:r w:rsidRPr="00C525BF">
        <w:rPr>
          <w:sz w:val="20"/>
          <w:szCs w:val="20"/>
          <w:lang w:val="fr-CA"/>
        </w:rPr>
        <w:noBreakHyphen/>
        <w:t>il</w:t>
      </w:r>
      <w:proofErr w:type="spellEnd"/>
      <w:r w:rsidRPr="00C525BF">
        <w:rPr>
          <w:sz w:val="20"/>
          <w:szCs w:val="20"/>
          <w:lang w:val="fr-CA"/>
        </w:rPr>
        <w:t xml:space="preserve"> eu abus de procédure en l’espèce? - La Cour d’appel </w:t>
      </w:r>
      <w:proofErr w:type="spellStart"/>
      <w:r w:rsidRPr="00C525BF">
        <w:rPr>
          <w:sz w:val="20"/>
          <w:szCs w:val="20"/>
          <w:lang w:val="fr-CA"/>
        </w:rPr>
        <w:t>a</w:t>
      </w:r>
      <w:r w:rsidRPr="00C525BF">
        <w:rPr>
          <w:sz w:val="20"/>
          <w:szCs w:val="20"/>
          <w:lang w:val="fr-CA"/>
        </w:rPr>
        <w:noBreakHyphen/>
        <w:t>t</w:t>
      </w:r>
      <w:r w:rsidRPr="00C525BF">
        <w:rPr>
          <w:sz w:val="20"/>
          <w:szCs w:val="20"/>
          <w:lang w:val="fr-CA"/>
        </w:rPr>
        <w:noBreakHyphen/>
        <w:t>elle</w:t>
      </w:r>
      <w:proofErr w:type="spellEnd"/>
      <w:r w:rsidRPr="00C525BF">
        <w:rPr>
          <w:sz w:val="20"/>
          <w:szCs w:val="20"/>
          <w:lang w:val="fr-CA"/>
        </w:rPr>
        <w:t xml:space="preserve"> eu tort de permettre au ministère public de revenir sur sa position en appel? - </w:t>
      </w:r>
      <w:r w:rsidRPr="00C525BF">
        <w:rPr>
          <w:i/>
          <w:sz w:val="20"/>
          <w:szCs w:val="20"/>
          <w:lang w:val="fr-CA"/>
        </w:rPr>
        <w:t>Charte canadienne des droits et libertés</w:t>
      </w:r>
      <w:r w:rsidRPr="00C525BF">
        <w:rPr>
          <w:sz w:val="20"/>
          <w:szCs w:val="20"/>
          <w:lang w:val="fr-CA"/>
        </w:rPr>
        <w:t>, art. 7.</w:t>
      </w:r>
    </w:p>
    <w:p w:rsidR="00C525BF" w:rsidRPr="00C525BF" w:rsidRDefault="00C525BF" w:rsidP="00C525BF">
      <w:pPr>
        <w:widowControl w:val="0"/>
        <w:jc w:val="both"/>
        <w:rPr>
          <w:sz w:val="20"/>
          <w:szCs w:val="20"/>
          <w:lang w:val="fr-CA"/>
        </w:rPr>
      </w:pPr>
    </w:p>
    <w:p w:rsidR="00C525BF" w:rsidRPr="00C525BF" w:rsidRDefault="00C525BF" w:rsidP="00C525BF">
      <w:pPr>
        <w:widowControl w:val="0"/>
        <w:jc w:val="both"/>
        <w:rPr>
          <w:sz w:val="20"/>
          <w:szCs w:val="20"/>
          <w:lang w:val="fr-CA"/>
        </w:rPr>
      </w:pPr>
      <w:r w:rsidRPr="00C525BF">
        <w:rPr>
          <w:sz w:val="20"/>
          <w:szCs w:val="20"/>
          <w:lang w:val="fr-CA"/>
        </w:rPr>
        <w:t>La poursuite en l’espèce a découlé d’un accident de la route qui s’est produit en Alberta en septembre 2006.  L’appelante, M</w:t>
      </w:r>
      <w:r w:rsidRPr="00C525BF">
        <w:rPr>
          <w:sz w:val="20"/>
          <w:szCs w:val="20"/>
          <w:vertAlign w:val="superscript"/>
          <w:lang w:val="fr-CA"/>
        </w:rPr>
        <w:t>me</w:t>
      </w:r>
      <w:r w:rsidRPr="00C525BF">
        <w:rPr>
          <w:sz w:val="20"/>
          <w:szCs w:val="20"/>
          <w:lang w:val="fr-CA"/>
        </w:rPr>
        <w:t xml:space="preserve"> Nixon, avait omis d’immobiliser son véhicule automobile à un panneau d’arrêt et était entrée en collision avec un autre véhicule, tuant un homme et sont épouse et blessant leur enfant de sept ans.  Madame Nixon a été accusé de plusieurs infractions au </w:t>
      </w:r>
      <w:r w:rsidRPr="00C525BF">
        <w:rPr>
          <w:i/>
          <w:sz w:val="20"/>
          <w:szCs w:val="20"/>
          <w:lang w:val="fr-CA"/>
        </w:rPr>
        <w:t>Code criminel</w:t>
      </w:r>
      <w:r w:rsidRPr="00C525BF">
        <w:rPr>
          <w:sz w:val="20"/>
          <w:szCs w:val="20"/>
          <w:lang w:val="fr-CA"/>
        </w:rPr>
        <w:t>, y compris de conduite avec facultés affaiblies causant la mort, conduite avec facultés affaiblies causant des lésions corporelles et d’accusations parallèles de conduite dangereuse.  Une transaction pénale a finalement été conclue.  Madame Nixon a accepté de plaider coupable à l’infraction réglementaire de conduite imprudente en échange de l’immunité contre une poursuite criminelle.  Avant l’inscription du plaidoyer de culpabilité, le bureau du procureur général de la province d’Alberta a conclu que la transaction pénale était contraire aux meilleurs intérêts de l’administration de la justice.  La transaction a donc été retirée.  En réaction, M</w:t>
      </w:r>
      <w:r w:rsidRPr="00C525BF">
        <w:rPr>
          <w:sz w:val="20"/>
          <w:szCs w:val="20"/>
          <w:vertAlign w:val="superscript"/>
          <w:lang w:val="fr-CA"/>
        </w:rPr>
        <w:t>me</w:t>
      </w:r>
      <w:r w:rsidRPr="00C525BF">
        <w:rPr>
          <w:sz w:val="20"/>
          <w:szCs w:val="20"/>
          <w:lang w:val="fr-CA"/>
        </w:rPr>
        <w:t xml:space="preserve"> Nixon a introduit une demande fondée sur la </w:t>
      </w:r>
      <w:r w:rsidRPr="00C525BF">
        <w:rPr>
          <w:i/>
          <w:sz w:val="20"/>
          <w:szCs w:val="20"/>
          <w:lang w:val="fr-CA"/>
        </w:rPr>
        <w:t>Charte</w:t>
      </w:r>
      <w:r w:rsidRPr="00C525BF">
        <w:rPr>
          <w:sz w:val="20"/>
          <w:szCs w:val="20"/>
          <w:lang w:val="fr-CA"/>
        </w:rPr>
        <w:t xml:space="preserve">, alléguant que la répudiation de la transaction par le ministère public constituait un abus de procédure et portait atteinte à son droit à la vie, à la liberté et à la sécurité de la personne garantie par l’art. 7 de la </w:t>
      </w:r>
      <w:r w:rsidRPr="00C525BF">
        <w:rPr>
          <w:i/>
          <w:sz w:val="20"/>
          <w:szCs w:val="20"/>
          <w:lang w:val="fr-CA"/>
        </w:rPr>
        <w:t>Charte</w:t>
      </w:r>
      <w:r w:rsidRPr="00C525BF">
        <w:rPr>
          <w:sz w:val="20"/>
          <w:szCs w:val="20"/>
          <w:lang w:val="fr-CA"/>
        </w:rPr>
        <w:t>.  Le juge de première instance a accueilli la demande.  La Cour d’appel a accueilli l’appel.</w:t>
      </w:r>
    </w:p>
    <w:p w:rsidR="00C525BF" w:rsidRPr="00C525BF" w:rsidRDefault="00C525BF" w:rsidP="00C525BF">
      <w:pPr>
        <w:widowControl w:val="0"/>
        <w:jc w:val="both"/>
        <w:rPr>
          <w:sz w:val="20"/>
          <w:szCs w:val="20"/>
          <w:lang w:val="fr-CA"/>
        </w:rPr>
      </w:pPr>
    </w:p>
    <w:p w:rsidR="00C525BF" w:rsidRPr="00C525BF" w:rsidRDefault="00C525BF" w:rsidP="00C525BF">
      <w:pPr>
        <w:widowControl w:val="0"/>
        <w:jc w:val="both"/>
        <w:rPr>
          <w:sz w:val="20"/>
          <w:szCs w:val="20"/>
          <w:lang w:val="fr-CA"/>
        </w:rPr>
      </w:pPr>
    </w:p>
    <w:p w:rsidR="00C525BF" w:rsidRPr="00C525BF" w:rsidRDefault="00C525BF" w:rsidP="00C525BF">
      <w:pPr>
        <w:widowControl w:val="0"/>
        <w:ind w:left="3600" w:hanging="3600"/>
        <w:jc w:val="both"/>
        <w:rPr>
          <w:sz w:val="20"/>
          <w:szCs w:val="20"/>
          <w:lang w:val="fr-CA"/>
        </w:rPr>
      </w:pPr>
      <w:r w:rsidRPr="00C525BF">
        <w:rPr>
          <w:sz w:val="20"/>
          <w:szCs w:val="20"/>
          <w:lang w:val="fr-CA"/>
        </w:rPr>
        <w:t>Origine :</w:t>
      </w:r>
      <w:r w:rsidRPr="00C525BF">
        <w:rPr>
          <w:sz w:val="20"/>
          <w:szCs w:val="20"/>
          <w:lang w:val="fr-CA"/>
        </w:rPr>
        <w:tab/>
        <w:t>Alberta</w:t>
      </w:r>
    </w:p>
    <w:p w:rsidR="00C525BF" w:rsidRPr="00C525BF" w:rsidRDefault="00C525BF" w:rsidP="00C525BF">
      <w:pPr>
        <w:widowControl w:val="0"/>
        <w:jc w:val="both"/>
        <w:rPr>
          <w:sz w:val="20"/>
          <w:szCs w:val="20"/>
          <w:lang w:val="fr-CA"/>
        </w:rPr>
      </w:pPr>
    </w:p>
    <w:p w:rsidR="00C525BF" w:rsidRPr="00C525BF" w:rsidRDefault="00C525BF" w:rsidP="00C525BF">
      <w:pPr>
        <w:widowControl w:val="0"/>
        <w:ind w:left="3600" w:hanging="3600"/>
        <w:jc w:val="both"/>
        <w:rPr>
          <w:sz w:val="20"/>
          <w:szCs w:val="20"/>
          <w:lang w:val="fr-CA"/>
        </w:rPr>
      </w:pPr>
      <w:r w:rsidRPr="00C525BF">
        <w:rPr>
          <w:sz w:val="20"/>
          <w:szCs w:val="20"/>
          <w:lang w:val="fr-CA"/>
        </w:rPr>
        <w:t>N</w:t>
      </w:r>
      <w:r w:rsidRPr="00C525BF">
        <w:rPr>
          <w:sz w:val="20"/>
          <w:szCs w:val="20"/>
          <w:vertAlign w:val="superscript"/>
          <w:lang w:val="fr-CA"/>
        </w:rPr>
        <w:t>o</w:t>
      </w:r>
      <w:r w:rsidRPr="00C525BF">
        <w:rPr>
          <w:sz w:val="20"/>
          <w:szCs w:val="20"/>
          <w:lang w:val="fr-CA"/>
        </w:rPr>
        <w:t xml:space="preserve"> du greffe :</w:t>
      </w:r>
      <w:r w:rsidRPr="00C525BF">
        <w:rPr>
          <w:sz w:val="20"/>
          <w:szCs w:val="20"/>
          <w:lang w:val="fr-CA"/>
        </w:rPr>
        <w:tab/>
        <w:t>33476</w:t>
      </w:r>
    </w:p>
    <w:p w:rsidR="00C525BF" w:rsidRPr="00C525BF" w:rsidRDefault="00C525BF" w:rsidP="00C525BF">
      <w:pPr>
        <w:widowControl w:val="0"/>
        <w:jc w:val="both"/>
        <w:rPr>
          <w:sz w:val="20"/>
          <w:szCs w:val="20"/>
          <w:lang w:val="fr-CA"/>
        </w:rPr>
      </w:pPr>
    </w:p>
    <w:p w:rsidR="00C525BF" w:rsidRPr="00C525BF" w:rsidRDefault="00C525BF" w:rsidP="00C525BF">
      <w:pPr>
        <w:widowControl w:val="0"/>
        <w:ind w:left="3600" w:hanging="3600"/>
        <w:jc w:val="both"/>
        <w:rPr>
          <w:sz w:val="20"/>
          <w:szCs w:val="20"/>
          <w:lang w:val="fr-CA"/>
        </w:rPr>
      </w:pPr>
      <w:r w:rsidRPr="00C525BF">
        <w:rPr>
          <w:sz w:val="20"/>
          <w:szCs w:val="20"/>
          <w:lang w:val="fr-CA"/>
        </w:rPr>
        <w:t>Arrêt de la Cour d’appel :</w:t>
      </w:r>
      <w:r w:rsidRPr="00C525BF">
        <w:rPr>
          <w:sz w:val="20"/>
          <w:szCs w:val="20"/>
          <w:lang w:val="fr-CA"/>
        </w:rPr>
        <w:tab/>
        <w:t>le 13 août 2009</w:t>
      </w:r>
    </w:p>
    <w:p w:rsidR="00C525BF" w:rsidRPr="00C525BF" w:rsidRDefault="00C525BF" w:rsidP="00C525BF">
      <w:pPr>
        <w:widowControl w:val="0"/>
        <w:jc w:val="both"/>
        <w:rPr>
          <w:sz w:val="20"/>
          <w:szCs w:val="20"/>
          <w:lang w:val="fr-CA"/>
        </w:rPr>
      </w:pPr>
    </w:p>
    <w:p w:rsidR="00C525BF" w:rsidRPr="00C525BF" w:rsidRDefault="00C525BF" w:rsidP="00C525BF">
      <w:pPr>
        <w:widowControl w:val="0"/>
        <w:ind w:left="3600" w:hanging="3600"/>
        <w:jc w:val="both"/>
        <w:rPr>
          <w:sz w:val="20"/>
          <w:szCs w:val="20"/>
          <w:lang w:val="fr-CA"/>
        </w:rPr>
      </w:pPr>
      <w:r w:rsidRPr="00C525BF">
        <w:rPr>
          <w:sz w:val="20"/>
          <w:szCs w:val="20"/>
          <w:lang w:val="fr-CA"/>
        </w:rPr>
        <w:t>Avocats :</w:t>
      </w:r>
      <w:r w:rsidRPr="00C525BF">
        <w:rPr>
          <w:sz w:val="20"/>
          <w:szCs w:val="20"/>
          <w:lang w:val="fr-CA"/>
        </w:rPr>
        <w:tab/>
        <w:t xml:space="preserve">Marvin </w:t>
      </w:r>
      <w:proofErr w:type="spellStart"/>
      <w:r w:rsidRPr="00C525BF">
        <w:rPr>
          <w:sz w:val="20"/>
          <w:szCs w:val="20"/>
          <w:lang w:val="fr-CA"/>
        </w:rPr>
        <w:t>Bloos</w:t>
      </w:r>
      <w:proofErr w:type="spellEnd"/>
      <w:r w:rsidRPr="00C525BF">
        <w:rPr>
          <w:sz w:val="20"/>
          <w:szCs w:val="20"/>
          <w:lang w:val="fr-CA"/>
        </w:rPr>
        <w:t xml:space="preserve">, </w:t>
      </w:r>
      <w:proofErr w:type="spellStart"/>
      <w:r w:rsidRPr="00C525BF">
        <w:rPr>
          <w:sz w:val="20"/>
          <w:szCs w:val="20"/>
          <w:lang w:val="fr-CA"/>
        </w:rPr>
        <w:t>c.r</w:t>
      </w:r>
      <w:proofErr w:type="spellEnd"/>
      <w:r w:rsidRPr="00C525BF">
        <w:rPr>
          <w:sz w:val="20"/>
          <w:szCs w:val="20"/>
          <w:lang w:val="fr-CA"/>
        </w:rPr>
        <w:t xml:space="preserve">. et Brian A. </w:t>
      </w:r>
      <w:proofErr w:type="spellStart"/>
      <w:r w:rsidRPr="00C525BF">
        <w:rPr>
          <w:sz w:val="20"/>
          <w:szCs w:val="20"/>
          <w:lang w:val="fr-CA"/>
        </w:rPr>
        <w:t>Beresh</w:t>
      </w:r>
      <w:proofErr w:type="spellEnd"/>
      <w:r w:rsidRPr="00C525BF">
        <w:rPr>
          <w:sz w:val="20"/>
          <w:szCs w:val="20"/>
          <w:lang w:val="fr-CA"/>
        </w:rPr>
        <w:t xml:space="preserve">, </w:t>
      </w:r>
      <w:proofErr w:type="spellStart"/>
      <w:r w:rsidRPr="00C525BF">
        <w:rPr>
          <w:sz w:val="20"/>
          <w:szCs w:val="20"/>
          <w:lang w:val="fr-CA"/>
        </w:rPr>
        <w:t>c.r</w:t>
      </w:r>
      <w:proofErr w:type="spellEnd"/>
      <w:r w:rsidRPr="00C525BF">
        <w:rPr>
          <w:sz w:val="20"/>
          <w:szCs w:val="20"/>
          <w:lang w:val="fr-CA"/>
        </w:rPr>
        <w:t>. pour l’appelante</w:t>
      </w:r>
    </w:p>
    <w:p w:rsidR="00C525BF" w:rsidRPr="00C525BF" w:rsidRDefault="00C525BF" w:rsidP="00C525BF">
      <w:pPr>
        <w:widowControl w:val="0"/>
        <w:ind w:left="3600"/>
        <w:jc w:val="both"/>
        <w:rPr>
          <w:sz w:val="20"/>
          <w:szCs w:val="20"/>
          <w:lang w:val="fr-CA"/>
        </w:rPr>
      </w:pPr>
      <w:r w:rsidRPr="00C525BF">
        <w:rPr>
          <w:sz w:val="20"/>
          <w:szCs w:val="20"/>
          <w:lang w:val="fr-CA"/>
        </w:rPr>
        <w:t xml:space="preserve">Goran </w:t>
      </w:r>
      <w:proofErr w:type="spellStart"/>
      <w:r w:rsidRPr="00C525BF">
        <w:rPr>
          <w:sz w:val="20"/>
          <w:szCs w:val="20"/>
          <w:lang w:val="fr-CA"/>
        </w:rPr>
        <w:t>Tomljanovic</w:t>
      </w:r>
      <w:proofErr w:type="spellEnd"/>
      <w:r w:rsidRPr="00C525BF">
        <w:rPr>
          <w:sz w:val="20"/>
          <w:szCs w:val="20"/>
          <w:lang w:val="fr-CA"/>
        </w:rPr>
        <w:t xml:space="preserve">, </w:t>
      </w:r>
      <w:proofErr w:type="spellStart"/>
      <w:r w:rsidRPr="00C525BF">
        <w:rPr>
          <w:sz w:val="20"/>
          <w:szCs w:val="20"/>
          <w:lang w:val="fr-CA"/>
        </w:rPr>
        <w:t>c.r</w:t>
      </w:r>
      <w:proofErr w:type="spellEnd"/>
      <w:r w:rsidRPr="00C525BF">
        <w:rPr>
          <w:sz w:val="20"/>
          <w:szCs w:val="20"/>
          <w:lang w:val="fr-CA"/>
        </w:rPr>
        <w:t>. pour l’intimée</w:t>
      </w:r>
    </w:p>
    <w:p w:rsidR="00C525BF" w:rsidRDefault="00C525BF" w:rsidP="00307D0D">
      <w:pPr>
        <w:jc w:val="both"/>
        <w:rPr>
          <w:sz w:val="20"/>
          <w:szCs w:val="20"/>
          <w:lang w:val="fr-CA"/>
        </w:rPr>
      </w:pPr>
    </w:p>
    <w:p w:rsidR="00C525BF" w:rsidRDefault="00857426" w:rsidP="00307D0D">
      <w:pPr>
        <w:jc w:val="both"/>
        <w:rPr>
          <w:sz w:val="20"/>
          <w:szCs w:val="20"/>
          <w:lang w:val="fr-CA"/>
        </w:rPr>
      </w:pPr>
      <w:r w:rsidRPr="00857426">
        <w:rPr>
          <w:sz w:val="20"/>
          <w:szCs w:val="20"/>
          <w:lang w:val="fr-CA"/>
        </w:rPr>
        <w:pict>
          <v:rect id="_x0000_i1109" style="width:2in;height:1pt" o:hrpct="0" o:hralign="center" o:hrstd="t" o:hrnoshade="t" o:hr="t" fillcolor="black [3213]" stroked="f"/>
        </w:pict>
      </w:r>
    </w:p>
    <w:p w:rsidR="00C525BF" w:rsidRDefault="00C525BF">
      <w:pPr>
        <w:rPr>
          <w:sz w:val="20"/>
          <w:szCs w:val="20"/>
          <w:lang w:val="fr-CA"/>
        </w:rPr>
      </w:pPr>
      <w:r>
        <w:rPr>
          <w:sz w:val="20"/>
          <w:szCs w:val="20"/>
          <w:lang w:val="fr-CA"/>
        </w:rPr>
        <w:br w:type="page"/>
      </w:r>
    </w:p>
    <w:p w:rsidR="00C525BF" w:rsidRPr="00C525BF" w:rsidRDefault="00857426" w:rsidP="00C525BF">
      <w:pPr>
        <w:widowControl w:val="0"/>
        <w:ind w:left="720" w:hanging="720"/>
        <w:jc w:val="both"/>
        <w:rPr>
          <w:sz w:val="20"/>
          <w:szCs w:val="20"/>
        </w:rPr>
      </w:pPr>
      <w:r w:rsidRPr="00C525BF">
        <w:rPr>
          <w:sz w:val="20"/>
          <w:szCs w:val="20"/>
        </w:rPr>
        <w:lastRenderedPageBreak/>
        <w:fldChar w:fldCharType="begin"/>
      </w:r>
      <w:r w:rsidR="00C525BF" w:rsidRPr="00C525BF">
        <w:rPr>
          <w:sz w:val="20"/>
          <w:szCs w:val="20"/>
        </w:rPr>
        <w:instrText xml:space="preserve"> SEQ CHAPTER \h \r 1</w:instrText>
      </w:r>
      <w:r w:rsidRPr="00C525BF">
        <w:rPr>
          <w:sz w:val="20"/>
          <w:szCs w:val="20"/>
        </w:rPr>
        <w:fldChar w:fldCharType="end"/>
      </w:r>
      <w:r w:rsidR="00C525BF" w:rsidRPr="00C525BF">
        <w:rPr>
          <w:b/>
          <w:sz w:val="20"/>
          <w:szCs w:val="20"/>
        </w:rPr>
        <w:t>33340</w:t>
      </w:r>
      <w:r w:rsidR="00C525BF" w:rsidRPr="00C525BF">
        <w:rPr>
          <w:sz w:val="20"/>
          <w:szCs w:val="20"/>
        </w:rPr>
        <w:tab/>
      </w:r>
      <w:r w:rsidR="00C525BF" w:rsidRPr="00C525BF">
        <w:rPr>
          <w:b/>
          <w:i/>
          <w:sz w:val="20"/>
          <w:szCs w:val="20"/>
        </w:rPr>
        <w:t>Her Majesty the Queen in Right of Alberta (Minister of Aboriginal Affairs and Northern Development) et</w:t>
      </w:r>
      <w:r w:rsidR="00A5581D">
        <w:rPr>
          <w:b/>
          <w:i/>
          <w:sz w:val="20"/>
          <w:szCs w:val="20"/>
        </w:rPr>
        <w:t> </w:t>
      </w:r>
      <w:r w:rsidR="00C525BF" w:rsidRPr="00C525BF">
        <w:rPr>
          <w:b/>
          <w:i/>
          <w:sz w:val="20"/>
          <w:szCs w:val="20"/>
        </w:rPr>
        <w:t>al. v. Barbara Cunningham et al.</w:t>
      </w:r>
    </w:p>
    <w:p w:rsidR="00C525BF" w:rsidRPr="00C525BF" w:rsidRDefault="00C525BF" w:rsidP="00C525BF">
      <w:pPr>
        <w:widowControl w:val="0"/>
        <w:jc w:val="both"/>
        <w:rPr>
          <w:sz w:val="20"/>
          <w:szCs w:val="20"/>
        </w:rPr>
      </w:pPr>
    </w:p>
    <w:p w:rsidR="00C525BF" w:rsidRPr="00C525BF" w:rsidRDefault="00C525BF" w:rsidP="00C525BF">
      <w:pPr>
        <w:widowControl w:val="0"/>
        <w:jc w:val="both"/>
        <w:rPr>
          <w:sz w:val="20"/>
          <w:szCs w:val="20"/>
        </w:rPr>
      </w:pPr>
      <w:r w:rsidRPr="00C525BF">
        <w:rPr>
          <w:i/>
          <w:sz w:val="20"/>
          <w:szCs w:val="20"/>
        </w:rPr>
        <w:t>Charter of Rights and Freedoms</w:t>
      </w:r>
      <w:r w:rsidRPr="00C525BF">
        <w:rPr>
          <w:sz w:val="20"/>
          <w:szCs w:val="20"/>
        </w:rPr>
        <w:t xml:space="preserve">, s. 15 - Constitutional law - Right to equality - Aboriginal law - Métis - Respondents’ membership in the </w:t>
      </w:r>
      <w:proofErr w:type="spellStart"/>
      <w:r w:rsidRPr="00C525BF">
        <w:rPr>
          <w:sz w:val="20"/>
          <w:szCs w:val="20"/>
        </w:rPr>
        <w:t>Peavine</w:t>
      </w:r>
      <w:proofErr w:type="spellEnd"/>
      <w:r w:rsidRPr="00C525BF">
        <w:rPr>
          <w:sz w:val="20"/>
          <w:szCs w:val="20"/>
        </w:rPr>
        <w:t xml:space="preserve"> Métis Settlement terminated pursuant to s. 90 of the</w:t>
      </w:r>
      <w:r w:rsidRPr="00C525BF">
        <w:rPr>
          <w:i/>
          <w:sz w:val="20"/>
          <w:szCs w:val="20"/>
        </w:rPr>
        <w:t xml:space="preserve"> Métis Settlements Act</w:t>
      </w:r>
      <w:r w:rsidRPr="00C525BF">
        <w:rPr>
          <w:sz w:val="20"/>
          <w:szCs w:val="20"/>
        </w:rPr>
        <w:t xml:space="preserve"> after they voluntarily registered as Indians under the </w:t>
      </w:r>
      <w:r w:rsidRPr="00C525BF">
        <w:rPr>
          <w:i/>
          <w:sz w:val="20"/>
          <w:szCs w:val="20"/>
        </w:rPr>
        <w:t>Indian Act</w:t>
      </w:r>
      <w:r w:rsidRPr="00C525BF">
        <w:rPr>
          <w:sz w:val="20"/>
          <w:szCs w:val="20"/>
        </w:rPr>
        <w:t xml:space="preserve">, R.S.C. 1985, c. I-5 - Section 75 of the MSA prohibits individuals with Indian status from obtaining Métis settlement membership - Do ss. 75 and/or 90 of the </w:t>
      </w:r>
      <w:r w:rsidRPr="00C525BF">
        <w:rPr>
          <w:i/>
          <w:sz w:val="20"/>
          <w:szCs w:val="20"/>
        </w:rPr>
        <w:t>Métis Settlements Act</w:t>
      </w:r>
      <w:r w:rsidRPr="00C525BF">
        <w:rPr>
          <w:sz w:val="20"/>
          <w:szCs w:val="20"/>
        </w:rPr>
        <w:t xml:space="preserve">, R.S.A. 2000, c. M-14, infringe s. 2(d) of the </w:t>
      </w:r>
      <w:r w:rsidRPr="00C525BF">
        <w:rPr>
          <w:i/>
          <w:sz w:val="20"/>
          <w:szCs w:val="20"/>
        </w:rPr>
        <w:t>Canadian Charter of Rights and Freedoms</w:t>
      </w:r>
      <w:r w:rsidRPr="00C525BF">
        <w:rPr>
          <w:sz w:val="20"/>
          <w:szCs w:val="20"/>
        </w:rPr>
        <w:t xml:space="preserve">? - If so, is the infringement a reasonable limit prescribed by law as can be demonstrably justified in a free and democratic society under s. 1 of the </w:t>
      </w:r>
      <w:r w:rsidRPr="00C525BF">
        <w:rPr>
          <w:i/>
          <w:sz w:val="20"/>
          <w:szCs w:val="20"/>
        </w:rPr>
        <w:t>Canadian Charter of Rights and Freedoms</w:t>
      </w:r>
      <w:r w:rsidRPr="00C525BF">
        <w:rPr>
          <w:sz w:val="20"/>
          <w:szCs w:val="20"/>
        </w:rPr>
        <w:t xml:space="preserve">? - Do ss. 75 and/or 90 of the </w:t>
      </w:r>
      <w:r w:rsidRPr="00C525BF">
        <w:rPr>
          <w:i/>
          <w:sz w:val="20"/>
          <w:szCs w:val="20"/>
        </w:rPr>
        <w:t>Métis Settlements Act</w:t>
      </w:r>
      <w:r w:rsidRPr="00C525BF">
        <w:rPr>
          <w:sz w:val="20"/>
          <w:szCs w:val="20"/>
        </w:rPr>
        <w:t xml:space="preserve">, R.S.A. 2000, </w:t>
      </w:r>
      <w:proofErr w:type="gramStart"/>
      <w:r w:rsidRPr="00C525BF">
        <w:rPr>
          <w:sz w:val="20"/>
          <w:szCs w:val="20"/>
        </w:rPr>
        <w:t>c</w:t>
      </w:r>
      <w:proofErr w:type="gramEnd"/>
      <w:r w:rsidRPr="00C525BF">
        <w:rPr>
          <w:sz w:val="20"/>
          <w:szCs w:val="20"/>
        </w:rPr>
        <w:t xml:space="preserve">. M-14, infringe s. 7 of the Canadian Charter of Rights and Freedoms? - If so, is the infringement a reasonable limit prescribed by law as can be demonstrably justified in a free and democratic society under s. 1 of the </w:t>
      </w:r>
      <w:r w:rsidRPr="00C525BF">
        <w:rPr>
          <w:i/>
          <w:sz w:val="20"/>
          <w:szCs w:val="20"/>
        </w:rPr>
        <w:t>Canadian Charter of Rights and Freedoms</w:t>
      </w:r>
      <w:r w:rsidRPr="00C525BF">
        <w:rPr>
          <w:sz w:val="20"/>
          <w:szCs w:val="20"/>
        </w:rPr>
        <w:t xml:space="preserve">? - Do ss. 75 and/or 90 of the </w:t>
      </w:r>
      <w:r w:rsidRPr="00C525BF">
        <w:rPr>
          <w:i/>
          <w:sz w:val="20"/>
          <w:szCs w:val="20"/>
        </w:rPr>
        <w:t>Métis Settlements Act</w:t>
      </w:r>
      <w:r w:rsidRPr="00C525BF">
        <w:rPr>
          <w:sz w:val="20"/>
          <w:szCs w:val="20"/>
        </w:rPr>
        <w:t xml:space="preserve">, R.S.A. 2000, </w:t>
      </w:r>
      <w:proofErr w:type="gramStart"/>
      <w:r w:rsidRPr="00C525BF">
        <w:rPr>
          <w:sz w:val="20"/>
          <w:szCs w:val="20"/>
        </w:rPr>
        <w:t>c</w:t>
      </w:r>
      <w:proofErr w:type="gramEnd"/>
      <w:r w:rsidRPr="00C525BF">
        <w:rPr>
          <w:sz w:val="20"/>
          <w:szCs w:val="20"/>
        </w:rPr>
        <w:t xml:space="preserve">. M-14, infringe s. 15 of the </w:t>
      </w:r>
      <w:r w:rsidRPr="00C525BF">
        <w:rPr>
          <w:i/>
          <w:sz w:val="20"/>
          <w:szCs w:val="20"/>
        </w:rPr>
        <w:t>Canadian Charter of Rights and Freedoms</w:t>
      </w:r>
      <w:r w:rsidRPr="00C525BF">
        <w:rPr>
          <w:sz w:val="20"/>
          <w:szCs w:val="20"/>
        </w:rPr>
        <w:t xml:space="preserve">? - If so, is the infringement a reasonable limit prescribed by law as can be demonstrably justified in a free and democratic society under s. 1 of the </w:t>
      </w:r>
      <w:r w:rsidRPr="00C525BF">
        <w:rPr>
          <w:i/>
          <w:sz w:val="20"/>
          <w:szCs w:val="20"/>
        </w:rPr>
        <w:t>Canadian Charter of Rights and Freedoms</w:t>
      </w:r>
      <w:r w:rsidRPr="00C525BF">
        <w:rPr>
          <w:sz w:val="20"/>
          <w:szCs w:val="20"/>
        </w:rPr>
        <w:t>?</w:t>
      </w:r>
    </w:p>
    <w:p w:rsidR="00C525BF" w:rsidRPr="00C525BF" w:rsidRDefault="00C525BF" w:rsidP="00C525BF">
      <w:pPr>
        <w:widowControl w:val="0"/>
        <w:jc w:val="both"/>
        <w:rPr>
          <w:sz w:val="20"/>
          <w:szCs w:val="20"/>
        </w:rPr>
      </w:pPr>
    </w:p>
    <w:p w:rsidR="00C525BF" w:rsidRPr="00C525BF" w:rsidRDefault="00C525BF" w:rsidP="00C525BF">
      <w:pPr>
        <w:widowControl w:val="0"/>
        <w:jc w:val="both"/>
        <w:rPr>
          <w:sz w:val="20"/>
          <w:szCs w:val="20"/>
        </w:rPr>
      </w:pPr>
      <w:r w:rsidRPr="00C525BF">
        <w:rPr>
          <w:sz w:val="20"/>
          <w:szCs w:val="20"/>
        </w:rPr>
        <w:t xml:space="preserve">The respondents are individuals whose membership in the </w:t>
      </w:r>
      <w:proofErr w:type="spellStart"/>
      <w:r w:rsidRPr="00C525BF">
        <w:rPr>
          <w:sz w:val="20"/>
          <w:szCs w:val="20"/>
        </w:rPr>
        <w:t>Peavine</w:t>
      </w:r>
      <w:proofErr w:type="spellEnd"/>
      <w:r w:rsidRPr="00C525BF">
        <w:rPr>
          <w:sz w:val="20"/>
          <w:szCs w:val="20"/>
        </w:rPr>
        <w:t xml:space="preserve"> Métis Settlement was terminated pursuant to s. 90 of the</w:t>
      </w:r>
      <w:r w:rsidRPr="00C525BF">
        <w:rPr>
          <w:i/>
          <w:sz w:val="20"/>
          <w:szCs w:val="20"/>
        </w:rPr>
        <w:t xml:space="preserve"> Métis Settlements Act</w:t>
      </w:r>
      <w:r w:rsidRPr="00C525BF">
        <w:rPr>
          <w:sz w:val="20"/>
          <w:szCs w:val="20"/>
        </w:rPr>
        <w:t xml:space="preserve"> (“MSA”), which calls for the removal of Métis settlement members who voluntarily register as Indians under the </w:t>
      </w:r>
      <w:r w:rsidRPr="00C525BF">
        <w:rPr>
          <w:i/>
          <w:sz w:val="20"/>
          <w:szCs w:val="20"/>
        </w:rPr>
        <w:t>Indian Act</w:t>
      </w:r>
      <w:r w:rsidRPr="00C525BF">
        <w:rPr>
          <w:sz w:val="20"/>
          <w:szCs w:val="20"/>
        </w:rPr>
        <w:t xml:space="preserve">.  Section 75 of the MSA prohibits individuals with Indian status from obtaining Métis settlement membership.  The respondents’ names were removed from its membership list by the appellant, Registrar, Métis Settlements Land Registry, pursuant to a list from the then </w:t>
      </w:r>
      <w:proofErr w:type="spellStart"/>
      <w:r w:rsidRPr="00C525BF">
        <w:rPr>
          <w:sz w:val="20"/>
          <w:szCs w:val="20"/>
        </w:rPr>
        <w:t>Peavine</w:t>
      </w:r>
      <w:proofErr w:type="spellEnd"/>
      <w:r w:rsidRPr="00C525BF">
        <w:rPr>
          <w:sz w:val="20"/>
          <w:szCs w:val="20"/>
        </w:rPr>
        <w:t xml:space="preserve"> Council (a new Council has been subsequently elected).  The chambers judge denied the respondents’ request for a declaration that ss. 75 and 90(1</w:t>
      </w:r>
      <w:proofErr w:type="gramStart"/>
      <w:r w:rsidRPr="00C525BF">
        <w:rPr>
          <w:sz w:val="20"/>
          <w:szCs w:val="20"/>
        </w:rPr>
        <w:t>)(</w:t>
      </w:r>
      <w:proofErr w:type="gramEnd"/>
      <w:r w:rsidRPr="00C525BF">
        <w:rPr>
          <w:sz w:val="20"/>
          <w:szCs w:val="20"/>
        </w:rPr>
        <w:t xml:space="preserve">a) of the MSA breach ss. 2(d), 7, and/or 15(1) of the </w:t>
      </w:r>
      <w:r w:rsidRPr="00C525BF">
        <w:rPr>
          <w:i/>
          <w:sz w:val="20"/>
          <w:szCs w:val="20"/>
        </w:rPr>
        <w:t>Charter</w:t>
      </w:r>
      <w:r w:rsidRPr="00C525BF">
        <w:rPr>
          <w:sz w:val="20"/>
          <w:szCs w:val="20"/>
        </w:rPr>
        <w:t xml:space="preserve">.  The Court of Appeal allowed the appeal, granted the respondents a declaration of constitutional invalidity of ss. 75 and 90 of the MSA and a direction of severance regarding those provisions, together with an order directing the Registrar to restore the respondents’ names to </w:t>
      </w:r>
      <w:proofErr w:type="spellStart"/>
      <w:r w:rsidRPr="00C525BF">
        <w:rPr>
          <w:sz w:val="20"/>
          <w:szCs w:val="20"/>
        </w:rPr>
        <w:t>Peavine’s</w:t>
      </w:r>
      <w:proofErr w:type="spellEnd"/>
      <w:r w:rsidRPr="00C525BF">
        <w:rPr>
          <w:sz w:val="20"/>
          <w:szCs w:val="20"/>
        </w:rPr>
        <w:t xml:space="preserve"> membership list.  It ordered the relief to be retroactive and it declined the request that these remedies be suspended for a period of time.</w:t>
      </w:r>
    </w:p>
    <w:p w:rsidR="00C525BF" w:rsidRPr="00C525BF" w:rsidRDefault="00C525BF" w:rsidP="00C525BF">
      <w:pPr>
        <w:widowControl w:val="0"/>
        <w:jc w:val="both"/>
        <w:rPr>
          <w:sz w:val="20"/>
          <w:szCs w:val="20"/>
        </w:rPr>
      </w:pPr>
    </w:p>
    <w:p w:rsidR="00C525BF" w:rsidRPr="00C525BF" w:rsidRDefault="00C525BF" w:rsidP="00C525BF">
      <w:pPr>
        <w:widowControl w:val="0"/>
        <w:jc w:val="both"/>
        <w:rPr>
          <w:sz w:val="20"/>
          <w:szCs w:val="20"/>
        </w:rPr>
      </w:pPr>
    </w:p>
    <w:p w:rsidR="00C525BF" w:rsidRPr="00C525BF" w:rsidRDefault="00C525BF" w:rsidP="00C525BF">
      <w:pPr>
        <w:widowControl w:val="0"/>
        <w:ind w:left="3600" w:hanging="3600"/>
        <w:jc w:val="both"/>
        <w:rPr>
          <w:sz w:val="20"/>
          <w:szCs w:val="20"/>
        </w:rPr>
      </w:pPr>
      <w:r w:rsidRPr="00C525BF">
        <w:rPr>
          <w:sz w:val="20"/>
          <w:szCs w:val="20"/>
        </w:rPr>
        <w:t>Origin of the case:</w:t>
      </w:r>
      <w:r w:rsidRPr="00C525BF">
        <w:rPr>
          <w:sz w:val="20"/>
          <w:szCs w:val="20"/>
        </w:rPr>
        <w:tab/>
        <w:t>Alberta</w:t>
      </w:r>
    </w:p>
    <w:p w:rsidR="00C525BF" w:rsidRPr="00C525BF" w:rsidRDefault="00C525BF" w:rsidP="00C525BF">
      <w:pPr>
        <w:widowControl w:val="0"/>
        <w:ind w:left="3600" w:hanging="3600"/>
        <w:jc w:val="both"/>
        <w:rPr>
          <w:sz w:val="20"/>
          <w:szCs w:val="20"/>
        </w:rPr>
      </w:pPr>
    </w:p>
    <w:p w:rsidR="00C525BF" w:rsidRPr="00C525BF" w:rsidRDefault="00C525BF" w:rsidP="00C525BF">
      <w:pPr>
        <w:widowControl w:val="0"/>
        <w:ind w:left="3600" w:hanging="3600"/>
        <w:jc w:val="both"/>
        <w:rPr>
          <w:sz w:val="20"/>
          <w:szCs w:val="20"/>
        </w:rPr>
      </w:pPr>
      <w:r w:rsidRPr="00C525BF">
        <w:rPr>
          <w:sz w:val="20"/>
          <w:szCs w:val="20"/>
        </w:rPr>
        <w:t>File No.:</w:t>
      </w:r>
      <w:r w:rsidRPr="00C525BF">
        <w:rPr>
          <w:sz w:val="20"/>
          <w:szCs w:val="20"/>
        </w:rPr>
        <w:tab/>
        <w:t>33340</w:t>
      </w:r>
    </w:p>
    <w:p w:rsidR="00C525BF" w:rsidRPr="00C525BF" w:rsidRDefault="00C525BF" w:rsidP="00C525BF">
      <w:pPr>
        <w:widowControl w:val="0"/>
        <w:ind w:left="3600" w:hanging="3600"/>
        <w:jc w:val="both"/>
        <w:rPr>
          <w:sz w:val="20"/>
          <w:szCs w:val="20"/>
        </w:rPr>
      </w:pPr>
    </w:p>
    <w:p w:rsidR="00C525BF" w:rsidRPr="00C525BF" w:rsidRDefault="00C525BF" w:rsidP="00C525BF">
      <w:pPr>
        <w:widowControl w:val="0"/>
        <w:ind w:left="3600" w:hanging="3600"/>
        <w:jc w:val="both"/>
        <w:rPr>
          <w:sz w:val="20"/>
          <w:szCs w:val="20"/>
        </w:rPr>
      </w:pPr>
      <w:r w:rsidRPr="00C525BF">
        <w:rPr>
          <w:sz w:val="20"/>
          <w:szCs w:val="20"/>
        </w:rPr>
        <w:t>Judgment of the Court of Appeal:</w:t>
      </w:r>
      <w:r w:rsidRPr="00C525BF">
        <w:rPr>
          <w:sz w:val="20"/>
          <w:szCs w:val="20"/>
        </w:rPr>
        <w:tab/>
        <w:t>June 26, 2009</w:t>
      </w:r>
    </w:p>
    <w:p w:rsidR="00C525BF" w:rsidRPr="00C525BF" w:rsidRDefault="00C525BF" w:rsidP="00C525BF">
      <w:pPr>
        <w:widowControl w:val="0"/>
        <w:ind w:left="3600" w:hanging="3600"/>
        <w:jc w:val="both"/>
        <w:rPr>
          <w:sz w:val="20"/>
          <w:szCs w:val="20"/>
        </w:rPr>
      </w:pPr>
    </w:p>
    <w:p w:rsidR="00C525BF" w:rsidRPr="00C525BF" w:rsidRDefault="00C525BF" w:rsidP="00C525BF">
      <w:pPr>
        <w:widowControl w:val="0"/>
        <w:ind w:left="3600" w:hanging="3600"/>
        <w:jc w:val="both"/>
        <w:rPr>
          <w:sz w:val="20"/>
          <w:szCs w:val="20"/>
        </w:rPr>
      </w:pPr>
      <w:r w:rsidRPr="00C525BF">
        <w:rPr>
          <w:sz w:val="20"/>
          <w:szCs w:val="20"/>
        </w:rPr>
        <w:t>Counsel:</w:t>
      </w:r>
      <w:r w:rsidRPr="00C525BF">
        <w:rPr>
          <w:sz w:val="20"/>
          <w:szCs w:val="20"/>
        </w:rPr>
        <w:tab/>
        <w:t xml:space="preserve">Robert J. </w:t>
      </w:r>
      <w:proofErr w:type="spellStart"/>
      <w:r w:rsidRPr="00C525BF">
        <w:rPr>
          <w:sz w:val="20"/>
          <w:szCs w:val="20"/>
        </w:rPr>
        <w:t>Normey</w:t>
      </w:r>
      <w:proofErr w:type="spellEnd"/>
      <w:r w:rsidRPr="00C525BF">
        <w:rPr>
          <w:sz w:val="20"/>
          <w:szCs w:val="20"/>
        </w:rPr>
        <w:t xml:space="preserve"> and David </w:t>
      </w:r>
      <w:proofErr w:type="spellStart"/>
      <w:r w:rsidRPr="00C525BF">
        <w:rPr>
          <w:sz w:val="20"/>
          <w:szCs w:val="20"/>
        </w:rPr>
        <w:t>Kamal</w:t>
      </w:r>
      <w:proofErr w:type="spellEnd"/>
      <w:r w:rsidRPr="00C525BF">
        <w:rPr>
          <w:sz w:val="20"/>
          <w:szCs w:val="20"/>
        </w:rPr>
        <w:t xml:space="preserve"> for the Appellants</w:t>
      </w:r>
    </w:p>
    <w:p w:rsidR="00C525BF" w:rsidRPr="00C525BF" w:rsidRDefault="00C525BF" w:rsidP="00C525BF">
      <w:pPr>
        <w:widowControl w:val="0"/>
        <w:ind w:left="3600" w:hanging="3600"/>
        <w:jc w:val="both"/>
        <w:rPr>
          <w:sz w:val="20"/>
          <w:szCs w:val="20"/>
        </w:rPr>
      </w:pPr>
      <w:r w:rsidRPr="00C525BF">
        <w:rPr>
          <w:sz w:val="20"/>
          <w:szCs w:val="20"/>
        </w:rPr>
        <w:tab/>
        <w:t xml:space="preserve">Kevin </w:t>
      </w:r>
      <w:proofErr w:type="spellStart"/>
      <w:r w:rsidRPr="00C525BF">
        <w:rPr>
          <w:sz w:val="20"/>
          <w:szCs w:val="20"/>
        </w:rPr>
        <w:t>Feth</w:t>
      </w:r>
      <w:proofErr w:type="spellEnd"/>
      <w:r w:rsidRPr="00C525BF">
        <w:rPr>
          <w:sz w:val="20"/>
          <w:szCs w:val="20"/>
        </w:rPr>
        <w:t xml:space="preserve"> for the Respondents</w:t>
      </w:r>
    </w:p>
    <w:p w:rsidR="00C525BF" w:rsidRDefault="00C525BF" w:rsidP="00307D0D">
      <w:pPr>
        <w:jc w:val="both"/>
        <w:rPr>
          <w:sz w:val="20"/>
          <w:szCs w:val="20"/>
        </w:rPr>
      </w:pPr>
    </w:p>
    <w:p w:rsidR="00C525BF" w:rsidRDefault="00857426" w:rsidP="00307D0D">
      <w:pPr>
        <w:jc w:val="both"/>
        <w:rPr>
          <w:sz w:val="20"/>
          <w:szCs w:val="20"/>
        </w:rPr>
      </w:pPr>
      <w:r w:rsidRPr="00857426">
        <w:rPr>
          <w:sz w:val="20"/>
          <w:szCs w:val="20"/>
          <w:lang w:val="fr-CA"/>
        </w:rPr>
        <w:pict>
          <v:rect id="_x0000_i1110" style="width:2in;height:1pt" o:hrpct="0" o:hralign="center" o:hrstd="t" o:hrnoshade="t" o:hr="t" fillcolor="black [3213]" stroked="f"/>
        </w:pict>
      </w:r>
    </w:p>
    <w:p w:rsidR="00C525BF" w:rsidRDefault="00C525BF" w:rsidP="00307D0D">
      <w:pPr>
        <w:jc w:val="both"/>
        <w:rPr>
          <w:sz w:val="20"/>
          <w:szCs w:val="20"/>
        </w:rPr>
      </w:pPr>
    </w:p>
    <w:p w:rsidR="00C525BF" w:rsidRDefault="00C525BF">
      <w:pPr>
        <w:rPr>
          <w:sz w:val="20"/>
          <w:szCs w:val="20"/>
        </w:rPr>
      </w:pPr>
      <w:r>
        <w:rPr>
          <w:sz w:val="20"/>
          <w:szCs w:val="20"/>
        </w:rPr>
        <w:br w:type="page"/>
      </w:r>
    </w:p>
    <w:p w:rsidR="00C525BF" w:rsidRPr="00C525BF" w:rsidRDefault="00857426" w:rsidP="00C525BF">
      <w:pPr>
        <w:widowControl w:val="0"/>
        <w:ind w:left="720" w:hanging="720"/>
        <w:jc w:val="both"/>
        <w:rPr>
          <w:sz w:val="20"/>
          <w:szCs w:val="20"/>
          <w:lang w:val="fr-CA"/>
        </w:rPr>
      </w:pPr>
      <w:r w:rsidRPr="00857426">
        <w:rPr>
          <w:sz w:val="20"/>
          <w:szCs w:val="20"/>
          <w:lang w:val="fr-CA"/>
        </w:rPr>
        <w:lastRenderedPageBreak/>
        <w:fldChar w:fldCharType="begin"/>
      </w:r>
      <w:r w:rsidR="00C525BF" w:rsidRPr="00C525BF">
        <w:rPr>
          <w:sz w:val="20"/>
          <w:szCs w:val="20"/>
          <w:lang w:val="fr-CA"/>
        </w:rPr>
        <w:instrText xml:space="preserve"> SEQ CHAPTER \h \r 1</w:instrText>
      </w:r>
      <w:r w:rsidRPr="00C525BF">
        <w:rPr>
          <w:sz w:val="20"/>
          <w:szCs w:val="20"/>
        </w:rPr>
        <w:fldChar w:fldCharType="end"/>
      </w:r>
      <w:r w:rsidR="00C525BF" w:rsidRPr="00C525BF">
        <w:rPr>
          <w:b/>
          <w:sz w:val="20"/>
          <w:szCs w:val="20"/>
          <w:lang w:val="fr-CA"/>
        </w:rPr>
        <w:t>33340</w:t>
      </w:r>
      <w:r w:rsidR="00C525BF" w:rsidRPr="00C525BF">
        <w:rPr>
          <w:sz w:val="20"/>
          <w:szCs w:val="20"/>
          <w:lang w:val="fr-CA"/>
        </w:rPr>
        <w:tab/>
      </w:r>
      <w:r w:rsidR="00C525BF" w:rsidRPr="00C525BF">
        <w:rPr>
          <w:b/>
          <w:i/>
          <w:sz w:val="20"/>
          <w:szCs w:val="20"/>
          <w:lang w:val="fr-CA"/>
        </w:rPr>
        <w:t>Sa Majesté la Reine du chef de l’Alberta (</w:t>
      </w:r>
      <w:proofErr w:type="spellStart"/>
      <w:r w:rsidR="00C525BF" w:rsidRPr="00C525BF">
        <w:rPr>
          <w:b/>
          <w:i/>
          <w:sz w:val="20"/>
          <w:szCs w:val="20"/>
          <w:lang w:val="fr-CA"/>
        </w:rPr>
        <w:t>Minister</w:t>
      </w:r>
      <w:proofErr w:type="spellEnd"/>
      <w:r w:rsidR="00C525BF" w:rsidRPr="00C525BF">
        <w:rPr>
          <w:b/>
          <w:i/>
          <w:sz w:val="20"/>
          <w:szCs w:val="20"/>
          <w:lang w:val="fr-CA"/>
        </w:rPr>
        <w:t xml:space="preserve"> of </w:t>
      </w:r>
      <w:proofErr w:type="spellStart"/>
      <w:r w:rsidR="00C525BF" w:rsidRPr="00C525BF">
        <w:rPr>
          <w:b/>
          <w:i/>
          <w:sz w:val="20"/>
          <w:szCs w:val="20"/>
          <w:lang w:val="fr-CA"/>
        </w:rPr>
        <w:t>Aboriginal</w:t>
      </w:r>
      <w:proofErr w:type="spellEnd"/>
      <w:r w:rsidR="00C525BF" w:rsidRPr="00C525BF">
        <w:rPr>
          <w:b/>
          <w:i/>
          <w:sz w:val="20"/>
          <w:szCs w:val="20"/>
          <w:lang w:val="fr-CA"/>
        </w:rPr>
        <w:t xml:space="preserve"> </w:t>
      </w:r>
      <w:proofErr w:type="spellStart"/>
      <w:r w:rsidR="00C525BF" w:rsidRPr="00C525BF">
        <w:rPr>
          <w:b/>
          <w:i/>
          <w:sz w:val="20"/>
          <w:szCs w:val="20"/>
          <w:lang w:val="fr-CA"/>
        </w:rPr>
        <w:t>Affairs</w:t>
      </w:r>
      <w:proofErr w:type="spellEnd"/>
      <w:r w:rsidR="00C525BF" w:rsidRPr="00C525BF">
        <w:rPr>
          <w:b/>
          <w:i/>
          <w:sz w:val="20"/>
          <w:szCs w:val="20"/>
          <w:lang w:val="fr-CA"/>
        </w:rPr>
        <w:t xml:space="preserve"> and </w:t>
      </w:r>
      <w:proofErr w:type="spellStart"/>
      <w:r w:rsidR="00C525BF" w:rsidRPr="00C525BF">
        <w:rPr>
          <w:b/>
          <w:i/>
          <w:sz w:val="20"/>
          <w:szCs w:val="20"/>
          <w:lang w:val="fr-CA"/>
        </w:rPr>
        <w:t>Northern</w:t>
      </w:r>
      <w:proofErr w:type="spellEnd"/>
      <w:r w:rsidR="00C525BF" w:rsidRPr="00C525BF">
        <w:rPr>
          <w:b/>
          <w:i/>
          <w:sz w:val="20"/>
          <w:szCs w:val="20"/>
          <w:lang w:val="fr-CA"/>
        </w:rPr>
        <w:t xml:space="preserve"> </w:t>
      </w:r>
      <w:proofErr w:type="spellStart"/>
      <w:r w:rsidR="00C525BF" w:rsidRPr="00C525BF">
        <w:rPr>
          <w:b/>
          <w:i/>
          <w:sz w:val="20"/>
          <w:szCs w:val="20"/>
          <w:lang w:val="fr-CA"/>
        </w:rPr>
        <w:t>Development</w:t>
      </w:r>
      <w:proofErr w:type="spellEnd"/>
      <w:r w:rsidR="00C525BF" w:rsidRPr="00C525BF">
        <w:rPr>
          <w:b/>
          <w:i/>
          <w:sz w:val="20"/>
          <w:szCs w:val="20"/>
          <w:lang w:val="fr-CA"/>
        </w:rPr>
        <w:t>) et</w:t>
      </w:r>
      <w:r w:rsidR="00903604">
        <w:rPr>
          <w:b/>
          <w:i/>
          <w:sz w:val="20"/>
          <w:szCs w:val="20"/>
          <w:lang w:val="fr-CA"/>
        </w:rPr>
        <w:t> </w:t>
      </w:r>
      <w:r w:rsidR="00C525BF" w:rsidRPr="00C525BF">
        <w:rPr>
          <w:b/>
          <w:i/>
          <w:sz w:val="20"/>
          <w:szCs w:val="20"/>
          <w:lang w:val="fr-CA"/>
        </w:rPr>
        <w:t>a</w:t>
      </w:r>
      <w:r w:rsidR="00A5581D">
        <w:rPr>
          <w:b/>
          <w:i/>
          <w:sz w:val="20"/>
          <w:szCs w:val="20"/>
          <w:lang w:val="fr-CA"/>
        </w:rPr>
        <w:t>utres</w:t>
      </w:r>
      <w:r w:rsidR="00C525BF" w:rsidRPr="00C525BF">
        <w:rPr>
          <w:b/>
          <w:i/>
          <w:sz w:val="20"/>
          <w:szCs w:val="20"/>
          <w:lang w:val="fr-CA"/>
        </w:rPr>
        <w:t xml:space="preserve"> c. Barbara Cunningham et a</w:t>
      </w:r>
      <w:r w:rsidR="00A5581D">
        <w:rPr>
          <w:b/>
          <w:i/>
          <w:sz w:val="20"/>
          <w:szCs w:val="20"/>
          <w:lang w:val="fr-CA"/>
        </w:rPr>
        <w:t>utres</w:t>
      </w:r>
    </w:p>
    <w:p w:rsidR="00C525BF" w:rsidRPr="00C525BF" w:rsidRDefault="00C525BF" w:rsidP="00C525BF">
      <w:pPr>
        <w:widowControl w:val="0"/>
        <w:jc w:val="both"/>
        <w:rPr>
          <w:sz w:val="20"/>
          <w:szCs w:val="20"/>
          <w:lang w:val="fr-CA"/>
        </w:rPr>
      </w:pPr>
    </w:p>
    <w:p w:rsidR="00C525BF" w:rsidRPr="00C525BF" w:rsidRDefault="00C525BF" w:rsidP="00C525BF">
      <w:pPr>
        <w:widowControl w:val="0"/>
        <w:jc w:val="both"/>
        <w:rPr>
          <w:sz w:val="20"/>
          <w:szCs w:val="20"/>
          <w:lang w:val="fr-CA"/>
        </w:rPr>
      </w:pPr>
      <w:r w:rsidRPr="00C525BF">
        <w:rPr>
          <w:i/>
          <w:sz w:val="20"/>
          <w:szCs w:val="20"/>
          <w:lang w:val="fr-CA"/>
        </w:rPr>
        <w:t>Charte des droits et libertés</w:t>
      </w:r>
      <w:r w:rsidRPr="00C525BF">
        <w:rPr>
          <w:sz w:val="20"/>
          <w:szCs w:val="20"/>
          <w:lang w:val="fr-CA"/>
        </w:rPr>
        <w:t xml:space="preserve">, art. 15 - Droit constitutionnel - Droit à l’égalité - Droit des autochtones - Métis - L’affiliation des intimés à l’établissement métis de </w:t>
      </w:r>
      <w:proofErr w:type="spellStart"/>
      <w:r w:rsidRPr="00C525BF">
        <w:rPr>
          <w:sz w:val="20"/>
          <w:szCs w:val="20"/>
          <w:lang w:val="fr-CA"/>
        </w:rPr>
        <w:t>Peavine</w:t>
      </w:r>
      <w:proofErr w:type="spellEnd"/>
      <w:r w:rsidRPr="00C525BF">
        <w:rPr>
          <w:sz w:val="20"/>
          <w:szCs w:val="20"/>
          <w:lang w:val="fr-CA"/>
        </w:rPr>
        <w:t xml:space="preserve"> a été résiliée en vertu de l’art. 90 de la</w:t>
      </w:r>
      <w:r w:rsidRPr="00C525BF">
        <w:rPr>
          <w:i/>
          <w:sz w:val="20"/>
          <w:szCs w:val="20"/>
          <w:lang w:val="fr-CA"/>
        </w:rPr>
        <w:t xml:space="preserve"> Métis </w:t>
      </w:r>
      <w:proofErr w:type="spellStart"/>
      <w:r w:rsidRPr="00C525BF">
        <w:rPr>
          <w:i/>
          <w:sz w:val="20"/>
          <w:szCs w:val="20"/>
          <w:lang w:val="fr-CA"/>
        </w:rPr>
        <w:t>Settlements</w:t>
      </w:r>
      <w:proofErr w:type="spellEnd"/>
      <w:r w:rsidRPr="00C525BF">
        <w:rPr>
          <w:i/>
          <w:sz w:val="20"/>
          <w:szCs w:val="20"/>
          <w:lang w:val="fr-CA"/>
        </w:rPr>
        <w:t xml:space="preserve"> </w:t>
      </w:r>
      <w:proofErr w:type="spellStart"/>
      <w:r w:rsidRPr="00C525BF">
        <w:rPr>
          <w:i/>
          <w:sz w:val="20"/>
          <w:szCs w:val="20"/>
          <w:lang w:val="fr-CA"/>
        </w:rPr>
        <w:t>Act</w:t>
      </w:r>
      <w:proofErr w:type="spellEnd"/>
      <w:r w:rsidRPr="00C525BF">
        <w:rPr>
          <w:sz w:val="20"/>
          <w:szCs w:val="20"/>
          <w:lang w:val="fr-CA"/>
        </w:rPr>
        <w:t xml:space="preserve"> après qu’ils se sont volontairement inscrits comme Indiens en vertu de la </w:t>
      </w:r>
      <w:r w:rsidRPr="00C525BF">
        <w:rPr>
          <w:i/>
          <w:sz w:val="20"/>
          <w:szCs w:val="20"/>
          <w:lang w:val="fr-CA"/>
        </w:rPr>
        <w:t>Loi sur les Indiens</w:t>
      </w:r>
      <w:r w:rsidRPr="00C525BF">
        <w:rPr>
          <w:sz w:val="20"/>
          <w:szCs w:val="20"/>
          <w:lang w:val="fr-CA"/>
        </w:rPr>
        <w:t xml:space="preserve">, L.R.C. 1985, ch. I-5 - L’article 75 de la MSA interdit aux personnes ayant le statut d’Indien de devenir membres d’un établissement métis - Les art. 75 ou 90 de la </w:t>
      </w:r>
      <w:r w:rsidRPr="00C525BF">
        <w:rPr>
          <w:i/>
          <w:sz w:val="20"/>
          <w:szCs w:val="20"/>
          <w:lang w:val="fr-CA"/>
        </w:rPr>
        <w:t xml:space="preserve">Métis </w:t>
      </w:r>
      <w:proofErr w:type="spellStart"/>
      <w:r w:rsidRPr="00C525BF">
        <w:rPr>
          <w:i/>
          <w:sz w:val="20"/>
          <w:szCs w:val="20"/>
          <w:lang w:val="fr-CA"/>
        </w:rPr>
        <w:t>Settlements</w:t>
      </w:r>
      <w:proofErr w:type="spellEnd"/>
      <w:r w:rsidRPr="00C525BF">
        <w:rPr>
          <w:i/>
          <w:sz w:val="20"/>
          <w:szCs w:val="20"/>
          <w:lang w:val="fr-CA"/>
        </w:rPr>
        <w:t xml:space="preserve"> </w:t>
      </w:r>
      <w:proofErr w:type="spellStart"/>
      <w:r w:rsidRPr="00C525BF">
        <w:rPr>
          <w:i/>
          <w:sz w:val="20"/>
          <w:szCs w:val="20"/>
          <w:lang w:val="fr-CA"/>
        </w:rPr>
        <w:t>Act</w:t>
      </w:r>
      <w:proofErr w:type="spellEnd"/>
      <w:r w:rsidRPr="00C525BF">
        <w:rPr>
          <w:sz w:val="20"/>
          <w:szCs w:val="20"/>
          <w:lang w:val="fr-CA"/>
        </w:rPr>
        <w:t xml:space="preserve">, R.S.A. 2000, ch. M-14, portent-ils atteinte à l’al. 2d) de la </w:t>
      </w:r>
      <w:r w:rsidRPr="00C525BF">
        <w:rPr>
          <w:i/>
          <w:sz w:val="20"/>
          <w:szCs w:val="20"/>
          <w:lang w:val="fr-CA"/>
        </w:rPr>
        <w:t>Charte canadienne des droits et libertés</w:t>
      </w:r>
      <w:r w:rsidRPr="00C525BF">
        <w:rPr>
          <w:sz w:val="20"/>
          <w:szCs w:val="20"/>
          <w:lang w:val="fr-CA"/>
        </w:rPr>
        <w:t xml:space="preserve">? - Dans l’affirmative, cette atteinte constitue-t-elle une limite raisonnable prescrite par une règle de droit, dont la justification peut se démontrer dans le cadre d’une société libre et démocratique, au sens de l’article premier de la </w:t>
      </w:r>
      <w:r w:rsidRPr="00C525BF">
        <w:rPr>
          <w:i/>
          <w:sz w:val="20"/>
          <w:szCs w:val="20"/>
          <w:lang w:val="fr-CA"/>
        </w:rPr>
        <w:t>Charte canadienne des droits et libertés</w:t>
      </w:r>
      <w:r w:rsidRPr="00C525BF">
        <w:rPr>
          <w:sz w:val="20"/>
          <w:szCs w:val="20"/>
          <w:lang w:val="fr-CA"/>
        </w:rPr>
        <w:t xml:space="preserve">? - Les </w:t>
      </w:r>
      <w:proofErr w:type="gramStart"/>
      <w:r w:rsidRPr="00C525BF">
        <w:rPr>
          <w:sz w:val="20"/>
          <w:szCs w:val="20"/>
          <w:lang w:val="fr-CA"/>
        </w:rPr>
        <w:t>art</w:t>
      </w:r>
      <w:proofErr w:type="gramEnd"/>
      <w:r w:rsidRPr="00C525BF">
        <w:rPr>
          <w:sz w:val="20"/>
          <w:szCs w:val="20"/>
          <w:lang w:val="fr-CA"/>
        </w:rPr>
        <w:t xml:space="preserve">. 75 ou 90 de la </w:t>
      </w:r>
      <w:r w:rsidRPr="00C525BF">
        <w:rPr>
          <w:i/>
          <w:sz w:val="20"/>
          <w:szCs w:val="20"/>
          <w:lang w:val="fr-CA"/>
        </w:rPr>
        <w:t xml:space="preserve">Métis </w:t>
      </w:r>
      <w:proofErr w:type="spellStart"/>
      <w:r w:rsidRPr="00C525BF">
        <w:rPr>
          <w:i/>
          <w:sz w:val="20"/>
          <w:szCs w:val="20"/>
          <w:lang w:val="fr-CA"/>
        </w:rPr>
        <w:t>Settlements</w:t>
      </w:r>
      <w:proofErr w:type="spellEnd"/>
      <w:r w:rsidRPr="00C525BF">
        <w:rPr>
          <w:i/>
          <w:sz w:val="20"/>
          <w:szCs w:val="20"/>
          <w:lang w:val="fr-CA"/>
        </w:rPr>
        <w:t xml:space="preserve"> </w:t>
      </w:r>
      <w:proofErr w:type="spellStart"/>
      <w:r w:rsidRPr="00C525BF">
        <w:rPr>
          <w:i/>
          <w:sz w:val="20"/>
          <w:szCs w:val="20"/>
          <w:lang w:val="fr-CA"/>
        </w:rPr>
        <w:t>Act</w:t>
      </w:r>
      <w:proofErr w:type="spellEnd"/>
      <w:r w:rsidRPr="00C525BF">
        <w:rPr>
          <w:sz w:val="20"/>
          <w:szCs w:val="20"/>
          <w:lang w:val="fr-CA"/>
        </w:rPr>
        <w:t xml:space="preserve">, R.S.A. 2000, ch. M-14, portent-ils atteinte à l’art. 7 de la </w:t>
      </w:r>
      <w:r w:rsidRPr="00C525BF">
        <w:rPr>
          <w:i/>
          <w:sz w:val="20"/>
          <w:szCs w:val="20"/>
          <w:lang w:val="fr-CA"/>
        </w:rPr>
        <w:t>Charte canadienne des droits et libertés</w:t>
      </w:r>
      <w:r w:rsidRPr="00C525BF">
        <w:rPr>
          <w:sz w:val="20"/>
          <w:szCs w:val="20"/>
          <w:lang w:val="fr-CA"/>
        </w:rPr>
        <w:t xml:space="preserve">? - Dans l’affirmative, cette atteinte constitue-t-elle une limite raisonnable prescrite par une règle de droit, dont la justification peut se démontrer dans le cadre d’une société libre et démocratique, au sens de l’article premier de la </w:t>
      </w:r>
      <w:r w:rsidRPr="00C525BF">
        <w:rPr>
          <w:i/>
          <w:sz w:val="20"/>
          <w:szCs w:val="20"/>
          <w:lang w:val="fr-CA"/>
        </w:rPr>
        <w:t>Charte canadienne des droits et libertés</w:t>
      </w:r>
      <w:r w:rsidRPr="00C525BF">
        <w:rPr>
          <w:sz w:val="20"/>
          <w:szCs w:val="20"/>
          <w:lang w:val="fr-CA"/>
        </w:rPr>
        <w:t xml:space="preserve">? - Les </w:t>
      </w:r>
      <w:proofErr w:type="gramStart"/>
      <w:r w:rsidRPr="00C525BF">
        <w:rPr>
          <w:sz w:val="20"/>
          <w:szCs w:val="20"/>
          <w:lang w:val="fr-CA"/>
        </w:rPr>
        <w:t>art</w:t>
      </w:r>
      <w:proofErr w:type="gramEnd"/>
      <w:r w:rsidRPr="00C525BF">
        <w:rPr>
          <w:sz w:val="20"/>
          <w:szCs w:val="20"/>
          <w:lang w:val="fr-CA"/>
        </w:rPr>
        <w:t xml:space="preserve">. 75 ou 90 de la </w:t>
      </w:r>
      <w:r w:rsidRPr="00C525BF">
        <w:rPr>
          <w:i/>
          <w:sz w:val="20"/>
          <w:szCs w:val="20"/>
          <w:lang w:val="fr-CA"/>
        </w:rPr>
        <w:t xml:space="preserve">Métis </w:t>
      </w:r>
      <w:proofErr w:type="spellStart"/>
      <w:r w:rsidRPr="00C525BF">
        <w:rPr>
          <w:i/>
          <w:sz w:val="20"/>
          <w:szCs w:val="20"/>
          <w:lang w:val="fr-CA"/>
        </w:rPr>
        <w:t>Settlements</w:t>
      </w:r>
      <w:proofErr w:type="spellEnd"/>
      <w:r w:rsidRPr="00C525BF">
        <w:rPr>
          <w:i/>
          <w:sz w:val="20"/>
          <w:szCs w:val="20"/>
          <w:lang w:val="fr-CA"/>
        </w:rPr>
        <w:t xml:space="preserve"> </w:t>
      </w:r>
      <w:proofErr w:type="spellStart"/>
      <w:r w:rsidRPr="00C525BF">
        <w:rPr>
          <w:i/>
          <w:sz w:val="20"/>
          <w:szCs w:val="20"/>
          <w:lang w:val="fr-CA"/>
        </w:rPr>
        <w:t>Act</w:t>
      </w:r>
      <w:proofErr w:type="spellEnd"/>
      <w:r w:rsidRPr="00C525BF">
        <w:rPr>
          <w:sz w:val="20"/>
          <w:szCs w:val="20"/>
          <w:lang w:val="fr-CA"/>
        </w:rPr>
        <w:t xml:space="preserve">, R.S.A. 2000, ch. M-14, portent-ils atteinte à l’art. 15 de la </w:t>
      </w:r>
      <w:r w:rsidRPr="00C525BF">
        <w:rPr>
          <w:i/>
          <w:sz w:val="20"/>
          <w:szCs w:val="20"/>
          <w:lang w:val="fr-CA"/>
        </w:rPr>
        <w:t>Charte canadienne des droits et libertés</w:t>
      </w:r>
      <w:r w:rsidRPr="00C525BF">
        <w:rPr>
          <w:sz w:val="20"/>
          <w:szCs w:val="20"/>
          <w:lang w:val="fr-CA"/>
        </w:rPr>
        <w:t xml:space="preserve">? - Dans l’affirmative, cette atteinte constitue-t-elle une limite raisonnable prescrite par une règle de droit, dont la justification peut se démontrer dans le cadre d’une société libre et démocratique, au sens de l’article premier de la </w:t>
      </w:r>
      <w:r w:rsidRPr="00C525BF">
        <w:rPr>
          <w:i/>
          <w:sz w:val="20"/>
          <w:szCs w:val="20"/>
          <w:lang w:val="fr-CA"/>
        </w:rPr>
        <w:t>Charte canadienne des droits et libertés</w:t>
      </w:r>
      <w:r w:rsidRPr="00C525BF">
        <w:rPr>
          <w:sz w:val="20"/>
          <w:szCs w:val="20"/>
          <w:lang w:val="fr-CA"/>
        </w:rPr>
        <w:t>?</w:t>
      </w:r>
    </w:p>
    <w:p w:rsidR="00C525BF" w:rsidRPr="00C525BF" w:rsidRDefault="00C525BF" w:rsidP="00C525BF">
      <w:pPr>
        <w:widowControl w:val="0"/>
        <w:jc w:val="both"/>
        <w:rPr>
          <w:sz w:val="20"/>
          <w:szCs w:val="20"/>
          <w:lang w:val="fr-CA"/>
        </w:rPr>
      </w:pPr>
    </w:p>
    <w:p w:rsidR="00C525BF" w:rsidRPr="00C525BF" w:rsidRDefault="00C525BF" w:rsidP="00C525BF">
      <w:pPr>
        <w:widowControl w:val="0"/>
        <w:jc w:val="both"/>
        <w:rPr>
          <w:sz w:val="20"/>
          <w:szCs w:val="20"/>
          <w:lang w:val="fr-CA"/>
        </w:rPr>
      </w:pPr>
      <w:r w:rsidRPr="00C525BF">
        <w:rPr>
          <w:sz w:val="20"/>
          <w:szCs w:val="20"/>
          <w:lang w:val="fr-CA"/>
        </w:rPr>
        <w:t xml:space="preserve">Les intimés sont des personnes dont l’affiliation à l’établissement métis de </w:t>
      </w:r>
      <w:proofErr w:type="spellStart"/>
      <w:r w:rsidRPr="00C525BF">
        <w:rPr>
          <w:sz w:val="20"/>
          <w:szCs w:val="20"/>
          <w:lang w:val="fr-CA"/>
        </w:rPr>
        <w:t>Peavine</w:t>
      </w:r>
      <w:proofErr w:type="spellEnd"/>
      <w:r w:rsidRPr="00C525BF">
        <w:rPr>
          <w:sz w:val="20"/>
          <w:szCs w:val="20"/>
          <w:lang w:val="fr-CA"/>
        </w:rPr>
        <w:t xml:space="preserve"> a été résiliée en vertu de l’art. 90 de la</w:t>
      </w:r>
      <w:r w:rsidRPr="00C525BF">
        <w:rPr>
          <w:i/>
          <w:sz w:val="20"/>
          <w:szCs w:val="20"/>
          <w:lang w:val="fr-CA"/>
        </w:rPr>
        <w:t xml:space="preserve"> Métis </w:t>
      </w:r>
      <w:proofErr w:type="spellStart"/>
      <w:r w:rsidRPr="00C525BF">
        <w:rPr>
          <w:i/>
          <w:sz w:val="20"/>
          <w:szCs w:val="20"/>
          <w:lang w:val="fr-CA"/>
        </w:rPr>
        <w:t>Settlements</w:t>
      </w:r>
      <w:proofErr w:type="spellEnd"/>
      <w:r w:rsidRPr="00C525BF">
        <w:rPr>
          <w:i/>
          <w:sz w:val="20"/>
          <w:szCs w:val="20"/>
          <w:lang w:val="fr-CA"/>
        </w:rPr>
        <w:t xml:space="preserve"> </w:t>
      </w:r>
      <w:proofErr w:type="spellStart"/>
      <w:r w:rsidRPr="00C525BF">
        <w:rPr>
          <w:i/>
          <w:sz w:val="20"/>
          <w:szCs w:val="20"/>
          <w:lang w:val="fr-CA"/>
        </w:rPr>
        <w:t>Act</w:t>
      </w:r>
      <w:proofErr w:type="spellEnd"/>
      <w:r w:rsidRPr="00C525BF">
        <w:rPr>
          <w:sz w:val="20"/>
          <w:szCs w:val="20"/>
          <w:lang w:val="fr-CA"/>
        </w:rPr>
        <w:t xml:space="preserve"> (« MSA »), qui prescrit la radiation de l’établissement métis des membres qui se sont volontairement inscrits comme Indiens en vertu de la </w:t>
      </w:r>
      <w:r w:rsidRPr="00C525BF">
        <w:rPr>
          <w:i/>
          <w:sz w:val="20"/>
          <w:szCs w:val="20"/>
          <w:lang w:val="fr-CA"/>
        </w:rPr>
        <w:t>Loi sur les Indiens</w:t>
      </w:r>
      <w:r w:rsidRPr="00C525BF">
        <w:rPr>
          <w:sz w:val="20"/>
          <w:szCs w:val="20"/>
          <w:lang w:val="fr-CA"/>
        </w:rPr>
        <w:t xml:space="preserve">.  L’article 75 de la MSA interdit aux personnes qui ont le statut d’Indien de devenir membres d’un établissement métis.  Les noms des intimés ont été radiés de la liste des membres par l’appelant, le registraire du Métis </w:t>
      </w:r>
      <w:proofErr w:type="spellStart"/>
      <w:r w:rsidRPr="00C525BF">
        <w:rPr>
          <w:sz w:val="20"/>
          <w:szCs w:val="20"/>
          <w:lang w:val="fr-CA"/>
        </w:rPr>
        <w:t>Settlements</w:t>
      </w:r>
      <w:proofErr w:type="spellEnd"/>
      <w:r w:rsidRPr="00C525BF">
        <w:rPr>
          <w:sz w:val="20"/>
          <w:szCs w:val="20"/>
          <w:lang w:val="fr-CA"/>
        </w:rPr>
        <w:t xml:space="preserve"> Land </w:t>
      </w:r>
      <w:proofErr w:type="spellStart"/>
      <w:r w:rsidRPr="00C525BF">
        <w:rPr>
          <w:sz w:val="20"/>
          <w:szCs w:val="20"/>
          <w:lang w:val="fr-CA"/>
        </w:rPr>
        <w:t>Registry</w:t>
      </w:r>
      <w:proofErr w:type="spellEnd"/>
      <w:r w:rsidRPr="00C525BF">
        <w:rPr>
          <w:sz w:val="20"/>
          <w:szCs w:val="20"/>
          <w:lang w:val="fr-CA"/>
        </w:rPr>
        <w:t xml:space="preserve">, en vertu d’une liste du conseil de l’établissement </w:t>
      </w:r>
      <w:proofErr w:type="spellStart"/>
      <w:r w:rsidRPr="00C525BF">
        <w:rPr>
          <w:sz w:val="20"/>
          <w:szCs w:val="20"/>
          <w:lang w:val="fr-CA"/>
        </w:rPr>
        <w:t>Peavine</w:t>
      </w:r>
      <w:proofErr w:type="spellEnd"/>
      <w:r w:rsidRPr="00C525BF">
        <w:rPr>
          <w:sz w:val="20"/>
          <w:szCs w:val="20"/>
          <w:lang w:val="fr-CA"/>
        </w:rPr>
        <w:t xml:space="preserve"> de l’époque (un nouveau conseil a été élu par la suite).  Le juge en chambre a rejeté la demande des intimés en vue d’obtenir un jugement déclarant que </w:t>
      </w:r>
      <w:proofErr w:type="gramStart"/>
      <w:r w:rsidRPr="00C525BF">
        <w:rPr>
          <w:sz w:val="20"/>
          <w:szCs w:val="20"/>
          <w:lang w:val="fr-CA"/>
        </w:rPr>
        <w:t>les art</w:t>
      </w:r>
      <w:proofErr w:type="gramEnd"/>
      <w:r w:rsidRPr="00C525BF">
        <w:rPr>
          <w:sz w:val="20"/>
          <w:szCs w:val="20"/>
          <w:lang w:val="fr-CA"/>
        </w:rPr>
        <w:t xml:space="preserve">. 75 et 90(1)a) de la MSA violent </w:t>
      </w:r>
      <w:proofErr w:type="gramStart"/>
      <w:r w:rsidRPr="00C525BF">
        <w:rPr>
          <w:sz w:val="20"/>
          <w:szCs w:val="20"/>
          <w:lang w:val="fr-CA"/>
        </w:rPr>
        <w:t>les art</w:t>
      </w:r>
      <w:proofErr w:type="gramEnd"/>
      <w:r w:rsidRPr="00C525BF">
        <w:rPr>
          <w:sz w:val="20"/>
          <w:szCs w:val="20"/>
          <w:lang w:val="fr-CA"/>
        </w:rPr>
        <w:t xml:space="preserve">. 2 d), 7 ou 15(1) de la </w:t>
      </w:r>
      <w:r w:rsidRPr="00C525BF">
        <w:rPr>
          <w:i/>
          <w:sz w:val="20"/>
          <w:szCs w:val="20"/>
          <w:lang w:val="fr-CA"/>
        </w:rPr>
        <w:t>Charte</w:t>
      </w:r>
      <w:r w:rsidRPr="00C525BF">
        <w:rPr>
          <w:sz w:val="20"/>
          <w:szCs w:val="20"/>
          <w:lang w:val="fr-CA"/>
        </w:rPr>
        <w:t xml:space="preserve">.  La Cour d’appel a accueilli l’appel, rendu en faveur des intimés un jugement déclarant l’invalidité constitutionnelle des </w:t>
      </w:r>
      <w:proofErr w:type="gramStart"/>
      <w:r w:rsidRPr="00C525BF">
        <w:rPr>
          <w:sz w:val="20"/>
          <w:szCs w:val="20"/>
          <w:lang w:val="fr-CA"/>
        </w:rPr>
        <w:t>art</w:t>
      </w:r>
      <w:proofErr w:type="gramEnd"/>
      <w:r w:rsidRPr="00C525BF">
        <w:rPr>
          <w:sz w:val="20"/>
          <w:szCs w:val="20"/>
          <w:lang w:val="fr-CA"/>
        </w:rPr>
        <w:t xml:space="preserve">. 75 et 90 de la MSA et une directive portant que ces dispositions soient séparées, de même qu’une ordonnance sommant le registraire de réinscrire les noms des intimés sur la liste des membres de l’établissement de </w:t>
      </w:r>
      <w:proofErr w:type="spellStart"/>
      <w:r w:rsidRPr="00C525BF">
        <w:rPr>
          <w:sz w:val="20"/>
          <w:szCs w:val="20"/>
          <w:lang w:val="fr-CA"/>
        </w:rPr>
        <w:t>Peavine</w:t>
      </w:r>
      <w:proofErr w:type="spellEnd"/>
      <w:r w:rsidRPr="00C525BF">
        <w:rPr>
          <w:sz w:val="20"/>
          <w:szCs w:val="20"/>
          <w:lang w:val="fr-CA"/>
        </w:rPr>
        <w:t>.  La Cour d’appel a ordonné que la réparation soit rétroactive et a rejeté la demande que les réparations soient suspendues pendant un certain temps.</w:t>
      </w:r>
    </w:p>
    <w:p w:rsidR="00C525BF" w:rsidRDefault="00C525BF" w:rsidP="00C525BF">
      <w:pPr>
        <w:widowControl w:val="0"/>
        <w:jc w:val="both"/>
        <w:rPr>
          <w:sz w:val="20"/>
          <w:szCs w:val="20"/>
          <w:lang w:val="fr-CA"/>
        </w:rPr>
      </w:pPr>
    </w:p>
    <w:p w:rsidR="00A5581D" w:rsidRPr="00C525BF" w:rsidRDefault="00A5581D" w:rsidP="00C525BF">
      <w:pPr>
        <w:widowControl w:val="0"/>
        <w:jc w:val="both"/>
        <w:rPr>
          <w:sz w:val="20"/>
          <w:szCs w:val="20"/>
          <w:lang w:val="fr-CA"/>
        </w:rPr>
      </w:pPr>
    </w:p>
    <w:p w:rsidR="00C525BF" w:rsidRPr="00C525BF" w:rsidRDefault="00C525BF" w:rsidP="00C525BF">
      <w:pPr>
        <w:widowControl w:val="0"/>
        <w:ind w:left="3600" w:hanging="3600"/>
        <w:jc w:val="both"/>
        <w:rPr>
          <w:sz w:val="20"/>
          <w:szCs w:val="20"/>
          <w:lang w:val="fr-CA"/>
        </w:rPr>
      </w:pPr>
      <w:r w:rsidRPr="00C525BF">
        <w:rPr>
          <w:sz w:val="20"/>
          <w:szCs w:val="20"/>
          <w:lang w:val="fr-CA"/>
        </w:rPr>
        <w:t>Origine :</w:t>
      </w:r>
      <w:r w:rsidRPr="00C525BF">
        <w:rPr>
          <w:sz w:val="20"/>
          <w:szCs w:val="20"/>
          <w:lang w:val="fr-CA"/>
        </w:rPr>
        <w:tab/>
        <w:t>Alberta</w:t>
      </w:r>
    </w:p>
    <w:p w:rsidR="00C525BF" w:rsidRPr="00C525BF" w:rsidRDefault="00C525BF" w:rsidP="00C525BF">
      <w:pPr>
        <w:widowControl w:val="0"/>
        <w:jc w:val="both"/>
        <w:rPr>
          <w:sz w:val="20"/>
          <w:szCs w:val="20"/>
          <w:lang w:val="fr-CA"/>
        </w:rPr>
      </w:pPr>
    </w:p>
    <w:p w:rsidR="00C525BF" w:rsidRPr="00C525BF" w:rsidRDefault="00C525BF" w:rsidP="00C525BF">
      <w:pPr>
        <w:widowControl w:val="0"/>
        <w:ind w:left="3600" w:hanging="3600"/>
        <w:jc w:val="both"/>
        <w:rPr>
          <w:sz w:val="20"/>
          <w:szCs w:val="20"/>
          <w:lang w:val="fr-CA"/>
        </w:rPr>
      </w:pPr>
      <w:r w:rsidRPr="00C525BF">
        <w:rPr>
          <w:sz w:val="20"/>
          <w:szCs w:val="20"/>
          <w:lang w:val="fr-CA"/>
        </w:rPr>
        <w:t>N</w:t>
      </w:r>
      <w:r w:rsidRPr="00C525BF">
        <w:rPr>
          <w:sz w:val="20"/>
          <w:szCs w:val="20"/>
          <w:vertAlign w:val="superscript"/>
          <w:lang w:val="fr-CA"/>
        </w:rPr>
        <w:t>o</w:t>
      </w:r>
      <w:r w:rsidRPr="00C525BF">
        <w:rPr>
          <w:sz w:val="20"/>
          <w:szCs w:val="20"/>
          <w:lang w:val="fr-CA"/>
        </w:rPr>
        <w:t xml:space="preserve"> du greffe :</w:t>
      </w:r>
      <w:r w:rsidRPr="00C525BF">
        <w:rPr>
          <w:sz w:val="20"/>
          <w:szCs w:val="20"/>
          <w:lang w:val="fr-CA"/>
        </w:rPr>
        <w:tab/>
        <w:t>33340</w:t>
      </w:r>
    </w:p>
    <w:p w:rsidR="00C525BF" w:rsidRPr="00C525BF" w:rsidRDefault="00C525BF" w:rsidP="00C525BF">
      <w:pPr>
        <w:widowControl w:val="0"/>
        <w:jc w:val="both"/>
        <w:rPr>
          <w:sz w:val="20"/>
          <w:szCs w:val="20"/>
          <w:lang w:val="fr-CA"/>
        </w:rPr>
      </w:pPr>
    </w:p>
    <w:p w:rsidR="00C525BF" w:rsidRPr="00C525BF" w:rsidRDefault="00C525BF" w:rsidP="00C525BF">
      <w:pPr>
        <w:widowControl w:val="0"/>
        <w:ind w:left="3600" w:hanging="3600"/>
        <w:jc w:val="both"/>
        <w:rPr>
          <w:sz w:val="20"/>
          <w:szCs w:val="20"/>
          <w:lang w:val="fr-CA"/>
        </w:rPr>
      </w:pPr>
      <w:r w:rsidRPr="00C525BF">
        <w:rPr>
          <w:sz w:val="20"/>
          <w:szCs w:val="20"/>
          <w:lang w:val="fr-CA"/>
        </w:rPr>
        <w:t>Arrêt de la Cour d’appel :</w:t>
      </w:r>
      <w:r w:rsidRPr="00C525BF">
        <w:rPr>
          <w:sz w:val="20"/>
          <w:szCs w:val="20"/>
          <w:lang w:val="fr-CA"/>
        </w:rPr>
        <w:tab/>
      </w:r>
      <w:r>
        <w:rPr>
          <w:sz w:val="20"/>
          <w:szCs w:val="20"/>
          <w:lang w:val="fr-CA"/>
        </w:rPr>
        <w:t>l</w:t>
      </w:r>
      <w:r w:rsidRPr="00C525BF">
        <w:rPr>
          <w:sz w:val="20"/>
          <w:szCs w:val="20"/>
          <w:lang w:val="fr-CA"/>
        </w:rPr>
        <w:t>e 26 juin 2009</w:t>
      </w:r>
    </w:p>
    <w:p w:rsidR="00C525BF" w:rsidRPr="00C525BF" w:rsidRDefault="00C525BF" w:rsidP="00C525BF">
      <w:pPr>
        <w:widowControl w:val="0"/>
        <w:jc w:val="both"/>
        <w:rPr>
          <w:sz w:val="20"/>
          <w:szCs w:val="20"/>
          <w:lang w:val="fr-CA"/>
        </w:rPr>
      </w:pPr>
    </w:p>
    <w:p w:rsidR="00C525BF" w:rsidRPr="00C525BF" w:rsidRDefault="00C525BF" w:rsidP="00C525BF">
      <w:pPr>
        <w:widowControl w:val="0"/>
        <w:ind w:left="3600" w:hanging="3600"/>
        <w:jc w:val="both"/>
        <w:rPr>
          <w:sz w:val="20"/>
          <w:szCs w:val="20"/>
          <w:lang w:val="fr-CA"/>
        </w:rPr>
      </w:pPr>
      <w:r w:rsidRPr="00C525BF">
        <w:rPr>
          <w:sz w:val="20"/>
          <w:szCs w:val="20"/>
          <w:lang w:val="fr-CA"/>
        </w:rPr>
        <w:t>Avocats :</w:t>
      </w:r>
      <w:r w:rsidRPr="00C525BF">
        <w:rPr>
          <w:sz w:val="20"/>
          <w:szCs w:val="20"/>
          <w:lang w:val="fr-CA"/>
        </w:rPr>
        <w:tab/>
        <w:t xml:space="preserve">Robert J. </w:t>
      </w:r>
      <w:proofErr w:type="spellStart"/>
      <w:r w:rsidRPr="00C525BF">
        <w:rPr>
          <w:sz w:val="20"/>
          <w:szCs w:val="20"/>
          <w:lang w:val="fr-CA"/>
        </w:rPr>
        <w:t>Normey</w:t>
      </w:r>
      <w:proofErr w:type="spellEnd"/>
      <w:r w:rsidRPr="00C525BF">
        <w:rPr>
          <w:sz w:val="20"/>
          <w:szCs w:val="20"/>
          <w:lang w:val="fr-CA"/>
        </w:rPr>
        <w:t xml:space="preserve"> et David Kamal pour les appelants</w:t>
      </w:r>
    </w:p>
    <w:p w:rsidR="00C525BF" w:rsidRPr="00C525BF" w:rsidRDefault="00C525BF" w:rsidP="00C525BF">
      <w:pPr>
        <w:widowControl w:val="0"/>
        <w:ind w:left="3600"/>
        <w:jc w:val="both"/>
        <w:rPr>
          <w:sz w:val="20"/>
          <w:szCs w:val="20"/>
          <w:lang w:val="fr-CA"/>
        </w:rPr>
      </w:pPr>
      <w:r w:rsidRPr="00C525BF">
        <w:rPr>
          <w:sz w:val="20"/>
          <w:szCs w:val="20"/>
          <w:lang w:val="fr-CA"/>
        </w:rPr>
        <w:t xml:space="preserve">Kevin </w:t>
      </w:r>
      <w:proofErr w:type="spellStart"/>
      <w:r w:rsidRPr="00C525BF">
        <w:rPr>
          <w:sz w:val="20"/>
          <w:szCs w:val="20"/>
          <w:lang w:val="fr-CA"/>
        </w:rPr>
        <w:t>Feth</w:t>
      </w:r>
      <w:proofErr w:type="spellEnd"/>
      <w:r w:rsidRPr="00C525BF">
        <w:rPr>
          <w:sz w:val="20"/>
          <w:szCs w:val="20"/>
          <w:lang w:val="fr-CA"/>
        </w:rPr>
        <w:t xml:space="preserve"> pour les intimés</w:t>
      </w:r>
    </w:p>
    <w:p w:rsidR="00C525BF" w:rsidRDefault="00C525BF" w:rsidP="00307D0D">
      <w:pPr>
        <w:jc w:val="both"/>
        <w:rPr>
          <w:sz w:val="20"/>
          <w:szCs w:val="20"/>
        </w:rPr>
      </w:pPr>
    </w:p>
    <w:p w:rsidR="00C525BF" w:rsidRDefault="00857426" w:rsidP="00307D0D">
      <w:pPr>
        <w:jc w:val="both"/>
        <w:rPr>
          <w:sz w:val="20"/>
          <w:szCs w:val="20"/>
          <w:lang w:val="fr-CA"/>
        </w:rPr>
      </w:pPr>
      <w:r w:rsidRPr="00857426">
        <w:rPr>
          <w:sz w:val="20"/>
          <w:szCs w:val="20"/>
          <w:lang w:val="fr-CA"/>
        </w:rPr>
        <w:pict>
          <v:rect id="_x0000_i1111" style="width:2in;height:1pt" o:hrpct="0" o:hralign="center" o:hrstd="t" o:hrnoshade="t" o:hr="t" fillcolor="black [3213]" stroked="f"/>
        </w:pict>
      </w:r>
    </w:p>
    <w:p w:rsidR="00C525BF" w:rsidRDefault="00C525BF">
      <w:pPr>
        <w:rPr>
          <w:sz w:val="20"/>
          <w:szCs w:val="20"/>
          <w:lang w:val="fr-CA"/>
        </w:rPr>
      </w:pPr>
      <w:r>
        <w:rPr>
          <w:sz w:val="20"/>
          <w:szCs w:val="20"/>
          <w:lang w:val="fr-CA"/>
        </w:rPr>
        <w:br w:type="page"/>
      </w:r>
    </w:p>
    <w:p w:rsidR="00C525BF" w:rsidRPr="00916E60" w:rsidRDefault="00857426" w:rsidP="00C525BF">
      <w:pPr>
        <w:widowControl w:val="0"/>
        <w:ind w:left="720" w:hanging="720"/>
        <w:jc w:val="both"/>
        <w:rPr>
          <w:sz w:val="20"/>
          <w:szCs w:val="20"/>
        </w:rPr>
      </w:pPr>
      <w:r w:rsidRPr="00916E60">
        <w:rPr>
          <w:sz w:val="20"/>
          <w:szCs w:val="20"/>
        </w:rPr>
        <w:lastRenderedPageBreak/>
        <w:fldChar w:fldCharType="begin"/>
      </w:r>
      <w:r w:rsidR="00C525BF" w:rsidRPr="00916E60">
        <w:rPr>
          <w:sz w:val="20"/>
          <w:szCs w:val="20"/>
        </w:rPr>
        <w:instrText xml:space="preserve"> SEQ CHAPTER \h \r 1</w:instrText>
      </w:r>
      <w:r w:rsidRPr="00916E60">
        <w:rPr>
          <w:sz w:val="20"/>
          <w:szCs w:val="20"/>
        </w:rPr>
        <w:fldChar w:fldCharType="end"/>
      </w:r>
      <w:proofErr w:type="gramStart"/>
      <w:r w:rsidR="00C525BF" w:rsidRPr="00916E60">
        <w:rPr>
          <w:b/>
          <w:sz w:val="20"/>
          <w:szCs w:val="20"/>
        </w:rPr>
        <w:t>33714</w:t>
      </w:r>
      <w:r w:rsidR="00C525BF" w:rsidRPr="00916E60">
        <w:rPr>
          <w:sz w:val="20"/>
          <w:szCs w:val="20"/>
        </w:rPr>
        <w:tab/>
      </w:r>
      <w:r w:rsidR="00C525BF" w:rsidRPr="00916E60">
        <w:rPr>
          <w:b/>
          <w:i/>
          <w:sz w:val="20"/>
          <w:szCs w:val="20"/>
        </w:rPr>
        <w:t xml:space="preserve">Marko </w:t>
      </w:r>
      <w:proofErr w:type="spellStart"/>
      <w:r w:rsidR="00C525BF" w:rsidRPr="00916E60">
        <w:rPr>
          <w:b/>
          <w:i/>
          <w:sz w:val="20"/>
          <w:szCs w:val="20"/>
        </w:rPr>
        <w:t>Miljevic</w:t>
      </w:r>
      <w:proofErr w:type="spellEnd"/>
      <w:r w:rsidR="00C525BF" w:rsidRPr="00916E60">
        <w:rPr>
          <w:b/>
          <w:i/>
          <w:sz w:val="20"/>
          <w:szCs w:val="20"/>
        </w:rPr>
        <w:t xml:space="preserve"> v.</w:t>
      </w:r>
      <w:proofErr w:type="gramEnd"/>
      <w:r w:rsidR="00C525BF" w:rsidRPr="00916E60">
        <w:rPr>
          <w:b/>
          <w:i/>
          <w:sz w:val="20"/>
          <w:szCs w:val="20"/>
        </w:rPr>
        <w:t xml:space="preserve"> Her Majesty the Queen</w:t>
      </w:r>
    </w:p>
    <w:p w:rsidR="00C525BF" w:rsidRPr="00916E60" w:rsidRDefault="00C525BF" w:rsidP="00C525BF">
      <w:pPr>
        <w:widowControl w:val="0"/>
        <w:jc w:val="both"/>
        <w:rPr>
          <w:sz w:val="20"/>
          <w:szCs w:val="20"/>
        </w:rPr>
      </w:pPr>
    </w:p>
    <w:p w:rsidR="00C525BF" w:rsidRPr="00916E60" w:rsidRDefault="00C525BF" w:rsidP="00C525BF">
      <w:pPr>
        <w:widowControl w:val="0"/>
        <w:jc w:val="both"/>
        <w:rPr>
          <w:sz w:val="20"/>
          <w:szCs w:val="20"/>
        </w:rPr>
      </w:pPr>
      <w:r w:rsidRPr="00916E60">
        <w:rPr>
          <w:sz w:val="20"/>
          <w:szCs w:val="20"/>
        </w:rPr>
        <w:t>Criminal law - Trial - Charge to jury - Response to jury question - Offences - Elements of offence - Murder - Manslaughter - Where the trial judge directs the jury that the only verdict open to it is to find the accused guilty of either murder or manslaughter, is the trial judge obligated as a matter of law to also instruct the jury on the legal definitions and elements of both of those offences? - Where a jury’s only function is to determine if the accused is guilty of either murder or manslaughter and the trial judge does not instruct the jury of the legal definition and elements of manslaughter in his original charge, is there an obligation to do so when the jury, during deliberations, makes a specific request for the definition of manslaughter and seeks an explanation as to the difference between the offences of murder and manslaughter?</w:t>
      </w:r>
    </w:p>
    <w:p w:rsidR="00C525BF" w:rsidRPr="00916E60" w:rsidRDefault="00C525BF" w:rsidP="00C525BF">
      <w:pPr>
        <w:widowControl w:val="0"/>
        <w:jc w:val="both"/>
        <w:rPr>
          <w:sz w:val="20"/>
          <w:szCs w:val="20"/>
        </w:rPr>
      </w:pPr>
    </w:p>
    <w:p w:rsidR="00C525BF" w:rsidRPr="00916E60" w:rsidRDefault="00C525BF" w:rsidP="00C525BF">
      <w:pPr>
        <w:widowControl w:val="0"/>
        <w:jc w:val="both"/>
        <w:rPr>
          <w:sz w:val="20"/>
          <w:szCs w:val="20"/>
        </w:rPr>
      </w:pPr>
      <w:r w:rsidRPr="00916E60">
        <w:rPr>
          <w:sz w:val="20"/>
          <w:szCs w:val="20"/>
        </w:rPr>
        <w:t xml:space="preserve">While at a party, the Appellant picked up a pickaxe that was at hand and either threw it in the victim’s direction or wielded it directly at the victim’s head.  The pickaxe penetrated the victim’s skull and caused his death.  At trial, the Appellant admitted throwing the pickaxe in the victim’s general direction, thinking it was a baseball bat, although his position was that he did not have the requisite intent for murder.  After deliberating, the jury asked the trial judge to explain the difference between second degree murder and manslaughter, asked for examples, and asked for a specific definition of manslaughter.  The trial judge responded by explaining that the difference between the two was “the </w:t>
      </w:r>
      <w:proofErr w:type="spellStart"/>
      <w:r w:rsidRPr="00916E60">
        <w:rPr>
          <w:sz w:val="20"/>
          <w:szCs w:val="20"/>
        </w:rPr>
        <w:t>accused’s</w:t>
      </w:r>
      <w:proofErr w:type="spellEnd"/>
      <w:r w:rsidRPr="00916E60">
        <w:rPr>
          <w:sz w:val="20"/>
          <w:szCs w:val="20"/>
        </w:rPr>
        <w:t xml:space="preserve"> mental state”.  He then read from his original instruction on the mental state required for second degree murder, and declined to give a specific definition of manslaughter on the basis that the </w:t>
      </w:r>
      <w:r w:rsidRPr="00916E60">
        <w:rPr>
          <w:i/>
          <w:sz w:val="20"/>
          <w:szCs w:val="20"/>
        </w:rPr>
        <w:t xml:space="preserve">Criminal Code </w:t>
      </w:r>
      <w:r w:rsidRPr="00916E60">
        <w:rPr>
          <w:sz w:val="20"/>
          <w:szCs w:val="20"/>
        </w:rPr>
        <w:t>contains no such definition.  The Appellant was convicted of second degree murder.  On appeal, the Appellant argued various grounds of appeal with respect to the trial judge’s charge to the jury.  The majority of the Court of Appeal found only one ground of appeal to be arguable, namely the appropriateness of the trial judge’s response to the jury’s question.  The majority found the trial judge’s response to the question to be reasonable, and the appeal was dismissed.  O’Brien, J.A., dissenting, found the trial judge’s response to the question to be neither complete nor comprehensive, and he thus concluded that the help to which the jury was entitled was not provided.  He would have allowed the appeal and ordered a new trial.</w:t>
      </w:r>
    </w:p>
    <w:p w:rsidR="00C525BF" w:rsidRPr="00916E60" w:rsidRDefault="00C525BF" w:rsidP="00C525BF">
      <w:pPr>
        <w:widowControl w:val="0"/>
        <w:jc w:val="both"/>
        <w:rPr>
          <w:sz w:val="20"/>
          <w:szCs w:val="20"/>
        </w:rPr>
      </w:pPr>
    </w:p>
    <w:p w:rsidR="00C525BF" w:rsidRPr="00916E60" w:rsidRDefault="00C525BF" w:rsidP="00C525BF">
      <w:pPr>
        <w:widowControl w:val="0"/>
        <w:jc w:val="both"/>
        <w:rPr>
          <w:sz w:val="20"/>
          <w:szCs w:val="20"/>
        </w:rPr>
      </w:pPr>
    </w:p>
    <w:p w:rsidR="00C525BF" w:rsidRPr="00916E60" w:rsidRDefault="00C525BF" w:rsidP="00916E60">
      <w:pPr>
        <w:widowControl w:val="0"/>
        <w:ind w:left="3600" w:hanging="3600"/>
        <w:jc w:val="both"/>
        <w:rPr>
          <w:sz w:val="20"/>
          <w:szCs w:val="20"/>
        </w:rPr>
      </w:pPr>
      <w:r w:rsidRPr="00916E60">
        <w:rPr>
          <w:sz w:val="20"/>
          <w:szCs w:val="20"/>
        </w:rPr>
        <w:t>Origin of the case:</w:t>
      </w:r>
      <w:r w:rsidRPr="00916E60">
        <w:rPr>
          <w:sz w:val="20"/>
          <w:szCs w:val="20"/>
        </w:rPr>
        <w:tab/>
        <w:t>Alberta</w:t>
      </w:r>
    </w:p>
    <w:p w:rsidR="00C525BF" w:rsidRPr="00916E60" w:rsidRDefault="00C525BF" w:rsidP="00916E60">
      <w:pPr>
        <w:widowControl w:val="0"/>
        <w:ind w:left="3600" w:hanging="3600"/>
        <w:jc w:val="both"/>
        <w:rPr>
          <w:sz w:val="20"/>
          <w:szCs w:val="20"/>
        </w:rPr>
      </w:pPr>
    </w:p>
    <w:p w:rsidR="00C525BF" w:rsidRPr="00916E60" w:rsidRDefault="00C525BF" w:rsidP="00916E60">
      <w:pPr>
        <w:widowControl w:val="0"/>
        <w:ind w:left="3600" w:hanging="3600"/>
        <w:jc w:val="both"/>
        <w:rPr>
          <w:sz w:val="20"/>
          <w:szCs w:val="20"/>
        </w:rPr>
      </w:pPr>
      <w:r w:rsidRPr="00916E60">
        <w:rPr>
          <w:sz w:val="20"/>
          <w:szCs w:val="20"/>
        </w:rPr>
        <w:t>File No.:</w:t>
      </w:r>
      <w:r w:rsidRPr="00916E60">
        <w:rPr>
          <w:sz w:val="20"/>
          <w:szCs w:val="20"/>
        </w:rPr>
        <w:tab/>
        <w:t>33714</w:t>
      </w:r>
    </w:p>
    <w:p w:rsidR="00C525BF" w:rsidRPr="00916E60" w:rsidRDefault="00C525BF" w:rsidP="00916E60">
      <w:pPr>
        <w:widowControl w:val="0"/>
        <w:ind w:left="3600" w:hanging="3600"/>
        <w:jc w:val="both"/>
        <w:rPr>
          <w:sz w:val="20"/>
          <w:szCs w:val="20"/>
        </w:rPr>
      </w:pPr>
    </w:p>
    <w:p w:rsidR="00C525BF" w:rsidRPr="00916E60" w:rsidRDefault="00C525BF" w:rsidP="00916E60">
      <w:pPr>
        <w:widowControl w:val="0"/>
        <w:ind w:left="3600" w:hanging="3600"/>
        <w:jc w:val="both"/>
        <w:rPr>
          <w:sz w:val="20"/>
          <w:szCs w:val="20"/>
        </w:rPr>
      </w:pPr>
      <w:r w:rsidRPr="00916E60">
        <w:rPr>
          <w:sz w:val="20"/>
          <w:szCs w:val="20"/>
        </w:rPr>
        <w:t>Judgment of the Court of Appeal:</w:t>
      </w:r>
      <w:r w:rsidRPr="00916E60">
        <w:rPr>
          <w:sz w:val="20"/>
          <w:szCs w:val="20"/>
        </w:rPr>
        <w:tab/>
        <w:t>April 14, 2010</w:t>
      </w:r>
    </w:p>
    <w:p w:rsidR="00C525BF" w:rsidRPr="00916E60" w:rsidRDefault="00C525BF" w:rsidP="00916E60">
      <w:pPr>
        <w:widowControl w:val="0"/>
        <w:ind w:left="3600" w:hanging="3600"/>
        <w:jc w:val="both"/>
        <w:rPr>
          <w:sz w:val="20"/>
          <w:szCs w:val="20"/>
        </w:rPr>
      </w:pPr>
    </w:p>
    <w:p w:rsidR="00C525BF" w:rsidRPr="00916E60" w:rsidRDefault="00C525BF" w:rsidP="00916E60">
      <w:pPr>
        <w:widowControl w:val="0"/>
        <w:ind w:left="3600" w:hanging="3600"/>
        <w:jc w:val="both"/>
        <w:rPr>
          <w:sz w:val="20"/>
          <w:szCs w:val="20"/>
        </w:rPr>
      </w:pPr>
      <w:r w:rsidRPr="00916E60">
        <w:rPr>
          <w:sz w:val="20"/>
          <w:szCs w:val="20"/>
        </w:rPr>
        <w:t>Counsel:</w:t>
      </w:r>
      <w:r w:rsidRPr="00916E60">
        <w:rPr>
          <w:sz w:val="20"/>
          <w:szCs w:val="20"/>
        </w:rPr>
        <w:tab/>
        <w:t>Noel C. O’Brien, Q.C. for the Appellant</w:t>
      </w:r>
    </w:p>
    <w:p w:rsidR="00C525BF" w:rsidRPr="00916E60" w:rsidRDefault="00C525BF" w:rsidP="00916E60">
      <w:pPr>
        <w:widowControl w:val="0"/>
        <w:ind w:left="3600" w:hanging="3600"/>
        <w:jc w:val="both"/>
        <w:rPr>
          <w:sz w:val="20"/>
          <w:szCs w:val="20"/>
        </w:rPr>
      </w:pPr>
      <w:r w:rsidRPr="00916E60">
        <w:rPr>
          <w:sz w:val="20"/>
          <w:szCs w:val="20"/>
        </w:rPr>
        <w:tab/>
      </w:r>
      <w:proofErr w:type="spellStart"/>
      <w:r w:rsidRPr="00916E60">
        <w:rPr>
          <w:sz w:val="20"/>
          <w:szCs w:val="20"/>
        </w:rPr>
        <w:t>Goran</w:t>
      </w:r>
      <w:proofErr w:type="spellEnd"/>
      <w:r w:rsidRPr="00916E60">
        <w:rPr>
          <w:sz w:val="20"/>
          <w:szCs w:val="20"/>
        </w:rPr>
        <w:t xml:space="preserve"> </w:t>
      </w:r>
      <w:proofErr w:type="spellStart"/>
      <w:r w:rsidRPr="00916E60">
        <w:rPr>
          <w:sz w:val="20"/>
          <w:szCs w:val="20"/>
        </w:rPr>
        <w:t>Tomljanovic</w:t>
      </w:r>
      <w:proofErr w:type="spellEnd"/>
      <w:r w:rsidRPr="00916E60">
        <w:rPr>
          <w:sz w:val="20"/>
          <w:szCs w:val="20"/>
        </w:rPr>
        <w:t>, Q.C. for the Respondent</w:t>
      </w:r>
    </w:p>
    <w:p w:rsidR="00C525BF" w:rsidRDefault="00C525BF" w:rsidP="00307D0D">
      <w:pPr>
        <w:jc w:val="both"/>
        <w:rPr>
          <w:sz w:val="20"/>
          <w:szCs w:val="20"/>
        </w:rPr>
      </w:pPr>
    </w:p>
    <w:p w:rsidR="00916E60" w:rsidRDefault="00857426" w:rsidP="00307D0D">
      <w:pPr>
        <w:jc w:val="both"/>
        <w:rPr>
          <w:sz w:val="20"/>
          <w:szCs w:val="20"/>
        </w:rPr>
      </w:pPr>
      <w:r w:rsidRPr="00857426">
        <w:rPr>
          <w:sz w:val="20"/>
          <w:szCs w:val="20"/>
          <w:lang w:val="fr-CA"/>
        </w:rPr>
        <w:pict>
          <v:rect id="_x0000_i1112" style="width:2in;height:1pt" o:hrpct="0" o:hralign="center" o:hrstd="t" o:hrnoshade="t" o:hr="t" fillcolor="black [3213]" stroked="f"/>
        </w:pict>
      </w:r>
    </w:p>
    <w:p w:rsidR="00916E60" w:rsidRDefault="00916E60">
      <w:pPr>
        <w:rPr>
          <w:sz w:val="20"/>
          <w:szCs w:val="20"/>
        </w:rPr>
      </w:pPr>
      <w:r>
        <w:rPr>
          <w:sz w:val="20"/>
          <w:szCs w:val="20"/>
        </w:rPr>
        <w:br w:type="page"/>
      </w:r>
    </w:p>
    <w:p w:rsidR="00916E60" w:rsidRPr="00916E60" w:rsidRDefault="00857426" w:rsidP="00916E60">
      <w:pPr>
        <w:widowControl w:val="0"/>
        <w:ind w:left="720" w:hanging="720"/>
        <w:jc w:val="both"/>
        <w:rPr>
          <w:sz w:val="20"/>
          <w:szCs w:val="20"/>
          <w:lang w:val="fr-CA"/>
        </w:rPr>
      </w:pPr>
      <w:r w:rsidRPr="00857426">
        <w:rPr>
          <w:sz w:val="20"/>
          <w:szCs w:val="20"/>
          <w:lang w:val="fr-CA"/>
        </w:rPr>
        <w:lastRenderedPageBreak/>
        <w:fldChar w:fldCharType="begin"/>
      </w:r>
      <w:r w:rsidR="00916E60" w:rsidRPr="00916E60">
        <w:rPr>
          <w:sz w:val="20"/>
          <w:szCs w:val="20"/>
          <w:lang w:val="fr-CA"/>
        </w:rPr>
        <w:instrText xml:space="preserve"> SEQ CHAPTER \h \r 1</w:instrText>
      </w:r>
      <w:r w:rsidRPr="00916E60">
        <w:rPr>
          <w:sz w:val="20"/>
          <w:szCs w:val="20"/>
        </w:rPr>
        <w:fldChar w:fldCharType="end"/>
      </w:r>
      <w:r w:rsidR="00916E60" w:rsidRPr="00916E60">
        <w:rPr>
          <w:b/>
          <w:sz w:val="20"/>
          <w:szCs w:val="20"/>
          <w:lang w:val="fr-CA"/>
        </w:rPr>
        <w:t>33714</w:t>
      </w:r>
      <w:r w:rsidR="00916E60" w:rsidRPr="00916E60">
        <w:rPr>
          <w:sz w:val="20"/>
          <w:szCs w:val="20"/>
          <w:lang w:val="fr-CA"/>
        </w:rPr>
        <w:tab/>
      </w:r>
      <w:r w:rsidR="00916E60" w:rsidRPr="00916E60">
        <w:rPr>
          <w:b/>
          <w:i/>
          <w:sz w:val="20"/>
          <w:szCs w:val="20"/>
          <w:lang w:val="fr-CA"/>
        </w:rPr>
        <w:t xml:space="preserve">Marko </w:t>
      </w:r>
      <w:proofErr w:type="spellStart"/>
      <w:r w:rsidR="00916E60" w:rsidRPr="00916E60">
        <w:rPr>
          <w:b/>
          <w:i/>
          <w:sz w:val="20"/>
          <w:szCs w:val="20"/>
          <w:lang w:val="fr-CA"/>
        </w:rPr>
        <w:t>Miljevic</w:t>
      </w:r>
      <w:proofErr w:type="spellEnd"/>
      <w:r w:rsidR="00916E60" w:rsidRPr="00916E60">
        <w:rPr>
          <w:b/>
          <w:i/>
          <w:sz w:val="20"/>
          <w:szCs w:val="20"/>
          <w:lang w:val="fr-CA"/>
        </w:rPr>
        <w:t xml:space="preserve"> c. Sa Majesté la Reine</w:t>
      </w:r>
    </w:p>
    <w:p w:rsidR="00916E60" w:rsidRPr="00916E60" w:rsidRDefault="00916E60" w:rsidP="00916E60">
      <w:pPr>
        <w:widowControl w:val="0"/>
        <w:jc w:val="both"/>
        <w:rPr>
          <w:sz w:val="20"/>
          <w:szCs w:val="20"/>
          <w:lang w:val="fr-CA"/>
        </w:rPr>
      </w:pPr>
    </w:p>
    <w:p w:rsidR="00916E60" w:rsidRPr="00916E60" w:rsidRDefault="00916E60" w:rsidP="00916E60">
      <w:pPr>
        <w:widowControl w:val="0"/>
        <w:jc w:val="both"/>
        <w:rPr>
          <w:sz w:val="20"/>
          <w:szCs w:val="20"/>
          <w:lang w:val="fr-CA"/>
        </w:rPr>
      </w:pPr>
      <w:r w:rsidRPr="00916E60">
        <w:rPr>
          <w:sz w:val="20"/>
          <w:szCs w:val="20"/>
          <w:lang w:val="fr-CA"/>
        </w:rPr>
        <w:t>Droit criminel - Procès - Directives au jury - Réponse à une question du jury - Infractions - Éléments de l’infraction - Meurtre - Homicide involontaire coupable - Lorsque le juge du procès dit au jury que le seul verdict qu’il peut rendre est de déclarer l’accusé coupable soit de meurtre, soit d’homicide involontaire coupable, le juge est-il obligé, sur le plan du droit, de donner en outre au jury les définitions légales et les éléments de ces deux infractions? - Lorsque la seule fonction du jury est de déterminer si l’accusé est coupable de meurtre ou d’homicide involontaire coupable et que le juge du procès ne donne pas au jury la définition légale et les éléments de l’homicide involontaire coupable dans ses directives initiales, le juge est-il obligé de le faire lorsque le jury, pendant ses délibérations, demande expressément la définition de l’homicide involontaire coupable et demande une explication sur la différence entres les infractions de meurtre et d’homicide involontaire coupable?</w:t>
      </w:r>
    </w:p>
    <w:p w:rsidR="00916E60" w:rsidRPr="00916E60" w:rsidRDefault="00916E60" w:rsidP="00916E60">
      <w:pPr>
        <w:widowControl w:val="0"/>
        <w:jc w:val="both"/>
        <w:rPr>
          <w:sz w:val="20"/>
          <w:szCs w:val="20"/>
          <w:lang w:val="fr-CA"/>
        </w:rPr>
      </w:pPr>
    </w:p>
    <w:p w:rsidR="00916E60" w:rsidRPr="00916E60" w:rsidRDefault="00916E60" w:rsidP="00916E60">
      <w:pPr>
        <w:widowControl w:val="0"/>
        <w:jc w:val="both"/>
        <w:rPr>
          <w:sz w:val="20"/>
          <w:szCs w:val="20"/>
          <w:lang w:val="fr-CA"/>
        </w:rPr>
      </w:pPr>
      <w:r w:rsidRPr="00916E60">
        <w:rPr>
          <w:sz w:val="20"/>
          <w:szCs w:val="20"/>
          <w:lang w:val="fr-CA"/>
        </w:rPr>
        <w:t>Alors qu’il se trouvait à une fête, l’appelant a saisi une pioche-hache qui se trouvait à sa portée et l’a soit lancée en direction de la victime, soit portée directement à la tête de la victime.  La pioche-hache a pénétré la boîte crânienne de la victime et a causé sa mort.  Au procès, l’appelant a admis avoir lancé la pioche-hache en la direction générale de la victime, croyant qu’il s’agissait d’un bâton de baseball, tout en plaidant qu’il n’avait pas l’intention requise pour que son geste constitue un meurtre.  Après avoir délibéré, le jury a demandé au juge du procès d’expliquer la différence entre le meurtre au deuxième degré et l’homicide involontaire coupable, il a demandé des exemples et il a demandé une définition expresse de l’homicide involontaire coupable.  Le juge du procès a répondu en expliquant que la différence entre les deux infractions était [</w:t>
      </w:r>
      <w:r w:rsidRPr="00916E60">
        <w:rPr>
          <w:smallCaps/>
          <w:sz w:val="20"/>
          <w:szCs w:val="20"/>
          <w:lang w:val="fr-CA"/>
        </w:rPr>
        <w:t>traduction</w:t>
      </w:r>
      <w:r w:rsidRPr="00916E60">
        <w:rPr>
          <w:sz w:val="20"/>
          <w:szCs w:val="20"/>
          <w:lang w:val="fr-CA"/>
        </w:rPr>
        <w:t xml:space="preserve">] « l’état mental de l’accusé ».  Il a ensuite lu ses directives initiales sur l’état mental requis pour que le geste de l’accusé constitue un meurtre au deuxième degré et a refusé de donner une définition expresse de l’homicide involontaire coupable au motif que le </w:t>
      </w:r>
      <w:r w:rsidRPr="00916E60">
        <w:rPr>
          <w:i/>
          <w:sz w:val="20"/>
          <w:szCs w:val="20"/>
          <w:lang w:val="fr-CA"/>
        </w:rPr>
        <w:t xml:space="preserve">Code criminel </w:t>
      </w:r>
      <w:r w:rsidRPr="00916E60">
        <w:rPr>
          <w:sz w:val="20"/>
          <w:szCs w:val="20"/>
          <w:lang w:val="fr-CA"/>
        </w:rPr>
        <w:t xml:space="preserve">ne renferme pas une telle définition.  L’appelant a été déclaré coupable de meurtre au deuxième degré.  En appel, l’appelant a plaidé divers moyens </w:t>
      </w:r>
      <w:proofErr w:type="gramStart"/>
      <w:r w:rsidRPr="00916E60">
        <w:rPr>
          <w:sz w:val="20"/>
          <w:szCs w:val="20"/>
          <w:lang w:val="fr-CA"/>
        </w:rPr>
        <w:t>d’appel relatifs</w:t>
      </w:r>
      <w:proofErr w:type="gramEnd"/>
      <w:r w:rsidRPr="00916E60">
        <w:rPr>
          <w:sz w:val="20"/>
          <w:szCs w:val="20"/>
          <w:lang w:val="fr-CA"/>
        </w:rPr>
        <w:t xml:space="preserve"> aux directives du juge du procès au jury.  Les juges majoritaires de la Cour d’appel ont estimé qu’un seul moyen d’appel était défendable, soit le caractère adéquat de la réponse du juge du procès à la question du jury.  Les juges majoritaires ont conclu que la réponse du juge du procès à la question était raisonnable et l’appel a été rejeté.  Le juge O’Brien, dissident, a conclu que la réponse du juge du procès à la question n’était ni complète, ni exhaustive, et a donc conclu que l’aide à laquelle le jury avait droit n’avait pas été fournie.  Il aurait accueilli l’appel et ordonné la tenue d’un nouveau procès.</w:t>
      </w:r>
    </w:p>
    <w:p w:rsidR="00916E60" w:rsidRPr="00916E60" w:rsidRDefault="00916E60" w:rsidP="00916E60">
      <w:pPr>
        <w:widowControl w:val="0"/>
        <w:jc w:val="both"/>
        <w:rPr>
          <w:sz w:val="20"/>
          <w:szCs w:val="20"/>
          <w:lang w:val="fr-CA"/>
        </w:rPr>
      </w:pPr>
    </w:p>
    <w:p w:rsidR="00916E60" w:rsidRPr="00916E60" w:rsidRDefault="00916E60" w:rsidP="00916E60">
      <w:pPr>
        <w:widowControl w:val="0"/>
        <w:jc w:val="both"/>
        <w:rPr>
          <w:sz w:val="20"/>
          <w:szCs w:val="20"/>
          <w:lang w:val="fr-CA"/>
        </w:rPr>
      </w:pPr>
    </w:p>
    <w:p w:rsidR="00916E60" w:rsidRPr="00916E60" w:rsidRDefault="00916E60" w:rsidP="00916E60">
      <w:pPr>
        <w:widowControl w:val="0"/>
        <w:ind w:left="3600" w:hanging="3600"/>
        <w:jc w:val="both"/>
        <w:rPr>
          <w:sz w:val="20"/>
          <w:szCs w:val="20"/>
          <w:lang w:val="fr-CA"/>
        </w:rPr>
      </w:pPr>
      <w:r w:rsidRPr="00916E60">
        <w:rPr>
          <w:sz w:val="20"/>
          <w:szCs w:val="20"/>
          <w:lang w:val="fr-CA"/>
        </w:rPr>
        <w:t>Origine :</w:t>
      </w:r>
      <w:r w:rsidRPr="00916E60">
        <w:rPr>
          <w:sz w:val="20"/>
          <w:szCs w:val="20"/>
          <w:lang w:val="fr-CA"/>
        </w:rPr>
        <w:tab/>
        <w:t>Alberta</w:t>
      </w:r>
    </w:p>
    <w:p w:rsidR="00916E60" w:rsidRPr="00916E60" w:rsidRDefault="00916E60" w:rsidP="00916E60">
      <w:pPr>
        <w:widowControl w:val="0"/>
        <w:jc w:val="both"/>
        <w:rPr>
          <w:sz w:val="20"/>
          <w:szCs w:val="20"/>
          <w:lang w:val="fr-CA"/>
        </w:rPr>
      </w:pPr>
    </w:p>
    <w:p w:rsidR="00916E60" w:rsidRPr="00916E60" w:rsidRDefault="00916E60" w:rsidP="00916E60">
      <w:pPr>
        <w:widowControl w:val="0"/>
        <w:ind w:left="3600" w:hanging="3600"/>
        <w:jc w:val="both"/>
        <w:rPr>
          <w:sz w:val="20"/>
          <w:szCs w:val="20"/>
          <w:lang w:val="fr-CA"/>
        </w:rPr>
      </w:pPr>
      <w:r w:rsidRPr="00916E60">
        <w:rPr>
          <w:sz w:val="20"/>
          <w:szCs w:val="20"/>
          <w:lang w:val="fr-CA"/>
        </w:rPr>
        <w:t>N</w:t>
      </w:r>
      <w:r w:rsidRPr="00916E60">
        <w:rPr>
          <w:sz w:val="20"/>
          <w:szCs w:val="20"/>
          <w:vertAlign w:val="superscript"/>
          <w:lang w:val="fr-CA"/>
        </w:rPr>
        <w:t>o</w:t>
      </w:r>
      <w:r w:rsidRPr="00916E60">
        <w:rPr>
          <w:sz w:val="20"/>
          <w:szCs w:val="20"/>
          <w:lang w:val="fr-CA"/>
        </w:rPr>
        <w:t xml:space="preserve"> du greffe :</w:t>
      </w:r>
      <w:r w:rsidRPr="00916E60">
        <w:rPr>
          <w:sz w:val="20"/>
          <w:szCs w:val="20"/>
          <w:lang w:val="fr-CA"/>
        </w:rPr>
        <w:tab/>
        <w:t>33714</w:t>
      </w:r>
    </w:p>
    <w:p w:rsidR="00916E60" w:rsidRPr="00916E60" w:rsidRDefault="00916E60" w:rsidP="00916E60">
      <w:pPr>
        <w:widowControl w:val="0"/>
        <w:jc w:val="both"/>
        <w:rPr>
          <w:sz w:val="20"/>
          <w:szCs w:val="20"/>
          <w:lang w:val="fr-CA"/>
        </w:rPr>
      </w:pPr>
    </w:p>
    <w:p w:rsidR="00916E60" w:rsidRPr="00916E60" w:rsidRDefault="00916E60" w:rsidP="00916E60">
      <w:pPr>
        <w:widowControl w:val="0"/>
        <w:ind w:left="3600" w:hanging="3600"/>
        <w:jc w:val="both"/>
        <w:rPr>
          <w:sz w:val="20"/>
          <w:szCs w:val="20"/>
          <w:lang w:val="fr-CA"/>
        </w:rPr>
      </w:pPr>
      <w:r w:rsidRPr="00916E60">
        <w:rPr>
          <w:sz w:val="20"/>
          <w:szCs w:val="20"/>
          <w:lang w:val="fr-CA"/>
        </w:rPr>
        <w:t>Arrêt de la Cour d’appel :</w:t>
      </w:r>
      <w:r w:rsidRPr="00916E60">
        <w:rPr>
          <w:sz w:val="20"/>
          <w:szCs w:val="20"/>
          <w:lang w:val="fr-CA"/>
        </w:rPr>
        <w:tab/>
        <w:t>le 14 avril 2010</w:t>
      </w:r>
    </w:p>
    <w:p w:rsidR="00916E60" w:rsidRPr="00916E60" w:rsidRDefault="00916E60" w:rsidP="00916E60">
      <w:pPr>
        <w:widowControl w:val="0"/>
        <w:jc w:val="both"/>
        <w:rPr>
          <w:sz w:val="20"/>
          <w:szCs w:val="20"/>
          <w:lang w:val="fr-CA"/>
        </w:rPr>
      </w:pPr>
    </w:p>
    <w:p w:rsidR="00916E60" w:rsidRPr="00916E60" w:rsidRDefault="00916E60" w:rsidP="00916E60">
      <w:pPr>
        <w:widowControl w:val="0"/>
        <w:ind w:left="3600" w:hanging="3600"/>
        <w:jc w:val="both"/>
        <w:rPr>
          <w:sz w:val="20"/>
          <w:szCs w:val="20"/>
          <w:lang w:val="fr-CA"/>
        </w:rPr>
      </w:pPr>
      <w:r w:rsidRPr="00916E60">
        <w:rPr>
          <w:sz w:val="20"/>
          <w:szCs w:val="20"/>
          <w:lang w:val="fr-CA"/>
        </w:rPr>
        <w:t>Avocats :</w:t>
      </w:r>
      <w:r w:rsidRPr="00916E60">
        <w:rPr>
          <w:sz w:val="20"/>
          <w:szCs w:val="20"/>
          <w:lang w:val="fr-CA"/>
        </w:rPr>
        <w:tab/>
        <w:t xml:space="preserve">Noel C. O’Brien, </w:t>
      </w:r>
      <w:proofErr w:type="spellStart"/>
      <w:r w:rsidRPr="00916E60">
        <w:rPr>
          <w:sz w:val="20"/>
          <w:szCs w:val="20"/>
          <w:lang w:val="fr-CA"/>
        </w:rPr>
        <w:t>c.r</w:t>
      </w:r>
      <w:proofErr w:type="spellEnd"/>
      <w:r w:rsidRPr="00916E60">
        <w:rPr>
          <w:sz w:val="20"/>
          <w:szCs w:val="20"/>
          <w:lang w:val="fr-CA"/>
        </w:rPr>
        <w:t>. pour l’appelant</w:t>
      </w:r>
    </w:p>
    <w:p w:rsidR="00916E60" w:rsidRPr="00916E60" w:rsidRDefault="00916E60" w:rsidP="00916E60">
      <w:pPr>
        <w:widowControl w:val="0"/>
        <w:ind w:left="3600"/>
        <w:jc w:val="both"/>
        <w:rPr>
          <w:sz w:val="20"/>
          <w:szCs w:val="20"/>
          <w:lang w:val="fr-CA"/>
        </w:rPr>
      </w:pPr>
      <w:r w:rsidRPr="00916E60">
        <w:rPr>
          <w:sz w:val="20"/>
          <w:szCs w:val="20"/>
          <w:lang w:val="fr-CA"/>
        </w:rPr>
        <w:t xml:space="preserve">Goran </w:t>
      </w:r>
      <w:proofErr w:type="spellStart"/>
      <w:r w:rsidRPr="00916E60">
        <w:rPr>
          <w:sz w:val="20"/>
          <w:szCs w:val="20"/>
          <w:lang w:val="fr-CA"/>
        </w:rPr>
        <w:t>Tomljanovic</w:t>
      </w:r>
      <w:proofErr w:type="spellEnd"/>
      <w:r w:rsidRPr="00916E60">
        <w:rPr>
          <w:sz w:val="20"/>
          <w:szCs w:val="20"/>
          <w:lang w:val="fr-CA"/>
        </w:rPr>
        <w:t xml:space="preserve">, </w:t>
      </w:r>
      <w:proofErr w:type="spellStart"/>
      <w:r w:rsidRPr="00916E60">
        <w:rPr>
          <w:sz w:val="20"/>
          <w:szCs w:val="20"/>
          <w:lang w:val="fr-CA"/>
        </w:rPr>
        <w:t>c.r</w:t>
      </w:r>
      <w:proofErr w:type="spellEnd"/>
      <w:r w:rsidRPr="00916E60">
        <w:rPr>
          <w:sz w:val="20"/>
          <w:szCs w:val="20"/>
          <w:lang w:val="fr-CA"/>
        </w:rPr>
        <w:t>. pour l’intimée</w:t>
      </w:r>
    </w:p>
    <w:p w:rsidR="00916E60" w:rsidRDefault="00916E60" w:rsidP="00307D0D">
      <w:pPr>
        <w:jc w:val="both"/>
        <w:rPr>
          <w:sz w:val="20"/>
          <w:szCs w:val="20"/>
          <w:lang w:val="fr-CA"/>
        </w:rPr>
      </w:pPr>
    </w:p>
    <w:p w:rsidR="005F3A1E" w:rsidRPr="00916E60" w:rsidRDefault="00857426" w:rsidP="00307D0D">
      <w:pPr>
        <w:jc w:val="both"/>
        <w:rPr>
          <w:sz w:val="20"/>
          <w:szCs w:val="20"/>
          <w:lang w:val="fr-CA"/>
        </w:rPr>
      </w:pPr>
      <w:r w:rsidRPr="00857426">
        <w:rPr>
          <w:sz w:val="20"/>
          <w:szCs w:val="20"/>
          <w:lang w:val="fr-CA"/>
        </w:rPr>
        <w:pict>
          <v:rect id="_x0000_i1113" style="width:2in;height:1pt" o:hrpct="0" o:hralign="center" o:hrstd="t" o:hrnoshade="t" o:hr="t" fillcolor="black [3213]" stroked="f"/>
        </w:pict>
      </w:r>
    </w:p>
    <w:p w:rsidR="005F263E" w:rsidRPr="00916E60" w:rsidRDefault="005F263E" w:rsidP="00782AE4">
      <w:pPr>
        <w:jc w:val="both"/>
        <w:rPr>
          <w:sz w:val="20"/>
          <w:szCs w:val="20"/>
          <w:lang w:val="fr-CA"/>
        </w:rPr>
      </w:pPr>
    </w:p>
    <w:p w:rsidR="005F263E" w:rsidRPr="00916E60" w:rsidRDefault="005F263E" w:rsidP="00782AE4">
      <w:pPr>
        <w:jc w:val="both"/>
        <w:rPr>
          <w:sz w:val="20"/>
          <w:szCs w:val="20"/>
          <w:lang w:val="fr-CA"/>
        </w:rPr>
        <w:sectPr w:rsidR="005F263E" w:rsidRPr="00916E60" w:rsidSect="005F263E">
          <w:headerReference w:type="default"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924065" w:rsidRPr="00DE5525" w:rsidRDefault="00380760" w:rsidP="00924065">
      <w:pPr>
        <w:jc w:val="center"/>
        <w:rPr>
          <w:b/>
          <w:szCs w:val="24"/>
        </w:rPr>
      </w:pPr>
      <w:r>
        <w:rPr>
          <w:b/>
          <w:szCs w:val="24"/>
        </w:rPr>
        <w:lastRenderedPageBreak/>
        <w:t>S</w:t>
      </w:r>
      <w:r w:rsidR="00924065" w:rsidRPr="00DE5525">
        <w:rPr>
          <w:b/>
          <w:szCs w:val="24"/>
        </w:rPr>
        <w:t>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4D4629">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4D4629">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4D4629">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DECEMBER - DÉCEMBRE</w:t>
            </w:r>
          </w:p>
        </w:tc>
      </w:tr>
      <w:tr w:rsidR="00924065" w:rsidRPr="00267AE0" w:rsidTr="004D4629">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W</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F</w:t>
            </w:r>
          </w:p>
          <w:p w:rsidR="00924065" w:rsidRPr="00267AE0" w:rsidRDefault="00924065" w:rsidP="004D4629">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W</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F</w:t>
            </w:r>
          </w:p>
          <w:p w:rsidR="00924065" w:rsidRPr="00267AE0" w:rsidRDefault="00924065" w:rsidP="004D4629">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W</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F</w:t>
            </w:r>
          </w:p>
          <w:p w:rsidR="00924065" w:rsidRPr="00267AE0" w:rsidRDefault="00924065" w:rsidP="004D4629">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S</w:t>
            </w:r>
          </w:p>
        </w:tc>
      </w:tr>
      <w:tr w:rsidR="00924065" w:rsidRPr="00267AE0" w:rsidTr="004D4629">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20"/>
              </w:rPr>
            </w:pPr>
          </w:p>
          <w:p w:rsidR="00924065" w:rsidRPr="00267AE0" w:rsidRDefault="00924065" w:rsidP="004D4629">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4D4629">
            <w:pPr>
              <w:widowControl w:val="0"/>
              <w:jc w:val="center"/>
              <w:rPr>
                <w:rFonts w:ascii="Arial" w:hAnsi="Arial" w:cs="Arial"/>
                <w:sz w:val="14"/>
              </w:rPr>
            </w:pPr>
            <w:r w:rsidRPr="00267AE0">
              <w:rPr>
                <w:rFonts w:ascii="Arial" w:hAnsi="Arial" w:cs="Arial"/>
                <w:b/>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4</w:t>
            </w:r>
          </w:p>
        </w:tc>
      </w:tr>
      <w:tr w:rsidR="00924065" w:rsidRPr="00267AE0" w:rsidTr="004D4629">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H</w:t>
            </w:r>
          </w:p>
          <w:p w:rsidR="00924065" w:rsidRPr="00267AE0" w:rsidRDefault="00924065" w:rsidP="004D4629">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11</w:t>
            </w:r>
          </w:p>
        </w:tc>
      </w:tr>
      <w:tr w:rsidR="00924065" w:rsidRPr="00267AE0" w:rsidTr="004D4629">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H</w:t>
            </w:r>
          </w:p>
          <w:p w:rsidR="00924065" w:rsidRPr="00267AE0" w:rsidRDefault="00924065" w:rsidP="004D4629">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18</w:t>
            </w:r>
          </w:p>
        </w:tc>
      </w:tr>
      <w:tr w:rsidR="00924065" w:rsidRPr="00267AE0" w:rsidTr="004D4629">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25</w:t>
            </w:r>
          </w:p>
        </w:tc>
      </w:tr>
      <w:tr w:rsidR="00924065" w:rsidRPr="00267AE0" w:rsidTr="004D4629">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24</w:t>
            </w:r>
          </w:p>
          <w:p w:rsidR="00924065" w:rsidRPr="00267AE0" w:rsidRDefault="00924065" w:rsidP="004D4629">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H</w:t>
            </w:r>
          </w:p>
          <w:p w:rsidR="00924065" w:rsidRPr="00267AE0" w:rsidRDefault="00924065" w:rsidP="004D4629">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H</w:t>
            </w:r>
          </w:p>
          <w:p w:rsidR="00924065" w:rsidRPr="00267AE0" w:rsidRDefault="00924065" w:rsidP="004D4629">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4D4629">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4D4629">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4D4629">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MARCH - MARS</w:t>
            </w:r>
          </w:p>
        </w:tc>
      </w:tr>
      <w:tr w:rsidR="00924065" w:rsidRPr="00267AE0" w:rsidTr="004D4629">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W</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F</w:t>
            </w:r>
          </w:p>
          <w:p w:rsidR="00924065" w:rsidRPr="00267AE0" w:rsidRDefault="00924065" w:rsidP="004D4629">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W</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F</w:t>
            </w:r>
          </w:p>
          <w:p w:rsidR="00924065" w:rsidRPr="00267AE0" w:rsidRDefault="00924065" w:rsidP="004D4629">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W</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F</w:t>
            </w:r>
          </w:p>
          <w:p w:rsidR="00924065" w:rsidRPr="00267AE0" w:rsidRDefault="00924065" w:rsidP="004D4629">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S</w:t>
            </w:r>
          </w:p>
        </w:tc>
      </w:tr>
      <w:tr w:rsidR="00924065" w:rsidRPr="00267AE0" w:rsidTr="004D4629">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5</w:t>
            </w:r>
          </w:p>
        </w:tc>
      </w:tr>
      <w:tr w:rsidR="00924065" w:rsidRPr="00267AE0" w:rsidTr="004D4629">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H</w:t>
            </w:r>
          </w:p>
          <w:p w:rsidR="00924065" w:rsidRPr="00267AE0" w:rsidRDefault="00924065" w:rsidP="004D4629">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4D4629">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12</w:t>
            </w:r>
          </w:p>
        </w:tc>
      </w:tr>
      <w:tr w:rsidR="00924065" w:rsidRPr="00267AE0" w:rsidTr="004D4629">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19</w:t>
            </w:r>
          </w:p>
        </w:tc>
      </w:tr>
      <w:tr w:rsidR="00924065" w:rsidRPr="00267AE0" w:rsidTr="004D4629">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26</w:t>
            </w:r>
          </w:p>
        </w:tc>
      </w:tr>
      <w:tr w:rsidR="00924065" w:rsidRPr="00267AE0" w:rsidTr="004D4629">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23</w:t>
            </w:r>
          </w:p>
          <w:p w:rsidR="00924065" w:rsidRPr="00267AE0" w:rsidRDefault="00924065" w:rsidP="004D4629">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24</w:t>
            </w:r>
          </w:p>
          <w:p w:rsidR="00924065" w:rsidRPr="00267AE0" w:rsidRDefault="00924065" w:rsidP="004D4629">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4D4629">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4D4629">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W</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F</w:t>
            </w:r>
          </w:p>
          <w:p w:rsidR="00924065" w:rsidRPr="00267AE0" w:rsidRDefault="00924065" w:rsidP="004D4629">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W</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F</w:t>
            </w:r>
          </w:p>
          <w:p w:rsidR="00924065" w:rsidRPr="00267AE0" w:rsidRDefault="00924065" w:rsidP="004D4629">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W</w:t>
            </w:r>
          </w:p>
          <w:p w:rsidR="00924065" w:rsidRPr="00267AE0" w:rsidRDefault="00924065" w:rsidP="004D4629">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T</w:t>
            </w:r>
          </w:p>
          <w:p w:rsidR="00924065" w:rsidRPr="00267AE0" w:rsidRDefault="00924065" w:rsidP="004D4629">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F</w:t>
            </w:r>
          </w:p>
          <w:p w:rsidR="00924065" w:rsidRPr="00267AE0" w:rsidRDefault="00924065" w:rsidP="004D4629">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s</w:t>
            </w:r>
          </w:p>
          <w:p w:rsidR="00924065" w:rsidRPr="00267AE0" w:rsidRDefault="00924065" w:rsidP="004D4629">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4D4629">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b/>
                <w:sz w:val="14"/>
              </w:rPr>
            </w:pPr>
          </w:p>
          <w:p w:rsidR="00924065" w:rsidRPr="00267AE0" w:rsidRDefault="00924065" w:rsidP="004D4629">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M</w:t>
            </w:r>
          </w:p>
          <w:p w:rsidR="00924065" w:rsidRPr="00267AE0" w:rsidRDefault="00924065" w:rsidP="004D4629">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H</w:t>
            </w:r>
          </w:p>
          <w:p w:rsidR="00924065" w:rsidRPr="00267AE0" w:rsidRDefault="00924065" w:rsidP="004D4629">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H</w:t>
            </w:r>
          </w:p>
          <w:p w:rsidR="00924065" w:rsidRPr="00267AE0" w:rsidRDefault="00924065" w:rsidP="004D4629">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r w:rsidRPr="00267AE0">
              <w:rPr>
                <w:rFonts w:ascii="Arial" w:hAnsi="Arial" w:cs="Arial"/>
                <w:b/>
                <w:sz w:val="14"/>
              </w:rPr>
              <w:t>H</w:t>
            </w:r>
          </w:p>
          <w:p w:rsidR="00924065" w:rsidRPr="00267AE0" w:rsidRDefault="00924065" w:rsidP="004D4629">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4D4629">
            <w:pPr>
              <w:widowControl w:val="0"/>
              <w:jc w:val="center"/>
              <w:rPr>
                <w:rFonts w:ascii="Arial" w:hAnsi="Arial" w:cs="Arial"/>
                <w:sz w:val="14"/>
              </w:rPr>
            </w:pPr>
          </w:p>
          <w:p w:rsidR="00924065" w:rsidRPr="00267AE0" w:rsidRDefault="00924065" w:rsidP="004D4629">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4D4629">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4D4629">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4D4629">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 xml:space="preserve">Séances de la </w:t>
            </w:r>
            <w:proofErr w:type="spellStart"/>
            <w:r w:rsidRPr="00267AE0">
              <w:rPr>
                <w:rFonts w:ascii="Arial" w:hAnsi="Arial" w:cs="Arial"/>
                <w:sz w:val="16"/>
              </w:rPr>
              <w:t>cour</w:t>
            </w:r>
            <w:proofErr w:type="spellEnd"/>
            <w:r w:rsidRPr="00267AE0">
              <w:rPr>
                <w:rFonts w:ascii="Arial" w:hAnsi="Arial" w:cs="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4D4629">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4D4629">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4D46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 xml:space="preserve">18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weeks</w:t>
            </w:r>
            <w:proofErr w:type="spellEnd"/>
            <w:r w:rsidRPr="00267AE0">
              <w:rPr>
                <w:rFonts w:ascii="Arial" w:hAnsi="Arial" w:cs="Arial"/>
                <w:b/>
                <w:sz w:val="16"/>
                <w:lang w:val="fr-CA"/>
              </w:rPr>
              <w:t>/semaines séances de la cour</w:t>
            </w:r>
          </w:p>
          <w:p w:rsidR="00924065" w:rsidRPr="00267AE0" w:rsidRDefault="00924065" w:rsidP="004D46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87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/journées séances de la cour</w:t>
            </w:r>
          </w:p>
          <w:p w:rsidR="00924065" w:rsidRPr="00267AE0" w:rsidRDefault="00924065" w:rsidP="004D46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9  motion and </w:t>
            </w:r>
            <w:proofErr w:type="spellStart"/>
            <w:r w:rsidRPr="00267AE0">
              <w:rPr>
                <w:rFonts w:ascii="Arial" w:hAnsi="Arial" w:cs="Arial"/>
                <w:b/>
                <w:sz w:val="16"/>
                <w:lang w:val="fr-CA"/>
              </w:rPr>
              <w:t>conference</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 journées des requêtes et des conférences</w:t>
            </w:r>
          </w:p>
          <w:p w:rsidR="00924065" w:rsidRPr="00267AE0" w:rsidRDefault="00924065" w:rsidP="004D46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 xml:space="preserve">3  holidays during sitting days/ </w:t>
            </w:r>
            <w:proofErr w:type="spellStart"/>
            <w:r w:rsidRPr="00267AE0">
              <w:rPr>
                <w:rFonts w:ascii="Arial" w:hAnsi="Arial" w:cs="Arial"/>
                <w:b/>
                <w:sz w:val="16"/>
              </w:rPr>
              <w:t>jours</w:t>
            </w:r>
            <w:proofErr w:type="spellEnd"/>
            <w:r w:rsidRPr="00267AE0">
              <w:rPr>
                <w:rFonts w:ascii="Arial" w:hAnsi="Arial" w:cs="Arial"/>
                <w:b/>
                <w:sz w:val="16"/>
              </w:rPr>
              <w:t xml:space="preserve"> </w:t>
            </w:r>
            <w:proofErr w:type="spellStart"/>
            <w:r w:rsidRPr="00267AE0">
              <w:rPr>
                <w:rFonts w:ascii="Arial" w:hAnsi="Arial" w:cs="Arial"/>
                <w:b/>
                <w:sz w:val="16"/>
              </w:rPr>
              <w:t>fériés</w:t>
            </w:r>
            <w:proofErr w:type="spellEnd"/>
            <w:r w:rsidRPr="00267AE0">
              <w:rPr>
                <w:rFonts w:ascii="Arial" w:hAnsi="Arial" w:cs="Arial"/>
                <w:b/>
                <w:sz w:val="16"/>
              </w:rPr>
              <w:t xml:space="preserve"> </w:t>
            </w:r>
            <w:proofErr w:type="spellStart"/>
            <w:r w:rsidRPr="00267AE0">
              <w:rPr>
                <w:rFonts w:ascii="Arial" w:hAnsi="Arial" w:cs="Arial"/>
                <w:b/>
                <w:sz w:val="16"/>
              </w:rPr>
              <w:t>durant</w:t>
            </w:r>
            <w:proofErr w:type="spellEnd"/>
            <w:r w:rsidRPr="00267AE0">
              <w:rPr>
                <w:rFonts w:ascii="Arial" w:hAnsi="Arial" w:cs="Arial"/>
                <w:b/>
                <w:sz w:val="16"/>
              </w:rPr>
              <w:t xml:space="preserve"> les sessions</w:t>
            </w:r>
          </w:p>
        </w:tc>
      </w:tr>
      <w:tr w:rsidR="00924065" w:rsidRPr="00267AE0" w:rsidTr="004D4629">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4D46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4D46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roofErr w:type="spellStart"/>
            <w:r w:rsidRPr="00267AE0">
              <w:rPr>
                <w:rFonts w:ascii="Arial" w:hAnsi="Arial" w:cs="Arial"/>
                <w:sz w:val="16"/>
              </w:rPr>
              <w:t>Requêtes</w:t>
            </w:r>
            <w:proofErr w:type="spellEnd"/>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4D46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4D46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4D4629">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4D46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4D46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4D4629">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4D46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63"/>
      <w:footerReference w:type="default" r:id="rId64"/>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1BC" w:rsidRDefault="000F21BC" w:rsidP="00A87207">
      <w:r>
        <w:separator/>
      </w:r>
    </w:p>
  </w:endnote>
  <w:endnote w:type="continuationSeparator" w:id="0">
    <w:p w:rsidR="000F21BC" w:rsidRDefault="000F21BC"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857426">
    <w:pPr>
      <w:pStyle w:val="Footer"/>
      <w:rPr>
        <w:lang w:val="fr-CA"/>
      </w:rPr>
    </w:pPr>
    <w:r w:rsidRPr="00857426">
      <w:rPr>
        <w:lang w:val="fr-CA"/>
      </w:rPr>
      <w:pict>
        <v:rect id="_x0000_i1065" style="width:480.95pt;height:1pt" o:hralign="center" o:hrstd="t" o:hrnoshade="t" o:hr="t" fillcolor="black [3213]" stroked="f"/>
      </w:pict>
    </w:r>
  </w:p>
  <w:p w:rsidR="000F21BC" w:rsidRDefault="000F21BC" w:rsidP="00245129">
    <w:pPr>
      <w:tabs>
        <w:tab w:val="center" w:pos="4680"/>
      </w:tabs>
    </w:pPr>
    <w:r>
      <w:tab/>
    </w:r>
    <w:r w:rsidRPr="0009648D">
      <w:t xml:space="preserve">- </w:t>
    </w:r>
    <w:fldSimple w:instr=" PAGE   \* MERGEFORMAT ">
      <w:r w:rsidR="001C2F5E">
        <w:rPr>
          <w:noProof/>
        </w:rPr>
        <w:t>1500</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F21BC"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F21BC" w:rsidRDefault="000F21BC">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857426" w:rsidP="00755F22">
    <w:pPr>
      <w:tabs>
        <w:tab w:val="left" w:pos="-1440"/>
        <w:tab w:val="left" w:pos="-720"/>
      </w:tabs>
    </w:pPr>
    <w:r>
      <w:pict>
        <v:rect id="_x0000_i1068" style="width:480.95pt;height:1pt" o:hralign="center" o:hrstd="t" o:hrnoshade="t" o:hr="t" fillcolor="black [3213]" stroked="f"/>
      </w:pict>
    </w:r>
  </w:p>
  <w:p w:rsidR="000F21BC" w:rsidRDefault="000F21BC" w:rsidP="00EB2B90">
    <w:pPr>
      <w:tabs>
        <w:tab w:val="center" w:pos="4680"/>
      </w:tabs>
    </w:pPr>
    <w:r>
      <w:tab/>
      <w:t xml:space="preserve">- </w:t>
    </w:r>
    <w:fldSimple w:instr=" PAGE   \* MERGEFORMAT ">
      <w:r w:rsidR="001C2F5E">
        <w:rPr>
          <w:noProof/>
        </w:rPr>
        <w:t>1524</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857426" w:rsidP="00EB2B90">
    <w:pPr>
      <w:tabs>
        <w:tab w:val="center" w:pos="4680"/>
      </w:tabs>
    </w:pPr>
    <w:r>
      <w:pict>
        <v:rect id="_x0000_i1069" style="width:480.95pt;height:1pt" o:hralign="center" o:hrstd="t" o:hrnoshade="t" o:hr="t" fillcolor="black [3213]" stroked="f"/>
      </w:pict>
    </w:r>
  </w:p>
  <w:p w:rsidR="000F21BC" w:rsidRPr="0031432F" w:rsidRDefault="000F21BC" w:rsidP="00EB2B90">
    <w:pPr>
      <w:tabs>
        <w:tab w:val="center" w:pos="4680"/>
      </w:tabs>
    </w:pPr>
    <w:r>
      <w:tab/>
      <w:t xml:space="preserve">- </w:t>
    </w:r>
    <w:fldSimple w:instr=" PAGE   \* MERGEFORMAT ">
      <w:r w:rsidR="001C2F5E">
        <w:rPr>
          <w:noProof/>
        </w:rPr>
        <w:t>1520</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F21BC"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F21BC" w:rsidRDefault="000F21BC">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85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57426">
      <w:rPr>
        <w:lang w:val="fr-CA"/>
      </w:rPr>
      <w:pict>
        <v:rect id="_x0000_i1073" style="width:480.95pt;height:1pt" o:hralign="center" o:hrstd="t" o:hrnoshade="t" o:hr="t" fillcolor="black [3213]" stroked="f"/>
      </w:pict>
    </w:r>
  </w:p>
  <w:p w:rsidR="000F21BC" w:rsidRDefault="000F21BC" w:rsidP="00EB2B90">
    <w:pPr>
      <w:tabs>
        <w:tab w:val="center" w:pos="4680"/>
      </w:tabs>
    </w:pPr>
    <w:r>
      <w:tab/>
      <w:t xml:space="preserve">- </w:t>
    </w:r>
    <w:fldSimple w:instr=" PAGE   \* MERGEFORMAT ">
      <w:r>
        <w:rPr>
          <w:noProof/>
        </w:rPr>
        <w:t>1515</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857426">
    <w:pPr>
      <w:pStyle w:val="Footer"/>
      <w:rPr>
        <w:lang w:val="fr-CA"/>
      </w:rPr>
    </w:pPr>
    <w:r w:rsidRPr="00857426">
      <w:rPr>
        <w:lang w:val="fr-CA"/>
      </w:rPr>
      <w:pict>
        <v:rect id="_x0000_i1074" style="width:480.95pt;height:1pt" o:hralign="center" o:hrstd="t" o:hrnoshade="t" o:hr="t" fillcolor="black [3213]" stroked="f"/>
      </w:pict>
    </w:r>
  </w:p>
  <w:p w:rsidR="000F21BC" w:rsidRDefault="000F21BC" w:rsidP="00EB2B90">
    <w:pPr>
      <w:tabs>
        <w:tab w:val="center" w:pos="4680"/>
      </w:tabs>
    </w:pPr>
    <w:r>
      <w:tab/>
      <w:t xml:space="preserve">- </w:t>
    </w:r>
    <w:fldSimple w:instr=" PAGE   \* MERGEFORMAT ">
      <w:r w:rsidR="001C2F5E">
        <w:rPr>
          <w:noProof/>
        </w:rPr>
        <w:t>1525</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F21BC"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F21BC" w:rsidRDefault="000F21BC">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857426" w:rsidP="00732DB7">
    <w:r>
      <w:pict>
        <v:rect id="_x0000_i1079" style="width:480.95pt;height:1pt" o:hralign="center" o:hrstd="t" o:hrnoshade="t" o:hr="t" fillcolor="black" stroked="f"/>
      </w:pict>
    </w:r>
  </w:p>
  <w:p w:rsidR="000F21BC" w:rsidRDefault="000F21BC">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857426">
    <w:pPr>
      <w:pStyle w:val="Footer"/>
    </w:pPr>
    <w:r>
      <w:pict>
        <v:rect id="_x0000_i1080" style="width:480.95pt;height:1pt" o:hralign="center" o:hrstd="t" o:hrnoshade="t" o:hr="t" fillcolor="black [3213]" stroked="f"/>
      </w:pict>
    </w:r>
  </w:p>
  <w:p w:rsidR="000F21BC" w:rsidRPr="003C2C0F" w:rsidRDefault="000F21BC" w:rsidP="00697C62">
    <w:pPr>
      <w:tabs>
        <w:tab w:val="center" w:pos="4680"/>
      </w:tabs>
    </w:pPr>
    <w:r>
      <w:tab/>
      <w:t xml:space="preserve">- </w:t>
    </w:r>
    <w:fldSimple w:instr=" PAGE   \* MERGEFORMAT ">
      <w:r w:rsidR="001C2F5E">
        <w:rPr>
          <w:noProof/>
        </w:rPr>
        <w:t>1526</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F21BC"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F21BC" w:rsidRDefault="000F21BC">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F21BC" w:rsidRDefault="0085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9" style="width:480.95pt;height:1pt" o:hralign="center" o:hrstd="t" o:hrnoshade="t" o:hr="t" fillcolor="black [3213]" stroked="f"/>
      </w:pict>
    </w:r>
  </w:p>
  <w:p w:rsidR="000F21BC" w:rsidRDefault="000F21BC" w:rsidP="00782AE4">
    <w:pPr>
      <w:tabs>
        <w:tab w:val="center" w:pos="4680"/>
      </w:tabs>
    </w:pPr>
    <w:r>
      <w:tab/>
      <w:t xml:space="preserve">- </w:t>
    </w:r>
    <w:r w:rsidR="00857426" w:rsidRPr="001775C1">
      <w:rPr>
        <w:szCs w:val="24"/>
      </w:rPr>
      <w:fldChar w:fldCharType="begin"/>
    </w:r>
    <w:r w:rsidRPr="001775C1">
      <w:rPr>
        <w:szCs w:val="24"/>
      </w:rPr>
      <w:instrText xml:space="preserve"> PAGE   \* MERGEFORMAT </w:instrText>
    </w:r>
    <w:r w:rsidR="00857426" w:rsidRPr="001775C1">
      <w:rPr>
        <w:szCs w:val="24"/>
      </w:rPr>
      <w:fldChar w:fldCharType="separate"/>
    </w:r>
    <w:r w:rsidR="001C2F5E">
      <w:rPr>
        <w:noProof/>
        <w:szCs w:val="24"/>
      </w:rPr>
      <w:t>1548</w:t>
    </w:r>
    <w:r w:rsidR="00857426"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857426" w:rsidP="00782AE4">
    <w:pPr>
      <w:tabs>
        <w:tab w:val="center" w:pos="4680"/>
      </w:tabs>
    </w:pPr>
    <w:r>
      <w:pict>
        <v:rect id="_x0000_i1090" style="width:480.95pt;height:1pt" o:hralign="center" o:hrstd="t" o:hrnoshade="t" o:hr="t" fillcolor="black [3213]" stroked="f"/>
      </w:pict>
    </w:r>
  </w:p>
  <w:p w:rsidR="000F21BC" w:rsidRDefault="000F21BC" w:rsidP="00782AE4">
    <w:pPr>
      <w:tabs>
        <w:tab w:val="center" w:pos="4680"/>
      </w:tabs>
    </w:pPr>
    <w:r>
      <w:tab/>
      <w:t xml:space="preserve">- </w:t>
    </w:r>
    <w:r w:rsidR="00857426" w:rsidRPr="001775C1">
      <w:rPr>
        <w:szCs w:val="24"/>
      </w:rPr>
      <w:fldChar w:fldCharType="begin"/>
    </w:r>
    <w:r w:rsidRPr="001775C1">
      <w:rPr>
        <w:szCs w:val="24"/>
      </w:rPr>
      <w:instrText xml:space="preserve"> PAGE   \* MERGEFORMAT </w:instrText>
    </w:r>
    <w:r w:rsidR="00857426" w:rsidRPr="001775C1">
      <w:rPr>
        <w:szCs w:val="24"/>
      </w:rPr>
      <w:fldChar w:fldCharType="separate"/>
    </w:r>
    <w:r w:rsidR="001C2F5E">
      <w:rPr>
        <w:noProof/>
        <w:szCs w:val="24"/>
      </w:rPr>
      <w:t>1528</w:t>
    </w:r>
    <w:r w:rsidR="00857426"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0F21BC" w:rsidRDefault="000F21B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0F21BC" w:rsidRDefault="000F21BC">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857426" w:rsidP="0022323B">
    <w:r>
      <w:pict>
        <v:rect id="_x0000_i1092" style="width:480.95pt;height:1pt" o:hralign="center" o:hrstd="t" o:hrnoshade="t" o:hr="t" fillcolor="black [3213]" stroked="f"/>
      </w:pict>
    </w:r>
  </w:p>
  <w:p w:rsidR="000F21BC" w:rsidRDefault="000F21BC">
    <w:pPr>
      <w:tabs>
        <w:tab w:val="center" w:pos="4740"/>
      </w:tabs>
      <w:spacing w:line="0" w:lineRule="atLeast"/>
    </w:pPr>
    <w:r>
      <w:tab/>
      <w:t xml:space="preserve">- </w:t>
    </w:r>
    <w:fldSimple w:instr=" PAGE   \* MERGEFORMAT ">
      <w:r>
        <w:rPr>
          <w:noProof/>
        </w:rPr>
        <w:t>1531</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857426" w:rsidP="0022323B">
    <w:r>
      <w:pict>
        <v:rect id="_x0000_i1093" style="width:480.95pt;height:1pt" o:hralign="center" o:hrstd="t" o:hrnoshade="t" o:hr="t" fillcolor="black [3213]" stroked="f"/>
      </w:pict>
    </w:r>
  </w:p>
  <w:p w:rsidR="000F21BC" w:rsidRDefault="000F21BC" w:rsidP="0022323B">
    <w:pPr>
      <w:tabs>
        <w:tab w:val="center" w:pos="4740"/>
      </w:tabs>
      <w:spacing w:line="0" w:lineRule="atLeast"/>
    </w:pPr>
    <w:r>
      <w:tab/>
      <w:t xml:space="preserve">- </w:t>
    </w:r>
    <w:fldSimple w:instr=" PAGE   \* MERGEFORMAT ">
      <w:r w:rsidR="001C2F5E">
        <w:rPr>
          <w:noProof/>
        </w:rPr>
        <w:t>1549</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857426" w:rsidP="0022323B">
    <w:r>
      <w:pict>
        <v:rect id="_x0000_i1114" style="width:480.95pt;height:1pt" o:hralign="center" o:hrstd="t" o:hrnoshade="t" o:hr="t" fillcolor="black [3213]" stroked="f"/>
      </w:pict>
    </w:r>
  </w:p>
  <w:p w:rsidR="000F21BC" w:rsidRDefault="000F21BC">
    <w:pPr>
      <w:tabs>
        <w:tab w:val="center" w:pos="4740"/>
      </w:tabs>
      <w:spacing w:line="0" w:lineRule="atLeast"/>
    </w:pPr>
    <w:r>
      <w:tab/>
      <w:t xml:space="preserve">- </w:t>
    </w:r>
    <w:fldSimple w:instr=" PAGE   \* MERGEFORMAT ">
      <w:r w:rsidR="001C2F5E">
        <w:rPr>
          <w:noProof/>
        </w:rPr>
        <w:t>1568</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857426" w:rsidP="0022323B">
    <w:r>
      <w:pict>
        <v:rect id="_x0000_i1115" style="width:480.95pt;height:1pt" o:hralign="center" o:hrstd="t" o:hrnoshade="t" o:hr="t" fillcolor="black [3213]" stroked="f"/>
      </w:pict>
    </w:r>
  </w:p>
  <w:p w:rsidR="000F21BC" w:rsidRDefault="000F21BC" w:rsidP="0022323B">
    <w:pPr>
      <w:tabs>
        <w:tab w:val="center" w:pos="4740"/>
      </w:tabs>
      <w:spacing w:line="0" w:lineRule="atLeast"/>
    </w:pPr>
    <w:r>
      <w:tab/>
      <w:t xml:space="preserve">- </w:t>
    </w:r>
    <w:fldSimple w:instr=" PAGE   \* MERGEFORMAT ">
      <w:r w:rsidR="001C2F5E">
        <w:rPr>
          <w:noProof/>
        </w:rPr>
        <w:t>1550</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Pr="00924065" w:rsidRDefault="000F21BC"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857426" w:rsidP="00A87207">
    <w:pPr>
      <w:pStyle w:val="Footer"/>
    </w:pPr>
    <w:r>
      <w:pict>
        <v:rect id="_x0000_i1035" style="width:480.95pt;height:1pt" o:hralign="center" o:hrstd="t" o:hrnoshade="t" o:hr="t" fillcolor="black [3213]" stroked="f"/>
      </w:pict>
    </w:r>
  </w:p>
  <w:p w:rsidR="000F21BC" w:rsidRPr="00B7374B" w:rsidRDefault="000F21BC" w:rsidP="00B7374B">
    <w:pPr>
      <w:tabs>
        <w:tab w:val="center" w:pos="4680"/>
      </w:tabs>
      <w:rPr>
        <w:szCs w:val="24"/>
      </w:rPr>
    </w:pPr>
    <w:r w:rsidRPr="00954D22">
      <w:rPr>
        <w:szCs w:val="24"/>
      </w:rPr>
      <w:tab/>
      <w:t xml:space="preserve">- </w:t>
    </w:r>
    <w:r w:rsidR="00857426" w:rsidRPr="00954D22">
      <w:rPr>
        <w:szCs w:val="24"/>
      </w:rPr>
      <w:fldChar w:fldCharType="begin"/>
    </w:r>
    <w:r w:rsidRPr="00954D22">
      <w:rPr>
        <w:szCs w:val="24"/>
      </w:rPr>
      <w:instrText xml:space="preserve"> PAGE   \* MERGEFORMAT </w:instrText>
    </w:r>
    <w:r w:rsidR="00857426" w:rsidRPr="00954D22">
      <w:rPr>
        <w:szCs w:val="24"/>
      </w:rPr>
      <w:fldChar w:fldCharType="separate"/>
    </w:r>
    <w:r w:rsidR="001C2F5E">
      <w:rPr>
        <w:noProof/>
        <w:szCs w:val="24"/>
      </w:rPr>
      <w:t>1498</w:t>
    </w:r>
    <w:r w:rsidR="00857426"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857426" w:rsidP="00755F22">
    <w:pPr>
      <w:tabs>
        <w:tab w:val="left" w:pos="-1440"/>
        <w:tab w:val="left" w:pos="-720"/>
      </w:tabs>
    </w:pPr>
    <w:r>
      <w:pict>
        <v:rect id="_x0000_i1036" style="width:480.95pt;height:1pt" o:hralign="center" o:hrstd="t" o:hrnoshade="t" o:hr="t" fillcolor="black [3213]" stroked="f"/>
      </w:pict>
    </w:r>
  </w:p>
  <w:p w:rsidR="000F21BC" w:rsidRPr="00954D22" w:rsidRDefault="000F21BC" w:rsidP="00B7374B">
    <w:pPr>
      <w:tabs>
        <w:tab w:val="center" w:pos="4680"/>
      </w:tabs>
      <w:rPr>
        <w:szCs w:val="24"/>
      </w:rPr>
    </w:pPr>
    <w:r w:rsidRPr="00954D22">
      <w:rPr>
        <w:szCs w:val="24"/>
      </w:rPr>
      <w:tab/>
      <w:t xml:space="preserve">- </w:t>
    </w:r>
    <w:r w:rsidR="00857426">
      <w:rPr>
        <w:szCs w:val="24"/>
      </w:rPr>
      <w:fldChar w:fldCharType="begin"/>
    </w:r>
    <w:r>
      <w:rPr>
        <w:szCs w:val="24"/>
      </w:rPr>
      <w:instrText xml:space="preserve"> PAGE   \* MERGEFORMAT </w:instrText>
    </w:r>
    <w:r w:rsidR="00857426">
      <w:rPr>
        <w:szCs w:val="24"/>
      </w:rPr>
      <w:fldChar w:fldCharType="separate"/>
    </w:r>
    <w:r w:rsidR="001C2F5E">
      <w:rPr>
        <w:noProof/>
        <w:szCs w:val="24"/>
      </w:rPr>
      <w:t>1497</w:t>
    </w:r>
    <w:r w:rsidR="00857426">
      <w:rPr>
        <w:szCs w:val="24"/>
      </w:rPr>
      <w:fldChar w:fldCharType="end"/>
    </w:r>
    <w:r w:rsidRPr="00954D22">
      <w:rPr>
        <w:szCs w:val="24"/>
      </w:rPr>
      <w:t xml:space="preserve"> -</w:t>
    </w:r>
  </w:p>
  <w:p w:rsidR="000F21BC" w:rsidRDefault="000F21B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857426" w:rsidP="00A87207">
    <w:pPr>
      <w:pStyle w:val="Footer"/>
    </w:pPr>
    <w:r>
      <w:pict>
        <v:rect id="_x0000_i1038" style="width:480.95pt;height:1pt" o:hralign="center" o:hrstd="t" o:hrnoshade="t" o:hr="t" fillcolor="black [3213]" stroked="f"/>
      </w:pict>
    </w:r>
  </w:p>
  <w:p w:rsidR="000F21BC" w:rsidRPr="00B7374B" w:rsidRDefault="000F21BC" w:rsidP="00B7374B">
    <w:pPr>
      <w:tabs>
        <w:tab w:val="center" w:pos="4680"/>
      </w:tabs>
      <w:rPr>
        <w:szCs w:val="24"/>
      </w:rPr>
    </w:pPr>
    <w:r w:rsidRPr="00954D22">
      <w:rPr>
        <w:szCs w:val="24"/>
      </w:rPr>
      <w:tab/>
      <w:t xml:space="preserve">- </w:t>
    </w:r>
    <w:r w:rsidR="00857426" w:rsidRPr="00954D22">
      <w:rPr>
        <w:szCs w:val="24"/>
      </w:rPr>
      <w:fldChar w:fldCharType="begin"/>
    </w:r>
    <w:r w:rsidRPr="00954D22">
      <w:rPr>
        <w:szCs w:val="24"/>
      </w:rPr>
      <w:instrText xml:space="preserve"> PAGE   \* MERGEFORMAT </w:instrText>
    </w:r>
    <w:r w:rsidR="00857426" w:rsidRPr="00954D22">
      <w:rPr>
        <w:szCs w:val="24"/>
      </w:rPr>
      <w:fldChar w:fldCharType="separate"/>
    </w:r>
    <w:r>
      <w:rPr>
        <w:noProof/>
        <w:szCs w:val="24"/>
      </w:rPr>
      <w:t>1500</w:t>
    </w:r>
    <w:r w:rsidR="00857426"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85742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0F21BC" w:rsidRPr="00954D22" w:rsidRDefault="000F21BC" w:rsidP="00B7374B">
    <w:pPr>
      <w:tabs>
        <w:tab w:val="center" w:pos="4680"/>
      </w:tabs>
      <w:rPr>
        <w:szCs w:val="24"/>
      </w:rPr>
    </w:pPr>
    <w:r w:rsidRPr="00954D22">
      <w:rPr>
        <w:szCs w:val="24"/>
      </w:rPr>
      <w:tab/>
      <w:t xml:space="preserve">- </w:t>
    </w:r>
    <w:r w:rsidR="00857426" w:rsidRPr="00954D22">
      <w:rPr>
        <w:szCs w:val="24"/>
      </w:rPr>
      <w:fldChar w:fldCharType="begin"/>
    </w:r>
    <w:r w:rsidRPr="00954D22">
      <w:rPr>
        <w:szCs w:val="24"/>
      </w:rPr>
      <w:instrText xml:space="preserve"> PAGE   \* MERGEFORMAT </w:instrText>
    </w:r>
    <w:r w:rsidR="00857426" w:rsidRPr="00954D22">
      <w:rPr>
        <w:szCs w:val="24"/>
      </w:rPr>
      <w:fldChar w:fldCharType="separate"/>
    </w:r>
    <w:r w:rsidR="001C2F5E">
      <w:rPr>
        <w:noProof/>
        <w:szCs w:val="24"/>
      </w:rPr>
      <w:t>1499</w:t>
    </w:r>
    <w:r w:rsidR="00857426"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F21BC"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F21BC" w:rsidRDefault="000F21BC">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8574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57426">
      <w:rPr>
        <w:lang w:val="fr-CA"/>
      </w:rPr>
      <w:pict>
        <v:rect id="_x0000_i1064" style="width:480.95pt;height:1pt" o:hralign="center" o:hrstd="t" o:hrnoshade="t" o:hr="t" fillcolor="black [3213]" stroked="f"/>
      </w:pict>
    </w:r>
  </w:p>
  <w:p w:rsidR="000F21BC" w:rsidRPr="0009648D" w:rsidRDefault="000F21BC" w:rsidP="00ED7E83">
    <w:pPr>
      <w:tabs>
        <w:tab w:val="center" w:pos="4680"/>
      </w:tabs>
    </w:pPr>
    <w:r>
      <w:tab/>
    </w:r>
    <w:r w:rsidRPr="0009648D">
      <w:t xml:space="preserve">- </w:t>
    </w:r>
    <w:fldSimple w:instr=" PAGE   \* MERGEFORMAT ">
      <w:r w:rsidR="001C2F5E">
        <w:rPr>
          <w:noProof/>
        </w:rPr>
        <w:t>1519</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1BC" w:rsidRDefault="000F21BC" w:rsidP="00A87207">
      <w:r>
        <w:separator/>
      </w:r>
    </w:p>
  </w:footnote>
  <w:footnote w:type="continuationSeparator" w:id="0">
    <w:p w:rsidR="000F21BC" w:rsidRDefault="000F21BC"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F21BC">
      <w:tc>
        <w:tcPr>
          <w:tcW w:w="4230" w:type="dxa"/>
          <w:tcMar>
            <w:left w:w="0" w:type="dxa"/>
            <w:right w:w="0" w:type="dxa"/>
          </w:tcMar>
        </w:tcPr>
        <w:p w:rsidR="000F21BC" w:rsidRDefault="000F21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F21BC" w:rsidRDefault="000F21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F21BC" w:rsidRDefault="000F21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F21BC">
      <w:trPr>
        <w:gridAfter w:val="2"/>
        <w:wAfter w:w="5250" w:type="dxa"/>
      </w:trPr>
      <w:tc>
        <w:tcPr>
          <w:tcW w:w="4230" w:type="dxa"/>
          <w:tcMar>
            <w:left w:w="0" w:type="dxa"/>
            <w:right w:w="0" w:type="dxa"/>
          </w:tcMar>
        </w:tcPr>
        <w:p w:rsidR="000F21BC"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F21BC"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F21BC" w:rsidRPr="00755F22" w:rsidTr="00245129">
      <w:tc>
        <w:tcPr>
          <w:tcW w:w="4230" w:type="dxa"/>
          <w:tcMar>
            <w:left w:w="0" w:type="dxa"/>
            <w:right w:w="0" w:type="dxa"/>
          </w:tcMar>
        </w:tcPr>
        <w:p w:rsidR="000F21BC" w:rsidRPr="00755F22" w:rsidRDefault="000F21BC" w:rsidP="00831CA9">
          <w:pPr>
            <w:keepNext/>
            <w:keepLines/>
            <w:rPr>
              <w:sz w:val="20"/>
              <w:szCs w:val="20"/>
            </w:rPr>
          </w:pPr>
          <w:r w:rsidRPr="00755F22">
            <w:rPr>
              <w:sz w:val="20"/>
              <w:szCs w:val="20"/>
            </w:rPr>
            <w:t>MOTIONS</w:t>
          </w:r>
        </w:p>
      </w:tc>
      <w:tc>
        <w:tcPr>
          <w:tcW w:w="1170" w:type="dxa"/>
          <w:tcMar>
            <w:left w:w="0" w:type="dxa"/>
            <w:right w:w="0" w:type="dxa"/>
          </w:tcMar>
        </w:tcPr>
        <w:p w:rsidR="000F21BC" w:rsidRPr="00755F22" w:rsidRDefault="000F21BC" w:rsidP="00831CA9">
          <w:pPr>
            <w:keepLines/>
            <w:jc w:val="center"/>
            <w:rPr>
              <w:sz w:val="20"/>
              <w:szCs w:val="20"/>
            </w:rPr>
          </w:pPr>
        </w:p>
        <w:p w:rsidR="000F21BC" w:rsidRPr="00755F22" w:rsidRDefault="000F21BC" w:rsidP="00831CA9">
          <w:pPr>
            <w:keepLines/>
            <w:tabs>
              <w:tab w:val="left" w:pos="-1440"/>
              <w:tab w:val="left" w:pos="-720"/>
            </w:tabs>
            <w:jc w:val="center"/>
            <w:rPr>
              <w:sz w:val="20"/>
              <w:szCs w:val="20"/>
            </w:rPr>
          </w:pPr>
        </w:p>
      </w:tc>
      <w:tc>
        <w:tcPr>
          <w:tcW w:w="4080" w:type="dxa"/>
          <w:tcMar>
            <w:left w:w="0" w:type="dxa"/>
            <w:right w:w="0" w:type="dxa"/>
          </w:tcMar>
        </w:tcPr>
        <w:p w:rsidR="000F21BC" w:rsidRPr="00BA6468" w:rsidRDefault="000F21BC" w:rsidP="00BA6468">
          <w:pPr>
            <w:keepLines/>
            <w:rPr>
              <w:sz w:val="20"/>
              <w:szCs w:val="20"/>
              <w:lang w:val="fr-CA"/>
            </w:rPr>
          </w:pPr>
          <w:r w:rsidRPr="00BA6468">
            <w:rPr>
              <w:sz w:val="20"/>
              <w:szCs w:val="20"/>
              <w:lang w:val="fr-CA"/>
            </w:rPr>
            <w:t>REQUÊTES</w:t>
          </w:r>
        </w:p>
      </w:tc>
    </w:tr>
  </w:tbl>
  <w:p w:rsidR="000F21BC" w:rsidRDefault="000F21BC"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F21BC" w:rsidRPr="001C2F5E">
      <w:tc>
        <w:tcPr>
          <w:tcW w:w="4200" w:type="dxa"/>
          <w:tcMar>
            <w:left w:w="0" w:type="dxa"/>
            <w:right w:w="0" w:type="dxa"/>
          </w:tcMar>
        </w:tcPr>
        <w:p w:rsidR="000F21BC" w:rsidRDefault="000F21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F21BC" w:rsidRDefault="000F21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F21BC" w:rsidRPr="00B01A03" w:rsidRDefault="000F21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F21BC" w:rsidRPr="00B01A03"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F21BC" w:rsidRPr="00B01A03"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0F21BC" w:rsidRPr="001C2F5E" w:rsidTr="00245129">
      <w:tc>
        <w:tcPr>
          <w:tcW w:w="4200" w:type="dxa"/>
          <w:tcMar>
            <w:left w:w="0" w:type="dxa"/>
            <w:right w:w="0" w:type="dxa"/>
          </w:tcMar>
        </w:tcPr>
        <w:p w:rsidR="000F21BC" w:rsidRPr="00F40249" w:rsidRDefault="000F21B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F21BC" w:rsidRDefault="000F21BC" w:rsidP="00102926">
          <w:pPr>
            <w:keepNext/>
            <w:keepLines/>
            <w:tabs>
              <w:tab w:val="left" w:pos="-1440"/>
              <w:tab w:val="left" w:pos="-720"/>
            </w:tabs>
            <w:jc w:val="center"/>
            <w:rPr>
              <w:sz w:val="20"/>
              <w:szCs w:val="20"/>
            </w:rPr>
          </w:pPr>
        </w:p>
        <w:p w:rsidR="000F21BC" w:rsidRDefault="000F21BC" w:rsidP="00102926">
          <w:pPr>
            <w:keepNext/>
            <w:keepLines/>
            <w:tabs>
              <w:tab w:val="left" w:pos="-1440"/>
              <w:tab w:val="left" w:pos="-720"/>
            </w:tabs>
            <w:jc w:val="center"/>
            <w:rPr>
              <w:sz w:val="20"/>
              <w:szCs w:val="20"/>
            </w:rPr>
          </w:pPr>
        </w:p>
        <w:p w:rsidR="000F21BC" w:rsidRPr="00F40249" w:rsidRDefault="000F21BC" w:rsidP="00102926">
          <w:pPr>
            <w:keepNext/>
            <w:keepLines/>
            <w:tabs>
              <w:tab w:val="left" w:pos="-1440"/>
              <w:tab w:val="left" w:pos="-720"/>
            </w:tabs>
            <w:jc w:val="center"/>
            <w:rPr>
              <w:sz w:val="20"/>
              <w:szCs w:val="20"/>
            </w:rPr>
          </w:pPr>
        </w:p>
      </w:tc>
      <w:tc>
        <w:tcPr>
          <w:tcW w:w="4230" w:type="dxa"/>
          <w:tcMar>
            <w:left w:w="0" w:type="dxa"/>
            <w:right w:w="0" w:type="dxa"/>
          </w:tcMar>
        </w:tcPr>
        <w:p w:rsidR="000F21BC" w:rsidRPr="00F40249" w:rsidRDefault="000F21B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F21BC" w:rsidRPr="00B01A03" w:rsidRDefault="000F21B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F21BC" w:rsidRPr="001C2F5E">
      <w:tc>
        <w:tcPr>
          <w:tcW w:w="4200" w:type="dxa"/>
          <w:tcMar>
            <w:left w:w="0" w:type="dxa"/>
            <w:right w:w="0" w:type="dxa"/>
          </w:tcMar>
        </w:tcPr>
        <w:p w:rsidR="000F21BC" w:rsidRDefault="000F21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0F21BC" w:rsidRDefault="000F21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0F21BC" w:rsidRDefault="000F21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0F21BC" w:rsidRPr="003C2C0F" w:rsidRDefault="000F21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0F21BC" w:rsidRPr="003C2C0F"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0F21BC" w:rsidRPr="003C2C0F"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F21BC" w:rsidRPr="001C2F5E" w:rsidTr="00245129">
      <w:tc>
        <w:tcPr>
          <w:tcW w:w="4200" w:type="dxa"/>
          <w:tcMar>
            <w:left w:w="0" w:type="dxa"/>
            <w:right w:w="0" w:type="dxa"/>
          </w:tcMar>
        </w:tcPr>
        <w:p w:rsidR="000F21BC" w:rsidRPr="00FF6EEC" w:rsidRDefault="000F21BC" w:rsidP="00FF6EEC">
          <w:pPr>
            <w:rPr>
              <w:sz w:val="20"/>
              <w:szCs w:val="20"/>
            </w:rPr>
          </w:pPr>
          <w:r w:rsidRPr="00FF6EEC">
            <w:rPr>
              <w:sz w:val="20"/>
              <w:szCs w:val="20"/>
            </w:rPr>
            <w:t>PRONOUNCEMENTS OF APPEALS RESERVED</w:t>
          </w:r>
        </w:p>
      </w:tc>
      <w:tc>
        <w:tcPr>
          <w:tcW w:w="1200" w:type="dxa"/>
          <w:tcMar>
            <w:left w:w="0" w:type="dxa"/>
            <w:right w:w="0" w:type="dxa"/>
          </w:tcMar>
        </w:tcPr>
        <w:p w:rsidR="000F21BC" w:rsidRPr="00FF6EEC" w:rsidRDefault="000F21BC" w:rsidP="00FF6EEC">
          <w:pPr>
            <w:jc w:val="center"/>
            <w:rPr>
              <w:sz w:val="20"/>
              <w:szCs w:val="20"/>
            </w:rPr>
          </w:pPr>
        </w:p>
        <w:p w:rsidR="000F21BC" w:rsidRPr="00FF6EEC" w:rsidRDefault="000F21BC" w:rsidP="00FF6EEC">
          <w:pPr>
            <w:jc w:val="center"/>
            <w:rPr>
              <w:sz w:val="20"/>
              <w:szCs w:val="20"/>
            </w:rPr>
          </w:pPr>
        </w:p>
        <w:p w:rsidR="000F21BC" w:rsidRPr="00FF6EEC" w:rsidRDefault="000F21BC" w:rsidP="00FF6EEC">
          <w:pPr>
            <w:jc w:val="center"/>
            <w:rPr>
              <w:sz w:val="20"/>
              <w:szCs w:val="20"/>
            </w:rPr>
          </w:pPr>
        </w:p>
      </w:tc>
      <w:tc>
        <w:tcPr>
          <w:tcW w:w="4080" w:type="dxa"/>
          <w:tcMar>
            <w:left w:w="0" w:type="dxa"/>
            <w:right w:w="0" w:type="dxa"/>
          </w:tcMar>
        </w:tcPr>
        <w:p w:rsidR="000F21BC" w:rsidRPr="00FF6EEC" w:rsidRDefault="000F21BC" w:rsidP="00FF6EEC">
          <w:pPr>
            <w:rPr>
              <w:sz w:val="20"/>
              <w:szCs w:val="20"/>
              <w:lang w:val="fr-CA"/>
            </w:rPr>
          </w:pPr>
          <w:r w:rsidRPr="00FF6EEC">
            <w:rPr>
              <w:sz w:val="20"/>
              <w:szCs w:val="20"/>
              <w:lang w:val="fr-CA"/>
            </w:rPr>
            <w:t>JUGEMENTS RENDUS SUR LES APPELS EN DÉLIBÉRÉ</w:t>
          </w:r>
        </w:p>
      </w:tc>
    </w:tr>
  </w:tbl>
  <w:p w:rsidR="000F21BC" w:rsidRPr="003C2C0F" w:rsidRDefault="000F21BC"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F21BC">
      <w:tc>
        <w:tcPr>
          <w:tcW w:w="4230" w:type="dxa"/>
          <w:tcMar>
            <w:left w:w="0" w:type="dxa"/>
            <w:right w:w="0" w:type="dxa"/>
          </w:tcMar>
        </w:tcPr>
        <w:p w:rsidR="000F21BC" w:rsidRDefault="000F21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F21BC" w:rsidRDefault="000F21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F21BC" w:rsidRDefault="000F21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F21BC" w:rsidRDefault="000F21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F21BC" w:rsidRDefault="000F21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F21BC" w:rsidRDefault="000F21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F21BC"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F21BC"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F21BC" w:rsidRPr="00782AE4" w:rsidTr="00245129">
      <w:tc>
        <w:tcPr>
          <w:tcW w:w="4230" w:type="dxa"/>
          <w:tcMar>
            <w:left w:w="0" w:type="dxa"/>
            <w:right w:w="0" w:type="dxa"/>
          </w:tcMar>
        </w:tcPr>
        <w:p w:rsidR="000F21BC" w:rsidRPr="00782AE4" w:rsidRDefault="000F21BC" w:rsidP="00102926">
          <w:pPr>
            <w:keepNext/>
            <w:keepLines/>
            <w:tabs>
              <w:tab w:val="left" w:pos="-1440"/>
              <w:tab w:val="left" w:pos="-720"/>
            </w:tabs>
            <w:rPr>
              <w:sz w:val="20"/>
              <w:szCs w:val="20"/>
            </w:rPr>
          </w:pPr>
          <w:r w:rsidRPr="00782AE4">
            <w:rPr>
              <w:sz w:val="20"/>
              <w:szCs w:val="20"/>
            </w:rPr>
            <w:t xml:space="preserve">HEADNOTES OF RECENT </w:t>
          </w:r>
        </w:p>
        <w:p w:rsidR="000F21BC" w:rsidRPr="00782AE4" w:rsidRDefault="000F21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F21BC" w:rsidRDefault="000F21BC" w:rsidP="00102926">
          <w:pPr>
            <w:keepNext/>
            <w:keepLines/>
            <w:tabs>
              <w:tab w:val="left" w:pos="-1440"/>
              <w:tab w:val="left" w:pos="-720"/>
            </w:tabs>
            <w:jc w:val="center"/>
            <w:rPr>
              <w:sz w:val="20"/>
              <w:szCs w:val="20"/>
            </w:rPr>
          </w:pPr>
        </w:p>
        <w:p w:rsidR="000F21BC" w:rsidRDefault="000F21BC" w:rsidP="00102926">
          <w:pPr>
            <w:keepNext/>
            <w:keepLines/>
            <w:tabs>
              <w:tab w:val="left" w:pos="-1440"/>
              <w:tab w:val="left" w:pos="-720"/>
            </w:tabs>
            <w:jc w:val="center"/>
            <w:rPr>
              <w:sz w:val="20"/>
              <w:szCs w:val="20"/>
            </w:rPr>
          </w:pPr>
        </w:p>
        <w:p w:rsidR="000F21BC" w:rsidRPr="00782AE4" w:rsidRDefault="000F21BC" w:rsidP="00102926">
          <w:pPr>
            <w:keepNext/>
            <w:keepLines/>
            <w:tabs>
              <w:tab w:val="left" w:pos="-1440"/>
              <w:tab w:val="left" w:pos="-720"/>
            </w:tabs>
            <w:jc w:val="center"/>
            <w:rPr>
              <w:sz w:val="20"/>
              <w:szCs w:val="20"/>
            </w:rPr>
          </w:pPr>
        </w:p>
      </w:tc>
      <w:tc>
        <w:tcPr>
          <w:tcW w:w="4080" w:type="dxa"/>
          <w:tcMar>
            <w:left w:w="0" w:type="dxa"/>
            <w:right w:w="0" w:type="dxa"/>
          </w:tcMar>
        </w:tcPr>
        <w:p w:rsidR="000F21BC" w:rsidRPr="00102926" w:rsidRDefault="000F21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F21BC" w:rsidRPr="00782AE4" w:rsidRDefault="000F21BC" w:rsidP="00102926">
          <w:pPr>
            <w:keepLines/>
            <w:tabs>
              <w:tab w:val="left" w:pos="-1440"/>
              <w:tab w:val="left" w:pos="-720"/>
            </w:tabs>
            <w:rPr>
              <w:sz w:val="20"/>
              <w:szCs w:val="20"/>
            </w:rPr>
          </w:pPr>
          <w:r w:rsidRPr="00102926">
            <w:rPr>
              <w:sz w:val="20"/>
              <w:szCs w:val="20"/>
              <w:lang w:val="fr-CA"/>
            </w:rPr>
            <w:t>RÉCENTS</w:t>
          </w:r>
        </w:p>
      </w:tc>
    </w:tr>
  </w:tbl>
  <w:p w:rsidR="000F21BC" w:rsidRDefault="000F21B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F21BC">
      <w:tc>
        <w:tcPr>
          <w:tcW w:w="4200" w:type="dxa"/>
          <w:tcMar>
            <w:left w:w="0" w:type="dxa"/>
            <w:right w:w="0" w:type="dxa"/>
          </w:tcMar>
        </w:tcPr>
        <w:p w:rsidR="000F21BC" w:rsidRDefault="000F21B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0F21BC" w:rsidRDefault="000F21B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0F21BC" w:rsidRDefault="000F21B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0F21BC" w:rsidRDefault="000F21BC">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0F21BC" w:rsidRDefault="000F21B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0F21BC" w:rsidRDefault="000F21B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F21BC" w:rsidRPr="00C50A5C" w:rsidTr="00245129">
      <w:tc>
        <w:tcPr>
          <w:tcW w:w="4200" w:type="dxa"/>
          <w:tcMar>
            <w:left w:w="0" w:type="dxa"/>
            <w:right w:w="0" w:type="dxa"/>
          </w:tcMar>
        </w:tcPr>
        <w:p w:rsidR="000F21BC" w:rsidRPr="00C50A5C" w:rsidRDefault="000F21B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0F21BC" w:rsidRPr="00C50A5C" w:rsidRDefault="000F21B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0F21BC" w:rsidRPr="00C50A5C" w:rsidRDefault="000F21BC"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0F21BC" w:rsidRPr="00C50A5C" w:rsidRDefault="000F21BC"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0F21BC" w:rsidRDefault="000F21BC"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F21BC" w:rsidRPr="005F263E" w:rsidTr="00245129">
      <w:tc>
        <w:tcPr>
          <w:tcW w:w="4200" w:type="dxa"/>
          <w:tcMar>
            <w:left w:w="0" w:type="dxa"/>
            <w:right w:w="0" w:type="dxa"/>
          </w:tcMar>
        </w:tcPr>
        <w:p w:rsidR="000F21BC" w:rsidRPr="005F263E" w:rsidRDefault="000F21BC"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0F21BC" w:rsidRPr="005F263E" w:rsidRDefault="000F21BC" w:rsidP="00245129">
          <w:pPr>
            <w:keepNext/>
            <w:keepLines/>
            <w:tabs>
              <w:tab w:val="left" w:pos="-1440"/>
              <w:tab w:val="left" w:pos="-720"/>
            </w:tabs>
            <w:jc w:val="center"/>
            <w:rPr>
              <w:sz w:val="20"/>
              <w:szCs w:val="20"/>
            </w:rPr>
          </w:pPr>
        </w:p>
        <w:p w:rsidR="000F21BC" w:rsidRPr="005F263E" w:rsidRDefault="000F21BC" w:rsidP="00245129">
          <w:pPr>
            <w:keepNext/>
            <w:keepLines/>
            <w:tabs>
              <w:tab w:val="left" w:pos="-1440"/>
              <w:tab w:val="left" w:pos="-720"/>
            </w:tabs>
            <w:jc w:val="center"/>
            <w:rPr>
              <w:sz w:val="20"/>
              <w:szCs w:val="20"/>
            </w:rPr>
          </w:pPr>
        </w:p>
      </w:tc>
      <w:tc>
        <w:tcPr>
          <w:tcW w:w="4080" w:type="dxa"/>
          <w:tcMar>
            <w:left w:w="0" w:type="dxa"/>
            <w:right w:w="0" w:type="dxa"/>
          </w:tcMar>
        </w:tcPr>
        <w:p w:rsidR="000F21BC" w:rsidRPr="005F263E" w:rsidRDefault="000F21BC" w:rsidP="00245129">
          <w:pPr>
            <w:keepLines/>
            <w:tabs>
              <w:tab w:val="left" w:pos="-1440"/>
              <w:tab w:val="left" w:pos="-720"/>
            </w:tabs>
            <w:rPr>
              <w:sz w:val="20"/>
              <w:szCs w:val="20"/>
            </w:rPr>
          </w:pPr>
          <w:r w:rsidRPr="005F263E">
            <w:rPr>
              <w:sz w:val="20"/>
              <w:szCs w:val="20"/>
            </w:rPr>
            <w:t>RÉSUMÉS DES AFFAIRES</w:t>
          </w:r>
        </w:p>
      </w:tc>
    </w:tr>
  </w:tbl>
  <w:p w:rsidR="000F21BC" w:rsidRDefault="000F21BC" w:rsidP="005F263E"/>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0F21BC" w:rsidRPr="0044776A" w:rsidTr="00245129">
      <w:tc>
        <w:tcPr>
          <w:tcW w:w="4290" w:type="dxa"/>
          <w:tcMar>
            <w:left w:w="0" w:type="dxa"/>
            <w:right w:w="0" w:type="dxa"/>
          </w:tcMar>
        </w:tcPr>
        <w:p w:rsidR="000F21BC" w:rsidRPr="0044776A" w:rsidRDefault="000F21B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F21BC" w:rsidRPr="0044776A" w:rsidRDefault="000F21BC" w:rsidP="002E2327">
          <w:pPr>
            <w:keepNext/>
            <w:keepLines/>
            <w:tabs>
              <w:tab w:val="left" w:pos="-1440"/>
              <w:tab w:val="left" w:pos="-720"/>
            </w:tabs>
            <w:jc w:val="center"/>
            <w:rPr>
              <w:sz w:val="20"/>
              <w:szCs w:val="20"/>
            </w:rPr>
          </w:pPr>
        </w:p>
        <w:p w:rsidR="000F21BC" w:rsidRPr="0044776A" w:rsidRDefault="000F21BC" w:rsidP="002E2327">
          <w:pPr>
            <w:keepNext/>
            <w:keepLines/>
            <w:tabs>
              <w:tab w:val="left" w:pos="-1440"/>
              <w:tab w:val="left" w:pos="-720"/>
            </w:tabs>
            <w:jc w:val="center"/>
            <w:rPr>
              <w:sz w:val="20"/>
              <w:szCs w:val="20"/>
            </w:rPr>
          </w:pPr>
        </w:p>
        <w:p w:rsidR="000F21BC" w:rsidRPr="0044776A" w:rsidRDefault="000F21BC" w:rsidP="002E2327">
          <w:pPr>
            <w:keepNext/>
            <w:keepLines/>
            <w:tabs>
              <w:tab w:val="left" w:pos="-1440"/>
              <w:tab w:val="left" w:pos="-720"/>
            </w:tabs>
            <w:jc w:val="center"/>
            <w:rPr>
              <w:sz w:val="20"/>
              <w:szCs w:val="20"/>
            </w:rPr>
          </w:pPr>
        </w:p>
      </w:tc>
      <w:tc>
        <w:tcPr>
          <w:tcW w:w="4320" w:type="dxa"/>
          <w:tcMar>
            <w:left w:w="0" w:type="dxa"/>
            <w:right w:w="0" w:type="dxa"/>
          </w:tcMar>
        </w:tcPr>
        <w:p w:rsidR="000F21BC" w:rsidRPr="0044776A" w:rsidRDefault="000F21BC" w:rsidP="002E2327">
          <w:pPr>
            <w:keepLines/>
            <w:rPr>
              <w:sz w:val="20"/>
              <w:szCs w:val="20"/>
              <w:lang w:val="fr-CA"/>
            </w:rPr>
          </w:pPr>
          <w:r w:rsidRPr="0044776A">
            <w:rPr>
              <w:sz w:val="20"/>
              <w:szCs w:val="20"/>
              <w:lang w:val="fr-CA"/>
            </w:rPr>
            <w:t>DEMANDES D'AUTORISATION D'APPEL DÉPOSÉES</w:t>
          </w:r>
        </w:p>
      </w:tc>
    </w:tr>
  </w:tbl>
  <w:p w:rsidR="000F21BC" w:rsidRDefault="000F21B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F21BC" w:rsidRPr="001C2F5E" w:rsidTr="00245129">
      <w:tc>
        <w:tcPr>
          <w:tcW w:w="4200" w:type="dxa"/>
          <w:tcMar>
            <w:left w:w="0" w:type="dxa"/>
            <w:right w:w="0" w:type="dxa"/>
          </w:tcMar>
        </w:tcPr>
        <w:p w:rsidR="000F21BC" w:rsidRPr="0044776A" w:rsidRDefault="000F21BC" w:rsidP="0044776A">
          <w:pPr>
            <w:keepNext/>
            <w:keepLines/>
            <w:widowControl w:val="0"/>
            <w:rPr>
              <w:sz w:val="20"/>
              <w:szCs w:val="20"/>
            </w:rPr>
          </w:pPr>
          <w:r>
            <w:rPr>
              <w:sz w:val="20"/>
              <w:szCs w:val="20"/>
            </w:rPr>
            <w:t>APPLICATIONS FOR LEAVE</w:t>
          </w:r>
        </w:p>
        <w:p w:rsidR="000F21BC" w:rsidRPr="0044776A" w:rsidRDefault="000F21B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F21BC" w:rsidRPr="0044776A" w:rsidRDefault="000F21BC" w:rsidP="0044776A">
          <w:pPr>
            <w:keepNext/>
            <w:keepLines/>
            <w:widowControl w:val="0"/>
            <w:jc w:val="center"/>
            <w:rPr>
              <w:sz w:val="20"/>
              <w:szCs w:val="20"/>
            </w:rPr>
          </w:pPr>
        </w:p>
        <w:p w:rsidR="000F21BC" w:rsidRPr="0044776A" w:rsidRDefault="000F21BC" w:rsidP="0044776A">
          <w:pPr>
            <w:keepNext/>
            <w:keepLines/>
            <w:widowControl w:val="0"/>
            <w:jc w:val="center"/>
            <w:rPr>
              <w:sz w:val="20"/>
              <w:szCs w:val="20"/>
            </w:rPr>
          </w:pPr>
        </w:p>
        <w:p w:rsidR="000F21BC" w:rsidRPr="0044776A" w:rsidRDefault="000F21BC" w:rsidP="0044776A">
          <w:pPr>
            <w:keepNext/>
            <w:keepLines/>
            <w:widowControl w:val="0"/>
            <w:jc w:val="center"/>
            <w:rPr>
              <w:sz w:val="20"/>
              <w:szCs w:val="20"/>
            </w:rPr>
          </w:pPr>
        </w:p>
      </w:tc>
      <w:tc>
        <w:tcPr>
          <w:tcW w:w="4080" w:type="dxa"/>
          <w:tcMar>
            <w:left w:w="0" w:type="dxa"/>
            <w:right w:w="0" w:type="dxa"/>
          </w:tcMar>
        </w:tcPr>
        <w:p w:rsidR="000F21BC" w:rsidRPr="0044776A" w:rsidRDefault="000F21BC" w:rsidP="0044776A">
          <w:pPr>
            <w:keepLines/>
            <w:widowControl w:val="0"/>
            <w:rPr>
              <w:sz w:val="20"/>
              <w:szCs w:val="20"/>
              <w:lang w:val="fr-CA"/>
            </w:rPr>
          </w:pPr>
          <w:r w:rsidRPr="0044776A">
            <w:rPr>
              <w:sz w:val="20"/>
              <w:szCs w:val="20"/>
              <w:lang w:val="fr-CA"/>
            </w:rPr>
            <w:t>DEMANDES SOUMISES À LA COUR DEPUIS LA DERNIÈRE PARUTION</w:t>
          </w:r>
        </w:p>
        <w:p w:rsidR="000F21BC" w:rsidRPr="0044776A" w:rsidRDefault="000F21BC" w:rsidP="0044776A">
          <w:pPr>
            <w:widowControl w:val="0"/>
            <w:rPr>
              <w:sz w:val="20"/>
              <w:szCs w:val="20"/>
              <w:lang w:val="fr-CA"/>
            </w:rPr>
          </w:pPr>
        </w:p>
      </w:tc>
    </w:tr>
  </w:tbl>
  <w:p w:rsidR="000F21BC" w:rsidRPr="002E2327" w:rsidRDefault="000F21BC">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BC" w:rsidRDefault="000F21B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F21BC" w:rsidRPr="001C2F5E">
      <w:tc>
        <w:tcPr>
          <w:tcW w:w="4200" w:type="dxa"/>
          <w:tcMar>
            <w:left w:w="0" w:type="dxa"/>
            <w:right w:w="0" w:type="dxa"/>
          </w:tcMar>
        </w:tcPr>
        <w:p w:rsidR="000F21BC" w:rsidRDefault="000F21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F21BC" w:rsidRDefault="000F21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F21BC" w:rsidRDefault="000F21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F21BC" w:rsidRPr="00FF6BA5" w:rsidRDefault="000F21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F21BC" w:rsidRPr="00FF6BA5"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F21BC" w:rsidRPr="00FF6BA5"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F21BC" w:rsidRPr="00FF6BA5" w:rsidRDefault="000F21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F21BC" w:rsidRPr="001C2F5E" w:rsidTr="00245129">
      <w:tc>
        <w:tcPr>
          <w:tcW w:w="4200" w:type="dxa"/>
          <w:tcMar>
            <w:left w:w="0" w:type="dxa"/>
            <w:right w:w="0" w:type="dxa"/>
          </w:tcMar>
        </w:tcPr>
        <w:p w:rsidR="000F21BC" w:rsidRPr="00755F22" w:rsidRDefault="000F21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F21BC" w:rsidRPr="00755F22" w:rsidRDefault="000F21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F21BC" w:rsidRPr="00755F22" w:rsidRDefault="000F21B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F21BC" w:rsidRPr="00755F22" w:rsidRDefault="000F21B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F21BC" w:rsidRPr="00755F22" w:rsidRDefault="000F21B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F21BC" w:rsidRPr="00755F22" w:rsidRDefault="000F21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F21BC" w:rsidRPr="00FF6BA5" w:rsidRDefault="000F21BC"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8147"/>
  </w:hdrShapeDefaults>
  <w:footnotePr>
    <w:footnote w:id="-1"/>
    <w:footnote w:id="0"/>
  </w:footnotePr>
  <w:endnotePr>
    <w:endnote w:id="-1"/>
    <w:endnote w:id="0"/>
  </w:endnotePr>
  <w:compat/>
  <w:rsids>
    <w:rsidRoot w:val="00195C27"/>
    <w:rsid w:val="00084630"/>
    <w:rsid w:val="00096BD9"/>
    <w:rsid w:val="000B3C9A"/>
    <w:rsid w:val="000C0ACD"/>
    <w:rsid w:val="000E0012"/>
    <w:rsid w:val="000F21BC"/>
    <w:rsid w:val="00102926"/>
    <w:rsid w:val="0010587F"/>
    <w:rsid w:val="0011544F"/>
    <w:rsid w:val="0012561B"/>
    <w:rsid w:val="00132D44"/>
    <w:rsid w:val="00133B1B"/>
    <w:rsid w:val="00155975"/>
    <w:rsid w:val="00164E6D"/>
    <w:rsid w:val="001666C7"/>
    <w:rsid w:val="00193B78"/>
    <w:rsid w:val="00195C27"/>
    <w:rsid w:val="001A57C9"/>
    <w:rsid w:val="001B5C23"/>
    <w:rsid w:val="001C2F5E"/>
    <w:rsid w:val="001D0D5F"/>
    <w:rsid w:val="001D6B8C"/>
    <w:rsid w:val="001E6992"/>
    <w:rsid w:val="001F1F83"/>
    <w:rsid w:val="00202391"/>
    <w:rsid w:val="00211160"/>
    <w:rsid w:val="002139A7"/>
    <w:rsid w:val="00215F7C"/>
    <w:rsid w:val="0022323B"/>
    <w:rsid w:val="002261CA"/>
    <w:rsid w:val="002410B8"/>
    <w:rsid w:val="00242AEE"/>
    <w:rsid w:val="00245129"/>
    <w:rsid w:val="00245879"/>
    <w:rsid w:val="0026348A"/>
    <w:rsid w:val="00267FD5"/>
    <w:rsid w:val="00281746"/>
    <w:rsid w:val="002834E8"/>
    <w:rsid w:val="002A0464"/>
    <w:rsid w:val="002B516C"/>
    <w:rsid w:val="002D041A"/>
    <w:rsid w:val="002D51BE"/>
    <w:rsid w:val="002D72EB"/>
    <w:rsid w:val="002E2327"/>
    <w:rsid w:val="002E3583"/>
    <w:rsid w:val="002E5576"/>
    <w:rsid w:val="00305441"/>
    <w:rsid w:val="00307D0D"/>
    <w:rsid w:val="00307D49"/>
    <w:rsid w:val="00331B52"/>
    <w:rsid w:val="00355967"/>
    <w:rsid w:val="00380760"/>
    <w:rsid w:val="00382C47"/>
    <w:rsid w:val="00384384"/>
    <w:rsid w:val="00392413"/>
    <w:rsid w:val="00395741"/>
    <w:rsid w:val="003A718B"/>
    <w:rsid w:val="003B4777"/>
    <w:rsid w:val="003C1082"/>
    <w:rsid w:val="003F4721"/>
    <w:rsid w:val="0041579D"/>
    <w:rsid w:val="0042600D"/>
    <w:rsid w:val="00432989"/>
    <w:rsid w:val="00440E24"/>
    <w:rsid w:val="00442DDF"/>
    <w:rsid w:val="0044776A"/>
    <w:rsid w:val="00460AFC"/>
    <w:rsid w:val="0047471F"/>
    <w:rsid w:val="00484BEC"/>
    <w:rsid w:val="0049235C"/>
    <w:rsid w:val="004B3466"/>
    <w:rsid w:val="004B66B4"/>
    <w:rsid w:val="004C1AAC"/>
    <w:rsid w:val="004D4629"/>
    <w:rsid w:val="004D5859"/>
    <w:rsid w:val="004E00E8"/>
    <w:rsid w:val="004F090E"/>
    <w:rsid w:val="004F35C1"/>
    <w:rsid w:val="00527CC7"/>
    <w:rsid w:val="00556B72"/>
    <w:rsid w:val="00571CA4"/>
    <w:rsid w:val="00581F31"/>
    <w:rsid w:val="00582136"/>
    <w:rsid w:val="00592F3E"/>
    <w:rsid w:val="005C086A"/>
    <w:rsid w:val="005C6840"/>
    <w:rsid w:val="005D5772"/>
    <w:rsid w:val="005F263E"/>
    <w:rsid w:val="005F3A1E"/>
    <w:rsid w:val="00600252"/>
    <w:rsid w:val="00612A40"/>
    <w:rsid w:val="0062594C"/>
    <w:rsid w:val="006375E1"/>
    <w:rsid w:val="00643C4A"/>
    <w:rsid w:val="00661748"/>
    <w:rsid w:val="006626EB"/>
    <w:rsid w:val="006655F9"/>
    <w:rsid w:val="006718BF"/>
    <w:rsid w:val="00675479"/>
    <w:rsid w:val="00697C62"/>
    <w:rsid w:val="006A329B"/>
    <w:rsid w:val="006A7EB8"/>
    <w:rsid w:val="006B6926"/>
    <w:rsid w:val="006C3F47"/>
    <w:rsid w:val="00716AD0"/>
    <w:rsid w:val="00716E8B"/>
    <w:rsid w:val="00732DB7"/>
    <w:rsid w:val="00736C0F"/>
    <w:rsid w:val="007514A6"/>
    <w:rsid w:val="007538CC"/>
    <w:rsid w:val="00755F22"/>
    <w:rsid w:val="00766E4A"/>
    <w:rsid w:val="0076787B"/>
    <w:rsid w:val="00782AE4"/>
    <w:rsid w:val="0079724F"/>
    <w:rsid w:val="007A3EAE"/>
    <w:rsid w:val="007C4ABB"/>
    <w:rsid w:val="007D3E0F"/>
    <w:rsid w:val="007F31BE"/>
    <w:rsid w:val="007F53EF"/>
    <w:rsid w:val="0080060A"/>
    <w:rsid w:val="00802863"/>
    <w:rsid w:val="00815B3C"/>
    <w:rsid w:val="0082783A"/>
    <w:rsid w:val="00830FDB"/>
    <w:rsid w:val="00831CA9"/>
    <w:rsid w:val="008362F4"/>
    <w:rsid w:val="0084153C"/>
    <w:rsid w:val="00850E1F"/>
    <w:rsid w:val="00852EB2"/>
    <w:rsid w:val="0085476B"/>
    <w:rsid w:val="00857426"/>
    <w:rsid w:val="00874152"/>
    <w:rsid w:val="00882D17"/>
    <w:rsid w:val="00886A14"/>
    <w:rsid w:val="00890FEB"/>
    <w:rsid w:val="008B7164"/>
    <w:rsid w:val="008D292F"/>
    <w:rsid w:val="008E03DC"/>
    <w:rsid w:val="00903604"/>
    <w:rsid w:val="00916E60"/>
    <w:rsid w:val="00924065"/>
    <w:rsid w:val="00930D68"/>
    <w:rsid w:val="00932DB4"/>
    <w:rsid w:val="00946242"/>
    <w:rsid w:val="0095096B"/>
    <w:rsid w:val="009634EE"/>
    <w:rsid w:val="009723FA"/>
    <w:rsid w:val="00984546"/>
    <w:rsid w:val="00996510"/>
    <w:rsid w:val="009C6C9F"/>
    <w:rsid w:val="009D1F15"/>
    <w:rsid w:val="009D555E"/>
    <w:rsid w:val="009E1FA4"/>
    <w:rsid w:val="009E3D8C"/>
    <w:rsid w:val="00A0355E"/>
    <w:rsid w:val="00A375D1"/>
    <w:rsid w:val="00A51D10"/>
    <w:rsid w:val="00A52A83"/>
    <w:rsid w:val="00A5581D"/>
    <w:rsid w:val="00A713BF"/>
    <w:rsid w:val="00A87207"/>
    <w:rsid w:val="00AA6297"/>
    <w:rsid w:val="00AB2201"/>
    <w:rsid w:val="00AB4BDD"/>
    <w:rsid w:val="00AD5C84"/>
    <w:rsid w:val="00AF1715"/>
    <w:rsid w:val="00AF3904"/>
    <w:rsid w:val="00AF5526"/>
    <w:rsid w:val="00B010C0"/>
    <w:rsid w:val="00B017F8"/>
    <w:rsid w:val="00B413E2"/>
    <w:rsid w:val="00B43597"/>
    <w:rsid w:val="00B4740D"/>
    <w:rsid w:val="00B61629"/>
    <w:rsid w:val="00B7374B"/>
    <w:rsid w:val="00BA116A"/>
    <w:rsid w:val="00BA6468"/>
    <w:rsid w:val="00BA6780"/>
    <w:rsid w:val="00BC774C"/>
    <w:rsid w:val="00BD06DA"/>
    <w:rsid w:val="00BD4217"/>
    <w:rsid w:val="00BF25F3"/>
    <w:rsid w:val="00C1697B"/>
    <w:rsid w:val="00C344FB"/>
    <w:rsid w:val="00C37FAD"/>
    <w:rsid w:val="00C43A66"/>
    <w:rsid w:val="00C50A5C"/>
    <w:rsid w:val="00C50FDF"/>
    <w:rsid w:val="00C525BF"/>
    <w:rsid w:val="00C547DD"/>
    <w:rsid w:val="00C60A41"/>
    <w:rsid w:val="00C73E1B"/>
    <w:rsid w:val="00C934F7"/>
    <w:rsid w:val="00CB7CA3"/>
    <w:rsid w:val="00CC4D84"/>
    <w:rsid w:val="00CE22CB"/>
    <w:rsid w:val="00D53465"/>
    <w:rsid w:val="00D603C7"/>
    <w:rsid w:val="00D76BDF"/>
    <w:rsid w:val="00D862C1"/>
    <w:rsid w:val="00DC455E"/>
    <w:rsid w:val="00DD01FC"/>
    <w:rsid w:val="00DE5FB3"/>
    <w:rsid w:val="00DE642D"/>
    <w:rsid w:val="00DF71D7"/>
    <w:rsid w:val="00E06DFA"/>
    <w:rsid w:val="00E078E5"/>
    <w:rsid w:val="00E32432"/>
    <w:rsid w:val="00E356C7"/>
    <w:rsid w:val="00E42B92"/>
    <w:rsid w:val="00E452DD"/>
    <w:rsid w:val="00E54702"/>
    <w:rsid w:val="00E6424C"/>
    <w:rsid w:val="00E64FA7"/>
    <w:rsid w:val="00E72C20"/>
    <w:rsid w:val="00E770CB"/>
    <w:rsid w:val="00E9141D"/>
    <w:rsid w:val="00E940EB"/>
    <w:rsid w:val="00EB2B90"/>
    <w:rsid w:val="00ED7E83"/>
    <w:rsid w:val="00EF4B63"/>
    <w:rsid w:val="00F0068D"/>
    <w:rsid w:val="00F15EA8"/>
    <w:rsid w:val="00F166D7"/>
    <w:rsid w:val="00F16C8D"/>
    <w:rsid w:val="00F3249C"/>
    <w:rsid w:val="00F33CCE"/>
    <w:rsid w:val="00F40223"/>
    <w:rsid w:val="00F40249"/>
    <w:rsid w:val="00F526C8"/>
    <w:rsid w:val="00F9518C"/>
    <w:rsid w:val="00F95699"/>
    <w:rsid w:val="00FA59EF"/>
    <w:rsid w:val="00FB19A2"/>
    <w:rsid w:val="00FC033D"/>
    <w:rsid w:val="00FE02CB"/>
    <w:rsid w:val="00FF03EA"/>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8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styleId="Quote">
    <w:name w:val="Quote"/>
    <w:basedOn w:val="Normal"/>
    <w:next w:val="Normal"/>
    <w:link w:val="QuoteChar"/>
    <w:uiPriority w:val="29"/>
    <w:qFormat/>
    <w:rsid w:val="00307D49"/>
    <w:rPr>
      <w:rFonts w:eastAsia="Times New Roman" w:cs="Times New Roman"/>
      <w:i/>
      <w:iCs/>
      <w:color w:val="000000" w:themeColor="text1"/>
      <w:szCs w:val="20"/>
      <w:lang w:val="fr-CA" w:eastAsia="en-CA"/>
    </w:rPr>
  </w:style>
  <w:style w:type="character" w:customStyle="1" w:styleId="QuoteChar">
    <w:name w:val="Quote Char"/>
    <w:basedOn w:val="DefaultParagraphFont"/>
    <w:link w:val="Quote"/>
    <w:uiPriority w:val="29"/>
    <w:rsid w:val="00307D49"/>
    <w:rPr>
      <w:rFonts w:eastAsia="Times New Roman" w:cs="Times New Roman"/>
      <w:i/>
      <w:iCs/>
      <w:color w:val="000000" w:themeColor="text1"/>
      <w:szCs w:val="20"/>
      <w:lang w:val="fr-CA" w:eastAsia="en-CA"/>
    </w:rPr>
  </w:style>
  <w:style w:type="paragraph" w:customStyle="1" w:styleId="SCCFileNumber">
    <w:name w:val="SCC.FileNumber"/>
    <w:basedOn w:val="Normal"/>
    <w:next w:val="Normal"/>
    <w:link w:val="SCCFileNumberChar"/>
    <w:rsid w:val="00132D44"/>
    <w:pPr>
      <w:jc w:val="center"/>
    </w:pPr>
    <w:rPr>
      <w:b/>
      <w:szCs w:val="24"/>
      <w:lang w:val="fr-CA"/>
    </w:rPr>
  </w:style>
  <w:style w:type="character" w:customStyle="1" w:styleId="SCCFileNumberChar">
    <w:name w:val="SCC.FileNumber Char"/>
    <w:basedOn w:val="DefaultParagraphFont"/>
    <w:link w:val="SCCFileNumber"/>
    <w:rsid w:val="00132D44"/>
    <w:rPr>
      <w:b/>
      <w:szCs w:val="24"/>
      <w:lang w:val="fr-CA"/>
    </w:rPr>
  </w:style>
  <w:style w:type="paragraph" w:customStyle="1" w:styleId="SCCLsoc">
    <w:name w:val="SCC.Lsoc"/>
    <w:basedOn w:val="Normal"/>
    <w:next w:val="Normal"/>
    <w:link w:val="SCCLsocChar"/>
    <w:rsid w:val="00132D44"/>
    <w:pPr>
      <w:jc w:val="center"/>
    </w:pPr>
    <w:rPr>
      <w:b/>
      <w:szCs w:val="24"/>
      <w:u w:val="single"/>
      <w:lang w:val="fr-CA"/>
    </w:rPr>
  </w:style>
  <w:style w:type="character" w:customStyle="1" w:styleId="SCCLsocChar">
    <w:name w:val="SCC.Lsoc Char"/>
    <w:basedOn w:val="DefaultParagraphFont"/>
    <w:link w:val="SCCLsoc"/>
    <w:rsid w:val="00132D44"/>
    <w:rPr>
      <w:b/>
      <w:szCs w:val="24"/>
      <w:u w:val="single"/>
      <w:lang w:val="fr-CA"/>
    </w:rPr>
  </w:style>
  <w:style w:type="paragraph" w:customStyle="1" w:styleId="SCCCoram">
    <w:name w:val="SCC.Coram"/>
    <w:basedOn w:val="Normal"/>
    <w:next w:val="Normal"/>
    <w:link w:val="SCCCoramChar"/>
    <w:rsid w:val="00132D44"/>
    <w:pPr>
      <w:jc w:val="center"/>
    </w:pPr>
    <w:rPr>
      <w:szCs w:val="24"/>
      <w:u w:val="single"/>
      <w:lang w:val="fr-CA"/>
    </w:rPr>
  </w:style>
  <w:style w:type="character" w:customStyle="1" w:styleId="SCCCoramChar">
    <w:name w:val="SCC.Coram Char"/>
    <w:basedOn w:val="DefaultParagraphFont"/>
    <w:link w:val="SCCCoram"/>
    <w:rsid w:val="00132D44"/>
    <w:rPr>
      <w:szCs w:val="24"/>
      <w:u w:val="single"/>
      <w:lang w:val="fr-CA"/>
    </w:rPr>
  </w:style>
  <w:style w:type="paragraph" w:customStyle="1" w:styleId="SCCShortJudgment">
    <w:name w:val="SCC.ShortJudgment"/>
    <w:basedOn w:val="Normal"/>
    <w:qFormat/>
    <w:rsid w:val="00132D44"/>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oter" Target="footer23.xml"/><Relationship Id="rId63"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footer" Target="footer24.xml"/><Relationship Id="rId64" Type="http://schemas.openxmlformats.org/officeDocument/2006/relationships/footer" Target="footer28.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4319-9C98-4621-B653-7F2B246F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34467</Words>
  <Characters>196463</Characters>
  <Application>Microsoft Office Word</Application>
  <DocSecurity>0</DocSecurity>
  <Lines>1637</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2010-11-29T18:32:00Z</dcterms:created>
  <dcterms:modified xsi:type="dcterms:W3CDTF">2010-11-29T18:36:00Z</dcterms:modified>
</cp:coreProperties>
</file>