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Default Extension="wmf" ContentType="image/x-wmf"/>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F3" w:rsidRPr="002E2327" w:rsidRDefault="00382C47">
      <w:r w:rsidRPr="002E2327">
        <w:rPr>
          <w:noProof/>
          <w:lang w:eastAsia="en-CA"/>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850008"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850008"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850008"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Subscriptions may be had at $300 per year, payable in advance, in accordance with the Court tariff.  During Court sessions it 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prix de l'abonnement, fixé dans le tarif de la Cour, est de 300 $ l'an, payable d'avance.  Le Bulletin paraît en principe toutes les semaines pendant les sessions de la Cour.</w:t>
            </w:r>
          </w:p>
        </w:tc>
      </w:tr>
      <w:tr w:rsidR="00BF25F3" w:rsidRPr="00850008"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850008" w:rsidTr="002E5576">
        <w:tc>
          <w:tcPr>
            <w:tcW w:w="4518" w:type="dxa"/>
          </w:tcPr>
          <w:p w:rsidR="00BF25F3" w:rsidRPr="002E2327" w:rsidRDefault="00D56013"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D5601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bl>
    <w:p w:rsidR="00BF25F3" w:rsidRPr="00675479" w:rsidRDefault="00BF25F3" w:rsidP="00BF25F3">
      <w:pPr>
        <w:tabs>
          <w:tab w:val="left" w:pos="6075"/>
        </w:tabs>
        <w:rPr>
          <w:lang w:val="fr-CA"/>
        </w:rPr>
      </w:pPr>
    </w:p>
    <w:p w:rsidR="00600252" w:rsidRPr="00675479" w:rsidRDefault="00600252" w:rsidP="00BF25F3">
      <w:pPr>
        <w:pBdr>
          <w:bottom w:val="single" w:sz="6" w:space="1" w:color="auto"/>
        </w:pBdr>
        <w:tabs>
          <w:tab w:val="left" w:pos="6075"/>
        </w:tabs>
        <w:rPr>
          <w:lang w:val="fr-CA"/>
        </w:rPr>
      </w:pPr>
    </w:p>
    <w:p w:rsidR="00440E24" w:rsidRPr="00675479" w:rsidRDefault="00440E24" w:rsidP="00440E24">
      <w:pPr>
        <w:pBdr>
          <w:bottom w:val="single" w:sz="6" w:space="1" w:color="auto"/>
        </w:pBdr>
        <w:tabs>
          <w:tab w:val="left" w:pos="6075"/>
        </w:tabs>
        <w:rPr>
          <w:lang w:val="fr-CA"/>
        </w:rPr>
      </w:pPr>
    </w:p>
    <w:p w:rsidR="00440E24" w:rsidRPr="00675479" w:rsidRDefault="00440E24" w:rsidP="00440E24">
      <w:pPr>
        <w:rPr>
          <w:lang w:val="fr-CA"/>
        </w:rPr>
      </w:pPr>
    </w:p>
    <w:p w:rsidR="00600252" w:rsidRPr="00675479" w:rsidRDefault="00E8250C" w:rsidP="00F0068D">
      <w:pPr>
        <w:pBdr>
          <w:bottom w:val="single" w:sz="6" w:space="1" w:color="auto"/>
        </w:pBdr>
        <w:tabs>
          <w:tab w:val="center" w:pos="4680"/>
          <w:tab w:val="right" w:pos="9360"/>
        </w:tabs>
        <w:rPr>
          <w:lang w:val="fr-CA"/>
        </w:rPr>
      </w:pPr>
      <w:r>
        <w:rPr>
          <w:lang w:val="fr-CA"/>
        </w:rPr>
        <w:t>December</w:t>
      </w:r>
      <w:r w:rsidR="00440E24" w:rsidRPr="00675479">
        <w:rPr>
          <w:lang w:val="fr-CA"/>
        </w:rPr>
        <w:t xml:space="preserve"> 2</w:t>
      </w:r>
      <w:r>
        <w:rPr>
          <w:lang w:val="fr-CA"/>
        </w:rPr>
        <w:t>4</w:t>
      </w:r>
      <w:r w:rsidR="00440E24" w:rsidRPr="00675479">
        <w:rPr>
          <w:lang w:val="fr-CA"/>
        </w:rPr>
        <w:t>, 2010</w:t>
      </w:r>
      <w:r w:rsidR="00F0068D" w:rsidRPr="00675479">
        <w:rPr>
          <w:lang w:val="fr-CA"/>
        </w:rPr>
        <w:tab/>
        <w:t>1</w:t>
      </w:r>
      <w:r w:rsidR="00796601">
        <w:rPr>
          <w:lang w:val="fr-CA"/>
        </w:rPr>
        <w:t>672</w:t>
      </w:r>
      <w:r w:rsidR="00F0068D" w:rsidRPr="00675479">
        <w:rPr>
          <w:lang w:val="fr-CA"/>
        </w:rPr>
        <w:t xml:space="preserve"> - </w:t>
      </w:r>
      <w:r w:rsidR="0064487C">
        <w:rPr>
          <w:lang w:val="fr-CA"/>
        </w:rPr>
        <w:t>1749</w:t>
      </w:r>
      <w:r w:rsidR="00440E24" w:rsidRPr="00675479">
        <w:rPr>
          <w:lang w:val="fr-CA"/>
        </w:rPr>
        <w:tab/>
      </w:r>
      <w:r w:rsidR="00440E24" w:rsidRPr="002E2327">
        <w:rPr>
          <w:lang w:val="fr-CA"/>
        </w:rPr>
        <w:t>Le 2</w:t>
      </w:r>
      <w:r>
        <w:rPr>
          <w:lang w:val="fr-CA"/>
        </w:rPr>
        <w:t>4 décembre</w:t>
      </w:r>
      <w:r w:rsidR="00440E24" w:rsidRPr="002E2327">
        <w:rPr>
          <w:lang w:val="fr-CA"/>
        </w:rPr>
        <w:t xml:space="preserve"> 2010</w:t>
      </w:r>
    </w:p>
    <w:p w:rsidR="00440E24" w:rsidRPr="00675479" w:rsidRDefault="00440E24" w:rsidP="00440E24">
      <w:pPr>
        <w:pBdr>
          <w:bottom w:val="single" w:sz="6" w:space="1" w:color="auto"/>
        </w:pBdr>
        <w:tabs>
          <w:tab w:val="right" w:pos="9360"/>
        </w:tabs>
        <w:rPr>
          <w:lang w:val="fr-CA"/>
        </w:rPr>
      </w:pP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 Supreme Court of Canada (2010)</w:t>
      </w:r>
      <w:r w:rsidRPr="00675479">
        <w:rPr>
          <w:sz w:val="18"/>
          <w:szCs w:val="18"/>
          <w:lang w:val="fr-CA"/>
        </w:rPr>
        <w:tab/>
        <w:t xml:space="preserve">© </w:t>
      </w:r>
      <w:r w:rsidRPr="002E2327">
        <w:rPr>
          <w:sz w:val="18"/>
          <w:szCs w:val="18"/>
          <w:lang w:val="fr-CA"/>
        </w:rPr>
        <w:t>Cour suprême du Canada (2010)</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1193-8536 (Print)</w:t>
      </w:r>
      <w:r w:rsidRPr="00675479">
        <w:rPr>
          <w:sz w:val="18"/>
          <w:szCs w:val="18"/>
          <w:lang w:val="fr-CA"/>
        </w:rPr>
        <w:tab/>
        <w:t>ISSN 1193-8536 (</w:t>
      </w:r>
      <w:r w:rsidRPr="002E2327">
        <w:rPr>
          <w:sz w:val="18"/>
          <w:szCs w:val="18"/>
          <w:lang w:val="fr-CA"/>
        </w:rPr>
        <w:t>Imprimé</w:t>
      </w:r>
      <w:r w:rsidRPr="00675479">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p w:rsidR="00600252" w:rsidRPr="00675479" w:rsidRDefault="00600252">
      <w:pPr>
        <w:rPr>
          <w:lang w:val="fr-CA"/>
        </w:rPr>
      </w:pPr>
      <w:r w:rsidRPr="00675479">
        <w:rPr>
          <w:lang w:val="fr-CA"/>
        </w:rPr>
        <w:br w:type="page"/>
      </w:r>
    </w:p>
    <w:tbl>
      <w:tblPr>
        <w:tblW w:w="9540" w:type="dxa"/>
        <w:tblInd w:w="-90" w:type="dxa"/>
        <w:tblBorders>
          <w:bottom w:val="single" w:sz="8" w:space="0" w:color="auto"/>
        </w:tblBorders>
        <w:tblLayout w:type="fixed"/>
        <w:tblCellMar>
          <w:left w:w="0" w:type="dxa"/>
          <w:right w:w="0" w:type="dxa"/>
        </w:tblCellMar>
        <w:tblLook w:val="000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1980"/>
        <w:gridCol w:w="3888"/>
      </w:tblGrid>
      <w:tr w:rsidR="0095096B" w:rsidRPr="00850008"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Appeals heard since last issue and disposition</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Headnotes of recent judgments</w:t>
            </w:r>
          </w:p>
          <w:p w:rsidR="0095096B" w:rsidRPr="002E2327" w:rsidRDefault="0095096B" w:rsidP="0095096B">
            <w:pPr>
              <w:tabs>
                <w:tab w:val="right" w:pos="9360"/>
              </w:tabs>
              <w:rPr>
                <w:rFonts w:cs="Times New Roman"/>
                <w:sz w:val="20"/>
                <w:szCs w:val="20"/>
              </w:rPr>
            </w:pPr>
          </w:p>
          <w:p w:rsidR="00A87207" w:rsidRPr="002E2327" w:rsidRDefault="0095096B" w:rsidP="00E505AD">
            <w:pPr>
              <w:tabs>
                <w:tab w:val="right" w:pos="9360"/>
              </w:tabs>
              <w:rPr>
                <w:rFonts w:cs="Times New Roman"/>
                <w:sz w:val="20"/>
                <w:szCs w:val="20"/>
              </w:rPr>
            </w:pPr>
            <w:r w:rsidRPr="002E2327">
              <w:rPr>
                <w:rFonts w:cs="Times New Roman"/>
                <w:sz w:val="20"/>
                <w:szCs w:val="20"/>
              </w:rPr>
              <w:t xml:space="preserve">Agenda </w:t>
            </w:r>
          </w:p>
        </w:tc>
        <w:tc>
          <w:tcPr>
            <w:tcW w:w="1980" w:type="dxa"/>
          </w:tcPr>
          <w:p w:rsidR="0095096B" w:rsidRPr="002E2327" w:rsidRDefault="00796601" w:rsidP="0095096B">
            <w:pPr>
              <w:jc w:val="center"/>
              <w:rPr>
                <w:rFonts w:cs="Times New Roman"/>
                <w:sz w:val="20"/>
                <w:szCs w:val="20"/>
              </w:rPr>
            </w:pPr>
            <w:r>
              <w:rPr>
                <w:rFonts w:cs="Times New Roman"/>
                <w:sz w:val="20"/>
                <w:szCs w:val="20"/>
              </w:rPr>
              <w:t xml:space="preserve">1672 </w:t>
            </w:r>
            <w:r w:rsidR="00D56013" w:rsidRPr="002E2327">
              <w:rPr>
                <w:rFonts w:cs="Times New Roman"/>
                <w:sz w:val="20"/>
                <w:szCs w:val="20"/>
              </w:rPr>
              <w:fldChar w:fldCharType="begin"/>
            </w:r>
            <w:r w:rsidR="0095096B" w:rsidRPr="002E2327">
              <w:rPr>
                <w:rFonts w:cs="Times New Roman"/>
                <w:sz w:val="20"/>
                <w:szCs w:val="20"/>
              </w:rPr>
              <w:instrText xml:space="preserve"> SEQ CHAPTER \h \r 1</w:instrText>
            </w:r>
            <w:r w:rsidR="00D56013" w:rsidRPr="002E2327">
              <w:rPr>
                <w:rFonts w:cs="Times New Roman"/>
                <w:sz w:val="20"/>
                <w:szCs w:val="20"/>
              </w:rPr>
              <w:fldChar w:fldCharType="end"/>
            </w:r>
            <w:r w:rsidR="0095096B" w:rsidRPr="002E2327">
              <w:rPr>
                <w:rFonts w:cs="Times New Roman"/>
                <w:sz w:val="20"/>
                <w:szCs w:val="20"/>
              </w:rPr>
              <w:t>-</w:t>
            </w:r>
            <w:r w:rsidR="00E64B9B">
              <w:rPr>
                <w:rFonts w:cs="Times New Roman"/>
                <w:sz w:val="20"/>
                <w:szCs w:val="20"/>
              </w:rPr>
              <w:t xml:space="preserve"> 1674</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E64B9B" w:rsidP="0095096B">
            <w:pPr>
              <w:jc w:val="center"/>
              <w:rPr>
                <w:rFonts w:cs="Times New Roman"/>
                <w:sz w:val="20"/>
                <w:szCs w:val="20"/>
              </w:rPr>
            </w:pPr>
            <w:r>
              <w:rPr>
                <w:rFonts w:cs="Times New Roman"/>
                <w:sz w:val="20"/>
                <w:szCs w:val="20"/>
              </w:rPr>
              <w:t>1675</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E64B9B" w:rsidP="0095096B">
            <w:pPr>
              <w:jc w:val="center"/>
              <w:rPr>
                <w:rFonts w:cs="Times New Roman"/>
                <w:sz w:val="20"/>
                <w:szCs w:val="20"/>
              </w:rPr>
            </w:pPr>
            <w:r>
              <w:rPr>
                <w:rFonts w:cs="Times New Roman"/>
                <w:sz w:val="20"/>
                <w:szCs w:val="20"/>
              </w:rPr>
              <w:t xml:space="preserve">1676 </w:t>
            </w:r>
            <w:r w:rsidR="0095096B" w:rsidRPr="002E2327">
              <w:rPr>
                <w:rFonts w:cs="Times New Roman"/>
                <w:sz w:val="20"/>
                <w:szCs w:val="20"/>
              </w:rPr>
              <w:t>-</w:t>
            </w:r>
            <w:r>
              <w:rPr>
                <w:rFonts w:cs="Times New Roman"/>
                <w:sz w:val="20"/>
                <w:szCs w:val="20"/>
              </w:rPr>
              <w:t xml:space="preserve"> </w:t>
            </w:r>
            <w:r w:rsidR="0064487C">
              <w:rPr>
                <w:rFonts w:cs="Times New Roman"/>
                <w:sz w:val="20"/>
                <w:szCs w:val="20"/>
              </w:rPr>
              <w:t>1711</w:t>
            </w:r>
          </w:p>
          <w:p w:rsidR="0095096B" w:rsidRDefault="0095096B" w:rsidP="0095096B">
            <w:pPr>
              <w:jc w:val="center"/>
              <w:rPr>
                <w:rFonts w:cs="Times New Roman"/>
                <w:sz w:val="20"/>
                <w:szCs w:val="20"/>
              </w:rPr>
            </w:pPr>
          </w:p>
          <w:p w:rsidR="0064487C" w:rsidRPr="002E2327" w:rsidRDefault="0064487C" w:rsidP="0095096B">
            <w:pPr>
              <w:jc w:val="center"/>
              <w:rPr>
                <w:rFonts w:cs="Times New Roman"/>
                <w:sz w:val="20"/>
                <w:szCs w:val="20"/>
              </w:rPr>
            </w:pPr>
          </w:p>
          <w:p w:rsidR="0095096B" w:rsidRPr="002E2327" w:rsidRDefault="0064487C" w:rsidP="0095096B">
            <w:pPr>
              <w:jc w:val="center"/>
              <w:rPr>
                <w:rFonts w:cs="Times New Roman"/>
                <w:sz w:val="20"/>
                <w:szCs w:val="20"/>
              </w:rPr>
            </w:pPr>
            <w:r>
              <w:rPr>
                <w:rFonts w:cs="Times New Roman"/>
                <w:sz w:val="20"/>
                <w:szCs w:val="20"/>
              </w:rPr>
              <w:t xml:space="preserve">1712 </w:t>
            </w:r>
            <w:r w:rsidR="0095096B" w:rsidRPr="002E2327">
              <w:rPr>
                <w:rFonts w:cs="Times New Roman"/>
                <w:sz w:val="20"/>
                <w:szCs w:val="20"/>
              </w:rPr>
              <w:t>-</w:t>
            </w:r>
            <w:r>
              <w:rPr>
                <w:rFonts w:cs="Times New Roman"/>
                <w:sz w:val="20"/>
                <w:szCs w:val="20"/>
              </w:rPr>
              <w:t xml:space="preserve"> 1716</w:t>
            </w:r>
          </w:p>
          <w:p w:rsidR="0095096B" w:rsidRPr="002E2327" w:rsidRDefault="0095096B" w:rsidP="0095096B">
            <w:pPr>
              <w:jc w:val="center"/>
              <w:rPr>
                <w:rFonts w:cs="Times New Roman"/>
                <w:sz w:val="20"/>
                <w:szCs w:val="20"/>
              </w:rPr>
            </w:pPr>
          </w:p>
          <w:p w:rsidR="0095096B" w:rsidRPr="002E2327" w:rsidRDefault="0064487C" w:rsidP="0095096B">
            <w:pPr>
              <w:jc w:val="center"/>
              <w:rPr>
                <w:rFonts w:cs="Times New Roman"/>
                <w:sz w:val="20"/>
                <w:szCs w:val="20"/>
              </w:rPr>
            </w:pPr>
            <w:r>
              <w:rPr>
                <w:rFonts w:cs="Times New Roman"/>
                <w:sz w:val="20"/>
                <w:szCs w:val="20"/>
              </w:rPr>
              <w:t>1717</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64487C" w:rsidP="0095096B">
            <w:pPr>
              <w:jc w:val="center"/>
              <w:rPr>
                <w:rFonts w:cs="Times New Roman"/>
                <w:sz w:val="20"/>
                <w:szCs w:val="20"/>
              </w:rPr>
            </w:pPr>
            <w:r>
              <w:rPr>
                <w:rFonts w:cs="Times New Roman"/>
                <w:sz w:val="20"/>
                <w:szCs w:val="20"/>
              </w:rPr>
              <w:t xml:space="preserve">1718 </w:t>
            </w:r>
            <w:r w:rsidR="0095096B" w:rsidRPr="002E2327">
              <w:rPr>
                <w:rFonts w:cs="Times New Roman"/>
                <w:sz w:val="20"/>
                <w:szCs w:val="20"/>
              </w:rPr>
              <w:t>-</w:t>
            </w:r>
            <w:r>
              <w:rPr>
                <w:rFonts w:cs="Times New Roman"/>
                <w:sz w:val="20"/>
                <w:szCs w:val="20"/>
              </w:rPr>
              <w:t xml:space="preserve"> 1720</w:t>
            </w:r>
          </w:p>
          <w:p w:rsidR="0095096B" w:rsidRDefault="0095096B" w:rsidP="0095096B">
            <w:pPr>
              <w:jc w:val="center"/>
              <w:rPr>
                <w:rFonts w:cs="Times New Roman"/>
                <w:sz w:val="20"/>
                <w:szCs w:val="20"/>
              </w:rPr>
            </w:pPr>
          </w:p>
          <w:p w:rsidR="0064487C" w:rsidRPr="002E2327" w:rsidRDefault="0064487C" w:rsidP="0095096B">
            <w:pPr>
              <w:jc w:val="center"/>
              <w:rPr>
                <w:rFonts w:cs="Times New Roman"/>
                <w:sz w:val="20"/>
                <w:szCs w:val="20"/>
              </w:rPr>
            </w:pPr>
          </w:p>
          <w:p w:rsidR="0095096B" w:rsidRPr="002E2327" w:rsidRDefault="0064487C" w:rsidP="0095096B">
            <w:pPr>
              <w:jc w:val="center"/>
              <w:rPr>
                <w:rFonts w:cs="Times New Roman"/>
                <w:sz w:val="20"/>
                <w:szCs w:val="20"/>
              </w:rPr>
            </w:pPr>
            <w:r>
              <w:rPr>
                <w:rFonts w:cs="Times New Roman"/>
                <w:sz w:val="20"/>
                <w:szCs w:val="20"/>
              </w:rPr>
              <w:t xml:space="preserve">1721 </w:t>
            </w:r>
            <w:r w:rsidR="0095096B" w:rsidRPr="002E2327">
              <w:rPr>
                <w:rFonts w:cs="Times New Roman"/>
                <w:sz w:val="20"/>
                <w:szCs w:val="20"/>
              </w:rPr>
              <w:t>-</w:t>
            </w:r>
            <w:r>
              <w:rPr>
                <w:rFonts w:cs="Times New Roman"/>
                <w:sz w:val="20"/>
                <w:szCs w:val="20"/>
              </w:rPr>
              <w:t xml:space="preserve"> 1748</w:t>
            </w:r>
          </w:p>
          <w:p w:rsidR="0095096B" w:rsidRPr="002E2327" w:rsidRDefault="0095096B" w:rsidP="0095096B">
            <w:pPr>
              <w:jc w:val="center"/>
              <w:rPr>
                <w:rFonts w:cs="Times New Roman"/>
                <w:sz w:val="20"/>
                <w:szCs w:val="20"/>
              </w:rPr>
            </w:pPr>
          </w:p>
          <w:p w:rsidR="00A87207" w:rsidRPr="002E2327" w:rsidRDefault="0064487C" w:rsidP="002D6684">
            <w:pPr>
              <w:jc w:val="center"/>
              <w:rPr>
                <w:rFonts w:cs="Times New Roman"/>
                <w:sz w:val="20"/>
                <w:szCs w:val="20"/>
              </w:rPr>
            </w:pPr>
            <w:r>
              <w:rPr>
                <w:rFonts w:cs="Times New Roman"/>
                <w:sz w:val="20"/>
                <w:szCs w:val="20"/>
              </w:rPr>
              <w:t>1749</w:t>
            </w:r>
          </w:p>
        </w:tc>
        <w:tc>
          <w:tcPr>
            <w:tcW w:w="3888" w:type="dxa"/>
          </w:tcPr>
          <w:p w:rsidR="0095096B" w:rsidRPr="002E2327" w:rsidRDefault="00D56013"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95096B" w:rsidP="0095096B">
            <w:pPr>
              <w:rPr>
                <w:rFonts w:cs="Times New Roman"/>
                <w:sz w:val="20"/>
                <w:szCs w:val="20"/>
                <w:lang w:val="fr-CA"/>
              </w:rPr>
            </w:pPr>
            <w:r w:rsidRPr="002E2327">
              <w:rPr>
                <w:rFonts w:cs="Times New Roman"/>
                <w:sz w:val="20"/>
                <w:szCs w:val="20"/>
                <w:lang w:val="fr-CA"/>
              </w:rPr>
              <w:t>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Appels entendus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 et résultat</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95096B" w:rsidRPr="002E2327" w:rsidRDefault="0095096B" w:rsidP="0095096B">
            <w:pPr>
              <w:rPr>
                <w:rFonts w:cs="Times New Roman"/>
                <w:sz w:val="20"/>
                <w:szCs w:val="20"/>
                <w:lang w:val="fr-CA"/>
              </w:rPr>
            </w:pPr>
          </w:p>
          <w:p w:rsidR="00A87207" w:rsidRPr="002E2327" w:rsidRDefault="0095096B" w:rsidP="00E505AD">
            <w:pPr>
              <w:rPr>
                <w:rFonts w:cs="Times New Roman"/>
                <w:sz w:val="20"/>
                <w:szCs w:val="20"/>
                <w:lang w:val="fr-CA"/>
              </w:rPr>
            </w:pPr>
            <w:r w:rsidRPr="002E2327">
              <w:rPr>
                <w:rFonts w:cs="Times New Roman"/>
                <w:sz w:val="20"/>
                <w:szCs w:val="20"/>
                <w:lang w:val="fr-CA"/>
              </w:rPr>
              <w:t xml:space="preserve">Calendrier </w:t>
            </w:r>
          </w:p>
        </w:tc>
      </w:tr>
    </w:tbl>
    <w:p w:rsidR="0095096B" w:rsidRPr="00F772BC" w:rsidRDefault="0095096B" w:rsidP="0095096B">
      <w:pPr>
        <w:tabs>
          <w:tab w:val="right" w:pos="9360"/>
        </w:tabs>
        <w:rPr>
          <w:lang w:val="fr-CA"/>
        </w:rPr>
      </w:pPr>
    </w:p>
    <w:p w:rsidR="0049101E" w:rsidRPr="00F772BC" w:rsidRDefault="0049101E" w:rsidP="0095096B">
      <w:pPr>
        <w:tabs>
          <w:tab w:val="right" w:pos="9360"/>
        </w:tabs>
        <w:rPr>
          <w:lang w:val="fr-CA"/>
        </w:rPr>
      </w:pPr>
    </w:p>
    <w:p w:rsidR="0049101E" w:rsidRPr="00F772BC" w:rsidRDefault="0049101E" w:rsidP="0095096B">
      <w:pPr>
        <w:tabs>
          <w:tab w:val="right" w:pos="9360"/>
        </w:tabs>
        <w:rPr>
          <w:lang w:val="fr-CA"/>
        </w:rPr>
      </w:pPr>
    </w:p>
    <w:p w:rsidR="0049101E" w:rsidRPr="00F772BC" w:rsidRDefault="0049101E" w:rsidP="0095096B">
      <w:pPr>
        <w:tabs>
          <w:tab w:val="right" w:pos="9360"/>
        </w:tabs>
        <w:rPr>
          <w:lang w:val="fr-CA"/>
        </w:rPr>
      </w:pPr>
    </w:p>
    <w:p w:rsidR="0049101E" w:rsidRPr="00F772BC" w:rsidRDefault="0049101E" w:rsidP="0095096B">
      <w:pPr>
        <w:tabs>
          <w:tab w:val="right" w:pos="9360"/>
        </w:tabs>
        <w:rPr>
          <w:lang w:val="fr-CA"/>
        </w:rPr>
      </w:pPr>
    </w:p>
    <w:p w:rsidR="0049101E" w:rsidRPr="00F772BC" w:rsidRDefault="0049101E" w:rsidP="0095096B">
      <w:pPr>
        <w:tabs>
          <w:tab w:val="right" w:pos="9360"/>
        </w:tabs>
        <w:rPr>
          <w:lang w:val="fr-CA"/>
        </w:rPr>
      </w:pPr>
    </w:p>
    <w:tbl>
      <w:tblPr>
        <w:tblStyle w:val="TableGrid"/>
        <w:tblW w:w="0" w:type="auto"/>
        <w:tblLook w:val="04A0"/>
      </w:tblPr>
      <w:tblGrid>
        <w:gridCol w:w="9576"/>
      </w:tblGrid>
      <w:tr w:rsidR="0079724F" w:rsidRPr="00850008"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8"/>
          <w:headerReference w:type="default" r:id="rId9"/>
          <w:footerReference w:type="even" r:id="rId10"/>
          <w:footerReference w:type="default" r:id="rId11"/>
          <w:headerReference w:type="first" r:id="rId12"/>
          <w:footerReference w:type="first" r:id="rId13"/>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9A5FDE" w:rsidRPr="00A935AA" w:rsidTr="003F1419">
        <w:trPr>
          <w:cantSplit/>
        </w:trPr>
        <w:tc>
          <w:tcPr>
            <w:tcW w:w="4320" w:type="dxa"/>
            <w:shd w:val="clear" w:color="auto" w:fill="auto"/>
          </w:tcPr>
          <w:p w:rsidR="009A5FDE" w:rsidRPr="00A935AA" w:rsidRDefault="009A5FDE" w:rsidP="003B3977">
            <w:pPr>
              <w:rPr>
                <w:b/>
                <w:sz w:val="20"/>
                <w:szCs w:val="20"/>
              </w:rPr>
            </w:pPr>
            <w:r>
              <w:rPr>
                <w:b/>
                <w:sz w:val="20"/>
                <w:szCs w:val="20"/>
              </w:rPr>
              <w:t>C.K.C.</w:t>
            </w:r>
          </w:p>
          <w:p w:rsidR="009A5FDE" w:rsidRPr="00A935AA" w:rsidRDefault="009A5FDE" w:rsidP="003B3977">
            <w:pPr>
              <w:tabs>
                <w:tab w:val="left" w:pos="-1440"/>
                <w:tab w:val="left" w:pos="-720"/>
              </w:tabs>
              <w:rPr>
                <w:sz w:val="20"/>
                <w:szCs w:val="20"/>
              </w:rPr>
            </w:pPr>
            <w:r w:rsidRPr="00A935AA">
              <w:rPr>
                <w:sz w:val="20"/>
                <w:szCs w:val="20"/>
              </w:rPr>
              <w:tab/>
            </w:r>
            <w:r>
              <w:rPr>
                <w:sz w:val="20"/>
                <w:szCs w:val="20"/>
              </w:rPr>
              <w:t>C.K.C.</w:t>
            </w:r>
          </w:p>
          <w:p w:rsidR="009A5FDE" w:rsidRPr="00A935AA" w:rsidRDefault="009A5FDE" w:rsidP="003B3977">
            <w:pPr>
              <w:tabs>
                <w:tab w:val="left" w:pos="-1440"/>
                <w:tab w:val="left" w:pos="-720"/>
              </w:tabs>
              <w:rPr>
                <w:sz w:val="20"/>
                <w:szCs w:val="20"/>
              </w:rPr>
            </w:pPr>
          </w:p>
          <w:p w:rsidR="009A5FDE" w:rsidRPr="00A935AA" w:rsidRDefault="009A5FDE" w:rsidP="00A63AFA">
            <w:pPr>
              <w:rPr>
                <w:sz w:val="20"/>
                <w:szCs w:val="20"/>
              </w:rPr>
            </w:pPr>
            <w:r w:rsidRPr="00A935AA">
              <w:rPr>
                <w:sz w:val="20"/>
                <w:szCs w:val="20"/>
              </w:rPr>
              <w:tab/>
              <w:t>v. (33</w:t>
            </w:r>
            <w:r>
              <w:rPr>
                <w:sz w:val="20"/>
                <w:szCs w:val="20"/>
              </w:rPr>
              <w:t>912</w:t>
            </w:r>
            <w:r w:rsidRPr="00A935AA">
              <w:rPr>
                <w:sz w:val="20"/>
                <w:szCs w:val="20"/>
              </w:rPr>
              <w:t>)</w:t>
            </w:r>
          </w:p>
          <w:p w:rsidR="009A5FDE" w:rsidRPr="00A935AA" w:rsidRDefault="009A5FDE" w:rsidP="00A63AFA">
            <w:pPr>
              <w:rPr>
                <w:sz w:val="20"/>
                <w:szCs w:val="20"/>
              </w:rPr>
            </w:pPr>
          </w:p>
          <w:p w:rsidR="009A5FDE" w:rsidRPr="00A935AA" w:rsidRDefault="009A5FDE" w:rsidP="00A63AFA">
            <w:pPr>
              <w:rPr>
                <w:b/>
                <w:sz w:val="20"/>
                <w:szCs w:val="20"/>
              </w:rPr>
            </w:pPr>
            <w:r>
              <w:rPr>
                <w:b/>
                <w:sz w:val="20"/>
                <w:szCs w:val="20"/>
              </w:rPr>
              <w:t>Her Majesty the Queen (Ont.)</w:t>
            </w:r>
          </w:p>
          <w:p w:rsidR="009A5FDE" w:rsidRPr="00A935AA" w:rsidRDefault="009A5FDE" w:rsidP="00A63AFA">
            <w:pPr>
              <w:rPr>
                <w:sz w:val="20"/>
                <w:szCs w:val="20"/>
              </w:rPr>
            </w:pPr>
            <w:r w:rsidRPr="00A935AA">
              <w:rPr>
                <w:sz w:val="20"/>
                <w:szCs w:val="20"/>
              </w:rPr>
              <w:tab/>
            </w:r>
            <w:r>
              <w:rPr>
                <w:sz w:val="20"/>
                <w:szCs w:val="20"/>
              </w:rPr>
              <w:t>Andreea Baiasu</w:t>
            </w:r>
          </w:p>
          <w:p w:rsidR="009A5FDE" w:rsidRPr="00A935AA" w:rsidRDefault="009A5FDE" w:rsidP="00A63AFA">
            <w:pPr>
              <w:rPr>
                <w:sz w:val="20"/>
                <w:szCs w:val="20"/>
              </w:rPr>
            </w:pPr>
            <w:r w:rsidRPr="00A935AA">
              <w:rPr>
                <w:sz w:val="20"/>
                <w:szCs w:val="20"/>
              </w:rPr>
              <w:tab/>
            </w:r>
            <w:r>
              <w:rPr>
                <w:sz w:val="20"/>
                <w:szCs w:val="20"/>
              </w:rPr>
              <w:t>A.G. of Ontario</w:t>
            </w:r>
          </w:p>
          <w:p w:rsidR="009A5FDE" w:rsidRPr="00A935AA" w:rsidRDefault="009A5FDE" w:rsidP="00A63AFA">
            <w:pPr>
              <w:rPr>
                <w:sz w:val="20"/>
                <w:szCs w:val="20"/>
              </w:rPr>
            </w:pPr>
          </w:p>
          <w:p w:rsidR="009A5FDE" w:rsidRPr="00A935AA" w:rsidRDefault="009A5FDE" w:rsidP="003B3977">
            <w:pPr>
              <w:rPr>
                <w:sz w:val="20"/>
                <w:szCs w:val="20"/>
              </w:rPr>
            </w:pPr>
            <w:r w:rsidRPr="00A935AA">
              <w:rPr>
                <w:sz w:val="20"/>
                <w:szCs w:val="20"/>
              </w:rPr>
              <w:t xml:space="preserve">FILING DATE: </w:t>
            </w:r>
            <w:r>
              <w:rPr>
                <w:sz w:val="20"/>
                <w:szCs w:val="20"/>
              </w:rPr>
              <w:t>15.10.2010</w:t>
            </w:r>
          </w:p>
          <w:p w:rsidR="009A5FDE" w:rsidRPr="00A935AA" w:rsidRDefault="00D56013" w:rsidP="003B3977">
            <w:pPr>
              <w:rPr>
                <w:sz w:val="20"/>
                <w:szCs w:val="20"/>
              </w:rPr>
            </w:pPr>
            <w:r w:rsidRPr="00D56013">
              <w:rPr>
                <w:sz w:val="20"/>
                <w:szCs w:val="20"/>
                <w:lang w:val="fr-CA"/>
              </w:rPr>
              <w:pict>
                <v:rect id="_x0000_i1025" style="width:108pt;height:1pt" o:hrpct="0" o:hralign="center" o:hrstd="t" o:hrnoshade="t" o:hr="t" fillcolor="black [3213]" stroked="f"/>
              </w:pict>
            </w:r>
          </w:p>
        </w:tc>
        <w:tc>
          <w:tcPr>
            <w:tcW w:w="1181" w:type="dxa"/>
            <w:shd w:val="clear" w:color="auto" w:fill="auto"/>
          </w:tcPr>
          <w:p w:rsidR="009A5FDE" w:rsidRPr="00A935AA" w:rsidRDefault="009A5FDE" w:rsidP="00242AEE">
            <w:pPr>
              <w:jc w:val="center"/>
              <w:rPr>
                <w:sz w:val="20"/>
                <w:szCs w:val="20"/>
              </w:rPr>
            </w:pPr>
          </w:p>
          <w:p w:rsidR="009A5FDE" w:rsidRPr="00A935AA" w:rsidRDefault="009A5FDE" w:rsidP="00242AEE">
            <w:pPr>
              <w:jc w:val="center"/>
              <w:rPr>
                <w:sz w:val="20"/>
                <w:szCs w:val="20"/>
              </w:rPr>
            </w:pPr>
          </w:p>
          <w:p w:rsidR="009A5FDE" w:rsidRPr="00A935AA" w:rsidRDefault="009A5FDE" w:rsidP="00242AEE">
            <w:pPr>
              <w:jc w:val="center"/>
              <w:rPr>
                <w:sz w:val="20"/>
                <w:szCs w:val="20"/>
              </w:rPr>
            </w:pPr>
          </w:p>
          <w:p w:rsidR="009A5FDE" w:rsidRPr="00A935AA" w:rsidRDefault="009A5FDE" w:rsidP="00242AEE">
            <w:pPr>
              <w:jc w:val="center"/>
              <w:rPr>
                <w:sz w:val="20"/>
                <w:szCs w:val="20"/>
              </w:rPr>
            </w:pPr>
          </w:p>
          <w:p w:rsidR="009A5FDE" w:rsidRPr="00A935AA" w:rsidRDefault="009A5FDE" w:rsidP="00242AEE">
            <w:pPr>
              <w:jc w:val="center"/>
              <w:rPr>
                <w:sz w:val="20"/>
                <w:szCs w:val="20"/>
              </w:rPr>
            </w:pPr>
          </w:p>
          <w:p w:rsidR="009A5FDE" w:rsidRPr="00A935AA" w:rsidRDefault="009A5FDE" w:rsidP="00242AEE">
            <w:pPr>
              <w:jc w:val="center"/>
              <w:rPr>
                <w:sz w:val="20"/>
                <w:szCs w:val="20"/>
              </w:rPr>
            </w:pPr>
          </w:p>
          <w:p w:rsidR="009A5FDE" w:rsidRPr="00A935AA" w:rsidRDefault="009A5FDE" w:rsidP="00242AEE">
            <w:pPr>
              <w:jc w:val="center"/>
              <w:rPr>
                <w:sz w:val="20"/>
                <w:szCs w:val="20"/>
              </w:rPr>
            </w:pPr>
          </w:p>
          <w:p w:rsidR="009A5FDE" w:rsidRPr="00A935AA" w:rsidRDefault="009A5FDE" w:rsidP="00242AEE">
            <w:pPr>
              <w:jc w:val="center"/>
              <w:rPr>
                <w:sz w:val="20"/>
                <w:szCs w:val="20"/>
              </w:rPr>
            </w:pPr>
          </w:p>
          <w:p w:rsidR="009A5FDE" w:rsidRPr="00A935AA" w:rsidRDefault="009A5FDE" w:rsidP="00242AEE">
            <w:pPr>
              <w:jc w:val="center"/>
              <w:rPr>
                <w:sz w:val="20"/>
                <w:szCs w:val="20"/>
              </w:rPr>
            </w:pPr>
          </w:p>
          <w:p w:rsidR="009A5FDE" w:rsidRPr="00A935AA" w:rsidRDefault="009A5FDE" w:rsidP="00242AEE">
            <w:pPr>
              <w:jc w:val="center"/>
              <w:rPr>
                <w:sz w:val="20"/>
                <w:szCs w:val="20"/>
              </w:rPr>
            </w:pPr>
          </w:p>
          <w:p w:rsidR="009A5FDE" w:rsidRPr="00A935AA" w:rsidRDefault="009A5FDE" w:rsidP="00242AEE">
            <w:pPr>
              <w:jc w:val="center"/>
              <w:rPr>
                <w:sz w:val="20"/>
                <w:szCs w:val="20"/>
              </w:rPr>
            </w:pPr>
          </w:p>
          <w:p w:rsidR="009A5FDE" w:rsidRPr="00A935AA" w:rsidRDefault="009A5FDE" w:rsidP="00242AEE">
            <w:pPr>
              <w:jc w:val="center"/>
              <w:rPr>
                <w:sz w:val="20"/>
                <w:szCs w:val="20"/>
              </w:rPr>
            </w:pPr>
          </w:p>
        </w:tc>
        <w:tc>
          <w:tcPr>
            <w:tcW w:w="4320" w:type="dxa"/>
            <w:shd w:val="clear" w:color="auto" w:fill="auto"/>
          </w:tcPr>
          <w:p w:rsidR="009A5FDE" w:rsidRPr="00A935AA" w:rsidRDefault="009A5FDE" w:rsidP="009A5FDE">
            <w:pPr>
              <w:rPr>
                <w:b/>
                <w:sz w:val="20"/>
                <w:szCs w:val="20"/>
              </w:rPr>
            </w:pPr>
            <w:r>
              <w:rPr>
                <w:b/>
                <w:sz w:val="20"/>
                <w:szCs w:val="20"/>
              </w:rPr>
              <w:t>Ivanco Keremelevski</w:t>
            </w:r>
          </w:p>
          <w:p w:rsidR="009A5FDE" w:rsidRPr="00A935AA" w:rsidRDefault="009A5FDE" w:rsidP="009A5FDE">
            <w:pPr>
              <w:tabs>
                <w:tab w:val="left" w:pos="-1440"/>
                <w:tab w:val="left" w:pos="-720"/>
              </w:tabs>
              <w:rPr>
                <w:sz w:val="20"/>
                <w:szCs w:val="20"/>
              </w:rPr>
            </w:pPr>
            <w:r w:rsidRPr="00A935AA">
              <w:rPr>
                <w:sz w:val="20"/>
                <w:szCs w:val="20"/>
              </w:rPr>
              <w:tab/>
            </w:r>
            <w:r>
              <w:rPr>
                <w:sz w:val="20"/>
                <w:szCs w:val="20"/>
              </w:rPr>
              <w:t>Ivanco Keremelevski</w:t>
            </w:r>
          </w:p>
          <w:p w:rsidR="009A5FDE" w:rsidRPr="00A935AA" w:rsidRDefault="009A5FDE" w:rsidP="009A5FDE">
            <w:pPr>
              <w:tabs>
                <w:tab w:val="left" w:pos="-1440"/>
                <w:tab w:val="left" w:pos="-720"/>
              </w:tabs>
              <w:rPr>
                <w:sz w:val="20"/>
                <w:szCs w:val="20"/>
              </w:rPr>
            </w:pPr>
          </w:p>
          <w:p w:rsidR="009A5FDE" w:rsidRPr="00A935AA" w:rsidRDefault="009A5FDE" w:rsidP="009A5FDE">
            <w:pPr>
              <w:tabs>
                <w:tab w:val="left" w:pos="-1440"/>
                <w:tab w:val="left" w:pos="-720"/>
              </w:tabs>
              <w:rPr>
                <w:sz w:val="20"/>
                <w:szCs w:val="20"/>
              </w:rPr>
            </w:pPr>
            <w:r w:rsidRPr="00A935AA">
              <w:rPr>
                <w:sz w:val="20"/>
                <w:szCs w:val="20"/>
              </w:rPr>
              <w:tab/>
              <w:t>v. (33</w:t>
            </w:r>
            <w:r>
              <w:rPr>
                <w:sz w:val="20"/>
                <w:szCs w:val="20"/>
              </w:rPr>
              <w:t>954</w:t>
            </w:r>
            <w:r w:rsidRPr="00A935AA">
              <w:rPr>
                <w:sz w:val="20"/>
                <w:szCs w:val="20"/>
              </w:rPr>
              <w:t>)</w:t>
            </w:r>
          </w:p>
          <w:p w:rsidR="009A5FDE" w:rsidRPr="00A935AA" w:rsidRDefault="009A5FDE" w:rsidP="009A5FDE">
            <w:pPr>
              <w:tabs>
                <w:tab w:val="left" w:pos="-1440"/>
                <w:tab w:val="left" w:pos="-720"/>
              </w:tabs>
              <w:rPr>
                <w:sz w:val="20"/>
                <w:szCs w:val="20"/>
              </w:rPr>
            </w:pPr>
          </w:p>
          <w:p w:rsidR="009A5FDE" w:rsidRPr="00A935AA" w:rsidRDefault="009A5FDE" w:rsidP="009A5FDE">
            <w:pPr>
              <w:tabs>
                <w:tab w:val="left" w:pos="-1440"/>
                <w:tab w:val="left" w:pos="-720"/>
              </w:tabs>
              <w:rPr>
                <w:b/>
                <w:sz w:val="20"/>
                <w:szCs w:val="20"/>
              </w:rPr>
            </w:pPr>
            <w:r>
              <w:rPr>
                <w:b/>
                <w:sz w:val="20"/>
                <w:szCs w:val="20"/>
              </w:rPr>
              <w:t>Canada Post Corporation (B.C.)</w:t>
            </w:r>
          </w:p>
          <w:p w:rsidR="009A5FDE" w:rsidRDefault="009A5FDE" w:rsidP="009A5FDE">
            <w:pPr>
              <w:tabs>
                <w:tab w:val="left" w:pos="-1440"/>
                <w:tab w:val="left" w:pos="-720"/>
              </w:tabs>
              <w:rPr>
                <w:sz w:val="20"/>
                <w:szCs w:val="20"/>
              </w:rPr>
            </w:pPr>
            <w:r>
              <w:rPr>
                <w:sz w:val="20"/>
                <w:szCs w:val="20"/>
              </w:rPr>
              <w:tab/>
              <w:t>Jeremy D. West</w:t>
            </w:r>
          </w:p>
          <w:p w:rsidR="009A5FDE" w:rsidRPr="00A935AA" w:rsidRDefault="009A5FDE" w:rsidP="009A5FDE">
            <w:pPr>
              <w:tabs>
                <w:tab w:val="left" w:pos="-1440"/>
                <w:tab w:val="left" w:pos="-720"/>
              </w:tabs>
              <w:rPr>
                <w:sz w:val="20"/>
                <w:szCs w:val="20"/>
              </w:rPr>
            </w:pPr>
            <w:r w:rsidRPr="00A935AA">
              <w:rPr>
                <w:sz w:val="20"/>
                <w:szCs w:val="20"/>
              </w:rPr>
              <w:tab/>
            </w:r>
            <w:r>
              <w:rPr>
                <w:sz w:val="20"/>
                <w:szCs w:val="20"/>
              </w:rPr>
              <w:t>Watson Goepel Maledy</w:t>
            </w:r>
          </w:p>
          <w:p w:rsidR="009A5FDE" w:rsidRPr="00A935AA" w:rsidRDefault="009A5FDE" w:rsidP="009A5FDE">
            <w:pPr>
              <w:tabs>
                <w:tab w:val="left" w:pos="-1440"/>
                <w:tab w:val="left" w:pos="-720"/>
              </w:tabs>
              <w:rPr>
                <w:sz w:val="20"/>
                <w:szCs w:val="20"/>
              </w:rPr>
            </w:pPr>
          </w:p>
          <w:p w:rsidR="009A5FDE" w:rsidRPr="00A935AA" w:rsidRDefault="009A5FDE" w:rsidP="009A5FDE">
            <w:pPr>
              <w:rPr>
                <w:sz w:val="20"/>
                <w:szCs w:val="20"/>
              </w:rPr>
            </w:pPr>
            <w:r w:rsidRPr="00A935AA">
              <w:rPr>
                <w:sz w:val="20"/>
                <w:szCs w:val="20"/>
              </w:rPr>
              <w:t xml:space="preserve">FILING DATE: </w:t>
            </w:r>
            <w:r>
              <w:rPr>
                <w:sz w:val="20"/>
                <w:szCs w:val="20"/>
              </w:rPr>
              <w:t>09.11.2010</w:t>
            </w:r>
          </w:p>
          <w:p w:rsidR="009A5FDE" w:rsidRPr="00A935AA" w:rsidRDefault="00D56013" w:rsidP="009A5FDE">
            <w:pPr>
              <w:rPr>
                <w:sz w:val="20"/>
                <w:szCs w:val="20"/>
              </w:rPr>
            </w:pPr>
            <w:r w:rsidRPr="00D56013">
              <w:rPr>
                <w:sz w:val="20"/>
                <w:szCs w:val="20"/>
                <w:lang w:val="fr-CA"/>
              </w:rPr>
              <w:pict>
                <v:rect id="_x0000_i1026" style="width:108pt;height:1pt" o:hrpct="0" o:hralign="center" o:hrstd="t" o:hrnoshade="t" o:hr="t" fillcolor="black [3213]" stroked="f"/>
              </w:pict>
            </w:r>
          </w:p>
        </w:tc>
      </w:tr>
      <w:tr w:rsidR="003F1419" w:rsidRPr="00A935AA" w:rsidTr="003F1419">
        <w:trPr>
          <w:cantSplit/>
        </w:trPr>
        <w:tc>
          <w:tcPr>
            <w:tcW w:w="4320" w:type="dxa"/>
            <w:shd w:val="clear" w:color="auto" w:fill="auto"/>
          </w:tcPr>
          <w:p w:rsidR="003F1419" w:rsidRPr="00BF54EE" w:rsidRDefault="003F1419" w:rsidP="003F1419">
            <w:pPr>
              <w:rPr>
                <w:b/>
                <w:sz w:val="20"/>
                <w:szCs w:val="20"/>
                <w:lang w:val="fr-CA"/>
              </w:rPr>
            </w:pPr>
            <w:r>
              <w:rPr>
                <w:b/>
                <w:sz w:val="20"/>
                <w:szCs w:val="20"/>
                <w:lang w:val="fr-CA"/>
              </w:rPr>
              <w:t>Sa Majesté la Reine et autre</w:t>
            </w:r>
          </w:p>
          <w:p w:rsidR="003F1419" w:rsidRDefault="003F1419" w:rsidP="00A63AFA">
            <w:pPr>
              <w:rPr>
                <w:sz w:val="20"/>
                <w:szCs w:val="20"/>
                <w:lang w:val="fr-CA"/>
              </w:rPr>
            </w:pPr>
            <w:r w:rsidRPr="00BF54EE">
              <w:rPr>
                <w:sz w:val="20"/>
                <w:szCs w:val="20"/>
                <w:lang w:val="fr-CA"/>
              </w:rPr>
              <w:tab/>
            </w:r>
            <w:r>
              <w:rPr>
                <w:sz w:val="20"/>
                <w:szCs w:val="20"/>
                <w:lang w:val="fr-CA"/>
              </w:rPr>
              <w:t>Michel Déom</w:t>
            </w:r>
          </w:p>
          <w:p w:rsidR="003F1419" w:rsidRPr="00BF54EE" w:rsidRDefault="003F1419" w:rsidP="00A63AFA">
            <w:pPr>
              <w:rPr>
                <w:sz w:val="20"/>
                <w:szCs w:val="20"/>
                <w:lang w:val="fr-CA"/>
              </w:rPr>
            </w:pPr>
            <w:r>
              <w:rPr>
                <w:sz w:val="20"/>
                <w:szCs w:val="20"/>
                <w:lang w:val="fr-CA"/>
              </w:rPr>
              <w:tab/>
              <w:t>P.G. du Québec</w:t>
            </w:r>
          </w:p>
          <w:p w:rsidR="003F1419" w:rsidRPr="00BF54EE" w:rsidRDefault="003F1419" w:rsidP="00A63AFA">
            <w:pPr>
              <w:rPr>
                <w:sz w:val="20"/>
                <w:szCs w:val="20"/>
                <w:lang w:val="fr-CA"/>
              </w:rPr>
            </w:pPr>
          </w:p>
          <w:p w:rsidR="003F1419" w:rsidRPr="00CD2DB0" w:rsidRDefault="003F1419" w:rsidP="00A63AFA">
            <w:pPr>
              <w:rPr>
                <w:sz w:val="20"/>
                <w:szCs w:val="20"/>
                <w:lang w:val="fr-CA"/>
              </w:rPr>
            </w:pPr>
            <w:r w:rsidRPr="00BF54EE">
              <w:rPr>
                <w:sz w:val="20"/>
                <w:szCs w:val="20"/>
                <w:lang w:val="fr-CA"/>
              </w:rPr>
              <w:tab/>
              <w:t>c.</w:t>
            </w:r>
            <w:r w:rsidRPr="00CD2DB0">
              <w:rPr>
                <w:sz w:val="20"/>
                <w:szCs w:val="20"/>
                <w:lang w:val="fr-CA"/>
              </w:rPr>
              <w:t xml:space="preserve"> (33</w:t>
            </w:r>
            <w:r>
              <w:rPr>
                <w:sz w:val="20"/>
                <w:szCs w:val="20"/>
                <w:lang w:val="fr-CA"/>
              </w:rPr>
              <w:t>970</w:t>
            </w:r>
            <w:r w:rsidRPr="00CD2DB0">
              <w:rPr>
                <w:sz w:val="20"/>
                <w:szCs w:val="20"/>
                <w:lang w:val="fr-CA"/>
              </w:rPr>
              <w:t>)</w:t>
            </w:r>
          </w:p>
          <w:p w:rsidR="003F1419" w:rsidRPr="00CD2DB0" w:rsidRDefault="003F1419" w:rsidP="00A63AFA">
            <w:pPr>
              <w:rPr>
                <w:sz w:val="20"/>
                <w:szCs w:val="20"/>
                <w:lang w:val="fr-CA"/>
              </w:rPr>
            </w:pPr>
          </w:p>
          <w:p w:rsidR="003F1419" w:rsidRPr="00CD2DB0" w:rsidRDefault="003F1419" w:rsidP="00A63AFA">
            <w:pPr>
              <w:rPr>
                <w:b/>
                <w:sz w:val="20"/>
                <w:szCs w:val="20"/>
                <w:lang w:val="fr-CA"/>
              </w:rPr>
            </w:pPr>
            <w:r>
              <w:rPr>
                <w:b/>
                <w:sz w:val="20"/>
                <w:szCs w:val="20"/>
                <w:lang w:val="fr-CA"/>
              </w:rPr>
              <w:t>Anic St-Onge Lamoureux (Qc)</w:t>
            </w:r>
          </w:p>
          <w:p w:rsidR="003F1419" w:rsidRPr="00CD2DB0" w:rsidRDefault="003F1419" w:rsidP="00A63AFA">
            <w:pPr>
              <w:rPr>
                <w:sz w:val="20"/>
                <w:szCs w:val="20"/>
                <w:lang w:val="fr-CA"/>
              </w:rPr>
            </w:pPr>
            <w:r w:rsidRPr="00CD2DB0">
              <w:rPr>
                <w:sz w:val="20"/>
                <w:szCs w:val="20"/>
                <w:lang w:val="fr-CA"/>
              </w:rPr>
              <w:tab/>
            </w:r>
            <w:r>
              <w:rPr>
                <w:sz w:val="20"/>
                <w:szCs w:val="20"/>
                <w:lang w:val="fr-CA"/>
              </w:rPr>
              <w:t>Patrick Fréchette</w:t>
            </w:r>
          </w:p>
          <w:p w:rsidR="003F1419" w:rsidRPr="00CD2DB0" w:rsidRDefault="003F1419" w:rsidP="00A63AFA">
            <w:pPr>
              <w:rPr>
                <w:sz w:val="20"/>
                <w:szCs w:val="20"/>
                <w:lang w:val="fr-CA"/>
              </w:rPr>
            </w:pPr>
            <w:r w:rsidRPr="00CD2DB0">
              <w:rPr>
                <w:sz w:val="20"/>
                <w:szCs w:val="20"/>
                <w:lang w:val="fr-CA"/>
              </w:rPr>
              <w:tab/>
            </w:r>
            <w:r>
              <w:rPr>
                <w:sz w:val="20"/>
                <w:szCs w:val="20"/>
                <w:lang w:val="fr-CA"/>
              </w:rPr>
              <w:t>Fréchette, Blanchette</w:t>
            </w:r>
          </w:p>
          <w:p w:rsidR="003F1419" w:rsidRPr="00CD2DB0" w:rsidRDefault="003F1419" w:rsidP="00A63AFA">
            <w:pPr>
              <w:rPr>
                <w:sz w:val="20"/>
                <w:szCs w:val="20"/>
                <w:lang w:val="fr-CA"/>
              </w:rPr>
            </w:pPr>
          </w:p>
          <w:p w:rsidR="003F1419" w:rsidRPr="00BF54EE" w:rsidRDefault="003F1419" w:rsidP="003F1419">
            <w:pPr>
              <w:rPr>
                <w:sz w:val="20"/>
                <w:szCs w:val="20"/>
                <w:lang w:val="fr-CA"/>
              </w:rPr>
            </w:pPr>
            <w:r w:rsidRPr="00BF54EE">
              <w:rPr>
                <w:sz w:val="20"/>
                <w:szCs w:val="20"/>
                <w:lang w:val="fr-CA"/>
              </w:rPr>
              <w:t xml:space="preserve">DATE DE PRODUCTION : </w:t>
            </w:r>
            <w:r>
              <w:rPr>
                <w:sz w:val="20"/>
                <w:szCs w:val="20"/>
                <w:lang w:val="fr-CA"/>
              </w:rPr>
              <w:t>15.11.2010</w:t>
            </w:r>
          </w:p>
          <w:p w:rsidR="003F1419" w:rsidRPr="00BF54EE" w:rsidRDefault="00D56013" w:rsidP="003F1419">
            <w:pPr>
              <w:rPr>
                <w:sz w:val="20"/>
                <w:szCs w:val="20"/>
                <w:lang w:val="fr-CA"/>
              </w:rPr>
            </w:pPr>
            <w:r w:rsidRPr="00D56013">
              <w:rPr>
                <w:sz w:val="20"/>
                <w:szCs w:val="20"/>
                <w:lang w:val="fr-CA"/>
              </w:rPr>
              <w:pict>
                <v:rect id="_x0000_i1027" style="width:108pt;height:1pt" o:hrpct="0" o:hralign="center" o:hrstd="t" o:hrnoshade="t" o:hr="t" fillcolor="black [3213]" stroked="f"/>
              </w:pict>
            </w:r>
          </w:p>
        </w:tc>
        <w:tc>
          <w:tcPr>
            <w:tcW w:w="1181" w:type="dxa"/>
            <w:shd w:val="clear" w:color="auto" w:fill="auto"/>
          </w:tcPr>
          <w:p w:rsidR="003F1419" w:rsidRDefault="003F1419" w:rsidP="00242AEE">
            <w:pPr>
              <w:jc w:val="center"/>
              <w:rPr>
                <w:sz w:val="20"/>
                <w:szCs w:val="20"/>
              </w:rPr>
            </w:pPr>
          </w:p>
          <w:p w:rsidR="003F1419" w:rsidRDefault="003F1419" w:rsidP="00242AEE">
            <w:pPr>
              <w:jc w:val="center"/>
              <w:rPr>
                <w:sz w:val="20"/>
                <w:szCs w:val="20"/>
              </w:rPr>
            </w:pPr>
          </w:p>
          <w:p w:rsidR="003F1419" w:rsidRDefault="003F1419" w:rsidP="00242AEE">
            <w:pPr>
              <w:jc w:val="center"/>
              <w:rPr>
                <w:sz w:val="20"/>
                <w:szCs w:val="20"/>
              </w:rPr>
            </w:pPr>
          </w:p>
          <w:p w:rsidR="003F1419" w:rsidRDefault="003F1419" w:rsidP="00242AEE">
            <w:pPr>
              <w:jc w:val="center"/>
              <w:rPr>
                <w:sz w:val="20"/>
                <w:szCs w:val="20"/>
              </w:rPr>
            </w:pPr>
          </w:p>
          <w:p w:rsidR="003F1419" w:rsidRDefault="003F1419" w:rsidP="00242AEE">
            <w:pPr>
              <w:jc w:val="center"/>
              <w:rPr>
                <w:sz w:val="20"/>
                <w:szCs w:val="20"/>
              </w:rPr>
            </w:pPr>
          </w:p>
          <w:p w:rsidR="003F1419" w:rsidRDefault="003F1419" w:rsidP="00242AEE">
            <w:pPr>
              <w:jc w:val="center"/>
              <w:rPr>
                <w:sz w:val="20"/>
                <w:szCs w:val="20"/>
              </w:rPr>
            </w:pPr>
          </w:p>
          <w:p w:rsidR="003F1419" w:rsidRDefault="003F1419" w:rsidP="00242AEE">
            <w:pPr>
              <w:jc w:val="center"/>
              <w:rPr>
                <w:sz w:val="20"/>
                <w:szCs w:val="20"/>
              </w:rPr>
            </w:pPr>
          </w:p>
          <w:p w:rsidR="003F1419" w:rsidRDefault="003F1419" w:rsidP="00242AEE">
            <w:pPr>
              <w:jc w:val="center"/>
              <w:rPr>
                <w:sz w:val="20"/>
                <w:szCs w:val="20"/>
              </w:rPr>
            </w:pPr>
          </w:p>
          <w:p w:rsidR="003F1419" w:rsidRDefault="003F1419" w:rsidP="00242AEE">
            <w:pPr>
              <w:jc w:val="center"/>
              <w:rPr>
                <w:sz w:val="20"/>
                <w:szCs w:val="20"/>
              </w:rPr>
            </w:pPr>
          </w:p>
          <w:p w:rsidR="003F1419" w:rsidRDefault="003F1419" w:rsidP="00242AEE">
            <w:pPr>
              <w:jc w:val="center"/>
              <w:rPr>
                <w:sz w:val="20"/>
                <w:szCs w:val="20"/>
              </w:rPr>
            </w:pPr>
          </w:p>
          <w:p w:rsidR="003F1419" w:rsidRDefault="003F1419" w:rsidP="00242AEE">
            <w:pPr>
              <w:jc w:val="center"/>
              <w:rPr>
                <w:sz w:val="20"/>
                <w:szCs w:val="20"/>
              </w:rPr>
            </w:pPr>
          </w:p>
          <w:p w:rsidR="003F1419" w:rsidRDefault="003F1419" w:rsidP="00242AEE">
            <w:pPr>
              <w:jc w:val="center"/>
              <w:rPr>
                <w:sz w:val="20"/>
                <w:szCs w:val="20"/>
              </w:rPr>
            </w:pPr>
          </w:p>
          <w:p w:rsidR="003F1419" w:rsidRPr="00A935AA" w:rsidRDefault="003F1419" w:rsidP="00242AEE">
            <w:pPr>
              <w:jc w:val="center"/>
              <w:rPr>
                <w:sz w:val="20"/>
                <w:szCs w:val="20"/>
              </w:rPr>
            </w:pPr>
          </w:p>
        </w:tc>
        <w:tc>
          <w:tcPr>
            <w:tcW w:w="4320" w:type="dxa"/>
            <w:shd w:val="clear" w:color="auto" w:fill="auto"/>
          </w:tcPr>
          <w:p w:rsidR="003F1419" w:rsidRPr="003F1419" w:rsidRDefault="003F1419" w:rsidP="003F1419">
            <w:pPr>
              <w:rPr>
                <w:b/>
                <w:sz w:val="20"/>
                <w:szCs w:val="20"/>
              </w:rPr>
            </w:pPr>
            <w:r w:rsidRPr="003F1419">
              <w:rPr>
                <w:b/>
                <w:sz w:val="20"/>
                <w:szCs w:val="20"/>
              </w:rPr>
              <w:t>j2 Global Communications, Inc.</w:t>
            </w:r>
          </w:p>
          <w:p w:rsidR="003F1419" w:rsidRPr="003F1419" w:rsidRDefault="003F1419" w:rsidP="003F1419">
            <w:pPr>
              <w:rPr>
                <w:sz w:val="20"/>
                <w:szCs w:val="20"/>
              </w:rPr>
            </w:pPr>
            <w:r w:rsidRPr="003F1419">
              <w:rPr>
                <w:sz w:val="20"/>
                <w:szCs w:val="20"/>
              </w:rPr>
              <w:tab/>
              <w:t>Colin K. Irving</w:t>
            </w:r>
          </w:p>
          <w:p w:rsidR="003F1419" w:rsidRPr="003F1419" w:rsidRDefault="003F1419" w:rsidP="003F1419">
            <w:pPr>
              <w:rPr>
                <w:sz w:val="20"/>
                <w:szCs w:val="20"/>
              </w:rPr>
            </w:pPr>
            <w:r w:rsidRPr="003F1419">
              <w:rPr>
                <w:sz w:val="20"/>
                <w:szCs w:val="20"/>
              </w:rPr>
              <w:tab/>
              <w:t>Irving Mitchell Kalichman LLP</w:t>
            </w:r>
          </w:p>
          <w:p w:rsidR="003F1419" w:rsidRPr="003F1419" w:rsidRDefault="003F1419" w:rsidP="003F1419">
            <w:pPr>
              <w:rPr>
                <w:sz w:val="20"/>
                <w:szCs w:val="20"/>
              </w:rPr>
            </w:pPr>
          </w:p>
          <w:p w:rsidR="003F1419" w:rsidRPr="00250BAC" w:rsidRDefault="003F1419" w:rsidP="003F1419">
            <w:pPr>
              <w:rPr>
                <w:sz w:val="20"/>
                <w:szCs w:val="20"/>
                <w:lang w:val="fr-CA"/>
              </w:rPr>
            </w:pPr>
            <w:r w:rsidRPr="003F1419">
              <w:rPr>
                <w:sz w:val="20"/>
                <w:szCs w:val="20"/>
              </w:rPr>
              <w:tab/>
            </w:r>
            <w:r w:rsidRPr="00250BAC">
              <w:rPr>
                <w:sz w:val="20"/>
                <w:szCs w:val="20"/>
                <w:lang w:val="fr-CA"/>
              </w:rPr>
              <w:t>v. (33</w:t>
            </w:r>
            <w:r>
              <w:rPr>
                <w:sz w:val="20"/>
                <w:szCs w:val="20"/>
                <w:lang w:val="fr-CA"/>
              </w:rPr>
              <w:t>941</w:t>
            </w:r>
            <w:r w:rsidRPr="00250BAC">
              <w:rPr>
                <w:sz w:val="20"/>
                <w:szCs w:val="20"/>
                <w:lang w:val="fr-CA"/>
              </w:rPr>
              <w:t>)</w:t>
            </w:r>
          </w:p>
          <w:p w:rsidR="003F1419" w:rsidRPr="00250BAC" w:rsidRDefault="003F1419" w:rsidP="003F1419">
            <w:pPr>
              <w:rPr>
                <w:sz w:val="20"/>
                <w:szCs w:val="20"/>
                <w:lang w:val="fr-CA"/>
              </w:rPr>
            </w:pPr>
          </w:p>
          <w:p w:rsidR="003F1419" w:rsidRPr="00250BAC" w:rsidRDefault="003F1419" w:rsidP="003F1419">
            <w:pPr>
              <w:rPr>
                <w:b/>
                <w:sz w:val="20"/>
                <w:szCs w:val="20"/>
                <w:lang w:val="fr-CA"/>
              </w:rPr>
            </w:pPr>
            <w:r w:rsidRPr="00250BAC">
              <w:rPr>
                <w:b/>
                <w:sz w:val="20"/>
                <w:szCs w:val="20"/>
                <w:lang w:val="fr-CA"/>
              </w:rPr>
              <w:t>M.A. et al. (Ont.)</w:t>
            </w:r>
          </w:p>
          <w:p w:rsidR="003F1419" w:rsidRPr="00250BAC" w:rsidRDefault="003F1419" w:rsidP="003F1419">
            <w:pPr>
              <w:rPr>
                <w:sz w:val="20"/>
                <w:szCs w:val="20"/>
              </w:rPr>
            </w:pPr>
            <w:r w:rsidRPr="00250BAC">
              <w:rPr>
                <w:sz w:val="20"/>
                <w:szCs w:val="20"/>
                <w:lang w:val="fr-CA"/>
              </w:rPr>
              <w:tab/>
            </w:r>
            <w:r w:rsidRPr="003F1419">
              <w:rPr>
                <w:sz w:val="20"/>
                <w:szCs w:val="20"/>
              </w:rPr>
              <w:t>Peter N. Mant</w:t>
            </w:r>
            <w:r w:rsidRPr="00250BAC">
              <w:rPr>
                <w:sz w:val="20"/>
                <w:szCs w:val="20"/>
              </w:rPr>
              <w:t>as</w:t>
            </w:r>
          </w:p>
          <w:p w:rsidR="003F1419" w:rsidRPr="00250BAC" w:rsidRDefault="003F1419" w:rsidP="003F1419">
            <w:pPr>
              <w:rPr>
                <w:sz w:val="20"/>
                <w:szCs w:val="20"/>
              </w:rPr>
            </w:pPr>
            <w:r w:rsidRPr="00250BAC">
              <w:rPr>
                <w:sz w:val="20"/>
                <w:szCs w:val="20"/>
              </w:rPr>
              <w:tab/>
              <w:t>He</w:t>
            </w:r>
            <w:r w:rsidR="00C52311">
              <w:rPr>
                <w:sz w:val="20"/>
                <w:szCs w:val="20"/>
              </w:rPr>
              <w:t>e</w:t>
            </w:r>
            <w:r w:rsidRPr="00250BAC">
              <w:rPr>
                <w:sz w:val="20"/>
                <w:szCs w:val="20"/>
              </w:rPr>
              <w:t>nan Blaikie LLP</w:t>
            </w:r>
          </w:p>
          <w:p w:rsidR="003F1419" w:rsidRPr="00250BAC" w:rsidRDefault="003F1419" w:rsidP="003F1419">
            <w:pPr>
              <w:rPr>
                <w:b/>
                <w:sz w:val="20"/>
                <w:szCs w:val="20"/>
              </w:rPr>
            </w:pPr>
          </w:p>
          <w:p w:rsidR="003F1419" w:rsidRPr="00250BAC" w:rsidRDefault="003F1419" w:rsidP="003F1419">
            <w:pPr>
              <w:rPr>
                <w:sz w:val="20"/>
                <w:szCs w:val="20"/>
              </w:rPr>
            </w:pPr>
            <w:r w:rsidRPr="00250BAC">
              <w:rPr>
                <w:sz w:val="20"/>
                <w:szCs w:val="20"/>
              </w:rPr>
              <w:t>FILING DATE: 12.11.2010</w:t>
            </w:r>
          </w:p>
          <w:p w:rsidR="003F1419" w:rsidRPr="00250BAC" w:rsidRDefault="00D56013" w:rsidP="003F1419">
            <w:pPr>
              <w:rPr>
                <w:b/>
                <w:sz w:val="20"/>
                <w:szCs w:val="20"/>
                <w:lang w:val="fr-CA"/>
              </w:rPr>
            </w:pPr>
            <w:r w:rsidRPr="00D56013">
              <w:rPr>
                <w:sz w:val="20"/>
                <w:szCs w:val="20"/>
                <w:lang w:val="fr-CA"/>
              </w:rPr>
              <w:pict>
                <v:rect id="_x0000_i1028" style="width:108pt;height:1pt" o:hrpct="0" o:hralign="center" o:hrstd="t" o:hrnoshade="t" o:hr="t" fillcolor="black [3213]" stroked="f"/>
              </w:pict>
            </w:r>
          </w:p>
        </w:tc>
      </w:tr>
      <w:tr w:rsidR="003F1419" w:rsidRPr="00A935AA" w:rsidTr="003F1419">
        <w:trPr>
          <w:cantSplit/>
        </w:trPr>
        <w:tc>
          <w:tcPr>
            <w:tcW w:w="4320" w:type="dxa"/>
            <w:shd w:val="clear" w:color="auto" w:fill="auto"/>
          </w:tcPr>
          <w:p w:rsidR="003F1419" w:rsidRPr="00A935AA" w:rsidRDefault="003F1419" w:rsidP="00485AE1">
            <w:pPr>
              <w:rPr>
                <w:b/>
                <w:sz w:val="20"/>
                <w:szCs w:val="20"/>
              </w:rPr>
            </w:pPr>
            <w:r>
              <w:rPr>
                <w:b/>
                <w:sz w:val="20"/>
                <w:szCs w:val="20"/>
              </w:rPr>
              <w:t>Apotex Inc.</w:t>
            </w:r>
          </w:p>
          <w:p w:rsidR="003F1419" w:rsidRPr="00A935AA" w:rsidRDefault="003F1419" w:rsidP="00A63AFA">
            <w:pPr>
              <w:rPr>
                <w:sz w:val="20"/>
                <w:szCs w:val="20"/>
              </w:rPr>
            </w:pPr>
            <w:r w:rsidRPr="00A935AA">
              <w:rPr>
                <w:sz w:val="20"/>
                <w:szCs w:val="20"/>
              </w:rPr>
              <w:tab/>
            </w:r>
            <w:r>
              <w:rPr>
                <w:sz w:val="20"/>
                <w:szCs w:val="20"/>
              </w:rPr>
              <w:t>Harry B. Radomski</w:t>
            </w:r>
          </w:p>
          <w:p w:rsidR="003F1419" w:rsidRPr="00A935AA" w:rsidRDefault="003F1419" w:rsidP="00A63AFA">
            <w:pPr>
              <w:rPr>
                <w:sz w:val="20"/>
                <w:szCs w:val="20"/>
              </w:rPr>
            </w:pPr>
            <w:r w:rsidRPr="00A935AA">
              <w:rPr>
                <w:sz w:val="20"/>
                <w:szCs w:val="20"/>
              </w:rPr>
              <w:tab/>
            </w:r>
            <w:r>
              <w:rPr>
                <w:sz w:val="20"/>
                <w:szCs w:val="20"/>
              </w:rPr>
              <w:t>Goodmans LLP</w:t>
            </w:r>
          </w:p>
          <w:p w:rsidR="003F1419" w:rsidRPr="00A935AA" w:rsidRDefault="003F1419" w:rsidP="00A63AFA">
            <w:pPr>
              <w:rPr>
                <w:sz w:val="20"/>
                <w:szCs w:val="20"/>
              </w:rPr>
            </w:pPr>
          </w:p>
          <w:p w:rsidR="003F1419" w:rsidRPr="00A935AA" w:rsidRDefault="003F1419" w:rsidP="00FE1236">
            <w:pPr>
              <w:rPr>
                <w:sz w:val="20"/>
                <w:szCs w:val="20"/>
              </w:rPr>
            </w:pPr>
            <w:r w:rsidRPr="00A935AA">
              <w:rPr>
                <w:sz w:val="20"/>
                <w:szCs w:val="20"/>
              </w:rPr>
              <w:tab/>
              <w:t>v. (33</w:t>
            </w:r>
            <w:r>
              <w:rPr>
                <w:sz w:val="20"/>
                <w:szCs w:val="20"/>
              </w:rPr>
              <w:t>946</w:t>
            </w:r>
            <w:r w:rsidRPr="00A935AA">
              <w:rPr>
                <w:sz w:val="20"/>
                <w:szCs w:val="20"/>
              </w:rPr>
              <w:t>)</w:t>
            </w:r>
          </w:p>
          <w:p w:rsidR="003F1419" w:rsidRPr="00A935AA" w:rsidRDefault="003F1419" w:rsidP="00FE1236">
            <w:pPr>
              <w:rPr>
                <w:sz w:val="20"/>
                <w:szCs w:val="20"/>
              </w:rPr>
            </w:pPr>
          </w:p>
          <w:p w:rsidR="003F1419" w:rsidRPr="00A935AA" w:rsidRDefault="003F1419" w:rsidP="00FE1236">
            <w:pPr>
              <w:rPr>
                <w:b/>
                <w:sz w:val="20"/>
                <w:szCs w:val="20"/>
              </w:rPr>
            </w:pPr>
            <w:r>
              <w:rPr>
                <w:b/>
                <w:sz w:val="20"/>
                <w:szCs w:val="20"/>
              </w:rPr>
              <w:t>Eli Lilly and Company et al. (F.C.)</w:t>
            </w:r>
          </w:p>
          <w:p w:rsidR="003F1419" w:rsidRPr="00A935AA" w:rsidRDefault="003F1419" w:rsidP="00FE1236">
            <w:pPr>
              <w:rPr>
                <w:sz w:val="20"/>
                <w:szCs w:val="20"/>
              </w:rPr>
            </w:pPr>
            <w:r w:rsidRPr="00A935AA">
              <w:rPr>
                <w:sz w:val="20"/>
                <w:szCs w:val="20"/>
              </w:rPr>
              <w:tab/>
            </w:r>
            <w:r>
              <w:rPr>
                <w:sz w:val="20"/>
                <w:szCs w:val="20"/>
              </w:rPr>
              <w:t>John Norman</w:t>
            </w:r>
          </w:p>
          <w:p w:rsidR="003F1419" w:rsidRPr="00A935AA" w:rsidRDefault="003F1419" w:rsidP="00FE1236">
            <w:pPr>
              <w:rPr>
                <w:sz w:val="20"/>
                <w:szCs w:val="20"/>
              </w:rPr>
            </w:pPr>
            <w:r w:rsidRPr="00A935AA">
              <w:rPr>
                <w:sz w:val="20"/>
                <w:szCs w:val="20"/>
              </w:rPr>
              <w:tab/>
            </w:r>
            <w:r>
              <w:rPr>
                <w:sz w:val="20"/>
                <w:szCs w:val="20"/>
              </w:rPr>
              <w:t>Gowling Lafleur Henderson LLP</w:t>
            </w:r>
          </w:p>
          <w:p w:rsidR="003F1419" w:rsidRPr="00A935AA" w:rsidRDefault="003F1419" w:rsidP="00FE1236">
            <w:pPr>
              <w:rPr>
                <w:sz w:val="20"/>
                <w:szCs w:val="20"/>
              </w:rPr>
            </w:pPr>
          </w:p>
          <w:p w:rsidR="003F1419" w:rsidRPr="00A935AA" w:rsidRDefault="003F1419" w:rsidP="00485AE1">
            <w:pPr>
              <w:rPr>
                <w:sz w:val="20"/>
                <w:szCs w:val="20"/>
              </w:rPr>
            </w:pPr>
            <w:r w:rsidRPr="00A935AA">
              <w:rPr>
                <w:sz w:val="20"/>
                <w:szCs w:val="20"/>
              </w:rPr>
              <w:t xml:space="preserve">FILING DATE: </w:t>
            </w:r>
            <w:r>
              <w:rPr>
                <w:sz w:val="20"/>
                <w:szCs w:val="20"/>
              </w:rPr>
              <w:t>22.11.2010</w:t>
            </w:r>
          </w:p>
          <w:p w:rsidR="003F1419" w:rsidRPr="00A935AA" w:rsidRDefault="00D56013" w:rsidP="00485AE1">
            <w:pPr>
              <w:rPr>
                <w:sz w:val="20"/>
                <w:szCs w:val="20"/>
              </w:rPr>
            </w:pPr>
            <w:r w:rsidRPr="00D56013">
              <w:rPr>
                <w:sz w:val="20"/>
                <w:szCs w:val="20"/>
                <w:lang w:val="fr-CA"/>
              </w:rPr>
              <w:pict>
                <v:rect id="_x0000_i1029" style="width:108pt;height:1pt" o:hrpct="0" o:hralign="center" o:hrstd="t" o:hrnoshade="t" o:hr="t" fillcolor="black [3213]" stroked="f"/>
              </w:pict>
            </w:r>
          </w:p>
        </w:tc>
        <w:tc>
          <w:tcPr>
            <w:tcW w:w="1181" w:type="dxa"/>
            <w:shd w:val="clear" w:color="auto" w:fill="auto"/>
          </w:tcPr>
          <w:p w:rsidR="003F1419" w:rsidRDefault="003F1419" w:rsidP="00242AEE">
            <w:pPr>
              <w:jc w:val="center"/>
              <w:rPr>
                <w:sz w:val="20"/>
                <w:szCs w:val="20"/>
              </w:rPr>
            </w:pPr>
          </w:p>
          <w:p w:rsidR="003F1419" w:rsidRDefault="003F1419" w:rsidP="00242AEE">
            <w:pPr>
              <w:jc w:val="center"/>
              <w:rPr>
                <w:sz w:val="20"/>
                <w:szCs w:val="20"/>
              </w:rPr>
            </w:pPr>
          </w:p>
          <w:p w:rsidR="003F1419" w:rsidRDefault="003F1419" w:rsidP="00242AEE">
            <w:pPr>
              <w:jc w:val="center"/>
              <w:rPr>
                <w:sz w:val="20"/>
                <w:szCs w:val="20"/>
              </w:rPr>
            </w:pPr>
          </w:p>
          <w:p w:rsidR="003F1419" w:rsidRDefault="003F1419" w:rsidP="00242AEE">
            <w:pPr>
              <w:jc w:val="center"/>
              <w:rPr>
                <w:sz w:val="20"/>
                <w:szCs w:val="20"/>
              </w:rPr>
            </w:pPr>
          </w:p>
          <w:p w:rsidR="003F1419" w:rsidRDefault="003F1419" w:rsidP="00242AEE">
            <w:pPr>
              <w:jc w:val="center"/>
              <w:rPr>
                <w:sz w:val="20"/>
                <w:szCs w:val="20"/>
              </w:rPr>
            </w:pPr>
          </w:p>
          <w:p w:rsidR="003F1419" w:rsidRDefault="003F1419" w:rsidP="00242AEE">
            <w:pPr>
              <w:jc w:val="center"/>
              <w:rPr>
                <w:sz w:val="20"/>
                <w:szCs w:val="20"/>
              </w:rPr>
            </w:pPr>
          </w:p>
          <w:p w:rsidR="003F1419" w:rsidRDefault="003F1419" w:rsidP="00242AEE">
            <w:pPr>
              <w:jc w:val="center"/>
              <w:rPr>
                <w:sz w:val="20"/>
                <w:szCs w:val="20"/>
              </w:rPr>
            </w:pPr>
          </w:p>
          <w:p w:rsidR="003F1419" w:rsidRDefault="003F1419" w:rsidP="00242AEE">
            <w:pPr>
              <w:jc w:val="center"/>
              <w:rPr>
                <w:sz w:val="20"/>
                <w:szCs w:val="20"/>
              </w:rPr>
            </w:pPr>
          </w:p>
          <w:p w:rsidR="003F1419" w:rsidRDefault="003F1419" w:rsidP="00242AEE">
            <w:pPr>
              <w:jc w:val="center"/>
              <w:rPr>
                <w:sz w:val="20"/>
                <w:szCs w:val="20"/>
              </w:rPr>
            </w:pPr>
          </w:p>
          <w:p w:rsidR="003F1419" w:rsidRDefault="003F1419" w:rsidP="00242AEE">
            <w:pPr>
              <w:jc w:val="center"/>
              <w:rPr>
                <w:sz w:val="20"/>
                <w:szCs w:val="20"/>
              </w:rPr>
            </w:pPr>
          </w:p>
          <w:p w:rsidR="003F1419" w:rsidRDefault="003F1419" w:rsidP="00242AEE">
            <w:pPr>
              <w:jc w:val="center"/>
              <w:rPr>
                <w:sz w:val="20"/>
                <w:szCs w:val="20"/>
              </w:rPr>
            </w:pPr>
          </w:p>
          <w:p w:rsidR="003F1419" w:rsidRDefault="003F1419" w:rsidP="00242AEE">
            <w:pPr>
              <w:jc w:val="center"/>
              <w:rPr>
                <w:sz w:val="20"/>
                <w:szCs w:val="20"/>
              </w:rPr>
            </w:pPr>
          </w:p>
          <w:p w:rsidR="003F1419" w:rsidRPr="00A935AA" w:rsidRDefault="003F1419" w:rsidP="00242AEE">
            <w:pPr>
              <w:jc w:val="center"/>
              <w:rPr>
                <w:sz w:val="20"/>
                <w:szCs w:val="20"/>
              </w:rPr>
            </w:pPr>
          </w:p>
        </w:tc>
        <w:tc>
          <w:tcPr>
            <w:tcW w:w="4320" w:type="dxa"/>
            <w:shd w:val="clear" w:color="auto" w:fill="auto"/>
          </w:tcPr>
          <w:p w:rsidR="003F1419" w:rsidRPr="00A935AA" w:rsidRDefault="003F1419" w:rsidP="00096E90">
            <w:pPr>
              <w:rPr>
                <w:b/>
                <w:sz w:val="20"/>
                <w:szCs w:val="20"/>
              </w:rPr>
            </w:pPr>
            <w:r>
              <w:rPr>
                <w:b/>
                <w:sz w:val="20"/>
                <w:szCs w:val="20"/>
              </w:rPr>
              <w:t>Joseph John Pierre Briard</w:t>
            </w:r>
          </w:p>
          <w:p w:rsidR="003F1419" w:rsidRPr="00A935AA" w:rsidRDefault="003F1419" w:rsidP="00096E90">
            <w:pPr>
              <w:tabs>
                <w:tab w:val="left" w:pos="-1440"/>
                <w:tab w:val="left" w:pos="-720"/>
              </w:tabs>
              <w:rPr>
                <w:sz w:val="20"/>
                <w:szCs w:val="20"/>
              </w:rPr>
            </w:pPr>
            <w:r w:rsidRPr="00A935AA">
              <w:rPr>
                <w:sz w:val="20"/>
                <w:szCs w:val="20"/>
              </w:rPr>
              <w:tab/>
            </w:r>
            <w:r>
              <w:rPr>
                <w:sz w:val="20"/>
                <w:szCs w:val="20"/>
              </w:rPr>
              <w:t>Merle Campbell</w:t>
            </w:r>
          </w:p>
          <w:p w:rsidR="003F1419" w:rsidRPr="00A935AA" w:rsidRDefault="003F1419" w:rsidP="00096E90">
            <w:pPr>
              <w:tabs>
                <w:tab w:val="left" w:pos="-1440"/>
                <w:tab w:val="left" w:pos="-720"/>
              </w:tabs>
              <w:rPr>
                <w:sz w:val="20"/>
                <w:szCs w:val="20"/>
              </w:rPr>
            </w:pPr>
            <w:r w:rsidRPr="00A935AA">
              <w:rPr>
                <w:sz w:val="20"/>
                <w:szCs w:val="20"/>
              </w:rPr>
              <w:tab/>
            </w:r>
            <w:r>
              <w:rPr>
                <w:sz w:val="20"/>
                <w:szCs w:val="20"/>
              </w:rPr>
              <w:t>Merle Campbell Law Corporation</w:t>
            </w:r>
          </w:p>
          <w:p w:rsidR="003F1419" w:rsidRPr="00A935AA" w:rsidRDefault="003F1419" w:rsidP="00096E90">
            <w:pPr>
              <w:tabs>
                <w:tab w:val="left" w:pos="-1440"/>
                <w:tab w:val="left" w:pos="-720"/>
              </w:tabs>
              <w:rPr>
                <w:sz w:val="20"/>
                <w:szCs w:val="20"/>
              </w:rPr>
            </w:pPr>
          </w:p>
          <w:p w:rsidR="003F1419" w:rsidRPr="00A935AA" w:rsidRDefault="003F1419" w:rsidP="00096E90">
            <w:pPr>
              <w:tabs>
                <w:tab w:val="left" w:pos="-1440"/>
                <w:tab w:val="left" w:pos="-720"/>
              </w:tabs>
              <w:rPr>
                <w:sz w:val="20"/>
                <w:szCs w:val="20"/>
              </w:rPr>
            </w:pPr>
            <w:r w:rsidRPr="00A935AA">
              <w:rPr>
                <w:sz w:val="20"/>
                <w:szCs w:val="20"/>
              </w:rPr>
              <w:tab/>
              <w:t>v. (33</w:t>
            </w:r>
            <w:r>
              <w:rPr>
                <w:sz w:val="20"/>
                <w:szCs w:val="20"/>
              </w:rPr>
              <w:t>949</w:t>
            </w:r>
            <w:r w:rsidRPr="00A935AA">
              <w:rPr>
                <w:sz w:val="20"/>
                <w:szCs w:val="20"/>
              </w:rPr>
              <w:t>)</w:t>
            </w:r>
          </w:p>
          <w:p w:rsidR="003F1419" w:rsidRPr="00A935AA" w:rsidRDefault="003F1419" w:rsidP="00096E90">
            <w:pPr>
              <w:tabs>
                <w:tab w:val="left" w:pos="-1440"/>
                <w:tab w:val="left" w:pos="-720"/>
              </w:tabs>
              <w:rPr>
                <w:sz w:val="20"/>
                <w:szCs w:val="20"/>
              </w:rPr>
            </w:pPr>
          </w:p>
          <w:p w:rsidR="003F1419" w:rsidRPr="009939FD" w:rsidRDefault="003F1419" w:rsidP="00096E90">
            <w:pPr>
              <w:tabs>
                <w:tab w:val="left" w:pos="-1440"/>
                <w:tab w:val="left" w:pos="-720"/>
              </w:tabs>
              <w:rPr>
                <w:b/>
                <w:sz w:val="20"/>
                <w:szCs w:val="20"/>
                <w:lang w:val="fr-CA"/>
              </w:rPr>
            </w:pPr>
            <w:r w:rsidRPr="009939FD">
              <w:rPr>
                <w:b/>
                <w:sz w:val="20"/>
                <w:szCs w:val="20"/>
                <w:lang w:val="fr-CA"/>
              </w:rPr>
              <w:t>Leeann Marie Briard</w:t>
            </w:r>
            <w:r w:rsidR="009939FD" w:rsidRPr="009939FD">
              <w:rPr>
                <w:b/>
                <w:sz w:val="20"/>
                <w:szCs w:val="20"/>
                <w:lang w:val="fr-CA"/>
              </w:rPr>
              <w:t xml:space="preserve"> (B.C.)</w:t>
            </w:r>
          </w:p>
          <w:p w:rsidR="003F1419" w:rsidRPr="00A935AA" w:rsidRDefault="003F1419" w:rsidP="00096E90">
            <w:pPr>
              <w:tabs>
                <w:tab w:val="left" w:pos="-1440"/>
                <w:tab w:val="left" w:pos="-720"/>
              </w:tabs>
              <w:rPr>
                <w:sz w:val="20"/>
                <w:szCs w:val="20"/>
              </w:rPr>
            </w:pPr>
            <w:r w:rsidRPr="009939FD">
              <w:rPr>
                <w:sz w:val="20"/>
                <w:szCs w:val="20"/>
                <w:lang w:val="fr-CA"/>
              </w:rPr>
              <w:tab/>
            </w:r>
            <w:r>
              <w:rPr>
                <w:sz w:val="20"/>
                <w:szCs w:val="20"/>
              </w:rPr>
              <w:t>David R. Greig</w:t>
            </w:r>
          </w:p>
          <w:p w:rsidR="003F1419" w:rsidRPr="00A935AA" w:rsidRDefault="003F1419" w:rsidP="00096E90">
            <w:pPr>
              <w:tabs>
                <w:tab w:val="left" w:pos="-1440"/>
                <w:tab w:val="left" w:pos="-720"/>
              </w:tabs>
              <w:rPr>
                <w:sz w:val="20"/>
                <w:szCs w:val="20"/>
              </w:rPr>
            </w:pPr>
            <w:r w:rsidRPr="00A935AA">
              <w:rPr>
                <w:sz w:val="20"/>
                <w:szCs w:val="20"/>
              </w:rPr>
              <w:tab/>
            </w:r>
            <w:r>
              <w:rPr>
                <w:sz w:val="20"/>
                <w:szCs w:val="20"/>
              </w:rPr>
              <w:t>Greig, Wilson &amp; Rasmussen LLP</w:t>
            </w:r>
          </w:p>
          <w:p w:rsidR="003F1419" w:rsidRPr="00A935AA" w:rsidRDefault="003F1419" w:rsidP="00096E90">
            <w:pPr>
              <w:tabs>
                <w:tab w:val="left" w:pos="-1440"/>
                <w:tab w:val="left" w:pos="-720"/>
              </w:tabs>
              <w:rPr>
                <w:sz w:val="20"/>
                <w:szCs w:val="20"/>
              </w:rPr>
            </w:pPr>
          </w:p>
          <w:p w:rsidR="003F1419" w:rsidRPr="00A935AA" w:rsidRDefault="003F1419" w:rsidP="00096E90">
            <w:pPr>
              <w:rPr>
                <w:sz w:val="20"/>
                <w:szCs w:val="20"/>
              </w:rPr>
            </w:pPr>
            <w:r w:rsidRPr="00A935AA">
              <w:rPr>
                <w:sz w:val="20"/>
                <w:szCs w:val="20"/>
              </w:rPr>
              <w:t xml:space="preserve">FILING DATE: </w:t>
            </w:r>
            <w:r>
              <w:rPr>
                <w:sz w:val="20"/>
                <w:szCs w:val="20"/>
              </w:rPr>
              <w:t>22.11.2010</w:t>
            </w:r>
          </w:p>
          <w:p w:rsidR="003F1419" w:rsidRPr="00A935AA" w:rsidRDefault="00D56013" w:rsidP="00096E90">
            <w:pPr>
              <w:rPr>
                <w:sz w:val="20"/>
                <w:szCs w:val="20"/>
              </w:rPr>
            </w:pPr>
            <w:r w:rsidRPr="00D56013">
              <w:rPr>
                <w:sz w:val="20"/>
                <w:szCs w:val="20"/>
                <w:lang w:val="fr-CA"/>
              </w:rPr>
              <w:pict>
                <v:rect id="_x0000_i1030" style="width:108pt;height:1pt" o:hrpct="0" o:hralign="center" o:hrstd="t" o:hrnoshade="t" o:hr="t" fillcolor="black [3213]" stroked="f"/>
              </w:pict>
            </w:r>
          </w:p>
        </w:tc>
      </w:tr>
      <w:tr w:rsidR="00E045F7" w:rsidRPr="00A935AA" w:rsidTr="003F1419">
        <w:trPr>
          <w:cantSplit/>
        </w:trPr>
        <w:tc>
          <w:tcPr>
            <w:tcW w:w="4320" w:type="dxa"/>
            <w:shd w:val="clear" w:color="auto" w:fill="auto"/>
          </w:tcPr>
          <w:p w:rsidR="00E045F7" w:rsidRPr="00A935AA" w:rsidRDefault="00E045F7" w:rsidP="00E045F7">
            <w:pPr>
              <w:rPr>
                <w:b/>
                <w:sz w:val="20"/>
                <w:szCs w:val="20"/>
              </w:rPr>
            </w:pPr>
            <w:r>
              <w:rPr>
                <w:b/>
                <w:sz w:val="20"/>
                <w:szCs w:val="20"/>
              </w:rPr>
              <w:t>Margarita Stepanova</w:t>
            </w:r>
          </w:p>
          <w:p w:rsidR="00E045F7" w:rsidRPr="00A935AA" w:rsidRDefault="00E045F7" w:rsidP="00FE1236">
            <w:pPr>
              <w:rPr>
                <w:sz w:val="20"/>
                <w:szCs w:val="20"/>
              </w:rPr>
            </w:pPr>
            <w:r w:rsidRPr="00A935AA">
              <w:rPr>
                <w:sz w:val="20"/>
                <w:szCs w:val="20"/>
              </w:rPr>
              <w:tab/>
            </w:r>
            <w:r>
              <w:rPr>
                <w:sz w:val="20"/>
                <w:szCs w:val="20"/>
              </w:rPr>
              <w:t>Margarita Stepanova</w:t>
            </w:r>
          </w:p>
          <w:p w:rsidR="00E045F7" w:rsidRPr="00A935AA" w:rsidRDefault="00E045F7" w:rsidP="00FE1236">
            <w:pPr>
              <w:rPr>
                <w:sz w:val="20"/>
                <w:szCs w:val="20"/>
              </w:rPr>
            </w:pPr>
          </w:p>
          <w:p w:rsidR="00E045F7" w:rsidRPr="00485AE1" w:rsidRDefault="00E045F7" w:rsidP="00FE1236">
            <w:pPr>
              <w:rPr>
                <w:sz w:val="20"/>
                <w:szCs w:val="20"/>
              </w:rPr>
            </w:pPr>
            <w:r w:rsidRPr="00A935AA">
              <w:rPr>
                <w:sz w:val="20"/>
                <w:szCs w:val="20"/>
              </w:rPr>
              <w:tab/>
            </w:r>
            <w:r w:rsidRPr="00485AE1">
              <w:rPr>
                <w:sz w:val="20"/>
                <w:szCs w:val="20"/>
              </w:rPr>
              <w:t>v. (33948)</w:t>
            </w:r>
          </w:p>
          <w:p w:rsidR="00E045F7" w:rsidRPr="00485AE1" w:rsidRDefault="00E045F7" w:rsidP="00FE1236">
            <w:pPr>
              <w:rPr>
                <w:sz w:val="20"/>
                <w:szCs w:val="20"/>
              </w:rPr>
            </w:pPr>
          </w:p>
          <w:p w:rsidR="00E045F7" w:rsidRPr="009A5FDE" w:rsidRDefault="00E045F7" w:rsidP="00FE1236">
            <w:pPr>
              <w:rPr>
                <w:b/>
                <w:sz w:val="20"/>
                <w:szCs w:val="20"/>
                <w:lang w:val="fr-CA"/>
              </w:rPr>
            </w:pPr>
            <w:r w:rsidRPr="009A5FDE">
              <w:rPr>
                <w:b/>
                <w:sz w:val="20"/>
                <w:szCs w:val="20"/>
                <w:lang w:val="fr-CA"/>
              </w:rPr>
              <w:t>Andrei Selivanov (Ont.)</w:t>
            </w:r>
          </w:p>
          <w:p w:rsidR="00E045F7" w:rsidRPr="009A5FDE" w:rsidRDefault="00E045F7" w:rsidP="00FE1236">
            <w:pPr>
              <w:rPr>
                <w:sz w:val="20"/>
                <w:szCs w:val="20"/>
                <w:lang w:val="fr-CA"/>
              </w:rPr>
            </w:pPr>
            <w:r w:rsidRPr="009A5FDE">
              <w:rPr>
                <w:sz w:val="20"/>
                <w:szCs w:val="20"/>
                <w:lang w:val="fr-CA"/>
              </w:rPr>
              <w:tab/>
              <w:t>A</w:t>
            </w:r>
            <w:r>
              <w:rPr>
                <w:sz w:val="20"/>
                <w:szCs w:val="20"/>
                <w:lang w:val="fr-CA"/>
              </w:rPr>
              <w:t>lla Koren</w:t>
            </w:r>
          </w:p>
          <w:p w:rsidR="00E045F7" w:rsidRPr="009A5FDE" w:rsidRDefault="00E045F7" w:rsidP="00FE1236">
            <w:pPr>
              <w:rPr>
                <w:sz w:val="20"/>
                <w:szCs w:val="20"/>
                <w:lang w:val="fr-CA"/>
              </w:rPr>
            </w:pPr>
          </w:p>
          <w:p w:rsidR="00E045F7" w:rsidRPr="00A935AA" w:rsidRDefault="00E045F7" w:rsidP="00E045F7">
            <w:pPr>
              <w:rPr>
                <w:sz w:val="20"/>
                <w:szCs w:val="20"/>
              </w:rPr>
            </w:pPr>
            <w:r w:rsidRPr="00A935AA">
              <w:rPr>
                <w:sz w:val="20"/>
                <w:szCs w:val="20"/>
              </w:rPr>
              <w:t xml:space="preserve">FILING DATE: </w:t>
            </w:r>
            <w:r>
              <w:rPr>
                <w:sz w:val="20"/>
                <w:szCs w:val="20"/>
              </w:rPr>
              <w:t>10.11.2010</w:t>
            </w:r>
          </w:p>
          <w:p w:rsidR="00E045F7" w:rsidRPr="00A935AA" w:rsidRDefault="00D56013" w:rsidP="00E045F7">
            <w:pPr>
              <w:rPr>
                <w:sz w:val="20"/>
                <w:szCs w:val="20"/>
              </w:rPr>
            </w:pPr>
            <w:r w:rsidRPr="00D56013">
              <w:rPr>
                <w:sz w:val="20"/>
                <w:szCs w:val="20"/>
                <w:lang w:val="fr-CA"/>
              </w:rPr>
              <w:pict>
                <v:rect id="_x0000_i1031" style="width:108pt;height:1pt" o:hrpct="0" o:hralign="center" o:hrstd="t" o:hrnoshade="t" o:hr="t" fillcolor="black [3213]" stroked="f"/>
              </w:pict>
            </w:r>
          </w:p>
        </w:tc>
        <w:tc>
          <w:tcPr>
            <w:tcW w:w="1181" w:type="dxa"/>
            <w:shd w:val="clear" w:color="auto" w:fill="auto"/>
          </w:tcPr>
          <w:p w:rsidR="00E045F7" w:rsidRDefault="00E045F7" w:rsidP="00242AEE">
            <w:pPr>
              <w:jc w:val="center"/>
              <w:rPr>
                <w:sz w:val="20"/>
                <w:szCs w:val="20"/>
              </w:rPr>
            </w:pPr>
          </w:p>
        </w:tc>
        <w:tc>
          <w:tcPr>
            <w:tcW w:w="4320" w:type="dxa"/>
            <w:shd w:val="clear" w:color="auto" w:fill="auto"/>
          </w:tcPr>
          <w:p w:rsidR="00E045F7" w:rsidRDefault="00E045F7" w:rsidP="00E045F7">
            <w:pPr>
              <w:rPr>
                <w:b/>
                <w:sz w:val="20"/>
                <w:szCs w:val="20"/>
              </w:rPr>
            </w:pPr>
            <w:r>
              <w:rPr>
                <w:b/>
                <w:sz w:val="20"/>
                <w:szCs w:val="20"/>
              </w:rPr>
              <w:t>Andrew James Smith</w:t>
            </w:r>
          </w:p>
          <w:p w:rsidR="00E045F7" w:rsidRDefault="00E045F7" w:rsidP="00E045F7">
            <w:pPr>
              <w:rPr>
                <w:sz w:val="20"/>
                <w:szCs w:val="20"/>
              </w:rPr>
            </w:pPr>
            <w:r>
              <w:rPr>
                <w:b/>
                <w:sz w:val="20"/>
                <w:szCs w:val="20"/>
              </w:rPr>
              <w:tab/>
            </w:r>
            <w:r>
              <w:rPr>
                <w:sz w:val="20"/>
                <w:szCs w:val="20"/>
              </w:rPr>
              <w:t>Andrew James Smith</w:t>
            </w:r>
          </w:p>
          <w:p w:rsidR="00E045F7" w:rsidRDefault="00E045F7" w:rsidP="00E045F7">
            <w:pPr>
              <w:rPr>
                <w:sz w:val="20"/>
                <w:szCs w:val="20"/>
              </w:rPr>
            </w:pPr>
          </w:p>
          <w:p w:rsidR="00E045F7" w:rsidRPr="00796601" w:rsidRDefault="00E045F7" w:rsidP="00E045F7">
            <w:pPr>
              <w:rPr>
                <w:sz w:val="20"/>
                <w:szCs w:val="20"/>
                <w:lang w:val="fr-CA"/>
              </w:rPr>
            </w:pPr>
            <w:r>
              <w:rPr>
                <w:sz w:val="20"/>
                <w:szCs w:val="20"/>
              </w:rPr>
              <w:tab/>
            </w:r>
            <w:r w:rsidRPr="00796601">
              <w:rPr>
                <w:sz w:val="20"/>
                <w:szCs w:val="20"/>
                <w:lang w:val="fr-CA"/>
              </w:rPr>
              <w:t>v. (33950)</w:t>
            </w:r>
          </w:p>
          <w:p w:rsidR="00E045F7" w:rsidRPr="00796601" w:rsidRDefault="00E045F7" w:rsidP="00E045F7">
            <w:pPr>
              <w:rPr>
                <w:sz w:val="20"/>
                <w:szCs w:val="20"/>
                <w:lang w:val="fr-CA"/>
              </w:rPr>
            </w:pPr>
          </w:p>
          <w:p w:rsidR="00E045F7" w:rsidRPr="00796601" w:rsidRDefault="00E045F7" w:rsidP="00E045F7">
            <w:pPr>
              <w:rPr>
                <w:b/>
                <w:sz w:val="20"/>
                <w:szCs w:val="20"/>
                <w:lang w:val="fr-CA"/>
              </w:rPr>
            </w:pPr>
            <w:r w:rsidRPr="00796601">
              <w:rPr>
                <w:b/>
                <w:sz w:val="20"/>
                <w:szCs w:val="20"/>
                <w:lang w:val="fr-CA"/>
              </w:rPr>
              <w:t>Michael Hayden (Ont.)</w:t>
            </w:r>
          </w:p>
          <w:p w:rsidR="00E045F7" w:rsidRPr="00796601" w:rsidRDefault="00E045F7" w:rsidP="00E045F7">
            <w:pPr>
              <w:rPr>
                <w:sz w:val="20"/>
                <w:szCs w:val="20"/>
                <w:lang w:val="fr-CA"/>
              </w:rPr>
            </w:pPr>
            <w:r w:rsidRPr="00796601">
              <w:rPr>
                <w:sz w:val="20"/>
                <w:szCs w:val="20"/>
                <w:lang w:val="fr-CA"/>
              </w:rPr>
              <w:tab/>
              <w:t>Mark L. Robbins</w:t>
            </w:r>
          </w:p>
          <w:p w:rsidR="00E045F7" w:rsidRPr="00796601" w:rsidRDefault="00E045F7" w:rsidP="00E045F7">
            <w:pPr>
              <w:rPr>
                <w:sz w:val="20"/>
                <w:szCs w:val="20"/>
                <w:lang w:val="fr-CA"/>
              </w:rPr>
            </w:pPr>
            <w:r w:rsidRPr="00796601">
              <w:rPr>
                <w:sz w:val="20"/>
                <w:szCs w:val="20"/>
                <w:lang w:val="fr-CA"/>
              </w:rPr>
              <w:tab/>
              <w:t>Bereskin &amp; Parr</w:t>
            </w:r>
          </w:p>
          <w:p w:rsidR="00E045F7" w:rsidRPr="00796601" w:rsidRDefault="00E045F7" w:rsidP="00E045F7">
            <w:pPr>
              <w:rPr>
                <w:sz w:val="20"/>
                <w:szCs w:val="20"/>
                <w:lang w:val="fr-CA"/>
              </w:rPr>
            </w:pPr>
          </w:p>
          <w:p w:rsidR="00E045F7" w:rsidRPr="00A935AA" w:rsidRDefault="00E045F7" w:rsidP="00E045F7">
            <w:pPr>
              <w:rPr>
                <w:sz w:val="20"/>
                <w:szCs w:val="20"/>
              </w:rPr>
            </w:pPr>
            <w:r w:rsidRPr="00A935AA">
              <w:rPr>
                <w:sz w:val="20"/>
                <w:szCs w:val="20"/>
              </w:rPr>
              <w:t xml:space="preserve">FILING DATE: </w:t>
            </w:r>
            <w:r>
              <w:rPr>
                <w:sz w:val="20"/>
                <w:szCs w:val="20"/>
              </w:rPr>
              <w:t>10.11.2010</w:t>
            </w:r>
          </w:p>
          <w:p w:rsidR="00E045F7" w:rsidRPr="00CD2DB0" w:rsidRDefault="00D56013" w:rsidP="00E045F7">
            <w:pPr>
              <w:rPr>
                <w:sz w:val="20"/>
                <w:szCs w:val="20"/>
              </w:rPr>
            </w:pPr>
            <w:r w:rsidRPr="00D56013">
              <w:rPr>
                <w:sz w:val="20"/>
                <w:szCs w:val="20"/>
                <w:lang w:val="fr-CA"/>
              </w:rPr>
              <w:pict>
                <v:rect id="_x0000_i1032" style="width:108pt;height:1pt" o:hrpct="0" o:hralign="center" o:hrstd="t" o:hrnoshade="t" o:hr="t" fillcolor="black [3213]" stroked="f"/>
              </w:pict>
            </w:r>
          </w:p>
        </w:tc>
      </w:tr>
      <w:tr w:rsidR="00E045F7" w:rsidRPr="00A935AA" w:rsidTr="003F1419">
        <w:trPr>
          <w:cantSplit/>
        </w:trPr>
        <w:tc>
          <w:tcPr>
            <w:tcW w:w="4320" w:type="dxa"/>
            <w:shd w:val="clear" w:color="auto" w:fill="auto"/>
          </w:tcPr>
          <w:p w:rsidR="00E045F7" w:rsidRPr="00485AE1" w:rsidRDefault="00E045F7" w:rsidP="00E045F7">
            <w:pPr>
              <w:rPr>
                <w:b/>
                <w:sz w:val="20"/>
                <w:szCs w:val="20"/>
                <w:lang w:val="fr-CA"/>
              </w:rPr>
            </w:pPr>
            <w:r w:rsidRPr="00485AE1">
              <w:rPr>
                <w:b/>
                <w:sz w:val="20"/>
                <w:szCs w:val="20"/>
                <w:lang w:val="fr-CA"/>
              </w:rPr>
              <w:lastRenderedPageBreak/>
              <w:t>Claudette Losier</w:t>
            </w:r>
          </w:p>
          <w:p w:rsidR="00E045F7" w:rsidRPr="00485AE1" w:rsidRDefault="00E045F7" w:rsidP="00FE1236">
            <w:pPr>
              <w:rPr>
                <w:sz w:val="20"/>
                <w:szCs w:val="20"/>
                <w:lang w:val="fr-CA"/>
              </w:rPr>
            </w:pPr>
            <w:r w:rsidRPr="00485AE1">
              <w:rPr>
                <w:sz w:val="20"/>
                <w:szCs w:val="20"/>
                <w:lang w:val="fr-CA"/>
              </w:rPr>
              <w:tab/>
              <w:t>Claudette Losier</w:t>
            </w:r>
          </w:p>
          <w:p w:rsidR="00E045F7" w:rsidRPr="00485AE1" w:rsidRDefault="00E045F7" w:rsidP="00FE1236">
            <w:pPr>
              <w:rPr>
                <w:sz w:val="20"/>
                <w:szCs w:val="20"/>
                <w:lang w:val="fr-CA"/>
              </w:rPr>
            </w:pPr>
          </w:p>
          <w:p w:rsidR="00E045F7" w:rsidRPr="00485AE1" w:rsidRDefault="00E045F7" w:rsidP="00E045F7">
            <w:pPr>
              <w:tabs>
                <w:tab w:val="left" w:pos="-1440"/>
                <w:tab w:val="left" w:pos="-720"/>
              </w:tabs>
              <w:rPr>
                <w:sz w:val="20"/>
                <w:szCs w:val="20"/>
                <w:lang w:val="fr-CA"/>
              </w:rPr>
            </w:pPr>
            <w:r w:rsidRPr="00485AE1">
              <w:rPr>
                <w:sz w:val="20"/>
                <w:szCs w:val="20"/>
                <w:lang w:val="fr-CA"/>
              </w:rPr>
              <w:tab/>
              <w:t>v. (33962)</w:t>
            </w:r>
          </w:p>
          <w:p w:rsidR="00E045F7" w:rsidRPr="00485AE1" w:rsidRDefault="00E045F7" w:rsidP="00E045F7">
            <w:pPr>
              <w:tabs>
                <w:tab w:val="left" w:pos="-1440"/>
                <w:tab w:val="left" w:pos="-720"/>
              </w:tabs>
              <w:rPr>
                <w:sz w:val="20"/>
                <w:szCs w:val="20"/>
                <w:lang w:val="fr-CA"/>
              </w:rPr>
            </w:pPr>
          </w:p>
          <w:p w:rsidR="00E045F7" w:rsidRPr="00A935AA" w:rsidRDefault="00E045F7" w:rsidP="00E045F7">
            <w:pPr>
              <w:tabs>
                <w:tab w:val="left" w:pos="-1440"/>
                <w:tab w:val="left" w:pos="-720"/>
              </w:tabs>
              <w:rPr>
                <w:b/>
                <w:sz w:val="20"/>
                <w:szCs w:val="20"/>
              </w:rPr>
            </w:pPr>
            <w:r>
              <w:rPr>
                <w:b/>
                <w:sz w:val="20"/>
                <w:szCs w:val="20"/>
              </w:rPr>
              <w:t>Attorney General of Ontario et al. (Ont.)</w:t>
            </w:r>
          </w:p>
          <w:p w:rsidR="00E045F7" w:rsidRPr="00A935AA" w:rsidRDefault="00E045F7" w:rsidP="00E045F7">
            <w:pPr>
              <w:tabs>
                <w:tab w:val="left" w:pos="-1440"/>
                <w:tab w:val="left" w:pos="-720"/>
              </w:tabs>
              <w:rPr>
                <w:sz w:val="20"/>
                <w:szCs w:val="20"/>
              </w:rPr>
            </w:pPr>
            <w:r w:rsidRPr="00A935AA">
              <w:rPr>
                <w:sz w:val="20"/>
                <w:szCs w:val="20"/>
              </w:rPr>
              <w:tab/>
            </w:r>
            <w:r>
              <w:rPr>
                <w:sz w:val="20"/>
                <w:szCs w:val="20"/>
              </w:rPr>
              <w:t>Giovanna Asaro</w:t>
            </w:r>
          </w:p>
          <w:p w:rsidR="00E045F7" w:rsidRPr="00A935AA" w:rsidRDefault="00E045F7" w:rsidP="00E045F7">
            <w:pPr>
              <w:tabs>
                <w:tab w:val="left" w:pos="-1440"/>
                <w:tab w:val="left" w:pos="-720"/>
              </w:tabs>
              <w:rPr>
                <w:sz w:val="20"/>
                <w:szCs w:val="20"/>
              </w:rPr>
            </w:pPr>
            <w:r w:rsidRPr="00A935AA">
              <w:rPr>
                <w:sz w:val="20"/>
                <w:szCs w:val="20"/>
              </w:rPr>
              <w:tab/>
            </w:r>
            <w:r>
              <w:rPr>
                <w:sz w:val="20"/>
                <w:szCs w:val="20"/>
              </w:rPr>
              <w:t>Blaney McMurtry LLP</w:t>
            </w:r>
          </w:p>
          <w:p w:rsidR="00E045F7" w:rsidRPr="00A935AA" w:rsidRDefault="00E045F7" w:rsidP="00E045F7">
            <w:pPr>
              <w:tabs>
                <w:tab w:val="left" w:pos="-1440"/>
                <w:tab w:val="left" w:pos="-720"/>
              </w:tabs>
              <w:rPr>
                <w:sz w:val="20"/>
                <w:szCs w:val="20"/>
              </w:rPr>
            </w:pPr>
          </w:p>
          <w:p w:rsidR="00E045F7" w:rsidRPr="00A935AA" w:rsidRDefault="00E045F7" w:rsidP="00E045F7">
            <w:pPr>
              <w:rPr>
                <w:sz w:val="20"/>
                <w:szCs w:val="20"/>
              </w:rPr>
            </w:pPr>
            <w:r w:rsidRPr="00A935AA">
              <w:rPr>
                <w:sz w:val="20"/>
                <w:szCs w:val="20"/>
              </w:rPr>
              <w:t xml:space="preserve">FILING DATE: </w:t>
            </w:r>
            <w:r>
              <w:rPr>
                <w:sz w:val="20"/>
                <w:szCs w:val="20"/>
              </w:rPr>
              <w:t>18.11.2010</w:t>
            </w:r>
          </w:p>
          <w:p w:rsidR="00E045F7" w:rsidRPr="00A935AA" w:rsidRDefault="00D56013" w:rsidP="00E045F7">
            <w:pPr>
              <w:rPr>
                <w:sz w:val="20"/>
                <w:szCs w:val="20"/>
              </w:rPr>
            </w:pPr>
            <w:r w:rsidRPr="00D56013">
              <w:rPr>
                <w:sz w:val="20"/>
                <w:szCs w:val="20"/>
                <w:lang w:val="fr-CA"/>
              </w:rPr>
              <w:pict>
                <v:rect id="_x0000_i1033" style="width:108pt;height:1pt" o:hrpct="0" o:hralign="center" o:hrstd="t" o:hrnoshade="t" o:hr="t" fillcolor="black [3213]" stroked="f"/>
              </w:pict>
            </w:r>
          </w:p>
        </w:tc>
        <w:tc>
          <w:tcPr>
            <w:tcW w:w="1181" w:type="dxa"/>
            <w:shd w:val="clear" w:color="auto" w:fill="auto"/>
          </w:tcPr>
          <w:p w:rsidR="00E045F7" w:rsidRDefault="00E045F7" w:rsidP="00242AEE">
            <w:pPr>
              <w:jc w:val="center"/>
              <w:rPr>
                <w:sz w:val="20"/>
                <w:szCs w:val="20"/>
              </w:rPr>
            </w:pPr>
          </w:p>
          <w:p w:rsidR="00C52311" w:rsidRDefault="00C52311" w:rsidP="00242AEE">
            <w:pPr>
              <w:jc w:val="center"/>
              <w:rPr>
                <w:sz w:val="20"/>
                <w:szCs w:val="20"/>
              </w:rPr>
            </w:pPr>
          </w:p>
          <w:p w:rsidR="00C52311" w:rsidRDefault="00C52311" w:rsidP="00242AEE">
            <w:pPr>
              <w:jc w:val="center"/>
              <w:rPr>
                <w:sz w:val="20"/>
                <w:szCs w:val="20"/>
              </w:rPr>
            </w:pPr>
          </w:p>
          <w:p w:rsidR="00C52311" w:rsidRDefault="00C52311" w:rsidP="00242AEE">
            <w:pPr>
              <w:jc w:val="center"/>
              <w:rPr>
                <w:sz w:val="20"/>
                <w:szCs w:val="20"/>
              </w:rPr>
            </w:pPr>
          </w:p>
          <w:p w:rsidR="00C52311" w:rsidRDefault="00C52311" w:rsidP="00242AEE">
            <w:pPr>
              <w:jc w:val="center"/>
              <w:rPr>
                <w:sz w:val="20"/>
                <w:szCs w:val="20"/>
              </w:rPr>
            </w:pPr>
          </w:p>
          <w:p w:rsidR="00C52311" w:rsidRDefault="00C52311" w:rsidP="00242AEE">
            <w:pPr>
              <w:jc w:val="center"/>
              <w:rPr>
                <w:sz w:val="20"/>
                <w:szCs w:val="20"/>
              </w:rPr>
            </w:pPr>
          </w:p>
          <w:p w:rsidR="00C52311" w:rsidRDefault="00C52311" w:rsidP="00242AEE">
            <w:pPr>
              <w:jc w:val="center"/>
              <w:rPr>
                <w:sz w:val="20"/>
                <w:szCs w:val="20"/>
              </w:rPr>
            </w:pPr>
          </w:p>
          <w:p w:rsidR="00C52311" w:rsidRDefault="00C52311" w:rsidP="00242AEE">
            <w:pPr>
              <w:jc w:val="center"/>
              <w:rPr>
                <w:sz w:val="20"/>
                <w:szCs w:val="20"/>
              </w:rPr>
            </w:pPr>
          </w:p>
          <w:p w:rsidR="00C52311" w:rsidRDefault="00C52311" w:rsidP="00242AEE">
            <w:pPr>
              <w:jc w:val="center"/>
              <w:rPr>
                <w:sz w:val="20"/>
                <w:szCs w:val="20"/>
              </w:rPr>
            </w:pPr>
          </w:p>
          <w:p w:rsidR="00C52311" w:rsidRDefault="00C52311" w:rsidP="00242AEE">
            <w:pPr>
              <w:jc w:val="center"/>
              <w:rPr>
                <w:sz w:val="20"/>
                <w:szCs w:val="20"/>
              </w:rPr>
            </w:pPr>
          </w:p>
          <w:p w:rsidR="00C52311" w:rsidRDefault="00C52311" w:rsidP="00242AEE">
            <w:pPr>
              <w:jc w:val="center"/>
              <w:rPr>
                <w:sz w:val="20"/>
                <w:szCs w:val="20"/>
              </w:rPr>
            </w:pPr>
          </w:p>
          <w:p w:rsidR="00C52311" w:rsidRDefault="00C52311" w:rsidP="00242AEE">
            <w:pPr>
              <w:jc w:val="center"/>
              <w:rPr>
                <w:sz w:val="20"/>
                <w:szCs w:val="20"/>
              </w:rPr>
            </w:pPr>
          </w:p>
        </w:tc>
        <w:tc>
          <w:tcPr>
            <w:tcW w:w="4320" w:type="dxa"/>
            <w:shd w:val="clear" w:color="auto" w:fill="auto"/>
          </w:tcPr>
          <w:p w:rsidR="00E045F7" w:rsidRPr="00A935AA" w:rsidRDefault="00E045F7" w:rsidP="00E045F7">
            <w:pPr>
              <w:rPr>
                <w:b/>
                <w:sz w:val="20"/>
                <w:szCs w:val="20"/>
              </w:rPr>
            </w:pPr>
            <w:r>
              <w:rPr>
                <w:b/>
                <w:sz w:val="20"/>
                <w:szCs w:val="20"/>
              </w:rPr>
              <w:t>Peter Monteith</w:t>
            </w:r>
          </w:p>
          <w:p w:rsidR="00E045F7" w:rsidRPr="00A935AA" w:rsidRDefault="00E045F7" w:rsidP="00E045F7">
            <w:pPr>
              <w:tabs>
                <w:tab w:val="left" w:pos="-1440"/>
                <w:tab w:val="left" w:pos="-720"/>
              </w:tabs>
              <w:rPr>
                <w:sz w:val="20"/>
                <w:szCs w:val="20"/>
              </w:rPr>
            </w:pPr>
            <w:r w:rsidRPr="00A935AA">
              <w:rPr>
                <w:sz w:val="20"/>
                <w:szCs w:val="20"/>
              </w:rPr>
              <w:tab/>
            </w:r>
            <w:r>
              <w:rPr>
                <w:sz w:val="20"/>
                <w:szCs w:val="20"/>
              </w:rPr>
              <w:t>Peter Monteith</w:t>
            </w:r>
          </w:p>
          <w:p w:rsidR="00E045F7" w:rsidRPr="00A935AA" w:rsidRDefault="00E045F7" w:rsidP="00E045F7">
            <w:pPr>
              <w:tabs>
                <w:tab w:val="left" w:pos="-1440"/>
                <w:tab w:val="left" w:pos="-720"/>
              </w:tabs>
              <w:rPr>
                <w:sz w:val="20"/>
                <w:szCs w:val="20"/>
              </w:rPr>
            </w:pPr>
          </w:p>
          <w:p w:rsidR="00E045F7" w:rsidRPr="00A935AA" w:rsidRDefault="00E045F7" w:rsidP="00E045F7">
            <w:pPr>
              <w:tabs>
                <w:tab w:val="left" w:pos="-1440"/>
                <w:tab w:val="left" w:pos="-720"/>
              </w:tabs>
              <w:rPr>
                <w:sz w:val="20"/>
                <w:szCs w:val="20"/>
              </w:rPr>
            </w:pPr>
            <w:r w:rsidRPr="00A935AA">
              <w:rPr>
                <w:sz w:val="20"/>
                <w:szCs w:val="20"/>
              </w:rPr>
              <w:tab/>
              <w:t>v. (33</w:t>
            </w:r>
            <w:r>
              <w:rPr>
                <w:sz w:val="20"/>
                <w:szCs w:val="20"/>
              </w:rPr>
              <w:t>956</w:t>
            </w:r>
            <w:r w:rsidRPr="00A935AA">
              <w:rPr>
                <w:sz w:val="20"/>
                <w:szCs w:val="20"/>
              </w:rPr>
              <w:t>)</w:t>
            </w:r>
          </w:p>
          <w:p w:rsidR="00E045F7" w:rsidRPr="00A935AA" w:rsidRDefault="00E045F7" w:rsidP="00E045F7">
            <w:pPr>
              <w:tabs>
                <w:tab w:val="left" w:pos="-1440"/>
                <w:tab w:val="left" w:pos="-720"/>
              </w:tabs>
              <w:rPr>
                <w:sz w:val="20"/>
                <w:szCs w:val="20"/>
              </w:rPr>
            </w:pPr>
          </w:p>
          <w:p w:rsidR="00E045F7" w:rsidRPr="00A935AA" w:rsidRDefault="00E045F7" w:rsidP="00E045F7">
            <w:pPr>
              <w:tabs>
                <w:tab w:val="left" w:pos="-1440"/>
                <w:tab w:val="left" w:pos="-720"/>
              </w:tabs>
              <w:rPr>
                <w:b/>
                <w:sz w:val="20"/>
                <w:szCs w:val="20"/>
              </w:rPr>
            </w:pPr>
            <w:r>
              <w:rPr>
                <w:b/>
                <w:sz w:val="20"/>
                <w:szCs w:val="20"/>
              </w:rPr>
              <w:t>Her Majesty the Queen</w:t>
            </w:r>
            <w:r w:rsidR="009939FD">
              <w:rPr>
                <w:b/>
                <w:sz w:val="20"/>
                <w:szCs w:val="20"/>
              </w:rPr>
              <w:t xml:space="preserve"> (N.B.)</w:t>
            </w:r>
          </w:p>
          <w:p w:rsidR="00E045F7" w:rsidRPr="00A935AA" w:rsidRDefault="00E045F7" w:rsidP="00E045F7">
            <w:pPr>
              <w:tabs>
                <w:tab w:val="left" w:pos="-1440"/>
                <w:tab w:val="left" w:pos="-720"/>
              </w:tabs>
              <w:rPr>
                <w:sz w:val="20"/>
                <w:szCs w:val="20"/>
              </w:rPr>
            </w:pPr>
            <w:r w:rsidRPr="00A935AA">
              <w:rPr>
                <w:sz w:val="20"/>
                <w:szCs w:val="20"/>
              </w:rPr>
              <w:tab/>
            </w:r>
            <w:r>
              <w:rPr>
                <w:sz w:val="20"/>
                <w:szCs w:val="20"/>
              </w:rPr>
              <w:t>Gabriel Bourgeois, Q.C.</w:t>
            </w:r>
          </w:p>
          <w:p w:rsidR="00E045F7" w:rsidRPr="00A935AA" w:rsidRDefault="00E045F7" w:rsidP="00E045F7">
            <w:pPr>
              <w:tabs>
                <w:tab w:val="left" w:pos="-1440"/>
                <w:tab w:val="left" w:pos="-720"/>
              </w:tabs>
              <w:rPr>
                <w:sz w:val="20"/>
                <w:szCs w:val="20"/>
              </w:rPr>
            </w:pPr>
            <w:r w:rsidRPr="00A935AA">
              <w:rPr>
                <w:sz w:val="20"/>
                <w:szCs w:val="20"/>
              </w:rPr>
              <w:tab/>
            </w:r>
            <w:r>
              <w:rPr>
                <w:sz w:val="20"/>
                <w:szCs w:val="20"/>
              </w:rPr>
              <w:t>A.G. of New</w:t>
            </w:r>
            <w:r w:rsidR="009939FD">
              <w:rPr>
                <w:sz w:val="20"/>
                <w:szCs w:val="20"/>
              </w:rPr>
              <w:t xml:space="preserve"> </w:t>
            </w:r>
            <w:r>
              <w:rPr>
                <w:sz w:val="20"/>
                <w:szCs w:val="20"/>
              </w:rPr>
              <w:t>Brunswick</w:t>
            </w:r>
          </w:p>
          <w:p w:rsidR="00E045F7" w:rsidRPr="00A935AA" w:rsidRDefault="00E045F7" w:rsidP="00E045F7">
            <w:pPr>
              <w:tabs>
                <w:tab w:val="left" w:pos="-1440"/>
                <w:tab w:val="left" w:pos="-720"/>
              </w:tabs>
              <w:rPr>
                <w:sz w:val="20"/>
                <w:szCs w:val="20"/>
              </w:rPr>
            </w:pPr>
          </w:p>
          <w:p w:rsidR="00E045F7" w:rsidRPr="00A935AA" w:rsidRDefault="00E045F7" w:rsidP="00E045F7">
            <w:pPr>
              <w:rPr>
                <w:sz w:val="20"/>
                <w:szCs w:val="20"/>
              </w:rPr>
            </w:pPr>
            <w:r w:rsidRPr="00A935AA">
              <w:rPr>
                <w:sz w:val="20"/>
                <w:szCs w:val="20"/>
              </w:rPr>
              <w:t xml:space="preserve">FILING DATE: </w:t>
            </w:r>
            <w:r>
              <w:rPr>
                <w:sz w:val="20"/>
                <w:szCs w:val="20"/>
              </w:rPr>
              <w:t>16.11.2010</w:t>
            </w:r>
          </w:p>
          <w:p w:rsidR="00E045F7" w:rsidRPr="00A935AA" w:rsidRDefault="00D56013" w:rsidP="00E045F7">
            <w:pPr>
              <w:rPr>
                <w:sz w:val="20"/>
                <w:szCs w:val="20"/>
              </w:rPr>
            </w:pPr>
            <w:r w:rsidRPr="00D56013">
              <w:rPr>
                <w:sz w:val="20"/>
                <w:szCs w:val="20"/>
                <w:lang w:val="fr-CA"/>
              </w:rPr>
              <w:pict>
                <v:rect id="_x0000_i1034" style="width:108pt;height:1pt" o:hrpct="0" o:hralign="center" o:hrstd="t" o:hrnoshade="t" o:hr="t" fillcolor="black [3213]" stroked="f"/>
              </w:pict>
            </w:r>
          </w:p>
        </w:tc>
      </w:tr>
      <w:tr w:rsidR="00E045F7" w:rsidRPr="00A935AA" w:rsidTr="003F1419">
        <w:trPr>
          <w:cantSplit/>
        </w:trPr>
        <w:tc>
          <w:tcPr>
            <w:tcW w:w="4320" w:type="dxa"/>
            <w:shd w:val="clear" w:color="auto" w:fill="auto"/>
          </w:tcPr>
          <w:p w:rsidR="00E045F7" w:rsidRPr="00BF54EE" w:rsidRDefault="00E045F7" w:rsidP="00E045F7">
            <w:pPr>
              <w:rPr>
                <w:b/>
                <w:sz w:val="20"/>
                <w:szCs w:val="20"/>
                <w:lang w:val="fr-CA"/>
              </w:rPr>
            </w:pPr>
            <w:r>
              <w:rPr>
                <w:b/>
                <w:sz w:val="20"/>
                <w:szCs w:val="20"/>
                <w:lang w:val="fr-CA"/>
              </w:rPr>
              <w:t>G.R.D.</w:t>
            </w:r>
          </w:p>
          <w:p w:rsidR="00E045F7" w:rsidRDefault="00E045F7" w:rsidP="00E045F7">
            <w:pPr>
              <w:tabs>
                <w:tab w:val="left" w:pos="-1440"/>
                <w:tab w:val="left" w:pos="-720"/>
              </w:tabs>
              <w:rPr>
                <w:sz w:val="20"/>
                <w:szCs w:val="20"/>
                <w:lang w:val="fr-CA"/>
              </w:rPr>
            </w:pPr>
            <w:r w:rsidRPr="00BF54EE">
              <w:rPr>
                <w:sz w:val="20"/>
                <w:szCs w:val="20"/>
                <w:lang w:val="fr-CA"/>
              </w:rPr>
              <w:tab/>
            </w:r>
            <w:r>
              <w:rPr>
                <w:sz w:val="20"/>
                <w:szCs w:val="20"/>
                <w:lang w:val="fr-CA"/>
              </w:rPr>
              <w:t>Mylène Lareau</w:t>
            </w:r>
          </w:p>
          <w:p w:rsidR="00E045F7" w:rsidRPr="00BF54EE" w:rsidRDefault="00E045F7" w:rsidP="00E045F7">
            <w:pPr>
              <w:tabs>
                <w:tab w:val="left" w:pos="-1440"/>
                <w:tab w:val="left" w:pos="-720"/>
              </w:tabs>
              <w:rPr>
                <w:sz w:val="20"/>
                <w:szCs w:val="20"/>
                <w:lang w:val="fr-CA"/>
              </w:rPr>
            </w:pPr>
            <w:r>
              <w:rPr>
                <w:sz w:val="20"/>
                <w:szCs w:val="20"/>
                <w:lang w:val="fr-CA"/>
              </w:rPr>
              <w:tab/>
              <w:t>Brouillard, Bibeau, Gariépy &amp; Associés</w:t>
            </w:r>
          </w:p>
          <w:p w:rsidR="00E045F7" w:rsidRPr="00BF54EE" w:rsidRDefault="00E045F7" w:rsidP="00E045F7">
            <w:pPr>
              <w:tabs>
                <w:tab w:val="left" w:pos="-1440"/>
                <w:tab w:val="left" w:pos="-720"/>
              </w:tabs>
              <w:rPr>
                <w:sz w:val="20"/>
                <w:szCs w:val="20"/>
                <w:lang w:val="fr-CA"/>
              </w:rPr>
            </w:pPr>
          </w:p>
          <w:p w:rsidR="00E045F7" w:rsidRPr="00CD2DB0" w:rsidRDefault="00E045F7" w:rsidP="00E045F7">
            <w:pPr>
              <w:tabs>
                <w:tab w:val="left" w:pos="-1440"/>
                <w:tab w:val="left" w:pos="-720"/>
              </w:tabs>
              <w:rPr>
                <w:sz w:val="20"/>
                <w:szCs w:val="20"/>
                <w:lang w:val="fr-CA"/>
              </w:rPr>
            </w:pPr>
            <w:r w:rsidRPr="00BF54EE">
              <w:rPr>
                <w:sz w:val="20"/>
                <w:szCs w:val="20"/>
                <w:lang w:val="fr-CA"/>
              </w:rPr>
              <w:tab/>
              <w:t>c.</w:t>
            </w:r>
            <w:r w:rsidRPr="00CD2DB0">
              <w:rPr>
                <w:sz w:val="20"/>
                <w:szCs w:val="20"/>
                <w:lang w:val="fr-CA"/>
              </w:rPr>
              <w:t xml:space="preserve"> (33</w:t>
            </w:r>
            <w:r>
              <w:rPr>
                <w:sz w:val="20"/>
                <w:szCs w:val="20"/>
                <w:lang w:val="fr-CA"/>
              </w:rPr>
              <w:t>926</w:t>
            </w:r>
            <w:r w:rsidRPr="00CD2DB0">
              <w:rPr>
                <w:sz w:val="20"/>
                <w:szCs w:val="20"/>
                <w:lang w:val="fr-CA"/>
              </w:rPr>
              <w:t>)</w:t>
            </w:r>
          </w:p>
          <w:p w:rsidR="00E045F7" w:rsidRPr="00CD2DB0" w:rsidRDefault="00E045F7" w:rsidP="00E045F7">
            <w:pPr>
              <w:tabs>
                <w:tab w:val="left" w:pos="-1440"/>
                <w:tab w:val="left" w:pos="-720"/>
              </w:tabs>
              <w:rPr>
                <w:sz w:val="20"/>
                <w:szCs w:val="20"/>
                <w:lang w:val="fr-CA"/>
              </w:rPr>
            </w:pPr>
          </w:p>
          <w:p w:rsidR="00E045F7" w:rsidRPr="00CD2DB0" w:rsidRDefault="00E045F7" w:rsidP="00E045F7">
            <w:pPr>
              <w:tabs>
                <w:tab w:val="left" w:pos="-1440"/>
                <w:tab w:val="left" w:pos="-720"/>
              </w:tabs>
              <w:rPr>
                <w:b/>
                <w:sz w:val="20"/>
                <w:szCs w:val="20"/>
                <w:lang w:val="fr-CA"/>
              </w:rPr>
            </w:pPr>
            <w:r>
              <w:rPr>
                <w:b/>
                <w:sz w:val="20"/>
                <w:szCs w:val="20"/>
                <w:lang w:val="fr-CA"/>
              </w:rPr>
              <w:t>Sa Majesté la Reine (Qc)</w:t>
            </w:r>
          </w:p>
          <w:p w:rsidR="00E045F7" w:rsidRPr="00CD2DB0" w:rsidRDefault="00E045F7" w:rsidP="00E045F7">
            <w:pPr>
              <w:tabs>
                <w:tab w:val="left" w:pos="-1440"/>
                <w:tab w:val="left" w:pos="-720"/>
              </w:tabs>
              <w:rPr>
                <w:sz w:val="20"/>
                <w:szCs w:val="20"/>
                <w:lang w:val="fr-CA"/>
              </w:rPr>
            </w:pPr>
            <w:r w:rsidRPr="00CD2DB0">
              <w:rPr>
                <w:sz w:val="20"/>
                <w:szCs w:val="20"/>
                <w:lang w:val="fr-CA"/>
              </w:rPr>
              <w:tab/>
            </w:r>
            <w:r>
              <w:rPr>
                <w:sz w:val="20"/>
                <w:szCs w:val="20"/>
                <w:lang w:val="fr-CA"/>
              </w:rPr>
              <w:t>Michel Pennou</w:t>
            </w:r>
          </w:p>
          <w:p w:rsidR="00E045F7" w:rsidRPr="00CD2DB0" w:rsidRDefault="00E045F7" w:rsidP="00E045F7">
            <w:pPr>
              <w:tabs>
                <w:tab w:val="left" w:pos="-1440"/>
                <w:tab w:val="left" w:pos="-720"/>
              </w:tabs>
              <w:rPr>
                <w:sz w:val="20"/>
                <w:szCs w:val="20"/>
                <w:lang w:val="fr-CA"/>
              </w:rPr>
            </w:pPr>
            <w:r w:rsidRPr="00CD2DB0">
              <w:rPr>
                <w:sz w:val="20"/>
                <w:szCs w:val="20"/>
                <w:lang w:val="fr-CA"/>
              </w:rPr>
              <w:tab/>
            </w:r>
            <w:r>
              <w:rPr>
                <w:sz w:val="20"/>
                <w:szCs w:val="20"/>
                <w:lang w:val="fr-CA"/>
              </w:rPr>
              <w:t xml:space="preserve">Poursuites criminelles et pénales du </w:t>
            </w:r>
            <w:r>
              <w:rPr>
                <w:sz w:val="20"/>
                <w:szCs w:val="20"/>
                <w:lang w:val="fr-CA"/>
              </w:rPr>
              <w:tab/>
              <w:t>Québec</w:t>
            </w:r>
          </w:p>
          <w:p w:rsidR="00E045F7" w:rsidRPr="00CD2DB0" w:rsidRDefault="00E045F7" w:rsidP="00E045F7">
            <w:pPr>
              <w:tabs>
                <w:tab w:val="left" w:pos="-1440"/>
                <w:tab w:val="left" w:pos="-720"/>
              </w:tabs>
              <w:rPr>
                <w:sz w:val="20"/>
                <w:szCs w:val="20"/>
                <w:lang w:val="fr-CA"/>
              </w:rPr>
            </w:pPr>
          </w:p>
          <w:p w:rsidR="00E045F7" w:rsidRPr="00BF54EE" w:rsidRDefault="00E045F7" w:rsidP="00E045F7">
            <w:pPr>
              <w:rPr>
                <w:sz w:val="20"/>
                <w:szCs w:val="20"/>
                <w:lang w:val="fr-CA"/>
              </w:rPr>
            </w:pPr>
            <w:r w:rsidRPr="00BF54EE">
              <w:rPr>
                <w:sz w:val="20"/>
                <w:szCs w:val="20"/>
                <w:lang w:val="fr-CA"/>
              </w:rPr>
              <w:t xml:space="preserve">DATE DE PRODUCTION : </w:t>
            </w:r>
            <w:r>
              <w:rPr>
                <w:sz w:val="20"/>
                <w:szCs w:val="20"/>
                <w:lang w:val="fr-CA"/>
              </w:rPr>
              <w:t>04.11.2010</w:t>
            </w:r>
          </w:p>
          <w:p w:rsidR="00E045F7" w:rsidRPr="00BF54EE" w:rsidRDefault="00D56013" w:rsidP="00E045F7">
            <w:pPr>
              <w:rPr>
                <w:sz w:val="20"/>
                <w:szCs w:val="20"/>
                <w:lang w:val="fr-CA"/>
              </w:rPr>
            </w:pPr>
            <w:r w:rsidRPr="00D56013">
              <w:rPr>
                <w:sz w:val="20"/>
                <w:szCs w:val="20"/>
                <w:lang w:val="fr-CA"/>
              </w:rPr>
              <w:pict>
                <v:rect id="_x0000_i1035" style="width:108pt;height:1pt" o:hrpct="0" o:hralign="center" o:hrstd="t" o:hrnoshade="t" o:hr="t" fillcolor="black [3213]" stroked="f"/>
              </w:pict>
            </w:r>
          </w:p>
        </w:tc>
        <w:tc>
          <w:tcPr>
            <w:tcW w:w="1181" w:type="dxa"/>
            <w:shd w:val="clear" w:color="auto" w:fill="auto"/>
          </w:tcPr>
          <w:p w:rsidR="00E045F7" w:rsidRDefault="00E045F7" w:rsidP="00242AEE">
            <w:pPr>
              <w:jc w:val="center"/>
              <w:rPr>
                <w:sz w:val="20"/>
                <w:szCs w:val="20"/>
              </w:rPr>
            </w:pPr>
          </w:p>
          <w:p w:rsidR="00E045F7" w:rsidRDefault="00E045F7" w:rsidP="00242AEE">
            <w:pPr>
              <w:jc w:val="center"/>
              <w:rPr>
                <w:sz w:val="20"/>
                <w:szCs w:val="20"/>
              </w:rPr>
            </w:pPr>
          </w:p>
          <w:p w:rsidR="00E045F7" w:rsidRDefault="00E045F7" w:rsidP="00242AEE">
            <w:pPr>
              <w:jc w:val="center"/>
              <w:rPr>
                <w:sz w:val="20"/>
                <w:szCs w:val="20"/>
              </w:rPr>
            </w:pPr>
          </w:p>
          <w:p w:rsidR="00E045F7" w:rsidRDefault="00E045F7" w:rsidP="00242AEE">
            <w:pPr>
              <w:jc w:val="center"/>
              <w:rPr>
                <w:sz w:val="20"/>
                <w:szCs w:val="20"/>
              </w:rPr>
            </w:pPr>
          </w:p>
          <w:p w:rsidR="00E045F7" w:rsidRDefault="00E045F7" w:rsidP="00242AEE">
            <w:pPr>
              <w:jc w:val="center"/>
              <w:rPr>
                <w:sz w:val="20"/>
                <w:szCs w:val="20"/>
              </w:rPr>
            </w:pPr>
          </w:p>
          <w:p w:rsidR="00E045F7" w:rsidRDefault="00E045F7" w:rsidP="00242AEE">
            <w:pPr>
              <w:jc w:val="center"/>
              <w:rPr>
                <w:sz w:val="20"/>
                <w:szCs w:val="20"/>
              </w:rPr>
            </w:pPr>
          </w:p>
          <w:p w:rsidR="00E045F7" w:rsidRDefault="00E045F7" w:rsidP="00242AEE">
            <w:pPr>
              <w:jc w:val="center"/>
              <w:rPr>
                <w:sz w:val="20"/>
                <w:szCs w:val="20"/>
              </w:rPr>
            </w:pPr>
          </w:p>
          <w:p w:rsidR="00E045F7" w:rsidRDefault="00E045F7" w:rsidP="00242AEE">
            <w:pPr>
              <w:jc w:val="center"/>
              <w:rPr>
                <w:sz w:val="20"/>
                <w:szCs w:val="20"/>
              </w:rPr>
            </w:pPr>
          </w:p>
          <w:p w:rsidR="00E045F7" w:rsidRDefault="00E045F7" w:rsidP="00242AEE">
            <w:pPr>
              <w:jc w:val="center"/>
              <w:rPr>
                <w:sz w:val="20"/>
                <w:szCs w:val="20"/>
              </w:rPr>
            </w:pPr>
          </w:p>
          <w:p w:rsidR="00E045F7" w:rsidRDefault="00E045F7" w:rsidP="00242AEE">
            <w:pPr>
              <w:jc w:val="center"/>
              <w:rPr>
                <w:sz w:val="20"/>
                <w:szCs w:val="20"/>
              </w:rPr>
            </w:pPr>
          </w:p>
          <w:p w:rsidR="00E045F7" w:rsidRDefault="00E045F7" w:rsidP="00242AEE">
            <w:pPr>
              <w:jc w:val="center"/>
              <w:rPr>
                <w:sz w:val="20"/>
                <w:szCs w:val="20"/>
              </w:rPr>
            </w:pPr>
          </w:p>
          <w:p w:rsidR="00E045F7" w:rsidRDefault="00E045F7" w:rsidP="00242AEE">
            <w:pPr>
              <w:jc w:val="center"/>
              <w:rPr>
                <w:sz w:val="20"/>
                <w:szCs w:val="20"/>
              </w:rPr>
            </w:pPr>
          </w:p>
          <w:p w:rsidR="00E045F7" w:rsidRDefault="00E045F7" w:rsidP="00242AEE">
            <w:pPr>
              <w:jc w:val="center"/>
              <w:rPr>
                <w:sz w:val="20"/>
                <w:szCs w:val="20"/>
              </w:rPr>
            </w:pPr>
          </w:p>
          <w:p w:rsidR="00E045F7" w:rsidRDefault="00E045F7" w:rsidP="00242AEE">
            <w:pPr>
              <w:jc w:val="center"/>
              <w:rPr>
                <w:sz w:val="20"/>
                <w:szCs w:val="20"/>
              </w:rPr>
            </w:pPr>
          </w:p>
        </w:tc>
        <w:tc>
          <w:tcPr>
            <w:tcW w:w="4320" w:type="dxa"/>
            <w:shd w:val="clear" w:color="auto" w:fill="auto"/>
          </w:tcPr>
          <w:p w:rsidR="00E045F7" w:rsidRPr="00A935AA" w:rsidRDefault="00E045F7" w:rsidP="00E045F7">
            <w:pPr>
              <w:rPr>
                <w:b/>
                <w:sz w:val="20"/>
                <w:szCs w:val="20"/>
              </w:rPr>
            </w:pPr>
            <w:r>
              <w:rPr>
                <w:b/>
                <w:sz w:val="20"/>
                <w:szCs w:val="20"/>
              </w:rPr>
              <w:t>Wayne Penner</w:t>
            </w:r>
          </w:p>
          <w:p w:rsidR="00E045F7" w:rsidRPr="00A935AA" w:rsidRDefault="00E045F7" w:rsidP="00E045F7">
            <w:pPr>
              <w:tabs>
                <w:tab w:val="left" w:pos="-1440"/>
                <w:tab w:val="left" w:pos="-720"/>
              </w:tabs>
              <w:rPr>
                <w:sz w:val="20"/>
                <w:szCs w:val="20"/>
              </w:rPr>
            </w:pPr>
            <w:r w:rsidRPr="00A935AA">
              <w:rPr>
                <w:sz w:val="20"/>
                <w:szCs w:val="20"/>
              </w:rPr>
              <w:tab/>
            </w:r>
            <w:r>
              <w:rPr>
                <w:sz w:val="20"/>
                <w:szCs w:val="20"/>
              </w:rPr>
              <w:t>Julian N. Falconer</w:t>
            </w:r>
          </w:p>
          <w:p w:rsidR="00E045F7" w:rsidRPr="00A935AA" w:rsidRDefault="00E045F7" w:rsidP="00E045F7">
            <w:pPr>
              <w:tabs>
                <w:tab w:val="left" w:pos="-1440"/>
                <w:tab w:val="left" w:pos="-720"/>
              </w:tabs>
              <w:rPr>
                <w:sz w:val="20"/>
                <w:szCs w:val="20"/>
              </w:rPr>
            </w:pPr>
            <w:r w:rsidRPr="00A935AA">
              <w:rPr>
                <w:sz w:val="20"/>
                <w:szCs w:val="20"/>
              </w:rPr>
              <w:tab/>
            </w:r>
            <w:r>
              <w:rPr>
                <w:sz w:val="20"/>
                <w:szCs w:val="20"/>
              </w:rPr>
              <w:t>Falconer Charney LLP</w:t>
            </w:r>
          </w:p>
          <w:p w:rsidR="00E045F7" w:rsidRPr="00A935AA" w:rsidRDefault="00E045F7" w:rsidP="00E045F7">
            <w:pPr>
              <w:tabs>
                <w:tab w:val="left" w:pos="-1440"/>
                <w:tab w:val="left" w:pos="-720"/>
              </w:tabs>
              <w:rPr>
                <w:sz w:val="20"/>
                <w:szCs w:val="20"/>
              </w:rPr>
            </w:pPr>
          </w:p>
          <w:p w:rsidR="00E045F7" w:rsidRPr="00A935AA" w:rsidRDefault="00E045F7" w:rsidP="00E045F7">
            <w:pPr>
              <w:tabs>
                <w:tab w:val="left" w:pos="-1440"/>
                <w:tab w:val="left" w:pos="-720"/>
              </w:tabs>
              <w:rPr>
                <w:sz w:val="20"/>
                <w:szCs w:val="20"/>
              </w:rPr>
            </w:pPr>
            <w:r w:rsidRPr="00A935AA">
              <w:rPr>
                <w:sz w:val="20"/>
                <w:szCs w:val="20"/>
              </w:rPr>
              <w:tab/>
              <w:t>v. (33</w:t>
            </w:r>
            <w:r>
              <w:rPr>
                <w:sz w:val="20"/>
                <w:szCs w:val="20"/>
              </w:rPr>
              <w:t>959</w:t>
            </w:r>
            <w:r w:rsidRPr="00A935AA">
              <w:rPr>
                <w:sz w:val="20"/>
                <w:szCs w:val="20"/>
              </w:rPr>
              <w:t>)</w:t>
            </w:r>
          </w:p>
          <w:p w:rsidR="00E045F7" w:rsidRPr="00A935AA" w:rsidRDefault="00E045F7" w:rsidP="00E045F7">
            <w:pPr>
              <w:tabs>
                <w:tab w:val="left" w:pos="-1440"/>
                <w:tab w:val="left" w:pos="-720"/>
              </w:tabs>
              <w:rPr>
                <w:sz w:val="20"/>
                <w:szCs w:val="20"/>
              </w:rPr>
            </w:pPr>
          </w:p>
          <w:p w:rsidR="00E045F7" w:rsidRPr="00A935AA" w:rsidRDefault="00E045F7" w:rsidP="00E045F7">
            <w:pPr>
              <w:tabs>
                <w:tab w:val="left" w:pos="-1440"/>
                <w:tab w:val="left" w:pos="-720"/>
              </w:tabs>
              <w:rPr>
                <w:b/>
                <w:sz w:val="20"/>
                <w:szCs w:val="20"/>
              </w:rPr>
            </w:pPr>
            <w:r>
              <w:rPr>
                <w:b/>
                <w:sz w:val="20"/>
                <w:szCs w:val="20"/>
              </w:rPr>
              <w:t>Regional Municipality of Niagara Regional Police Services Board et al. (Ont.)</w:t>
            </w:r>
          </w:p>
          <w:p w:rsidR="00E045F7" w:rsidRPr="00A935AA" w:rsidRDefault="00E045F7" w:rsidP="00E045F7">
            <w:pPr>
              <w:tabs>
                <w:tab w:val="left" w:pos="-1440"/>
                <w:tab w:val="left" w:pos="-720"/>
              </w:tabs>
              <w:rPr>
                <w:sz w:val="20"/>
                <w:szCs w:val="20"/>
              </w:rPr>
            </w:pPr>
            <w:r w:rsidRPr="00A935AA">
              <w:rPr>
                <w:sz w:val="20"/>
                <w:szCs w:val="20"/>
              </w:rPr>
              <w:tab/>
            </w:r>
            <w:r>
              <w:rPr>
                <w:sz w:val="20"/>
                <w:szCs w:val="20"/>
              </w:rPr>
              <w:t>Eugene G. Mazzuca</w:t>
            </w:r>
          </w:p>
          <w:p w:rsidR="00E045F7" w:rsidRPr="00A935AA" w:rsidRDefault="00E045F7" w:rsidP="00E045F7">
            <w:pPr>
              <w:tabs>
                <w:tab w:val="left" w:pos="-1440"/>
                <w:tab w:val="left" w:pos="-720"/>
              </w:tabs>
              <w:rPr>
                <w:sz w:val="20"/>
                <w:szCs w:val="20"/>
              </w:rPr>
            </w:pPr>
            <w:r w:rsidRPr="00A935AA">
              <w:rPr>
                <w:sz w:val="20"/>
                <w:szCs w:val="20"/>
              </w:rPr>
              <w:tab/>
            </w:r>
            <w:r>
              <w:rPr>
                <w:sz w:val="20"/>
                <w:szCs w:val="20"/>
              </w:rPr>
              <w:t>Blaney McMurtry LLP</w:t>
            </w:r>
          </w:p>
          <w:p w:rsidR="00E045F7" w:rsidRPr="00A935AA" w:rsidRDefault="00E045F7" w:rsidP="00E045F7">
            <w:pPr>
              <w:tabs>
                <w:tab w:val="left" w:pos="-1440"/>
                <w:tab w:val="left" w:pos="-720"/>
              </w:tabs>
              <w:rPr>
                <w:sz w:val="20"/>
                <w:szCs w:val="20"/>
              </w:rPr>
            </w:pPr>
          </w:p>
          <w:p w:rsidR="00E045F7" w:rsidRPr="00A935AA" w:rsidRDefault="00E045F7" w:rsidP="00E045F7">
            <w:pPr>
              <w:rPr>
                <w:sz w:val="20"/>
                <w:szCs w:val="20"/>
              </w:rPr>
            </w:pPr>
            <w:r w:rsidRPr="00A935AA">
              <w:rPr>
                <w:sz w:val="20"/>
                <w:szCs w:val="20"/>
              </w:rPr>
              <w:t xml:space="preserve">FILING DATE: </w:t>
            </w:r>
            <w:r>
              <w:rPr>
                <w:sz w:val="20"/>
                <w:szCs w:val="20"/>
              </w:rPr>
              <w:t>26.11.2010</w:t>
            </w:r>
          </w:p>
          <w:p w:rsidR="00E045F7" w:rsidRPr="00A935AA" w:rsidRDefault="00D56013" w:rsidP="00E045F7">
            <w:pPr>
              <w:rPr>
                <w:sz w:val="20"/>
                <w:szCs w:val="20"/>
              </w:rPr>
            </w:pPr>
            <w:r w:rsidRPr="00D56013">
              <w:rPr>
                <w:sz w:val="20"/>
                <w:szCs w:val="20"/>
                <w:lang w:val="fr-CA"/>
              </w:rPr>
              <w:pict>
                <v:rect id="_x0000_i1036" style="width:108pt;height:1pt" o:hrpct="0" o:hralign="center" o:hrstd="t" o:hrnoshade="t" o:hr="t" fillcolor="black [3213]" stroked="f"/>
              </w:pict>
            </w:r>
          </w:p>
        </w:tc>
      </w:tr>
      <w:tr w:rsidR="00E045F7" w:rsidRPr="00A935AA" w:rsidTr="003F1419">
        <w:trPr>
          <w:cantSplit/>
        </w:trPr>
        <w:tc>
          <w:tcPr>
            <w:tcW w:w="4320" w:type="dxa"/>
            <w:shd w:val="clear" w:color="auto" w:fill="auto"/>
          </w:tcPr>
          <w:p w:rsidR="00E045F7" w:rsidRPr="00A935AA" w:rsidRDefault="00E045F7" w:rsidP="00A8644B">
            <w:pPr>
              <w:rPr>
                <w:b/>
                <w:sz w:val="20"/>
                <w:szCs w:val="20"/>
              </w:rPr>
            </w:pPr>
            <w:r>
              <w:rPr>
                <w:b/>
                <w:sz w:val="20"/>
                <w:szCs w:val="20"/>
              </w:rPr>
              <w:t>Jodi Snow, by her Committee, Margaret Snow</w:t>
            </w:r>
          </w:p>
          <w:p w:rsidR="00E045F7" w:rsidRPr="00A935AA" w:rsidRDefault="00E045F7" w:rsidP="00A8644B">
            <w:pPr>
              <w:tabs>
                <w:tab w:val="left" w:pos="-1440"/>
                <w:tab w:val="left" w:pos="-720"/>
              </w:tabs>
              <w:rPr>
                <w:sz w:val="20"/>
                <w:szCs w:val="20"/>
              </w:rPr>
            </w:pPr>
            <w:r>
              <w:rPr>
                <w:sz w:val="20"/>
                <w:szCs w:val="20"/>
              </w:rPr>
              <w:tab/>
              <w:t>G.P. Weatherill, Q.C.</w:t>
            </w:r>
          </w:p>
          <w:p w:rsidR="00E045F7" w:rsidRDefault="00E045F7" w:rsidP="00A8644B">
            <w:pPr>
              <w:tabs>
                <w:tab w:val="left" w:pos="-1440"/>
                <w:tab w:val="left" w:pos="-720"/>
              </w:tabs>
              <w:rPr>
                <w:sz w:val="20"/>
                <w:szCs w:val="20"/>
              </w:rPr>
            </w:pPr>
            <w:r w:rsidRPr="00A935AA">
              <w:rPr>
                <w:sz w:val="20"/>
                <w:szCs w:val="20"/>
              </w:rPr>
              <w:tab/>
            </w:r>
            <w:r>
              <w:rPr>
                <w:sz w:val="20"/>
                <w:szCs w:val="20"/>
              </w:rPr>
              <w:t xml:space="preserve">Nixon Wenger </w:t>
            </w:r>
          </w:p>
          <w:p w:rsidR="00E045F7" w:rsidRDefault="00E045F7" w:rsidP="00A8644B">
            <w:pPr>
              <w:tabs>
                <w:tab w:val="left" w:pos="-1440"/>
                <w:tab w:val="left" w:pos="-720"/>
              </w:tabs>
              <w:rPr>
                <w:sz w:val="20"/>
                <w:szCs w:val="20"/>
              </w:rPr>
            </w:pPr>
          </w:p>
          <w:p w:rsidR="00E045F7" w:rsidRDefault="00E045F7" w:rsidP="00A8644B">
            <w:pPr>
              <w:tabs>
                <w:tab w:val="left" w:pos="-1440"/>
                <w:tab w:val="left" w:pos="-720"/>
              </w:tabs>
              <w:rPr>
                <w:sz w:val="20"/>
                <w:szCs w:val="20"/>
              </w:rPr>
            </w:pPr>
            <w:r>
              <w:rPr>
                <w:sz w:val="20"/>
                <w:szCs w:val="20"/>
              </w:rPr>
              <w:tab/>
            </w:r>
            <w:r w:rsidRPr="00A935AA">
              <w:rPr>
                <w:sz w:val="20"/>
                <w:szCs w:val="20"/>
              </w:rPr>
              <w:t>v. (33</w:t>
            </w:r>
            <w:r>
              <w:rPr>
                <w:sz w:val="20"/>
                <w:szCs w:val="20"/>
              </w:rPr>
              <w:t>945</w:t>
            </w:r>
            <w:r w:rsidRPr="00A935AA">
              <w:rPr>
                <w:sz w:val="20"/>
                <w:szCs w:val="20"/>
              </w:rPr>
              <w:t>)</w:t>
            </w:r>
          </w:p>
          <w:p w:rsidR="00E045F7" w:rsidRDefault="00E045F7" w:rsidP="00A8644B">
            <w:pPr>
              <w:tabs>
                <w:tab w:val="left" w:pos="-1440"/>
                <w:tab w:val="left" w:pos="-720"/>
              </w:tabs>
              <w:rPr>
                <w:sz w:val="20"/>
                <w:szCs w:val="20"/>
              </w:rPr>
            </w:pPr>
          </w:p>
          <w:p w:rsidR="00E045F7" w:rsidRPr="00A935AA" w:rsidRDefault="00E045F7" w:rsidP="00A8644B">
            <w:pPr>
              <w:tabs>
                <w:tab w:val="left" w:pos="-1440"/>
                <w:tab w:val="left" w:pos="-720"/>
              </w:tabs>
              <w:rPr>
                <w:b/>
                <w:sz w:val="20"/>
                <w:szCs w:val="20"/>
              </w:rPr>
            </w:pPr>
            <w:r>
              <w:rPr>
                <w:b/>
                <w:sz w:val="20"/>
                <w:szCs w:val="20"/>
              </w:rPr>
              <w:t>Timothy Howard Irwin Saul (B.C.)</w:t>
            </w:r>
          </w:p>
          <w:p w:rsidR="00E045F7" w:rsidRPr="00A935AA" w:rsidRDefault="00E045F7" w:rsidP="00A8644B">
            <w:pPr>
              <w:tabs>
                <w:tab w:val="left" w:pos="-1440"/>
                <w:tab w:val="left" w:pos="-720"/>
              </w:tabs>
              <w:rPr>
                <w:sz w:val="20"/>
                <w:szCs w:val="20"/>
              </w:rPr>
            </w:pPr>
            <w:r w:rsidRPr="00A935AA">
              <w:rPr>
                <w:sz w:val="20"/>
                <w:szCs w:val="20"/>
              </w:rPr>
              <w:tab/>
            </w:r>
            <w:r>
              <w:rPr>
                <w:sz w:val="20"/>
                <w:szCs w:val="20"/>
              </w:rPr>
              <w:t>J.D. James</w:t>
            </w:r>
          </w:p>
          <w:p w:rsidR="00E045F7" w:rsidRPr="00A935AA" w:rsidRDefault="00E045F7" w:rsidP="00A8644B">
            <w:pPr>
              <w:tabs>
                <w:tab w:val="left" w:pos="-1440"/>
                <w:tab w:val="left" w:pos="-720"/>
              </w:tabs>
              <w:rPr>
                <w:sz w:val="20"/>
                <w:szCs w:val="20"/>
              </w:rPr>
            </w:pPr>
            <w:r w:rsidRPr="00A935AA">
              <w:rPr>
                <w:sz w:val="20"/>
                <w:szCs w:val="20"/>
              </w:rPr>
              <w:tab/>
            </w:r>
            <w:r>
              <w:rPr>
                <w:sz w:val="20"/>
                <w:szCs w:val="20"/>
              </w:rPr>
              <w:t>Quinlan Abrioux</w:t>
            </w:r>
          </w:p>
          <w:p w:rsidR="00E045F7" w:rsidRPr="00A935AA" w:rsidRDefault="00E045F7" w:rsidP="00A8644B">
            <w:pPr>
              <w:tabs>
                <w:tab w:val="left" w:pos="-1440"/>
                <w:tab w:val="left" w:pos="-720"/>
              </w:tabs>
              <w:rPr>
                <w:sz w:val="20"/>
                <w:szCs w:val="20"/>
              </w:rPr>
            </w:pPr>
          </w:p>
          <w:p w:rsidR="00E045F7" w:rsidRPr="00A935AA" w:rsidRDefault="00E045F7" w:rsidP="00A8644B">
            <w:pPr>
              <w:rPr>
                <w:sz w:val="20"/>
                <w:szCs w:val="20"/>
              </w:rPr>
            </w:pPr>
            <w:r w:rsidRPr="00A935AA">
              <w:rPr>
                <w:sz w:val="20"/>
                <w:szCs w:val="20"/>
              </w:rPr>
              <w:t xml:space="preserve">FILING DATE: </w:t>
            </w:r>
            <w:r>
              <w:rPr>
                <w:sz w:val="20"/>
                <w:szCs w:val="20"/>
              </w:rPr>
              <w:t>19.11.2010</w:t>
            </w:r>
          </w:p>
          <w:p w:rsidR="00E045F7" w:rsidRPr="00A935AA" w:rsidRDefault="00D56013" w:rsidP="00A8644B">
            <w:pPr>
              <w:tabs>
                <w:tab w:val="left" w:pos="-1440"/>
                <w:tab w:val="left" w:pos="-720"/>
              </w:tabs>
              <w:rPr>
                <w:sz w:val="20"/>
                <w:szCs w:val="20"/>
              </w:rPr>
            </w:pPr>
            <w:r w:rsidRPr="00D56013">
              <w:rPr>
                <w:sz w:val="20"/>
                <w:szCs w:val="20"/>
                <w:lang w:val="fr-CA"/>
              </w:rPr>
              <w:pict>
                <v:rect id="_x0000_i1037" style="width:108pt;height:1pt" o:hrpct="0" o:hralign="center" o:hrstd="t" o:hrnoshade="t" o:hr="t" fillcolor="black [3213]" stroked="f"/>
              </w:pict>
            </w:r>
          </w:p>
        </w:tc>
        <w:tc>
          <w:tcPr>
            <w:tcW w:w="1181" w:type="dxa"/>
            <w:shd w:val="clear" w:color="auto" w:fill="auto"/>
          </w:tcPr>
          <w:p w:rsidR="00E045F7" w:rsidRDefault="00E045F7" w:rsidP="00242AEE">
            <w:pPr>
              <w:jc w:val="center"/>
              <w:rPr>
                <w:sz w:val="20"/>
                <w:szCs w:val="20"/>
              </w:rPr>
            </w:pPr>
          </w:p>
          <w:p w:rsidR="00E045F7" w:rsidRDefault="00E045F7" w:rsidP="00242AEE">
            <w:pPr>
              <w:jc w:val="center"/>
              <w:rPr>
                <w:sz w:val="20"/>
                <w:szCs w:val="20"/>
              </w:rPr>
            </w:pPr>
          </w:p>
          <w:p w:rsidR="00E045F7" w:rsidRDefault="00E045F7" w:rsidP="00242AEE">
            <w:pPr>
              <w:jc w:val="center"/>
              <w:rPr>
                <w:sz w:val="20"/>
                <w:szCs w:val="20"/>
              </w:rPr>
            </w:pPr>
          </w:p>
          <w:p w:rsidR="00E045F7" w:rsidRDefault="00E045F7" w:rsidP="00242AEE">
            <w:pPr>
              <w:jc w:val="center"/>
              <w:rPr>
                <w:sz w:val="20"/>
                <w:szCs w:val="20"/>
              </w:rPr>
            </w:pPr>
          </w:p>
          <w:p w:rsidR="00E045F7" w:rsidRDefault="00E045F7" w:rsidP="00242AEE">
            <w:pPr>
              <w:jc w:val="center"/>
              <w:rPr>
                <w:sz w:val="20"/>
                <w:szCs w:val="20"/>
              </w:rPr>
            </w:pPr>
          </w:p>
          <w:p w:rsidR="00E045F7" w:rsidRDefault="00E045F7" w:rsidP="00242AEE">
            <w:pPr>
              <w:jc w:val="center"/>
              <w:rPr>
                <w:sz w:val="20"/>
                <w:szCs w:val="20"/>
              </w:rPr>
            </w:pPr>
          </w:p>
          <w:p w:rsidR="00E045F7" w:rsidRDefault="00E045F7" w:rsidP="00242AEE">
            <w:pPr>
              <w:jc w:val="center"/>
              <w:rPr>
                <w:sz w:val="20"/>
                <w:szCs w:val="20"/>
              </w:rPr>
            </w:pPr>
          </w:p>
          <w:p w:rsidR="00E045F7" w:rsidRDefault="00E045F7" w:rsidP="00242AEE">
            <w:pPr>
              <w:jc w:val="center"/>
              <w:rPr>
                <w:sz w:val="20"/>
                <w:szCs w:val="20"/>
              </w:rPr>
            </w:pPr>
          </w:p>
          <w:p w:rsidR="00E045F7" w:rsidRDefault="00E045F7" w:rsidP="00242AEE">
            <w:pPr>
              <w:jc w:val="center"/>
              <w:rPr>
                <w:sz w:val="20"/>
                <w:szCs w:val="20"/>
              </w:rPr>
            </w:pPr>
          </w:p>
          <w:p w:rsidR="00E045F7" w:rsidRDefault="00E045F7" w:rsidP="00242AEE">
            <w:pPr>
              <w:jc w:val="center"/>
              <w:rPr>
                <w:sz w:val="20"/>
                <w:szCs w:val="20"/>
              </w:rPr>
            </w:pPr>
          </w:p>
          <w:p w:rsidR="00E045F7" w:rsidRDefault="00E045F7" w:rsidP="00242AEE">
            <w:pPr>
              <w:jc w:val="center"/>
              <w:rPr>
                <w:sz w:val="20"/>
                <w:szCs w:val="20"/>
              </w:rPr>
            </w:pPr>
          </w:p>
          <w:p w:rsidR="00E045F7" w:rsidRDefault="00E045F7" w:rsidP="00242AEE">
            <w:pPr>
              <w:jc w:val="center"/>
              <w:rPr>
                <w:sz w:val="20"/>
                <w:szCs w:val="20"/>
              </w:rPr>
            </w:pPr>
          </w:p>
          <w:p w:rsidR="00E045F7" w:rsidRPr="00A935AA" w:rsidRDefault="00E045F7" w:rsidP="00242AEE">
            <w:pPr>
              <w:jc w:val="center"/>
              <w:rPr>
                <w:sz w:val="20"/>
                <w:szCs w:val="20"/>
              </w:rPr>
            </w:pPr>
          </w:p>
        </w:tc>
        <w:tc>
          <w:tcPr>
            <w:tcW w:w="4320" w:type="dxa"/>
            <w:shd w:val="clear" w:color="auto" w:fill="auto"/>
          </w:tcPr>
          <w:p w:rsidR="00E045F7" w:rsidRPr="00A935AA" w:rsidRDefault="00E045F7" w:rsidP="00A8644B">
            <w:pPr>
              <w:rPr>
                <w:b/>
                <w:sz w:val="20"/>
                <w:szCs w:val="20"/>
              </w:rPr>
            </w:pPr>
            <w:r>
              <w:rPr>
                <w:b/>
                <w:sz w:val="20"/>
                <w:szCs w:val="20"/>
              </w:rPr>
              <w:t>Teva Canada Limited</w:t>
            </w:r>
          </w:p>
          <w:p w:rsidR="00E045F7" w:rsidRPr="00A935AA" w:rsidRDefault="00E045F7" w:rsidP="00A8644B">
            <w:pPr>
              <w:tabs>
                <w:tab w:val="left" w:pos="-1440"/>
                <w:tab w:val="left" w:pos="-720"/>
              </w:tabs>
              <w:rPr>
                <w:sz w:val="20"/>
                <w:szCs w:val="20"/>
              </w:rPr>
            </w:pPr>
            <w:r w:rsidRPr="00A935AA">
              <w:rPr>
                <w:sz w:val="20"/>
                <w:szCs w:val="20"/>
              </w:rPr>
              <w:tab/>
            </w:r>
            <w:r>
              <w:rPr>
                <w:sz w:val="20"/>
                <w:szCs w:val="20"/>
              </w:rPr>
              <w:t>David W. Aitken</w:t>
            </w:r>
          </w:p>
          <w:p w:rsidR="00E045F7" w:rsidRPr="00A935AA" w:rsidRDefault="00E045F7" w:rsidP="00A8644B">
            <w:pPr>
              <w:tabs>
                <w:tab w:val="left" w:pos="-1440"/>
                <w:tab w:val="left" w:pos="-720"/>
              </w:tabs>
              <w:rPr>
                <w:sz w:val="20"/>
                <w:szCs w:val="20"/>
              </w:rPr>
            </w:pPr>
            <w:r w:rsidRPr="00A935AA">
              <w:rPr>
                <w:sz w:val="20"/>
                <w:szCs w:val="20"/>
              </w:rPr>
              <w:tab/>
            </w:r>
            <w:r>
              <w:rPr>
                <w:sz w:val="20"/>
                <w:szCs w:val="20"/>
              </w:rPr>
              <w:t>Osler, Hoskin &amp; Harcourt LLP</w:t>
            </w:r>
          </w:p>
          <w:p w:rsidR="00E045F7" w:rsidRPr="00A935AA" w:rsidRDefault="00E045F7" w:rsidP="00A8644B">
            <w:pPr>
              <w:tabs>
                <w:tab w:val="left" w:pos="-1440"/>
                <w:tab w:val="left" w:pos="-720"/>
              </w:tabs>
              <w:rPr>
                <w:sz w:val="20"/>
                <w:szCs w:val="20"/>
              </w:rPr>
            </w:pPr>
          </w:p>
          <w:p w:rsidR="00E045F7" w:rsidRDefault="00E045F7" w:rsidP="00A8644B">
            <w:pPr>
              <w:tabs>
                <w:tab w:val="left" w:pos="-1440"/>
                <w:tab w:val="left" w:pos="-720"/>
              </w:tabs>
              <w:rPr>
                <w:sz w:val="20"/>
                <w:szCs w:val="20"/>
              </w:rPr>
            </w:pPr>
            <w:r w:rsidRPr="00A935AA">
              <w:rPr>
                <w:sz w:val="20"/>
                <w:szCs w:val="20"/>
              </w:rPr>
              <w:tab/>
              <w:t>v. (33</w:t>
            </w:r>
            <w:r>
              <w:rPr>
                <w:sz w:val="20"/>
                <w:szCs w:val="20"/>
              </w:rPr>
              <w:t>951</w:t>
            </w:r>
            <w:r w:rsidRPr="00A935AA">
              <w:rPr>
                <w:sz w:val="20"/>
                <w:szCs w:val="20"/>
              </w:rPr>
              <w:t>)</w:t>
            </w:r>
          </w:p>
          <w:p w:rsidR="00E045F7" w:rsidRDefault="00E045F7" w:rsidP="00A8644B">
            <w:pPr>
              <w:tabs>
                <w:tab w:val="left" w:pos="-1440"/>
                <w:tab w:val="left" w:pos="-720"/>
              </w:tabs>
              <w:rPr>
                <w:sz w:val="20"/>
                <w:szCs w:val="20"/>
              </w:rPr>
            </w:pPr>
          </w:p>
          <w:p w:rsidR="00E045F7" w:rsidRPr="00096E90" w:rsidRDefault="00E045F7" w:rsidP="00A8644B">
            <w:pPr>
              <w:tabs>
                <w:tab w:val="left" w:pos="-1440"/>
                <w:tab w:val="left" w:pos="-720"/>
              </w:tabs>
              <w:rPr>
                <w:b/>
                <w:sz w:val="20"/>
                <w:szCs w:val="20"/>
              </w:rPr>
            </w:pPr>
            <w:r w:rsidRPr="00096E90">
              <w:rPr>
                <w:b/>
                <w:sz w:val="20"/>
                <w:szCs w:val="20"/>
                <w:lang w:val="fr-CA"/>
              </w:rPr>
              <w:t xml:space="preserve">Pfizer Canada Inc. et al. </w:t>
            </w:r>
            <w:r w:rsidRPr="00096E90">
              <w:rPr>
                <w:b/>
                <w:sz w:val="20"/>
                <w:szCs w:val="20"/>
              </w:rPr>
              <w:t>(F.C.)</w:t>
            </w:r>
          </w:p>
          <w:p w:rsidR="00E045F7" w:rsidRPr="00096E90" w:rsidRDefault="00E045F7" w:rsidP="00A8644B">
            <w:pPr>
              <w:tabs>
                <w:tab w:val="left" w:pos="-1440"/>
                <w:tab w:val="left" w:pos="-720"/>
              </w:tabs>
              <w:rPr>
                <w:sz w:val="20"/>
                <w:szCs w:val="20"/>
              </w:rPr>
            </w:pPr>
            <w:r w:rsidRPr="00096E90">
              <w:rPr>
                <w:sz w:val="20"/>
                <w:szCs w:val="20"/>
              </w:rPr>
              <w:tab/>
              <w:t>Andrew Shaughnessy</w:t>
            </w:r>
          </w:p>
          <w:p w:rsidR="00E045F7" w:rsidRPr="00096E90" w:rsidRDefault="00E045F7" w:rsidP="00A8644B">
            <w:pPr>
              <w:tabs>
                <w:tab w:val="left" w:pos="-1440"/>
                <w:tab w:val="left" w:pos="-720"/>
              </w:tabs>
              <w:rPr>
                <w:sz w:val="20"/>
                <w:szCs w:val="20"/>
              </w:rPr>
            </w:pPr>
            <w:r w:rsidRPr="00096E90">
              <w:rPr>
                <w:sz w:val="20"/>
                <w:szCs w:val="20"/>
              </w:rPr>
              <w:tab/>
              <w:t>Torys LLP</w:t>
            </w:r>
          </w:p>
          <w:p w:rsidR="00E045F7" w:rsidRPr="00096E90" w:rsidRDefault="00E045F7" w:rsidP="00A8644B">
            <w:pPr>
              <w:tabs>
                <w:tab w:val="left" w:pos="-1440"/>
                <w:tab w:val="left" w:pos="-720"/>
              </w:tabs>
              <w:rPr>
                <w:sz w:val="20"/>
                <w:szCs w:val="20"/>
              </w:rPr>
            </w:pPr>
          </w:p>
          <w:p w:rsidR="00E045F7" w:rsidRPr="00A935AA" w:rsidRDefault="00E045F7" w:rsidP="00A8644B">
            <w:pPr>
              <w:rPr>
                <w:sz w:val="20"/>
                <w:szCs w:val="20"/>
              </w:rPr>
            </w:pPr>
            <w:r w:rsidRPr="00A935AA">
              <w:rPr>
                <w:sz w:val="20"/>
                <w:szCs w:val="20"/>
              </w:rPr>
              <w:t xml:space="preserve">FILING DATE: </w:t>
            </w:r>
            <w:r>
              <w:rPr>
                <w:sz w:val="20"/>
                <w:szCs w:val="20"/>
              </w:rPr>
              <w:t>23.11.2010</w:t>
            </w:r>
          </w:p>
          <w:p w:rsidR="00E045F7" w:rsidRPr="00A935AA" w:rsidRDefault="00D56013" w:rsidP="00BF54EE">
            <w:pPr>
              <w:tabs>
                <w:tab w:val="left" w:pos="-1440"/>
                <w:tab w:val="left" w:pos="-720"/>
              </w:tabs>
              <w:rPr>
                <w:sz w:val="20"/>
                <w:szCs w:val="20"/>
              </w:rPr>
            </w:pPr>
            <w:r w:rsidRPr="00D56013">
              <w:rPr>
                <w:sz w:val="20"/>
                <w:szCs w:val="20"/>
                <w:lang w:val="fr-CA"/>
              </w:rPr>
              <w:pict>
                <v:rect id="_x0000_i1038" style="width:108pt;height:1pt" o:hrpct="0" o:hralign="center" o:hrstd="t" o:hrnoshade="t" o:hr="t" fillcolor="black [3213]" stroked="f"/>
              </w:pict>
            </w:r>
          </w:p>
        </w:tc>
      </w:tr>
      <w:tr w:rsidR="00E045F7" w:rsidRPr="00A935AA" w:rsidTr="003F1419">
        <w:trPr>
          <w:cantSplit/>
        </w:trPr>
        <w:tc>
          <w:tcPr>
            <w:tcW w:w="4320" w:type="dxa"/>
            <w:shd w:val="clear" w:color="auto" w:fill="auto"/>
          </w:tcPr>
          <w:p w:rsidR="00E045F7" w:rsidRPr="00A935AA" w:rsidRDefault="00E045F7" w:rsidP="00A8644B">
            <w:pPr>
              <w:rPr>
                <w:b/>
                <w:sz w:val="20"/>
                <w:szCs w:val="20"/>
              </w:rPr>
            </w:pPr>
            <w:r>
              <w:rPr>
                <w:b/>
                <w:sz w:val="20"/>
                <w:szCs w:val="20"/>
              </w:rPr>
              <w:t>William Russell Stephens</w:t>
            </w:r>
          </w:p>
          <w:p w:rsidR="00E045F7" w:rsidRPr="00A935AA" w:rsidRDefault="00E045F7" w:rsidP="00A8644B">
            <w:pPr>
              <w:tabs>
                <w:tab w:val="left" w:pos="-1440"/>
                <w:tab w:val="left" w:pos="-720"/>
              </w:tabs>
              <w:rPr>
                <w:sz w:val="20"/>
                <w:szCs w:val="20"/>
              </w:rPr>
            </w:pPr>
            <w:r w:rsidRPr="00A935AA">
              <w:rPr>
                <w:sz w:val="20"/>
                <w:szCs w:val="20"/>
              </w:rPr>
              <w:tab/>
            </w:r>
            <w:r>
              <w:rPr>
                <w:sz w:val="20"/>
                <w:szCs w:val="20"/>
              </w:rPr>
              <w:t>William Russell Stephens</w:t>
            </w:r>
          </w:p>
          <w:p w:rsidR="00E045F7" w:rsidRPr="00A935AA" w:rsidRDefault="00E045F7" w:rsidP="00A8644B">
            <w:pPr>
              <w:tabs>
                <w:tab w:val="left" w:pos="-1440"/>
                <w:tab w:val="left" w:pos="-720"/>
              </w:tabs>
              <w:rPr>
                <w:sz w:val="20"/>
                <w:szCs w:val="20"/>
              </w:rPr>
            </w:pPr>
          </w:p>
          <w:p w:rsidR="00E045F7" w:rsidRPr="00A935AA" w:rsidRDefault="00E045F7" w:rsidP="00A8644B">
            <w:pPr>
              <w:tabs>
                <w:tab w:val="left" w:pos="-1440"/>
                <w:tab w:val="left" w:pos="-720"/>
              </w:tabs>
              <w:rPr>
                <w:sz w:val="20"/>
                <w:szCs w:val="20"/>
              </w:rPr>
            </w:pPr>
            <w:r w:rsidRPr="00A935AA">
              <w:rPr>
                <w:sz w:val="20"/>
                <w:szCs w:val="20"/>
              </w:rPr>
              <w:tab/>
              <w:t>v. (33</w:t>
            </w:r>
            <w:r>
              <w:rPr>
                <w:sz w:val="20"/>
                <w:szCs w:val="20"/>
              </w:rPr>
              <w:t>964</w:t>
            </w:r>
            <w:r w:rsidRPr="00A935AA">
              <w:rPr>
                <w:sz w:val="20"/>
                <w:szCs w:val="20"/>
              </w:rPr>
              <w:t>)</w:t>
            </w:r>
          </w:p>
          <w:p w:rsidR="00E045F7" w:rsidRPr="00A935AA" w:rsidRDefault="00E045F7" w:rsidP="00A8644B">
            <w:pPr>
              <w:tabs>
                <w:tab w:val="left" w:pos="-1440"/>
                <w:tab w:val="left" w:pos="-720"/>
              </w:tabs>
              <w:rPr>
                <w:sz w:val="20"/>
                <w:szCs w:val="20"/>
              </w:rPr>
            </w:pPr>
          </w:p>
          <w:p w:rsidR="00E045F7" w:rsidRDefault="00E045F7" w:rsidP="00A8644B">
            <w:pPr>
              <w:tabs>
                <w:tab w:val="left" w:pos="-1440"/>
                <w:tab w:val="left" w:pos="-720"/>
              </w:tabs>
              <w:rPr>
                <w:b/>
                <w:sz w:val="20"/>
                <w:szCs w:val="20"/>
              </w:rPr>
            </w:pPr>
            <w:r>
              <w:rPr>
                <w:b/>
                <w:sz w:val="20"/>
                <w:szCs w:val="20"/>
              </w:rPr>
              <w:t>Her Majesty the Queen</w:t>
            </w:r>
            <w:r w:rsidR="009939FD">
              <w:rPr>
                <w:b/>
                <w:sz w:val="20"/>
                <w:szCs w:val="20"/>
              </w:rPr>
              <w:t xml:space="preserve"> (Ont.)</w:t>
            </w:r>
          </w:p>
          <w:p w:rsidR="00E045F7" w:rsidRPr="00A935AA" w:rsidRDefault="00E045F7" w:rsidP="00A8644B">
            <w:pPr>
              <w:tabs>
                <w:tab w:val="left" w:pos="-1440"/>
                <w:tab w:val="left" w:pos="-720"/>
              </w:tabs>
              <w:rPr>
                <w:sz w:val="20"/>
                <w:szCs w:val="20"/>
              </w:rPr>
            </w:pPr>
            <w:r w:rsidRPr="00A935AA">
              <w:rPr>
                <w:sz w:val="20"/>
                <w:szCs w:val="20"/>
              </w:rPr>
              <w:tab/>
            </w:r>
            <w:r>
              <w:rPr>
                <w:sz w:val="20"/>
                <w:szCs w:val="20"/>
              </w:rPr>
              <w:t>Benita Wassenaar</w:t>
            </w:r>
          </w:p>
          <w:p w:rsidR="00E045F7" w:rsidRPr="00A935AA" w:rsidRDefault="00E045F7" w:rsidP="00A8644B">
            <w:pPr>
              <w:tabs>
                <w:tab w:val="left" w:pos="-1440"/>
                <w:tab w:val="left" w:pos="-720"/>
              </w:tabs>
              <w:rPr>
                <w:sz w:val="20"/>
                <w:szCs w:val="20"/>
              </w:rPr>
            </w:pPr>
            <w:r w:rsidRPr="00A935AA">
              <w:rPr>
                <w:sz w:val="20"/>
                <w:szCs w:val="20"/>
              </w:rPr>
              <w:tab/>
            </w:r>
            <w:r>
              <w:rPr>
                <w:sz w:val="20"/>
                <w:szCs w:val="20"/>
              </w:rPr>
              <w:t>A.G. of Ontario</w:t>
            </w:r>
          </w:p>
          <w:p w:rsidR="00E045F7" w:rsidRPr="00A935AA" w:rsidRDefault="00E045F7" w:rsidP="00A8644B">
            <w:pPr>
              <w:tabs>
                <w:tab w:val="left" w:pos="-1440"/>
                <w:tab w:val="left" w:pos="-720"/>
              </w:tabs>
              <w:rPr>
                <w:sz w:val="20"/>
                <w:szCs w:val="20"/>
              </w:rPr>
            </w:pPr>
          </w:p>
          <w:p w:rsidR="00E045F7" w:rsidRPr="00A935AA" w:rsidRDefault="00E045F7" w:rsidP="00A8644B">
            <w:pPr>
              <w:rPr>
                <w:sz w:val="20"/>
                <w:szCs w:val="20"/>
              </w:rPr>
            </w:pPr>
            <w:r w:rsidRPr="00A935AA">
              <w:rPr>
                <w:sz w:val="20"/>
                <w:szCs w:val="20"/>
              </w:rPr>
              <w:t xml:space="preserve">FILING DATE: </w:t>
            </w:r>
            <w:r>
              <w:rPr>
                <w:sz w:val="20"/>
                <w:szCs w:val="20"/>
              </w:rPr>
              <w:t>23.11.2010</w:t>
            </w:r>
          </w:p>
          <w:p w:rsidR="00E045F7" w:rsidRDefault="00D56013" w:rsidP="00A8644B">
            <w:pPr>
              <w:tabs>
                <w:tab w:val="left" w:pos="-1440"/>
                <w:tab w:val="left" w:pos="-720"/>
              </w:tabs>
              <w:rPr>
                <w:b/>
                <w:sz w:val="20"/>
                <w:szCs w:val="20"/>
              </w:rPr>
            </w:pPr>
            <w:r w:rsidRPr="00D56013">
              <w:rPr>
                <w:sz w:val="20"/>
                <w:szCs w:val="20"/>
                <w:lang w:val="fr-CA"/>
              </w:rPr>
              <w:pict>
                <v:rect id="_x0000_i1039" style="width:108pt;height:1pt" o:hrpct="0" o:hralign="center" o:hrstd="t" o:hrnoshade="t" o:hr="t" fillcolor="black [3213]" stroked="f"/>
              </w:pict>
            </w:r>
          </w:p>
        </w:tc>
        <w:tc>
          <w:tcPr>
            <w:tcW w:w="1181" w:type="dxa"/>
            <w:shd w:val="clear" w:color="auto" w:fill="auto"/>
          </w:tcPr>
          <w:p w:rsidR="00E045F7" w:rsidRDefault="00E045F7" w:rsidP="00242AEE">
            <w:pPr>
              <w:jc w:val="center"/>
              <w:rPr>
                <w:sz w:val="20"/>
                <w:szCs w:val="20"/>
              </w:rPr>
            </w:pPr>
          </w:p>
        </w:tc>
        <w:tc>
          <w:tcPr>
            <w:tcW w:w="4320" w:type="dxa"/>
            <w:shd w:val="clear" w:color="auto" w:fill="auto"/>
          </w:tcPr>
          <w:p w:rsidR="00E045F7" w:rsidRPr="00A935AA" w:rsidRDefault="00E045F7" w:rsidP="00A8644B">
            <w:pPr>
              <w:rPr>
                <w:b/>
                <w:sz w:val="20"/>
                <w:szCs w:val="20"/>
              </w:rPr>
            </w:pPr>
            <w:r>
              <w:rPr>
                <w:b/>
                <w:sz w:val="20"/>
                <w:szCs w:val="20"/>
              </w:rPr>
              <w:t>Christel Simone Ute Sieg</w:t>
            </w:r>
          </w:p>
          <w:p w:rsidR="00E045F7" w:rsidRDefault="00E045F7" w:rsidP="00A8644B">
            <w:pPr>
              <w:tabs>
                <w:tab w:val="left" w:pos="-1440"/>
                <w:tab w:val="left" w:pos="-720"/>
              </w:tabs>
              <w:rPr>
                <w:sz w:val="20"/>
                <w:szCs w:val="20"/>
              </w:rPr>
            </w:pPr>
            <w:r>
              <w:rPr>
                <w:sz w:val="20"/>
                <w:szCs w:val="20"/>
              </w:rPr>
              <w:tab/>
              <w:t>Dean P. Davison</w:t>
            </w:r>
          </w:p>
          <w:p w:rsidR="00E045F7" w:rsidRPr="00A935AA" w:rsidRDefault="00E045F7" w:rsidP="00A8644B">
            <w:pPr>
              <w:tabs>
                <w:tab w:val="left" w:pos="-1440"/>
                <w:tab w:val="left" w:pos="-720"/>
              </w:tabs>
              <w:rPr>
                <w:sz w:val="20"/>
                <w:szCs w:val="20"/>
              </w:rPr>
            </w:pPr>
            <w:r w:rsidRPr="00A935AA">
              <w:rPr>
                <w:sz w:val="20"/>
                <w:szCs w:val="20"/>
              </w:rPr>
              <w:tab/>
            </w:r>
            <w:r>
              <w:rPr>
                <w:sz w:val="20"/>
                <w:szCs w:val="20"/>
              </w:rPr>
              <w:t>Dean P. Davison Law Corporation</w:t>
            </w:r>
          </w:p>
          <w:p w:rsidR="00E045F7" w:rsidRPr="00A935AA" w:rsidRDefault="00E045F7" w:rsidP="00A8644B">
            <w:pPr>
              <w:tabs>
                <w:tab w:val="left" w:pos="-1440"/>
                <w:tab w:val="left" w:pos="-720"/>
              </w:tabs>
              <w:rPr>
                <w:sz w:val="20"/>
                <w:szCs w:val="20"/>
              </w:rPr>
            </w:pPr>
          </w:p>
          <w:p w:rsidR="00E045F7" w:rsidRPr="00A935AA" w:rsidRDefault="00E045F7" w:rsidP="00A8644B">
            <w:pPr>
              <w:tabs>
                <w:tab w:val="left" w:pos="-1440"/>
                <w:tab w:val="left" w:pos="-720"/>
              </w:tabs>
              <w:rPr>
                <w:sz w:val="20"/>
                <w:szCs w:val="20"/>
              </w:rPr>
            </w:pPr>
            <w:r w:rsidRPr="00A935AA">
              <w:rPr>
                <w:sz w:val="20"/>
                <w:szCs w:val="20"/>
              </w:rPr>
              <w:tab/>
              <w:t>v. (33</w:t>
            </w:r>
            <w:r>
              <w:rPr>
                <w:sz w:val="20"/>
                <w:szCs w:val="20"/>
              </w:rPr>
              <w:t>957</w:t>
            </w:r>
            <w:r w:rsidRPr="00A935AA">
              <w:rPr>
                <w:sz w:val="20"/>
                <w:szCs w:val="20"/>
              </w:rPr>
              <w:t>)</w:t>
            </w:r>
          </w:p>
          <w:p w:rsidR="00E045F7" w:rsidRDefault="00E045F7" w:rsidP="00A8644B">
            <w:pPr>
              <w:rPr>
                <w:b/>
                <w:sz w:val="20"/>
                <w:szCs w:val="20"/>
              </w:rPr>
            </w:pPr>
          </w:p>
          <w:p w:rsidR="00E045F7" w:rsidRPr="00A935AA" w:rsidRDefault="00E045F7" w:rsidP="00A8644B">
            <w:pPr>
              <w:tabs>
                <w:tab w:val="left" w:pos="-1440"/>
                <w:tab w:val="left" w:pos="-720"/>
              </w:tabs>
              <w:rPr>
                <w:b/>
                <w:sz w:val="20"/>
                <w:szCs w:val="20"/>
              </w:rPr>
            </w:pPr>
            <w:r>
              <w:rPr>
                <w:b/>
                <w:sz w:val="20"/>
                <w:szCs w:val="20"/>
              </w:rPr>
              <w:t>Monica Elizabeth Frieda McIntosh</w:t>
            </w:r>
            <w:r w:rsidR="009939FD">
              <w:rPr>
                <w:b/>
                <w:sz w:val="20"/>
                <w:szCs w:val="20"/>
              </w:rPr>
              <w:t xml:space="preserve"> (B.C.)</w:t>
            </w:r>
          </w:p>
          <w:p w:rsidR="00E045F7" w:rsidRPr="00A935AA" w:rsidRDefault="00E045F7" w:rsidP="00A8644B">
            <w:pPr>
              <w:tabs>
                <w:tab w:val="left" w:pos="-1440"/>
                <w:tab w:val="left" w:pos="-720"/>
              </w:tabs>
              <w:rPr>
                <w:sz w:val="20"/>
                <w:szCs w:val="20"/>
              </w:rPr>
            </w:pPr>
            <w:r w:rsidRPr="00A935AA">
              <w:rPr>
                <w:sz w:val="20"/>
                <w:szCs w:val="20"/>
              </w:rPr>
              <w:tab/>
            </w:r>
            <w:r>
              <w:rPr>
                <w:sz w:val="20"/>
                <w:szCs w:val="20"/>
              </w:rPr>
              <w:t>Patrick J. Sullivan</w:t>
            </w:r>
          </w:p>
          <w:p w:rsidR="00E045F7" w:rsidRPr="00A935AA" w:rsidRDefault="00E045F7" w:rsidP="00A8644B">
            <w:pPr>
              <w:tabs>
                <w:tab w:val="left" w:pos="-1440"/>
                <w:tab w:val="left" w:pos="-720"/>
              </w:tabs>
              <w:rPr>
                <w:sz w:val="20"/>
                <w:szCs w:val="20"/>
              </w:rPr>
            </w:pPr>
            <w:r w:rsidRPr="00A935AA">
              <w:rPr>
                <w:sz w:val="20"/>
                <w:szCs w:val="20"/>
              </w:rPr>
              <w:tab/>
            </w:r>
            <w:r>
              <w:rPr>
                <w:sz w:val="20"/>
                <w:szCs w:val="20"/>
              </w:rPr>
              <w:t>Taylor, Veinotte, Sullivan</w:t>
            </w:r>
          </w:p>
          <w:p w:rsidR="00E045F7" w:rsidRPr="00A935AA" w:rsidRDefault="00E045F7" w:rsidP="00A8644B">
            <w:pPr>
              <w:tabs>
                <w:tab w:val="left" w:pos="-1440"/>
                <w:tab w:val="left" w:pos="-720"/>
              </w:tabs>
              <w:rPr>
                <w:sz w:val="20"/>
                <w:szCs w:val="20"/>
              </w:rPr>
            </w:pPr>
          </w:p>
          <w:p w:rsidR="00E045F7" w:rsidRPr="00A935AA" w:rsidRDefault="00E045F7" w:rsidP="00A8644B">
            <w:pPr>
              <w:rPr>
                <w:sz w:val="20"/>
                <w:szCs w:val="20"/>
              </w:rPr>
            </w:pPr>
            <w:r w:rsidRPr="00A935AA">
              <w:rPr>
                <w:sz w:val="20"/>
                <w:szCs w:val="20"/>
              </w:rPr>
              <w:t xml:space="preserve">FILING DATE: </w:t>
            </w:r>
            <w:r>
              <w:rPr>
                <w:sz w:val="20"/>
                <w:szCs w:val="20"/>
              </w:rPr>
              <w:t>25.11.2010</w:t>
            </w:r>
          </w:p>
          <w:p w:rsidR="00E045F7" w:rsidRDefault="00D56013" w:rsidP="00BF54EE">
            <w:pPr>
              <w:rPr>
                <w:b/>
                <w:sz w:val="20"/>
                <w:szCs w:val="20"/>
              </w:rPr>
            </w:pPr>
            <w:r w:rsidRPr="00D56013">
              <w:rPr>
                <w:sz w:val="20"/>
                <w:szCs w:val="20"/>
                <w:lang w:val="fr-CA"/>
              </w:rPr>
              <w:pict>
                <v:rect id="_x0000_i1040" style="width:108pt;height:1pt" o:hrpct="0" o:hralign="center" o:hrstd="t" o:hrnoshade="t" o:hr="t" fillcolor="black [3213]" stroked="f"/>
              </w:pict>
            </w:r>
          </w:p>
        </w:tc>
      </w:tr>
      <w:tr w:rsidR="00E045F7" w:rsidRPr="00A935AA" w:rsidTr="003F1419">
        <w:trPr>
          <w:cantSplit/>
        </w:trPr>
        <w:tc>
          <w:tcPr>
            <w:tcW w:w="4320" w:type="dxa"/>
            <w:shd w:val="clear" w:color="auto" w:fill="auto"/>
          </w:tcPr>
          <w:p w:rsidR="00E045F7" w:rsidRDefault="00E045F7" w:rsidP="00A8644B">
            <w:pPr>
              <w:rPr>
                <w:b/>
                <w:sz w:val="20"/>
                <w:szCs w:val="20"/>
              </w:rPr>
            </w:pPr>
            <w:r>
              <w:rPr>
                <w:b/>
                <w:sz w:val="20"/>
                <w:szCs w:val="20"/>
              </w:rPr>
              <w:lastRenderedPageBreak/>
              <w:t xml:space="preserve">Frank Angelo Gabriele et al. </w:t>
            </w:r>
          </w:p>
          <w:p w:rsidR="00E045F7" w:rsidRPr="00114AD1" w:rsidRDefault="00E045F7" w:rsidP="00A8644B">
            <w:pPr>
              <w:rPr>
                <w:sz w:val="20"/>
                <w:szCs w:val="20"/>
              </w:rPr>
            </w:pPr>
            <w:r>
              <w:rPr>
                <w:b/>
                <w:sz w:val="20"/>
                <w:szCs w:val="20"/>
              </w:rPr>
              <w:tab/>
            </w:r>
            <w:r>
              <w:rPr>
                <w:sz w:val="20"/>
                <w:szCs w:val="20"/>
              </w:rPr>
              <w:t>Ronald B. Moldaver, Q.C.</w:t>
            </w:r>
          </w:p>
          <w:p w:rsidR="00E045F7" w:rsidRPr="00114AD1" w:rsidRDefault="00E045F7" w:rsidP="00A8644B">
            <w:pPr>
              <w:rPr>
                <w:sz w:val="20"/>
                <w:szCs w:val="20"/>
              </w:rPr>
            </w:pPr>
            <w:r>
              <w:rPr>
                <w:b/>
                <w:sz w:val="20"/>
                <w:szCs w:val="20"/>
              </w:rPr>
              <w:tab/>
            </w:r>
            <w:r w:rsidRPr="00114AD1">
              <w:rPr>
                <w:sz w:val="20"/>
                <w:szCs w:val="20"/>
              </w:rPr>
              <w:t>Davis Moldaver LLP</w:t>
            </w:r>
          </w:p>
          <w:p w:rsidR="00E045F7" w:rsidRPr="00114AD1" w:rsidRDefault="00E045F7" w:rsidP="00A8644B">
            <w:pPr>
              <w:rPr>
                <w:sz w:val="20"/>
                <w:szCs w:val="20"/>
              </w:rPr>
            </w:pPr>
          </w:p>
          <w:p w:rsidR="00E045F7" w:rsidRPr="00114AD1" w:rsidRDefault="00E045F7" w:rsidP="00A8644B">
            <w:pPr>
              <w:rPr>
                <w:sz w:val="20"/>
                <w:szCs w:val="20"/>
              </w:rPr>
            </w:pPr>
            <w:r>
              <w:rPr>
                <w:b/>
                <w:sz w:val="20"/>
                <w:szCs w:val="20"/>
              </w:rPr>
              <w:tab/>
            </w:r>
            <w:r>
              <w:rPr>
                <w:sz w:val="20"/>
                <w:szCs w:val="20"/>
              </w:rPr>
              <w:t>v. (33960)</w:t>
            </w:r>
          </w:p>
          <w:p w:rsidR="00E045F7" w:rsidRDefault="00E045F7" w:rsidP="00A8644B">
            <w:pPr>
              <w:rPr>
                <w:b/>
                <w:sz w:val="20"/>
                <w:szCs w:val="20"/>
              </w:rPr>
            </w:pPr>
          </w:p>
          <w:p w:rsidR="00E045F7" w:rsidRDefault="00E045F7" w:rsidP="00A8644B">
            <w:pPr>
              <w:rPr>
                <w:b/>
                <w:sz w:val="20"/>
                <w:szCs w:val="20"/>
              </w:rPr>
            </w:pPr>
            <w:r>
              <w:rPr>
                <w:b/>
                <w:sz w:val="20"/>
                <w:szCs w:val="20"/>
              </w:rPr>
              <w:t>Ontario Realty Corporation et al. (Ont.)</w:t>
            </w:r>
          </w:p>
          <w:p w:rsidR="00E045F7" w:rsidRPr="00114AD1" w:rsidRDefault="00E045F7" w:rsidP="00A8644B">
            <w:pPr>
              <w:rPr>
                <w:sz w:val="20"/>
                <w:szCs w:val="20"/>
              </w:rPr>
            </w:pPr>
            <w:r>
              <w:rPr>
                <w:b/>
                <w:sz w:val="20"/>
                <w:szCs w:val="20"/>
              </w:rPr>
              <w:tab/>
            </w:r>
            <w:r>
              <w:rPr>
                <w:sz w:val="20"/>
                <w:szCs w:val="20"/>
              </w:rPr>
              <w:t>Ronald E. Carr</w:t>
            </w:r>
          </w:p>
          <w:p w:rsidR="00E045F7" w:rsidRPr="00114AD1" w:rsidRDefault="00E045F7" w:rsidP="00A8644B">
            <w:pPr>
              <w:rPr>
                <w:sz w:val="20"/>
                <w:szCs w:val="20"/>
              </w:rPr>
            </w:pPr>
            <w:r>
              <w:rPr>
                <w:b/>
                <w:sz w:val="20"/>
                <w:szCs w:val="20"/>
              </w:rPr>
              <w:tab/>
            </w:r>
            <w:r>
              <w:rPr>
                <w:sz w:val="20"/>
                <w:szCs w:val="20"/>
              </w:rPr>
              <w:t>A.G. of Ontario</w:t>
            </w:r>
          </w:p>
          <w:p w:rsidR="00E045F7" w:rsidRDefault="00E045F7" w:rsidP="00A8644B">
            <w:pPr>
              <w:rPr>
                <w:b/>
                <w:sz w:val="20"/>
                <w:szCs w:val="20"/>
              </w:rPr>
            </w:pPr>
          </w:p>
          <w:p w:rsidR="00E045F7" w:rsidRPr="00A935AA" w:rsidRDefault="00E045F7" w:rsidP="00A8644B">
            <w:pPr>
              <w:rPr>
                <w:sz w:val="20"/>
                <w:szCs w:val="20"/>
              </w:rPr>
            </w:pPr>
            <w:r w:rsidRPr="00A935AA">
              <w:rPr>
                <w:sz w:val="20"/>
                <w:szCs w:val="20"/>
              </w:rPr>
              <w:t xml:space="preserve">FILING DATE: </w:t>
            </w:r>
            <w:r>
              <w:rPr>
                <w:sz w:val="20"/>
                <w:szCs w:val="20"/>
              </w:rPr>
              <w:t>29.11.2010</w:t>
            </w:r>
          </w:p>
          <w:p w:rsidR="00E045F7" w:rsidRPr="00E045F7" w:rsidRDefault="00E045F7" w:rsidP="00E045F7">
            <w:pPr>
              <w:rPr>
                <w:sz w:val="20"/>
                <w:szCs w:val="20"/>
                <w:lang w:val="fr-CA"/>
              </w:rPr>
            </w:pPr>
          </w:p>
        </w:tc>
        <w:tc>
          <w:tcPr>
            <w:tcW w:w="1181" w:type="dxa"/>
            <w:shd w:val="clear" w:color="auto" w:fill="auto"/>
          </w:tcPr>
          <w:p w:rsidR="00E045F7" w:rsidRPr="00E045F7" w:rsidRDefault="00E045F7" w:rsidP="00242AEE">
            <w:pPr>
              <w:jc w:val="center"/>
              <w:rPr>
                <w:sz w:val="20"/>
                <w:szCs w:val="20"/>
                <w:lang w:val="fr-CA"/>
              </w:rPr>
            </w:pPr>
          </w:p>
          <w:p w:rsidR="00E045F7" w:rsidRPr="00E045F7" w:rsidRDefault="00E045F7" w:rsidP="00242AEE">
            <w:pPr>
              <w:jc w:val="center"/>
              <w:rPr>
                <w:sz w:val="20"/>
                <w:szCs w:val="20"/>
                <w:lang w:val="fr-CA"/>
              </w:rPr>
            </w:pPr>
          </w:p>
          <w:p w:rsidR="00E045F7" w:rsidRPr="00E045F7" w:rsidRDefault="00E045F7" w:rsidP="00242AEE">
            <w:pPr>
              <w:jc w:val="center"/>
              <w:rPr>
                <w:sz w:val="20"/>
                <w:szCs w:val="20"/>
                <w:lang w:val="fr-CA"/>
              </w:rPr>
            </w:pPr>
          </w:p>
          <w:p w:rsidR="00E045F7" w:rsidRPr="00E045F7" w:rsidRDefault="00E045F7" w:rsidP="00242AEE">
            <w:pPr>
              <w:jc w:val="center"/>
              <w:rPr>
                <w:sz w:val="20"/>
                <w:szCs w:val="20"/>
                <w:lang w:val="fr-CA"/>
              </w:rPr>
            </w:pPr>
          </w:p>
          <w:p w:rsidR="00E045F7" w:rsidRPr="00E045F7" w:rsidRDefault="00E045F7" w:rsidP="00242AEE">
            <w:pPr>
              <w:jc w:val="center"/>
              <w:rPr>
                <w:sz w:val="20"/>
                <w:szCs w:val="20"/>
                <w:lang w:val="fr-CA"/>
              </w:rPr>
            </w:pPr>
          </w:p>
          <w:p w:rsidR="00E045F7" w:rsidRPr="00E045F7" w:rsidRDefault="00E045F7" w:rsidP="00242AEE">
            <w:pPr>
              <w:jc w:val="center"/>
              <w:rPr>
                <w:sz w:val="20"/>
                <w:szCs w:val="20"/>
                <w:lang w:val="fr-CA"/>
              </w:rPr>
            </w:pPr>
          </w:p>
          <w:p w:rsidR="00E045F7" w:rsidRPr="00E045F7" w:rsidRDefault="00E045F7" w:rsidP="00242AEE">
            <w:pPr>
              <w:jc w:val="center"/>
              <w:rPr>
                <w:sz w:val="20"/>
                <w:szCs w:val="20"/>
                <w:lang w:val="fr-CA"/>
              </w:rPr>
            </w:pPr>
          </w:p>
          <w:p w:rsidR="00E045F7" w:rsidRPr="00E045F7" w:rsidRDefault="00E045F7" w:rsidP="00242AEE">
            <w:pPr>
              <w:jc w:val="center"/>
              <w:rPr>
                <w:sz w:val="20"/>
                <w:szCs w:val="20"/>
                <w:lang w:val="fr-CA"/>
              </w:rPr>
            </w:pPr>
          </w:p>
          <w:p w:rsidR="00E045F7" w:rsidRPr="00E045F7" w:rsidRDefault="00E045F7" w:rsidP="00242AEE">
            <w:pPr>
              <w:jc w:val="center"/>
              <w:rPr>
                <w:sz w:val="20"/>
                <w:szCs w:val="20"/>
                <w:lang w:val="fr-CA"/>
              </w:rPr>
            </w:pPr>
          </w:p>
          <w:p w:rsidR="00E045F7" w:rsidRPr="00E045F7" w:rsidRDefault="00E045F7" w:rsidP="00242AEE">
            <w:pPr>
              <w:jc w:val="center"/>
              <w:rPr>
                <w:sz w:val="20"/>
                <w:szCs w:val="20"/>
                <w:lang w:val="fr-CA"/>
              </w:rPr>
            </w:pPr>
          </w:p>
          <w:p w:rsidR="00E045F7" w:rsidRPr="00E045F7" w:rsidRDefault="00E045F7" w:rsidP="00242AEE">
            <w:pPr>
              <w:jc w:val="center"/>
              <w:rPr>
                <w:sz w:val="20"/>
                <w:szCs w:val="20"/>
                <w:lang w:val="fr-CA"/>
              </w:rPr>
            </w:pPr>
          </w:p>
          <w:p w:rsidR="00E045F7" w:rsidRPr="00E045F7" w:rsidRDefault="00E045F7" w:rsidP="00242AEE">
            <w:pPr>
              <w:jc w:val="center"/>
              <w:rPr>
                <w:sz w:val="20"/>
                <w:szCs w:val="20"/>
                <w:lang w:val="fr-CA"/>
              </w:rPr>
            </w:pPr>
          </w:p>
        </w:tc>
        <w:tc>
          <w:tcPr>
            <w:tcW w:w="4320" w:type="dxa"/>
            <w:shd w:val="clear" w:color="auto" w:fill="auto"/>
          </w:tcPr>
          <w:p w:rsidR="00E045F7" w:rsidRDefault="00E045F7" w:rsidP="00E045F7">
            <w:pPr>
              <w:rPr>
                <w:b/>
                <w:sz w:val="20"/>
                <w:szCs w:val="20"/>
              </w:rPr>
            </w:pPr>
            <w:r>
              <w:rPr>
                <w:b/>
                <w:sz w:val="20"/>
                <w:szCs w:val="20"/>
              </w:rPr>
              <w:t>Keeno Shawn Wright</w:t>
            </w:r>
          </w:p>
          <w:p w:rsidR="00E045F7" w:rsidRPr="00114AD1" w:rsidRDefault="00E045F7" w:rsidP="00E045F7">
            <w:pPr>
              <w:rPr>
                <w:sz w:val="20"/>
                <w:szCs w:val="20"/>
              </w:rPr>
            </w:pPr>
            <w:r w:rsidRPr="00114AD1">
              <w:rPr>
                <w:sz w:val="20"/>
                <w:szCs w:val="20"/>
              </w:rPr>
              <w:tab/>
            </w:r>
            <w:r>
              <w:rPr>
                <w:sz w:val="20"/>
                <w:szCs w:val="20"/>
              </w:rPr>
              <w:t>R. Ian Histed</w:t>
            </w:r>
          </w:p>
          <w:p w:rsidR="00E045F7" w:rsidRDefault="00E045F7" w:rsidP="00E045F7">
            <w:pPr>
              <w:rPr>
                <w:sz w:val="20"/>
                <w:szCs w:val="20"/>
              </w:rPr>
            </w:pPr>
            <w:r w:rsidRPr="00114AD1">
              <w:rPr>
                <w:sz w:val="20"/>
                <w:szCs w:val="20"/>
              </w:rPr>
              <w:tab/>
            </w:r>
            <w:r>
              <w:rPr>
                <w:sz w:val="20"/>
                <w:szCs w:val="20"/>
              </w:rPr>
              <w:t>Downtown Legal Action</w:t>
            </w:r>
          </w:p>
          <w:p w:rsidR="00E045F7" w:rsidRDefault="00E045F7" w:rsidP="00E045F7">
            <w:pPr>
              <w:rPr>
                <w:sz w:val="20"/>
                <w:szCs w:val="20"/>
              </w:rPr>
            </w:pPr>
          </w:p>
          <w:p w:rsidR="00E045F7" w:rsidRDefault="00E045F7" w:rsidP="00E045F7">
            <w:pPr>
              <w:rPr>
                <w:sz w:val="20"/>
                <w:szCs w:val="20"/>
              </w:rPr>
            </w:pPr>
            <w:r>
              <w:rPr>
                <w:sz w:val="20"/>
                <w:szCs w:val="20"/>
              </w:rPr>
              <w:tab/>
            </w:r>
            <w:r w:rsidRPr="00A935AA">
              <w:rPr>
                <w:sz w:val="20"/>
                <w:szCs w:val="20"/>
              </w:rPr>
              <w:t>v. (33</w:t>
            </w:r>
            <w:r>
              <w:rPr>
                <w:sz w:val="20"/>
                <w:szCs w:val="20"/>
              </w:rPr>
              <w:t>967</w:t>
            </w:r>
            <w:r w:rsidRPr="00A935AA">
              <w:rPr>
                <w:sz w:val="20"/>
                <w:szCs w:val="20"/>
              </w:rPr>
              <w:t>)</w:t>
            </w:r>
          </w:p>
          <w:p w:rsidR="00E045F7" w:rsidRDefault="00E045F7" w:rsidP="00E045F7">
            <w:pPr>
              <w:rPr>
                <w:sz w:val="20"/>
                <w:szCs w:val="20"/>
              </w:rPr>
            </w:pPr>
          </w:p>
          <w:p w:rsidR="00E045F7" w:rsidRPr="00114AD1" w:rsidRDefault="00E045F7" w:rsidP="00E045F7">
            <w:pPr>
              <w:rPr>
                <w:sz w:val="20"/>
                <w:szCs w:val="20"/>
              </w:rPr>
            </w:pPr>
            <w:r>
              <w:rPr>
                <w:b/>
                <w:sz w:val="20"/>
                <w:szCs w:val="20"/>
              </w:rPr>
              <w:t>Her Majesty the Queen (Man.)</w:t>
            </w:r>
          </w:p>
          <w:p w:rsidR="00E045F7" w:rsidRDefault="00E045F7" w:rsidP="00E045F7">
            <w:pPr>
              <w:rPr>
                <w:b/>
                <w:sz w:val="20"/>
                <w:szCs w:val="20"/>
              </w:rPr>
            </w:pPr>
            <w:r>
              <w:rPr>
                <w:b/>
                <w:sz w:val="20"/>
                <w:szCs w:val="20"/>
              </w:rPr>
              <w:tab/>
            </w:r>
            <w:r>
              <w:rPr>
                <w:sz w:val="20"/>
                <w:szCs w:val="20"/>
              </w:rPr>
              <w:t>Eugene B. Szach</w:t>
            </w:r>
          </w:p>
          <w:p w:rsidR="00E045F7" w:rsidRDefault="00E045F7" w:rsidP="00E045F7">
            <w:pPr>
              <w:rPr>
                <w:sz w:val="20"/>
                <w:szCs w:val="20"/>
              </w:rPr>
            </w:pPr>
            <w:r>
              <w:rPr>
                <w:b/>
                <w:sz w:val="20"/>
                <w:szCs w:val="20"/>
              </w:rPr>
              <w:tab/>
            </w:r>
            <w:r>
              <w:rPr>
                <w:sz w:val="20"/>
                <w:szCs w:val="20"/>
              </w:rPr>
              <w:t>A.G. of Manitoba</w:t>
            </w:r>
          </w:p>
          <w:p w:rsidR="00E045F7" w:rsidRDefault="00E045F7" w:rsidP="00E045F7">
            <w:pPr>
              <w:rPr>
                <w:b/>
                <w:sz w:val="20"/>
                <w:szCs w:val="20"/>
              </w:rPr>
            </w:pPr>
          </w:p>
          <w:p w:rsidR="00E045F7" w:rsidRPr="00A935AA" w:rsidRDefault="00E045F7" w:rsidP="00E045F7">
            <w:pPr>
              <w:rPr>
                <w:sz w:val="20"/>
                <w:szCs w:val="20"/>
              </w:rPr>
            </w:pPr>
            <w:r w:rsidRPr="00A935AA">
              <w:rPr>
                <w:sz w:val="20"/>
                <w:szCs w:val="20"/>
              </w:rPr>
              <w:t xml:space="preserve">FILING DATE: </w:t>
            </w:r>
            <w:r>
              <w:rPr>
                <w:sz w:val="20"/>
                <w:szCs w:val="20"/>
              </w:rPr>
              <w:t>26.11.2010</w:t>
            </w:r>
          </w:p>
          <w:p w:rsidR="00E045F7" w:rsidRDefault="00D56013" w:rsidP="00E045F7">
            <w:pPr>
              <w:rPr>
                <w:b/>
                <w:sz w:val="20"/>
                <w:szCs w:val="20"/>
              </w:rPr>
            </w:pPr>
            <w:r w:rsidRPr="00D56013">
              <w:rPr>
                <w:sz w:val="20"/>
                <w:szCs w:val="20"/>
                <w:lang w:val="fr-CA"/>
              </w:rPr>
              <w:pict>
                <v:rect id="_x0000_i1041" style="width:108pt;height:1pt" o:hrpct="0" o:hralign="center" o:hrstd="t" o:hrnoshade="t" o:hr="t" fillcolor="black [3213]" stroked="f"/>
              </w:pict>
            </w:r>
          </w:p>
        </w:tc>
      </w:tr>
      <w:tr w:rsidR="00FC5E72" w:rsidRPr="00A935AA" w:rsidTr="003F1419">
        <w:trPr>
          <w:cantSplit/>
        </w:trPr>
        <w:tc>
          <w:tcPr>
            <w:tcW w:w="4320" w:type="dxa"/>
            <w:shd w:val="clear" w:color="auto" w:fill="auto"/>
          </w:tcPr>
          <w:p w:rsidR="00FC5E72" w:rsidRPr="00FC5E72" w:rsidRDefault="00FC5E72" w:rsidP="00E045F7">
            <w:pPr>
              <w:rPr>
                <w:sz w:val="20"/>
                <w:szCs w:val="20"/>
              </w:rPr>
            </w:pPr>
            <w:r w:rsidRPr="00FC5E72">
              <w:rPr>
                <w:sz w:val="20"/>
                <w:szCs w:val="20"/>
              </w:rPr>
              <w:t>and between</w:t>
            </w:r>
          </w:p>
          <w:p w:rsidR="00FC5E72" w:rsidRPr="00FC5E72" w:rsidRDefault="00FC5E72" w:rsidP="00E045F7">
            <w:pPr>
              <w:rPr>
                <w:sz w:val="20"/>
                <w:szCs w:val="20"/>
              </w:rPr>
            </w:pPr>
          </w:p>
          <w:p w:rsidR="00FC5E72" w:rsidRPr="00FC5E72" w:rsidRDefault="00FC5E72" w:rsidP="00E045F7">
            <w:pPr>
              <w:tabs>
                <w:tab w:val="left" w:pos="-1440"/>
                <w:tab w:val="left" w:pos="-720"/>
              </w:tabs>
              <w:rPr>
                <w:sz w:val="20"/>
                <w:szCs w:val="20"/>
              </w:rPr>
            </w:pPr>
            <w:r w:rsidRPr="00FC5E72">
              <w:rPr>
                <w:b/>
                <w:sz w:val="20"/>
                <w:szCs w:val="20"/>
              </w:rPr>
              <w:t>P. Gabrielle &amp; Sons Limited et al.</w:t>
            </w:r>
          </w:p>
          <w:p w:rsidR="00FC5E72" w:rsidRPr="00114AD1" w:rsidRDefault="00FC5E72" w:rsidP="00A8644B">
            <w:pPr>
              <w:tabs>
                <w:tab w:val="left" w:pos="-1440"/>
                <w:tab w:val="left" w:pos="-720"/>
              </w:tabs>
              <w:rPr>
                <w:sz w:val="20"/>
                <w:szCs w:val="20"/>
              </w:rPr>
            </w:pPr>
            <w:r w:rsidRPr="00FC5E72">
              <w:rPr>
                <w:sz w:val="20"/>
                <w:szCs w:val="20"/>
              </w:rPr>
              <w:tab/>
            </w:r>
            <w:r w:rsidRPr="00114AD1">
              <w:rPr>
                <w:sz w:val="20"/>
                <w:szCs w:val="20"/>
              </w:rPr>
              <w:t>Enzo Di Iorio</w:t>
            </w:r>
          </w:p>
          <w:p w:rsidR="00FC5E72" w:rsidRPr="00114AD1" w:rsidRDefault="00FC5E72" w:rsidP="00A8644B">
            <w:pPr>
              <w:tabs>
                <w:tab w:val="left" w:pos="-1440"/>
                <w:tab w:val="left" w:pos="-720"/>
              </w:tabs>
              <w:rPr>
                <w:sz w:val="20"/>
                <w:szCs w:val="20"/>
              </w:rPr>
            </w:pPr>
            <w:r w:rsidRPr="00114AD1">
              <w:rPr>
                <w:sz w:val="20"/>
                <w:szCs w:val="20"/>
              </w:rPr>
              <w:tab/>
              <w:t>Rontundo Di Iorio Qua</w:t>
            </w:r>
            <w:r>
              <w:rPr>
                <w:sz w:val="20"/>
                <w:szCs w:val="20"/>
              </w:rPr>
              <w:t>g</w:t>
            </w:r>
            <w:r w:rsidRPr="00114AD1">
              <w:rPr>
                <w:sz w:val="20"/>
                <w:szCs w:val="20"/>
              </w:rPr>
              <w:t xml:space="preserve">lietta </w:t>
            </w:r>
          </w:p>
          <w:p w:rsidR="00FC5E72" w:rsidRPr="00114AD1" w:rsidRDefault="00FC5E72" w:rsidP="00A8644B">
            <w:pPr>
              <w:tabs>
                <w:tab w:val="left" w:pos="-1440"/>
                <w:tab w:val="left" w:pos="-720"/>
              </w:tabs>
              <w:rPr>
                <w:sz w:val="20"/>
                <w:szCs w:val="20"/>
              </w:rPr>
            </w:pPr>
          </w:p>
          <w:p w:rsidR="00FC5E72" w:rsidRPr="00114AD1" w:rsidRDefault="00FC5E72" w:rsidP="00A8644B">
            <w:pPr>
              <w:tabs>
                <w:tab w:val="left" w:pos="-1440"/>
                <w:tab w:val="left" w:pos="-720"/>
              </w:tabs>
              <w:rPr>
                <w:sz w:val="20"/>
                <w:szCs w:val="20"/>
              </w:rPr>
            </w:pPr>
            <w:r w:rsidRPr="00114AD1">
              <w:rPr>
                <w:sz w:val="20"/>
                <w:szCs w:val="20"/>
              </w:rPr>
              <w:tab/>
              <w:t xml:space="preserve">v. </w:t>
            </w:r>
            <w:r>
              <w:rPr>
                <w:sz w:val="20"/>
                <w:szCs w:val="20"/>
              </w:rPr>
              <w:t>(33960)</w:t>
            </w:r>
          </w:p>
          <w:p w:rsidR="00FC5E72" w:rsidRPr="00114AD1" w:rsidRDefault="00FC5E72" w:rsidP="00A8644B">
            <w:pPr>
              <w:tabs>
                <w:tab w:val="left" w:pos="-1440"/>
                <w:tab w:val="left" w:pos="-720"/>
              </w:tabs>
              <w:rPr>
                <w:sz w:val="20"/>
                <w:szCs w:val="20"/>
              </w:rPr>
            </w:pPr>
          </w:p>
          <w:p w:rsidR="00FC5E72" w:rsidRDefault="00FC5E72" w:rsidP="00A8644B">
            <w:pPr>
              <w:rPr>
                <w:b/>
                <w:sz w:val="20"/>
                <w:szCs w:val="20"/>
              </w:rPr>
            </w:pPr>
            <w:r>
              <w:rPr>
                <w:b/>
                <w:sz w:val="20"/>
                <w:szCs w:val="20"/>
              </w:rPr>
              <w:t>Ontario Realty Corporation et al. (Ont.)</w:t>
            </w:r>
          </w:p>
          <w:p w:rsidR="00FC5E72" w:rsidRPr="00114AD1" w:rsidRDefault="00FC5E72" w:rsidP="00A8644B">
            <w:pPr>
              <w:rPr>
                <w:sz w:val="20"/>
                <w:szCs w:val="20"/>
              </w:rPr>
            </w:pPr>
            <w:r>
              <w:rPr>
                <w:b/>
                <w:sz w:val="20"/>
                <w:szCs w:val="20"/>
              </w:rPr>
              <w:tab/>
            </w:r>
            <w:r>
              <w:rPr>
                <w:sz w:val="20"/>
                <w:szCs w:val="20"/>
              </w:rPr>
              <w:t>Ronald E. Carr</w:t>
            </w:r>
          </w:p>
          <w:p w:rsidR="00FC5E72" w:rsidRPr="00114AD1" w:rsidRDefault="00FC5E72" w:rsidP="00A8644B">
            <w:pPr>
              <w:rPr>
                <w:sz w:val="20"/>
                <w:szCs w:val="20"/>
              </w:rPr>
            </w:pPr>
            <w:r>
              <w:rPr>
                <w:b/>
                <w:sz w:val="20"/>
                <w:szCs w:val="20"/>
              </w:rPr>
              <w:tab/>
            </w:r>
            <w:r>
              <w:rPr>
                <w:sz w:val="20"/>
                <w:szCs w:val="20"/>
              </w:rPr>
              <w:t>A.G. of Ontario</w:t>
            </w:r>
          </w:p>
          <w:p w:rsidR="00FC5E72" w:rsidRPr="00114AD1" w:rsidRDefault="00FC5E72" w:rsidP="00A8644B">
            <w:pPr>
              <w:tabs>
                <w:tab w:val="left" w:pos="-1440"/>
                <w:tab w:val="left" w:pos="-720"/>
              </w:tabs>
              <w:rPr>
                <w:sz w:val="20"/>
                <w:szCs w:val="20"/>
              </w:rPr>
            </w:pPr>
          </w:p>
          <w:p w:rsidR="00FC5E72" w:rsidRPr="00A935AA" w:rsidRDefault="00FC5E72" w:rsidP="00A8644B">
            <w:pPr>
              <w:rPr>
                <w:sz w:val="20"/>
                <w:szCs w:val="20"/>
              </w:rPr>
            </w:pPr>
            <w:r w:rsidRPr="00A935AA">
              <w:rPr>
                <w:sz w:val="20"/>
                <w:szCs w:val="20"/>
              </w:rPr>
              <w:t xml:space="preserve">FILING DATE: </w:t>
            </w:r>
            <w:r>
              <w:rPr>
                <w:sz w:val="20"/>
                <w:szCs w:val="20"/>
              </w:rPr>
              <w:t>06.12.2010</w:t>
            </w:r>
          </w:p>
          <w:p w:rsidR="00FC5E72" w:rsidRPr="00114AD1" w:rsidRDefault="00D56013" w:rsidP="00A8644B">
            <w:pPr>
              <w:rPr>
                <w:sz w:val="20"/>
                <w:szCs w:val="20"/>
              </w:rPr>
            </w:pPr>
            <w:r w:rsidRPr="00D56013">
              <w:rPr>
                <w:sz w:val="20"/>
                <w:szCs w:val="20"/>
                <w:lang w:val="fr-CA"/>
              </w:rPr>
              <w:pict>
                <v:rect id="_x0000_i1042" style="width:108pt;height:1pt" o:hrpct="0" o:hralign="center" o:hrstd="t" o:hrnoshade="t" o:hr="t" fillcolor="black [3213]" stroked="f"/>
              </w:pict>
            </w:r>
          </w:p>
        </w:tc>
        <w:tc>
          <w:tcPr>
            <w:tcW w:w="1181" w:type="dxa"/>
            <w:shd w:val="clear" w:color="auto" w:fill="auto"/>
          </w:tcPr>
          <w:p w:rsidR="00FC5E72" w:rsidRDefault="00FC5E72" w:rsidP="00242AEE">
            <w:pPr>
              <w:jc w:val="center"/>
              <w:rPr>
                <w:sz w:val="20"/>
                <w:szCs w:val="20"/>
              </w:rPr>
            </w:pPr>
          </w:p>
          <w:p w:rsidR="00FC5E72" w:rsidRDefault="00FC5E72" w:rsidP="00242AEE">
            <w:pPr>
              <w:jc w:val="center"/>
              <w:rPr>
                <w:sz w:val="20"/>
                <w:szCs w:val="20"/>
              </w:rPr>
            </w:pPr>
          </w:p>
          <w:p w:rsidR="00FC5E72" w:rsidRDefault="00FC5E72" w:rsidP="00242AEE">
            <w:pPr>
              <w:jc w:val="center"/>
              <w:rPr>
                <w:sz w:val="20"/>
                <w:szCs w:val="20"/>
              </w:rPr>
            </w:pPr>
          </w:p>
          <w:p w:rsidR="00FC5E72" w:rsidRDefault="00FC5E72" w:rsidP="00242AEE">
            <w:pPr>
              <w:jc w:val="center"/>
              <w:rPr>
                <w:sz w:val="20"/>
                <w:szCs w:val="20"/>
              </w:rPr>
            </w:pPr>
          </w:p>
          <w:p w:rsidR="00FC5E72" w:rsidRDefault="00FC5E72" w:rsidP="00242AEE">
            <w:pPr>
              <w:jc w:val="center"/>
              <w:rPr>
                <w:sz w:val="20"/>
                <w:szCs w:val="20"/>
              </w:rPr>
            </w:pPr>
          </w:p>
          <w:p w:rsidR="00FC5E72" w:rsidRDefault="00FC5E72" w:rsidP="00242AEE">
            <w:pPr>
              <w:jc w:val="center"/>
              <w:rPr>
                <w:sz w:val="20"/>
                <w:szCs w:val="20"/>
              </w:rPr>
            </w:pPr>
          </w:p>
          <w:p w:rsidR="00FC5E72" w:rsidRDefault="00FC5E72" w:rsidP="00242AEE">
            <w:pPr>
              <w:jc w:val="center"/>
              <w:rPr>
                <w:sz w:val="20"/>
                <w:szCs w:val="20"/>
              </w:rPr>
            </w:pPr>
          </w:p>
          <w:p w:rsidR="00FC5E72" w:rsidRDefault="00FC5E72" w:rsidP="00242AEE">
            <w:pPr>
              <w:jc w:val="center"/>
              <w:rPr>
                <w:sz w:val="20"/>
                <w:szCs w:val="20"/>
              </w:rPr>
            </w:pPr>
          </w:p>
          <w:p w:rsidR="00FC5E72" w:rsidRDefault="00FC5E72" w:rsidP="00242AEE">
            <w:pPr>
              <w:jc w:val="center"/>
              <w:rPr>
                <w:sz w:val="20"/>
                <w:szCs w:val="20"/>
              </w:rPr>
            </w:pPr>
          </w:p>
          <w:p w:rsidR="00FC5E72" w:rsidRDefault="00FC5E72" w:rsidP="00242AEE">
            <w:pPr>
              <w:jc w:val="center"/>
              <w:rPr>
                <w:sz w:val="20"/>
                <w:szCs w:val="20"/>
              </w:rPr>
            </w:pPr>
          </w:p>
          <w:p w:rsidR="00FC5E72" w:rsidRDefault="00FC5E72" w:rsidP="00242AEE">
            <w:pPr>
              <w:jc w:val="center"/>
              <w:rPr>
                <w:sz w:val="20"/>
                <w:szCs w:val="20"/>
              </w:rPr>
            </w:pPr>
          </w:p>
          <w:p w:rsidR="00FC5E72" w:rsidRDefault="00FC5E72" w:rsidP="00242AEE">
            <w:pPr>
              <w:jc w:val="center"/>
              <w:rPr>
                <w:sz w:val="20"/>
                <w:szCs w:val="20"/>
              </w:rPr>
            </w:pPr>
          </w:p>
          <w:p w:rsidR="00FC5E72" w:rsidRDefault="00FC5E72" w:rsidP="00242AEE">
            <w:pPr>
              <w:jc w:val="center"/>
              <w:rPr>
                <w:sz w:val="20"/>
                <w:szCs w:val="20"/>
              </w:rPr>
            </w:pPr>
          </w:p>
        </w:tc>
        <w:tc>
          <w:tcPr>
            <w:tcW w:w="4320" w:type="dxa"/>
            <w:shd w:val="clear" w:color="auto" w:fill="auto"/>
          </w:tcPr>
          <w:p w:rsidR="00FC5E72" w:rsidRDefault="00FC5E72" w:rsidP="0049101E">
            <w:pPr>
              <w:rPr>
                <w:b/>
                <w:sz w:val="20"/>
                <w:szCs w:val="20"/>
              </w:rPr>
            </w:pPr>
          </w:p>
          <w:p w:rsidR="00FC5E72" w:rsidRPr="00E045F7" w:rsidRDefault="00FC5E72" w:rsidP="0049101E">
            <w:pPr>
              <w:rPr>
                <w:b/>
                <w:sz w:val="20"/>
                <w:szCs w:val="20"/>
              </w:rPr>
            </w:pPr>
            <w:r w:rsidRPr="00E045F7">
              <w:rPr>
                <w:b/>
                <w:sz w:val="20"/>
                <w:szCs w:val="20"/>
              </w:rPr>
              <w:t xml:space="preserve">Michael Roy </w:t>
            </w:r>
          </w:p>
          <w:p w:rsidR="00FC5E72" w:rsidRPr="00E045F7" w:rsidRDefault="00FC5E72" w:rsidP="0049101E">
            <w:pPr>
              <w:rPr>
                <w:sz w:val="20"/>
                <w:szCs w:val="20"/>
              </w:rPr>
            </w:pPr>
            <w:r w:rsidRPr="00E045F7">
              <w:rPr>
                <w:sz w:val="20"/>
                <w:szCs w:val="20"/>
              </w:rPr>
              <w:tab/>
              <w:t>Stanley J. Tessmer</w:t>
            </w:r>
          </w:p>
          <w:p w:rsidR="00FC5E72" w:rsidRPr="00250BAC" w:rsidRDefault="00FC5E72" w:rsidP="0049101E">
            <w:pPr>
              <w:rPr>
                <w:sz w:val="20"/>
                <w:szCs w:val="20"/>
              </w:rPr>
            </w:pPr>
            <w:r w:rsidRPr="00E045F7">
              <w:rPr>
                <w:sz w:val="20"/>
                <w:szCs w:val="20"/>
              </w:rPr>
              <w:tab/>
            </w:r>
            <w:r w:rsidRPr="00250BAC">
              <w:rPr>
                <w:sz w:val="20"/>
                <w:szCs w:val="20"/>
              </w:rPr>
              <w:t>Stanley J. Tessmer Law Corporation</w:t>
            </w:r>
          </w:p>
          <w:p w:rsidR="00FC5E72" w:rsidRPr="00250BAC" w:rsidRDefault="00FC5E72" w:rsidP="0049101E">
            <w:pPr>
              <w:rPr>
                <w:sz w:val="20"/>
                <w:szCs w:val="20"/>
              </w:rPr>
            </w:pPr>
          </w:p>
          <w:p w:rsidR="00FC5E72" w:rsidRPr="00250BAC" w:rsidRDefault="00FC5E72" w:rsidP="0049101E">
            <w:pPr>
              <w:rPr>
                <w:sz w:val="20"/>
                <w:szCs w:val="20"/>
              </w:rPr>
            </w:pPr>
            <w:r w:rsidRPr="00250BAC">
              <w:rPr>
                <w:sz w:val="20"/>
                <w:szCs w:val="20"/>
              </w:rPr>
              <w:tab/>
              <w:t>v. (33971)</w:t>
            </w:r>
          </w:p>
          <w:p w:rsidR="00FC5E72" w:rsidRPr="00250BAC" w:rsidRDefault="00FC5E72" w:rsidP="0049101E">
            <w:pPr>
              <w:rPr>
                <w:sz w:val="20"/>
                <w:szCs w:val="20"/>
              </w:rPr>
            </w:pPr>
          </w:p>
          <w:p w:rsidR="00FC5E72" w:rsidRPr="00250BAC" w:rsidRDefault="00FC5E72" w:rsidP="0049101E">
            <w:pPr>
              <w:rPr>
                <w:b/>
                <w:sz w:val="20"/>
                <w:szCs w:val="20"/>
              </w:rPr>
            </w:pPr>
            <w:r>
              <w:rPr>
                <w:b/>
                <w:sz w:val="20"/>
                <w:szCs w:val="20"/>
              </w:rPr>
              <w:t>Her Majesty the Queen (B.C.)</w:t>
            </w:r>
          </w:p>
          <w:p w:rsidR="00FC5E72" w:rsidRPr="00250BAC" w:rsidRDefault="00FC5E72" w:rsidP="0049101E">
            <w:pPr>
              <w:rPr>
                <w:sz w:val="20"/>
                <w:szCs w:val="20"/>
              </w:rPr>
            </w:pPr>
            <w:r w:rsidRPr="00250BAC">
              <w:rPr>
                <w:sz w:val="20"/>
                <w:szCs w:val="20"/>
              </w:rPr>
              <w:tab/>
            </w:r>
            <w:r>
              <w:rPr>
                <w:sz w:val="20"/>
                <w:szCs w:val="20"/>
              </w:rPr>
              <w:t>W. Paul Riley</w:t>
            </w:r>
          </w:p>
          <w:p w:rsidR="00FC5E72" w:rsidRPr="00250BAC" w:rsidRDefault="00FC5E72" w:rsidP="0049101E">
            <w:pPr>
              <w:rPr>
                <w:sz w:val="20"/>
                <w:szCs w:val="20"/>
              </w:rPr>
            </w:pPr>
            <w:r w:rsidRPr="00250BAC">
              <w:rPr>
                <w:sz w:val="20"/>
                <w:szCs w:val="20"/>
              </w:rPr>
              <w:tab/>
            </w:r>
            <w:r>
              <w:rPr>
                <w:sz w:val="20"/>
                <w:szCs w:val="20"/>
              </w:rPr>
              <w:t>Public Prosecution Service of Canada</w:t>
            </w:r>
          </w:p>
          <w:p w:rsidR="00FC5E72" w:rsidRPr="00250BAC" w:rsidRDefault="00FC5E72" w:rsidP="0049101E">
            <w:pPr>
              <w:rPr>
                <w:b/>
                <w:sz w:val="20"/>
                <w:szCs w:val="20"/>
              </w:rPr>
            </w:pPr>
          </w:p>
          <w:p w:rsidR="00FC5E72" w:rsidRPr="00250BAC" w:rsidRDefault="00FC5E72" w:rsidP="0049101E">
            <w:pPr>
              <w:rPr>
                <w:sz w:val="20"/>
                <w:szCs w:val="20"/>
                <w:lang w:val="fr-CA"/>
              </w:rPr>
            </w:pPr>
            <w:r w:rsidRPr="00250BAC">
              <w:rPr>
                <w:sz w:val="20"/>
                <w:szCs w:val="20"/>
                <w:lang w:val="fr-CA"/>
              </w:rPr>
              <w:t xml:space="preserve">FILING DATE: </w:t>
            </w:r>
            <w:r>
              <w:rPr>
                <w:sz w:val="20"/>
                <w:szCs w:val="20"/>
                <w:lang w:val="fr-CA"/>
              </w:rPr>
              <w:t>09.12.2010</w:t>
            </w:r>
          </w:p>
          <w:p w:rsidR="00FC5E72" w:rsidRPr="00250BAC" w:rsidRDefault="00D56013" w:rsidP="0049101E">
            <w:pPr>
              <w:rPr>
                <w:b/>
                <w:sz w:val="20"/>
                <w:szCs w:val="20"/>
                <w:lang w:val="fr-CA"/>
              </w:rPr>
            </w:pPr>
            <w:r w:rsidRPr="00D56013">
              <w:rPr>
                <w:sz w:val="20"/>
                <w:szCs w:val="20"/>
                <w:lang w:val="fr-CA"/>
              </w:rPr>
              <w:pict>
                <v:rect id="_x0000_i1043" style="width:108pt;height:1pt" o:hrpct="0" o:hralign="center" o:hrstd="t" o:hrnoshade="t" o:hr="t" fillcolor="black [3213]" stroked="f"/>
              </w:pict>
            </w:r>
          </w:p>
        </w:tc>
      </w:tr>
      <w:tr w:rsidR="00FC5E72" w:rsidRPr="00250BAC" w:rsidTr="003F1419">
        <w:trPr>
          <w:cantSplit/>
        </w:trPr>
        <w:tc>
          <w:tcPr>
            <w:tcW w:w="4320" w:type="dxa"/>
            <w:shd w:val="clear" w:color="auto" w:fill="auto"/>
          </w:tcPr>
          <w:p w:rsidR="00C52311" w:rsidRPr="00C52311" w:rsidRDefault="00C52311" w:rsidP="00E045F7">
            <w:pPr>
              <w:rPr>
                <w:sz w:val="20"/>
                <w:szCs w:val="20"/>
              </w:rPr>
            </w:pPr>
          </w:p>
          <w:p w:rsidR="00FC5E72" w:rsidRDefault="00FC5E72" w:rsidP="00E045F7">
            <w:pPr>
              <w:rPr>
                <w:b/>
                <w:sz w:val="20"/>
                <w:szCs w:val="20"/>
              </w:rPr>
            </w:pPr>
            <w:r>
              <w:rPr>
                <w:b/>
                <w:sz w:val="20"/>
                <w:szCs w:val="20"/>
              </w:rPr>
              <w:t>John Murphy et al.</w:t>
            </w:r>
          </w:p>
          <w:p w:rsidR="00FC5E72" w:rsidRPr="00114AD1" w:rsidRDefault="00FC5E72" w:rsidP="00E045F7">
            <w:pPr>
              <w:rPr>
                <w:sz w:val="20"/>
                <w:szCs w:val="20"/>
              </w:rPr>
            </w:pPr>
            <w:r w:rsidRPr="00114AD1">
              <w:rPr>
                <w:sz w:val="20"/>
                <w:szCs w:val="20"/>
              </w:rPr>
              <w:tab/>
            </w:r>
            <w:r>
              <w:rPr>
                <w:sz w:val="20"/>
                <w:szCs w:val="20"/>
              </w:rPr>
              <w:t>John Murphy</w:t>
            </w:r>
          </w:p>
          <w:p w:rsidR="00FC5E72" w:rsidRDefault="00FC5E72" w:rsidP="00E045F7">
            <w:pPr>
              <w:rPr>
                <w:sz w:val="20"/>
                <w:szCs w:val="20"/>
              </w:rPr>
            </w:pPr>
          </w:p>
          <w:p w:rsidR="00FC5E72" w:rsidRPr="00250BAC" w:rsidRDefault="00FC5E72" w:rsidP="00E045F7">
            <w:pPr>
              <w:rPr>
                <w:sz w:val="20"/>
                <w:szCs w:val="20"/>
                <w:lang w:val="fr-CA"/>
              </w:rPr>
            </w:pPr>
            <w:r>
              <w:rPr>
                <w:sz w:val="20"/>
                <w:szCs w:val="20"/>
              </w:rPr>
              <w:tab/>
            </w:r>
            <w:r w:rsidRPr="00250BAC">
              <w:rPr>
                <w:sz w:val="20"/>
                <w:szCs w:val="20"/>
                <w:lang w:val="fr-CA"/>
              </w:rPr>
              <w:t>v. (33977)</w:t>
            </w:r>
          </w:p>
          <w:p w:rsidR="00FC5E72" w:rsidRPr="00250BAC" w:rsidRDefault="00FC5E72" w:rsidP="00E045F7">
            <w:pPr>
              <w:rPr>
                <w:sz w:val="20"/>
                <w:szCs w:val="20"/>
                <w:lang w:val="fr-CA"/>
              </w:rPr>
            </w:pPr>
          </w:p>
          <w:p w:rsidR="00FC5E72" w:rsidRPr="007520CD" w:rsidRDefault="00FC5E72" w:rsidP="00E045F7">
            <w:pPr>
              <w:rPr>
                <w:b/>
                <w:sz w:val="20"/>
                <w:szCs w:val="20"/>
              </w:rPr>
            </w:pPr>
            <w:r w:rsidRPr="00250BAC">
              <w:rPr>
                <w:b/>
                <w:sz w:val="20"/>
                <w:szCs w:val="20"/>
                <w:lang w:val="fr-CA"/>
              </w:rPr>
              <w:t xml:space="preserve">John Wynne et al. </w:t>
            </w:r>
            <w:r w:rsidRPr="007520CD">
              <w:rPr>
                <w:b/>
                <w:sz w:val="20"/>
                <w:szCs w:val="20"/>
              </w:rPr>
              <w:t>(B.C.)</w:t>
            </w:r>
          </w:p>
          <w:p w:rsidR="00FC5E72" w:rsidRPr="007520CD" w:rsidRDefault="00FC5E72" w:rsidP="00E045F7">
            <w:pPr>
              <w:rPr>
                <w:sz w:val="20"/>
                <w:szCs w:val="20"/>
              </w:rPr>
            </w:pPr>
            <w:r w:rsidRPr="007520CD">
              <w:rPr>
                <w:sz w:val="20"/>
                <w:szCs w:val="20"/>
              </w:rPr>
              <w:tab/>
              <w:t>Patricia Deol</w:t>
            </w:r>
          </w:p>
          <w:p w:rsidR="00FC5E72" w:rsidRPr="007520CD" w:rsidRDefault="00FC5E72" w:rsidP="00E045F7">
            <w:pPr>
              <w:rPr>
                <w:sz w:val="20"/>
                <w:szCs w:val="20"/>
              </w:rPr>
            </w:pPr>
            <w:r w:rsidRPr="007520CD">
              <w:rPr>
                <w:sz w:val="20"/>
                <w:szCs w:val="20"/>
              </w:rPr>
              <w:tab/>
            </w:r>
            <w:r>
              <w:rPr>
                <w:sz w:val="20"/>
                <w:szCs w:val="20"/>
              </w:rPr>
              <w:t>Shortt &amp; Arsenault</w:t>
            </w:r>
          </w:p>
          <w:p w:rsidR="00FC5E72" w:rsidRDefault="00FC5E72" w:rsidP="00E045F7">
            <w:pPr>
              <w:rPr>
                <w:b/>
                <w:sz w:val="20"/>
                <w:szCs w:val="20"/>
              </w:rPr>
            </w:pPr>
          </w:p>
          <w:p w:rsidR="00FC5E72" w:rsidRPr="00A935AA" w:rsidRDefault="00FC5E72" w:rsidP="00E045F7">
            <w:pPr>
              <w:rPr>
                <w:sz w:val="20"/>
                <w:szCs w:val="20"/>
              </w:rPr>
            </w:pPr>
            <w:r w:rsidRPr="00A935AA">
              <w:rPr>
                <w:sz w:val="20"/>
                <w:szCs w:val="20"/>
              </w:rPr>
              <w:t xml:space="preserve">FILING DATE: </w:t>
            </w:r>
            <w:r>
              <w:rPr>
                <w:sz w:val="20"/>
                <w:szCs w:val="20"/>
              </w:rPr>
              <w:t>03.12.2010</w:t>
            </w:r>
          </w:p>
          <w:p w:rsidR="00FC5E72" w:rsidRDefault="00D56013" w:rsidP="00E045F7">
            <w:pPr>
              <w:rPr>
                <w:b/>
                <w:sz w:val="20"/>
                <w:szCs w:val="20"/>
              </w:rPr>
            </w:pPr>
            <w:r w:rsidRPr="00D56013">
              <w:rPr>
                <w:sz w:val="20"/>
                <w:szCs w:val="20"/>
                <w:lang w:val="fr-CA"/>
              </w:rPr>
              <w:pict>
                <v:rect id="_x0000_i1044" style="width:108pt;height:1pt" o:hrpct="0" o:hralign="center" o:hrstd="t" o:hrnoshade="t" o:hr="t" fillcolor="black [3213]" stroked="f"/>
              </w:pict>
            </w:r>
          </w:p>
        </w:tc>
        <w:tc>
          <w:tcPr>
            <w:tcW w:w="1181" w:type="dxa"/>
            <w:shd w:val="clear" w:color="auto" w:fill="auto"/>
          </w:tcPr>
          <w:p w:rsidR="00FC5E72" w:rsidRPr="00250BAC" w:rsidRDefault="00FC5E72" w:rsidP="00242AEE">
            <w:pPr>
              <w:jc w:val="center"/>
              <w:rPr>
                <w:sz w:val="20"/>
                <w:szCs w:val="20"/>
                <w:lang w:val="fr-CA"/>
              </w:rPr>
            </w:pPr>
          </w:p>
        </w:tc>
        <w:tc>
          <w:tcPr>
            <w:tcW w:w="4320" w:type="dxa"/>
            <w:shd w:val="clear" w:color="auto" w:fill="auto"/>
          </w:tcPr>
          <w:p w:rsidR="00FC5E72" w:rsidRPr="00BF54EE" w:rsidRDefault="00FC5E72" w:rsidP="00E045F7">
            <w:pPr>
              <w:rPr>
                <w:b/>
                <w:sz w:val="20"/>
                <w:szCs w:val="20"/>
                <w:lang w:val="fr-CA"/>
              </w:rPr>
            </w:pPr>
            <w:r w:rsidRPr="00BF54EE">
              <w:rPr>
                <w:b/>
                <w:sz w:val="20"/>
                <w:szCs w:val="20"/>
                <w:lang w:val="fr-CA"/>
              </w:rPr>
              <w:t>Benoît Laliberté</w:t>
            </w:r>
          </w:p>
          <w:p w:rsidR="00FC5E72" w:rsidRPr="00BF54EE" w:rsidRDefault="00FC5E72" w:rsidP="00E045F7">
            <w:pPr>
              <w:tabs>
                <w:tab w:val="left" w:pos="-1440"/>
                <w:tab w:val="left" w:pos="-720"/>
              </w:tabs>
              <w:rPr>
                <w:sz w:val="20"/>
                <w:szCs w:val="20"/>
                <w:lang w:val="fr-CA"/>
              </w:rPr>
            </w:pPr>
            <w:r w:rsidRPr="00BF54EE">
              <w:rPr>
                <w:sz w:val="20"/>
                <w:szCs w:val="20"/>
                <w:lang w:val="fr-CA"/>
              </w:rPr>
              <w:tab/>
              <w:t>Alexandre Bergevin</w:t>
            </w:r>
          </w:p>
          <w:p w:rsidR="00FC5E72" w:rsidRPr="00BF54EE" w:rsidRDefault="00FC5E72" w:rsidP="00E045F7">
            <w:pPr>
              <w:tabs>
                <w:tab w:val="left" w:pos="-1440"/>
                <w:tab w:val="left" w:pos="-720"/>
              </w:tabs>
              <w:rPr>
                <w:sz w:val="20"/>
                <w:szCs w:val="20"/>
                <w:lang w:val="fr-CA"/>
              </w:rPr>
            </w:pPr>
          </w:p>
          <w:p w:rsidR="00FC5E72" w:rsidRPr="00CD2DB0" w:rsidRDefault="00FC5E72" w:rsidP="00E045F7">
            <w:pPr>
              <w:tabs>
                <w:tab w:val="left" w:pos="-1440"/>
                <w:tab w:val="left" w:pos="-720"/>
              </w:tabs>
              <w:rPr>
                <w:sz w:val="20"/>
                <w:szCs w:val="20"/>
                <w:lang w:val="fr-CA"/>
              </w:rPr>
            </w:pPr>
            <w:r w:rsidRPr="00BF54EE">
              <w:rPr>
                <w:sz w:val="20"/>
                <w:szCs w:val="20"/>
                <w:lang w:val="fr-CA"/>
              </w:rPr>
              <w:tab/>
              <w:t>c.</w:t>
            </w:r>
            <w:r w:rsidRPr="00CD2DB0">
              <w:rPr>
                <w:sz w:val="20"/>
                <w:szCs w:val="20"/>
                <w:lang w:val="fr-CA"/>
              </w:rPr>
              <w:t xml:space="preserve"> (33966)</w:t>
            </w:r>
          </w:p>
          <w:p w:rsidR="00FC5E72" w:rsidRPr="00CD2DB0" w:rsidRDefault="00FC5E72" w:rsidP="00E045F7">
            <w:pPr>
              <w:tabs>
                <w:tab w:val="left" w:pos="-1440"/>
                <w:tab w:val="left" w:pos="-720"/>
              </w:tabs>
              <w:rPr>
                <w:sz w:val="20"/>
                <w:szCs w:val="20"/>
                <w:lang w:val="fr-CA"/>
              </w:rPr>
            </w:pPr>
          </w:p>
          <w:p w:rsidR="00FC5E72" w:rsidRPr="00CD2DB0" w:rsidRDefault="00FC5E72" w:rsidP="00936E85">
            <w:pPr>
              <w:rPr>
                <w:b/>
                <w:sz w:val="20"/>
                <w:szCs w:val="20"/>
                <w:lang w:val="fr-CA"/>
              </w:rPr>
            </w:pPr>
            <w:r w:rsidRPr="00CD2DB0">
              <w:rPr>
                <w:b/>
                <w:sz w:val="20"/>
                <w:szCs w:val="20"/>
                <w:lang w:val="fr-CA"/>
              </w:rPr>
              <w:t>Autorité des marchés financiers</w:t>
            </w:r>
            <w:r w:rsidR="009939FD">
              <w:rPr>
                <w:b/>
                <w:sz w:val="20"/>
                <w:szCs w:val="20"/>
                <w:lang w:val="fr-CA"/>
              </w:rPr>
              <w:t xml:space="preserve"> (Qc)</w:t>
            </w:r>
          </w:p>
          <w:p w:rsidR="00FC5E72" w:rsidRPr="00CD2DB0" w:rsidRDefault="00FC5E72" w:rsidP="00E045F7">
            <w:pPr>
              <w:tabs>
                <w:tab w:val="left" w:pos="-1440"/>
                <w:tab w:val="left" w:pos="-720"/>
              </w:tabs>
              <w:rPr>
                <w:sz w:val="20"/>
                <w:szCs w:val="20"/>
                <w:lang w:val="fr-CA"/>
              </w:rPr>
            </w:pPr>
            <w:r w:rsidRPr="00CD2DB0">
              <w:rPr>
                <w:sz w:val="20"/>
                <w:szCs w:val="20"/>
                <w:lang w:val="fr-CA"/>
              </w:rPr>
              <w:tab/>
            </w:r>
            <w:r>
              <w:rPr>
                <w:sz w:val="20"/>
                <w:szCs w:val="20"/>
                <w:lang w:val="fr-CA"/>
              </w:rPr>
              <w:t>Marc-André Fabien</w:t>
            </w:r>
          </w:p>
          <w:p w:rsidR="00FC5E72" w:rsidRPr="00CD2DB0" w:rsidRDefault="00FC5E72" w:rsidP="00E045F7">
            <w:pPr>
              <w:tabs>
                <w:tab w:val="left" w:pos="-1440"/>
                <w:tab w:val="left" w:pos="-720"/>
              </w:tabs>
              <w:rPr>
                <w:sz w:val="20"/>
                <w:szCs w:val="20"/>
                <w:lang w:val="fr-CA"/>
              </w:rPr>
            </w:pPr>
            <w:r w:rsidRPr="00CD2DB0">
              <w:rPr>
                <w:sz w:val="20"/>
                <w:szCs w:val="20"/>
                <w:lang w:val="fr-CA"/>
              </w:rPr>
              <w:tab/>
            </w:r>
            <w:r>
              <w:rPr>
                <w:sz w:val="20"/>
                <w:szCs w:val="20"/>
                <w:lang w:val="fr-CA"/>
              </w:rPr>
              <w:t>Fasken Martineau DuMoulin</w:t>
            </w:r>
          </w:p>
          <w:p w:rsidR="00FC5E72" w:rsidRPr="00CD2DB0" w:rsidRDefault="00FC5E72" w:rsidP="00E045F7">
            <w:pPr>
              <w:tabs>
                <w:tab w:val="left" w:pos="-1440"/>
                <w:tab w:val="left" w:pos="-720"/>
              </w:tabs>
              <w:rPr>
                <w:sz w:val="20"/>
                <w:szCs w:val="20"/>
                <w:lang w:val="fr-CA"/>
              </w:rPr>
            </w:pPr>
          </w:p>
          <w:p w:rsidR="00FC5E72" w:rsidRPr="00BF54EE" w:rsidRDefault="00FC5E72" w:rsidP="00E045F7">
            <w:pPr>
              <w:rPr>
                <w:sz w:val="20"/>
                <w:szCs w:val="20"/>
                <w:lang w:val="fr-CA"/>
              </w:rPr>
            </w:pPr>
            <w:r w:rsidRPr="00BF54EE">
              <w:rPr>
                <w:sz w:val="20"/>
                <w:szCs w:val="20"/>
                <w:lang w:val="fr-CA"/>
              </w:rPr>
              <w:t>DATE DE PRODUCTION : 01.12.2010</w:t>
            </w:r>
          </w:p>
          <w:p w:rsidR="00FC5E72" w:rsidRPr="00BF54EE" w:rsidRDefault="00D56013" w:rsidP="00E045F7">
            <w:pPr>
              <w:rPr>
                <w:sz w:val="20"/>
                <w:szCs w:val="20"/>
                <w:lang w:val="fr-CA"/>
              </w:rPr>
            </w:pPr>
            <w:r w:rsidRPr="00D56013">
              <w:rPr>
                <w:sz w:val="20"/>
                <w:szCs w:val="20"/>
                <w:lang w:val="fr-CA"/>
              </w:rPr>
              <w:pict>
                <v:rect id="_x0000_i1045" style="width:108pt;height:1pt" o:hrpct="0" o:hralign="center" o:hrstd="t" o:hrnoshade="t" o:hr="t" fillcolor="black [3213]" stroked="f"/>
              </w:pict>
            </w:r>
          </w:p>
        </w:tc>
      </w:tr>
    </w:tbl>
    <w:p w:rsidR="006C3F47" w:rsidRDefault="006C3F47"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BF54EE">
          <w:headerReference w:type="default" r:id="rId14"/>
          <w:footerReference w:type="default" r:id="rId15"/>
          <w:headerReference w:type="first" r:id="rId16"/>
          <w:footerReference w:type="first" r:id="rId17"/>
          <w:pgSz w:w="12240" w:h="15840"/>
          <w:pgMar w:top="720" w:right="965" w:bottom="1080" w:left="1656" w:header="706" w:footer="706" w:gutter="0"/>
          <w:pgNumType w:start="1672"/>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2E2327" w:rsidRPr="00850008"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250BAC">
              <w:rPr>
                <w:b/>
                <w:szCs w:val="24"/>
                <w:lang w:val="fr-CA"/>
              </w:rPr>
              <w:t>DEMANDES SOUMISES À LA COUR DEPUIS LA DERNI</w:t>
            </w:r>
            <w:r w:rsidRPr="001D0D5F">
              <w:rPr>
                <w:b/>
                <w:szCs w:val="24"/>
                <w:lang w:val="fr-CA"/>
              </w:rPr>
              <w:t>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2E2327" w:rsidRPr="00C50A5C" w:rsidRDefault="00910A5E" w:rsidP="002E2327">
      <w:pPr>
        <w:widowControl w:val="0"/>
        <w:rPr>
          <w:b/>
          <w:sz w:val="20"/>
          <w:szCs w:val="20"/>
        </w:rPr>
      </w:pPr>
      <w:r>
        <w:rPr>
          <w:b/>
          <w:sz w:val="20"/>
          <w:szCs w:val="20"/>
        </w:rPr>
        <w:t xml:space="preserve">DECEMBER </w:t>
      </w:r>
      <w:r w:rsidR="002E2327" w:rsidRPr="00C50A5C">
        <w:rPr>
          <w:b/>
          <w:sz w:val="20"/>
          <w:szCs w:val="20"/>
        </w:rPr>
        <w:t>2</w:t>
      </w:r>
      <w:r>
        <w:rPr>
          <w:b/>
          <w:sz w:val="20"/>
          <w:szCs w:val="20"/>
        </w:rPr>
        <w:t>0</w:t>
      </w:r>
      <w:r w:rsidR="002E2327" w:rsidRPr="00C50A5C">
        <w:rPr>
          <w:b/>
          <w:sz w:val="20"/>
          <w:szCs w:val="20"/>
        </w:rPr>
        <w:t>, 2010 / LE 2</w:t>
      </w:r>
      <w:r>
        <w:rPr>
          <w:b/>
          <w:sz w:val="20"/>
          <w:szCs w:val="20"/>
        </w:rPr>
        <w:t>0 DÉCEMBRE</w:t>
      </w:r>
      <w:r w:rsidR="002E2327" w:rsidRPr="00C50A5C">
        <w:rPr>
          <w:b/>
          <w:sz w:val="20"/>
          <w:szCs w:val="20"/>
        </w:rPr>
        <w:t xml:space="preserve"> 2010</w:t>
      </w:r>
    </w:p>
    <w:p w:rsidR="00C50A5C" w:rsidRPr="00C50A5C" w:rsidRDefault="00C50A5C" w:rsidP="002E2327">
      <w:pPr>
        <w:widowControl w:val="0"/>
        <w:rPr>
          <w:b/>
          <w:sz w:val="20"/>
          <w:szCs w:val="20"/>
        </w:rPr>
      </w:pPr>
    </w:p>
    <w:p w:rsidR="002E2327" w:rsidRPr="00C50A5C" w:rsidRDefault="002E2327" w:rsidP="002E2327">
      <w:pPr>
        <w:widowControl w:val="0"/>
        <w:jc w:val="center"/>
        <w:rPr>
          <w:b/>
          <w:sz w:val="20"/>
          <w:szCs w:val="20"/>
        </w:rPr>
      </w:pPr>
      <w:r w:rsidRPr="00C50A5C">
        <w:rPr>
          <w:b/>
          <w:sz w:val="20"/>
          <w:szCs w:val="20"/>
        </w:rPr>
        <w:t>CORAM:  Chief Justice McLachlin and Abella and Cromwell JJ.</w:t>
      </w:r>
    </w:p>
    <w:p w:rsidR="002E2327" w:rsidRPr="00C50A5C" w:rsidRDefault="002E2327" w:rsidP="002E2327">
      <w:pPr>
        <w:widowControl w:val="0"/>
        <w:jc w:val="center"/>
        <w:rPr>
          <w:sz w:val="20"/>
          <w:szCs w:val="20"/>
          <w:lang w:val="fr-CA"/>
        </w:rPr>
      </w:pPr>
      <w:r w:rsidRPr="00C50A5C">
        <w:rPr>
          <w:b/>
          <w:sz w:val="20"/>
          <w:szCs w:val="20"/>
          <w:lang w:val="fr-CA"/>
        </w:rPr>
        <w:t>La juge en chef McLachlin et les juges Abella et Cromwell</w:t>
      </w:r>
    </w:p>
    <w:p w:rsidR="002E2327" w:rsidRPr="00C50A5C" w:rsidRDefault="002E2327" w:rsidP="002E2327">
      <w:pPr>
        <w:widowControl w:val="0"/>
        <w:rPr>
          <w:sz w:val="20"/>
          <w:szCs w:val="20"/>
          <w:lang w:val="fr-CA"/>
        </w:rPr>
      </w:pPr>
    </w:p>
    <w:p w:rsidR="002E2327" w:rsidRPr="00F772BC" w:rsidRDefault="00F772BC" w:rsidP="00C50A5C">
      <w:pPr>
        <w:pStyle w:val="ListParagraph"/>
        <w:widowControl w:val="0"/>
        <w:numPr>
          <w:ilvl w:val="0"/>
          <w:numId w:val="1"/>
        </w:numPr>
        <w:ind w:hanging="720"/>
        <w:jc w:val="both"/>
        <w:rPr>
          <w:sz w:val="20"/>
          <w:szCs w:val="20"/>
          <w:lang w:val="fr-CA"/>
        </w:rPr>
      </w:pPr>
      <w:r w:rsidRPr="00F772BC">
        <w:rPr>
          <w:i/>
          <w:sz w:val="20"/>
          <w:szCs w:val="20"/>
          <w:lang w:val="fr-CA"/>
        </w:rPr>
        <w:t xml:space="preserve">Daniel Gauthier c. Sa Majesté la Reine </w:t>
      </w:r>
      <w:r w:rsidRPr="00F772BC">
        <w:rPr>
          <w:sz w:val="20"/>
          <w:szCs w:val="20"/>
          <w:lang w:val="fr-CA"/>
        </w:rPr>
        <w:t>(Qc) (Crim</w:t>
      </w:r>
      <w:r w:rsidR="00910A5E">
        <w:rPr>
          <w:sz w:val="20"/>
          <w:szCs w:val="20"/>
          <w:lang w:val="fr-CA"/>
        </w:rPr>
        <w:t>.</w:t>
      </w:r>
      <w:r w:rsidRPr="00F772BC">
        <w:rPr>
          <w:sz w:val="20"/>
          <w:szCs w:val="20"/>
          <w:lang w:val="fr-CA"/>
        </w:rPr>
        <w:t>) (Autorisation)</w:t>
      </w:r>
      <w:r>
        <w:rPr>
          <w:sz w:val="20"/>
          <w:szCs w:val="20"/>
          <w:lang w:val="fr-CA"/>
        </w:rPr>
        <w:t xml:space="preserve"> </w:t>
      </w:r>
      <w:r w:rsidR="002E2327" w:rsidRPr="00F772BC">
        <w:rPr>
          <w:sz w:val="20"/>
          <w:szCs w:val="20"/>
          <w:lang w:val="fr-CA"/>
        </w:rPr>
        <w:t>(33</w:t>
      </w:r>
      <w:r w:rsidRPr="00F772BC">
        <w:rPr>
          <w:sz w:val="20"/>
          <w:szCs w:val="20"/>
          <w:lang w:val="fr-CA"/>
        </w:rPr>
        <w:t>84</w:t>
      </w:r>
      <w:r w:rsidR="002E2327" w:rsidRPr="00F772BC">
        <w:rPr>
          <w:sz w:val="20"/>
          <w:szCs w:val="20"/>
          <w:lang w:val="fr-CA"/>
        </w:rPr>
        <w:t>3</w:t>
      </w:r>
      <w:r w:rsidRPr="00F772BC">
        <w:rPr>
          <w:sz w:val="20"/>
          <w:szCs w:val="20"/>
          <w:lang w:val="fr-CA"/>
        </w:rPr>
        <w:t>)</w:t>
      </w:r>
    </w:p>
    <w:p w:rsidR="002E2327" w:rsidRPr="00F772BC" w:rsidRDefault="002E2327" w:rsidP="00C50A5C">
      <w:pPr>
        <w:widowControl w:val="0"/>
        <w:jc w:val="both"/>
        <w:rPr>
          <w:sz w:val="20"/>
          <w:szCs w:val="20"/>
          <w:lang w:val="fr-CA"/>
        </w:rPr>
      </w:pPr>
    </w:p>
    <w:p w:rsidR="002E2327" w:rsidRPr="00C50A5C" w:rsidRDefault="00910A5E" w:rsidP="00C50A5C">
      <w:pPr>
        <w:pStyle w:val="ListParagraph"/>
        <w:widowControl w:val="0"/>
        <w:numPr>
          <w:ilvl w:val="0"/>
          <w:numId w:val="1"/>
        </w:numPr>
        <w:ind w:hanging="720"/>
        <w:jc w:val="both"/>
        <w:rPr>
          <w:sz w:val="20"/>
          <w:szCs w:val="20"/>
        </w:rPr>
      </w:pPr>
      <w:r w:rsidRPr="00910A5E">
        <w:rPr>
          <w:i/>
          <w:sz w:val="20"/>
          <w:szCs w:val="20"/>
        </w:rPr>
        <w:t>Miles Rapkin v. Her Majesty the Queen</w:t>
      </w:r>
      <w:r w:rsidRPr="00F772BC">
        <w:rPr>
          <w:sz w:val="20"/>
          <w:szCs w:val="20"/>
        </w:rPr>
        <w:t xml:space="preserve"> (Ont.) (Crim</w:t>
      </w:r>
      <w:r>
        <w:rPr>
          <w:sz w:val="20"/>
          <w:szCs w:val="20"/>
        </w:rPr>
        <w:t>.</w:t>
      </w:r>
      <w:r w:rsidRPr="00F772BC">
        <w:rPr>
          <w:sz w:val="20"/>
          <w:szCs w:val="20"/>
        </w:rPr>
        <w:t>) (By Leave)</w:t>
      </w:r>
      <w:r w:rsidRPr="00C50A5C">
        <w:rPr>
          <w:sz w:val="20"/>
          <w:szCs w:val="20"/>
        </w:rPr>
        <w:t xml:space="preserve"> </w:t>
      </w:r>
      <w:r w:rsidR="002E2327" w:rsidRPr="00C50A5C">
        <w:rPr>
          <w:sz w:val="20"/>
          <w:szCs w:val="20"/>
        </w:rPr>
        <w:t>(33</w:t>
      </w:r>
      <w:r w:rsidR="00F772BC">
        <w:rPr>
          <w:sz w:val="20"/>
          <w:szCs w:val="20"/>
        </w:rPr>
        <w:t>769</w:t>
      </w:r>
      <w:r w:rsidR="002E2327" w:rsidRPr="00C50A5C">
        <w:rPr>
          <w:sz w:val="20"/>
          <w:szCs w:val="20"/>
        </w:rPr>
        <w:t>)</w:t>
      </w:r>
    </w:p>
    <w:p w:rsidR="002E2327" w:rsidRPr="00C50A5C" w:rsidRDefault="002E2327" w:rsidP="00C50A5C">
      <w:pPr>
        <w:widowControl w:val="0"/>
        <w:jc w:val="both"/>
        <w:rPr>
          <w:sz w:val="20"/>
          <w:szCs w:val="20"/>
        </w:rPr>
      </w:pPr>
    </w:p>
    <w:p w:rsidR="002E2327" w:rsidRPr="00910A5E" w:rsidRDefault="00910A5E" w:rsidP="00C50A5C">
      <w:pPr>
        <w:pStyle w:val="ListParagraph"/>
        <w:widowControl w:val="0"/>
        <w:numPr>
          <w:ilvl w:val="0"/>
          <w:numId w:val="1"/>
        </w:numPr>
        <w:ind w:hanging="720"/>
        <w:jc w:val="both"/>
        <w:rPr>
          <w:sz w:val="20"/>
          <w:szCs w:val="20"/>
          <w:lang w:val="fr-CA"/>
        </w:rPr>
      </w:pPr>
      <w:r w:rsidRPr="00910A5E">
        <w:rPr>
          <w:i/>
          <w:sz w:val="20"/>
          <w:szCs w:val="20"/>
          <w:lang w:val="fr-CA"/>
        </w:rPr>
        <w:t>Ghislain Dion c. Sa Majesté la Reine</w:t>
      </w:r>
      <w:r w:rsidRPr="00F772BC">
        <w:rPr>
          <w:sz w:val="20"/>
          <w:szCs w:val="20"/>
          <w:lang w:val="fr-CA"/>
        </w:rPr>
        <w:t xml:space="preserve"> (Qc) (Crim</w:t>
      </w:r>
      <w:r>
        <w:rPr>
          <w:sz w:val="20"/>
          <w:szCs w:val="20"/>
          <w:lang w:val="fr-CA"/>
        </w:rPr>
        <w:t>.</w:t>
      </w:r>
      <w:r w:rsidRPr="00F772BC">
        <w:rPr>
          <w:sz w:val="20"/>
          <w:szCs w:val="20"/>
          <w:lang w:val="fr-CA"/>
        </w:rPr>
        <w:t>) (Autorisation)</w:t>
      </w:r>
      <w:r w:rsidRPr="00910A5E">
        <w:rPr>
          <w:sz w:val="20"/>
          <w:szCs w:val="20"/>
          <w:lang w:val="fr-CA"/>
        </w:rPr>
        <w:t xml:space="preserve"> </w:t>
      </w:r>
      <w:r w:rsidR="002E2327" w:rsidRPr="00910A5E">
        <w:rPr>
          <w:sz w:val="20"/>
          <w:szCs w:val="20"/>
          <w:lang w:val="fr-CA"/>
        </w:rPr>
        <w:t>(33</w:t>
      </w:r>
      <w:r w:rsidR="00F772BC" w:rsidRPr="00910A5E">
        <w:rPr>
          <w:sz w:val="20"/>
          <w:szCs w:val="20"/>
          <w:lang w:val="fr-CA"/>
        </w:rPr>
        <w:t>7</w:t>
      </w:r>
      <w:r w:rsidR="002E2327" w:rsidRPr="00910A5E">
        <w:rPr>
          <w:sz w:val="20"/>
          <w:szCs w:val="20"/>
          <w:lang w:val="fr-CA"/>
        </w:rPr>
        <w:t>8</w:t>
      </w:r>
      <w:r w:rsidR="00F772BC" w:rsidRPr="00910A5E">
        <w:rPr>
          <w:sz w:val="20"/>
          <w:szCs w:val="20"/>
          <w:lang w:val="fr-CA"/>
        </w:rPr>
        <w:t>9</w:t>
      </w:r>
      <w:r w:rsidR="002E2327" w:rsidRPr="00910A5E">
        <w:rPr>
          <w:sz w:val="20"/>
          <w:szCs w:val="20"/>
          <w:lang w:val="fr-CA"/>
        </w:rPr>
        <w:t>)</w:t>
      </w:r>
    </w:p>
    <w:p w:rsidR="002E2327" w:rsidRPr="00C50A5C" w:rsidRDefault="002E2327" w:rsidP="002E2327">
      <w:pPr>
        <w:widowControl w:val="0"/>
        <w:rPr>
          <w:sz w:val="20"/>
          <w:szCs w:val="20"/>
          <w:lang w:val="fr-CA"/>
        </w:rPr>
      </w:pPr>
    </w:p>
    <w:p w:rsidR="002E2327" w:rsidRPr="00C50A5C" w:rsidRDefault="00910A5E" w:rsidP="00C50A5C">
      <w:pPr>
        <w:pStyle w:val="ListParagraph"/>
        <w:widowControl w:val="0"/>
        <w:numPr>
          <w:ilvl w:val="0"/>
          <w:numId w:val="1"/>
        </w:numPr>
        <w:ind w:hanging="720"/>
        <w:jc w:val="both"/>
        <w:rPr>
          <w:sz w:val="20"/>
          <w:szCs w:val="20"/>
        </w:rPr>
      </w:pPr>
      <w:r w:rsidRPr="00910A5E">
        <w:rPr>
          <w:i/>
          <w:sz w:val="20"/>
          <w:szCs w:val="20"/>
        </w:rPr>
        <w:t>Cimaco International Sales, inc. (d.b.a. Cimaco Travel) v. Business Practices &amp; Consumer Protection Authority</w:t>
      </w:r>
      <w:r w:rsidRPr="00F772BC">
        <w:rPr>
          <w:sz w:val="20"/>
          <w:szCs w:val="20"/>
        </w:rPr>
        <w:t xml:space="preserve"> (B.C.) (Civil) (By Leave)</w:t>
      </w:r>
      <w:r w:rsidRPr="00C50A5C">
        <w:rPr>
          <w:sz w:val="20"/>
          <w:szCs w:val="20"/>
        </w:rPr>
        <w:t xml:space="preserve"> </w:t>
      </w:r>
      <w:r w:rsidR="002E2327" w:rsidRPr="00C50A5C">
        <w:rPr>
          <w:sz w:val="20"/>
          <w:szCs w:val="20"/>
        </w:rPr>
        <w:t>(339</w:t>
      </w:r>
      <w:r w:rsidR="00F772BC">
        <w:rPr>
          <w:sz w:val="20"/>
          <w:szCs w:val="20"/>
        </w:rPr>
        <w:t>04</w:t>
      </w:r>
      <w:r w:rsidR="002E2327" w:rsidRPr="00C50A5C">
        <w:rPr>
          <w:sz w:val="20"/>
          <w:szCs w:val="20"/>
        </w:rPr>
        <w:t>)</w:t>
      </w:r>
    </w:p>
    <w:p w:rsidR="002E2327" w:rsidRDefault="002E2327" w:rsidP="00C50A5C">
      <w:pPr>
        <w:widowControl w:val="0"/>
        <w:jc w:val="both"/>
        <w:rPr>
          <w:sz w:val="20"/>
          <w:szCs w:val="20"/>
        </w:rPr>
      </w:pPr>
    </w:p>
    <w:p w:rsidR="00F772BC" w:rsidRDefault="00F772BC" w:rsidP="00C50A5C">
      <w:pPr>
        <w:widowControl w:val="0"/>
        <w:jc w:val="both"/>
        <w:rPr>
          <w:sz w:val="20"/>
          <w:szCs w:val="20"/>
        </w:rPr>
      </w:pPr>
    </w:p>
    <w:p w:rsidR="00F772BC" w:rsidRPr="00C50A5C" w:rsidRDefault="00F772BC" w:rsidP="00F772BC">
      <w:pPr>
        <w:widowControl w:val="0"/>
        <w:jc w:val="center"/>
        <w:rPr>
          <w:b/>
          <w:sz w:val="20"/>
          <w:szCs w:val="20"/>
        </w:rPr>
      </w:pPr>
      <w:r w:rsidRPr="00C50A5C">
        <w:rPr>
          <w:b/>
          <w:sz w:val="20"/>
          <w:szCs w:val="20"/>
        </w:rPr>
        <w:t>CORAM: Binnie, Fish and Rothstein JJ.</w:t>
      </w:r>
    </w:p>
    <w:p w:rsidR="00F772BC" w:rsidRPr="00C50A5C" w:rsidRDefault="00F772BC" w:rsidP="00F772BC">
      <w:pPr>
        <w:widowControl w:val="0"/>
        <w:jc w:val="center"/>
        <w:rPr>
          <w:b/>
          <w:sz w:val="20"/>
          <w:szCs w:val="20"/>
          <w:lang w:val="fr-CA"/>
        </w:rPr>
      </w:pPr>
      <w:r w:rsidRPr="00C50A5C">
        <w:rPr>
          <w:b/>
          <w:sz w:val="20"/>
          <w:szCs w:val="20"/>
          <w:lang w:val="fr-CA"/>
        </w:rPr>
        <w:t>Les juges Binnie, Fish et Rothstein</w:t>
      </w:r>
    </w:p>
    <w:p w:rsidR="00F772BC" w:rsidRPr="00C50A5C" w:rsidRDefault="00F772BC" w:rsidP="00F772BC">
      <w:pPr>
        <w:widowControl w:val="0"/>
        <w:rPr>
          <w:sz w:val="20"/>
          <w:szCs w:val="20"/>
          <w:lang w:val="fr-CA"/>
        </w:rPr>
      </w:pPr>
    </w:p>
    <w:p w:rsidR="002E2327" w:rsidRPr="00C50A5C" w:rsidRDefault="00910A5E" w:rsidP="00C50A5C">
      <w:pPr>
        <w:pStyle w:val="ListParagraph"/>
        <w:widowControl w:val="0"/>
        <w:numPr>
          <w:ilvl w:val="0"/>
          <w:numId w:val="1"/>
        </w:numPr>
        <w:ind w:hanging="720"/>
        <w:jc w:val="both"/>
        <w:rPr>
          <w:sz w:val="20"/>
          <w:szCs w:val="20"/>
        </w:rPr>
      </w:pPr>
      <w:r w:rsidRPr="00F772BC">
        <w:rPr>
          <w:sz w:val="20"/>
          <w:szCs w:val="20"/>
        </w:rPr>
        <w:t>J</w:t>
      </w:r>
      <w:r w:rsidRPr="00910A5E">
        <w:rPr>
          <w:i/>
          <w:sz w:val="20"/>
          <w:szCs w:val="20"/>
        </w:rPr>
        <w:t xml:space="preserve">ustin Bisson v. Her Majesty the Queen </w:t>
      </w:r>
      <w:r w:rsidRPr="00F772BC">
        <w:rPr>
          <w:sz w:val="20"/>
          <w:szCs w:val="20"/>
        </w:rPr>
        <w:t>(Ont.) (Crim</w:t>
      </w:r>
      <w:r>
        <w:rPr>
          <w:sz w:val="20"/>
          <w:szCs w:val="20"/>
        </w:rPr>
        <w:t>.</w:t>
      </w:r>
      <w:r w:rsidRPr="00F772BC">
        <w:rPr>
          <w:sz w:val="20"/>
          <w:szCs w:val="20"/>
        </w:rPr>
        <w:t>) (By Leave)</w:t>
      </w:r>
      <w:r w:rsidRPr="00C50A5C">
        <w:rPr>
          <w:sz w:val="20"/>
          <w:szCs w:val="20"/>
        </w:rPr>
        <w:t xml:space="preserve"> </w:t>
      </w:r>
      <w:r w:rsidR="002E2327" w:rsidRPr="00C50A5C">
        <w:rPr>
          <w:sz w:val="20"/>
          <w:szCs w:val="20"/>
        </w:rPr>
        <w:t>(33</w:t>
      </w:r>
      <w:r w:rsidR="00F772BC">
        <w:rPr>
          <w:sz w:val="20"/>
          <w:szCs w:val="20"/>
        </w:rPr>
        <w:t>8</w:t>
      </w:r>
      <w:r w:rsidR="002E2327" w:rsidRPr="00C50A5C">
        <w:rPr>
          <w:sz w:val="20"/>
          <w:szCs w:val="20"/>
        </w:rPr>
        <w:t>1</w:t>
      </w:r>
      <w:r w:rsidR="00F772BC">
        <w:rPr>
          <w:sz w:val="20"/>
          <w:szCs w:val="20"/>
        </w:rPr>
        <w:t>8</w:t>
      </w:r>
      <w:r w:rsidR="002E2327" w:rsidRPr="00C50A5C">
        <w:rPr>
          <w:sz w:val="20"/>
          <w:szCs w:val="20"/>
        </w:rPr>
        <w:t>)</w:t>
      </w:r>
    </w:p>
    <w:p w:rsidR="002E2327" w:rsidRPr="00C50A5C" w:rsidRDefault="002E2327" w:rsidP="002E2327">
      <w:pPr>
        <w:widowControl w:val="0"/>
        <w:rPr>
          <w:sz w:val="20"/>
          <w:szCs w:val="20"/>
        </w:rPr>
      </w:pPr>
    </w:p>
    <w:p w:rsidR="002E2327" w:rsidRPr="00910A5E" w:rsidRDefault="00910A5E" w:rsidP="00C50A5C">
      <w:pPr>
        <w:pStyle w:val="ListParagraph"/>
        <w:widowControl w:val="0"/>
        <w:numPr>
          <w:ilvl w:val="0"/>
          <w:numId w:val="1"/>
        </w:numPr>
        <w:ind w:hanging="720"/>
        <w:jc w:val="both"/>
        <w:rPr>
          <w:sz w:val="20"/>
          <w:szCs w:val="20"/>
        </w:rPr>
      </w:pPr>
      <w:r w:rsidRPr="00910A5E">
        <w:rPr>
          <w:i/>
          <w:sz w:val="20"/>
          <w:szCs w:val="20"/>
        </w:rPr>
        <w:t>Kathleen Dufresne et al. v. Stephen W. Bartol</w:t>
      </w:r>
      <w:r w:rsidRPr="00F772BC">
        <w:rPr>
          <w:sz w:val="20"/>
          <w:szCs w:val="20"/>
        </w:rPr>
        <w:t xml:space="preserve"> (Ont.) (Civil) (By Leave)</w:t>
      </w:r>
      <w:r w:rsidRPr="00910A5E">
        <w:rPr>
          <w:sz w:val="20"/>
          <w:szCs w:val="20"/>
        </w:rPr>
        <w:t xml:space="preserve"> </w:t>
      </w:r>
      <w:r w:rsidR="002E2327" w:rsidRPr="00910A5E">
        <w:rPr>
          <w:sz w:val="20"/>
          <w:szCs w:val="20"/>
        </w:rPr>
        <w:t>(33</w:t>
      </w:r>
      <w:r w:rsidR="00F772BC" w:rsidRPr="00910A5E">
        <w:rPr>
          <w:sz w:val="20"/>
          <w:szCs w:val="20"/>
        </w:rPr>
        <w:t>8</w:t>
      </w:r>
      <w:r w:rsidR="002E2327" w:rsidRPr="00910A5E">
        <w:rPr>
          <w:sz w:val="20"/>
          <w:szCs w:val="20"/>
        </w:rPr>
        <w:t>66)</w:t>
      </w:r>
    </w:p>
    <w:p w:rsidR="002E2327" w:rsidRPr="00910A5E" w:rsidRDefault="002E2327" w:rsidP="00C50A5C">
      <w:pPr>
        <w:widowControl w:val="0"/>
        <w:jc w:val="both"/>
        <w:rPr>
          <w:sz w:val="20"/>
          <w:szCs w:val="20"/>
        </w:rPr>
      </w:pPr>
    </w:p>
    <w:p w:rsidR="002E2327" w:rsidRPr="00910A5E" w:rsidRDefault="00910A5E" w:rsidP="00C50A5C">
      <w:pPr>
        <w:pStyle w:val="ListParagraph"/>
        <w:widowControl w:val="0"/>
        <w:numPr>
          <w:ilvl w:val="0"/>
          <w:numId w:val="1"/>
        </w:numPr>
        <w:ind w:hanging="720"/>
        <w:jc w:val="both"/>
        <w:rPr>
          <w:sz w:val="20"/>
          <w:szCs w:val="20"/>
        </w:rPr>
      </w:pPr>
      <w:r w:rsidRPr="00910A5E">
        <w:rPr>
          <w:i/>
          <w:sz w:val="20"/>
          <w:szCs w:val="20"/>
          <w:lang w:val="fr-CA"/>
        </w:rPr>
        <w:t xml:space="preserve">Qi Guo et al. v. David Charles Skinner </w:t>
      </w:r>
      <w:r>
        <w:rPr>
          <w:sz w:val="20"/>
          <w:szCs w:val="20"/>
          <w:lang w:val="fr-CA"/>
        </w:rPr>
        <w:t>(</w:t>
      </w:r>
      <w:r w:rsidRPr="00910A5E">
        <w:rPr>
          <w:sz w:val="20"/>
          <w:szCs w:val="20"/>
          <w:lang w:val="fr-CA"/>
        </w:rPr>
        <w:t xml:space="preserve">B.C.) </w:t>
      </w:r>
      <w:r w:rsidRPr="00F772BC">
        <w:rPr>
          <w:sz w:val="20"/>
          <w:szCs w:val="20"/>
        </w:rPr>
        <w:t>(Civil) (By Leave)</w:t>
      </w:r>
      <w:r w:rsidRPr="00910A5E">
        <w:rPr>
          <w:sz w:val="20"/>
          <w:szCs w:val="20"/>
        </w:rPr>
        <w:t xml:space="preserve"> </w:t>
      </w:r>
      <w:r w:rsidR="002E2327" w:rsidRPr="00910A5E">
        <w:rPr>
          <w:sz w:val="20"/>
          <w:szCs w:val="20"/>
        </w:rPr>
        <w:t>(33</w:t>
      </w:r>
      <w:r w:rsidR="00F772BC" w:rsidRPr="00910A5E">
        <w:rPr>
          <w:sz w:val="20"/>
          <w:szCs w:val="20"/>
        </w:rPr>
        <w:t>857</w:t>
      </w:r>
      <w:r w:rsidR="002E2327" w:rsidRPr="00910A5E">
        <w:rPr>
          <w:sz w:val="20"/>
          <w:szCs w:val="20"/>
        </w:rPr>
        <w:t>)</w:t>
      </w:r>
    </w:p>
    <w:p w:rsidR="002E2327" w:rsidRPr="00910A5E" w:rsidRDefault="002E2327" w:rsidP="00C50A5C">
      <w:pPr>
        <w:widowControl w:val="0"/>
        <w:jc w:val="both"/>
        <w:rPr>
          <w:sz w:val="20"/>
          <w:szCs w:val="20"/>
        </w:rPr>
      </w:pPr>
    </w:p>
    <w:p w:rsidR="00F772BC" w:rsidRPr="00910A5E" w:rsidRDefault="00F772BC" w:rsidP="00C50A5C">
      <w:pPr>
        <w:widowControl w:val="0"/>
        <w:jc w:val="both"/>
        <w:rPr>
          <w:sz w:val="20"/>
          <w:szCs w:val="20"/>
        </w:rPr>
      </w:pPr>
    </w:p>
    <w:p w:rsidR="00F772BC" w:rsidRPr="00C50A5C" w:rsidRDefault="00F772BC" w:rsidP="00F772BC">
      <w:pPr>
        <w:widowControl w:val="0"/>
        <w:jc w:val="center"/>
        <w:rPr>
          <w:b/>
          <w:sz w:val="20"/>
          <w:szCs w:val="20"/>
        </w:rPr>
      </w:pPr>
      <w:r w:rsidRPr="00C50A5C">
        <w:rPr>
          <w:b/>
          <w:sz w:val="20"/>
          <w:szCs w:val="20"/>
        </w:rPr>
        <w:t>CORAM: LeBel, Deschamps and Charron JJ.</w:t>
      </w:r>
    </w:p>
    <w:p w:rsidR="00F772BC" w:rsidRPr="00C50A5C" w:rsidRDefault="00F772BC" w:rsidP="00F772BC">
      <w:pPr>
        <w:widowControl w:val="0"/>
        <w:jc w:val="center"/>
        <w:rPr>
          <w:b/>
          <w:sz w:val="20"/>
          <w:szCs w:val="20"/>
          <w:lang w:val="fr-CA"/>
        </w:rPr>
      </w:pPr>
      <w:r w:rsidRPr="00C50A5C">
        <w:rPr>
          <w:b/>
          <w:sz w:val="20"/>
          <w:szCs w:val="20"/>
          <w:lang w:val="fr-CA"/>
        </w:rPr>
        <w:t>Les juges LeBel, Deschamps et Charron</w:t>
      </w:r>
    </w:p>
    <w:p w:rsidR="00F772BC" w:rsidRPr="00C50A5C" w:rsidRDefault="00F772BC" w:rsidP="00C50A5C">
      <w:pPr>
        <w:widowControl w:val="0"/>
        <w:jc w:val="both"/>
        <w:rPr>
          <w:sz w:val="20"/>
          <w:szCs w:val="20"/>
          <w:lang w:val="fr-CA"/>
        </w:rPr>
      </w:pPr>
    </w:p>
    <w:p w:rsidR="002E2327" w:rsidRPr="00C50A5C" w:rsidRDefault="00910A5E" w:rsidP="00C50A5C">
      <w:pPr>
        <w:pStyle w:val="ListParagraph"/>
        <w:widowControl w:val="0"/>
        <w:numPr>
          <w:ilvl w:val="0"/>
          <w:numId w:val="1"/>
        </w:numPr>
        <w:ind w:hanging="720"/>
        <w:jc w:val="both"/>
        <w:rPr>
          <w:sz w:val="20"/>
          <w:szCs w:val="20"/>
          <w:lang w:val="fr-CA"/>
        </w:rPr>
      </w:pPr>
      <w:r w:rsidRPr="00910A5E">
        <w:rPr>
          <w:i/>
          <w:sz w:val="20"/>
          <w:szCs w:val="20"/>
          <w:lang w:val="fr-CA"/>
        </w:rPr>
        <w:t>Alan Murphy c. Micheline Rioux, ès qualités de syndic de la Chambre de la sécurité financière</w:t>
      </w:r>
      <w:r w:rsidRPr="00F772BC">
        <w:rPr>
          <w:sz w:val="20"/>
          <w:szCs w:val="20"/>
          <w:lang w:val="fr-CA"/>
        </w:rPr>
        <w:t xml:space="preserve"> (Qc) (Civile) (Autorisation)</w:t>
      </w:r>
      <w:r w:rsidRPr="00C50A5C">
        <w:rPr>
          <w:sz w:val="20"/>
          <w:szCs w:val="20"/>
          <w:lang w:val="fr-CA"/>
        </w:rPr>
        <w:t xml:space="preserve"> </w:t>
      </w:r>
      <w:r w:rsidR="002E2327" w:rsidRPr="00C50A5C">
        <w:rPr>
          <w:sz w:val="20"/>
          <w:szCs w:val="20"/>
          <w:lang w:val="fr-CA"/>
        </w:rPr>
        <w:t>(33</w:t>
      </w:r>
      <w:r w:rsidR="00F772BC">
        <w:rPr>
          <w:sz w:val="20"/>
          <w:szCs w:val="20"/>
          <w:lang w:val="fr-CA"/>
        </w:rPr>
        <w:t>8</w:t>
      </w:r>
      <w:r w:rsidR="002E2327" w:rsidRPr="00C50A5C">
        <w:rPr>
          <w:sz w:val="20"/>
          <w:szCs w:val="20"/>
          <w:lang w:val="fr-CA"/>
        </w:rPr>
        <w:t>60)</w:t>
      </w:r>
    </w:p>
    <w:p w:rsidR="002E2327" w:rsidRDefault="002E2327" w:rsidP="002E2327">
      <w:pPr>
        <w:widowControl w:val="0"/>
        <w:rPr>
          <w:sz w:val="20"/>
          <w:szCs w:val="20"/>
          <w:lang w:val="fr-CA"/>
        </w:rPr>
      </w:pPr>
    </w:p>
    <w:p w:rsidR="002E2327" w:rsidRPr="00C50A5C" w:rsidRDefault="00910A5E" w:rsidP="00C50A5C">
      <w:pPr>
        <w:pStyle w:val="ListParagraph"/>
        <w:widowControl w:val="0"/>
        <w:numPr>
          <w:ilvl w:val="0"/>
          <w:numId w:val="1"/>
        </w:numPr>
        <w:ind w:hanging="720"/>
        <w:jc w:val="both"/>
        <w:rPr>
          <w:sz w:val="20"/>
          <w:szCs w:val="20"/>
          <w:lang w:val="fr-CA"/>
        </w:rPr>
      </w:pPr>
      <w:r w:rsidRPr="00910A5E">
        <w:rPr>
          <w:i/>
          <w:sz w:val="20"/>
          <w:szCs w:val="20"/>
        </w:rPr>
        <w:t>Zdzislaw Gnyp c. Atlas Copco Canada Inc.</w:t>
      </w:r>
      <w:r w:rsidRPr="00910A5E">
        <w:rPr>
          <w:sz w:val="20"/>
          <w:szCs w:val="20"/>
        </w:rPr>
        <w:t xml:space="preserve"> </w:t>
      </w:r>
      <w:r w:rsidRPr="00910A5E">
        <w:rPr>
          <w:sz w:val="20"/>
          <w:szCs w:val="20"/>
          <w:lang w:val="fr-CA"/>
        </w:rPr>
        <w:t>(Qc) (Civile) (Autorisation)</w:t>
      </w:r>
      <w:r>
        <w:rPr>
          <w:sz w:val="20"/>
          <w:szCs w:val="20"/>
          <w:lang w:val="fr-CA"/>
        </w:rPr>
        <w:t xml:space="preserve"> </w:t>
      </w:r>
      <w:r w:rsidR="00F772BC">
        <w:rPr>
          <w:sz w:val="20"/>
          <w:szCs w:val="20"/>
          <w:lang w:val="fr-CA"/>
        </w:rPr>
        <w:t>(</w:t>
      </w:r>
      <w:r w:rsidR="002E2327" w:rsidRPr="00C50A5C">
        <w:rPr>
          <w:sz w:val="20"/>
          <w:szCs w:val="20"/>
          <w:lang w:val="fr-CA"/>
        </w:rPr>
        <w:t>33</w:t>
      </w:r>
      <w:r w:rsidR="00F772BC">
        <w:rPr>
          <w:sz w:val="20"/>
          <w:szCs w:val="20"/>
          <w:lang w:val="fr-CA"/>
        </w:rPr>
        <w:t>90</w:t>
      </w:r>
      <w:r w:rsidR="002E2327" w:rsidRPr="00C50A5C">
        <w:rPr>
          <w:sz w:val="20"/>
          <w:szCs w:val="20"/>
          <w:lang w:val="fr-CA"/>
        </w:rPr>
        <w:t>1)</w:t>
      </w:r>
    </w:p>
    <w:p w:rsidR="002E2327" w:rsidRPr="00C50A5C" w:rsidRDefault="002E2327" w:rsidP="00C50A5C">
      <w:pPr>
        <w:widowControl w:val="0"/>
        <w:jc w:val="both"/>
        <w:rPr>
          <w:sz w:val="20"/>
          <w:szCs w:val="20"/>
          <w:lang w:val="fr-CA"/>
        </w:rPr>
      </w:pPr>
    </w:p>
    <w:p w:rsidR="002E2327" w:rsidRPr="00C50A5C" w:rsidRDefault="00910A5E" w:rsidP="00C50A5C">
      <w:pPr>
        <w:pStyle w:val="ListParagraph"/>
        <w:widowControl w:val="0"/>
        <w:numPr>
          <w:ilvl w:val="0"/>
          <w:numId w:val="1"/>
        </w:numPr>
        <w:ind w:hanging="720"/>
        <w:jc w:val="both"/>
        <w:rPr>
          <w:sz w:val="20"/>
          <w:szCs w:val="20"/>
          <w:lang w:val="fr-CA"/>
        </w:rPr>
      </w:pPr>
      <w:r w:rsidRPr="00910A5E">
        <w:rPr>
          <w:i/>
          <w:sz w:val="20"/>
          <w:szCs w:val="20"/>
        </w:rPr>
        <w:t>U.K. Pensions Regulator v. Nortel Networks Corporation et al.</w:t>
      </w:r>
      <w:r w:rsidRPr="00F772BC">
        <w:rPr>
          <w:sz w:val="20"/>
          <w:szCs w:val="20"/>
        </w:rPr>
        <w:t xml:space="preserve"> (Ont.) (Civil) (By Leave)</w:t>
      </w:r>
      <w:r w:rsidRPr="00C50A5C">
        <w:rPr>
          <w:sz w:val="20"/>
          <w:szCs w:val="20"/>
          <w:lang w:val="fr-CA"/>
        </w:rPr>
        <w:t xml:space="preserve"> </w:t>
      </w:r>
      <w:r w:rsidR="002E2327" w:rsidRPr="00C50A5C">
        <w:rPr>
          <w:sz w:val="20"/>
          <w:szCs w:val="20"/>
          <w:lang w:val="fr-CA"/>
        </w:rPr>
        <w:t>(33</w:t>
      </w:r>
      <w:r w:rsidR="00F772BC">
        <w:rPr>
          <w:sz w:val="20"/>
          <w:szCs w:val="20"/>
          <w:lang w:val="fr-CA"/>
        </w:rPr>
        <w:t>8</w:t>
      </w:r>
      <w:r w:rsidR="002E2327" w:rsidRPr="00C50A5C">
        <w:rPr>
          <w:sz w:val="20"/>
          <w:szCs w:val="20"/>
          <w:lang w:val="fr-CA"/>
        </w:rPr>
        <w:t>4</w:t>
      </w:r>
      <w:r w:rsidR="00F772BC">
        <w:rPr>
          <w:sz w:val="20"/>
          <w:szCs w:val="20"/>
          <w:lang w:val="fr-CA"/>
        </w:rPr>
        <w:t>6</w:t>
      </w:r>
      <w:r w:rsidR="002E2327" w:rsidRPr="00C50A5C">
        <w:rPr>
          <w:sz w:val="20"/>
          <w:szCs w:val="20"/>
          <w:lang w:val="fr-CA"/>
        </w:rPr>
        <w:t>)</w:t>
      </w:r>
    </w:p>
    <w:p w:rsidR="002E2327" w:rsidRPr="00F772BC" w:rsidRDefault="002E2327" w:rsidP="00F772BC">
      <w:pPr>
        <w:widowControl w:val="0"/>
        <w:jc w:val="both"/>
        <w:rPr>
          <w:sz w:val="20"/>
          <w:szCs w:val="20"/>
          <w:lang w:val="fr-CA"/>
        </w:rPr>
      </w:pPr>
    </w:p>
    <w:p w:rsidR="002E2327" w:rsidRDefault="00D56013" w:rsidP="002E2327">
      <w:pPr>
        <w:widowControl w:val="0"/>
        <w:rPr>
          <w:sz w:val="20"/>
          <w:szCs w:val="20"/>
        </w:rPr>
      </w:pPr>
      <w:r w:rsidRPr="00D56013">
        <w:rPr>
          <w:sz w:val="20"/>
          <w:szCs w:val="20"/>
        </w:rPr>
        <w:pict>
          <v:rect id="_x0000_i1048" style="width:2in;height:1pt" o:hrpct="0" o:hralign="center" o:hrstd="t" o:hrnoshade="t" o:hr="t" fillcolor="black [3213]" stroked="f"/>
        </w:pict>
      </w:r>
    </w:p>
    <w:p w:rsidR="00F772BC" w:rsidRPr="00C50A5C" w:rsidRDefault="00F772BC"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18"/>
          <w:footerReference w:type="default" r:id="rId19"/>
          <w:headerReference w:type="first" r:id="rId20"/>
          <w:footerReference w:type="first" r:id="rId21"/>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tblPr>
      <w:tblGrid>
        <w:gridCol w:w="4200"/>
        <w:gridCol w:w="1200"/>
        <w:gridCol w:w="4080"/>
      </w:tblGrid>
      <w:tr w:rsidR="008D292F" w:rsidRPr="00850008" w:rsidTr="00ED7E83">
        <w:tc>
          <w:tcPr>
            <w:tcW w:w="4200" w:type="dxa"/>
            <w:tcMar>
              <w:left w:w="0" w:type="dxa"/>
              <w:right w:w="0" w:type="dxa"/>
            </w:tcMar>
          </w:tcPr>
          <w:p w:rsidR="008D292F" w:rsidRPr="001D0D5F" w:rsidRDefault="008D292F" w:rsidP="00ED7E83">
            <w:pPr>
              <w:keepNext/>
              <w:keepLines/>
              <w:jc w:val="both"/>
              <w:rPr>
                <w:b/>
                <w:szCs w:val="24"/>
              </w:rPr>
            </w:pPr>
            <w:bookmarkStart w:id="0" w:name="QuickMark_1"/>
            <w:bookmarkEnd w:id="0"/>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Default="008D292F" w:rsidP="008D292F">
      <w:pPr>
        <w:rPr>
          <w:sz w:val="20"/>
          <w:szCs w:val="20"/>
          <w:lang w:val="fr-CA"/>
        </w:rPr>
      </w:pPr>
    </w:p>
    <w:p w:rsidR="00A878EC" w:rsidRPr="00A878EC" w:rsidRDefault="00A878EC" w:rsidP="008D292F">
      <w:pPr>
        <w:rPr>
          <w:b/>
          <w:sz w:val="20"/>
          <w:szCs w:val="20"/>
          <w:lang w:val="fr-CA"/>
        </w:rPr>
      </w:pPr>
      <w:r w:rsidRPr="00A878EC">
        <w:rPr>
          <w:b/>
          <w:sz w:val="20"/>
          <w:szCs w:val="20"/>
          <w:lang w:val="fr-CA"/>
        </w:rPr>
        <w:t>DECEMBER 17, 2010 / LE 17 DÉCEMBRE 2010</w:t>
      </w:r>
    </w:p>
    <w:p w:rsidR="00A878EC" w:rsidRDefault="00A878EC" w:rsidP="00A878EC">
      <w:pPr>
        <w:jc w:val="both"/>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A878EC" w:rsidRPr="00972622" w:rsidTr="00CC4E9B">
        <w:trPr>
          <w:cantSplit/>
        </w:trPr>
        <w:tc>
          <w:tcPr>
            <w:tcW w:w="1458" w:type="dxa"/>
          </w:tcPr>
          <w:p w:rsidR="00A878EC" w:rsidRPr="00972622" w:rsidRDefault="00A878EC" w:rsidP="00CC4E9B">
            <w:pPr>
              <w:rPr>
                <w:sz w:val="20"/>
                <w:szCs w:val="20"/>
              </w:rPr>
            </w:pPr>
            <w:r w:rsidRPr="00972622">
              <w:rPr>
                <w:rStyle w:val="SCCFileNumberChar"/>
                <w:sz w:val="20"/>
                <w:szCs w:val="20"/>
              </w:rPr>
              <w:t>33900</w:t>
            </w:r>
          </w:p>
          <w:p w:rsidR="00A878EC" w:rsidRPr="00972622" w:rsidRDefault="00A878EC" w:rsidP="00CC4E9B">
            <w:pPr>
              <w:rPr>
                <w:b/>
                <w:sz w:val="20"/>
                <w:szCs w:val="20"/>
                <w:lang w:val="fr-CA"/>
              </w:rPr>
            </w:pPr>
          </w:p>
        </w:tc>
        <w:tc>
          <w:tcPr>
            <w:tcW w:w="8118" w:type="dxa"/>
          </w:tcPr>
          <w:p w:rsidR="00A878EC" w:rsidRPr="00972622" w:rsidRDefault="00A878EC" w:rsidP="00A878EC">
            <w:pPr>
              <w:jc w:val="both"/>
              <w:rPr>
                <w:sz w:val="20"/>
                <w:szCs w:val="20"/>
              </w:rPr>
            </w:pPr>
            <w:r w:rsidRPr="00A878EC">
              <w:rPr>
                <w:rStyle w:val="SCCLsocChar"/>
                <w:sz w:val="20"/>
                <w:szCs w:val="20"/>
                <w:lang w:val="en-CA"/>
              </w:rPr>
              <w:t>Richard C. Breeden, Richard C. Breeden &amp; Co., Gordon A. Paris, James R. Thompson, Richard D. Burt, Graham W. Savage, Raymond G.H. Seitz v. Conrad Black AND BETWEEN Richard C. Breeden, Richard C. Breeden &amp; Co., Gordon A. Paris, James R. Thompson, Richard D. Burt, Graham W. Savage, Raymond G.H. Seitz v. Conrad Black AND BETWEEN Richard C. Breeden, Richard C. Breeden &amp; Co., Gordon A. Paris, James R. Thompson, Richard D. Burt, Graham W. Savage, Raymond G.H. Seitz v. Conrad Black AND BETWEEN Richard C. Breeden, Richard C. Breeden &amp; Co., Gordon A. Paris, James R. Thompson, Richard D. Burt, Graham W. Savage, Raymond G.H. Seitz v. Conrad Black AND BETWEEN Richard C. Breeden, Richard C. Breeden &amp; Co., Gordon A. Paris, Graham W. Savage, Raymond G.H. Seitz and Paul B. Healy v. Conrad Black AND BETWEEN Richard C. Breeden, Richard C. Breeden &amp; Co., Gordon A. Paris, James R. Thompson, Richard D. Burt, Graham W. Savage, Raymond G.H. Seitz, Shmuel Meitar and Henry A. Kissinger v. Conrad Black</w:t>
            </w:r>
            <w:r w:rsidRPr="00972622">
              <w:rPr>
                <w:sz w:val="20"/>
                <w:szCs w:val="20"/>
              </w:rPr>
              <w:t xml:space="preserve"> (Ont.) (Civil) (By Leave)</w:t>
            </w:r>
          </w:p>
        </w:tc>
      </w:tr>
    </w:tbl>
    <w:p w:rsidR="00A878EC" w:rsidRDefault="00A878EC" w:rsidP="00A878EC">
      <w:pPr>
        <w:pStyle w:val="SCCSsocParty"/>
        <w:jc w:val="both"/>
        <w:rPr>
          <w:sz w:val="20"/>
          <w:szCs w:val="20"/>
        </w:rPr>
      </w:pPr>
    </w:p>
    <w:p w:rsidR="00A878EC" w:rsidRPr="008E6339" w:rsidRDefault="00D56013" w:rsidP="00A878EC">
      <w:pPr>
        <w:pStyle w:val="SCCSsocParty"/>
        <w:jc w:val="both"/>
        <w:rPr>
          <w:sz w:val="20"/>
          <w:szCs w:val="20"/>
        </w:rPr>
      </w:pPr>
      <w:r w:rsidRPr="008E6339">
        <w:rPr>
          <w:sz w:val="20"/>
          <w:szCs w:val="20"/>
        </w:rPr>
        <w:fldChar w:fldCharType="begin"/>
      </w:r>
      <w:r w:rsidR="00A878EC" w:rsidRPr="008E6339">
        <w:rPr>
          <w:sz w:val="20"/>
          <w:szCs w:val="20"/>
        </w:rPr>
        <w:instrText xml:space="preserve"> SEQ CHAPTER \h \r 1</w:instrText>
      </w:r>
      <w:r w:rsidRPr="008E6339">
        <w:rPr>
          <w:sz w:val="20"/>
          <w:szCs w:val="20"/>
        </w:rPr>
        <w:fldChar w:fldCharType="end"/>
      </w:r>
      <w:r w:rsidR="00A878EC" w:rsidRPr="008E6339">
        <w:rPr>
          <w:sz w:val="20"/>
          <w:szCs w:val="20"/>
        </w:rPr>
        <w:t xml:space="preserve">The schedule for serving and filing the material and any application for leave to intervene in the appeal of </w:t>
      </w:r>
      <w:r w:rsidR="00A878EC" w:rsidRPr="008E6339">
        <w:rPr>
          <w:i/>
          <w:sz w:val="20"/>
          <w:szCs w:val="20"/>
        </w:rPr>
        <w:t xml:space="preserve">Richard C. Breeden, et al. v. Conrad Black. </w:t>
      </w:r>
      <w:r w:rsidR="00A878EC" w:rsidRPr="008E6339">
        <w:rPr>
          <w:sz w:val="20"/>
          <w:szCs w:val="20"/>
        </w:rPr>
        <w:t>(33900) to be heard on March 22, 2011 was set as follows by the Registrar:</w:t>
      </w:r>
    </w:p>
    <w:p w:rsidR="00A878EC" w:rsidRPr="008E6339" w:rsidRDefault="00A878EC" w:rsidP="00A878EC">
      <w:pPr>
        <w:jc w:val="both"/>
        <w:rPr>
          <w:sz w:val="20"/>
          <w:szCs w:val="20"/>
        </w:rPr>
      </w:pPr>
    </w:p>
    <w:p w:rsidR="00A878EC" w:rsidRPr="008E6339" w:rsidRDefault="00A878EC" w:rsidP="00A878EC">
      <w:pPr>
        <w:pStyle w:val="ListParagraph"/>
        <w:numPr>
          <w:ilvl w:val="0"/>
          <w:numId w:val="2"/>
        </w:numPr>
        <w:autoSpaceDE w:val="0"/>
        <w:autoSpaceDN w:val="0"/>
        <w:adjustRightInd w:val="0"/>
        <w:ind w:left="720" w:hanging="720"/>
        <w:jc w:val="both"/>
        <w:rPr>
          <w:sz w:val="20"/>
          <w:szCs w:val="20"/>
        </w:rPr>
      </w:pPr>
      <w:r w:rsidRPr="008E6339">
        <w:rPr>
          <w:sz w:val="20"/>
          <w:szCs w:val="20"/>
        </w:rPr>
        <w:t>Notice of Appeal to be served and filed as soon as possible.</w:t>
      </w:r>
    </w:p>
    <w:p w:rsidR="00A878EC" w:rsidRPr="008E6339" w:rsidRDefault="00A878EC" w:rsidP="00A878EC">
      <w:pPr>
        <w:jc w:val="both"/>
        <w:rPr>
          <w:sz w:val="20"/>
          <w:szCs w:val="20"/>
        </w:rPr>
      </w:pPr>
    </w:p>
    <w:p w:rsidR="00A878EC" w:rsidRPr="008E6339" w:rsidRDefault="00A878EC" w:rsidP="00A878EC">
      <w:pPr>
        <w:pStyle w:val="ListParagraph"/>
        <w:numPr>
          <w:ilvl w:val="0"/>
          <w:numId w:val="2"/>
        </w:numPr>
        <w:autoSpaceDE w:val="0"/>
        <w:autoSpaceDN w:val="0"/>
        <w:adjustRightInd w:val="0"/>
        <w:ind w:left="720" w:hanging="720"/>
        <w:jc w:val="both"/>
        <w:rPr>
          <w:sz w:val="20"/>
          <w:szCs w:val="20"/>
        </w:rPr>
      </w:pPr>
      <w:r w:rsidRPr="008E6339">
        <w:rPr>
          <w:sz w:val="20"/>
          <w:szCs w:val="20"/>
        </w:rPr>
        <w:t xml:space="preserve">Appellant's Record, Factum, and Book of Authorities to be served and filed no later than January 27, 2011. </w:t>
      </w:r>
    </w:p>
    <w:p w:rsidR="00A878EC" w:rsidRPr="008E6339" w:rsidRDefault="00A878EC" w:rsidP="00A878EC">
      <w:pPr>
        <w:jc w:val="both"/>
        <w:rPr>
          <w:sz w:val="20"/>
          <w:szCs w:val="20"/>
        </w:rPr>
      </w:pPr>
    </w:p>
    <w:p w:rsidR="00A878EC" w:rsidRPr="008E6339" w:rsidRDefault="00A878EC" w:rsidP="00A878EC">
      <w:pPr>
        <w:pStyle w:val="ListParagraph"/>
        <w:numPr>
          <w:ilvl w:val="0"/>
          <w:numId w:val="2"/>
        </w:numPr>
        <w:autoSpaceDE w:val="0"/>
        <w:autoSpaceDN w:val="0"/>
        <w:adjustRightInd w:val="0"/>
        <w:ind w:left="720" w:hanging="720"/>
        <w:jc w:val="both"/>
        <w:rPr>
          <w:sz w:val="20"/>
          <w:szCs w:val="20"/>
        </w:rPr>
      </w:pPr>
      <w:r w:rsidRPr="008E6339">
        <w:rPr>
          <w:sz w:val="20"/>
          <w:szCs w:val="20"/>
        </w:rPr>
        <w:t>Notice(s) of motion for leave to intervene to be served and filed no later than February 7, 2011, should there be any.</w:t>
      </w:r>
    </w:p>
    <w:p w:rsidR="00A878EC" w:rsidRPr="008E6339" w:rsidRDefault="00A878EC" w:rsidP="00A878EC">
      <w:pPr>
        <w:jc w:val="both"/>
        <w:rPr>
          <w:sz w:val="20"/>
          <w:szCs w:val="20"/>
        </w:rPr>
      </w:pPr>
    </w:p>
    <w:p w:rsidR="00A878EC" w:rsidRPr="008E6339" w:rsidRDefault="00A878EC" w:rsidP="00A878EC">
      <w:pPr>
        <w:pStyle w:val="ListParagraph"/>
        <w:numPr>
          <w:ilvl w:val="0"/>
          <w:numId w:val="2"/>
        </w:numPr>
        <w:autoSpaceDE w:val="0"/>
        <w:autoSpaceDN w:val="0"/>
        <w:adjustRightInd w:val="0"/>
        <w:ind w:left="720" w:hanging="720"/>
        <w:jc w:val="both"/>
        <w:rPr>
          <w:sz w:val="20"/>
          <w:szCs w:val="20"/>
        </w:rPr>
      </w:pPr>
      <w:r w:rsidRPr="008E6339">
        <w:rPr>
          <w:sz w:val="20"/>
          <w:szCs w:val="20"/>
        </w:rPr>
        <w:t>Respondent's Record, Factum and Book of Authorities to be served and filed no later than March 3, 2011.</w:t>
      </w:r>
    </w:p>
    <w:p w:rsidR="00A878EC" w:rsidRPr="008E6339" w:rsidRDefault="00A878EC" w:rsidP="00A878EC">
      <w:pPr>
        <w:jc w:val="both"/>
        <w:rPr>
          <w:sz w:val="20"/>
          <w:szCs w:val="20"/>
        </w:rPr>
      </w:pPr>
    </w:p>
    <w:p w:rsidR="00A878EC" w:rsidRPr="008E6339" w:rsidRDefault="00A878EC" w:rsidP="00A878EC">
      <w:pPr>
        <w:pStyle w:val="ListParagraph"/>
        <w:numPr>
          <w:ilvl w:val="0"/>
          <w:numId w:val="2"/>
        </w:numPr>
        <w:autoSpaceDE w:val="0"/>
        <w:autoSpaceDN w:val="0"/>
        <w:adjustRightInd w:val="0"/>
        <w:ind w:left="720" w:hanging="720"/>
        <w:jc w:val="both"/>
        <w:rPr>
          <w:sz w:val="20"/>
          <w:szCs w:val="20"/>
        </w:rPr>
      </w:pPr>
      <w:r w:rsidRPr="008E6339">
        <w:rPr>
          <w:sz w:val="20"/>
          <w:szCs w:val="20"/>
        </w:rPr>
        <w:t>If leave to intervene is granted, Intervener`s Factum and Book of Authorities to be served and filed no later than March 11, 2011.</w:t>
      </w:r>
    </w:p>
    <w:p w:rsidR="00A878EC" w:rsidRDefault="00A878EC" w:rsidP="00A878EC">
      <w:pPr>
        <w:jc w:val="both"/>
        <w:rPr>
          <w:sz w:val="20"/>
          <w:szCs w:val="20"/>
        </w:rPr>
      </w:pPr>
    </w:p>
    <w:p w:rsidR="00A878EC" w:rsidRPr="008E6339" w:rsidRDefault="00A878EC" w:rsidP="00A878EC">
      <w:pPr>
        <w:jc w:val="both"/>
        <w:rPr>
          <w:sz w:val="20"/>
          <w:szCs w:val="20"/>
        </w:rPr>
      </w:pPr>
    </w:p>
    <w:p w:rsidR="00A878EC" w:rsidRPr="008E6339" w:rsidRDefault="00A878EC" w:rsidP="00A878EC">
      <w:pPr>
        <w:jc w:val="both"/>
        <w:rPr>
          <w:sz w:val="20"/>
          <w:szCs w:val="20"/>
        </w:rPr>
      </w:pPr>
    </w:p>
    <w:p w:rsidR="00A878EC" w:rsidRPr="008E6339" w:rsidRDefault="00A878EC" w:rsidP="00A878EC">
      <w:pPr>
        <w:pStyle w:val="SCCSsocParty"/>
        <w:jc w:val="both"/>
        <w:rPr>
          <w:sz w:val="20"/>
          <w:szCs w:val="20"/>
          <w:lang w:val="fr-CA"/>
        </w:rPr>
      </w:pPr>
      <w:r w:rsidRPr="008E6339">
        <w:rPr>
          <w:sz w:val="20"/>
          <w:szCs w:val="20"/>
          <w:lang w:val="fr-CA"/>
        </w:rPr>
        <w:t xml:space="preserve">Le registraire a établi l’échéancier suivant pour la signification et le dépôt des documents et pour toute requête en intervention dans l’appel </w:t>
      </w:r>
      <w:r w:rsidRPr="008E6339">
        <w:rPr>
          <w:i/>
          <w:sz w:val="20"/>
          <w:szCs w:val="20"/>
          <w:lang w:val="fr-CA"/>
        </w:rPr>
        <w:t xml:space="preserve">Richard C. Breeden, et al. c. Conrad Black </w:t>
      </w:r>
      <w:r w:rsidRPr="008E6339">
        <w:rPr>
          <w:sz w:val="20"/>
          <w:szCs w:val="20"/>
          <w:lang w:val="fr-CA"/>
        </w:rPr>
        <w:t>(33900) qui sera entendu le 22 mars 2011 :</w:t>
      </w:r>
    </w:p>
    <w:p w:rsidR="00A878EC" w:rsidRPr="008E6339" w:rsidRDefault="00A878EC" w:rsidP="00A878EC">
      <w:pPr>
        <w:jc w:val="both"/>
        <w:rPr>
          <w:sz w:val="20"/>
          <w:szCs w:val="20"/>
          <w:lang w:val="fr-CA"/>
        </w:rPr>
      </w:pPr>
    </w:p>
    <w:p w:rsidR="00A878EC" w:rsidRPr="008E6339" w:rsidRDefault="00A878EC" w:rsidP="00A878EC">
      <w:pPr>
        <w:pStyle w:val="ListParagraph"/>
        <w:numPr>
          <w:ilvl w:val="0"/>
          <w:numId w:val="3"/>
        </w:numPr>
        <w:autoSpaceDE w:val="0"/>
        <w:autoSpaceDN w:val="0"/>
        <w:adjustRightInd w:val="0"/>
        <w:ind w:hanging="720"/>
        <w:jc w:val="both"/>
        <w:rPr>
          <w:sz w:val="20"/>
          <w:szCs w:val="20"/>
          <w:lang w:val="fr-CA"/>
        </w:rPr>
      </w:pPr>
      <w:r w:rsidRPr="008E6339">
        <w:rPr>
          <w:sz w:val="20"/>
          <w:szCs w:val="20"/>
          <w:lang w:val="fr-CA"/>
        </w:rPr>
        <w:t>L’avis d’appel doit être signifié et déposé le plus tôt possible.</w:t>
      </w:r>
    </w:p>
    <w:p w:rsidR="00A878EC" w:rsidRPr="008E6339" w:rsidRDefault="00A878EC" w:rsidP="00A878EC">
      <w:pPr>
        <w:jc w:val="both"/>
        <w:rPr>
          <w:sz w:val="20"/>
          <w:szCs w:val="20"/>
          <w:lang w:val="fr-CA"/>
        </w:rPr>
      </w:pPr>
    </w:p>
    <w:p w:rsidR="00A878EC" w:rsidRPr="008E6339" w:rsidRDefault="00A878EC" w:rsidP="00A878EC">
      <w:pPr>
        <w:pStyle w:val="ListParagraph"/>
        <w:numPr>
          <w:ilvl w:val="0"/>
          <w:numId w:val="3"/>
        </w:numPr>
        <w:autoSpaceDE w:val="0"/>
        <w:autoSpaceDN w:val="0"/>
        <w:adjustRightInd w:val="0"/>
        <w:ind w:hanging="720"/>
        <w:jc w:val="both"/>
        <w:rPr>
          <w:sz w:val="20"/>
          <w:szCs w:val="20"/>
          <w:lang w:val="fr-CA"/>
        </w:rPr>
      </w:pPr>
      <w:r w:rsidRPr="008E6339">
        <w:rPr>
          <w:sz w:val="20"/>
          <w:szCs w:val="20"/>
          <w:lang w:val="fr-CA"/>
        </w:rPr>
        <w:t>Les dossier, mémoire et recueil de sources de l’appelant seront signifiés et déposés au plus tard le 27 janvier 2011.</w:t>
      </w:r>
    </w:p>
    <w:p w:rsidR="00A878EC" w:rsidRPr="008E6339" w:rsidRDefault="00A878EC" w:rsidP="00A878EC">
      <w:pPr>
        <w:jc w:val="both"/>
        <w:rPr>
          <w:sz w:val="20"/>
          <w:szCs w:val="20"/>
          <w:lang w:val="fr-CA"/>
        </w:rPr>
      </w:pPr>
    </w:p>
    <w:p w:rsidR="00A878EC" w:rsidRPr="008E6339" w:rsidRDefault="00A878EC" w:rsidP="00A878EC">
      <w:pPr>
        <w:pStyle w:val="ListParagraph"/>
        <w:numPr>
          <w:ilvl w:val="0"/>
          <w:numId w:val="3"/>
        </w:numPr>
        <w:autoSpaceDE w:val="0"/>
        <w:autoSpaceDN w:val="0"/>
        <w:adjustRightInd w:val="0"/>
        <w:ind w:hanging="720"/>
        <w:jc w:val="both"/>
        <w:rPr>
          <w:sz w:val="20"/>
          <w:szCs w:val="20"/>
          <w:lang w:val="fr-CA"/>
        </w:rPr>
      </w:pPr>
      <w:r w:rsidRPr="008E6339">
        <w:rPr>
          <w:sz w:val="20"/>
          <w:szCs w:val="20"/>
          <w:lang w:val="fr-CA"/>
        </w:rPr>
        <w:t>Les avis de requête en autorisation d’intervenir seront, le cas échéant, signifiés et déposés au plus tard le 7 février 2011.</w:t>
      </w:r>
    </w:p>
    <w:p w:rsidR="00A878EC" w:rsidRPr="008E6339" w:rsidRDefault="00A878EC" w:rsidP="00A878EC">
      <w:pPr>
        <w:jc w:val="both"/>
        <w:rPr>
          <w:sz w:val="20"/>
          <w:szCs w:val="20"/>
          <w:lang w:val="fr-CA"/>
        </w:rPr>
      </w:pPr>
    </w:p>
    <w:p w:rsidR="00A878EC" w:rsidRPr="008E6339" w:rsidRDefault="00A878EC" w:rsidP="00A878EC">
      <w:pPr>
        <w:pStyle w:val="ListParagraph"/>
        <w:numPr>
          <w:ilvl w:val="0"/>
          <w:numId w:val="3"/>
        </w:numPr>
        <w:autoSpaceDE w:val="0"/>
        <w:autoSpaceDN w:val="0"/>
        <w:adjustRightInd w:val="0"/>
        <w:ind w:hanging="720"/>
        <w:jc w:val="both"/>
        <w:rPr>
          <w:sz w:val="20"/>
          <w:szCs w:val="20"/>
          <w:lang w:val="fr-CA"/>
        </w:rPr>
      </w:pPr>
      <w:r w:rsidRPr="008E6339">
        <w:rPr>
          <w:sz w:val="20"/>
          <w:szCs w:val="20"/>
          <w:lang w:val="fr-CA"/>
        </w:rPr>
        <w:t>Les dossier, mémoire et recueil de sources de l’intimé seront signifiés et déposés au plus tard le 3 mars 2011.</w:t>
      </w:r>
    </w:p>
    <w:p w:rsidR="00A878EC" w:rsidRPr="008E6339" w:rsidRDefault="00A878EC" w:rsidP="00A878EC">
      <w:pPr>
        <w:jc w:val="both"/>
        <w:rPr>
          <w:sz w:val="20"/>
          <w:szCs w:val="20"/>
          <w:lang w:val="fr-CA"/>
        </w:rPr>
      </w:pPr>
    </w:p>
    <w:p w:rsidR="00A878EC" w:rsidRPr="00A878EC" w:rsidRDefault="00A878EC" w:rsidP="00A878EC">
      <w:pPr>
        <w:jc w:val="both"/>
        <w:rPr>
          <w:sz w:val="20"/>
          <w:szCs w:val="20"/>
          <w:lang w:val="fr-CA"/>
        </w:rPr>
      </w:pPr>
      <w:r w:rsidRPr="008E6339">
        <w:rPr>
          <w:sz w:val="20"/>
          <w:szCs w:val="20"/>
          <w:lang w:val="fr-CA"/>
        </w:rPr>
        <w:t xml:space="preserve">Tout intervenant ayant obtenu l’autorisation d’intervenir signifiera et déposera ses mémoire et recueil de sources au plus tard le 11 mars 2011.  </w:t>
      </w:r>
    </w:p>
    <w:p w:rsidR="00A878EC" w:rsidRPr="00A878EC" w:rsidRDefault="00A878EC" w:rsidP="008D292F">
      <w:pPr>
        <w:rPr>
          <w:sz w:val="20"/>
          <w:szCs w:val="20"/>
          <w:lang w:val="fr-CA"/>
        </w:rPr>
      </w:pPr>
    </w:p>
    <w:p w:rsidR="00A878EC" w:rsidRDefault="00D56013" w:rsidP="008D292F">
      <w:pPr>
        <w:rPr>
          <w:sz w:val="20"/>
          <w:szCs w:val="20"/>
          <w:lang w:val="fr-CA"/>
        </w:rPr>
      </w:pPr>
      <w:r w:rsidRPr="00D56013">
        <w:rPr>
          <w:sz w:val="20"/>
          <w:szCs w:val="20"/>
          <w:lang w:val="fr-CA"/>
        </w:rPr>
        <w:pict>
          <v:rect id="_x0000_i1051" style="width:2in;height:1pt" o:hrpct="0" o:hralign="center" o:hrstd="t" o:hrnoshade="t" o:hr="t" fillcolor="black [3213]" stroked="f"/>
        </w:pict>
      </w:r>
    </w:p>
    <w:p w:rsidR="00A878EC" w:rsidRDefault="00A878EC">
      <w:pPr>
        <w:rPr>
          <w:sz w:val="20"/>
          <w:szCs w:val="20"/>
          <w:lang w:val="fr-CA"/>
        </w:rPr>
      </w:pPr>
      <w:r>
        <w:rPr>
          <w:sz w:val="20"/>
          <w:szCs w:val="20"/>
          <w:lang w:val="fr-CA"/>
        </w:rPr>
        <w:br w:type="page"/>
      </w:r>
    </w:p>
    <w:p w:rsidR="008D292F" w:rsidRPr="00C50A5C" w:rsidRDefault="00E01ABF" w:rsidP="008D292F">
      <w:pPr>
        <w:rPr>
          <w:b/>
          <w:sz w:val="20"/>
          <w:szCs w:val="20"/>
        </w:rPr>
      </w:pPr>
      <w:r>
        <w:rPr>
          <w:b/>
          <w:sz w:val="20"/>
          <w:szCs w:val="20"/>
        </w:rPr>
        <w:lastRenderedPageBreak/>
        <w:t>DECEMBER 23</w:t>
      </w:r>
      <w:r w:rsidR="008D292F" w:rsidRPr="00C50A5C">
        <w:rPr>
          <w:b/>
          <w:sz w:val="20"/>
          <w:szCs w:val="20"/>
        </w:rPr>
        <w:t>, 2010 / LE 2</w:t>
      </w:r>
      <w:r>
        <w:rPr>
          <w:b/>
          <w:sz w:val="20"/>
          <w:szCs w:val="20"/>
        </w:rPr>
        <w:t>3 DÉCEMBRE</w:t>
      </w:r>
      <w:r w:rsidR="008D292F" w:rsidRPr="00C50A5C">
        <w:rPr>
          <w:b/>
          <w:sz w:val="20"/>
          <w:szCs w:val="20"/>
        </w:rPr>
        <w:t xml:space="preserve"> 2010</w:t>
      </w:r>
    </w:p>
    <w:p w:rsidR="008D292F" w:rsidRDefault="008D292F" w:rsidP="008D292F">
      <w:pPr>
        <w:rPr>
          <w:b/>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B40E3B" w:rsidRPr="00B40E3B" w:rsidTr="00B40E3B">
        <w:trPr>
          <w:cantSplit/>
        </w:trPr>
        <w:tc>
          <w:tcPr>
            <w:tcW w:w="1458" w:type="dxa"/>
          </w:tcPr>
          <w:p w:rsidR="00B40E3B" w:rsidRPr="00B40E3B" w:rsidRDefault="00B40E3B" w:rsidP="00B40E3B">
            <w:pPr>
              <w:rPr>
                <w:sz w:val="20"/>
                <w:szCs w:val="20"/>
              </w:rPr>
            </w:pPr>
            <w:r w:rsidRPr="00B40E3B">
              <w:rPr>
                <w:rStyle w:val="SCCFileNumberChar"/>
                <w:sz w:val="20"/>
                <w:szCs w:val="20"/>
              </w:rPr>
              <w:t>33636</w:t>
            </w:r>
          </w:p>
          <w:p w:rsidR="00B40E3B" w:rsidRPr="00B40E3B" w:rsidRDefault="00B40E3B" w:rsidP="00B40E3B">
            <w:pPr>
              <w:rPr>
                <w:b/>
                <w:sz w:val="20"/>
                <w:szCs w:val="20"/>
                <w:lang w:val="fr-CA"/>
              </w:rPr>
            </w:pPr>
          </w:p>
        </w:tc>
        <w:tc>
          <w:tcPr>
            <w:tcW w:w="8118" w:type="dxa"/>
          </w:tcPr>
          <w:p w:rsidR="00B40E3B" w:rsidRPr="00B40E3B" w:rsidRDefault="00B40E3B" w:rsidP="00B40E3B">
            <w:pPr>
              <w:rPr>
                <w:sz w:val="20"/>
                <w:szCs w:val="20"/>
              </w:rPr>
            </w:pPr>
            <w:r w:rsidRPr="00B40E3B">
              <w:rPr>
                <w:rStyle w:val="SCCLsocChar"/>
                <w:sz w:val="20"/>
                <w:szCs w:val="20"/>
                <w:lang w:val="en-CA"/>
              </w:rPr>
              <w:t>Her Majesty the Queen v. J.J., D.E., A.J., L.E.</w:t>
            </w:r>
            <w:r w:rsidR="00FA4947">
              <w:rPr>
                <w:rStyle w:val="SCCLsocChar"/>
                <w:sz w:val="20"/>
                <w:szCs w:val="20"/>
                <w:lang w:val="en-CA"/>
              </w:rPr>
              <w:t>and</w:t>
            </w:r>
            <w:r w:rsidRPr="00B40E3B">
              <w:rPr>
                <w:rStyle w:val="SCCLsocChar"/>
                <w:sz w:val="20"/>
                <w:szCs w:val="20"/>
                <w:lang w:val="en-CA"/>
              </w:rPr>
              <w:t xml:space="preserve"> T.M.</w:t>
            </w:r>
            <w:r w:rsidRPr="00B40E3B">
              <w:rPr>
                <w:sz w:val="20"/>
                <w:szCs w:val="20"/>
              </w:rPr>
              <w:t xml:space="preserve"> (Ont.) (Criminal) (By Leave)</w:t>
            </w:r>
          </w:p>
          <w:p w:rsidR="00B40E3B" w:rsidRPr="00B40E3B" w:rsidRDefault="00B40E3B" w:rsidP="00B40E3B">
            <w:pPr>
              <w:rPr>
                <w:sz w:val="20"/>
                <w:szCs w:val="20"/>
              </w:rPr>
            </w:pPr>
          </w:p>
        </w:tc>
      </w:tr>
      <w:tr w:rsidR="00B40E3B" w:rsidRPr="00B40E3B" w:rsidTr="00B40E3B">
        <w:trPr>
          <w:cantSplit/>
        </w:trPr>
        <w:tc>
          <w:tcPr>
            <w:tcW w:w="1458" w:type="dxa"/>
          </w:tcPr>
          <w:p w:rsidR="00B40E3B" w:rsidRPr="00B40E3B" w:rsidRDefault="00B40E3B" w:rsidP="00B40E3B">
            <w:pPr>
              <w:rPr>
                <w:sz w:val="20"/>
                <w:szCs w:val="20"/>
              </w:rPr>
            </w:pPr>
            <w:r w:rsidRPr="00B40E3B">
              <w:rPr>
                <w:sz w:val="20"/>
                <w:szCs w:val="20"/>
              </w:rPr>
              <w:t>Coram :</w:t>
            </w:r>
          </w:p>
        </w:tc>
        <w:tc>
          <w:tcPr>
            <w:tcW w:w="8118" w:type="dxa"/>
          </w:tcPr>
          <w:p w:rsidR="00B40E3B" w:rsidRPr="00B40E3B" w:rsidRDefault="00B40E3B" w:rsidP="00B40E3B">
            <w:pPr>
              <w:rPr>
                <w:sz w:val="20"/>
                <w:szCs w:val="20"/>
              </w:rPr>
            </w:pPr>
            <w:r w:rsidRPr="00B40E3B">
              <w:rPr>
                <w:rStyle w:val="SCCCoramChar"/>
                <w:sz w:val="20"/>
                <w:szCs w:val="20"/>
                <w:lang w:val="en-CA"/>
              </w:rPr>
              <w:t>McLachlin C.J. and Abella and Cromwell JJ.</w:t>
            </w:r>
          </w:p>
          <w:p w:rsidR="00B40E3B" w:rsidRPr="00B40E3B" w:rsidRDefault="00B40E3B" w:rsidP="00B40E3B">
            <w:pPr>
              <w:rPr>
                <w:sz w:val="20"/>
                <w:szCs w:val="20"/>
                <w:u w:val="single"/>
              </w:rPr>
            </w:pPr>
          </w:p>
        </w:tc>
      </w:tr>
      <w:tr w:rsidR="00B40E3B" w:rsidRPr="00850008" w:rsidTr="00B40E3B">
        <w:trPr>
          <w:cantSplit/>
        </w:trPr>
        <w:tc>
          <w:tcPr>
            <w:tcW w:w="9576" w:type="dxa"/>
            <w:gridSpan w:val="2"/>
          </w:tcPr>
          <w:p w:rsidR="00B40E3B" w:rsidRPr="00B40E3B" w:rsidRDefault="00B40E3B" w:rsidP="00B40E3B">
            <w:pPr>
              <w:pStyle w:val="SCCShortJudgment"/>
              <w:rPr>
                <w:szCs w:val="20"/>
              </w:rPr>
            </w:pPr>
            <w:r w:rsidRPr="00B40E3B">
              <w:rPr>
                <w:szCs w:val="20"/>
              </w:rPr>
              <w:t>The application for leave to appeal from the judgment of the Ontario Superior Court of Justice, Number 024/08, 2010 ONSC 735, dated February 1, 2010, is dismissed without costs.</w:t>
            </w:r>
          </w:p>
          <w:p w:rsidR="00B40E3B" w:rsidRPr="00B40E3B" w:rsidRDefault="00B40E3B" w:rsidP="00B40E3B">
            <w:pPr>
              <w:pStyle w:val="SCCShortJudgment"/>
              <w:ind w:firstLine="0"/>
              <w:rPr>
                <w:szCs w:val="20"/>
              </w:rPr>
            </w:pPr>
          </w:p>
          <w:p w:rsidR="00B40E3B" w:rsidRPr="00B40E3B" w:rsidRDefault="00B40E3B" w:rsidP="00B40E3B">
            <w:pPr>
              <w:pStyle w:val="SCCShortJudgment"/>
              <w:rPr>
                <w:szCs w:val="20"/>
                <w:lang w:val="fr-CA"/>
              </w:rPr>
            </w:pPr>
            <w:r w:rsidRPr="00B40E3B">
              <w:rPr>
                <w:szCs w:val="20"/>
                <w:lang w:val="fr-CA"/>
              </w:rPr>
              <w:t>La demande d’autorisation d’appel du jugement de la Cour supérieure de justice de l’Ontario, numéro 024/08, 2010 ONSC 735, daté du 1er février 2010, est rejetée sans dépens.</w:t>
            </w:r>
          </w:p>
        </w:tc>
      </w:tr>
    </w:tbl>
    <w:p w:rsidR="006444EE" w:rsidRPr="00B40E3B" w:rsidRDefault="006444EE" w:rsidP="008D292F">
      <w:pPr>
        <w:rPr>
          <w:sz w:val="20"/>
          <w:szCs w:val="20"/>
          <w:lang w:val="fr-CA"/>
        </w:rPr>
      </w:pPr>
    </w:p>
    <w:p w:rsidR="00E01ABF" w:rsidRPr="00E01ABF" w:rsidRDefault="00E01ABF" w:rsidP="008D292F">
      <w:pPr>
        <w:rPr>
          <w:sz w:val="20"/>
          <w:szCs w:val="20"/>
          <w:u w:val="single"/>
        </w:rPr>
      </w:pPr>
      <w:r w:rsidRPr="00E01ABF">
        <w:rPr>
          <w:sz w:val="20"/>
          <w:szCs w:val="20"/>
          <w:u w:val="single"/>
        </w:rPr>
        <w:t>CASE SUMMARY</w:t>
      </w:r>
    </w:p>
    <w:p w:rsidR="00E01ABF" w:rsidRDefault="00E01ABF" w:rsidP="008D292F">
      <w:pPr>
        <w:rPr>
          <w:sz w:val="20"/>
          <w:szCs w:val="20"/>
        </w:rPr>
      </w:pPr>
    </w:p>
    <w:p w:rsidR="006444EE" w:rsidRPr="00316127" w:rsidRDefault="006444EE" w:rsidP="006444EE">
      <w:pPr>
        <w:widowControl w:val="0"/>
        <w:jc w:val="both"/>
        <w:rPr>
          <w:sz w:val="20"/>
        </w:rPr>
      </w:pPr>
      <w:r w:rsidRPr="00316127">
        <w:rPr>
          <w:smallCaps/>
          <w:sz w:val="20"/>
        </w:rPr>
        <w:t>(Publication ban on party)</w:t>
      </w:r>
      <w:r w:rsidRPr="00316127">
        <w:rPr>
          <w:sz w:val="20"/>
        </w:rPr>
        <w:t xml:space="preserve"> </w:t>
      </w:r>
    </w:p>
    <w:p w:rsidR="006444EE" w:rsidRPr="00316127" w:rsidRDefault="006444EE" w:rsidP="006444EE">
      <w:pPr>
        <w:widowControl w:val="0"/>
        <w:jc w:val="both"/>
        <w:rPr>
          <w:sz w:val="20"/>
        </w:rPr>
      </w:pPr>
    </w:p>
    <w:p w:rsidR="006444EE" w:rsidRPr="00316127" w:rsidRDefault="006444EE" w:rsidP="006444EE">
      <w:pPr>
        <w:widowControl w:val="0"/>
        <w:jc w:val="both"/>
        <w:rPr>
          <w:sz w:val="20"/>
        </w:rPr>
      </w:pPr>
      <w:r w:rsidRPr="00316127">
        <w:rPr>
          <w:sz w:val="20"/>
        </w:rPr>
        <w:t xml:space="preserve">Legislation – Interpretation – </w:t>
      </w:r>
      <w:r w:rsidRPr="00316127">
        <w:rPr>
          <w:i/>
          <w:sz w:val="20"/>
        </w:rPr>
        <w:t xml:space="preserve">Criminal Code </w:t>
      </w:r>
      <w:r w:rsidRPr="00316127">
        <w:rPr>
          <w:sz w:val="20"/>
        </w:rPr>
        <w:t xml:space="preserve">– Offences – Whether s. 25.1 of the </w:t>
      </w:r>
      <w:r w:rsidRPr="00316127">
        <w:rPr>
          <w:i/>
          <w:sz w:val="20"/>
        </w:rPr>
        <w:t xml:space="preserve">Criminal Code </w:t>
      </w:r>
      <w:r w:rsidRPr="00316127">
        <w:rPr>
          <w:sz w:val="20"/>
        </w:rPr>
        <w:t xml:space="preserve">creates a general legal justification for police investigative conduct that falls within its terms or a limited </w:t>
      </w:r>
      <w:r w:rsidRPr="00316127">
        <w:rPr>
          <w:i/>
          <w:sz w:val="20"/>
        </w:rPr>
        <w:t xml:space="preserve">in personam </w:t>
      </w:r>
      <w:r w:rsidRPr="00316127">
        <w:rPr>
          <w:sz w:val="20"/>
        </w:rPr>
        <w:t>defence available only to police officers charged with criminal offences committed during the course of investigative activity.</w:t>
      </w:r>
    </w:p>
    <w:p w:rsidR="006444EE" w:rsidRPr="00316127" w:rsidRDefault="006444EE" w:rsidP="006444EE">
      <w:pPr>
        <w:widowControl w:val="0"/>
        <w:jc w:val="both"/>
        <w:rPr>
          <w:sz w:val="20"/>
        </w:rPr>
      </w:pPr>
    </w:p>
    <w:p w:rsidR="006444EE" w:rsidRPr="00316127" w:rsidRDefault="006444EE" w:rsidP="006444EE">
      <w:pPr>
        <w:widowControl w:val="0"/>
        <w:jc w:val="both"/>
        <w:rPr>
          <w:sz w:val="20"/>
        </w:rPr>
      </w:pPr>
      <w:r w:rsidRPr="00316127">
        <w:rPr>
          <w:sz w:val="20"/>
        </w:rPr>
        <w:t xml:space="preserve">On July 14, 2006, Omar Wellington was confined, assaulted, and murdered.  The police suspected it was a gang-related killing.  The police obtained an authorization to wiretap named persons who were members or associates of the gang.  In order to stimulate meaningful intercepts, the police decided to deploy a stimulation technique.  Officers disguised as hit men approached one of the named persons and pretended to be seeking other named persons in order to kill them in revenge for Omar’s murder.  The technique prompted a number of phone calls from which the police obtained wiretap intercepts of evidentiary value.  However, during the hit man exercise, one officer assaulted and confined the target of the exercise and he uttered a death threat.  In a pre-trial voir dire into the admissibility of the intercepts, the trial judge ruled that s. 25.1(8) of the </w:t>
      </w:r>
      <w:r w:rsidRPr="00316127">
        <w:rPr>
          <w:i/>
          <w:sz w:val="20"/>
        </w:rPr>
        <w:t xml:space="preserve">Criminal Code </w:t>
      </w:r>
      <w:r w:rsidRPr="00316127">
        <w:rPr>
          <w:sz w:val="20"/>
        </w:rPr>
        <w:t xml:space="preserve">only provides a defence of justification </w:t>
      </w:r>
      <w:r w:rsidRPr="00316127">
        <w:rPr>
          <w:i/>
          <w:sz w:val="20"/>
        </w:rPr>
        <w:t xml:space="preserve">in personam </w:t>
      </w:r>
      <w:r w:rsidRPr="00316127">
        <w:rPr>
          <w:sz w:val="20"/>
        </w:rPr>
        <w:t xml:space="preserve">and it does not authorize the commission of offences nor does it prevent an accused from relying on a police officer's unlawful conduct as a basis for a motion to exclude evidence.  The trial judge also found other instances of police misconduct and breaches of the </w:t>
      </w:r>
      <w:r w:rsidRPr="00316127">
        <w:rPr>
          <w:i/>
          <w:sz w:val="20"/>
        </w:rPr>
        <w:t>Charter</w:t>
      </w:r>
      <w:r w:rsidRPr="00316127">
        <w:rPr>
          <w:sz w:val="20"/>
        </w:rPr>
        <w:t>.  However, he held that excluding the intercepts from evidence would bring the administration of justice into disrepute.</w:t>
      </w:r>
    </w:p>
    <w:p w:rsidR="006444EE" w:rsidRPr="00316127" w:rsidRDefault="006444EE" w:rsidP="006444EE">
      <w:pPr>
        <w:widowControl w:val="0"/>
        <w:jc w:val="both"/>
        <w:rPr>
          <w:sz w:val="20"/>
        </w:rPr>
      </w:pPr>
    </w:p>
    <w:tbl>
      <w:tblPr>
        <w:tblW w:w="0" w:type="auto"/>
        <w:tblLayout w:type="fixed"/>
        <w:tblCellMar>
          <w:left w:w="0" w:type="dxa"/>
          <w:right w:w="0" w:type="dxa"/>
        </w:tblCellMar>
        <w:tblLook w:val="0000"/>
      </w:tblPr>
      <w:tblGrid>
        <w:gridCol w:w="4536"/>
        <w:gridCol w:w="288"/>
        <w:gridCol w:w="4536"/>
      </w:tblGrid>
      <w:tr w:rsidR="006444EE" w:rsidRPr="00316127" w:rsidTr="000C6FA4">
        <w:trPr>
          <w:cantSplit/>
        </w:trPr>
        <w:tc>
          <w:tcPr>
            <w:tcW w:w="4536" w:type="dxa"/>
            <w:tcMar>
              <w:left w:w="0" w:type="dxa"/>
              <w:right w:w="0" w:type="dxa"/>
            </w:tcMar>
          </w:tcPr>
          <w:p w:rsidR="006444EE" w:rsidRPr="00316127" w:rsidRDefault="006444EE" w:rsidP="006444EE">
            <w:pPr>
              <w:keepNext/>
              <w:keepLines/>
              <w:widowControl w:val="0"/>
              <w:jc w:val="both"/>
              <w:rPr>
                <w:sz w:val="20"/>
              </w:rPr>
            </w:pPr>
            <w:r w:rsidRPr="00316127">
              <w:rPr>
                <w:sz w:val="20"/>
              </w:rPr>
              <w:t>February 1, 2010</w:t>
            </w:r>
          </w:p>
          <w:p w:rsidR="006444EE" w:rsidRPr="00316127" w:rsidRDefault="006444EE" w:rsidP="006444EE">
            <w:pPr>
              <w:keepNext/>
              <w:keepLines/>
              <w:widowControl w:val="0"/>
              <w:jc w:val="both"/>
              <w:rPr>
                <w:sz w:val="20"/>
              </w:rPr>
            </w:pPr>
            <w:r w:rsidRPr="00316127">
              <w:rPr>
                <w:sz w:val="20"/>
              </w:rPr>
              <w:t>Ontario Superior Court of Justice</w:t>
            </w:r>
          </w:p>
          <w:p w:rsidR="006444EE" w:rsidRPr="00316127" w:rsidRDefault="006444EE" w:rsidP="006444EE">
            <w:pPr>
              <w:keepNext/>
              <w:keepLines/>
              <w:widowControl w:val="0"/>
              <w:jc w:val="both"/>
              <w:rPr>
                <w:sz w:val="20"/>
              </w:rPr>
            </w:pPr>
            <w:r w:rsidRPr="00316127">
              <w:rPr>
                <w:sz w:val="20"/>
              </w:rPr>
              <w:t>(Trafford J.)</w:t>
            </w:r>
          </w:p>
          <w:p w:rsidR="006444EE" w:rsidRPr="00316127" w:rsidRDefault="006444EE" w:rsidP="006444EE">
            <w:pPr>
              <w:keepNext/>
              <w:keepLines/>
              <w:widowControl w:val="0"/>
              <w:jc w:val="both"/>
              <w:rPr>
                <w:sz w:val="20"/>
              </w:rPr>
            </w:pPr>
            <w:r w:rsidRPr="00316127">
              <w:rPr>
                <w:sz w:val="20"/>
              </w:rPr>
              <w:t>2010 ONSC 735</w:t>
            </w:r>
          </w:p>
        </w:tc>
        <w:tc>
          <w:tcPr>
            <w:tcW w:w="288" w:type="dxa"/>
            <w:tcMar>
              <w:left w:w="0" w:type="dxa"/>
              <w:right w:w="0" w:type="dxa"/>
            </w:tcMar>
          </w:tcPr>
          <w:p w:rsidR="006444EE" w:rsidRDefault="006444EE" w:rsidP="006444EE">
            <w:pPr>
              <w:keepLines/>
              <w:widowControl w:val="0"/>
              <w:jc w:val="both"/>
              <w:rPr>
                <w:sz w:val="20"/>
              </w:rPr>
            </w:pPr>
          </w:p>
          <w:p w:rsidR="000C6FA4" w:rsidRDefault="000C6FA4" w:rsidP="006444EE">
            <w:pPr>
              <w:keepLines/>
              <w:widowControl w:val="0"/>
              <w:jc w:val="both"/>
              <w:rPr>
                <w:sz w:val="20"/>
              </w:rPr>
            </w:pPr>
          </w:p>
          <w:p w:rsidR="000C6FA4" w:rsidRDefault="000C6FA4" w:rsidP="006444EE">
            <w:pPr>
              <w:keepLines/>
              <w:widowControl w:val="0"/>
              <w:jc w:val="both"/>
              <w:rPr>
                <w:sz w:val="20"/>
              </w:rPr>
            </w:pPr>
          </w:p>
          <w:p w:rsidR="000C6FA4" w:rsidRDefault="000C6FA4" w:rsidP="006444EE">
            <w:pPr>
              <w:keepLines/>
              <w:widowControl w:val="0"/>
              <w:jc w:val="both"/>
              <w:rPr>
                <w:sz w:val="20"/>
              </w:rPr>
            </w:pPr>
          </w:p>
          <w:p w:rsidR="000C6FA4" w:rsidRPr="00316127" w:rsidRDefault="000C6FA4" w:rsidP="006444EE">
            <w:pPr>
              <w:keepLines/>
              <w:widowControl w:val="0"/>
              <w:jc w:val="both"/>
              <w:rPr>
                <w:sz w:val="20"/>
              </w:rPr>
            </w:pPr>
          </w:p>
        </w:tc>
        <w:tc>
          <w:tcPr>
            <w:tcW w:w="4536" w:type="dxa"/>
            <w:tcMar>
              <w:left w:w="0" w:type="dxa"/>
              <w:right w:w="0" w:type="dxa"/>
            </w:tcMar>
          </w:tcPr>
          <w:p w:rsidR="006444EE" w:rsidRPr="00316127" w:rsidRDefault="006444EE" w:rsidP="00FA4947">
            <w:pPr>
              <w:keepLines/>
              <w:widowControl w:val="0"/>
              <w:rPr>
                <w:sz w:val="20"/>
              </w:rPr>
            </w:pPr>
            <w:r w:rsidRPr="00316127">
              <w:rPr>
                <w:sz w:val="20"/>
              </w:rPr>
              <w:t>Application to exclude intercepted private communications from evidence dismissed</w:t>
            </w:r>
          </w:p>
        </w:tc>
      </w:tr>
      <w:tr w:rsidR="006444EE" w:rsidRPr="00316127" w:rsidTr="000C6FA4">
        <w:trPr>
          <w:cantSplit/>
        </w:trPr>
        <w:tc>
          <w:tcPr>
            <w:tcW w:w="4536" w:type="dxa"/>
            <w:tcMar>
              <w:left w:w="0" w:type="dxa"/>
              <w:right w:w="0" w:type="dxa"/>
            </w:tcMar>
          </w:tcPr>
          <w:p w:rsidR="006444EE" w:rsidRPr="00316127" w:rsidRDefault="006444EE" w:rsidP="006444EE">
            <w:pPr>
              <w:keepNext/>
              <w:keepLines/>
              <w:widowControl w:val="0"/>
              <w:rPr>
                <w:sz w:val="20"/>
              </w:rPr>
            </w:pPr>
            <w:r w:rsidRPr="00316127">
              <w:rPr>
                <w:sz w:val="20"/>
              </w:rPr>
              <w:t>April 1, 2010</w:t>
            </w:r>
          </w:p>
          <w:p w:rsidR="006444EE" w:rsidRPr="00316127" w:rsidRDefault="006444EE" w:rsidP="006444EE">
            <w:pPr>
              <w:keepNext/>
              <w:keepLines/>
              <w:widowControl w:val="0"/>
              <w:rPr>
                <w:sz w:val="20"/>
              </w:rPr>
            </w:pPr>
            <w:r w:rsidRPr="00316127">
              <w:rPr>
                <w:sz w:val="20"/>
              </w:rPr>
              <w:t>Supreme Court of Canada</w:t>
            </w:r>
          </w:p>
          <w:p w:rsidR="006444EE" w:rsidRPr="00316127" w:rsidRDefault="006444EE" w:rsidP="006444EE">
            <w:pPr>
              <w:keepNext/>
              <w:keepLines/>
              <w:widowControl w:val="0"/>
              <w:rPr>
                <w:sz w:val="20"/>
              </w:rPr>
            </w:pPr>
          </w:p>
        </w:tc>
        <w:tc>
          <w:tcPr>
            <w:tcW w:w="288" w:type="dxa"/>
            <w:tcMar>
              <w:left w:w="0" w:type="dxa"/>
              <w:right w:w="0" w:type="dxa"/>
            </w:tcMar>
          </w:tcPr>
          <w:p w:rsidR="006444EE" w:rsidRDefault="006444EE" w:rsidP="006444EE">
            <w:pPr>
              <w:keepLines/>
              <w:widowControl w:val="0"/>
              <w:rPr>
                <w:sz w:val="20"/>
              </w:rPr>
            </w:pPr>
          </w:p>
          <w:p w:rsidR="000C6FA4" w:rsidRDefault="000C6FA4" w:rsidP="006444EE">
            <w:pPr>
              <w:keepLines/>
              <w:widowControl w:val="0"/>
              <w:rPr>
                <w:sz w:val="20"/>
              </w:rPr>
            </w:pPr>
          </w:p>
          <w:p w:rsidR="000C6FA4" w:rsidRDefault="000C6FA4" w:rsidP="006444EE">
            <w:pPr>
              <w:keepLines/>
              <w:widowControl w:val="0"/>
              <w:rPr>
                <w:sz w:val="20"/>
              </w:rPr>
            </w:pPr>
          </w:p>
          <w:p w:rsidR="000C6FA4" w:rsidRPr="00316127" w:rsidRDefault="000C6FA4" w:rsidP="006444EE">
            <w:pPr>
              <w:keepLines/>
              <w:widowControl w:val="0"/>
              <w:rPr>
                <w:sz w:val="20"/>
              </w:rPr>
            </w:pPr>
          </w:p>
        </w:tc>
        <w:tc>
          <w:tcPr>
            <w:tcW w:w="4536" w:type="dxa"/>
            <w:tcMar>
              <w:left w:w="0" w:type="dxa"/>
              <w:right w:w="0" w:type="dxa"/>
            </w:tcMar>
          </w:tcPr>
          <w:p w:rsidR="006444EE" w:rsidRPr="00316127" w:rsidRDefault="006444EE" w:rsidP="006444EE">
            <w:pPr>
              <w:keepLines/>
              <w:widowControl w:val="0"/>
              <w:rPr>
                <w:sz w:val="20"/>
              </w:rPr>
            </w:pPr>
            <w:r w:rsidRPr="00316127">
              <w:rPr>
                <w:sz w:val="20"/>
              </w:rPr>
              <w:t>Application for leave to appeal filed</w:t>
            </w:r>
          </w:p>
        </w:tc>
      </w:tr>
      <w:tr w:rsidR="006444EE" w:rsidRPr="00316127" w:rsidTr="000C6FA4">
        <w:trPr>
          <w:cantSplit/>
        </w:trPr>
        <w:tc>
          <w:tcPr>
            <w:tcW w:w="4536" w:type="dxa"/>
            <w:tcMar>
              <w:left w:w="0" w:type="dxa"/>
              <w:right w:w="0" w:type="dxa"/>
            </w:tcMar>
          </w:tcPr>
          <w:p w:rsidR="006444EE" w:rsidRPr="00316127" w:rsidRDefault="006444EE" w:rsidP="006444EE">
            <w:pPr>
              <w:keepNext/>
              <w:keepLines/>
              <w:widowControl w:val="0"/>
              <w:rPr>
                <w:sz w:val="20"/>
              </w:rPr>
            </w:pPr>
            <w:r w:rsidRPr="00316127">
              <w:rPr>
                <w:sz w:val="20"/>
              </w:rPr>
              <w:t>April 1, 2010</w:t>
            </w:r>
          </w:p>
          <w:p w:rsidR="006444EE" w:rsidRPr="00316127" w:rsidRDefault="006444EE" w:rsidP="006444EE">
            <w:pPr>
              <w:keepNext/>
              <w:keepLines/>
              <w:widowControl w:val="0"/>
              <w:rPr>
                <w:sz w:val="20"/>
              </w:rPr>
            </w:pPr>
            <w:r w:rsidRPr="00316127">
              <w:rPr>
                <w:sz w:val="20"/>
              </w:rPr>
              <w:t>Supreme Court of Canada</w:t>
            </w:r>
          </w:p>
        </w:tc>
        <w:tc>
          <w:tcPr>
            <w:tcW w:w="288" w:type="dxa"/>
            <w:tcMar>
              <w:left w:w="0" w:type="dxa"/>
              <w:right w:w="0" w:type="dxa"/>
            </w:tcMar>
          </w:tcPr>
          <w:p w:rsidR="006444EE" w:rsidRPr="00316127" w:rsidRDefault="006444EE" w:rsidP="006444EE">
            <w:pPr>
              <w:keepLines/>
              <w:widowControl w:val="0"/>
              <w:rPr>
                <w:sz w:val="20"/>
              </w:rPr>
            </w:pPr>
          </w:p>
        </w:tc>
        <w:tc>
          <w:tcPr>
            <w:tcW w:w="4536" w:type="dxa"/>
            <w:tcMar>
              <w:left w:w="0" w:type="dxa"/>
              <w:right w:w="0" w:type="dxa"/>
            </w:tcMar>
          </w:tcPr>
          <w:p w:rsidR="006444EE" w:rsidRPr="00316127" w:rsidRDefault="006444EE" w:rsidP="006444EE">
            <w:pPr>
              <w:keepLines/>
              <w:widowControl w:val="0"/>
              <w:rPr>
                <w:sz w:val="20"/>
              </w:rPr>
            </w:pPr>
            <w:r w:rsidRPr="00316127">
              <w:rPr>
                <w:sz w:val="20"/>
              </w:rPr>
              <w:t>Application by Toronto Police Service to be added as a party and application for leave to appeal filed</w:t>
            </w:r>
          </w:p>
        </w:tc>
      </w:tr>
    </w:tbl>
    <w:p w:rsidR="006444EE" w:rsidRPr="00316127" w:rsidRDefault="006444EE" w:rsidP="006444EE">
      <w:pPr>
        <w:widowControl w:val="0"/>
        <w:rPr>
          <w:sz w:val="20"/>
        </w:rPr>
      </w:pPr>
    </w:p>
    <w:p w:rsidR="00E01ABF" w:rsidRDefault="00D56013" w:rsidP="008D292F">
      <w:pPr>
        <w:rPr>
          <w:sz w:val="20"/>
          <w:szCs w:val="20"/>
          <w:lang w:val="fr-CA"/>
        </w:rPr>
      </w:pPr>
      <w:r w:rsidRPr="00D56013">
        <w:rPr>
          <w:sz w:val="20"/>
          <w:szCs w:val="20"/>
          <w:lang w:val="fr-CA"/>
        </w:rPr>
        <w:pict>
          <v:rect id="_x0000_i1052" style="width:2in;height:1pt" o:hrpct="0" o:hralign="center" o:hrstd="t" o:hrnoshade="t" o:hr="t" fillcolor="black [3213]" stroked="f"/>
        </w:pict>
      </w:r>
    </w:p>
    <w:p w:rsidR="002E2C77" w:rsidRPr="00E01ABF" w:rsidRDefault="002E2C77" w:rsidP="008D292F">
      <w:pPr>
        <w:rPr>
          <w:sz w:val="20"/>
          <w:szCs w:val="20"/>
        </w:rPr>
      </w:pPr>
    </w:p>
    <w:p w:rsidR="00E01ABF" w:rsidRPr="000C6FA4" w:rsidRDefault="00E01ABF" w:rsidP="008D292F">
      <w:pPr>
        <w:rPr>
          <w:sz w:val="20"/>
          <w:szCs w:val="20"/>
          <w:u w:val="single"/>
          <w:lang w:val="fr-CA"/>
        </w:rPr>
      </w:pPr>
      <w:r w:rsidRPr="000C6FA4">
        <w:rPr>
          <w:sz w:val="20"/>
          <w:szCs w:val="20"/>
          <w:u w:val="single"/>
          <w:lang w:val="fr-CA"/>
        </w:rPr>
        <w:t>RÉSUMÉ DE L’AFFAIRE</w:t>
      </w:r>
    </w:p>
    <w:p w:rsidR="00E01ABF" w:rsidRPr="000C6FA4" w:rsidRDefault="00E01ABF" w:rsidP="008D292F">
      <w:pPr>
        <w:rPr>
          <w:sz w:val="20"/>
          <w:szCs w:val="20"/>
          <w:lang w:val="fr-CA"/>
        </w:rPr>
      </w:pPr>
    </w:p>
    <w:p w:rsidR="000C6FA4" w:rsidRPr="00316127" w:rsidRDefault="000C6FA4" w:rsidP="000C6FA4">
      <w:pPr>
        <w:widowControl w:val="0"/>
        <w:rPr>
          <w:sz w:val="20"/>
          <w:lang w:val="fr-CA"/>
        </w:rPr>
      </w:pPr>
      <w:r w:rsidRPr="00316127">
        <w:rPr>
          <w:smallCaps/>
          <w:sz w:val="20"/>
          <w:lang w:val="fr-CA"/>
        </w:rPr>
        <w:t>(Ordonnance de non-publication visant une partie)</w:t>
      </w:r>
      <w:r w:rsidRPr="00316127">
        <w:rPr>
          <w:sz w:val="20"/>
          <w:lang w:val="fr-CA"/>
        </w:rPr>
        <w:t xml:space="preserve"> </w:t>
      </w:r>
    </w:p>
    <w:p w:rsidR="000C6FA4" w:rsidRPr="00316127" w:rsidRDefault="000C6FA4" w:rsidP="000C6FA4">
      <w:pPr>
        <w:widowControl w:val="0"/>
        <w:rPr>
          <w:sz w:val="20"/>
          <w:lang w:val="fr-CA"/>
        </w:rPr>
      </w:pPr>
    </w:p>
    <w:p w:rsidR="000C6FA4" w:rsidRPr="00316127" w:rsidRDefault="000C6FA4" w:rsidP="000C6FA4">
      <w:pPr>
        <w:widowControl w:val="0"/>
        <w:jc w:val="both"/>
        <w:rPr>
          <w:sz w:val="20"/>
          <w:lang w:val="fr-CA"/>
        </w:rPr>
      </w:pPr>
      <w:r w:rsidRPr="00316127">
        <w:rPr>
          <w:sz w:val="20"/>
          <w:lang w:val="fr-CA"/>
        </w:rPr>
        <w:t xml:space="preserve">Législation – Interprétation – </w:t>
      </w:r>
      <w:r w:rsidRPr="00316127">
        <w:rPr>
          <w:i/>
          <w:sz w:val="20"/>
          <w:lang w:val="fr-CA"/>
        </w:rPr>
        <w:t xml:space="preserve">Code criminel </w:t>
      </w:r>
      <w:r w:rsidRPr="00316127">
        <w:rPr>
          <w:sz w:val="20"/>
          <w:lang w:val="fr-CA"/>
        </w:rPr>
        <w:t xml:space="preserve">– Infractions – L’art. 25.1 du </w:t>
      </w:r>
      <w:r w:rsidRPr="00316127">
        <w:rPr>
          <w:i/>
          <w:sz w:val="20"/>
          <w:lang w:val="fr-CA"/>
        </w:rPr>
        <w:t xml:space="preserve">Code criminel </w:t>
      </w:r>
      <w:r w:rsidRPr="00316127">
        <w:rPr>
          <w:sz w:val="20"/>
          <w:lang w:val="fr-CA"/>
        </w:rPr>
        <w:t xml:space="preserve">crée-t-il une justification légale générale à l’égard du comportement de policiers enquêteurs visé par l’article, ou bien un moyen de défense </w:t>
      </w:r>
      <w:r w:rsidRPr="00316127">
        <w:rPr>
          <w:sz w:val="20"/>
          <w:lang w:val="fr-CA"/>
        </w:rPr>
        <w:lastRenderedPageBreak/>
        <w:t>personnel limité qui ne peut être invoqué que par les policiers accusés d’infractions criminelles commises au cours de l’enquête?</w:t>
      </w:r>
    </w:p>
    <w:p w:rsidR="000C6FA4" w:rsidRPr="00316127" w:rsidRDefault="000C6FA4" w:rsidP="000C6FA4">
      <w:pPr>
        <w:widowControl w:val="0"/>
        <w:jc w:val="both"/>
        <w:rPr>
          <w:sz w:val="20"/>
          <w:lang w:val="fr-CA"/>
        </w:rPr>
      </w:pPr>
    </w:p>
    <w:p w:rsidR="000C6FA4" w:rsidRPr="00316127" w:rsidRDefault="000C6FA4" w:rsidP="000C6FA4">
      <w:pPr>
        <w:widowControl w:val="0"/>
        <w:jc w:val="both"/>
        <w:rPr>
          <w:sz w:val="20"/>
          <w:lang w:val="fr-CA"/>
        </w:rPr>
      </w:pPr>
      <w:r w:rsidRPr="00316127">
        <w:rPr>
          <w:sz w:val="20"/>
          <w:lang w:val="fr-CA"/>
        </w:rPr>
        <w:t xml:space="preserve">Le 14 juillet 2006, Omar Wellington a été séquestré, agressé et assassiné.  Les policiers soupçonnaient qu’il s’agissait d’un homicide attribuable aux gangs.  Les policiers ont obtenu l’autorisation de mettre sous écoute des personnes désignées qui étaient membres ou associés du gang.  Pour favoriser des communications signifiantes, les policiers ont décidé d’employer une technique de mise en scène.  Des agents déguisés en tueurs à gage ont approché une des personnes désignées et ont fait semblant d’être à la recherche des autres personnes désignées afin de les tuer en représailles du meurtre d’Omar.  La technique a donné lieu à un certain nombre d’appels téléphoniques desquels les policiers ont obtenu des communications interceptées qui pouvaient servir de preuve.  Toutefois, pendant la mise en scène du tueur à gages, un des policiers a agressé et séquestré la cible de la mise en scène et il a proféré une menace de mort.  Dans un voir-dire préalable au procès sur l’admissibilité des communications interceptées, le juge du procès a statué que le par. 25.1(8) du </w:t>
      </w:r>
      <w:r w:rsidRPr="00316127">
        <w:rPr>
          <w:i/>
          <w:sz w:val="20"/>
          <w:lang w:val="fr-CA"/>
        </w:rPr>
        <w:t xml:space="preserve">Code criminel </w:t>
      </w:r>
      <w:r w:rsidRPr="00316127">
        <w:rPr>
          <w:sz w:val="20"/>
          <w:lang w:val="fr-CA"/>
        </w:rPr>
        <w:t xml:space="preserve">ne permettait pas d’invoquer une défense personnelle de justification, n’autorise pas la commission d’infractions et n’empêche pas un accusé d’invoquer le comportement illégal d’un policier comme fondement à une requête en exclusion de la preuve.  Le juge du procès a également constaté d’autres cas d’inconduite des policiers et de violations de la </w:t>
      </w:r>
      <w:r w:rsidRPr="00316127">
        <w:rPr>
          <w:i/>
          <w:sz w:val="20"/>
          <w:lang w:val="fr-CA"/>
        </w:rPr>
        <w:t>Charte</w:t>
      </w:r>
      <w:r w:rsidRPr="00316127">
        <w:rPr>
          <w:sz w:val="20"/>
          <w:lang w:val="fr-CA"/>
        </w:rPr>
        <w:t>.  Toutefois, il a statué que l’exclusion de la preuve des communications interceptées aurait pour effet de déconsidérer l’administration de la justice.</w:t>
      </w:r>
    </w:p>
    <w:p w:rsidR="000C6FA4" w:rsidRPr="00316127" w:rsidRDefault="000C6FA4" w:rsidP="000C6FA4">
      <w:pPr>
        <w:widowControl w:val="0"/>
        <w:rPr>
          <w:sz w:val="20"/>
          <w:lang w:val="fr-CA"/>
        </w:rPr>
      </w:pPr>
    </w:p>
    <w:tbl>
      <w:tblPr>
        <w:tblW w:w="0" w:type="auto"/>
        <w:tblLayout w:type="fixed"/>
        <w:tblCellMar>
          <w:left w:w="0" w:type="dxa"/>
          <w:right w:w="0" w:type="dxa"/>
        </w:tblCellMar>
        <w:tblLook w:val="0000"/>
      </w:tblPr>
      <w:tblGrid>
        <w:gridCol w:w="4536"/>
        <w:gridCol w:w="288"/>
        <w:gridCol w:w="4536"/>
      </w:tblGrid>
      <w:tr w:rsidR="000C6FA4" w:rsidRPr="00850008" w:rsidTr="000C6FA4">
        <w:trPr>
          <w:cantSplit/>
        </w:trPr>
        <w:tc>
          <w:tcPr>
            <w:tcW w:w="4536" w:type="dxa"/>
            <w:tcMar>
              <w:left w:w="0" w:type="dxa"/>
              <w:right w:w="0" w:type="dxa"/>
            </w:tcMar>
          </w:tcPr>
          <w:p w:rsidR="000C6FA4" w:rsidRPr="00316127" w:rsidRDefault="000C6FA4" w:rsidP="00D77551">
            <w:pPr>
              <w:keepNext/>
              <w:keepLines/>
              <w:widowControl w:val="0"/>
              <w:rPr>
                <w:sz w:val="20"/>
                <w:lang w:val="fr-CA"/>
              </w:rPr>
            </w:pPr>
            <w:r w:rsidRPr="00316127">
              <w:rPr>
                <w:sz w:val="20"/>
                <w:lang w:val="fr-CA"/>
              </w:rPr>
              <w:t>1</w:t>
            </w:r>
            <w:r w:rsidRPr="00316127">
              <w:rPr>
                <w:sz w:val="20"/>
                <w:vertAlign w:val="superscript"/>
                <w:lang w:val="fr-CA"/>
              </w:rPr>
              <w:t>er</w:t>
            </w:r>
            <w:r w:rsidRPr="00316127">
              <w:rPr>
                <w:sz w:val="20"/>
                <w:lang w:val="fr-CA"/>
              </w:rPr>
              <w:t xml:space="preserve"> février 2010</w:t>
            </w:r>
          </w:p>
          <w:p w:rsidR="000C6FA4" w:rsidRPr="00316127" w:rsidRDefault="000C6FA4" w:rsidP="00D77551">
            <w:pPr>
              <w:keepNext/>
              <w:keepLines/>
              <w:widowControl w:val="0"/>
              <w:rPr>
                <w:sz w:val="20"/>
                <w:lang w:val="fr-CA"/>
              </w:rPr>
            </w:pPr>
            <w:r w:rsidRPr="00316127">
              <w:rPr>
                <w:sz w:val="20"/>
                <w:lang w:val="fr-CA"/>
              </w:rPr>
              <w:t>Cour supérieure de justice de l’Ontario</w:t>
            </w:r>
          </w:p>
          <w:p w:rsidR="000C6FA4" w:rsidRPr="00316127" w:rsidRDefault="000C6FA4" w:rsidP="00D77551">
            <w:pPr>
              <w:keepNext/>
              <w:keepLines/>
              <w:widowControl w:val="0"/>
              <w:rPr>
                <w:sz w:val="20"/>
              </w:rPr>
            </w:pPr>
            <w:r w:rsidRPr="00316127">
              <w:rPr>
                <w:sz w:val="20"/>
              </w:rPr>
              <w:t>(Juge Trafford)</w:t>
            </w:r>
          </w:p>
          <w:p w:rsidR="000C6FA4" w:rsidRPr="00316127" w:rsidRDefault="000C6FA4" w:rsidP="00D77551">
            <w:pPr>
              <w:keepNext/>
              <w:keepLines/>
              <w:widowControl w:val="0"/>
              <w:rPr>
                <w:sz w:val="20"/>
              </w:rPr>
            </w:pPr>
            <w:r w:rsidRPr="00316127">
              <w:rPr>
                <w:sz w:val="20"/>
              </w:rPr>
              <w:t>2010 ONSC 735</w:t>
            </w:r>
          </w:p>
        </w:tc>
        <w:tc>
          <w:tcPr>
            <w:tcW w:w="288" w:type="dxa"/>
            <w:tcMar>
              <w:left w:w="0" w:type="dxa"/>
              <w:right w:w="0" w:type="dxa"/>
            </w:tcMar>
          </w:tcPr>
          <w:p w:rsidR="000C6FA4" w:rsidRDefault="000C6FA4" w:rsidP="00D77551">
            <w:pPr>
              <w:keepLines/>
              <w:widowControl w:val="0"/>
              <w:rPr>
                <w:sz w:val="20"/>
              </w:rPr>
            </w:pPr>
          </w:p>
          <w:p w:rsidR="000C6FA4" w:rsidRDefault="000C6FA4" w:rsidP="00D77551">
            <w:pPr>
              <w:keepLines/>
              <w:widowControl w:val="0"/>
              <w:rPr>
                <w:sz w:val="20"/>
              </w:rPr>
            </w:pPr>
          </w:p>
          <w:p w:rsidR="000C6FA4" w:rsidRDefault="000C6FA4" w:rsidP="00D77551">
            <w:pPr>
              <w:keepLines/>
              <w:widowControl w:val="0"/>
              <w:rPr>
                <w:sz w:val="20"/>
              </w:rPr>
            </w:pPr>
          </w:p>
          <w:p w:rsidR="000C6FA4" w:rsidRDefault="000C6FA4" w:rsidP="00D77551">
            <w:pPr>
              <w:keepLines/>
              <w:widowControl w:val="0"/>
              <w:rPr>
                <w:sz w:val="20"/>
              </w:rPr>
            </w:pPr>
          </w:p>
          <w:p w:rsidR="000C6FA4" w:rsidRPr="00316127" w:rsidRDefault="000C6FA4" w:rsidP="00D77551">
            <w:pPr>
              <w:keepLines/>
              <w:widowControl w:val="0"/>
              <w:rPr>
                <w:sz w:val="20"/>
              </w:rPr>
            </w:pPr>
          </w:p>
        </w:tc>
        <w:tc>
          <w:tcPr>
            <w:tcW w:w="4536" w:type="dxa"/>
            <w:tcMar>
              <w:left w:w="0" w:type="dxa"/>
              <w:right w:w="0" w:type="dxa"/>
            </w:tcMar>
          </w:tcPr>
          <w:p w:rsidR="000C6FA4" w:rsidRPr="00316127" w:rsidRDefault="000C6FA4" w:rsidP="00D77551">
            <w:pPr>
              <w:keepLines/>
              <w:widowControl w:val="0"/>
              <w:rPr>
                <w:sz w:val="20"/>
                <w:lang w:val="fr-CA"/>
              </w:rPr>
            </w:pPr>
            <w:r w:rsidRPr="00316127">
              <w:rPr>
                <w:sz w:val="20"/>
                <w:lang w:val="fr-CA"/>
              </w:rPr>
              <w:t>Demande d’exclusion de la preuve de communications privées interceptées, rejetée</w:t>
            </w:r>
          </w:p>
        </w:tc>
      </w:tr>
      <w:tr w:rsidR="000C6FA4" w:rsidRPr="00316127" w:rsidTr="000C6FA4">
        <w:trPr>
          <w:cantSplit/>
        </w:trPr>
        <w:tc>
          <w:tcPr>
            <w:tcW w:w="4536" w:type="dxa"/>
            <w:tcMar>
              <w:left w:w="0" w:type="dxa"/>
              <w:right w:w="0" w:type="dxa"/>
            </w:tcMar>
          </w:tcPr>
          <w:p w:rsidR="000C6FA4" w:rsidRPr="00316127" w:rsidRDefault="000C6FA4" w:rsidP="00D77551">
            <w:pPr>
              <w:keepNext/>
              <w:keepLines/>
              <w:widowControl w:val="0"/>
              <w:rPr>
                <w:sz w:val="20"/>
                <w:lang w:val="fr-CA"/>
              </w:rPr>
            </w:pPr>
            <w:r w:rsidRPr="00316127">
              <w:rPr>
                <w:sz w:val="20"/>
                <w:lang w:val="fr-CA"/>
              </w:rPr>
              <w:t>1</w:t>
            </w:r>
            <w:r w:rsidRPr="00316127">
              <w:rPr>
                <w:sz w:val="20"/>
                <w:vertAlign w:val="superscript"/>
                <w:lang w:val="fr-CA"/>
              </w:rPr>
              <w:t>er</w:t>
            </w:r>
            <w:r w:rsidRPr="00316127">
              <w:rPr>
                <w:sz w:val="20"/>
                <w:lang w:val="fr-CA"/>
              </w:rPr>
              <w:t xml:space="preserve"> avril 2010</w:t>
            </w:r>
          </w:p>
          <w:p w:rsidR="000C6FA4" w:rsidRPr="00316127" w:rsidRDefault="000C6FA4" w:rsidP="00D77551">
            <w:pPr>
              <w:keepNext/>
              <w:keepLines/>
              <w:widowControl w:val="0"/>
              <w:rPr>
                <w:sz w:val="20"/>
                <w:lang w:val="fr-CA"/>
              </w:rPr>
            </w:pPr>
            <w:r w:rsidRPr="00316127">
              <w:rPr>
                <w:sz w:val="20"/>
                <w:lang w:val="fr-CA"/>
              </w:rPr>
              <w:t>Cour suprême du Canada</w:t>
            </w:r>
          </w:p>
          <w:p w:rsidR="000C6FA4" w:rsidRPr="00316127" w:rsidRDefault="000C6FA4" w:rsidP="00D77551">
            <w:pPr>
              <w:keepNext/>
              <w:keepLines/>
              <w:widowControl w:val="0"/>
              <w:rPr>
                <w:sz w:val="20"/>
                <w:lang w:val="fr-CA"/>
              </w:rPr>
            </w:pPr>
          </w:p>
        </w:tc>
        <w:tc>
          <w:tcPr>
            <w:tcW w:w="288" w:type="dxa"/>
            <w:tcMar>
              <w:left w:w="0" w:type="dxa"/>
              <w:right w:w="0" w:type="dxa"/>
            </w:tcMar>
          </w:tcPr>
          <w:p w:rsidR="000C6FA4" w:rsidRDefault="000C6FA4" w:rsidP="00D77551">
            <w:pPr>
              <w:keepLines/>
              <w:widowControl w:val="0"/>
              <w:rPr>
                <w:sz w:val="20"/>
                <w:lang w:val="fr-CA"/>
              </w:rPr>
            </w:pPr>
          </w:p>
          <w:p w:rsidR="000C6FA4" w:rsidRDefault="000C6FA4" w:rsidP="00D77551">
            <w:pPr>
              <w:keepLines/>
              <w:widowControl w:val="0"/>
              <w:rPr>
                <w:sz w:val="20"/>
                <w:lang w:val="fr-CA"/>
              </w:rPr>
            </w:pPr>
          </w:p>
          <w:p w:rsidR="000C6FA4" w:rsidRDefault="000C6FA4" w:rsidP="00D77551">
            <w:pPr>
              <w:keepLines/>
              <w:widowControl w:val="0"/>
              <w:rPr>
                <w:sz w:val="20"/>
                <w:lang w:val="fr-CA"/>
              </w:rPr>
            </w:pPr>
          </w:p>
          <w:p w:rsidR="000C6FA4" w:rsidRPr="00316127" w:rsidRDefault="000C6FA4" w:rsidP="00D77551">
            <w:pPr>
              <w:keepLines/>
              <w:widowControl w:val="0"/>
              <w:rPr>
                <w:sz w:val="20"/>
                <w:lang w:val="fr-CA"/>
              </w:rPr>
            </w:pPr>
          </w:p>
        </w:tc>
        <w:tc>
          <w:tcPr>
            <w:tcW w:w="4536" w:type="dxa"/>
            <w:tcMar>
              <w:left w:w="0" w:type="dxa"/>
              <w:right w:w="0" w:type="dxa"/>
            </w:tcMar>
          </w:tcPr>
          <w:p w:rsidR="000C6FA4" w:rsidRPr="000C6FA4" w:rsidRDefault="000C6FA4" w:rsidP="00D77551">
            <w:pPr>
              <w:keepLines/>
              <w:widowControl w:val="0"/>
              <w:rPr>
                <w:sz w:val="20"/>
                <w:lang w:val="fr-CA"/>
              </w:rPr>
            </w:pPr>
            <w:r w:rsidRPr="000C6FA4">
              <w:rPr>
                <w:sz w:val="20"/>
                <w:lang w:val="fr-CA"/>
              </w:rPr>
              <w:t>Demande d’autorisation d’appel, déposée</w:t>
            </w:r>
          </w:p>
        </w:tc>
      </w:tr>
      <w:tr w:rsidR="000C6FA4" w:rsidRPr="00850008" w:rsidTr="000C6FA4">
        <w:trPr>
          <w:cantSplit/>
        </w:trPr>
        <w:tc>
          <w:tcPr>
            <w:tcW w:w="4536" w:type="dxa"/>
            <w:tcMar>
              <w:left w:w="0" w:type="dxa"/>
              <w:right w:w="0" w:type="dxa"/>
            </w:tcMar>
          </w:tcPr>
          <w:p w:rsidR="000C6FA4" w:rsidRPr="00316127" w:rsidRDefault="000C6FA4" w:rsidP="00D77551">
            <w:pPr>
              <w:keepNext/>
              <w:keepLines/>
              <w:widowControl w:val="0"/>
              <w:rPr>
                <w:sz w:val="20"/>
                <w:lang w:val="fr-CA"/>
              </w:rPr>
            </w:pPr>
            <w:r w:rsidRPr="00316127">
              <w:rPr>
                <w:sz w:val="20"/>
                <w:lang w:val="fr-CA"/>
              </w:rPr>
              <w:t>1</w:t>
            </w:r>
            <w:r w:rsidRPr="00316127">
              <w:rPr>
                <w:sz w:val="20"/>
                <w:vertAlign w:val="superscript"/>
                <w:lang w:val="fr-CA"/>
              </w:rPr>
              <w:t>er</w:t>
            </w:r>
            <w:r w:rsidRPr="00316127">
              <w:rPr>
                <w:sz w:val="20"/>
                <w:lang w:val="fr-CA"/>
              </w:rPr>
              <w:t xml:space="preserve"> avril 2010</w:t>
            </w:r>
          </w:p>
          <w:p w:rsidR="000C6FA4" w:rsidRPr="00316127" w:rsidRDefault="000C6FA4" w:rsidP="00D77551">
            <w:pPr>
              <w:keepNext/>
              <w:keepLines/>
              <w:widowControl w:val="0"/>
              <w:rPr>
                <w:sz w:val="20"/>
                <w:lang w:val="fr-CA"/>
              </w:rPr>
            </w:pPr>
            <w:r w:rsidRPr="00316127">
              <w:rPr>
                <w:sz w:val="20"/>
                <w:lang w:val="fr-CA"/>
              </w:rPr>
              <w:t>Cour suprême du Canada</w:t>
            </w:r>
          </w:p>
        </w:tc>
        <w:tc>
          <w:tcPr>
            <w:tcW w:w="288" w:type="dxa"/>
            <w:tcMar>
              <w:left w:w="0" w:type="dxa"/>
              <w:right w:w="0" w:type="dxa"/>
            </w:tcMar>
          </w:tcPr>
          <w:p w:rsidR="000C6FA4" w:rsidRPr="00316127" w:rsidRDefault="000C6FA4" w:rsidP="00D77551">
            <w:pPr>
              <w:keepNext/>
              <w:keepLines/>
              <w:widowControl w:val="0"/>
              <w:rPr>
                <w:sz w:val="20"/>
                <w:lang w:val="fr-CA"/>
              </w:rPr>
            </w:pPr>
          </w:p>
        </w:tc>
        <w:tc>
          <w:tcPr>
            <w:tcW w:w="4536" w:type="dxa"/>
            <w:tcMar>
              <w:left w:w="0" w:type="dxa"/>
              <w:right w:w="0" w:type="dxa"/>
            </w:tcMar>
          </w:tcPr>
          <w:p w:rsidR="000C6FA4" w:rsidRPr="00316127" w:rsidRDefault="000C6FA4" w:rsidP="00D77551">
            <w:pPr>
              <w:keepNext/>
              <w:keepLines/>
              <w:widowControl w:val="0"/>
              <w:rPr>
                <w:sz w:val="20"/>
                <w:lang w:val="fr-CA"/>
              </w:rPr>
            </w:pPr>
            <w:r w:rsidRPr="00316127">
              <w:rPr>
                <w:sz w:val="20"/>
                <w:lang w:val="fr-CA"/>
              </w:rPr>
              <w:t>Demande du service de police de Toronto pour être ajouté comme partie et demande d’autorisation d’appel, déposée</w:t>
            </w:r>
          </w:p>
        </w:tc>
      </w:tr>
    </w:tbl>
    <w:p w:rsidR="00E01ABF" w:rsidRPr="000C6FA4" w:rsidRDefault="00E01ABF" w:rsidP="008D292F">
      <w:pPr>
        <w:rPr>
          <w:sz w:val="20"/>
          <w:szCs w:val="20"/>
          <w:lang w:val="fr-CA"/>
        </w:rPr>
      </w:pPr>
    </w:p>
    <w:p w:rsidR="00E01ABF" w:rsidRDefault="00D56013" w:rsidP="008D292F">
      <w:pPr>
        <w:rPr>
          <w:sz w:val="20"/>
          <w:szCs w:val="20"/>
          <w:lang w:val="fr-CA"/>
        </w:rPr>
      </w:pPr>
      <w:r w:rsidRPr="00D56013">
        <w:rPr>
          <w:sz w:val="20"/>
          <w:szCs w:val="20"/>
          <w:lang w:val="fr-CA"/>
        </w:rPr>
        <w:pict>
          <v:rect id="_x0000_i1053" style="width:2in;height:1pt" o:hrpct="0" o:hralign="center" o:hrstd="t" o:hrnoshade="t" o:hr="t" fillcolor="black [3213]" stroked="f"/>
        </w:pict>
      </w:r>
    </w:p>
    <w:p w:rsidR="00E01ABF" w:rsidRDefault="00E01ABF" w:rsidP="008D292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B40E3B" w:rsidRPr="00897A37" w:rsidTr="00B40E3B">
        <w:trPr>
          <w:cantSplit/>
        </w:trPr>
        <w:tc>
          <w:tcPr>
            <w:tcW w:w="1458" w:type="dxa"/>
          </w:tcPr>
          <w:p w:rsidR="00B40E3B" w:rsidRPr="00897A37" w:rsidRDefault="00B40E3B" w:rsidP="00B40E3B">
            <w:pPr>
              <w:rPr>
                <w:sz w:val="20"/>
                <w:szCs w:val="20"/>
              </w:rPr>
            </w:pPr>
            <w:r w:rsidRPr="00897A37">
              <w:rPr>
                <w:rStyle w:val="SCCFileNumberChar"/>
                <w:sz w:val="20"/>
                <w:szCs w:val="20"/>
              </w:rPr>
              <w:t>33751</w:t>
            </w:r>
          </w:p>
          <w:p w:rsidR="00B40E3B" w:rsidRPr="00897A37" w:rsidRDefault="00B40E3B" w:rsidP="00B40E3B">
            <w:pPr>
              <w:rPr>
                <w:b/>
                <w:sz w:val="20"/>
                <w:szCs w:val="20"/>
                <w:lang w:val="fr-CA"/>
              </w:rPr>
            </w:pPr>
          </w:p>
        </w:tc>
        <w:tc>
          <w:tcPr>
            <w:tcW w:w="8118" w:type="dxa"/>
          </w:tcPr>
          <w:p w:rsidR="00B40E3B" w:rsidRPr="00897A37" w:rsidRDefault="00B40E3B" w:rsidP="00897A37">
            <w:pPr>
              <w:jc w:val="both"/>
              <w:rPr>
                <w:sz w:val="20"/>
                <w:szCs w:val="20"/>
              </w:rPr>
            </w:pPr>
            <w:r w:rsidRPr="00897A37">
              <w:rPr>
                <w:rStyle w:val="SCCLsocChar"/>
                <w:sz w:val="20"/>
                <w:szCs w:val="20"/>
                <w:lang w:val="en-CA"/>
              </w:rPr>
              <w:t>Her Majesty the Queen v. Yat Fung Albert Tse, Nhan Trong Ly, Viet Bac Nguyen, Huong Dac Doan, Daniel Luis Soux</w:t>
            </w:r>
            <w:r w:rsidR="002F2CA1">
              <w:rPr>
                <w:rStyle w:val="SCCLsocChar"/>
                <w:sz w:val="20"/>
                <w:szCs w:val="20"/>
                <w:lang w:val="en-CA"/>
              </w:rPr>
              <w:t xml:space="preserve"> and</w:t>
            </w:r>
            <w:r w:rsidRPr="00897A37">
              <w:rPr>
                <w:rStyle w:val="SCCLsocChar"/>
                <w:sz w:val="20"/>
                <w:szCs w:val="20"/>
                <w:lang w:val="en-CA"/>
              </w:rPr>
              <w:t xml:space="preserve"> Myles Alexander Vandrick</w:t>
            </w:r>
            <w:r w:rsidRPr="00897A37">
              <w:rPr>
                <w:sz w:val="20"/>
                <w:szCs w:val="20"/>
              </w:rPr>
              <w:t xml:space="preserve"> (B.C.) (Criminal) (By Leave)</w:t>
            </w:r>
          </w:p>
          <w:p w:rsidR="00B40E3B" w:rsidRPr="00897A37" w:rsidRDefault="00B40E3B" w:rsidP="00897A37">
            <w:pPr>
              <w:jc w:val="both"/>
              <w:rPr>
                <w:sz w:val="20"/>
                <w:szCs w:val="20"/>
              </w:rPr>
            </w:pPr>
          </w:p>
        </w:tc>
      </w:tr>
      <w:tr w:rsidR="00B40E3B" w:rsidRPr="00897A37" w:rsidTr="00B40E3B">
        <w:trPr>
          <w:cantSplit/>
        </w:trPr>
        <w:tc>
          <w:tcPr>
            <w:tcW w:w="1458" w:type="dxa"/>
          </w:tcPr>
          <w:p w:rsidR="00B40E3B" w:rsidRPr="00897A37" w:rsidRDefault="00B40E3B" w:rsidP="00B40E3B">
            <w:pPr>
              <w:rPr>
                <w:sz w:val="20"/>
                <w:szCs w:val="20"/>
              </w:rPr>
            </w:pPr>
            <w:r w:rsidRPr="00897A37">
              <w:rPr>
                <w:sz w:val="20"/>
                <w:szCs w:val="20"/>
              </w:rPr>
              <w:t>Coram :</w:t>
            </w:r>
          </w:p>
        </w:tc>
        <w:tc>
          <w:tcPr>
            <w:tcW w:w="8118" w:type="dxa"/>
          </w:tcPr>
          <w:p w:rsidR="00B40E3B" w:rsidRPr="00897A37" w:rsidRDefault="00B40E3B" w:rsidP="00B40E3B">
            <w:pPr>
              <w:rPr>
                <w:sz w:val="20"/>
                <w:szCs w:val="20"/>
              </w:rPr>
            </w:pPr>
            <w:r w:rsidRPr="00897A37">
              <w:rPr>
                <w:rStyle w:val="SCCCoramChar"/>
                <w:sz w:val="20"/>
                <w:szCs w:val="20"/>
                <w:lang w:val="en-CA"/>
              </w:rPr>
              <w:t>Binnie, Fish and Rothstein JJ.</w:t>
            </w:r>
          </w:p>
          <w:p w:rsidR="00B40E3B" w:rsidRPr="00897A37" w:rsidRDefault="00B40E3B" w:rsidP="00B40E3B">
            <w:pPr>
              <w:rPr>
                <w:sz w:val="20"/>
                <w:szCs w:val="20"/>
                <w:u w:val="single"/>
              </w:rPr>
            </w:pPr>
          </w:p>
        </w:tc>
      </w:tr>
      <w:tr w:rsidR="00B40E3B" w:rsidRPr="00850008" w:rsidTr="00B40E3B">
        <w:trPr>
          <w:cantSplit/>
        </w:trPr>
        <w:tc>
          <w:tcPr>
            <w:tcW w:w="9576" w:type="dxa"/>
            <w:gridSpan w:val="2"/>
          </w:tcPr>
          <w:p w:rsidR="00B40E3B" w:rsidRPr="00897A37" w:rsidRDefault="00B40E3B" w:rsidP="00B40E3B">
            <w:pPr>
              <w:pStyle w:val="SCCShortJudgment"/>
              <w:rPr>
                <w:szCs w:val="20"/>
              </w:rPr>
            </w:pPr>
            <w:r w:rsidRPr="00897A37">
              <w:rPr>
                <w:szCs w:val="20"/>
              </w:rPr>
              <w:t xml:space="preserve">The application for leave to appeal from the judgment of the Supreme Court of British Columbia, Number 23900, 2008 BCSC 211, dated February 22, 2008, is granted without costs in the cause and an </w:t>
            </w:r>
            <w:r w:rsidRPr="002F2CA1">
              <w:rPr>
                <w:i/>
                <w:szCs w:val="20"/>
              </w:rPr>
              <w:t>amicus curiae</w:t>
            </w:r>
            <w:r w:rsidRPr="00897A37">
              <w:rPr>
                <w:szCs w:val="20"/>
              </w:rPr>
              <w:t xml:space="preserve"> will be appointed by the Court.</w:t>
            </w:r>
          </w:p>
          <w:p w:rsidR="00B40E3B" w:rsidRPr="00897A37" w:rsidRDefault="00B40E3B" w:rsidP="00B40E3B">
            <w:pPr>
              <w:pStyle w:val="SCCShortJudgment"/>
              <w:ind w:firstLine="0"/>
              <w:rPr>
                <w:szCs w:val="20"/>
              </w:rPr>
            </w:pPr>
          </w:p>
          <w:p w:rsidR="00B40E3B" w:rsidRPr="00897A37" w:rsidRDefault="00B40E3B" w:rsidP="00897A37">
            <w:pPr>
              <w:pStyle w:val="SCCShortJudgment"/>
              <w:rPr>
                <w:szCs w:val="20"/>
                <w:lang w:val="fr-CA"/>
              </w:rPr>
            </w:pPr>
            <w:r w:rsidRPr="00897A37">
              <w:rPr>
                <w:szCs w:val="20"/>
                <w:lang w:val="fr-CA"/>
              </w:rPr>
              <w:t xml:space="preserve">La demande d’autorisation d’appel du jugement de la Cour suprême de la Colombie-Britannique, numéro 23900, 2008 BCSC 211, daté du 22 février 2008, est accordée sans dépens suivant l’issue de la cause et un </w:t>
            </w:r>
            <w:r w:rsidRPr="002F2CA1">
              <w:rPr>
                <w:i/>
                <w:szCs w:val="20"/>
                <w:lang w:val="fr-CA"/>
              </w:rPr>
              <w:t>amicus curiae</w:t>
            </w:r>
            <w:r w:rsidRPr="00897A37">
              <w:rPr>
                <w:szCs w:val="20"/>
                <w:lang w:val="fr-CA"/>
              </w:rPr>
              <w:t xml:space="preserve"> sera nommé par la Cour.</w:t>
            </w:r>
          </w:p>
        </w:tc>
      </w:tr>
    </w:tbl>
    <w:p w:rsidR="00897A37" w:rsidRDefault="00897A37" w:rsidP="008D292F">
      <w:pPr>
        <w:rPr>
          <w:sz w:val="20"/>
          <w:szCs w:val="20"/>
          <w:lang w:val="fr-CA"/>
        </w:rPr>
      </w:pPr>
    </w:p>
    <w:p w:rsidR="00E01ABF" w:rsidRPr="00E01ABF" w:rsidRDefault="00E01ABF" w:rsidP="00E01ABF">
      <w:pPr>
        <w:rPr>
          <w:sz w:val="20"/>
          <w:szCs w:val="20"/>
          <w:u w:val="single"/>
        </w:rPr>
      </w:pPr>
      <w:r w:rsidRPr="00E01ABF">
        <w:rPr>
          <w:sz w:val="20"/>
          <w:szCs w:val="20"/>
          <w:u w:val="single"/>
        </w:rPr>
        <w:t>CASE SUMMARY</w:t>
      </w:r>
    </w:p>
    <w:p w:rsidR="00E01ABF" w:rsidRDefault="00E01ABF" w:rsidP="00E01ABF">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E42D2B" w:rsidRPr="00316127" w:rsidTr="00D77551">
        <w:tc>
          <w:tcPr>
            <w:tcW w:w="5000" w:type="pct"/>
            <w:gridSpan w:val="3"/>
          </w:tcPr>
          <w:p w:rsidR="00E42D2B" w:rsidRDefault="00D56013" w:rsidP="00D77551">
            <w:pPr>
              <w:jc w:val="both"/>
              <w:rPr>
                <w:rFonts w:eastAsia="Calibri"/>
                <w:sz w:val="20"/>
              </w:rPr>
            </w:pPr>
            <w:r w:rsidRPr="00316127">
              <w:rPr>
                <w:rFonts w:eastAsia="Calibri"/>
                <w:sz w:val="20"/>
              </w:rPr>
              <w:fldChar w:fldCharType="begin"/>
            </w:r>
            <w:r w:rsidR="00E42D2B" w:rsidRPr="00316127">
              <w:rPr>
                <w:rFonts w:eastAsia="Calibri"/>
                <w:sz w:val="20"/>
              </w:rPr>
              <w:instrText xml:space="preserve"> SEQ CHAPTER \h \r 1</w:instrText>
            </w:r>
            <w:r w:rsidRPr="00316127">
              <w:rPr>
                <w:rFonts w:eastAsia="Calibri"/>
                <w:sz w:val="20"/>
              </w:rPr>
              <w:fldChar w:fldCharType="end"/>
            </w:r>
            <w:r w:rsidR="00E42D2B" w:rsidRPr="00316127">
              <w:rPr>
                <w:rFonts w:eastAsia="Calibri"/>
                <w:i/>
                <w:iCs/>
                <w:sz w:val="20"/>
              </w:rPr>
              <w:t xml:space="preserve">Charter of Rights </w:t>
            </w:r>
            <w:r w:rsidR="00E42D2B" w:rsidRPr="00316127">
              <w:rPr>
                <w:rFonts w:eastAsia="Calibri"/>
                <w:sz w:val="20"/>
              </w:rPr>
              <w:t xml:space="preserve">- Search and seizure - Criminal law - Warrantless interception of private communications - Is it contrary to s. 8 of the </w:t>
            </w:r>
            <w:r w:rsidR="00E42D2B" w:rsidRPr="00316127">
              <w:rPr>
                <w:rFonts w:eastAsia="Calibri"/>
                <w:i/>
                <w:iCs/>
                <w:sz w:val="20"/>
              </w:rPr>
              <w:t>Charter</w:t>
            </w:r>
            <w:r w:rsidR="00E42D2B" w:rsidRPr="00316127">
              <w:rPr>
                <w:rFonts w:eastAsia="Calibri"/>
                <w:sz w:val="20"/>
              </w:rPr>
              <w:t xml:space="preserve"> for peace officers to intercept private communications in urgent situations without judicial pre-authorization - If so, is the infringement saved by s. 1 of the </w:t>
            </w:r>
            <w:r w:rsidR="00E42D2B" w:rsidRPr="00316127">
              <w:rPr>
                <w:rFonts w:eastAsia="Calibri"/>
                <w:i/>
                <w:iCs/>
                <w:sz w:val="20"/>
              </w:rPr>
              <w:t>Charter</w:t>
            </w:r>
            <w:r w:rsidR="00E42D2B" w:rsidRPr="00316127">
              <w:rPr>
                <w:rFonts w:eastAsia="Calibri"/>
                <w:sz w:val="20"/>
              </w:rPr>
              <w:t xml:space="preserve"> - Does the right to be secure against unreasonable search or seizure impose a constitutional duty on police to report their activities to targets, superior </w:t>
            </w:r>
            <w:r w:rsidR="00E42D2B" w:rsidRPr="00316127">
              <w:rPr>
                <w:rFonts w:eastAsia="Calibri"/>
                <w:sz w:val="20"/>
              </w:rPr>
              <w:lastRenderedPageBreak/>
              <w:t xml:space="preserve">officers or other officials, and to Parliament - Does s. 8 of the </w:t>
            </w:r>
            <w:r w:rsidR="00E42D2B" w:rsidRPr="00316127">
              <w:rPr>
                <w:rFonts w:eastAsia="Calibri"/>
                <w:i/>
                <w:iCs/>
                <w:sz w:val="20"/>
              </w:rPr>
              <w:t>Charter</w:t>
            </w:r>
            <w:r w:rsidR="00E42D2B" w:rsidRPr="00316127">
              <w:rPr>
                <w:rFonts w:eastAsia="Calibri"/>
                <w:sz w:val="20"/>
              </w:rPr>
              <w:t xml:space="preserve"> mandate which classes of peace officers should be able to employ a warrantless interception in exceptional circumstances - What leeway does Parliament have under the </w:t>
            </w:r>
            <w:r w:rsidR="00E42D2B" w:rsidRPr="00316127">
              <w:rPr>
                <w:rFonts w:eastAsia="Calibri"/>
                <w:i/>
                <w:iCs/>
                <w:sz w:val="20"/>
              </w:rPr>
              <w:t>Charter</w:t>
            </w:r>
            <w:r w:rsidR="00E42D2B" w:rsidRPr="00316127">
              <w:rPr>
                <w:rFonts w:eastAsia="Calibri"/>
                <w:sz w:val="20"/>
              </w:rPr>
              <w:t xml:space="preserve"> in deciding which categories of unlawful acts are serious enough to merit the application of specific methods of investigation, such as wiretaps - Section 184.4 of the </w:t>
            </w:r>
            <w:r w:rsidR="00E42D2B" w:rsidRPr="00316127">
              <w:rPr>
                <w:rFonts w:eastAsia="Calibri"/>
                <w:i/>
                <w:iCs/>
                <w:sz w:val="20"/>
              </w:rPr>
              <w:t>Criminal Code</w:t>
            </w:r>
            <w:r w:rsidR="00E42D2B" w:rsidRPr="00316127">
              <w:rPr>
                <w:rFonts w:eastAsia="Calibri"/>
                <w:sz w:val="20"/>
              </w:rPr>
              <w:t>, R.S.C. 1985, c.  C-46 (the “</w:t>
            </w:r>
            <w:r w:rsidR="00E42D2B" w:rsidRPr="00316127">
              <w:rPr>
                <w:rFonts w:eastAsia="Calibri"/>
                <w:i/>
                <w:iCs/>
                <w:sz w:val="20"/>
              </w:rPr>
              <w:t>Code</w:t>
            </w:r>
            <w:r w:rsidR="00E42D2B" w:rsidRPr="00316127">
              <w:rPr>
                <w:rFonts w:eastAsia="Calibri"/>
                <w:sz w:val="20"/>
              </w:rPr>
              <w:t xml:space="preserve">”) - </w:t>
            </w:r>
            <w:r w:rsidR="00E42D2B" w:rsidRPr="00316127">
              <w:rPr>
                <w:rFonts w:eastAsia="Calibri"/>
                <w:i/>
                <w:iCs/>
                <w:sz w:val="20"/>
              </w:rPr>
              <w:t>R. v. Duarte</w:t>
            </w:r>
            <w:r w:rsidR="00E42D2B" w:rsidRPr="00316127">
              <w:rPr>
                <w:rFonts w:eastAsia="Calibri"/>
                <w:sz w:val="20"/>
              </w:rPr>
              <w:t>, [1990] 1 S.C.R. 30.</w:t>
            </w:r>
          </w:p>
          <w:p w:rsidR="00EF43C9" w:rsidRPr="00316127" w:rsidRDefault="00EF43C9" w:rsidP="00D77551">
            <w:pPr>
              <w:jc w:val="both"/>
              <w:rPr>
                <w:rFonts w:eastAsia="Calibri"/>
                <w:sz w:val="20"/>
              </w:rPr>
            </w:pPr>
          </w:p>
        </w:tc>
      </w:tr>
      <w:tr w:rsidR="00E42D2B" w:rsidRPr="00316127" w:rsidTr="00D77551">
        <w:tc>
          <w:tcPr>
            <w:tcW w:w="5000" w:type="pct"/>
            <w:gridSpan w:val="3"/>
          </w:tcPr>
          <w:p w:rsidR="00E42D2B" w:rsidRPr="00316127" w:rsidRDefault="00D56013" w:rsidP="00D77551">
            <w:pPr>
              <w:jc w:val="both"/>
              <w:rPr>
                <w:rFonts w:eastAsia="Calibri"/>
                <w:sz w:val="20"/>
              </w:rPr>
            </w:pPr>
            <w:r w:rsidRPr="00316127">
              <w:rPr>
                <w:rFonts w:eastAsia="Calibri"/>
                <w:sz w:val="20"/>
              </w:rPr>
              <w:lastRenderedPageBreak/>
              <w:fldChar w:fldCharType="begin"/>
            </w:r>
            <w:r w:rsidR="00E42D2B" w:rsidRPr="00316127">
              <w:rPr>
                <w:rFonts w:eastAsia="Calibri"/>
                <w:sz w:val="20"/>
              </w:rPr>
              <w:instrText xml:space="preserve"> SEQ CHAPTER \h \r 1</w:instrText>
            </w:r>
            <w:r w:rsidRPr="00316127">
              <w:rPr>
                <w:rFonts w:eastAsia="Calibri"/>
                <w:sz w:val="20"/>
              </w:rPr>
              <w:fldChar w:fldCharType="end"/>
            </w:r>
            <w:r w:rsidR="00E42D2B" w:rsidRPr="00316127">
              <w:rPr>
                <w:rFonts w:eastAsia="Calibri"/>
                <w:sz w:val="20"/>
              </w:rPr>
              <w:t xml:space="preserve">Section 184.4 of the </w:t>
            </w:r>
            <w:r w:rsidR="00E42D2B" w:rsidRPr="00316127">
              <w:rPr>
                <w:rFonts w:eastAsia="Calibri"/>
                <w:i/>
                <w:iCs/>
                <w:sz w:val="20"/>
              </w:rPr>
              <w:t>Code</w:t>
            </w:r>
            <w:r w:rsidR="00E42D2B" w:rsidRPr="00316127">
              <w:rPr>
                <w:rFonts w:eastAsia="Calibri"/>
                <w:sz w:val="20"/>
              </w:rPr>
              <w:t xml:space="preserve"> provides that peace officers can intercept private communications without prior judicial authorization, where the peace officer believes on reasonable grounds that: (i) an authorization cannot be obtained with reasonable diligence, given the urgency of the situation; (ii) an interception is immediately necessary to prevent an unlawful act that would cause serious harm to any person or to property; and (iii) either the originator or the intended recipient of the private communication is the person who would perform the harmful act or is the intended victim. In the present case,  the police relied upon s. 184.4 to intercept private communications in the context of the alleged kidnapping of three individuals.  The Applicant later sought to adduce evidence gathered from those interceptions at the trial of the Respondents for their alleged roles in the kidnapping, confinement, and extortion charges. The Respondents challenged the constitutional validity of s. 184.4 of the </w:t>
            </w:r>
            <w:r w:rsidR="00E42D2B" w:rsidRPr="00316127">
              <w:rPr>
                <w:rFonts w:eastAsia="Calibri"/>
                <w:i/>
                <w:iCs/>
                <w:sz w:val="20"/>
              </w:rPr>
              <w:t>Code</w:t>
            </w:r>
            <w:r w:rsidR="00E42D2B" w:rsidRPr="00316127">
              <w:rPr>
                <w:rFonts w:eastAsia="Calibri"/>
                <w:sz w:val="20"/>
              </w:rPr>
              <w:t xml:space="preserve"> under s. 52 of the </w:t>
            </w:r>
            <w:r w:rsidR="00E42D2B" w:rsidRPr="00316127">
              <w:rPr>
                <w:rFonts w:eastAsia="Calibri"/>
                <w:i/>
                <w:iCs/>
                <w:sz w:val="20"/>
              </w:rPr>
              <w:t>Constitution Act, 1982</w:t>
            </w:r>
            <w:r w:rsidR="00E42D2B" w:rsidRPr="00316127">
              <w:rPr>
                <w:rFonts w:eastAsia="Calibri"/>
                <w:sz w:val="20"/>
              </w:rPr>
              <w:t xml:space="preserve">, and sections 7, 8 and 11(d) of the </w:t>
            </w:r>
            <w:r w:rsidR="00E42D2B" w:rsidRPr="00316127">
              <w:rPr>
                <w:rFonts w:eastAsia="Calibri"/>
                <w:i/>
                <w:iCs/>
                <w:sz w:val="20"/>
              </w:rPr>
              <w:t>Charter</w:t>
            </w:r>
            <w:r w:rsidR="00E42D2B" w:rsidRPr="00316127">
              <w:rPr>
                <w:rFonts w:eastAsia="Calibri"/>
                <w:sz w:val="20"/>
              </w:rPr>
              <w:t xml:space="preserve">. They also challenged the manner of the police’s implementation of s. 184.4, the admissibility of evidence obtained under it; and the admissibility of evidence obtained pursuant to subsequent judicial authorizations issued pursuant to s. 186 of the </w:t>
            </w:r>
            <w:r w:rsidR="00E42D2B" w:rsidRPr="00316127">
              <w:rPr>
                <w:rFonts w:eastAsia="Calibri"/>
                <w:i/>
                <w:iCs/>
                <w:sz w:val="20"/>
              </w:rPr>
              <w:t>Code</w:t>
            </w:r>
            <w:r w:rsidR="00E42D2B" w:rsidRPr="00316127">
              <w:rPr>
                <w:rFonts w:eastAsia="Calibri"/>
                <w:sz w:val="20"/>
              </w:rPr>
              <w:t xml:space="preserve">. </w:t>
            </w:r>
          </w:p>
          <w:p w:rsidR="00E42D2B" w:rsidRPr="00316127" w:rsidRDefault="00E42D2B" w:rsidP="00D77551">
            <w:pPr>
              <w:jc w:val="both"/>
              <w:rPr>
                <w:rFonts w:eastAsia="Calibri"/>
                <w:sz w:val="20"/>
              </w:rPr>
            </w:pPr>
          </w:p>
        </w:tc>
      </w:tr>
      <w:tr w:rsidR="00E42D2B" w:rsidRPr="00316127" w:rsidTr="00D77551">
        <w:tc>
          <w:tcPr>
            <w:tcW w:w="2427" w:type="pct"/>
          </w:tcPr>
          <w:p w:rsidR="00E42D2B" w:rsidRPr="00316127" w:rsidRDefault="00D56013" w:rsidP="00D77551">
            <w:pPr>
              <w:jc w:val="both"/>
              <w:rPr>
                <w:rFonts w:eastAsia="Calibri"/>
                <w:sz w:val="20"/>
              </w:rPr>
            </w:pPr>
            <w:r w:rsidRPr="00316127">
              <w:rPr>
                <w:rFonts w:eastAsia="Calibri"/>
                <w:sz w:val="20"/>
              </w:rPr>
              <w:fldChar w:fldCharType="begin"/>
            </w:r>
            <w:r w:rsidR="00E42D2B" w:rsidRPr="00316127">
              <w:rPr>
                <w:rFonts w:eastAsia="Calibri"/>
                <w:sz w:val="20"/>
              </w:rPr>
              <w:instrText xml:space="preserve"> SEQ CHAPTER \h \r 1</w:instrText>
            </w:r>
            <w:r w:rsidRPr="00316127">
              <w:rPr>
                <w:rFonts w:eastAsia="Calibri"/>
                <w:sz w:val="20"/>
              </w:rPr>
              <w:fldChar w:fldCharType="end"/>
            </w:r>
            <w:r w:rsidR="00E42D2B" w:rsidRPr="00316127">
              <w:rPr>
                <w:rFonts w:eastAsia="Calibri"/>
                <w:sz w:val="20"/>
              </w:rPr>
              <w:t>February 22, 2008</w:t>
            </w:r>
          </w:p>
          <w:p w:rsidR="00E42D2B" w:rsidRPr="00316127" w:rsidRDefault="00E42D2B" w:rsidP="00D77551">
            <w:pPr>
              <w:jc w:val="both"/>
              <w:rPr>
                <w:rFonts w:eastAsia="Calibri"/>
                <w:sz w:val="20"/>
              </w:rPr>
            </w:pPr>
            <w:r w:rsidRPr="00316127">
              <w:rPr>
                <w:rFonts w:eastAsia="Calibri"/>
                <w:sz w:val="20"/>
              </w:rPr>
              <w:t>Supreme Court of British Columbia</w:t>
            </w:r>
          </w:p>
          <w:p w:rsidR="00E42D2B" w:rsidRPr="00316127" w:rsidRDefault="00E42D2B" w:rsidP="00D77551">
            <w:pPr>
              <w:jc w:val="both"/>
              <w:rPr>
                <w:rFonts w:eastAsia="Calibri"/>
                <w:sz w:val="20"/>
              </w:rPr>
            </w:pPr>
            <w:r w:rsidRPr="00316127">
              <w:rPr>
                <w:rFonts w:eastAsia="Calibri"/>
                <w:sz w:val="20"/>
              </w:rPr>
              <w:t>(Davies J.)</w:t>
            </w:r>
          </w:p>
          <w:p w:rsidR="00E42D2B" w:rsidRPr="00316127" w:rsidRDefault="00E42D2B" w:rsidP="00D77551">
            <w:pPr>
              <w:jc w:val="both"/>
              <w:rPr>
                <w:rFonts w:eastAsia="Calibri"/>
                <w:sz w:val="20"/>
              </w:rPr>
            </w:pPr>
          </w:p>
        </w:tc>
        <w:tc>
          <w:tcPr>
            <w:tcW w:w="243" w:type="pct"/>
          </w:tcPr>
          <w:p w:rsidR="00E42D2B" w:rsidRPr="00316127" w:rsidRDefault="00E42D2B" w:rsidP="00D77551">
            <w:pPr>
              <w:jc w:val="both"/>
              <w:rPr>
                <w:rFonts w:eastAsia="Calibri"/>
                <w:sz w:val="20"/>
              </w:rPr>
            </w:pPr>
          </w:p>
        </w:tc>
        <w:tc>
          <w:tcPr>
            <w:tcW w:w="2330" w:type="pct"/>
          </w:tcPr>
          <w:p w:rsidR="00E42D2B" w:rsidRPr="00316127" w:rsidRDefault="00D56013" w:rsidP="00D77551">
            <w:pPr>
              <w:jc w:val="both"/>
              <w:rPr>
                <w:rFonts w:eastAsia="Calibri"/>
                <w:sz w:val="20"/>
              </w:rPr>
            </w:pPr>
            <w:r w:rsidRPr="00316127">
              <w:rPr>
                <w:rFonts w:eastAsia="Calibri"/>
                <w:sz w:val="20"/>
              </w:rPr>
              <w:fldChar w:fldCharType="begin"/>
            </w:r>
            <w:r w:rsidR="00E42D2B" w:rsidRPr="00316127">
              <w:rPr>
                <w:rFonts w:eastAsia="Calibri"/>
                <w:sz w:val="20"/>
              </w:rPr>
              <w:instrText xml:space="preserve"> SEQ CHAPTER \h \r 1</w:instrText>
            </w:r>
            <w:r w:rsidRPr="00316127">
              <w:rPr>
                <w:rFonts w:eastAsia="Calibri"/>
                <w:sz w:val="20"/>
              </w:rPr>
              <w:fldChar w:fldCharType="end"/>
            </w:r>
            <w:r w:rsidR="00E42D2B" w:rsidRPr="00316127">
              <w:rPr>
                <w:rFonts w:eastAsia="Calibri"/>
                <w:sz w:val="20"/>
              </w:rPr>
              <w:t xml:space="preserve">Respondents’ application granted in part: s. 184.4 of the </w:t>
            </w:r>
            <w:r w:rsidR="00E42D2B" w:rsidRPr="00316127">
              <w:rPr>
                <w:rFonts w:eastAsia="Calibri"/>
                <w:i/>
                <w:iCs/>
                <w:sz w:val="20"/>
              </w:rPr>
              <w:t>Code</w:t>
            </w:r>
            <w:r w:rsidR="00E42D2B" w:rsidRPr="00316127">
              <w:rPr>
                <w:rFonts w:eastAsia="Calibri"/>
                <w:sz w:val="20"/>
              </w:rPr>
              <w:t xml:space="preserve"> declared constitutionally invalid, but declaration stayed for period of at least 18 months</w:t>
            </w:r>
          </w:p>
          <w:p w:rsidR="00E42D2B" w:rsidRPr="00316127" w:rsidRDefault="00E42D2B" w:rsidP="00D77551">
            <w:pPr>
              <w:jc w:val="both"/>
              <w:rPr>
                <w:rFonts w:eastAsia="Calibri"/>
                <w:sz w:val="20"/>
              </w:rPr>
            </w:pPr>
          </w:p>
        </w:tc>
      </w:tr>
      <w:tr w:rsidR="00E42D2B" w:rsidRPr="00316127" w:rsidTr="00D77551">
        <w:tc>
          <w:tcPr>
            <w:tcW w:w="2427" w:type="pct"/>
          </w:tcPr>
          <w:p w:rsidR="00E42D2B" w:rsidRPr="00316127" w:rsidRDefault="00E42D2B" w:rsidP="00D77551">
            <w:pPr>
              <w:jc w:val="both"/>
              <w:rPr>
                <w:rFonts w:eastAsia="Calibri"/>
                <w:sz w:val="20"/>
              </w:rPr>
            </w:pPr>
            <w:r w:rsidRPr="00316127">
              <w:rPr>
                <w:rFonts w:eastAsia="Calibri"/>
                <w:sz w:val="20"/>
              </w:rPr>
              <w:t>June 7, 2010</w:t>
            </w:r>
          </w:p>
          <w:p w:rsidR="00E42D2B" w:rsidRPr="00316127" w:rsidRDefault="00E42D2B" w:rsidP="00D77551">
            <w:pPr>
              <w:jc w:val="both"/>
              <w:rPr>
                <w:rFonts w:eastAsia="Calibri"/>
                <w:sz w:val="20"/>
              </w:rPr>
            </w:pPr>
            <w:r w:rsidRPr="00316127">
              <w:rPr>
                <w:rFonts w:eastAsia="Calibri"/>
                <w:sz w:val="20"/>
              </w:rPr>
              <w:t>Supreme Court of Canada</w:t>
            </w:r>
          </w:p>
        </w:tc>
        <w:tc>
          <w:tcPr>
            <w:tcW w:w="243" w:type="pct"/>
          </w:tcPr>
          <w:p w:rsidR="00E42D2B" w:rsidRPr="00316127" w:rsidRDefault="00E42D2B" w:rsidP="00D77551">
            <w:pPr>
              <w:jc w:val="both"/>
              <w:rPr>
                <w:rFonts w:eastAsia="Calibri"/>
                <w:sz w:val="20"/>
              </w:rPr>
            </w:pPr>
          </w:p>
        </w:tc>
        <w:tc>
          <w:tcPr>
            <w:tcW w:w="2330" w:type="pct"/>
          </w:tcPr>
          <w:p w:rsidR="00E42D2B" w:rsidRPr="00316127" w:rsidRDefault="00D56013" w:rsidP="00D77551">
            <w:pPr>
              <w:jc w:val="both"/>
              <w:rPr>
                <w:rFonts w:eastAsia="Calibri"/>
                <w:sz w:val="20"/>
              </w:rPr>
            </w:pPr>
            <w:r w:rsidRPr="00316127">
              <w:rPr>
                <w:rFonts w:eastAsia="Calibri"/>
                <w:sz w:val="20"/>
              </w:rPr>
              <w:fldChar w:fldCharType="begin"/>
            </w:r>
            <w:r w:rsidR="00E42D2B" w:rsidRPr="00316127">
              <w:rPr>
                <w:rFonts w:eastAsia="Calibri"/>
                <w:sz w:val="20"/>
              </w:rPr>
              <w:instrText xml:space="preserve"> SEQ CHAPTER \h \r 1</w:instrText>
            </w:r>
            <w:r w:rsidRPr="00316127">
              <w:rPr>
                <w:rFonts w:eastAsia="Calibri"/>
                <w:sz w:val="20"/>
              </w:rPr>
              <w:fldChar w:fldCharType="end"/>
            </w:r>
            <w:r w:rsidR="00E42D2B" w:rsidRPr="00316127">
              <w:rPr>
                <w:rFonts w:eastAsia="Calibri"/>
                <w:sz w:val="20"/>
              </w:rPr>
              <w:t>Motion for an extension of time to serve and file application and application for leave to appeal filed</w:t>
            </w:r>
          </w:p>
        </w:tc>
      </w:tr>
    </w:tbl>
    <w:p w:rsidR="00E01ABF" w:rsidRPr="00E01ABF" w:rsidRDefault="00E01ABF" w:rsidP="00E01ABF">
      <w:pPr>
        <w:rPr>
          <w:sz w:val="20"/>
          <w:szCs w:val="20"/>
        </w:rPr>
      </w:pPr>
    </w:p>
    <w:p w:rsidR="00E01ABF" w:rsidRDefault="00D56013" w:rsidP="00E01ABF">
      <w:pPr>
        <w:rPr>
          <w:sz w:val="20"/>
          <w:szCs w:val="20"/>
          <w:lang w:val="fr-CA"/>
        </w:rPr>
      </w:pPr>
      <w:r w:rsidRPr="00D56013">
        <w:rPr>
          <w:sz w:val="20"/>
          <w:szCs w:val="20"/>
          <w:lang w:val="fr-CA"/>
        </w:rPr>
        <w:pict>
          <v:rect id="_x0000_i1054" style="width:2in;height:1pt" o:hrpct="0" o:hralign="center" o:hrstd="t" o:hrnoshade="t" o:hr="t" fillcolor="black [3213]" stroked="f"/>
        </w:pict>
      </w:r>
    </w:p>
    <w:p w:rsidR="002E2C77" w:rsidRPr="00E01ABF" w:rsidRDefault="002E2C77" w:rsidP="00E01ABF">
      <w:pPr>
        <w:rPr>
          <w:sz w:val="20"/>
          <w:szCs w:val="20"/>
        </w:rPr>
      </w:pPr>
    </w:p>
    <w:p w:rsidR="00E01ABF" w:rsidRPr="00E01ABF" w:rsidRDefault="00E01ABF" w:rsidP="00E01ABF">
      <w:pPr>
        <w:rPr>
          <w:sz w:val="20"/>
          <w:szCs w:val="20"/>
          <w:u w:val="single"/>
        </w:rPr>
      </w:pPr>
      <w:r w:rsidRPr="00E01ABF">
        <w:rPr>
          <w:sz w:val="20"/>
          <w:szCs w:val="20"/>
          <w:u w:val="single"/>
        </w:rPr>
        <w:t>RÉSUMÉ DE L’AFFAIRE</w:t>
      </w:r>
    </w:p>
    <w:p w:rsidR="00E01ABF" w:rsidRDefault="00E01ABF" w:rsidP="00E01ABF">
      <w:pPr>
        <w:rPr>
          <w:sz w:val="20"/>
          <w:szCs w:val="20"/>
        </w:rPr>
      </w:pPr>
    </w:p>
    <w:tbl>
      <w:tblPr>
        <w:tblW w:w="4952" w:type="pct"/>
        <w:tblInd w:w="2" w:type="dxa"/>
        <w:tblLayout w:type="fixed"/>
        <w:tblCellMar>
          <w:left w:w="0" w:type="dxa"/>
          <w:bottom w:w="99" w:type="dxa"/>
          <w:right w:w="0" w:type="dxa"/>
        </w:tblCellMar>
        <w:tblLook w:val="00A0"/>
      </w:tblPr>
      <w:tblGrid>
        <w:gridCol w:w="4624"/>
        <w:gridCol w:w="463"/>
        <w:gridCol w:w="4440"/>
      </w:tblGrid>
      <w:tr w:rsidR="00E42D2B" w:rsidRPr="00E64B9B" w:rsidTr="00D77551">
        <w:tc>
          <w:tcPr>
            <w:tcW w:w="5000" w:type="pct"/>
            <w:gridSpan w:val="3"/>
          </w:tcPr>
          <w:p w:rsidR="00E42D2B" w:rsidRDefault="00D56013" w:rsidP="00D77551">
            <w:pPr>
              <w:jc w:val="both"/>
              <w:rPr>
                <w:rFonts w:eastAsia="Calibri"/>
                <w:sz w:val="20"/>
                <w:lang w:val="fr-CA"/>
              </w:rPr>
            </w:pPr>
            <w:r w:rsidRPr="00316127">
              <w:rPr>
                <w:rFonts w:eastAsia="Calibri"/>
                <w:sz w:val="20"/>
                <w:lang w:val="fr-CA"/>
              </w:rPr>
              <w:fldChar w:fldCharType="begin"/>
            </w:r>
            <w:r w:rsidR="00E42D2B" w:rsidRPr="00316127">
              <w:rPr>
                <w:rFonts w:eastAsia="Calibri"/>
                <w:sz w:val="20"/>
                <w:lang w:val="fr-CA"/>
              </w:rPr>
              <w:instrText xml:space="preserve"> SEQ CHAPTER \h \r 1</w:instrText>
            </w:r>
            <w:r w:rsidRPr="00316127">
              <w:rPr>
                <w:rFonts w:eastAsia="Calibri"/>
                <w:sz w:val="20"/>
                <w:lang w:val="fr-CA"/>
              </w:rPr>
              <w:fldChar w:fldCharType="end"/>
            </w:r>
            <w:r w:rsidR="00E42D2B" w:rsidRPr="00316127">
              <w:rPr>
                <w:rFonts w:eastAsia="Calibri"/>
                <w:i/>
                <w:iCs/>
                <w:sz w:val="20"/>
                <w:lang w:val="fr-CA"/>
              </w:rPr>
              <w:t xml:space="preserve">Charte des droits </w:t>
            </w:r>
            <w:r w:rsidR="00E42D2B" w:rsidRPr="00316127">
              <w:rPr>
                <w:rFonts w:eastAsia="Calibri"/>
                <w:sz w:val="20"/>
                <w:lang w:val="fr-CA"/>
              </w:rPr>
              <w:t xml:space="preserve">– Fouilles et perquisitions – Droit criminel – Interception sans mandat de communications privées – L’interception par des agents de la paix de communications privées dans des situations urgentes sans autorisation judiciaire préalable porte-t-elle atteinte à l’art. 8 de la </w:t>
            </w:r>
            <w:r w:rsidR="00E42D2B" w:rsidRPr="00316127">
              <w:rPr>
                <w:rFonts w:eastAsia="Calibri"/>
                <w:i/>
                <w:iCs/>
                <w:sz w:val="20"/>
                <w:lang w:val="fr-CA"/>
              </w:rPr>
              <w:t>Charte</w:t>
            </w:r>
            <w:r w:rsidR="00E42D2B" w:rsidRPr="00316127">
              <w:rPr>
                <w:rFonts w:eastAsia="Calibri"/>
                <w:sz w:val="20"/>
                <w:lang w:val="fr-CA"/>
              </w:rPr>
              <w:t xml:space="preserve">? – Dans l’affirmative, la validité de l’acte attentatoire est-elle sauvegardée par l’article premier de la </w:t>
            </w:r>
            <w:r w:rsidR="00E42D2B" w:rsidRPr="00316127">
              <w:rPr>
                <w:rFonts w:eastAsia="Calibri"/>
                <w:i/>
                <w:iCs/>
                <w:sz w:val="20"/>
                <w:lang w:val="fr-CA"/>
              </w:rPr>
              <w:t>Charte</w:t>
            </w:r>
            <w:r w:rsidR="00E42D2B" w:rsidRPr="00316127">
              <w:rPr>
                <w:rFonts w:eastAsia="Calibri"/>
                <w:sz w:val="20"/>
                <w:lang w:val="fr-CA"/>
              </w:rPr>
              <w:t xml:space="preserve">? – Le droit à la protection contre les fouilles, perquisitions ou saisies abusives impose-t-il aux policiers une obligation constitutionnelle de rendre compte de leurs activités aux personnes visées, aux officiers supérieurs ou autres fonctionnaires et au Parlement? – L’art. 8 de la </w:t>
            </w:r>
            <w:r w:rsidR="00E42D2B" w:rsidRPr="00316127">
              <w:rPr>
                <w:rFonts w:eastAsia="Calibri"/>
                <w:i/>
                <w:iCs/>
                <w:sz w:val="20"/>
                <w:lang w:val="fr-CA"/>
              </w:rPr>
              <w:t>Charte</w:t>
            </w:r>
            <w:r w:rsidR="00E42D2B" w:rsidRPr="00316127">
              <w:rPr>
                <w:rFonts w:eastAsia="Calibri"/>
                <w:sz w:val="20"/>
                <w:lang w:val="fr-CA"/>
              </w:rPr>
              <w:t xml:space="preserve"> prescrit-il les catégories d’agents de la paix qui devraient pouvoir employer une interception sans mandat dans des situations exceptionnelles? – Quelle marge de manœuvre a le Parlement en vertu de la </w:t>
            </w:r>
            <w:r w:rsidR="00E42D2B" w:rsidRPr="00316127">
              <w:rPr>
                <w:rFonts w:eastAsia="Calibri"/>
                <w:i/>
                <w:iCs/>
                <w:sz w:val="20"/>
                <w:lang w:val="fr-CA"/>
              </w:rPr>
              <w:t>Charte</w:t>
            </w:r>
            <w:r w:rsidR="00E42D2B" w:rsidRPr="00316127">
              <w:rPr>
                <w:rFonts w:eastAsia="Calibri"/>
                <w:sz w:val="20"/>
                <w:lang w:val="fr-CA"/>
              </w:rPr>
              <w:t xml:space="preserve"> pour décider quelles catégories d’actes illicites sont suffisamment graves pour justifier l’application de méthodes particulières d’enquête, comme les mises sur écoute? - Article 184.4 du </w:t>
            </w:r>
            <w:r w:rsidR="00E42D2B" w:rsidRPr="00316127">
              <w:rPr>
                <w:rFonts w:eastAsia="Calibri"/>
                <w:i/>
                <w:iCs/>
                <w:sz w:val="20"/>
                <w:lang w:val="fr-CA"/>
              </w:rPr>
              <w:t>Code criminel</w:t>
            </w:r>
            <w:r w:rsidR="00E42D2B" w:rsidRPr="00316127">
              <w:rPr>
                <w:rFonts w:eastAsia="Calibri"/>
                <w:sz w:val="20"/>
                <w:lang w:val="fr-CA"/>
              </w:rPr>
              <w:t>, L.R.C. 1985, ch.  C-46 (le « </w:t>
            </w:r>
            <w:r w:rsidR="00E42D2B" w:rsidRPr="00316127">
              <w:rPr>
                <w:rFonts w:eastAsia="Calibri"/>
                <w:i/>
                <w:iCs/>
                <w:sz w:val="20"/>
                <w:lang w:val="fr-CA"/>
              </w:rPr>
              <w:t>Code</w:t>
            </w:r>
            <w:r w:rsidR="00E42D2B" w:rsidRPr="00316127">
              <w:rPr>
                <w:rFonts w:eastAsia="Calibri"/>
                <w:sz w:val="20"/>
                <w:lang w:val="fr-CA"/>
              </w:rPr>
              <w:t xml:space="preserve"> ») - </w:t>
            </w:r>
            <w:r w:rsidR="00E42D2B" w:rsidRPr="00316127">
              <w:rPr>
                <w:rFonts w:eastAsia="Calibri"/>
                <w:i/>
                <w:iCs/>
                <w:sz w:val="20"/>
                <w:lang w:val="fr-CA"/>
              </w:rPr>
              <w:t>R. c. Duarte</w:t>
            </w:r>
            <w:r w:rsidR="00E42D2B" w:rsidRPr="00316127">
              <w:rPr>
                <w:rFonts w:eastAsia="Calibri"/>
                <w:sz w:val="20"/>
                <w:lang w:val="fr-CA"/>
              </w:rPr>
              <w:t>, [1990] 1 R.C.S. 30.</w:t>
            </w:r>
          </w:p>
          <w:p w:rsidR="00EF43C9" w:rsidRPr="00316127" w:rsidRDefault="00EF43C9" w:rsidP="00D77551">
            <w:pPr>
              <w:jc w:val="both"/>
              <w:rPr>
                <w:rFonts w:eastAsia="Calibri"/>
                <w:sz w:val="20"/>
                <w:lang w:val="fr-CA"/>
              </w:rPr>
            </w:pPr>
          </w:p>
        </w:tc>
      </w:tr>
      <w:tr w:rsidR="00E42D2B" w:rsidRPr="00850008" w:rsidTr="00D77551">
        <w:tc>
          <w:tcPr>
            <w:tcW w:w="5000" w:type="pct"/>
            <w:gridSpan w:val="3"/>
          </w:tcPr>
          <w:p w:rsidR="00E42D2B" w:rsidRPr="00316127" w:rsidRDefault="00D56013" w:rsidP="00D77551">
            <w:pPr>
              <w:jc w:val="both"/>
              <w:rPr>
                <w:rFonts w:eastAsia="Calibri"/>
                <w:sz w:val="20"/>
                <w:lang w:val="fr-CA"/>
              </w:rPr>
            </w:pPr>
            <w:r w:rsidRPr="00316127">
              <w:rPr>
                <w:rFonts w:eastAsia="Calibri"/>
                <w:sz w:val="20"/>
                <w:lang w:val="fr-CA"/>
              </w:rPr>
              <w:fldChar w:fldCharType="begin"/>
            </w:r>
            <w:r w:rsidR="00E42D2B" w:rsidRPr="00316127">
              <w:rPr>
                <w:rFonts w:eastAsia="Calibri"/>
                <w:sz w:val="20"/>
                <w:lang w:val="fr-CA"/>
              </w:rPr>
              <w:instrText xml:space="preserve"> SEQ CHAPTER \h \r 1</w:instrText>
            </w:r>
            <w:r w:rsidRPr="00316127">
              <w:rPr>
                <w:rFonts w:eastAsia="Calibri"/>
                <w:sz w:val="20"/>
                <w:lang w:val="fr-CA"/>
              </w:rPr>
              <w:fldChar w:fldCharType="end"/>
            </w:r>
            <w:r w:rsidR="00E42D2B" w:rsidRPr="00316127">
              <w:rPr>
                <w:rFonts w:eastAsia="Calibri"/>
                <w:sz w:val="20"/>
                <w:lang w:val="fr-CA"/>
              </w:rPr>
              <w:t xml:space="preserve">L’article 184.4 du </w:t>
            </w:r>
            <w:r w:rsidR="00E42D2B" w:rsidRPr="00316127">
              <w:rPr>
                <w:rFonts w:eastAsia="Calibri"/>
                <w:i/>
                <w:iCs/>
                <w:sz w:val="20"/>
                <w:lang w:val="fr-CA"/>
              </w:rPr>
              <w:t>Code</w:t>
            </w:r>
            <w:r w:rsidR="00E42D2B" w:rsidRPr="00316127">
              <w:rPr>
                <w:rFonts w:eastAsia="Calibri"/>
                <w:sz w:val="20"/>
                <w:lang w:val="fr-CA"/>
              </w:rPr>
              <w:t xml:space="preserve"> prévoit qu’un </w:t>
            </w:r>
            <w:r w:rsidR="00E42D2B" w:rsidRPr="00316127">
              <w:rPr>
                <w:rFonts w:eastAsia="Calibri"/>
                <w:sz w:val="20"/>
                <w:lang w:val="fr-FR"/>
              </w:rPr>
              <w:t>agent de la paix peut intercepter une communication privée, sans autorisation judiciaire préalable si les conditions suivantes sont réunies :</w:t>
            </w:r>
            <w:r w:rsidR="00E42D2B" w:rsidRPr="00316127">
              <w:rPr>
                <w:rFonts w:eastAsia="Calibri"/>
                <w:sz w:val="20"/>
                <w:lang w:val="fr-CA"/>
              </w:rPr>
              <w:t xml:space="preserve"> (i) </w:t>
            </w:r>
            <w:r w:rsidR="00E42D2B" w:rsidRPr="00316127">
              <w:rPr>
                <w:rFonts w:eastAsia="Calibri"/>
                <w:sz w:val="20"/>
                <w:lang w:val="fr-FR"/>
              </w:rPr>
              <w:t>il a des motifs raisonnables de croire qu’une autorisation ne peut être obtenue, vue l’urgence de la situation</w:t>
            </w:r>
            <w:r w:rsidR="00E42D2B" w:rsidRPr="00316127">
              <w:rPr>
                <w:rFonts w:eastAsia="Calibri"/>
                <w:sz w:val="20"/>
                <w:lang w:val="fr-CA"/>
              </w:rPr>
              <w:t xml:space="preserve">; (ii) </w:t>
            </w:r>
            <w:r w:rsidR="00E42D2B" w:rsidRPr="00316127">
              <w:rPr>
                <w:rFonts w:eastAsia="Calibri"/>
                <w:sz w:val="20"/>
                <w:lang w:val="fr-FR"/>
              </w:rPr>
              <w:t>il a des motifs raisonnables de croire qu’une interception immédiate est nécessaire pour empêcher un acte illicite qui causerait des dommages sérieux à une personne ou un bien</w:t>
            </w:r>
            <w:r w:rsidR="00E42D2B" w:rsidRPr="00316127">
              <w:rPr>
                <w:rFonts w:eastAsia="Calibri"/>
                <w:sz w:val="20"/>
                <w:lang w:val="fr-CA"/>
              </w:rPr>
              <w:t xml:space="preserve">;  (iii) </w:t>
            </w:r>
            <w:r w:rsidR="00E42D2B" w:rsidRPr="00316127">
              <w:rPr>
                <w:rFonts w:eastAsia="Calibri"/>
                <w:sz w:val="20"/>
                <w:lang w:val="fr-FR"/>
              </w:rPr>
              <w:t>l’auteur de la communication ou la personne à laquelle celui-ci la destine est soit la victime visée, soit la personne dont les actes sont susceptibles de causer les dommages</w:t>
            </w:r>
            <w:r w:rsidR="00E42D2B" w:rsidRPr="00316127">
              <w:rPr>
                <w:rFonts w:eastAsia="Calibri"/>
                <w:sz w:val="20"/>
                <w:lang w:val="fr-CA"/>
              </w:rPr>
              <w:t xml:space="preserve">. En l’espèce, la police s’est appuyée sur l’art. 184.4 pour intercepter des communications privées dans le contexte de l’enlèvement présumé de trois personnes. La demanderesse a ensuite tenté de présenter des éléments de preuve recueillis à partir de ces interceptions au procès des intimés pour leurs rôles allégués relativement à des accusations d’enlèvement, de séquestration et d’extorsion. Les intimés ont contesté la validité constitutionnelle de l’art. 184.4 du </w:t>
            </w:r>
            <w:r w:rsidR="00E42D2B" w:rsidRPr="00316127">
              <w:rPr>
                <w:rFonts w:eastAsia="Calibri"/>
                <w:i/>
                <w:iCs/>
                <w:sz w:val="20"/>
                <w:lang w:val="fr-CA"/>
              </w:rPr>
              <w:t>Code</w:t>
            </w:r>
            <w:r w:rsidR="00E42D2B" w:rsidRPr="00316127">
              <w:rPr>
                <w:rFonts w:eastAsia="Calibri"/>
                <w:sz w:val="20"/>
                <w:lang w:val="fr-CA"/>
              </w:rPr>
              <w:t xml:space="preserve"> en s’appuyant sur l’art. 52 de la </w:t>
            </w:r>
            <w:r w:rsidR="00E42D2B" w:rsidRPr="00316127">
              <w:rPr>
                <w:rFonts w:eastAsia="Calibri"/>
                <w:i/>
                <w:iCs/>
                <w:sz w:val="20"/>
                <w:lang w:val="fr-CA"/>
              </w:rPr>
              <w:t xml:space="preserve">Loi </w:t>
            </w:r>
            <w:r w:rsidR="00E42D2B" w:rsidRPr="00316127">
              <w:rPr>
                <w:rFonts w:eastAsia="Calibri"/>
                <w:i/>
                <w:iCs/>
                <w:sz w:val="20"/>
                <w:lang w:val="fr-CA"/>
              </w:rPr>
              <w:lastRenderedPageBreak/>
              <w:t>constitutionnelle de 1982</w:t>
            </w:r>
            <w:r w:rsidR="00E42D2B" w:rsidRPr="00316127">
              <w:rPr>
                <w:rFonts w:eastAsia="Calibri"/>
                <w:sz w:val="20"/>
                <w:lang w:val="fr-CA"/>
              </w:rPr>
              <w:t xml:space="preserve">, et des articles 7, 8 et 11 d) de la </w:t>
            </w:r>
            <w:r w:rsidR="00E42D2B" w:rsidRPr="00316127">
              <w:rPr>
                <w:rFonts w:eastAsia="Calibri"/>
                <w:i/>
                <w:iCs/>
                <w:sz w:val="20"/>
                <w:lang w:val="fr-CA"/>
              </w:rPr>
              <w:t>Charte</w:t>
            </w:r>
            <w:r w:rsidR="00E42D2B" w:rsidRPr="00316127">
              <w:rPr>
                <w:rFonts w:eastAsia="Calibri"/>
                <w:sz w:val="20"/>
                <w:lang w:val="fr-CA"/>
              </w:rPr>
              <w:t xml:space="preserve">. Ils ont également contesté la manière dont la police avait mis en œuvre l’art. 184.4, l’admissibilité de la preuve obtenue en vertu de cette disposition et l’admissibilité de la preuve obtenue en vertu d’autorisations judiciaires subséquentes délivrées en application de l’art. 186 du </w:t>
            </w:r>
            <w:r w:rsidR="00E42D2B" w:rsidRPr="00316127">
              <w:rPr>
                <w:rFonts w:eastAsia="Calibri"/>
                <w:i/>
                <w:iCs/>
                <w:sz w:val="20"/>
                <w:lang w:val="fr-CA"/>
              </w:rPr>
              <w:t>Code</w:t>
            </w:r>
            <w:r w:rsidR="00E42D2B" w:rsidRPr="00316127">
              <w:rPr>
                <w:rFonts w:eastAsia="Calibri"/>
                <w:sz w:val="20"/>
                <w:lang w:val="fr-CA"/>
              </w:rPr>
              <w:t xml:space="preserve">. </w:t>
            </w:r>
          </w:p>
          <w:p w:rsidR="00E42D2B" w:rsidRPr="00316127" w:rsidRDefault="00E42D2B" w:rsidP="00D77551">
            <w:pPr>
              <w:jc w:val="both"/>
              <w:rPr>
                <w:rFonts w:eastAsia="Calibri"/>
                <w:sz w:val="20"/>
                <w:lang w:val="fr-CA"/>
              </w:rPr>
            </w:pPr>
          </w:p>
        </w:tc>
      </w:tr>
      <w:tr w:rsidR="00E42D2B" w:rsidRPr="00850008" w:rsidTr="00D77551">
        <w:tc>
          <w:tcPr>
            <w:tcW w:w="2427" w:type="pct"/>
          </w:tcPr>
          <w:p w:rsidR="00E42D2B" w:rsidRPr="00316127" w:rsidRDefault="00D56013" w:rsidP="00D77551">
            <w:pPr>
              <w:jc w:val="both"/>
              <w:rPr>
                <w:rFonts w:eastAsia="Calibri"/>
                <w:sz w:val="20"/>
                <w:lang w:val="fr-CA"/>
              </w:rPr>
            </w:pPr>
            <w:r w:rsidRPr="00316127">
              <w:rPr>
                <w:rFonts w:eastAsia="Calibri"/>
                <w:sz w:val="20"/>
                <w:lang w:val="fr-CA"/>
              </w:rPr>
              <w:lastRenderedPageBreak/>
              <w:fldChar w:fldCharType="begin"/>
            </w:r>
            <w:r w:rsidR="00E42D2B" w:rsidRPr="00316127">
              <w:rPr>
                <w:rFonts w:eastAsia="Calibri"/>
                <w:sz w:val="20"/>
                <w:lang w:val="fr-CA"/>
              </w:rPr>
              <w:instrText xml:space="preserve"> SEQ CHAPTER \h \r 1</w:instrText>
            </w:r>
            <w:r w:rsidRPr="00316127">
              <w:rPr>
                <w:rFonts w:eastAsia="Calibri"/>
                <w:sz w:val="20"/>
                <w:lang w:val="fr-CA"/>
              </w:rPr>
              <w:fldChar w:fldCharType="end"/>
            </w:r>
            <w:r w:rsidR="00E42D2B" w:rsidRPr="00316127">
              <w:rPr>
                <w:rFonts w:eastAsia="Calibri"/>
                <w:sz w:val="20"/>
                <w:lang w:val="fr-CA"/>
              </w:rPr>
              <w:t>22 février 2008</w:t>
            </w:r>
          </w:p>
          <w:p w:rsidR="00E42D2B" w:rsidRPr="00316127" w:rsidRDefault="00E42D2B" w:rsidP="00D77551">
            <w:pPr>
              <w:jc w:val="both"/>
              <w:rPr>
                <w:rFonts w:eastAsia="Calibri"/>
                <w:sz w:val="20"/>
                <w:lang w:val="fr-CA"/>
              </w:rPr>
            </w:pPr>
            <w:r w:rsidRPr="00316127">
              <w:rPr>
                <w:rFonts w:eastAsia="Calibri"/>
                <w:sz w:val="20"/>
                <w:lang w:val="fr-CA"/>
              </w:rPr>
              <w:t>Cour suprême de la Colombie-Britannique</w:t>
            </w:r>
          </w:p>
          <w:p w:rsidR="00E42D2B" w:rsidRPr="00316127" w:rsidRDefault="00E42D2B" w:rsidP="00D77551">
            <w:pPr>
              <w:jc w:val="both"/>
              <w:rPr>
                <w:rFonts w:eastAsia="Calibri"/>
                <w:sz w:val="20"/>
                <w:lang w:val="fr-CA"/>
              </w:rPr>
            </w:pPr>
            <w:r w:rsidRPr="00316127">
              <w:rPr>
                <w:rFonts w:eastAsia="Calibri"/>
                <w:sz w:val="20"/>
                <w:lang w:val="fr-CA"/>
              </w:rPr>
              <w:t>(Juges Davies)</w:t>
            </w:r>
          </w:p>
          <w:p w:rsidR="00E42D2B" w:rsidRPr="00316127" w:rsidRDefault="00E42D2B" w:rsidP="00D77551">
            <w:pPr>
              <w:jc w:val="both"/>
              <w:rPr>
                <w:rFonts w:eastAsia="Calibri"/>
                <w:sz w:val="20"/>
                <w:lang w:val="fr-CA"/>
              </w:rPr>
            </w:pPr>
          </w:p>
        </w:tc>
        <w:tc>
          <w:tcPr>
            <w:tcW w:w="243" w:type="pct"/>
          </w:tcPr>
          <w:p w:rsidR="00E42D2B" w:rsidRPr="00316127" w:rsidRDefault="00E42D2B" w:rsidP="00D77551">
            <w:pPr>
              <w:jc w:val="both"/>
              <w:rPr>
                <w:rFonts w:eastAsia="Calibri"/>
                <w:sz w:val="20"/>
                <w:lang w:val="fr-CA"/>
              </w:rPr>
            </w:pPr>
          </w:p>
        </w:tc>
        <w:tc>
          <w:tcPr>
            <w:tcW w:w="2330" w:type="pct"/>
          </w:tcPr>
          <w:p w:rsidR="00E42D2B" w:rsidRPr="00316127" w:rsidRDefault="00D56013" w:rsidP="00D77551">
            <w:pPr>
              <w:jc w:val="both"/>
              <w:rPr>
                <w:rFonts w:eastAsia="Calibri"/>
                <w:sz w:val="20"/>
                <w:lang w:val="fr-CA"/>
              </w:rPr>
            </w:pPr>
            <w:r w:rsidRPr="00316127">
              <w:rPr>
                <w:rFonts w:eastAsia="Calibri"/>
                <w:sz w:val="20"/>
                <w:lang w:val="fr-CA"/>
              </w:rPr>
              <w:fldChar w:fldCharType="begin"/>
            </w:r>
            <w:r w:rsidR="00E42D2B" w:rsidRPr="00316127">
              <w:rPr>
                <w:rFonts w:eastAsia="Calibri"/>
                <w:sz w:val="20"/>
                <w:lang w:val="fr-CA"/>
              </w:rPr>
              <w:instrText xml:space="preserve"> SEQ CHAPTER \h \r 1</w:instrText>
            </w:r>
            <w:r w:rsidRPr="00316127">
              <w:rPr>
                <w:rFonts w:eastAsia="Calibri"/>
                <w:sz w:val="20"/>
                <w:lang w:val="fr-CA"/>
              </w:rPr>
              <w:fldChar w:fldCharType="end"/>
            </w:r>
            <w:r w:rsidR="00E42D2B" w:rsidRPr="00316127">
              <w:rPr>
                <w:rFonts w:eastAsia="Calibri"/>
                <w:sz w:val="20"/>
                <w:lang w:val="fr-CA"/>
              </w:rPr>
              <w:t xml:space="preserve">Demande des intimés accueillie en partie : l’art. 184.4 du </w:t>
            </w:r>
            <w:r w:rsidR="00E42D2B" w:rsidRPr="00316127">
              <w:rPr>
                <w:rFonts w:eastAsia="Calibri"/>
                <w:i/>
                <w:iCs/>
                <w:sz w:val="20"/>
                <w:lang w:val="fr-CA"/>
              </w:rPr>
              <w:t>Code</w:t>
            </w:r>
            <w:r w:rsidR="00E42D2B" w:rsidRPr="00316127">
              <w:rPr>
                <w:rFonts w:eastAsia="Calibri"/>
                <w:sz w:val="20"/>
                <w:lang w:val="fr-CA"/>
              </w:rPr>
              <w:t xml:space="preserve"> est déclarée constitutionnellement invalide, mais l’exécution du jugement déclaratoire est suspendue pour une période d’au moins 18 mois</w:t>
            </w:r>
          </w:p>
          <w:p w:rsidR="00E42D2B" w:rsidRPr="00316127" w:rsidRDefault="00E42D2B" w:rsidP="00D77551">
            <w:pPr>
              <w:jc w:val="both"/>
              <w:rPr>
                <w:rFonts w:eastAsia="Calibri"/>
                <w:sz w:val="20"/>
                <w:lang w:val="fr-CA"/>
              </w:rPr>
            </w:pPr>
          </w:p>
        </w:tc>
      </w:tr>
      <w:tr w:rsidR="00E42D2B" w:rsidRPr="00850008" w:rsidTr="00D77551">
        <w:tc>
          <w:tcPr>
            <w:tcW w:w="2427" w:type="pct"/>
          </w:tcPr>
          <w:p w:rsidR="00E42D2B" w:rsidRPr="00316127" w:rsidRDefault="00E42D2B" w:rsidP="00D77551">
            <w:pPr>
              <w:jc w:val="both"/>
              <w:rPr>
                <w:rFonts w:eastAsia="Calibri"/>
                <w:sz w:val="20"/>
                <w:lang w:val="fr-CA"/>
              </w:rPr>
            </w:pPr>
            <w:r w:rsidRPr="00316127">
              <w:rPr>
                <w:rFonts w:eastAsia="Calibri"/>
                <w:sz w:val="20"/>
                <w:lang w:val="fr-CA"/>
              </w:rPr>
              <w:t>7 juin 2010</w:t>
            </w:r>
          </w:p>
          <w:p w:rsidR="00E42D2B" w:rsidRPr="00316127" w:rsidRDefault="00E42D2B" w:rsidP="00D77551">
            <w:pPr>
              <w:jc w:val="both"/>
              <w:rPr>
                <w:rFonts w:eastAsia="Calibri"/>
                <w:sz w:val="20"/>
                <w:lang w:val="fr-CA"/>
              </w:rPr>
            </w:pPr>
            <w:r w:rsidRPr="00316127">
              <w:rPr>
                <w:rFonts w:eastAsia="Calibri"/>
                <w:sz w:val="20"/>
                <w:lang w:val="fr-CA"/>
              </w:rPr>
              <w:t>Cour suprême du Canada</w:t>
            </w:r>
          </w:p>
        </w:tc>
        <w:tc>
          <w:tcPr>
            <w:tcW w:w="243" w:type="pct"/>
          </w:tcPr>
          <w:p w:rsidR="00E42D2B" w:rsidRPr="00316127" w:rsidRDefault="00E42D2B" w:rsidP="00D77551">
            <w:pPr>
              <w:jc w:val="both"/>
              <w:rPr>
                <w:rFonts w:eastAsia="Calibri"/>
                <w:sz w:val="20"/>
                <w:lang w:val="fr-CA"/>
              </w:rPr>
            </w:pPr>
          </w:p>
        </w:tc>
        <w:tc>
          <w:tcPr>
            <w:tcW w:w="2330" w:type="pct"/>
          </w:tcPr>
          <w:p w:rsidR="00E42D2B" w:rsidRPr="00316127" w:rsidRDefault="00D56013" w:rsidP="00D77551">
            <w:pPr>
              <w:jc w:val="both"/>
              <w:rPr>
                <w:rFonts w:eastAsia="Calibri"/>
                <w:sz w:val="20"/>
                <w:lang w:val="fr-CA"/>
              </w:rPr>
            </w:pPr>
            <w:r w:rsidRPr="00316127">
              <w:rPr>
                <w:rFonts w:eastAsia="Calibri"/>
                <w:sz w:val="20"/>
                <w:lang w:val="fr-CA"/>
              </w:rPr>
              <w:fldChar w:fldCharType="begin"/>
            </w:r>
            <w:r w:rsidR="00E42D2B" w:rsidRPr="00316127">
              <w:rPr>
                <w:rFonts w:eastAsia="Calibri"/>
                <w:sz w:val="20"/>
                <w:lang w:val="fr-CA"/>
              </w:rPr>
              <w:instrText xml:space="preserve"> SEQ CHAPTER \h \r 1</w:instrText>
            </w:r>
            <w:r w:rsidRPr="00316127">
              <w:rPr>
                <w:rFonts w:eastAsia="Calibri"/>
                <w:sz w:val="20"/>
                <w:lang w:val="fr-CA"/>
              </w:rPr>
              <w:fldChar w:fldCharType="end"/>
            </w:r>
            <w:r w:rsidR="00E42D2B" w:rsidRPr="00316127">
              <w:rPr>
                <w:rFonts w:eastAsia="Calibri"/>
                <w:sz w:val="20"/>
                <w:lang w:val="fr-CA"/>
              </w:rPr>
              <w:t>Requête en prorogation du délai de signification et de dépôt de la demande et demande d’autorisation d’appel, déposées</w:t>
            </w:r>
          </w:p>
        </w:tc>
      </w:tr>
    </w:tbl>
    <w:p w:rsidR="00E01ABF" w:rsidRPr="00E42D2B" w:rsidRDefault="00E01ABF" w:rsidP="00E01ABF">
      <w:pPr>
        <w:rPr>
          <w:sz w:val="20"/>
          <w:szCs w:val="20"/>
          <w:lang w:val="fr-CA"/>
        </w:rPr>
      </w:pPr>
    </w:p>
    <w:p w:rsidR="00E01ABF" w:rsidRDefault="00D56013" w:rsidP="00E01ABF">
      <w:pPr>
        <w:rPr>
          <w:sz w:val="20"/>
          <w:szCs w:val="20"/>
          <w:lang w:val="fr-CA"/>
        </w:rPr>
      </w:pPr>
      <w:r w:rsidRPr="00D56013">
        <w:rPr>
          <w:sz w:val="20"/>
          <w:szCs w:val="20"/>
          <w:lang w:val="fr-CA"/>
        </w:rPr>
        <w:pict>
          <v:rect id="_x0000_i1055" style="width:2in;height:1pt" o:hrpct="0" o:hralign="center" o:hrstd="t" o:hrnoshade="t" o:hr="t" fillcolor="black [3213]" stroked="f"/>
        </w:pict>
      </w:r>
    </w:p>
    <w:p w:rsidR="00E01ABF" w:rsidRDefault="00E01ABF" w:rsidP="008D292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897A37" w:rsidRPr="00897A37" w:rsidTr="002E2C77">
        <w:trPr>
          <w:cantSplit/>
        </w:trPr>
        <w:tc>
          <w:tcPr>
            <w:tcW w:w="1458" w:type="dxa"/>
          </w:tcPr>
          <w:p w:rsidR="00897A37" w:rsidRPr="00897A37" w:rsidRDefault="00897A37" w:rsidP="002E2C77">
            <w:pPr>
              <w:rPr>
                <w:sz w:val="20"/>
                <w:szCs w:val="20"/>
              </w:rPr>
            </w:pPr>
            <w:r w:rsidRPr="00897A37">
              <w:rPr>
                <w:rStyle w:val="SCCFileNumberChar"/>
                <w:sz w:val="20"/>
                <w:szCs w:val="20"/>
              </w:rPr>
              <w:t>33768</w:t>
            </w:r>
          </w:p>
          <w:p w:rsidR="00897A37" w:rsidRPr="00897A37" w:rsidRDefault="00897A37" w:rsidP="002E2C77">
            <w:pPr>
              <w:rPr>
                <w:b/>
                <w:sz w:val="20"/>
                <w:szCs w:val="20"/>
                <w:lang w:val="fr-CA"/>
              </w:rPr>
            </w:pPr>
          </w:p>
        </w:tc>
        <w:tc>
          <w:tcPr>
            <w:tcW w:w="8118" w:type="dxa"/>
          </w:tcPr>
          <w:p w:rsidR="00897A37" w:rsidRPr="00897A37" w:rsidRDefault="00897A37" w:rsidP="002E2C77">
            <w:pPr>
              <w:rPr>
                <w:sz w:val="20"/>
                <w:szCs w:val="20"/>
              </w:rPr>
            </w:pPr>
            <w:r w:rsidRPr="00897A37">
              <w:rPr>
                <w:rStyle w:val="SCCLsocChar"/>
                <w:sz w:val="20"/>
                <w:szCs w:val="20"/>
                <w:lang w:val="en-CA"/>
              </w:rPr>
              <w:t>Glen Crangle v. Her Majesty the Queen</w:t>
            </w:r>
            <w:r w:rsidRPr="00897A37">
              <w:rPr>
                <w:sz w:val="20"/>
                <w:szCs w:val="20"/>
              </w:rPr>
              <w:t xml:space="preserve"> (Ont.) (Criminal) (By Leave)</w:t>
            </w:r>
          </w:p>
          <w:p w:rsidR="00897A37" w:rsidRPr="00897A37" w:rsidRDefault="00897A37" w:rsidP="002E2C77">
            <w:pPr>
              <w:rPr>
                <w:sz w:val="20"/>
                <w:szCs w:val="20"/>
              </w:rPr>
            </w:pPr>
          </w:p>
        </w:tc>
      </w:tr>
      <w:tr w:rsidR="00897A37" w:rsidRPr="00897A37" w:rsidTr="002E2C77">
        <w:trPr>
          <w:cantSplit/>
        </w:trPr>
        <w:tc>
          <w:tcPr>
            <w:tcW w:w="1458" w:type="dxa"/>
          </w:tcPr>
          <w:p w:rsidR="00897A37" w:rsidRPr="00897A37" w:rsidRDefault="00897A37" w:rsidP="002E2C77">
            <w:pPr>
              <w:rPr>
                <w:sz w:val="20"/>
                <w:szCs w:val="20"/>
              </w:rPr>
            </w:pPr>
            <w:r w:rsidRPr="00897A37">
              <w:rPr>
                <w:sz w:val="20"/>
                <w:szCs w:val="20"/>
              </w:rPr>
              <w:t>Coram :</w:t>
            </w:r>
          </w:p>
        </w:tc>
        <w:tc>
          <w:tcPr>
            <w:tcW w:w="8118" w:type="dxa"/>
          </w:tcPr>
          <w:p w:rsidR="00897A37" w:rsidRPr="00897A37" w:rsidRDefault="00897A37" w:rsidP="002E2C77">
            <w:pPr>
              <w:rPr>
                <w:sz w:val="20"/>
                <w:szCs w:val="20"/>
              </w:rPr>
            </w:pPr>
            <w:r w:rsidRPr="00897A37">
              <w:rPr>
                <w:rStyle w:val="SCCCoramChar"/>
                <w:sz w:val="20"/>
                <w:szCs w:val="20"/>
                <w:lang w:val="en-CA"/>
              </w:rPr>
              <w:t>McLachlin C.J. and Abella and Cromwell JJ.</w:t>
            </w:r>
          </w:p>
          <w:p w:rsidR="00897A37" w:rsidRPr="00897A37" w:rsidRDefault="00897A37" w:rsidP="002E2C77">
            <w:pPr>
              <w:rPr>
                <w:sz w:val="20"/>
                <w:szCs w:val="20"/>
                <w:u w:val="single"/>
              </w:rPr>
            </w:pPr>
          </w:p>
        </w:tc>
      </w:tr>
      <w:tr w:rsidR="00897A37" w:rsidRPr="00850008" w:rsidTr="002E2C77">
        <w:trPr>
          <w:cantSplit/>
        </w:trPr>
        <w:tc>
          <w:tcPr>
            <w:tcW w:w="9576" w:type="dxa"/>
            <w:gridSpan w:val="2"/>
          </w:tcPr>
          <w:p w:rsidR="00897A37" w:rsidRPr="00897A37" w:rsidRDefault="00897A37" w:rsidP="002E2C77">
            <w:pPr>
              <w:pStyle w:val="SCCShortJudgment"/>
              <w:rPr>
                <w:szCs w:val="20"/>
              </w:rPr>
            </w:pPr>
            <w:r w:rsidRPr="00897A37">
              <w:rPr>
                <w:szCs w:val="20"/>
              </w:rPr>
              <w:t>The application for leave to appeal from the judgment of the Court of Appeal for Ontario, Number C49474, 2010 ONCA 451, dated June 17, 2010, is dismissed without costs.</w:t>
            </w:r>
          </w:p>
          <w:p w:rsidR="00897A37" w:rsidRPr="00897A37" w:rsidRDefault="00897A37" w:rsidP="002E2C77">
            <w:pPr>
              <w:pStyle w:val="SCCShortJudgment"/>
              <w:ind w:firstLine="0"/>
              <w:rPr>
                <w:szCs w:val="20"/>
              </w:rPr>
            </w:pPr>
          </w:p>
          <w:p w:rsidR="00897A37" w:rsidRPr="00897A37" w:rsidRDefault="00897A37" w:rsidP="002E2C77">
            <w:pPr>
              <w:pStyle w:val="SCCShortJudgment"/>
              <w:rPr>
                <w:szCs w:val="20"/>
                <w:lang w:val="fr-CA"/>
              </w:rPr>
            </w:pPr>
            <w:r w:rsidRPr="00897A37">
              <w:rPr>
                <w:szCs w:val="20"/>
                <w:lang w:val="fr-CA"/>
              </w:rPr>
              <w:t>La demande d’autorisation d’appel de l’arrêt de la Cour d’appel de l’Ontario, numéro C49474, 2010 ONCA 451, daté du 17 juin 2010, est rejetée sans dépens.</w:t>
            </w:r>
          </w:p>
          <w:p w:rsidR="00897A37" w:rsidRPr="00897A37" w:rsidRDefault="00897A37" w:rsidP="002E2C77">
            <w:pPr>
              <w:rPr>
                <w:sz w:val="20"/>
                <w:szCs w:val="20"/>
                <w:lang w:val="fr-CA"/>
              </w:rPr>
            </w:pPr>
          </w:p>
        </w:tc>
      </w:tr>
    </w:tbl>
    <w:p w:rsidR="00E01ABF" w:rsidRPr="00E01ABF" w:rsidRDefault="00E01ABF" w:rsidP="00E01ABF">
      <w:pPr>
        <w:rPr>
          <w:sz w:val="20"/>
          <w:szCs w:val="20"/>
          <w:u w:val="single"/>
        </w:rPr>
      </w:pPr>
      <w:r w:rsidRPr="00E01ABF">
        <w:rPr>
          <w:sz w:val="20"/>
          <w:szCs w:val="20"/>
          <w:u w:val="single"/>
        </w:rPr>
        <w:t>CASE SUMMARY</w:t>
      </w:r>
    </w:p>
    <w:p w:rsidR="00E01ABF" w:rsidRDefault="00E01ABF" w:rsidP="00E01ABF">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E42D2B" w:rsidRPr="00316127" w:rsidTr="00D77551">
        <w:tc>
          <w:tcPr>
            <w:tcW w:w="5000" w:type="pct"/>
            <w:gridSpan w:val="3"/>
          </w:tcPr>
          <w:p w:rsidR="00E42D2B" w:rsidRPr="00316127" w:rsidRDefault="00E42D2B" w:rsidP="00D77551">
            <w:pPr>
              <w:jc w:val="both"/>
              <w:rPr>
                <w:rFonts w:eastAsia="Calibri"/>
                <w:smallCaps/>
                <w:sz w:val="20"/>
              </w:rPr>
            </w:pPr>
            <w:r w:rsidRPr="00316127">
              <w:rPr>
                <w:rFonts w:eastAsia="Calibri"/>
                <w:smallCaps/>
                <w:sz w:val="20"/>
              </w:rPr>
              <w:t>(Publication ban in case)</w:t>
            </w:r>
          </w:p>
          <w:p w:rsidR="00E42D2B" w:rsidRPr="00316127" w:rsidRDefault="00E42D2B" w:rsidP="00D77551">
            <w:pPr>
              <w:jc w:val="both"/>
              <w:rPr>
                <w:rFonts w:eastAsia="Calibri"/>
                <w:sz w:val="20"/>
              </w:rPr>
            </w:pPr>
          </w:p>
          <w:p w:rsidR="00E42D2B" w:rsidRDefault="00E42D2B" w:rsidP="00D77551">
            <w:pPr>
              <w:jc w:val="both"/>
              <w:rPr>
                <w:rFonts w:eastAsia="Calibri"/>
                <w:sz w:val="20"/>
              </w:rPr>
            </w:pPr>
            <w:r w:rsidRPr="00316127">
              <w:rPr>
                <w:rFonts w:eastAsia="Calibri"/>
                <w:sz w:val="20"/>
              </w:rPr>
              <w:t>Criminal Law – Offences – Elements of Offence – Sexual assault – Consent – Defences – Honest but mistaken belief in consent – Trial – Reasons for judgment – Whether a complainant’s unilateral mistake as to the identity of his or her sexual partner, in the absence of fraud by the accused, is sufficient to vitiate consent to the sexual activity that occurs between them – Whether a complainant’s unilateral mistake of fact regarding an issue upon which consent hinged is sufficient to establish the absence of voluntary agreement  to the sexual activity in question – Whether trial judge misapplied the defence of mistaken belief in consent and imposed a standard higher than the taking of reasonable steps to ascertain consent – Whether trial judge’s reasons were sufficient to allow applicant to know the basis for the conviction and to permit meaningful appellate review.</w:t>
            </w:r>
          </w:p>
          <w:p w:rsidR="00EF43C9" w:rsidRPr="00316127" w:rsidRDefault="00EF43C9" w:rsidP="00D77551">
            <w:pPr>
              <w:jc w:val="both"/>
              <w:rPr>
                <w:rFonts w:eastAsia="Calibri"/>
                <w:sz w:val="20"/>
              </w:rPr>
            </w:pPr>
          </w:p>
        </w:tc>
      </w:tr>
      <w:tr w:rsidR="00E42D2B" w:rsidRPr="00316127" w:rsidTr="00D77551">
        <w:tc>
          <w:tcPr>
            <w:tcW w:w="5000" w:type="pct"/>
            <w:gridSpan w:val="3"/>
          </w:tcPr>
          <w:p w:rsidR="00E42D2B" w:rsidRPr="00316127" w:rsidRDefault="00E42D2B" w:rsidP="00D77551">
            <w:pPr>
              <w:jc w:val="both"/>
              <w:rPr>
                <w:rFonts w:eastAsia="Calibri"/>
                <w:sz w:val="20"/>
              </w:rPr>
            </w:pPr>
            <w:r w:rsidRPr="00316127">
              <w:rPr>
                <w:rFonts w:eastAsia="Calibri"/>
                <w:sz w:val="20"/>
              </w:rPr>
              <w:t>The complainant attended a party at her boyfriend’s apartment, consumed alcohol, and went to sleep in her boyfriend’s bed.  Several hours later, her boyfriend’s identical twin brother got into the same bed.  Their evidence as to what happened next differs. The complainant's evidence is that a person that she presumed was her boyfriend initiated sexual activity which she rejected, using her boyfriend’s name throughout.  He forcibly commenced vaginal intercourse.  She left the bed, turned on a light and saw that he was the applicant and not her boyfriend.  She reacted with anger and disbelief.   The applicant's evidence was that after he got into the bed, the complainant initiated heavy petting that aroused him and which led to further sexual activity. At no point did she call his brother’s name.  At one point they lay facing one another and there was enough light in the bedroom that he could clearly see the details of her face.  His brother had an injured eye and the complainant could tell them apart.  At one point he asked “Are you sure?” and, in response, she initiated intecourse.  When he uttered something else, she jumped out of bed, turned on a light and reacted with anger and disbelief.</w:t>
            </w:r>
          </w:p>
          <w:p w:rsidR="00E42D2B" w:rsidRPr="00316127" w:rsidRDefault="00E42D2B" w:rsidP="00D77551">
            <w:pPr>
              <w:jc w:val="both"/>
              <w:rPr>
                <w:rFonts w:eastAsia="Calibri"/>
                <w:sz w:val="20"/>
              </w:rPr>
            </w:pPr>
          </w:p>
        </w:tc>
      </w:tr>
      <w:tr w:rsidR="00E42D2B" w:rsidRPr="00316127" w:rsidTr="00897A37">
        <w:trPr>
          <w:cantSplit/>
        </w:trPr>
        <w:tc>
          <w:tcPr>
            <w:tcW w:w="2427" w:type="pct"/>
          </w:tcPr>
          <w:p w:rsidR="00E42D2B" w:rsidRPr="00316127" w:rsidRDefault="00E42D2B" w:rsidP="00D77551">
            <w:pPr>
              <w:jc w:val="both"/>
              <w:rPr>
                <w:rFonts w:eastAsia="Calibri"/>
                <w:sz w:val="20"/>
              </w:rPr>
            </w:pPr>
            <w:r w:rsidRPr="00316127">
              <w:rPr>
                <w:rFonts w:eastAsia="Calibri"/>
                <w:sz w:val="20"/>
              </w:rPr>
              <w:lastRenderedPageBreak/>
              <w:t>June 27, 2008</w:t>
            </w:r>
          </w:p>
          <w:p w:rsidR="00E42D2B" w:rsidRPr="00316127" w:rsidRDefault="00E42D2B" w:rsidP="00D77551">
            <w:pPr>
              <w:jc w:val="both"/>
              <w:rPr>
                <w:rFonts w:eastAsia="Calibri"/>
                <w:sz w:val="20"/>
              </w:rPr>
            </w:pPr>
            <w:r w:rsidRPr="00316127">
              <w:rPr>
                <w:rFonts w:eastAsia="Calibri"/>
                <w:sz w:val="20"/>
              </w:rPr>
              <w:t>Ontario Superior Court of Justice</w:t>
            </w:r>
          </w:p>
          <w:p w:rsidR="00E42D2B" w:rsidRPr="00316127" w:rsidRDefault="00E42D2B" w:rsidP="00D77551">
            <w:pPr>
              <w:jc w:val="both"/>
              <w:rPr>
                <w:rFonts w:eastAsia="Calibri"/>
                <w:sz w:val="20"/>
              </w:rPr>
            </w:pPr>
            <w:r w:rsidRPr="00316127">
              <w:rPr>
                <w:rFonts w:eastAsia="Calibri"/>
                <w:sz w:val="20"/>
              </w:rPr>
              <w:t>(Thomas J.)</w:t>
            </w:r>
          </w:p>
          <w:p w:rsidR="00E42D2B" w:rsidRPr="00316127" w:rsidRDefault="00E42D2B" w:rsidP="00D77551">
            <w:pPr>
              <w:jc w:val="both"/>
              <w:rPr>
                <w:rFonts w:eastAsia="Calibri"/>
                <w:sz w:val="20"/>
              </w:rPr>
            </w:pPr>
          </w:p>
        </w:tc>
        <w:tc>
          <w:tcPr>
            <w:tcW w:w="243" w:type="pct"/>
          </w:tcPr>
          <w:p w:rsidR="00E42D2B" w:rsidRPr="00316127" w:rsidRDefault="00E42D2B" w:rsidP="00D77551">
            <w:pPr>
              <w:jc w:val="both"/>
              <w:rPr>
                <w:rFonts w:eastAsia="Calibri"/>
                <w:sz w:val="20"/>
              </w:rPr>
            </w:pPr>
          </w:p>
        </w:tc>
        <w:tc>
          <w:tcPr>
            <w:tcW w:w="2330" w:type="pct"/>
          </w:tcPr>
          <w:p w:rsidR="00E42D2B" w:rsidRPr="00316127" w:rsidRDefault="00E42D2B" w:rsidP="00D77551">
            <w:pPr>
              <w:jc w:val="both"/>
              <w:rPr>
                <w:rFonts w:eastAsia="Calibri"/>
                <w:sz w:val="20"/>
              </w:rPr>
            </w:pPr>
            <w:r w:rsidRPr="00316127">
              <w:rPr>
                <w:rFonts w:eastAsia="Calibri"/>
                <w:sz w:val="20"/>
              </w:rPr>
              <w:t>Conviction for sexual assault</w:t>
            </w:r>
          </w:p>
          <w:p w:rsidR="00E42D2B" w:rsidRPr="00316127" w:rsidRDefault="00E42D2B" w:rsidP="00D77551">
            <w:pPr>
              <w:jc w:val="both"/>
              <w:rPr>
                <w:rFonts w:eastAsia="Calibri"/>
                <w:sz w:val="20"/>
              </w:rPr>
            </w:pPr>
          </w:p>
        </w:tc>
      </w:tr>
      <w:tr w:rsidR="00E42D2B" w:rsidRPr="00316127" w:rsidTr="00897A37">
        <w:trPr>
          <w:cantSplit/>
        </w:trPr>
        <w:tc>
          <w:tcPr>
            <w:tcW w:w="2427" w:type="pct"/>
          </w:tcPr>
          <w:p w:rsidR="00E42D2B" w:rsidRPr="00316127" w:rsidRDefault="00E42D2B" w:rsidP="00D77551">
            <w:pPr>
              <w:jc w:val="both"/>
              <w:rPr>
                <w:rFonts w:eastAsia="Calibri"/>
                <w:sz w:val="20"/>
              </w:rPr>
            </w:pPr>
            <w:r w:rsidRPr="00316127">
              <w:rPr>
                <w:rFonts w:eastAsia="Calibri"/>
                <w:sz w:val="20"/>
              </w:rPr>
              <w:t>June 17, 2010</w:t>
            </w:r>
          </w:p>
          <w:p w:rsidR="00E42D2B" w:rsidRPr="00316127" w:rsidRDefault="00E42D2B" w:rsidP="00D77551">
            <w:pPr>
              <w:jc w:val="both"/>
              <w:rPr>
                <w:rFonts w:eastAsia="Calibri"/>
                <w:sz w:val="20"/>
              </w:rPr>
            </w:pPr>
            <w:r w:rsidRPr="00316127">
              <w:rPr>
                <w:rFonts w:eastAsia="Calibri"/>
                <w:sz w:val="20"/>
              </w:rPr>
              <w:t>Court of Appeal for Ontario</w:t>
            </w:r>
          </w:p>
          <w:p w:rsidR="00E42D2B" w:rsidRPr="00316127" w:rsidRDefault="00E42D2B" w:rsidP="00D77551">
            <w:pPr>
              <w:jc w:val="both"/>
              <w:rPr>
                <w:rFonts w:eastAsia="Calibri"/>
                <w:sz w:val="20"/>
              </w:rPr>
            </w:pPr>
            <w:r w:rsidRPr="00316127">
              <w:rPr>
                <w:rFonts w:eastAsia="Calibri"/>
                <w:sz w:val="20"/>
              </w:rPr>
              <w:t>(Doherty, Laskin, Goudge JJ.A)</w:t>
            </w:r>
          </w:p>
          <w:p w:rsidR="00E42D2B" w:rsidRPr="00316127" w:rsidRDefault="00E42D2B" w:rsidP="00D77551">
            <w:pPr>
              <w:jc w:val="both"/>
              <w:rPr>
                <w:rFonts w:eastAsia="Calibri"/>
                <w:sz w:val="20"/>
              </w:rPr>
            </w:pPr>
            <w:r w:rsidRPr="00316127">
              <w:rPr>
                <w:rFonts w:eastAsia="Calibri"/>
                <w:sz w:val="20"/>
              </w:rPr>
              <w:t>2010 ONCA 451</w:t>
            </w:r>
          </w:p>
          <w:p w:rsidR="00E42D2B" w:rsidRPr="00316127" w:rsidRDefault="00E42D2B" w:rsidP="00D77551">
            <w:pPr>
              <w:jc w:val="both"/>
              <w:rPr>
                <w:rFonts w:eastAsia="Calibri"/>
                <w:sz w:val="20"/>
              </w:rPr>
            </w:pPr>
            <w:r w:rsidRPr="00316127">
              <w:rPr>
                <w:rFonts w:eastAsia="Calibri"/>
                <w:sz w:val="20"/>
              </w:rPr>
              <w:t>C49474</w:t>
            </w:r>
          </w:p>
          <w:p w:rsidR="00E42D2B" w:rsidRPr="00316127" w:rsidRDefault="00E42D2B" w:rsidP="00D77551">
            <w:pPr>
              <w:jc w:val="both"/>
              <w:rPr>
                <w:rFonts w:eastAsia="Calibri"/>
                <w:sz w:val="20"/>
              </w:rPr>
            </w:pPr>
          </w:p>
        </w:tc>
        <w:tc>
          <w:tcPr>
            <w:tcW w:w="243" w:type="pct"/>
          </w:tcPr>
          <w:p w:rsidR="00E42D2B" w:rsidRPr="00316127" w:rsidRDefault="00E42D2B" w:rsidP="00D77551">
            <w:pPr>
              <w:jc w:val="both"/>
              <w:rPr>
                <w:rFonts w:eastAsia="Calibri"/>
                <w:sz w:val="20"/>
              </w:rPr>
            </w:pPr>
          </w:p>
        </w:tc>
        <w:tc>
          <w:tcPr>
            <w:tcW w:w="2330" w:type="pct"/>
          </w:tcPr>
          <w:p w:rsidR="00E42D2B" w:rsidRPr="00316127" w:rsidRDefault="00E42D2B" w:rsidP="00D77551">
            <w:pPr>
              <w:jc w:val="both"/>
              <w:rPr>
                <w:rFonts w:eastAsia="Calibri"/>
                <w:sz w:val="20"/>
              </w:rPr>
            </w:pPr>
            <w:r w:rsidRPr="00316127">
              <w:rPr>
                <w:rFonts w:eastAsia="Calibri"/>
                <w:sz w:val="20"/>
              </w:rPr>
              <w:t>Appeal dismissed</w:t>
            </w:r>
          </w:p>
          <w:p w:rsidR="00E42D2B" w:rsidRPr="00316127" w:rsidRDefault="00E42D2B" w:rsidP="00D77551">
            <w:pPr>
              <w:jc w:val="both"/>
              <w:rPr>
                <w:rFonts w:eastAsia="Calibri"/>
                <w:sz w:val="20"/>
              </w:rPr>
            </w:pPr>
          </w:p>
        </w:tc>
      </w:tr>
      <w:tr w:rsidR="00E42D2B" w:rsidRPr="00316127" w:rsidTr="00897A37">
        <w:trPr>
          <w:cantSplit/>
        </w:trPr>
        <w:tc>
          <w:tcPr>
            <w:tcW w:w="2427" w:type="pct"/>
          </w:tcPr>
          <w:p w:rsidR="00E42D2B" w:rsidRPr="00316127" w:rsidRDefault="00E42D2B" w:rsidP="00D77551">
            <w:pPr>
              <w:jc w:val="both"/>
              <w:rPr>
                <w:rFonts w:eastAsia="Calibri"/>
                <w:sz w:val="20"/>
              </w:rPr>
            </w:pPr>
            <w:r w:rsidRPr="00316127">
              <w:rPr>
                <w:rFonts w:eastAsia="Calibri"/>
                <w:sz w:val="20"/>
              </w:rPr>
              <w:t>September 16, 2010</w:t>
            </w:r>
          </w:p>
          <w:p w:rsidR="00E42D2B" w:rsidRPr="00316127" w:rsidRDefault="00E42D2B" w:rsidP="00D77551">
            <w:pPr>
              <w:jc w:val="both"/>
              <w:rPr>
                <w:rFonts w:eastAsia="Calibri"/>
                <w:sz w:val="20"/>
              </w:rPr>
            </w:pPr>
            <w:r w:rsidRPr="00316127">
              <w:rPr>
                <w:rFonts w:eastAsia="Calibri"/>
                <w:sz w:val="20"/>
              </w:rPr>
              <w:t>Supreme Court of Canada</w:t>
            </w:r>
          </w:p>
        </w:tc>
        <w:tc>
          <w:tcPr>
            <w:tcW w:w="243" w:type="pct"/>
          </w:tcPr>
          <w:p w:rsidR="00E42D2B" w:rsidRPr="00316127" w:rsidRDefault="00E42D2B" w:rsidP="00D77551">
            <w:pPr>
              <w:jc w:val="both"/>
              <w:rPr>
                <w:rFonts w:eastAsia="Calibri"/>
                <w:sz w:val="20"/>
              </w:rPr>
            </w:pPr>
          </w:p>
        </w:tc>
        <w:tc>
          <w:tcPr>
            <w:tcW w:w="2330" w:type="pct"/>
          </w:tcPr>
          <w:p w:rsidR="00E42D2B" w:rsidRPr="00316127" w:rsidRDefault="00E42D2B" w:rsidP="00D77551">
            <w:pPr>
              <w:jc w:val="both"/>
              <w:rPr>
                <w:rFonts w:eastAsia="Calibri"/>
                <w:sz w:val="20"/>
              </w:rPr>
            </w:pPr>
            <w:r w:rsidRPr="00316127">
              <w:rPr>
                <w:rFonts w:eastAsia="Calibri"/>
                <w:sz w:val="20"/>
              </w:rPr>
              <w:t>Application for leave to appeal filed</w:t>
            </w:r>
          </w:p>
          <w:p w:rsidR="00E42D2B" w:rsidRPr="00316127" w:rsidRDefault="00E42D2B" w:rsidP="00D77551">
            <w:pPr>
              <w:jc w:val="both"/>
              <w:rPr>
                <w:rFonts w:eastAsia="Calibri"/>
                <w:sz w:val="20"/>
              </w:rPr>
            </w:pPr>
          </w:p>
        </w:tc>
      </w:tr>
    </w:tbl>
    <w:p w:rsidR="00E01ABF" w:rsidRPr="00E01ABF" w:rsidRDefault="00E01ABF" w:rsidP="00E01ABF">
      <w:pPr>
        <w:rPr>
          <w:sz w:val="20"/>
          <w:szCs w:val="20"/>
        </w:rPr>
      </w:pPr>
    </w:p>
    <w:p w:rsidR="00E01ABF" w:rsidRDefault="00D56013" w:rsidP="00E01ABF">
      <w:pPr>
        <w:rPr>
          <w:sz w:val="20"/>
          <w:szCs w:val="20"/>
          <w:lang w:val="fr-CA"/>
        </w:rPr>
      </w:pPr>
      <w:r w:rsidRPr="00D56013">
        <w:rPr>
          <w:sz w:val="20"/>
          <w:szCs w:val="20"/>
          <w:lang w:val="fr-CA"/>
        </w:rPr>
        <w:pict>
          <v:rect id="_x0000_i1056" style="width:2in;height:1pt" o:hrpct="0" o:hralign="center" o:hrstd="t" o:hrnoshade="t" o:hr="t" fillcolor="black [3213]" stroked="f"/>
        </w:pict>
      </w:r>
    </w:p>
    <w:p w:rsidR="002E2C77" w:rsidRPr="00E01ABF" w:rsidRDefault="002E2C77" w:rsidP="00E01ABF">
      <w:pPr>
        <w:rPr>
          <w:sz w:val="20"/>
          <w:szCs w:val="20"/>
        </w:rPr>
      </w:pPr>
    </w:p>
    <w:p w:rsidR="00E01ABF" w:rsidRPr="00E01ABF" w:rsidRDefault="00E01ABF" w:rsidP="00E01ABF">
      <w:pPr>
        <w:rPr>
          <w:sz w:val="20"/>
          <w:szCs w:val="20"/>
          <w:u w:val="single"/>
        </w:rPr>
      </w:pPr>
      <w:r w:rsidRPr="00E01ABF">
        <w:rPr>
          <w:sz w:val="20"/>
          <w:szCs w:val="20"/>
          <w:u w:val="single"/>
        </w:rPr>
        <w:t>RÉSUMÉ DE L’AFFAIRE</w:t>
      </w:r>
    </w:p>
    <w:p w:rsidR="00E01ABF" w:rsidRDefault="00E01ABF" w:rsidP="00E01ABF">
      <w:pPr>
        <w:rPr>
          <w:sz w:val="20"/>
          <w:szCs w:val="20"/>
        </w:rPr>
      </w:pPr>
    </w:p>
    <w:tbl>
      <w:tblPr>
        <w:tblW w:w="4952" w:type="pct"/>
        <w:tblInd w:w="2" w:type="dxa"/>
        <w:tblLayout w:type="fixed"/>
        <w:tblCellMar>
          <w:left w:w="0" w:type="dxa"/>
          <w:bottom w:w="99" w:type="dxa"/>
          <w:right w:w="0" w:type="dxa"/>
        </w:tblCellMar>
        <w:tblLook w:val="00A0"/>
      </w:tblPr>
      <w:tblGrid>
        <w:gridCol w:w="4624"/>
        <w:gridCol w:w="463"/>
        <w:gridCol w:w="4440"/>
      </w:tblGrid>
      <w:tr w:rsidR="00E42D2B" w:rsidRPr="00850008" w:rsidTr="00D77551">
        <w:tc>
          <w:tcPr>
            <w:tcW w:w="5000" w:type="pct"/>
            <w:gridSpan w:val="3"/>
          </w:tcPr>
          <w:p w:rsidR="00E42D2B" w:rsidRPr="00316127" w:rsidRDefault="00E42D2B" w:rsidP="00D77551">
            <w:pPr>
              <w:jc w:val="both"/>
              <w:rPr>
                <w:rFonts w:eastAsia="Calibri"/>
                <w:smallCaps/>
                <w:sz w:val="20"/>
                <w:lang w:val="fr-CA"/>
              </w:rPr>
            </w:pPr>
            <w:r w:rsidRPr="00316127">
              <w:rPr>
                <w:rFonts w:eastAsia="Calibri"/>
                <w:smallCaps/>
                <w:sz w:val="20"/>
                <w:lang w:val="fr-CA"/>
              </w:rPr>
              <w:t>(Ordonnance de non-publication dans le dossier)</w:t>
            </w:r>
          </w:p>
          <w:p w:rsidR="00E42D2B" w:rsidRPr="00316127" w:rsidRDefault="00E42D2B" w:rsidP="00D77551">
            <w:pPr>
              <w:jc w:val="both"/>
              <w:rPr>
                <w:rFonts w:eastAsia="Calibri"/>
                <w:sz w:val="20"/>
                <w:lang w:val="fr-CA"/>
              </w:rPr>
            </w:pPr>
          </w:p>
          <w:p w:rsidR="00E42D2B" w:rsidRDefault="00E42D2B" w:rsidP="00D77551">
            <w:pPr>
              <w:jc w:val="both"/>
              <w:rPr>
                <w:rFonts w:eastAsia="Calibri"/>
                <w:sz w:val="20"/>
                <w:lang w:val="fr-CA"/>
              </w:rPr>
            </w:pPr>
            <w:r w:rsidRPr="00316127">
              <w:rPr>
                <w:rFonts w:eastAsia="Calibri"/>
                <w:sz w:val="20"/>
                <w:lang w:val="fr-CA"/>
              </w:rPr>
              <w:t>Droit criminel – Infractions – Éléments de l’infraction – Agression sexuelle – Consentement – Moyens de défense – Croyance sincère mais erronée au consentement – Procès – Motifs du jugement – L’erreur unilatérale de la plaignante quant à l’identité de son partenaire sexuel, en l’absence de fraude de l’accusé, suffit-elle à vicier le consentement à l’activité sexuelle qui se produit entre eux? – L’erreur de fait unilatérale de la plaignante relativement à une question dont le consentement dépendait suffit-elle à établir l’absence d’accord volontaire à l’activité sexuelle en question? – Le juge du procès a-t-il mal appliqué le moyen de défense de la croyance erronée au consentement et a-t-il imposé une norme plus rigoureuse que la prise de mesures raisonnables pour déterminer le consentement? – Les motifs du juge du procès étaient-ils suffisants pour permettre au demandeur de connaître le fondement de la déclaration de culpabilité et permettre un examen valable en appel?</w:t>
            </w:r>
          </w:p>
          <w:p w:rsidR="00EF43C9" w:rsidRPr="00316127" w:rsidRDefault="00EF43C9" w:rsidP="00D77551">
            <w:pPr>
              <w:jc w:val="both"/>
              <w:rPr>
                <w:rFonts w:eastAsia="Calibri"/>
                <w:sz w:val="20"/>
                <w:lang w:val="fr-CA"/>
              </w:rPr>
            </w:pPr>
          </w:p>
        </w:tc>
      </w:tr>
      <w:tr w:rsidR="00E42D2B" w:rsidRPr="00850008" w:rsidTr="00D77551">
        <w:tc>
          <w:tcPr>
            <w:tcW w:w="5000" w:type="pct"/>
            <w:gridSpan w:val="3"/>
          </w:tcPr>
          <w:p w:rsidR="00E42D2B" w:rsidRPr="00316127" w:rsidRDefault="00E42D2B" w:rsidP="00D77551">
            <w:pPr>
              <w:jc w:val="both"/>
              <w:rPr>
                <w:rFonts w:eastAsia="Calibri"/>
                <w:sz w:val="20"/>
                <w:lang w:val="fr-CA"/>
              </w:rPr>
            </w:pPr>
            <w:r w:rsidRPr="00316127">
              <w:rPr>
                <w:rFonts w:eastAsia="Calibri"/>
                <w:sz w:val="20"/>
                <w:lang w:val="fr-CA"/>
              </w:rPr>
              <w:t>La plaignante a assisté à une soirée à l’appartement de son petit ami, a consommé de l’alcool et est allée dormir dans le lit de celui-ci. Plusieurs heures plus tard, le frère jumeau de son petit ami s’est rendu dans le même lit. Leurs témoignages de ce qui s’est passé ensuite diffèrent. Selon le témoignage de la plaignante, une personne qu’elle présumait être son petit ami aurait entrepris une activité sexuelle qu’elle aurait rejetée, utilisant toujours le nom de son petit ami. La personne en question l’aurait forcée à avoir un rapport sexuel vaginal. La plaignante aurait quitté le lit, allumé une lumière et vu qu’il s’agissait du demandeur et non de son petit ami. Elle aurait réagi avec colère et incrédulité.  Selon le témoignage du demandeur, après qu’il s’est rendu dans le lit, la plaignante aurait commencé à le caresser ardemment, ce qui aurait eu pour effet de l’exciter et mené à la poursuite de l’activité sexuelle. À un moment donné, les deux auraient été couchés l’un en face de l’autre et la chambre était suffisamment éclairée pour qu’il puisse voir clairement les détails de son visage. Son frère avait une blessure à l’œil et la plaignante pouvait les distinguer. À un moment donné, il aurait demandé [</w:t>
            </w:r>
            <w:r w:rsidRPr="00316127">
              <w:rPr>
                <w:rFonts w:eastAsia="Calibri"/>
                <w:smallCaps/>
                <w:sz w:val="20"/>
                <w:lang w:val="fr-CA"/>
              </w:rPr>
              <w:t>traduction</w:t>
            </w:r>
            <w:r w:rsidRPr="00316127">
              <w:rPr>
                <w:rFonts w:eastAsia="Calibri"/>
                <w:sz w:val="20"/>
                <w:lang w:val="fr-CA"/>
              </w:rPr>
              <w:t>] « es-tu certaine? » et, en réponse, la plaignante aurait initié le rapport sexuel. Après qu’il eut prononcé autre chose, la plaignante aurait sauté du lit, allumé la lumière et réagi avec colère et incrédulité.</w:t>
            </w:r>
          </w:p>
          <w:p w:rsidR="00E42D2B" w:rsidRPr="00316127" w:rsidRDefault="00E42D2B" w:rsidP="00D77551">
            <w:pPr>
              <w:jc w:val="both"/>
              <w:rPr>
                <w:rFonts w:eastAsia="Calibri"/>
                <w:sz w:val="20"/>
                <w:lang w:val="fr-CA"/>
              </w:rPr>
            </w:pPr>
          </w:p>
        </w:tc>
      </w:tr>
      <w:tr w:rsidR="00E42D2B" w:rsidRPr="00850008" w:rsidTr="00D77551">
        <w:tc>
          <w:tcPr>
            <w:tcW w:w="2427" w:type="pct"/>
          </w:tcPr>
          <w:p w:rsidR="00E42D2B" w:rsidRPr="00316127" w:rsidRDefault="00E42D2B" w:rsidP="00D77551">
            <w:pPr>
              <w:jc w:val="both"/>
              <w:rPr>
                <w:rFonts w:eastAsia="Calibri"/>
                <w:sz w:val="20"/>
                <w:lang w:val="fr-CA"/>
              </w:rPr>
            </w:pPr>
            <w:r w:rsidRPr="00316127">
              <w:rPr>
                <w:rFonts w:eastAsia="Calibri"/>
                <w:sz w:val="20"/>
                <w:lang w:val="fr-CA"/>
              </w:rPr>
              <w:t>27 juin 2008</w:t>
            </w:r>
          </w:p>
          <w:p w:rsidR="00E42D2B" w:rsidRPr="00316127" w:rsidRDefault="00E42D2B" w:rsidP="00D77551">
            <w:pPr>
              <w:jc w:val="both"/>
              <w:rPr>
                <w:rFonts w:eastAsia="Calibri"/>
                <w:sz w:val="20"/>
                <w:lang w:val="fr-CA"/>
              </w:rPr>
            </w:pPr>
            <w:r w:rsidRPr="00316127">
              <w:rPr>
                <w:rFonts w:eastAsia="Calibri"/>
                <w:sz w:val="20"/>
                <w:lang w:val="fr-CA"/>
              </w:rPr>
              <w:t>Cour supérieure de justice de l’Ontario</w:t>
            </w:r>
          </w:p>
          <w:p w:rsidR="00E42D2B" w:rsidRPr="00316127" w:rsidRDefault="00E42D2B" w:rsidP="00D77551">
            <w:pPr>
              <w:jc w:val="both"/>
              <w:rPr>
                <w:rFonts w:eastAsia="Calibri"/>
                <w:sz w:val="20"/>
                <w:lang w:val="fr-CA"/>
              </w:rPr>
            </w:pPr>
            <w:r w:rsidRPr="00316127">
              <w:rPr>
                <w:rFonts w:eastAsia="Calibri"/>
                <w:sz w:val="20"/>
                <w:lang w:val="fr-CA"/>
              </w:rPr>
              <w:t>(Juge Thomas)</w:t>
            </w:r>
          </w:p>
          <w:p w:rsidR="00E42D2B" w:rsidRPr="00316127" w:rsidRDefault="00E42D2B" w:rsidP="00D77551">
            <w:pPr>
              <w:jc w:val="both"/>
              <w:rPr>
                <w:rFonts w:eastAsia="Calibri"/>
                <w:sz w:val="20"/>
                <w:lang w:val="fr-CA"/>
              </w:rPr>
            </w:pPr>
          </w:p>
        </w:tc>
        <w:tc>
          <w:tcPr>
            <w:tcW w:w="243" w:type="pct"/>
          </w:tcPr>
          <w:p w:rsidR="00E42D2B" w:rsidRPr="00316127" w:rsidRDefault="00E42D2B" w:rsidP="00D77551">
            <w:pPr>
              <w:jc w:val="both"/>
              <w:rPr>
                <w:rFonts w:eastAsia="Calibri"/>
                <w:sz w:val="20"/>
                <w:lang w:val="fr-CA"/>
              </w:rPr>
            </w:pPr>
          </w:p>
        </w:tc>
        <w:tc>
          <w:tcPr>
            <w:tcW w:w="2330" w:type="pct"/>
          </w:tcPr>
          <w:p w:rsidR="00E42D2B" w:rsidRPr="00316127" w:rsidRDefault="00E42D2B" w:rsidP="00D77551">
            <w:pPr>
              <w:jc w:val="both"/>
              <w:rPr>
                <w:rFonts w:eastAsia="Calibri"/>
                <w:sz w:val="20"/>
                <w:lang w:val="fr-CA"/>
              </w:rPr>
            </w:pPr>
            <w:r w:rsidRPr="00316127">
              <w:rPr>
                <w:rFonts w:eastAsia="Calibri"/>
                <w:sz w:val="20"/>
                <w:lang w:val="fr-CA"/>
              </w:rPr>
              <w:t>Déclaration de culpabilité pour agression sexuelle</w:t>
            </w:r>
          </w:p>
          <w:p w:rsidR="00E42D2B" w:rsidRPr="00316127" w:rsidRDefault="00E42D2B" w:rsidP="00D77551">
            <w:pPr>
              <w:jc w:val="both"/>
              <w:rPr>
                <w:rFonts w:eastAsia="Calibri"/>
                <w:sz w:val="20"/>
                <w:lang w:val="fr-CA"/>
              </w:rPr>
            </w:pPr>
          </w:p>
        </w:tc>
      </w:tr>
    </w:tbl>
    <w:p w:rsidR="002E2C77" w:rsidRPr="00FA4947" w:rsidRDefault="002E2C77">
      <w:pPr>
        <w:rPr>
          <w:lang w:val="fr-CA"/>
        </w:rPr>
      </w:pPr>
    </w:p>
    <w:p w:rsidR="002E2C77" w:rsidRPr="00FA4947" w:rsidRDefault="002E2C77">
      <w:pPr>
        <w:rPr>
          <w:lang w:val="fr-CA"/>
        </w:rPr>
      </w:pPr>
      <w:r w:rsidRPr="00FA4947">
        <w:rPr>
          <w:lang w:val="fr-CA"/>
        </w:rPr>
        <w:br w:type="page"/>
      </w:r>
    </w:p>
    <w:tbl>
      <w:tblPr>
        <w:tblW w:w="4952" w:type="pct"/>
        <w:tblInd w:w="2" w:type="dxa"/>
        <w:tblLayout w:type="fixed"/>
        <w:tblCellMar>
          <w:left w:w="0" w:type="dxa"/>
          <w:bottom w:w="99" w:type="dxa"/>
          <w:right w:w="0" w:type="dxa"/>
        </w:tblCellMar>
        <w:tblLook w:val="00A0"/>
      </w:tblPr>
      <w:tblGrid>
        <w:gridCol w:w="4624"/>
        <w:gridCol w:w="463"/>
        <w:gridCol w:w="4440"/>
      </w:tblGrid>
      <w:tr w:rsidR="00E42D2B" w:rsidRPr="00316127" w:rsidTr="00D77551">
        <w:tc>
          <w:tcPr>
            <w:tcW w:w="2427" w:type="pct"/>
          </w:tcPr>
          <w:p w:rsidR="00E42D2B" w:rsidRPr="00316127" w:rsidRDefault="00E42D2B" w:rsidP="00D77551">
            <w:pPr>
              <w:jc w:val="both"/>
              <w:rPr>
                <w:rFonts w:eastAsia="Calibri"/>
                <w:sz w:val="20"/>
                <w:lang w:val="fr-CA"/>
              </w:rPr>
            </w:pPr>
            <w:r w:rsidRPr="00316127">
              <w:rPr>
                <w:rFonts w:eastAsia="Calibri"/>
                <w:sz w:val="20"/>
                <w:lang w:val="fr-CA"/>
              </w:rPr>
              <w:lastRenderedPageBreak/>
              <w:t>17 juin 2010</w:t>
            </w:r>
          </w:p>
          <w:p w:rsidR="00E42D2B" w:rsidRPr="00316127" w:rsidRDefault="00E42D2B" w:rsidP="00D77551">
            <w:pPr>
              <w:jc w:val="both"/>
              <w:rPr>
                <w:rFonts w:eastAsia="Calibri"/>
                <w:sz w:val="20"/>
                <w:lang w:val="fr-CA"/>
              </w:rPr>
            </w:pPr>
            <w:r w:rsidRPr="00316127">
              <w:rPr>
                <w:rFonts w:eastAsia="Calibri"/>
                <w:sz w:val="20"/>
                <w:lang w:val="fr-CA"/>
              </w:rPr>
              <w:t>Cour d’appel de l’Ontario</w:t>
            </w:r>
          </w:p>
          <w:p w:rsidR="00E42D2B" w:rsidRPr="00316127" w:rsidRDefault="00E42D2B" w:rsidP="00D77551">
            <w:pPr>
              <w:jc w:val="both"/>
              <w:rPr>
                <w:rFonts w:eastAsia="Calibri"/>
                <w:sz w:val="20"/>
                <w:lang w:val="fr-CA"/>
              </w:rPr>
            </w:pPr>
            <w:r w:rsidRPr="00316127">
              <w:rPr>
                <w:rFonts w:eastAsia="Calibri"/>
                <w:sz w:val="20"/>
                <w:lang w:val="fr-CA"/>
              </w:rPr>
              <w:t>(Juges Doherty, Laskin et Goudge)</w:t>
            </w:r>
          </w:p>
          <w:p w:rsidR="00E42D2B" w:rsidRPr="00316127" w:rsidRDefault="00E42D2B" w:rsidP="00D77551">
            <w:pPr>
              <w:jc w:val="both"/>
              <w:rPr>
                <w:rFonts w:eastAsia="Calibri"/>
                <w:sz w:val="20"/>
                <w:lang w:val="fr-CA"/>
              </w:rPr>
            </w:pPr>
            <w:r w:rsidRPr="00316127">
              <w:rPr>
                <w:rFonts w:eastAsia="Calibri"/>
                <w:sz w:val="20"/>
                <w:lang w:val="fr-CA"/>
              </w:rPr>
              <w:t>2010 ONCA 451</w:t>
            </w:r>
          </w:p>
          <w:p w:rsidR="00E42D2B" w:rsidRPr="00316127" w:rsidRDefault="00E42D2B" w:rsidP="00897A37">
            <w:pPr>
              <w:jc w:val="both"/>
              <w:rPr>
                <w:rFonts w:eastAsia="Calibri"/>
                <w:sz w:val="20"/>
                <w:lang w:val="fr-CA"/>
              </w:rPr>
            </w:pPr>
            <w:r w:rsidRPr="00316127">
              <w:rPr>
                <w:rFonts w:eastAsia="Calibri"/>
                <w:sz w:val="20"/>
                <w:lang w:val="fr-CA"/>
              </w:rPr>
              <w:t>C49474</w:t>
            </w:r>
          </w:p>
        </w:tc>
        <w:tc>
          <w:tcPr>
            <w:tcW w:w="243" w:type="pct"/>
          </w:tcPr>
          <w:p w:rsidR="00E42D2B" w:rsidRDefault="00E42D2B" w:rsidP="00D77551">
            <w:pPr>
              <w:jc w:val="both"/>
              <w:rPr>
                <w:rFonts w:eastAsia="Calibri"/>
                <w:sz w:val="20"/>
                <w:lang w:val="fr-CA"/>
              </w:rPr>
            </w:pPr>
          </w:p>
          <w:p w:rsidR="0038676D" w:rsidRDefault="0038676D" w:rsidP="00D77551">
            <w:pPr>
              <w:jc w:val="both"/>
              <w:rPr>
                <w:rFonts w:eastAsia="Calibri"/>
                <w:sz w:val="20"/>
                <w:lang w:val="fr-CA"/>
              </w:rPr>
            </w:pPr>
          </w:p>
          <w:p w:rsidR="0038676D" w:rsidRDefault="0038676D" w:rsidP="00D77551">
            <w:pPr>
              <w:jc w:val="both"/>
              <w:rPr>
                <w:rFonts w:eastAsia="Calibri"/>
                <w:sz w:val="20"/>
                <w:lang w:val="fr-CA"/>
              </w:rPr>
            </w:pPr>
          </w:p>
          <w:p w:rsidR="0038676D" w:rsidRDefault="0038676D" w:rsidP="00D77551">
            <w:pPr>
              <w:jc w:val="both"/>
              <w:rPr>
                <w:rFonts w:eastAsia="Calibri"/>
                <w:sz w:val="20"/>
                <w:lang w:val="fr-CA"/>
              </w:rPr>
            </w:pPr>
          </w:p>
          <w:p w:rsidR="0038676D" w:rsidRDefault="0038676D" w:rsidP="00D77551">
            <w:pPr>
              <w:jc w:val="both"/>
              <w:rPr>
                <w:rFonts w:eastAsia="Calibri"/>
                <w:sz w:val="20"/>
                <w:lang w:val="fr-CA"/>
              </w:rPr>
            </w:pPr>
          </w:p>
          <w:p w:rsidR="0038676D" w:rsidRPr="00316127" w:rsidRDefault="0038676D" w:rsidP="00D77551">
            <w:pPr>
              <w:jc w:val="both"/>
              <w:rPr>
                <w:rFonts w:eastAsia="Calibri"/>
                <w:sz w:val="20"/>
                <w:lang w:val="fr-CA"/>
              </w:rPr>
            </w:pPr>
          </w:p>
        </w:tc>
        <w:tc>
          <w:tcPr>
            <w:tcW w:w="2330" w:type="pct"/>
          </w:tcPr>
          <w:p w:rsidR="00E42D2B" w:rsidRPr="00316127" w:rsidRDefault="00E42D2B" w:rsidP="00D77551">
            <w:pPr>
              <w:jc w:val="both"/>
              <w:rPr>
                <w:rFonts w:eastAsia="Calibri"/>
                <w:sz w:val="20"/>
                <w:lang w:val="fr-CA"/>
              </w:rPr>
            </w:pPr>
            <w:r w:rsidRPr="00316127">
              <w:rPr>
                <w:rFonts w:eastAsia="Calibri"/>
                <w:sz w:val="20"/>
                <w:lang w:val="fr-CA"/>
              </w:rPr>
              <w:t>Appel rejeté</w:t>
            </w:r>
          </w:p>
          <w:p w:rsidR="00E42D2B" w:rsidRPr="00316127" w:rsidRDefault="00E42D2B" w:rsidP="00D77551">
            <w:pPr>
              <w:jc w:val="both"/>
              <w:rPr>
                <w:rFonts w:eastAsia="Calibri"/>
                <w:sz w:val="20"/>
                <w:lang w:val="fr-CA"/>
              </w:rPr>
            </w:pPr>
          </w:p>
        </w:tc>
      </w:tr>
      <w:tr w:rsidR="00E42D2B" w:rsidRPr="00316127" w:rsidTr="00D77551">
        <w:tc>
          <w:tcPr>
            <w:tcW w:w="2427" w:type="pct"/>
          </w:tcPr>
          <w:p w:rsidR="00E42D2B" w:rsidRPr="00316127" w:rsidRDefault="00E42D2B" w:rsidP="00D77551">
            <w:pPr>
              <w:jc w:val="both"/>
              <w:rPr>
                <w:rFonts w:eastAsia="Calibri"/>
                <w:sz w:val="20"/>
                <w:lang w:val="fr-CA"/>
              </w:rPr>
            </w:pPr>
            <w:r w:rsidRPr="00316127">
              <w:rPr>
                <w:rFonts w:eastAsia="Calibri"/>
                <w:sz w:val="20"/>
                <w:lang w:val="fr-CA"/>
              </w:rPr>
              <w:t>16 septembre 2010</w:t>
            </w:r>
          </w:p>
          <w:p w:rsidR="00E42D2B" w:rsidRPr="00316127" w:rsidRDefault="00E42D2B" w:rsidP="00D77551">
            <w:pPr>
              <w:jc w:val="both"/>
              <w:rPr>
                <w:rFonts w:eastAsia="Calibri"/>
                <w:sz w:val="20"/>
                <w:lang w:val="fr-CA"/>
              </w:rPr>
            </w:pPr>
            <w:r w:rsidRPr="00316127">
              <w:rPr>
                <w:rFonts w:eastAsia="Calibri"/>
                <w:sz w:val="20"/>
                <w:lang w:val="fr-CA"/>
              </w:rPr>
              <w:t>Cour suprême du Canada</w:t>
            </w:r>
          </w:p>
        </w:tc>
        <w:tc>
          <w:tcPr>
            <w:tcW w:w="243" w:type="pct"/>
          </w:tcPr>
          <w:p w:rsidR="00E42D2B" w:rsidRPr="00316127" w:rsidRDefault="00E42D2B" w:rsidP="00D77551">
            <w:pPr>
              <w:jc w:val="both"/>
              <w:rPr>
                <w:rFonts w:eastAsia="Calibri"/>
                <w:sz w:val="20"/>
                <w:lang w:val="fr-CA"/>
              </w:rPr>
            </w:pPr>
          </w:p>
        </w:tc>
        <w:tc>
          <w:tcPr>
            <w:tcW w:w="2330" w:type="pct"/>
          </w:tcPr>
          <w:p w:rsidR="00E42D2B" w:rsidRPr="00316127" w:rsidRDefault="00E42D2B" w:rsidP="00D77551">
            <w:pPr>
              <w:jc w:val="both"/>
              <w:rPr>
                <w:rFonts w:eastAsia="Calibri"/>
                <w:sz w:val="20"/>
                <w:lang w:val="fr-CA"/>
              </w:rPr>
            </w:pPr>
            <w:r w:rsidRPr="00316127">
              <w:rPr>
                <w:rFonts w:eastAsia="Calibri"/>
                <w:sz w:val="20"/>
                <w:lang w:val="fr-CA"/>
              </w:rPr>
              <w:t>Demande d’autorisation d’appel, déposée</w:t>
            </w:r>
          </w:p>
          <w:p w:rsidR="00E42D2B" w:rsidRPr="00316127" w:rsidRDefault="00E42D2B" w:rsidP="00D77551">
            <w:pPr>
              <w:jc w:val="both"/>
              <w:rPr>
                <w:rFonts w:eastAsia="Calibri"/>
                <w:sz w:val="20"/>
                <w:lang w:val="fr-CA"/>
              </w:rPr>
            </w:pPr>
          </w:p>
        </w:tc>
      </w:tr>
    </w:tbl>
    <w:p w:rsidR="00E01ABF" w:rsidRPr="00E01ABF" w:rsidRDefault="00E01ABF" w:rsidP="00E01ABF">
      <w:pPr>
        <w:rPr>
          <w:sz w:val="20"/>
          <w:szCs w:val="20"/>
        </w:rPr>
      </w:pPr>
    </w:p>
    <w:p w:rsidR="00E01ABF" w:rsidRDefault="00D56013" w:rsidP="00E01ABF">
      <w:pPr>
        <w:rPr>
          <w:sz w:val="20"/>
          <w:szCs w:val="20"/>
          <w:lang w:val="fr-CA"/>
        </w:rPr>
      </w:pPr>
      <w:r w:rsidRPr="00D56013">
        <w:rPr>
          <w:sz w:val="20"/>
          <w:szCs w:val="20"/>
          <w:lang w:val="fr-CA"/>
        </w:rPr>
        <w:pict>
          <v:rect id="_x0000_i1057" style="width:2in;height:1pt" o:hrpct="0" o:hralign="center" o:hrstd="t" o:hrnoshade="t" o:hr="t" fillcolor="black [3213]" stroked="f"/>
        </w:pict>
      </w:r>
    </w:p>
    <w:p w:rsidR="00E01ABF" w:rsidRDefault="00E01ABF" w:rsidP="008D292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897A37" w:rsidRPr="00850008" w:rsidTr="002E2C77">
        <w:trPr>
          <w:cantSplit/>
        </w:trPr>
        <w:tc>
          <w:tcPr>
            <w:tcW w:w="1458" w:type="dxa"/>
          </w:tcPr>
          <w:p w:rsidR="00897A37" w:rsidRPr="00897A37" w:rsidRDefault="00897A37" w:rsidP="002E2C77">
            <w:pPr>
              <w:rPr>
                <w:sz w:val="20"/>
                <w:szCs w:val="20"/>
              </w:rPr>
            </w:pPr>
            <w:r w:rsidRPr="00897A37">
              <w:rPr>
                <w:rStyle w:val="SCCFileNumberChar"/>
                <w:sz w:val="20"/>
                <w:szCs w:val="20"/>
              </w:rPr>
              <w:t>33775</w:t>
            </w:r>
          </w:p>
          <w:p w:rsidR="00897A37" w:rsidRPr="00897A37" w:rsidRDefault="00897A37" w:rsidP="002E2C77">
            <w:pPr>
              <w:rPr>
                <w:b/>
                <w:sz w:val="20"/>
                <w:szCs w:val="20"/>
                <w:lang w:val="fr-CA"/>
              </w:rPr>
            </w:pPr>
          </w:p>
        </w:tc>
        <w:tc>
          <w:tcPr>
            <w:tcW w:w="8118" w:type="dxa"/>
          </w:tcPr>
          <w:p w:rsidR="00897A37" w:rsidRPr="00897A37" w:rsidRDefault="00897A37" w:rsidP="002E2C77">
            <w:pPr>
              <w:rPr>
                <w:sz w:val="20"/>
                <w:szCs w:val="20"/>
                <w:lang w:val="fr-CA"/>
              </w:rPr>
            </w:pPr>
            <w:r w:rsidRPr="00897A37">
              <w:rPr>
                <w:rStyle w:val="SCCLsocChar"/>
                <w:sz w:val="20"/>
                <w:szCs w:val="20"/>
              </w:rPr>
              <w:t>Sa Majesté la Reine c. Michel Usereau</w:t>
            </w:r>
            <w:r w:rsidRPr="00897A37">
              <w:rPr>
                <w:sz w:val="20"/>
                <w:szCs w:val="20"/>
                <w:lang w:val="fr-CA"/>
              </w:rPr>
              <w:t xml:space="preserve"> (Qc) (Criminelle) (Autorisation)</w:t>
            </w:r>
          </w:p>
          <w:p w:rsidR="00897A37" w:rsidRPr="00897A37" w:rsidRDefault="00897A37" w:rsidP="002E2C77">
            <w:pPr>
              <w:rPr>
                <w:sz w:val="20"/>
                <w:szCs w:val="20"/>
                <w:lang w:val="fr-CA"/>
              </w:rPr>
            </w:pPr>
          </w:p>
        </w:tc>
      </w:tr>
      <w:tr w:rsidR="00897A37" w:rsidRPr="00850008" w:rsidTr="002E2C77">
        <w:trPr>
          <w:cantSplit/>
        </w:trPr>
        <w:tc>
          <w:tcPr>
            <w:tcW w:w="1458" w:type="dxa"/>
          </w:tcPr>
          <w:p w:rsidR="00897A37" w:rsidRPr="00897A37" w:rsidRDefault="00897A37" w:rsidP="002E2C77">
            <w:pPr>
              <w:rPr>
                <w:sz w:val="20"/>
                <w:szCs w:val="20"/>
              </w:rPr>
            </w:pPr>
            <w:r w:rsidRPr="00897A37">
              <w:rPr>
                <w:sz w:val="20"/>
                <w:szCs w:val="20"/>
              </w:rPr>
              <w:t>Coram :</w:t>
            </w:r>
          </w:p>
        </w:tc>
        <w:tc>
          <w:tcPr>
            <w:tcW w:w="8118" w:type="dxa"/>
          </w:tcPr>
          <w:p w:rsidR="00897A37" w:rsidRPr="00897A37" w:rsidRDefault="00897A37" w:rsidP="002E2C77">
            <w:pPr>
              <w:rPr>
                <w:sz w:val="20"/>
                <w:szCs w:val="20"/>
                <w:lang w:val="fr-CA"/>
              </w:rPr>
            </w:pPr>
            <w:r w:rsidRPr="00897A37">
              <w:rPr>
                <w:rStyle w:val="SCCCoramChar"/>
                <w:sz w:val="20"/>
                <w:szCs w:val="20"/>
              </w:rPr>
              <w:t>Les juges LeBel, Deschamps et Charron</w:t>
            </w:r>
          </w:p>
          <w:p w:rsidR="00897A37" w:rsidRPr="00897A37" w:rsidRDefault="00897A37" w:rsidP="002E2C77">
            <w:pPr>
              <w:rPr>
                <w:sz w:val="20"/>
                <w:szCs w:val="20"/>
                <w:u w:val="single"/>
                <w:lang w:val="fr-CA"/>
              </w:rPr>
            </w:pPr>
          </w:p>
        </w:tc>
      </w:tr>
      <w:tr w:rsidR="00897A37" w:rsidRPr="00897A37" w:rsidTr="002E2C77">
        <w:trPr>
          <w:cantSplit/>
        </w:trPr>
        <w:tc>
          <w:tcPr>
            <w:tcW w:w="9576" w:type="dxa"/>
            <w:gridSpan w:val="2"/>
          </w:tcPr>
          <w:p w:rsidR="00897A37" w:rsidRPr="00897A37" w:rsidRDefault="00897A37" w:rsidP="002E2C77">
            <w:pPr>
              <w:pStyle w:val="SCCShortJudgment"/>
              <w:rPr>
                <w:szCs w:val="20"/>
                <w:lang w:val="fr-CA"/>
              </w:rPr>
            </w:pPr>
            <w:r w:rsidRPr="00897A37">
              <w:rPr>
                <w:szCs w:val="20"/>
                <w:lang w:val="fr-CA"/>
              </w:rPr>
              <w:t>La demande d’autorisation d’appel de l’arrêt de la Cour d’appel du Québec (Montréal), numéro 500-10-003320-056, 2010 QCCA 894, daté du 6 mai 2010, est rejetée sans dépens.</w:t>
            </w:r>
          </w:p>
          <w:p w:rsidR="00897A37" w:rsidRPr="00897A37" w:rsidRDefault="00897A37" w:rsidP="002E2C77">
            <w:pPr>
              <w:pStyle w:val="SCCShortJudgment"/>
              <w:ind w:firstLine="0"/>
              <w:rPr>
                <w:szCs w:val="20"/>
                <w:lang w:val="fr-CA"/>
              </w:rPr>
            </w:pPr>
          </w:p>
          <w:p w:rsidR="00897A37" w:rsidRPr="00897A37" w:rsidRDefault="00897A37" w:rsidP="00490728">
            <w:pPr>
              <w:pStyle w:val="SCCShortJudgment"/>
              <w:rPr>
                <w:szCs w:val="20"/>
              </w:rPr>
            </w:pPr>
            <w:r w:rsidRPr="00897A37">
              <w:rPr>
                <w:szCs w:val="20"/>
              </w:rPr>
              <w:t>The application for leave to appeal from the judgment of the Court of Appeal of Quebec (Montréal), Number 500-10-003320-056, 2010 QCCA 894, dated May 6, 2010, is dismissed without costs.</w:t>
            </w:r>
            <w:r w:rsidR="00490728" w:rsidRPr="00897A37">
              <w:rPr>
                <w:szCs w:val="20"/>
              </w:rPr>
              <w:t xml:space="preserve"> </w:t>
            </w:r>
          </w:p>
        </w:tc>
      </w:tr>
    </w:tbl>
    <w:p w:rsidR="00E42D2B" w:rsidRPr="00897A37" w:rsidRDefault="00E42D2B" w:rsidP="00E42D2B">
      <w:pPr>
        <w:rPr>
          <w:sz w:val="20"/>
          <w:szCs w:val="20"/>
        </w:rPr>
      </w:pPr>
    </w:p>
    <w:p w:rsidR="00E42D2B" w:rsidRPr="00E01ABF" w:rsidRDefault="00E42D2B" w:rsidP="00E42D2B">
      <w:pPr>
        <w:rPr>
          <w:sz w:val="20"/>
          <w:szCs w:val="20"/>
          <w:u w:val="single"/>
        </w:rPr>
      </w:pPr>
      <w:r w:rsidRPr="00E01ABF">
        <w:rPr>
          <w:sz w:val="20"/>
          <w:szCs w:val="20"/>
          <w:u w:val="single"/>
        </w:rPr>
        <w:t>CASE SUMMARY</w:t>
      </w:r>
    </w:p>
    <w:p w:rsidR="00E42D2B" w:rsidRDefault="00E42D2B" w:rsidP="00E42D2B">
      <w:pPr>
        <w:rPr>
          <w:sz w:val="20"/>
          <w:szCs w:val="20"/>
        </w:rPr>
      </w:pPr>
    </w:p>
    <w:tbl>
      <w:tblPr>
        <w:tblW w:w="4952" w:type="pct"/>
        <w:tblLayout w:type="fixed"/>
        <w:tblCellMar>
          <w:left w:w="0" w:type="dxa"/>
          <w:bottom w:w="99" w:type="dxa"/>
          <w:right w:w="0" w:type="dxa"/>
        </w:tblCellMar>
        <w:tblLook w:val="04A0"/>
      </w:tblPr>
      <w:tblGrid>
        <w:gridCol w:w="4623"/>
        <w:gridCol w:w="463"/>
        <w:gridCol w:w="4441"/>
      </w:tblGrid>
      <w:tr w:rsidR="00C30817" w:rsidRPr="005577B1" w:rsidTr="00D77551">
        <w:tc>
          <w:tcPr>
            <w:tcW w:w="5000" w:type="pct"/>
            <w:gridSpan w:val="3"/>
          </w:tcPr>
          <w:p w:rsidR="00C30817" w:rsidRPr="005577B1" w:rsidRDefault="00C30817" w:rsidP="00A63AF9">
            <w:pPr>
              <w:jc w:val="both"/>
              <w:rPr>
                <w:rFonts w:eastAsia="Calibri"/>
                <w:sz w:val="20"/>
              </w:rPr>
            </w:pPr>
            <w:r w:rsidRPr="005577B1">
              <w:rPr>
                <w:rFonts w:eastAsia="Calibri"/>
                <w:sz w:val="20"/>
              </w:rPr>
              <w:t>Criminal law – Verdict – Defence – Evidence – Alibi – Charge to jury – Argument – Murder – Whether appeal court can set aside guilty verdict and order new trial despite stating that it does not have all relevant material required to make such order, without this affecting integrity of appeal process – Extent to which Crown’s cross</w:t>
            </w:r>
            <w:r w:rsidRPr="005577B1">
              <w:rPr>
                <w:rFonts w:eastAsia="Calibri"/>
                <w:sz w:val="20"/>
              </w:rPr>
              <w:noBreakHyphen/>
              <w:t>examination and argument can relate to choices made by accused who is late in providing alibi and who tries to explain his lack of cooperation with police investigation – Whether Court of Appeal erred in law in finding Crown’s argument and judge’s charge to jury concerning interest of defence witnesses inappropriate.</w:t>
            </w:r>
          </w:p>
          <w:p w:rsidR="00C30817" w:rsidRPr="005577B1" w:rsidRDefault="00C30817" w:rsidP="00D77551">
            <w:pPr>
              <w:jc w:val="both"/>
              <w:rPr>
                <w:rFonts w:eastAsia="Calibri"/>
                <w:sz w:val="20"/>
              </w:rPr>
            </w:pPr>
          </w:p>
        </w:tc>
      </w:tr>
      <w:tr w:rsidR="00C30817" w:rsidRPr="005577B1" w:rsidTr="00D77551">
        <w:tc>
          <w:tcPr>
            <w:tcW w:w="5000" w:type="pct"/>
            <w:gridSpan w:val="3"/>
          </w:tcPr>
          <w:p w:rsidR="00C30817" w:rsidRPr="005577B1" w:rsidRDefault="00C30817" w:rsidP="00D77551">
            <w:pPr>
              <w:jc w:val="both"/>
              <w:rPr>
                <w:rFonts w:eastAsia="Calibri"/>
                <w:sz w:val="20"/>
              </w:rPr>
            </w:pPr>
            <w:r w:rsidRPr="005577B1">
              <w:rPr>
                <w:rFonts w:eastAsia="Calibri"/>
                <w:sz w:val="20"/>
              </w:rPr>
              <w:t>Mr. Usereau was charged with first degree murder and attempted murder.  The issue at trial was the assailant’s identity.  None of the witnesses who saw the assailant shoot the victims was able to identify him.  Since Usereau and the victim Melkonian knew each other and had once been in competition for a management position at a security firm, the police decided to follow Usereau to obtain a DNA sample.  Samples of Usereau’s DNA were taken from a glass and a straw he had abandoned and were then used to obtain a warrant from a justice authorizing the taking of other bodily substances from him, and the resulting samples were used for forensic DNA analysis.  Usereau’s DNA profile was found on the hood of a jacket seized at the scene of the crime.  Usereau admitted that he owned the jacket but said that it had been stolen from his locker at work.  In defence, Usereau also provided an alibi, namely that, at the time of the murder, he had been spending the evening with his wife on her birthday.</w:t>
            </w:r>
          </w:p>
          <w:p w:rsidR="00C30817" w:rsidRPr="005577B1" w:rsidRDefault="00C30817" w:rsidP="00D77551">
            <w:pPr>
              <w:jc w:val="both"/>
              <w:rPr>
                <w:rFonts w:eastAsia="Calibri"/>
                <w:sz w:val="20"/>
              </w:rPr>
            </w:pPr>
          </w:p>
        </w:tc>
      </w:tr>
      <w:tr w:rsidR="00C30817" w:rsidRPr="005577B1" w:rsidTr="00D77551">
        <w:tc>
          <w:tcPr>
            <w:tcW w:w="2426" w:type="pct"/>
          </w:tcPr>
          <w:p w:rsidR="00C30817" w:rsidRPr="005577B1" w:rsidRDefault="00C30817" w:rsidP="00D77551">
            <w:pPr>
              <w:jc w:val="both"/>
              <w:rPr>
                <w:rFonts w:eastAsia="Calibri"/>
                <w:sz w:val="20"/>
              </w:rPr>
            </w:pPr>
            <w:r w:rsidRPr="005577B1">
              <w:rPr>
                <w:rFonts w:eastAsia="Calibri"/>
                <w:sz w:val="20"/>
              </w:rPr>
              <w:t>October 25, 2005</w:t>
            </w:r>
          </w:p>
          <w:p w:rsidR="00C30817" w:rsidRPr="005577B1" w:rsidRDefault="00C30817" w:rsidP="00D77551">
            <w:pPr>
              <w:jc w:val="both"/>
              <w:rPr>
                <w:rFonts w:eastAsia="Calibri"/>
                <w:sz w:val="20"/>
              </w:rPr>
            </w:pPr>
            <w:r w:rsidRPr="005577B1">
              <w:rPr>
                <w:rFonts w:eastAsia="Calibri"/>
                <w:sz w:val="20"/>
              </w:rPr>
              <w:t>Superior Court</w:t>
            </w:r>
          </w:p>
          <w:p w:rsidR="00C30817" w:rsidRPr="005577B1" w:rsidRDefault="00C30817" w:rsidP="00D77551">
            <w:pPr>
              <w:jc w:val="both"/>
              <w:rPr>
                <w:rFonts w:eastAsia="Calibri"/>
                <w:sz w:val="20"/>
              </w:rPr>
            </w:pPr>
            <w:r w:rsidRPr="005577B1">
              <w:rPr>
                <w:rFonts w:eastAsia="Calibri"/>
                <w:sz w:val="20"/>
              </w:rPr>
              <w:t>Mongeau J.</w:t>
            </w:r>
          </w:p>
          <w:p w:rsidR="00C30817" w:rsidRPr="005577B1" w:rsidRDefault="00C30817" w:rsidP="00D77551">
            <w:pPr>
              <w:jc w:val="both"/>
              <w:rPr>
                <w:rFonts w:eastAsia="Calibri"/>
                <w:sz w:val="20"/>
              </w:rPr>
            </w:pPr>
          </w:p>
        </w:tc>
        <w:tc>
          <w:tcPr>
            <w:tcW w:w="243" w:type="pct"/>
          </w:tcPr>
          <w:p w:rsidR="00C30817" w:rsidRPr="005577B1" w:rsidRDefault="00C30817" w:rsidP="00D77551">
            <w:pPr>
              <w:jc w:val="both"/>
              <w:rPr>
                <w:rFonts w:eastAsia="Calibri"/>
                <w:sz w:val="20"/>
              </w:rPr>
            </w:pPr>
          </w:p>
        </w:tc>
        <w:tc>
          <w:tcPr>
            <w:tcW w:w="2331" w:type="pct"/>
          </w:tcPr>
          <w:p w:rsidR="00C30817" w:rsidRPr="005577B1" w:rsidRDefault="00C30817" w:rsidP="00D77551">
            <w:pPr>
              <w:jc w:val="both"/>
              <w:rPr>
                <w:rFonts w:eastAsia="Calibri"/>
                <w:i/>
                <w:sz w:val="20"/>
              </w:rPr>
            </w:pPr>
            <w:r w:rsidRPr="005577B1">
              <w:rPr>
                <w:rFonts w:eastAsia="Calibri"/>
                <w:sz w:val="20"/>
              </w:rPr>
              <w:t xml:space="preserve">Respondent convicted of first degree murder (s. 235 of </w:t>
            </w:r>
            <w:r w:rsidRPr="005577B1">
              <w:rPr>
                <w:rFonts w:eastAsia="Calibri"/>
                <w:i/>
                <w:sz w:val="20"/>
              </w:rPr>
              <w:t>Criminal Code</w:t>
            </w:r>
            <w:r w:rsidRPr="005577B1">
              <w:rPr>
                <w:rFonts w:eastAsia="Calibri"/>
                <w:sz w:val="20"/>
              </w:rPr>
              <w:t>) and attempted murder (s. 239(1)(</w:t>
            </w:r>
            <w:r w:rsidRPr="005577B1">
              <w:rPr>
                <w:rFonts w:eastAsia="Calibri"/>
                <w:i/>
                <w:sz w:val="20"/>
              </w:rPr>
              <w:t>a</w:t>
            </w:r>
            <w:r w:rsidRPr="005577B1">
              <w:rPr>
                <w:rFonts w:eastAsia="Calibri"/>
                <w:sz w:val="20"/>
              </w:rPr>
              <w:t xml:space="preserve">) of </w:t>
            </w:r>
            <w:r w:rsidRPr="005577B1">
              <w:rPr>
                <w:rFonts w:eastAsia="Calibri"/>
                <w:i/>
                <w:sz w:val="20"/>
              </w:rPr>
              <w:t>Criminal Code</w:t>
            </w:r>
            <w:r w:rsidRPr="005577B1">
              <w:rPr>
                <w:rFonts w:eastAsia="Calibri"/>
                <w:sz w:val="20"/>
              </w:rPr>
              <w:t>)</w:t>
            </w:r>
          </w:p>
          <w:p w:rsidR="00C30817" w:rsidRPr="005577B1" w:rsidRDefault="00C30817" w:rsidP="00D77551">
            <w:pPr>
              <w:jc w:val="both"/>
              <w:rPr>
                <w:rFonts w:eastAsia="Calibri"/>
                <w:sz w:val="20"/>
              </w:rPr>
            </w:pPr>
          </w:p>
        </w:tc>
      </w:tr>
      <w:tr w:rsidR="00C30817" w:rsidRPr="005577B1" w:rsidTr="00D77551">
        <w:tc>
          <w:tcPr>
            <w:tcW w:w="2426" w:type="pct"/>
          </w:tcPr>
          <w:p w:rsidR="00C30817" w:rsidRPr="005577B1" w:rsidRDefault="00C30817" w:rsidP="00D77551">
            <w:pPr>
              <w:jc w:val="both"/>
              <w:rPr>
                <w:rFonts w:eastAsia="Calibri"/>
                <w:sz w:val="20"/>
              </w:rPr>
            </w:pPr>
            <w:r w:rsidRPr="005577B1">
              <w:rPr>
                <w:rFonts w:eastAsia="Calibri"/>
                <w:sz w:val="20"/>
              </w:rPr>
              <w:t>May 6, 2010</w:t>
            </w:r>
          </w:p>
          <w:p w:rsidR="00C30817" w:rsidRPr="005577B1" w:rsidRDefault="00C30817" w:rsidP="00D77551">
            <w:pPr>
              <w:jc w:val="both"/>
              <w:rPr>
                <w:rFonts w:eastAsia="Calibri"/>
                <w:sz w:val="20"/>
              </w:rPr>
            </w:pPr>
            <w:r w:rsidRPr="005577B1">
              <w:rPr>
                <w:rFonts w:eastAsia="Calibri"/>
                <w:sz w:val="20"/>
              </w:rPr>
              <w:t>Quebec Court of Appeal (Montréal)</w:t>
            </w:r>
          </w:p>
          <w:p w:rsidR="00C30817" w:rsidRPr="005577B1" w:rsidRDefault="00C30817" w:rsidP="00D77551">
            <w:pPr>
              <w:jc w:val="both"/>
              <w:rPr>
                <w:rFonts w:eastAsia="Calibri"/>
                <w:sz w:val="20"/>
              </w:rPr>
            </w:pPr>
            <w:r w:rsidRPr="005577B1">
              <w:rPr>
                <w:rFonts w:eastAsia="Calibri"/>
                <w:sz w:val="20"/>
              </w:rPr>
              <w:t>(Dalphond, Hilton and Côté JJ.A.)</w:t>
            </w:r>
          </w:p>
          <w:p w:rsidR="00C30817" w:rsidRPr="005577B1" w:rsidRDefault="00C30817" w:rsidP="00D77551">
            <w:pPr>
              <w:jc w:val="both"/>
              <w:rPr>
                <w:rFonts w:eastAsia="Calibri"/>
                <w:sz w:val="20"/>
              </w:rPr>
            </w:pPr>
            <w:r w:rsidRPr="005577B1">
              <w:rPr>
                <w:rFonts w:eastAsia="Calibri"/>
                <w:sz w:val="20"/>
              </w:rPr>
              <w:t>Neutral citation: 2010 QCCA 894</w:t>
            </w:r>
          </w:p>
          <w:p w:rsidR="00C30817" w:rsidRPr="005577B1" w:rsidRDefault="00C30817" w:rsidP="00D77551">
            <w:pPr>
              <w:jc w:val="both"/>
              <w:rPr>
                <w:rFonts w:eastAsia="Calibri"/>
                <w:sz w:val="20"/>
              </w:rPr>
            </w:pPr>
          </w:p>
        </w:tc>
        <w:tc>
          <w:tcPr>
            <w:tcW w:w="243" w:type="pct"/>
          </w:tcPr>
          <w:p w:rsidR="00C30817" w:rsidRPr="005577B1" w:rsidRDefault="00C30817" w:rsidP="00D77551">
            <w:pPr>
              <w:jc w:val="both"/>
              <w:rPr>
                <w:rFonts w:eastAsia="Calibri"/>
                <w:sz w:val="20"/>
              </w:rPr>
            </w:pPr>
          </w:p>
        </w:tc>
        <w:tc>
          <w:tcPr>
            <w:tcW w:w="2331" w:type="pct"/>
          </w:tcPr>
          <w:p w:rsidR="00C30817" w:rsidRPr="005577B1" w:rsidRDefault="00C30817" w:rsidP="00D77551">
            <w:pPr>
              <w:jc w:val="both"/>
              <w:rPr>
                <w:rFonts w:eastAsia="Calibri"/>
                <w:sz w:val="20"/>
              </w:rPr>
            </w:pPr>
            <w:r w:rsidRPr="005577B1">
              <w:rPr>
                <w:rFonts w:eastAsia="Calibri"/>
                <w:sz w:val="20"/>
              </w:rPr>
              <w:t>Appeal allowed and new trial ordered</w:t>
            </w:r>
          </w:p>
          <w:p w:rsidR="00C30817" w:rsidRPr="005577B1" w:rsidRDefault="00C30817" w:rsidP="00D77551">
            <w:pPr>
              <w:jc w:val="both"/>
              <w:rPr>
                <w:rFonts w:eastAsia="Calibri"/>
                <w:sz w:val="20"/>
              </w:rPr>
            </w:pPr>
          </w:p>
        </w:tc>
      </w:tr>
    </w:tbl>
    <w:p w:rsidR="002E2C77" w:rsidRDefault="002E2C77"/>
    <w:tbl>
      <w:tblPr>
        <w:tblW w:w="4952" w:type="pct"/>
        <w:tblLayout w:type="fixed"/>
        <w:tblCellMar>
          <w:left w:w="0" w:type="dxa"/>
          <w:bottom w:w="99" w:type="dxa"/>
          <w:right w:w="0" w:type="dxa"/>
        </w:tblCellMar>
        <w:tblLook w:val="04A0"/>
      </w:tblPr>
      <w:tblGrid>
        <w:gridCol w:w="4623"/>
        <w:gridCol w:w="463"/>
        <w:gridCol w:w="4441"/>
      </w:tblGrid>
      <w:tr w:rsidR="00C30817" w:rsidRPr="005577B1" w:rsidTr="002E2C77">
        <w:trPr>
          <w:cantSplit/>
        </w:trPr>
        <w:tc>
          <w:tcPr>
            <w:tcW w:w="2426" w:type="pct"/>
          </w:tcPr>
          <w:p w:rsidR="00C30817" w:rsidRPr="005577B1" w:rsidRDefault="00C30817" w:rsidP="00D77551">
            <w:pPr>
              <w:jc w:val="both"/>
              <w:rPr>
                <w:rFonts w:eastAsia="Calibri"/>
                <w:sz w:val="20"/>
              </w:rPr>
            </w:pPr>
            <w:r w:rsidRPr="005577B1">
              <w:rPr>
                <w:rFonts w:eastAsia="Calibri"/>
                <w:sz w:val="20"/>
              </w:rPr>
              <w:lastRenderedPageBreak/>
              <w:t>July 29, 2010</w:t>
            </w:r>
          </w:p>
          <w:p w:rsidR="00C30817" w:rsidRPr="005577B1" w:rsidRDefault="00C30817" w:rsidP="00D77551">
            <w:pPr>
              <w:jc w:val="both"/>
              <w:rPr>
                <w:rFonts w:eastAsia="Calibri"/>
                <w:sz w:val="20"/>
              </w:rPr>
            </w:pPr>
            <w:r w:rsidRPr="005577B1">
              <w:rPr>
                <w:rFonts w:eastAsia="Calibri"/>
                <w:sz w:val="20"/>
              </w:rPr>
              <w:t>Supreme Court of Canada</w:t>
            </w:r>
          </w:p>
        </w:tc>
        <w:tc>
          <w:tcPr>
            <w:tcW w:w="243" w:type="pct"/>
          </w:tcPr>
          <w:p w:rsidR="00C30817" w:rsidRPr="005577B1" w:rsidRDefault="00C30817" w:rsidP="00D77551">
            <w:pPr>
              <w:jc w:val="both"/>
              <w:rPr>
                <w:rFonts w:eastAsia="Calibri"/>
                <w:sz w:val="20"/>
              </w:rPr>
            </w:pPr>
          </w:p>
        </w:tc>
        <w:tc>
          <w:tcPr>
            <w:tcW w:w="2331" w:type="pct"/>
          </w:tcPr>
          <w:p w:rsidR="00C30817" w:rsidRPr="005577B1" w:rsidRDefault="00C30817" w:rsidP="00D77551">
            <w:pPr>
              <w:jc w:val="both"/>
              <w:rPr>
                <w:rFonts w:eastAsia="Calibri"/>
                <w:sz w:val="20"/>
              </w:rPr>
            </w:pPr>
            <w:r w:rsidRPr="005577B1">
              <w:rPr>
                <w:rFonts w:eastAsia="Calibri"/>
                <w:sz w:val="20"/>
              </w:rPr>
              <w:t>Application for leave to appeal filed</w:t>
            </w:r>
          </w:p>
        </w:tc>
      </w:tr>
    </w:tbl>
    <w:p w:rsidR="00E42D2B" w:rsidRPr="00E01ABF" w:rsidRDefault="00E42D2B" w:rsidP="00E42D2B">
      <w:pPr>
        <w:rPr>
          <w:sz w:val="20"/>
          <w:szCs w:val="20"/>
        </w:rPr>
      </w:pPr>
    </w:p>
    <w:p w:rsidR="00E42D2B" w:rsidRPr="00E01ABF" w:rsidRDefault="00D56013" w:rsidP="00E42D2B">
      <w:pPr>
        <w:rPr>
          <w:sz w:val="20"/>
          <w:szCs w:val="20"/>
        </w:rPr>
      </w:pPr>
      <w:r w:rsidRPr="00D56013">
        <w:rPr>
          <w:sz w:val="20"/>
          <w:szCs w:val="20"/>
          <w:lang w:val="fr-CA"/>
        </w:rPr>
        <w:pict>
          <v:rect id="_x0000_i1058" style="width:2in;height:1pt" o:hrpct="0" o:hralign="center" o:hrstd="t" o:hrnoshade="t" o:hr="t" fillcolor="black [3213]" stroked="f"/>
        </w:pict>
      </w:r>
    </w:p>
    <w:p w:rsidR="00490728" w:rsidRDefault="00490728">
      <w:pPr>
        <w:rPr>
          <w:sz w:val="20"/>
          <w:szCs w:val="20"/>
          <w:u w:val="single"/>
        </w:rPr>
      </w:pPr>
    </w:p>
    <w:p w:rsidR="00E42D2B" w:rsidRPr="00E01ABF" w:rsidRDefault="00E42D2B" w:rsidP="00E42D2B">
      <w:pPr>
        <w:rPr>
          <w:sz w:val="20"/>
          <w:szCs w:val="20"/>
          <w:u w:val="single"/>
        </w:rPr>
      </w:pPr>
      <w:r w:rsidRPr="00E01ABF">
        <w:rPr>
          <w:sz w:val="20"/>
          <w:szCs w:val="20"/>
          <w:u w:val="single"/>
        </w:rPr>
        <w:t>RÉSUMÉ DE L’AFFAIRE</w:t>
      </w:r>
    </w:p>
    <w:p w:rsidR="00E42D2B" w:rsidRDefault="00E42D2B" w:rsidP="00E42D2B">
      <w:pPr>
        <w:rPr>
          <w:sz w:val="20"/>
          <w:szCs w:val="20"/>
        </w:rPr>
      </w:pPr>
    </w:p>
    <w:tbl>
      <w:tblPr>
        <w:tblW w:w="4952" w:type="pct"/>
        <w:tblLayout w:type="fixed"/>
        <w:tblCellMar>
          <w:left w:w="0" w:type="dxa"/>
          <w:bottom w:w="99" w:type="dxa"/>
          <w:right w:w="0" w:type="dxa"/>
        </w:tblCellMar>
        <w:tblLook w:val="04A0"/>
      </w:tblPr>
      <w:tblGrid>
        <w:gridCol w:w="4623"/>
        <w:gridCol w:w="463"/>
        <w:gridCol w:w="4441"/>
      </w:tblGrid>
      <w:tr w:rsidR="00C30817" w:rsidRPr="00850008" w:rsidTr="00D77551">
        <w:tc>
          <w:tcPr>
            <w:tcW w:w="5000" w:type="pct"/>
            <w:gridSpan w:val="3"/>
          </w:tcPr>
          <w:p w:rsidR="00C30817" w:rsidRPr="005577B1" w:rsidRDefault="00C30817" w:rsidP="00A63AF9">
            <w:pPr>
              <w:jc w:val="both"/>
              <w:rPr>
                <w:rFonts w:eastAsia="Calibri"/>
                <w:sz w:val="20"/>
                <w:lang w:val="fr-CA"/>
              </w:rPr>
            </w:pPr>
            <w:r w:rsidRPr="005577B1">
              <w:rPr>
                <w:rFonts w:eastAsia="Calibri"/>
                <w:sz w:val="20"/>
                <w:lang w:val="fr-CA"/>
              </w:rPr>
              <w:t>Droit criminel – Verdict – Défense – Preuve - Alibi – Exposé au jury – Plaidoirie – Meurtre - Une cour d’appel peut-elle annuler un verdict de culpabilité et ordonner un nouveau procès alors qu’elle déclare ne pas disposer de l’ensemble du matériel pertinent et nécessaire au prononcé d’une telle ordonnance, sans que l’intégrité du processus d’appel en soit affectée? - Dans quelle mesure le contre-interrogatoire et la plaidoirie du ministère public peuvent ils porter sur les choix faits par un accusé qui fait valoir tardivement un alibi et cherche à expliquer son absence de collaboration à l’enquête policière?- La Cour d’appel a-t-elle erré en droit en considérant inadéquates la plaidoirie du ministère public et les directives du juge au jury traitant de l’intérêt des témoins de la défense?</w:t>
            </w:r>
          </w:p>
          <w:p w:rsidR="00C30817" w:rsidRPr="005577B1" w:rsidRDefault="00C30817" w:rsidP="00D77551">
            <w:pPr>
              <w:jc w:val="both"/>
              <w:rPr>
                <w:rFonts w:eastAsia="Calibri"/>
                <w:sz w:val="20"/>
                <w:lang w:val="fr-CA"/>
              </w:rPr>
            </w:pPr>
          </w:p>
        </w:tc>
      </w:tr>
      <w:tr w:rsidR="00C30817" w:rsidRPr="00850008" w:rsidTr="00D77551">
        <w:tc>
          <w:tcPr>
            <w:tcW w:w="5000" w:type="pct"/>
            <w:gridSpan w:val="3"/>
          </w:tcPr>
          <w:p w:rsidR="00C30817" w:rsidRPr="005577B1" w:rsidRDefault="00C30817" w:rsidP="00D77551">
            <w:pPr>
              <w:jc w:val="both"/>
              <w:rPr>
                <w:rFonts w:eastAsia="Calibri"/>
                <w:sz w:val="20"/>
                <w:lang w:val="fr-CA"/>
              </w:rPr>
            </w:pPr>
            <w:r w:rsidRPr="005577B1">
              <w:rPr>
                <w:rFonts w:eastAsia="Calibri"/>
                <w:sz w:val="20"/>
                <w:lang w:val="fr-CA"/>
              </w:rPr>
              <w:t>M. Usereau est accusé de meurtre au premier degré et de tentative de meurtre. Au procès l’identité de l’agresseur est la question en litige. Aucun  des témoins qui ont aperçu l’agresseur tirer les victimes n’est  en mesure de l’identifier. Puisque Usereau et la victime Melkonian se connaissaient et se sont trouvés à un moment donné en compétition pour un poste de gérant à une compagnie de sécurité,  la police décide de suivre Usereau afin d’obtenir un échantillon d’ADN. Les prélèvements d’ADN de Usereau sur un verre et une paille abandonnés ont mené, par la suite, à l’obtention d’un mandat d’un juge de paix, autorisant le prélèvement d’autres substances corporelles sur sa personne, et ses prélèvements ont servis ont servi à l’analyse génétique de Usereau, Dans le capuchon de manteau saisi sur la scène du crime, se retrouve le profit génétique de Usereau. Ce dernier admet être le propriétaire du manteau, mais affirme se l’être fait voler dans son casier à l’ouvrage. En défense, Usereau présente également un alibi, soit, qu’au moment du meurtre il passait la soirée avec sa conjointe dont c’était l’anniversaire.</w:t>
            </w:r>
          </w:p>
          <w:p w:rsidR="00C30817" w:rsidRPr="005577B1" w:rsidRDefault="00C30817" w:rsidP="00D77551">
            <w:pPr>
              <w:jc w:val="both"/>
              <w:rPr>
                <w:rFonts w:eastAsia="Calibri"/>
                <w:sz w:val="20"/>
                <w:lang w:val="fr-CA"/>
              </w:rPr>
            </w:pPr>
          </w:p>
        </w:tc>
      </w:tr>
      <w:tr w:rsidR="00C30817" w:rsidRPr="00CD7923" w:rsidTr="00D77551">
        <w:tc>
          <w:tcPr>
            <w:tcW w:w="2426" w:type="pct"/>
          </w:tcPr>
          <w:p w:rsidR="00C30817" w:rsidRPr="005577B1" w:rsidRDefault="00C30817" w:rsidP="00D77551">
            <w:pPr>
              <w:jc w:val="both"/>
              <w:rPr>
                <w:rFonts w:eastAsia="Calibri"/>
                <w:sz w:val="20"/>
                <w:lang w:val="fr-CA"/>
              </w:rPr>
            </w:pPr>
            <w:r w:rsidRPr="005577B1">
              <w:rPr>
                <w:rFonts w:eastAsia="Calibri"/>
                <w:sz w:val="20"/>
                <w:lang w:val="fr-CA"/>
              </w:rPr>
              <w:t>Le 25 octobre 2005</w:t>
            </w:r>
          </w:p>
          <w:p w:rsidR="00C30817" w:rsidRPr="005577B1" w:rsidRDefault="00C30817" w:rsidP="00D77551">
            <w:pPr>
              <w:jc w:val="both"/>
              <w:rPr>
                <w:rFonts w:eastAsia="Calibri"/>
                <w:sz w:val="20"/>
                <w:lang w:val="fr-CA"/>
              </w:rPr>
            </w:pPr>
            <w:r w:rsidRPr="005577B1">
              <w:rPr>
                <w:rFonts w:eastAsia="Calibri"/>
                <w:sz w:val="20"/>
                <w:lang w:val="fr-CA"/>
              </w:rPr>
              <w:t>Cour supérieure</w:t>
            </w:r>
          </w:p>
          <w:p w:rsidR="00C30817" w:rsidRPr="005577B1" w:rsidRDefault="00C30817" w:rsidP="00D77551">
            <w:pPr>
              <w:jc w:val="both"/>
              <w:rPr>
                <w:rFonts w:eastAsia="Calibri"/>
                <w:sz w:val="20"/>
                <w:lang w:val="fr-CA"/>
              </w:rPr>
            </w:pPr>
            <w:r w:rsidRPr="005577B1">
              <w:rPr>
                <w:rFonts w:eastAsia="Calibri"/>
                <w:sz w:val="20"/>
                <w:lang w:val="fr-CA"/>
              </w:rPr>
              <w:t>Le juge Mongeau</w:t>
            </w:r>
          </w:p>
          <w:p w:rsidR="00C30817" w:rsidRPr="005577B1" w:rsidRDefault="00C30817" w:rsidP="00D77551">
            <w:pPr>
              <w:jc w:val="both"/>
              <w:rPr>
                <w:rFonts w:eastAsia="Calibri"/>
                <w:sz w:val="20"/>
                <w:lang w:val="fr-CA"/>
              </w:rPr>
            </w:pPr>
          </w:p>
        </w:tc>
        <w:tc>
          <w:tcPr>
            <w:tcW w:w="243" w:type="pct"/>
          </w:tcPr>
          <w:p w:rsidR="00C30817" w:rsidRPr="005577B1" w:rsidRDefault="00C30817" w:rsidP="00D77551">
            <w:pPr>
              <w:jc w:val="both"/>
              <w:rPr>
                <w:rFonts w:eastAsia="Calibri"/>
                <w:sz w:val="20"/>
                <w:lang w:val="fr-CA"/>
              </w:rPr>
            </w:pPr>
          </w:p>
        </w:tc>
        <w:tc>
          <w:tcPr>
            <w:tcW w:w="2331" w:type="pct"/>
          </w:tcPr>
          <w:p w:rsidR="00C30817" w:rsidRPr="005577B1" w:rsidRDefault="00C30817" w:rsidP="00D77551">
            <w:pPr>
              <w:jc w:val="both"/>
              <w:rPr>
                <w:rFonts w:eastAsia="Calibri"/>
                <w:i/>
                <w:sz w:val="20"/>
                <w:lang w:val="fr-CA"/>
              </w:rPr>
            </w:pPr>
            <w:r w:rsidRPr="005577B1">
              <w:rPr>
                <w:rFonts w:eastAsia="Calibri"/>
                <w:sz w:val="20"/>
                <w:lang w:val="fr-CA"/>
              </w:rPr>
              <w:t xml:space="preserve">Déclaration de culpabilité : meurtre au premier degré (art. 235 du </w:t>
            </w:r>
            <w:r w:rsidRPr="005577B1">
              <w:rPr>
                <w:rFonts w:eastAsia="Calibri"/>
                <w:i/>
                <w:sz w:val="20"/>
                <w:lang w:val="fr-CA"/>
              </w:rPr>
              <w:t>Code criminel</w:t>
            </w:r>
            <w:r w:rsidRPr="005577B1">
              <w:rPr>
                <w:rFonts w:eastAsia="Calibri"/>
                <w:sz w:val="20"/>
                <w:lang w:val="fr-CA"/>
              </w:rPr>
              <w:t xml:space="preserve">) et tentative de meurtre (art. 239(1)a) du </w:t>
            </w:r>
            <w:r w:rsidRPr="005577B1">
              <w:rPr>
                <w:rFonts w:eastAsia="Calibri"/>
                <w:i/>
                <w:sz w:val="20"/>
                <w:lang w:val="fr-CA"/>
              </w:rPr>
              <w:t>Code criminel</w:t>
            </w:r>
          </w:p>
          <w:p w:rsidR="00C30817" w:rsidRPr="005577B1" w:rsidRDefault="00C30817" w:rsidP="00D77551">
            <w:pPr>
              <w:jc w:val="both"/>
              <w:rPr>
                <w:rFonts w:eastAsia="Calibri"/>
                <w:sz w:val="20"/>
                <w:lang w:val="fr-CA"/>
              </w:rPr>
            </w:pPr>
          </w:p>
        </w:tc>
      </w:tr>
      <w:tr w:rsidR="00C30817" w:rsidRPr="005577B1" w:rsidTr="00D77551">
        <w:tc>
          <w:tcPr>
            <w:tcW w:w="2426" w:type="pct"/>
          </w:tcPr>
          <w:p w:rsidR="00C30817" w:rsidRPr="005577B1" w:rsidRDefault="00C30817" w:rsidP="00D77551">
            <w:pPr>
              <w:jc w:val="both"/>
              <w:rPr>
                <w:rFonts w:eastAsia="Calibri"/>
                <w:sz w:val="20"/>
                <w:lang w:val="fr-CA"/>
              </w:rPr>
            </w:pPr>
            <w:r w:rsidRPr="005577B1">
              <w:rPr>
                <w:rFonts w:eastAsia="Calibri"/>
                <w:sz w:val="20"/>
                <w:lang w:val="fr-CA"/>
              </w:rPr>
              <w:t>Le 6 mai 2010</w:t>
            </w:r>
          </w:p>
          <w:p w:rsidR="00C30817" w:rsidRPr="005577B1" w:rsidRDefault="00C30817" w:rsidP="00D77551">
            <w:pPr>
              <w:jc w:val="both"/>
              <w:rPr>
                <w:rFonts w:eastAsia="Calibri"/>
                <w:sz w:val="20"/>
                <w:lang w:val="fr-CA"/>
              </w:rPr>
            </w:pPr>
            <w:r w:rsidRPr="005577B1">
              <w:rPr>
                <w:rFonts w:eastAsia="Calibri"/>
                <w:sz w:val="20"/>
                <w:lang w:val="fr-CA"/>
              </w:rPr>
              <w:t>Cour d’appel du Québec (Montréal)</w:t>
            </w:r>
          </w:p>
          <w:p w:rsidR="00C30817" w:rsidRPr="005577B1" w:rsidRDefault="00C30817" w:rsidP="00D77551">
            <w:pPr>
              <w:jc w:val="both"/>
              <w:rPr>
                <w:rFonts w:eastAsia="Calibri"/>
                <w:sz w:val="20"/>
                <w:lang w:val="fr-CA"/>
              </w:rPr>
            </w:pPr>
            <w:r w:rsidRPr="005577B1">
              <w:rPr>
                <w:rFonts w:eastAsia="Calibri"/>
                <w:sz w:val="20"/>
                <w:lang w:val="fr-CA"/>
              </w:rPr>
              <w:t>(Les juges Dalphond, Hilton et Côté)</w:t>
            </w:r>
          </w:p>
          <w:p w:rsidR="00C30817" w:rsidRPr="005577B1" w:rsidRDefault="00C30817" w:rsidP="00D77551">
            <w:pPr>
              <w:jc w:val="both"/>
              <w:rPr>
                <w:rFonts w:eastAsia="Calibri"/>
                <w:sz w:val="20"/>
                <w:lang w:val="fr-CA"/>
              </w:rPr>
            </w:pPr>
            <w:r w:rsidRPr="005577B1">
              <w:rPr>
                <w:rFonts w:eastAsia="Calibri"/>
                <w:sz w:val="20"/>
                <w:lang w:val="fr-CA"/>
              </w:rPr>
              <w:t>Référence neutre :2010 QCCA 894</w:t>
            </w:r>
          </w:p>
          <w:p w:rsidR="00C30817" w:rsidRPr="005577B1" w:rsidRDefault="00C30817" w:rsidP="00D77551">
            <w:pPr>
              <w:jc w:val="both"/>
              <w:rPr>
                <w:rFonts w:eastAsia="Calibri"/>
                <w:sz w:val="20"/>
                <w:lang w:val="fr-CA"/>
              </w:rPr>
            </w:pPr>
          </w:p>
        </w:tc>
        <w:tc>
          <w:tcPr>
            <w:tcW w:w="243" w:type="pct"/>
          </w:tcPr>
          <w:p w:rsidR="00C30817" w:rsidRPr="005577B1" w:rsidRDefault="00C30817" w:rsidP="00D77551">
            <w:pPr>
              <w:jc w:val="both"/>
              <w:rPr>
                <w:rFonts w:eastAsia="Calibri"/>
                <w:sz w:val="20"/>
                <w:lang w:val="fr-CA"/>
              </w:rPr>
            </w:pPr>
          </w:p>
        </w:tc>
        <w:tc>
          <w:tcPr>
            <w:tcW w:w="2331" w:type="pct"/>
          </w:tcPr>
          <w:p w:rsidR="00C30817" w:rsidRPr="005577B1" w:rsidRDefault="00C30817" w:rsidP="00D77551">
            <w:pPr>
              <w:jc w:val="both"/>
              <w:rPr>
                <w:rFonts w:eastAsia="Calibri"/>
                <w:sz w:val="20"/>
                <w:lang w:val="fr-CA"/>
              </w:rPr>
            </w:pPr>
            <w:r w:rsidRPr="005577B1">
              <w:rPr>
                <w:rFonts w:eastAsia="Calibri"/>
                <w:sz w:val="20"/>
                <w:lang w:val="fr-CA"/>
              </w:rPr>
              <w:t>Appel accueilli : nouveau procès ordonné</w:t>
            </w:r>
          </w:p>
          <w:p w:rsidR="00C30817" w:rsidRPr="005577B1" w:rsidRDefault="00C30817" w:rsidP="00D77551">
            <w:pPr>
              <w:jc w:val="both"/>
              <w:rPr>
                <w:rFonts w:eastAsia="Calibri"/>
                <w:sz w:val="20"/>
                <w:lang w:val="fr-CA"/>
              </w:rPr>
            </w:pPr>
          </w:p>
        </w:tc>
      </w:tr>
      <w:tr w:rsidR="00C30817" w:rsidRPr="005577B1" w:rsidTr="00D77551">
        <w:tc>
          <w:tcPr>
            <w:tcW w:w="2426" w:type="pct"/>
          </w:tcPr>
          <w:p w:rsidR="00C30817" w:rsidRPr="005577B1" w:rsidRDefault="00C30817" w:rsidP="00D77551">
            <w:pPr>
              <w:jc w:val="both"/>
              <w:rPr>
                <w:rFonts w:eastAsia="Calibri"/>
                <w:sz w:val="20"/>
                <w:lang w:val="fr-CA"/>
              </w:rPr>
            </w:pPr>
            <w:r w:rsidRPr="005577B1">
              <w:rPr>
                <w:rFonts w:eastAsia="Calibri"/>
                <w:sz w:val="20"/>
                <w:lang w:val="fr-CA"/>
              </w:rPr>
              <w:t>Le 29 juillet 2010</w:t>
            </w:r>
          </w:p>
          <w:p w:rsidR="00C30817" w:rsidRPr="005577B1" w:rsidRDefault="00C30817" w:rsidP="00D77551">
            <w:pPr>
              <w:jc w:val="both"/>
              <w:rPr>
                <w:rFonts w:eastAsia="Calibri"/>
                <w:sz w:val="20"/>
                <w:lang w:val="fr-CA"/>
              </w:rPr>
            </w:pPr>
            <w:r w:rsidRPr="005577B1">
              <w:rPr>
                <w:rFonts w:eastAsia="Calibri"/>
                <w:sz w:val="20"/>
                <w:lang w:val="fr-CA"/>
              </w:rPr>
              <w:t>Cour suprême du Canada</w:t>
            </w:r>
          </w:p>
        </w:tc>
        <w:tc>
          <w:tcPr>
            <w:tcW w:w="243" w:type="pct"/>
          </w:tcPr>
          <w:p w:rsidR="00C30817" w:rsidRPr="005577B1" w:rsidRDefault="00C30817" w:rsidP="00D77551">
            <w:pPr>
              <w:jc w:val="both"/>
              <w:rPr>
                <w:rFonts w:eastAsia="Calibri"/>
                <w:sz w:val="20"/>
                <w:lang w:val="fr-CA"/>
              </w:rPr>
            </w:pPr>
          </w:p>
        </w:tc>
        <w:tc>
          <w:tcPr>
            <w:tcW w:w="2331" w:type="pct"/>
          </w:tcPr>
          <w:p w:rsidR="00C30817" w:rsidRPr="005577B1" w:rsidRDefault="00C30817" w:rsidP="00D77551">
            <w:pPr>
              <w:jc w:val="both"/>
              <w:rPr>
                <w:rFonts w:eastAsia="Calibri"/>
                <w:sz w:val="20"/>
                <w:lang w:val="fr-CA"/>
              </w:rPr>
            </w:pPr>
            <w:r w:rsidRPr="005577B1">
              <w:rPr>
                <w:rFonts w:eastAsia="Calibri"/>
                <w:sz w:val="20"/>
                <w:lang w:val="fr-CA"/>
              </w:rPr>
              <w:t>Demande d'autorisation d'appel déposée</w:t>
            </w:r>
          </w:p>
          <w:p w:rsidR="00C30817" w:rsidRPr="005577B1" w:rsidRDefault="00C30817" w:rsidP="00D77551">
            <w:pPr>
              <w:jc w:val="both"/>
              <w:rPr>
                <w:rFonts w:eastAsia="Calibri"/>
                <w:sz w:val="20"/>
                <w:lang w:val="fr-CA"/>
              </w:rPr>
            </w:pPr>
          </w:p>
        </w:tc>
      </w:tr>
    </w:tbl>
    <w:p w:rsidR="00E42D2B" w:rsidRPr="00E01ABF" w:rsidRDefault="00E42D2B" w:rsidP="00E42D2B">
      <w:pPr>
        <w:rPr>
          <w:sz w:val="20"/>
          <w:szCs w:val="20"/>
        </w:rPr>
      </w:pPr>
    </w:p>
    <w:p w:rsidR="00E42D2B" w:rsidRDefault="00D56013" w:rsidP="00E42D2B">
      <w:pPr>
        <w:rPr>
          <w:sz w:val="20"/>
          <w:szCs w:val="20"/>
          <w:lang w:val="fr-CA"/>
        </w:rPr>
      </w:pPr>
      <w:r w:rsidRPr="00D56013">
        <w:rPr>
          <w:sz w:val="20"/>
          <w:szCs w:val="20"/>
          <w:lang w:val="fr-CA"/>
        </w:rPr>
        <w:pict>
          <v:rect id="_x0000_i1059" style="width:2in;height:1pt" o:hrpct="0" o:hralign="center" o:hrstd="t" o:hrnoshade="t" o:hr="t" fillcolor="black [3213]" stroked="f"/>
        </w:pict>
      </w:r>
    </w:p>
    <w:p w:rsidR="00E01ABF" w:rsidRDefault="00E01ABF" w:rsidP="008D292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490728" w:rsidRPr="00490728" w:rsidTr="002E2C77">
        <w:trPr>
          <w:cantSplit/>
        </w:trPr>
        <w:tc>
          <w:tcPr>
            <w:tcW w:w="1458" w:type="dxa"/>
          </w:tcPr>
          <w:p w:rsidR="00490728" w:rsidRPr="00490728" w:rsidRDefault="00490728" w:rsidP="002E2C77">
            <w:pPr>
              <w:rPr>
                <w:sz w:val="20"/>
                <w:szCs w:val="20"/>
              </w:rPr>
            </w:pPr>
            <w:r w:rsidRPr="00490728">
              <w:rPr>
                <w:rStyle w:val="SCCFileNumberChar"/>
                <w:sz w:val="20"/>
                <w:szCs w:val="20"/>
              </w:rPr>
              <w:t>33788</w:t>
            </w:r>
          </w:p>
          <w:p w:rsidR="00490728" w:rsidRPr="00490728" w:rsidRDefault="00490728" w:rsidP="002E2C77">
            <w:pPr>
              <w:rPr>
                <w:b/>
                <w:sz w:val="20"/>
                <w:szCs w:val="20"/>
                <w:lang w:val="fr-CA"/>
              </w:rPr>
            </w:pPr>
          </w:p>
        </w:tc>
        <w:tc>
          <w:tcPr>
            <w:tcW w:w="8118" w:type="dxa"/>
          </w:tcPr>
          <w:p w:rsidR="00490728" w:rsidRPr="00490728" w:rsidRDefault="00490728" w:rsidP="002E2C77">
            <w:pPr>
              <w:rPr>
                <w:sz w:val="20"/>
                <w:szCs w:val="20"/>
              </w:rPr>
            </w:pPr>
            <w:r w:rsidRPr="00490728">
              <w:rPr>
                <w:rStyle w:val="SCCLsocChar"/>
                <w:sz w:val="20"/>
                <w:szCs w:val="20"/>
              </w:rPr>
              <w:t>Lavery, de Billy, s.e.n.c.r.l. c. Groupe Jean Coutu (PJC) inc.</w:t>
            </w:r>
            <w:r w:rsidRPr="00490728">
              <w:rPr>
                <w:sz w:val="20"/>
                <w:szCs w:val="20"/>
                <w:lang w:val="fr-CA"/>
              </w:rPr>
              <w:t xml:space="preserve"> </w:t>
            </w:r>
            <w:r w:rsidRPr="00490728">
              <w:rPr>
                <w:sz w:val="20"/>
                <w:szCs w:val="20"/>
              </w:rPr>
              <w:t>(Qc) (Civile) (Autorisation)</w:t>
            </w:r>
          </w:p>
          <w:p w:rsidR="00490728" w:rsidRPr="00490728" w:rsidRDefault="00490728" w:rsidP="002E2C77">
            <w:pPr>
              <w:rPr>
                <w:sz w:val="20"/>
                <w:szCs w:val="20"/>
              </w:rPr>
            </w:pPr>
          </w:p>
        </w:tc>
      </w:tr>
      <w:tr w:rsidR="00490728" w:rsidRPr="00850008" w:rsidTr="002E2C77">
        <w:trPr>
          <w:cantSplit/>
        </w:trPr>
        <w:tc>
          <w:tcPr>
            <w:tcW w:w="1458" w:type="dxa"/>
          </w:tcPr>
          <w:p w:rsidR="00490728" w:rsidRPr="00490728" w:rsidRDefault="00490728" w:rsidP="002E2C77">
            <w:pPr>
              <w:rPr>
                <w:sz w:val="20"/>
                <w:szCs w:val="20"/>
              </w:rPr>
            </w:pPr>
            <w:r w:rsidRPr="00490728">
              <w:rPr>
                <w:sz w:val="20"/>
                <w:szCs w:val="20"/>
              </w:rPr>
              <w:t>Coram :</w:t>
            </w:r>
          </w:p>
        </w:tc>
        <w:tc>
          <w:tcPr>
            <w:tcW w:w="8118" w:type="dxa"/>
          </w:tcPr>
          <w:p w:rsidR="00490728" w:rsidRPr="00490728" w:rsidRDefault="00490728" w:rsidP="002E2C77">
            <w:pPr>
              <w:rPr>
                <w:sz w:val="20"/>
                <w:szCs w:val="20"/>
                <w:lang w:val="fr-CA"/>
              </w:rPr>
            </w:pPr>
            <w:r w:rsidRPr="00490728">
              <w:rPr>
                <w:rStyle w:val="SCCCoramChar"/>
                <w:sz w:val="20"/>
                <w:szCs w:val="20"/>
              </w:rPr>
              <w:t>Les juges LeBel, Deschamps et Charron</w:t>
            </w:r>
          </w:p>
          <w:p w:rsidR="00490728" w:rsidRPr="00490728" w:rsidRDefault="00490728" w:rsidP="002E2C77">
            <w:pPr>
              <w:rPr>
                <w:sz w:val="20"/>
                <w:szCs w:val="20"/>
                <w:u w:val="single"/>
                <w:lang w:val="fr-CA"/>
              </w:rPr>
            </w:pPr>
          </w:p>
        </w:tc>
      </w:tr>
      <w:tr w:rsidR="00490728" w:rsidRPr="00490728" w:rsidTr="002E2C77">
        <w:trPr>
          <w:cantSplit/>
        </w:trPr>
        <w:tc>
          <w:tcPr>
            <w:tcW w:w="9576" w:type="dxa"/>
            <w:gridSpan w:val="2"/>
          </w:tcPr>
          <w:p w:rsidR="00490728" w:rsidRPr="00490728" w:rsidRDefault="00490728" w:rsidP="002E2C77">
            <w:pPr>
              <w:pStyle w:val="SCCShortJudgment"/>
              <w:rPr>
                <w:szCs w:val="20"/>
                <w:lang w:val="fr-CA"/>
              </w:rPr>
            </w:pPr>
            <w:r w:rsidRPr="00490728">
              <w:rPr>
                <w:szCs w:val="20"/>
                <w:lang w:val="fr-CA"/>
              </w:rPr>
              <w:t>La demande d’autorisation d’appel de l’arrêt de la Cour d’appel du Québec (Montréal), numéro 500-09-019968-098, 2010 QCCA 937, daté du 12 mai 2010, est rejetée avec dépens.</w:t>
            </w:r>
          </w:p>
          <w:p w:rsidR="00490728" w:rsidRPr="00490728" w:rsidRDefault="00490728" w:rsidP="002E2C77">
            <w:pPr>
              <w:pStyle w:val="SCCShortJudgment"/>
              <w:ind w:firstLine="0"/>
              <w:rPr>
                <w:szCs w:val="20"/>
                <w:lang w:val="fr-CA"/>
              </w:rPr>
            </w:pPr>
          </w:p>
          <w:p w:rsidR="00490728" w:rsidRPr="00490728" w:rsidRDefault="00490728" w:rsidP="00490728">
            <w:pPr>
              <w:pStyle w:val="SCCShortJudgment"/>
              <w:rPr>
                <w:szCs w:val="20"/>
              </w:rPr>
            </w:pPr>
            <w:r w:rsidRPr="00490728">
              <w:rPr>
                <w:szCs w:val="20"/>
              </w:rPr>
              <w:t>The application for leave to appeal from the judgment of the Court of Appeal of Quebec (Montréal), Number 500-09-019968-098, 2010 QCCA 937, dated May 12, 2010, is dismissed with costs.</w:t>
            </w:r>
          </w:p>
        </w:tc>
      </w:tr>
    </w:tbl>
    <w:p w:rsidR="00E42D2B" w:rsidRPr="00490728" w:rsidRDefault="00E42D2B" w:rsidP="00E42D2B">
      <w:pPr>
        <w:rPr>
          <w:sz w:val="20"/>
          <w:szCs w:val="20"/>
        </w:rPr>
      </w:pPr>
    </w:p>
    <w:p w:rsidR="00E42D2B" w:rsidRPr="00E01ABF" w:rsidRDefault="00E42D2B" w:rsidP="00E42D2B">
      <w:pPr>
        <w:rPr>
          <w:sz w:val="20"/>
          <w:szCs w:val="20"/>
          <w:u w:val="single"/>
        </w:rPr>
      </w:pPr>
      <w:r w:rsidRPr="00E01ABF">
        <w:rPr>
          <w:sz w:val="20"/>
          <w:szCs w:val="20"/>
          <w:u w:val="single"/>
        </w:rPr>
        <w:lastRenderedPageBreak/>
        <w:t>CASE SUMMARY</w:t>
      </w:r>
    </w:p>
    <w:p w:rsidR="00E42D2B" w:rsidRDefault="00E42D2B" w:rsidP="00E42D2B">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C30817" w:rsidRPr="005577B1" w:rsidTr="00D77551">
        <w:tc>
          <w:tcPr>
            <w:tcW w:w="5000" w:type="pct"/>
            <w:gridSpan w:val="3"/>
          </w:tcPr>
          <w:p w:rsidR="00C30817" w:rsidRDefault="00C30817" w:rsidP="00D77551">
            <w:pPr>
              <w:jc w:val="both"/>
              <w:rPr>
                <w:rFonts w:eastAsia="Calibri"/>
                <w:sz w:val="20"/>
              </w:rPr>
            </w:pPr>
            <w:r w:rsidRPr="005577B1">
              <w:rPr>
                <w:rFonts w:eastAsia="Calibri"/>
                <w:smallCaps/>
                <w:sz w:val="20"/>
              </w:rPr>
              <w:t>(Sealing Order)</w:t>
            </w:r>
            <w:bookmarkStart w:id="1" w:name="OLE_LINK1"/>
            <w:bookmarkStart w:id="2" w:name="OLE_LINK2"/>
            <w:r w:rsidRPr="001B4005">
              <w:rPr>
                <w:rFonts w:eastAsia="Calibri"/>
                <w:sz w:val="20"/>
              </w:rPr>
              <w:t xml:space="preserve"> </w:t>
            </w:r>
          </w:p>
          <w:p w:rsidR="00C30817" w:rsidRDefault="00C30817" w:rsidP="00D77551">
            <w:pPr>
              <w:jc w:val="both"/>
              <w:rPr>
                <w:rFonts w:eastAsia="Calibri"/>
                <w:sz w:val="20"/>
              </w:rPr>
            </w:pPr>
          </w:p>
          <w:p w:rsidR="00EF43C9" w:rsidRDefault="00C30817" w:rsidP="00D77551">
            <w:pPr>
              <w:jc w:val="both"/>
              <w:rPr>
                <w:rFonts w:eastAsia="Calibri"/>
                <w:sz w:val="20"/>
              </w:rPr>
            </w:pPr>
            <w:r w:rsidRPr="001B4005">
              <w:rPr>
                <w:rFonts w:eastAsia="Calibri"/>
                <w:sz w:val="20"/>
              </w:rPr>
              <w:t>Law of professions – Conflict of interest – Lawyers formerly representing opponent of client of new firm joined by them – Firm disqualified – Whether courts below erred in concluding that presumption of knowledge of confidential information not rebutted – Time when safeguards must be put in place following arrival of new lawyers and extent of such safeguards –Whether lawyer’s obligation of loyalty to client continues indefinitely</w:t>
            </w:r>
            <w:bookmarkEnd w:id="1"/>
            <w:bookmarkEnd w:id="2"/>
            <w:r>
              <w:rPr>
                <w:rFonts w:eastAsia="Calibri"/>
                <w:sz w:val="20"/>
              </w:rPr>
              <w:t>.</w:t>
            </w:r>
          </w:p>
          <w:p w:rsidR="00C30817" w:rsidRPr="001B4005" w:rsidRDefault="00D56013" w:rsidP="00D77551">
            <w:pPr>
              <w:jc w:val="both"/>
              <w:rPr>
                <w:rFonts w:eastAsia="Calibri"/>
                <w:sz w:val="20"/>
              </w:rPr>
            </w:pPr>
            <w:r w:rsidRPr="004E44D2">
              <w:rPr>
                <w:rFonts w:eastAsia="Calibri"/>
                <w:smallCaps/>
                <w:sz w:val="20"/>
              </w:rPr>
              <w:fldChar w:fldCharType="begin"/>
            </w:r>
            <w:r w:rsidR="00C30817" w:rsidRPr="004E44D2">
              <w:rPr>
                <w:rFonts w:eastAsia="Calibri"/>
                <w:smallCaps/>
                <w:sz w:val="20"/>
              </w:rPr>
              <w:instrText xml:space="preserve"> SEQ CHAPTER \h \r 1</w:instrText>
            </w:r>
            <w:r w:rsidRPr="004E44D2">
              <w:rPr>
                <w:rFonts w:eastAsia="Calibri"/>
                <w:smallCaps/>
                <w:sz w:val="20"/>
              </w:rPr>
              <w:fldChar w:fldCharType="end"/>
            </w:r>
          </w:p>
        </w:tc>
      </w:tr>
      <w:tr w:rsidR="00C30817" w:rsidRPr="005577B1" w:rsidTr="00D77551">
        <w:tc>
          <w:tcPr>
            <w:tcW w:w="5000" w:type="pct"/>
            <w:gridSpan w:val="3"/>
          </w:tcPr>
          <w:p w:rsidR="00C30817" w:rsidRPr="005577B1" w:rsidRDefault="00C30817" w:rsidP="00D77551">
            <w:pPr>
              <w:jc w:val="both"/>
              <w:rPr>
                <w:rFonts w:eastAsia="Calibri"/>
                <w:sz w:val="20"/>
              </w:rPr>
            </w:pPr>
            <w:r w:rsidRPr="005577B1">
              <w:rPr>
                <w:rFonts w:eastAsia="Calibri"/>
                <w:sz w:val="20"/>
              </w:rPr>
              <w:t>A pharmacist who was a franchisee of Groupe Jean Coutu, or PJC, accused PJC of forcing him to share profits from the sale of medications through royalty fees payable under their agreement, contrary to the regulations of the professional order; this had led, incidentally, to a disciplinary complaint against the pharmacist.  The pharmacist wanted to have the royalty fee clauses of the franchise agreement declared null and to be reimbursed the royalty fees paid to PJC during the previous few years.  Mr. Frère from Lavery represented him.  Lavery traditionally handled cases for the Ordre des pharmaciens.  Mr. Zigby, Mr. Couture and Mr. Vautour, lawyers now practising at Lavery, had represented PJC continuously while with Desjardins Ducharme, a firm that had been dissolved in 2007.</w:t>
            </w:r>
          </w:p>
          <w:p w:rsidR="00C30817" w:rsidRPr="005577B1" w:rsidRDefault="00C30817" w:rsidP="00D77551">
            <w:pPr>
              <w:jc w:val="both"/>
              <w:rPr>
                <w:rFonts w:eastAsia="Calibri"/>
                <w:sz w:val="20"/>
              </w:rPr>
            </w:pPr>
          </w:p>
        </w:tc>
      </w:tr>
      <w:tr w:rsidR="00C30817" w:rsidRPr="005577B1" w:rsidTr="00D77551">
        <w:tc>
          <w:tcPr>
            <w:tcW w:w="2427" w:type="pct"/>
          </w:tcPr>
          <w:p w:rsidR="00C30817" w:rsidRPr="005577B1" w:rsidRDefault="00C30817" w:rsidP="00D77551">
            <w:pPr>
              <w:jc w:val="both"/>
              <w:rPr>
                <w:rFonts w:eastAsia="Calibri"/>
                <w:sz w:val="20"/>
              </w:rPr>
            </w:pPr>
            <w:r w:rsidRPr="005577B1">
              <w:rPr>
                <w:rFonts w:eastAsia="Calibri"/>
                <w:sz w:val="20"/>
              </w:rPr>
              <w:t>July 31, 2009</w:t>
            </w:r>
          </w:p>
          <w:p w:rsidR="00C30817" w:rsidRPr="005577B1" w:rsidRDefault="00C30817" w:rsidP="00D77551">
            <w:pPr>
              <w:jc w:val="both"/>
              <w:rPr>
                <w:rFonts w:eastAsia="Calibri"/>
                <w:sz w:val="20"/>
              </w:rPr>
            </w:pPr>
            <w:r w:rsidRPr="005577B1">
              <w:rPr>
                <w:rFonts w:eastAsia="Calibri"/>
                <w:sz w:val="20"/>
              </w:rPr>
              <w:t>Quebec Superior Court</w:t>
            </w:r>
          </w:p>
          <w:p w:rsidR="00C30817" w:rsidRPr="005577B1" w:rsidRDefault="00C30817" w:rsidP="00D77551">
            <w:pPr>
              <w:jc w:val="both"/>
              <w:rPr>
                <w:rFonts w:eastAsia="Calibri"/>
                <w:sz w:val="20"/>
              </w:rPr>
            </w:pPr>
            <w:r w:rsidRPr="005577B1">
              <w:rPr>
                <w:rFonts w:eastAsia="Calibri"/>
                <w:sz w:val="20"/>
              </w:rPr>
              <w:t>(Richer J.)</w:t>
            </w:r>
          </w:p>
          <w:p w:rsidR="00C30817" w:rsidRPr="005577B1" w:rsidRDefault="00C30817" w:rsidP="00D77551">
            <w:pPr>
              <w:jc w:val="both"/>
              <w:rPr>
                <w:rFonts w:eastAsia="Calibri"/>
                <w:sz w:val="20"/>
              </w:rPr>
            </w:pPr>
            <w:r w:rsidRPr="005577B1">
              <w:rPr>
                <w:rFonts w:eastAsia="Calibri"/>
                <w:sz w:val="20"/>
              </w:rPr>
              <w:t>Neutral citation: 2009 QCCS 3893</w:t>
            </w:r>
          </w:p>
          <w:p w:rsidR="00C30817" w:rsidRPr="005577B1" w:rsidRDefault="00C30817" w:rsidP="00D77551">
            <w:pPr>
              <w:jc w:val="both"/>
              <w:rPr>
                <w:rFonts w:eastAsia="Calibri"/>
                <w:sz w:val="20"/>
              </w:rPr>
            </w:pPr>
          </w:p>
        </w:tc>
        <w:tc>
          <w:tcPr>
            <w:tcW w:w="243" w:type="pct"/>
          </w:tcPr>
          <w:p w:rsidR="00C30817" w:rsidRPr="005577B1" w:rsidRDefault="00C30817" w:rsidP="00D77551">
            <w:pPr>
              <w:jc w:val="both"/>
              <w:rPr>
                <w:rFonts w:eastAsia="Calibri"/>
                <w:sz w:val="20"/>
              </w:rPr>
            </w:pPr>
          </w:p>
        </w:tc>
        <w:tc>
          <w:tcPr>
            <w:tcW w:w="2330" w:type="pct"/>
          </w:tcPr>
          <w:p w:rsidR="00C30817" w:rsidRPr="005577B1" w:rsidRDefault="00C30817" w:rsidP="00D77551">
            <w:pPr>
              <w:jc w:val="both"/>
              <w:rPr>
                <w:rFonts w:eastAsia="Calibri"/>
                <w:sz w:val="20"/>
              </w:rPr>
            </w:pPr>
            <w:r w:rsidRPr="005577B1">
              <w:rPr>
                <w:rFonts w:eastAsia="Calibri"/>
                <w:sz w:val="20"/>
              </w:rPr>
              <w:t>Respondent’s motion allowed; Applicant firm disqualified from representing pharmacist Quesnel, who was Respondent’s opponent in principal action</w:t>
            </w:r>
          </w:p>
          <w:p w:rsidR="00C30817" w:rsidRPr="005577B1" w:rsidRDefault="00C30817" w:rsidP="00D77551">
            <w:pPr>
              <w:jc w:val="both"/>
              <w:rPr>
                <w:rFonts w:eastAsia="Calibri"/>
                <w:sz w:val="20"/>
              </w:rPr>
            </w:pPr>
          </w:p>
        </w:tc>
      </w:tr>
      <w:tr w:rsidR="00C30817" w:rsidRPr="005577B1" w:rsidTr="00D77551">
        <w:tc>
          <w:tcPr>
            <w:tcW w:w="2427" w:type="pct"/>
          </w:tcPr>
          <w:p w:rsidR="00C30817" w:rsidRPr="005577B1" w:rsidRDefault="00C30817" w:rsidP="00D77551">
            <w:pPr>
              <w:jc w:val="both"/>
              <w:rPr>
                <w:rFonts w:eastAsia="Calibri"/>
                <w:sz w:val="20"/>
              </w:rPr>
            </w:pPr>
            <w:r w:rsidRPr="005577B1">
              <w:rPr>
                <w:rFonts w:eastAsia="Calibri"/>
                <w:sz w:val="20"/>
              </w:rPr>
              <w:t>May 12, 2010</w:t>
            </w:r>
          </w:p>
          <w:p w:rsidR="00C30817" w:rsidRPr="005577B1" w:rsidRDefault="00C30817" w:rsidP="00D77551">
            <w:pPr>
              <w:jc w:val="both"/>
              <w:rPr>
                <w:rFonts w:eastAsia="Calibri"/>
                <w:sz w:val="20"/>
              </w:rPr>
            </w:pPr>
            <w:r w:rsidRPr="005577B1">
              <w:rPr>
                <w:rFonts w:eastAsia="Calibri"/>
                <w:sz w:val="20"/>
              </w:rPr>
              <w:t>Quebec Court of Appeal (Montréal)</w:t>
            </w:r>
          </w:p>
          <w:p w:rsidR="00C30817" w:rsidRPr="005577B1" w:rsidRDefault="00C30817" w:rsidP="00D77551">
            <w:pPr>
              <w:jc w:val="both"/>
              <w:rPr>
                <w:rFonts w:eastAsia="Calibri"/>
                <w:sz w:val="20"/>
              </w:rPr>
            </w:pPr>
            <w:r w:rsidRPr="005577B1">
              <w:rPr>
                <w:rFonts w:eastAsia="Calibri"/>
                <w:sz w:val="20"/>
              </w:rPr>
              <w:t>(Rochon, Dutil and Kasirer JJ.A.)</w:t>
            </w:r>
          </w:p>
          <w:p w:rsidR="00C30817" w:rsidRPr="005577B1" w:rsidRDefault="00C30817" w:rsidP="00D77551">
            <w:pPr>
              <w:jc w:val="both"/>
              <w:rPr>
                <w:rFonts w:eastAsia="Calibri"/>
                <w:sz w:val="20"/>
              </w:rPr>
            </w:pPr>
            <w:r w:rsidRPr="005577B1">
              <w:rPr>
                <w:rFonts w:eastAsia="Calibri"/>
                <w:sz w:val="20"/>
              </w:rPr>
              <w:t>Neutral citation: 2010 QCCA 937</w:t>
            </w:r>
          </w:p>
          <w:p w:rsidR="00C30817" w:rsidRPr="005577B1" w:rsidRDefault="00C30817" w:rsidP="00D77551">
            <w:pPr>
              <w:jc w:val="both"/>
              <w:rPr>
                <w:rFonts w:eastAsia="Calibri"/>
                <w:sz w:val="20"/>
              </w:rPr>
            </w:pPr>
          </w:p>
        </w:tc>
        <w:tc>
          <w:tcPr>
            <w:tcW w:w="243" w:type="pct"/>
          </w:tcPr>
          <w:p w:rsidR="00C30817" w:rsidRPr="005577B1" w:rsidRDefault="00C30817" w:rsidP="00D77551">
            <w:pPr>
              <w:jc w:val="both"/>
              <w:rPr>
                <w:rFonts w:eastAsia="Calibri"/>
                <w:sz w:val="20"/>
              </w:rPr>
            </w:pPr>
          </w:p>
        </w:tc>
        <w:tc>
          <w:tcPr>
            <w:tcW w:w="2330" w:type="pct"/>
          </w:tcPr>
          <w:p w:rsidR="00C30817" w:rsidRPr="005577B1" w:rsidRDefault="00C30817" w:rsidP="00D77551">
            <w:pPr>
              <w:jc w:val="both"/>
              <w:rPr>
                <w:rFonts w:eastAsia="Calibri"/>
                <w:sz w:val="20"/>
              </w:rPr>
            </w:pPr>
            <w:r w:rsidRPr="005577B1">
              <w:rPr>
                <w:rFonts w:eastAsia="Calibri"/>
                <w:sz w:val="20"/>
              </w:rPr>
              <w:t>Appeal dismissed</w:t>
            </w:r>
          </w:p>
          <w:p w:rsidR="00C30817" w:rsidRPr="005577B1" w:rsidRDefault="00C30817" w:rsidP="00D77551">
            <w:pPr>
              <w:jc w:val="both"/>
              <w:rPr>
                <w:rFonts w:eastAsia="Calibri"/>
                <w:sz w:val="20"/>
              </w:rPr>
            </w:pPr>
          </w:p>
        </w:tc>
      </w:tr>
      <w:tr w:rsidR="00C30817" w:rsidRPr="005577B1" w:rsidTr="00D77551">
        <w:tc>
          <w:tcPr>
            <w:tcW w:w="2427" w:type="pct"/>
          </w:tcPr>
          <w:p w:rsidR="00C30817" w:rsidRPr="005577B1" w:rsidRDefault="00C30817" w:rsidP="00D77551">
            <w:pPr>
              <w:jc w:val="both"/>
              <w:rPr>
                <w:rFonts w:eastAsia="Calibri"/>
                <w:sz w:val="20"/>
              </w:rPr>
            </w:pPr>
            <w:r w:rsidRPr="005577B1">
              <w:rPr>
                <w:rFonts w:eastAsia="Calibri"/>
                <w:sz w:val="20"/>
              </w:rPr>
              <w:t>August 9, 2010</w:t>
            </w:r>
          </w:p>
          <w:p w:rsidR="00C30817" w:rsidRPr="005577B1" w:rsidRDefault="00C30817" w:rsidP="00D77551">
            <w:pPr>
              <w:jc w:val="both"/>
              <w:rPr>
                <w:rFonts w:eastAsia="Calibri"/>
                <w:sz w:val="20"/>
              </w:rPr>
            </w:pPr>
            <w:r w:rsidRPr="005577B1">
              <w:rPr>
                <w:rFonts w:eastAsia="Calibri"/>
                <w:sz w:val="20"/>
              </w:rPr>
              <w:t>Supreme Court of Canada</w:t>
            </w:r>
          </w:p>
        </w:tc>
        <w:tc>
          <w:tcPr>
            <w:tcW w:w="243" w:type="pct"/>
          </w:tcPr>
          <w:p w:rsidR="00C30817" w:rsidRPr="005577B1" w:rsidRDefault="00C30817" w:rsidP="00D77551">
            <w:pPr>
              <w:jc w:val="both"/>
              <w:rPr>
                <w:rFonts w:eastAsia="Calibri"/>
                <w:sz w:val="20"/>
              </w:rPr>
            </w:pPr>
          </w:p>
        </w:tc>
        <w:tc>
          <w:tcPr>
            <w:tcW w:w="2330" w:type="pct"/>
          </w:tcPr>
          <w:p w:rsidR="00C30817" w:rsidRPr="005577B1" w:rsidRDefault="00C30817" w:rsidP="00D77551">
            <w:pPr>
              <w:jc w:val="both"/>
              <w:rPr>
                <w:rFonts w:eastAsia="Calibri"/>
                <w:sz w:val="20"/>
              </w:rPr>
            </w:pPr>
            <w:r w:rsidRPr="005577B1">
              <w:rPr>
                <w:rFonts w:eastAsia="Calibri"/>
                <w:sz w:val="20"/>
              </w:rPr>
              <w:t>Application for leave to appeal filed</w:t>
            </w:r>
          </w:p>
          <w:p w:rsidR="00C30817" w:rsidRPr="005577B1" w:rsidRDefault="00C30817" w:rsidP="00D77551">
            <w:pPr>
              <w:jc w:val="both"/>
              <w:rPr>
                <w:rFonts w:eastAsia="Calibri"/>
                <w:sz w:val="20"/>
              </w:rPr>
            </w:pPr>
          </w:p>
        </w:tc>
      </w:tr>
    </w:tbl>
    <w:p w:rsidR="00E42D2B" w:rsidRPr="00E01ABF" w:rsidRDefault="00E42D2B" w:rsidP="00E42D2B">
      <w:pPr>
        <w:rPr>
          <w:sz w:val="20"/>
          <w:szCs w:val="20"/>
        </w:rPr>
      </w:pPr>
    </w:p>
    <w:p w:rsidR="00E42D2B" w:rsidRDefault="00D56013" w:rsidP="00E42D2B">
      <w:pPr>
        <w:rPr>
          <w:sz w:val="20"/>
          <w:szCs w:val="20"/>
          <w:lang w:val="fr-CA"/>
        </w:rPr>
      </w:pPr>
      <w:r w:rsidRPr="00D56013">
        <w:rPr>
          <w:sz w:val="20"/>
          <w:szCs w:val="20"/>
          <w:lang w:val="fr-CA"/>
        </w:rPr>
        <w:pict>
          <v:rect id="_x0000_i1060" style="width:2in;height:1pt" o:hrpct="0" o:hralign="center" o:hrstd="t" o:hrnoshade="t" o:hr="t" fillcolor="black [3213]" stroked="f"/>
        </w:pict>
      </w:r>
    </w:p>
    <w:p w:rsidR="00490728" w:rsidRPr="00E01ABF" w:rsidRDefault="00490728" w:rsidP="00E42D2B">
      <w:pPr>
        <w:rPr>
          <w:sz w:val="20"/>
          <w:szCs w:val="20"/>
        </w:rPr>
      </w:pPr>
    </w:p>
    <w:p w:rsidR="00E42D2B" w:rsidRPr="00E01ABF" w:rsidRDefault="00E42D2B" w:rsidP="00E42D2B">
      <w:pPr>
        <w:rPr>
          <w:sz w:val="20"/>
          <w:szCs w:val="20"/>
          <w:u w:val="single"/>
        </w:rPr>
      </w:pPr>
      <w:r w:rsidRPr="00E01ABF">
        <w:rPr>
          <w:sz w:val="20"/>
          <w:szCs w:val="20"/>
          <w:u w:val="single"/>
        </w:rPr>
        <w:t>RÉSUMÉ DE L’AFFAIRE</w:t>
      </w:r>
    </w:p>
    <w:p w:rsidR="00E42D2B" w:rsidRDefault="00E42D2B" w:rsidP="00E42D2B">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C30817" w:rsidRPr="00850008" w:rsidTr="00D77551">
        <w:tc>
          <w:tcPr>
            <w:tcW w:w="5000" w:type="pct"/>
            <w:gridSpan w:val="3"/>
          </w:tcPr>
          <w:p w:rsidR="00C30817" w:rsidRPr="005577B1" w:rsidRDefault="00C30817" w:rsidP="00D77551">
            <w:pPr>
              <w:jc w:val="both"/>
              <w:rPr>
                <w:rFonts w:eastAsia="Calibri"/>
                <w:smallCaps/>
                <w:sz w:val="20"/>
                <w:lang w:val="fr-CA"/>
              </w:rPr>
            </w:pPr>
            <w:r w:rsidRPr="005577B1">
              <w:rPr>
                <w:rFonts w:eastAsia="Calibri"/>
                <w:smallCaps/>
                <w:sz w:val="20"/>
                <w:lang w:val="fr-CA"/>
              </w:rPr>
              <w:t>(Ordonnance de mise sous scellé)</w:t>
            </w:r>
          </w:p>
          <w:p w:rsidR="00C30817" w:rsidRPr="005577B1" w:rsidRDefault="00C30817" w:rsidP="00D77551">
            <w:pPr>
              <w:jc w:val="both"/>
              <w:rPr>
                <w:rFonts w:eastAsia="Calibri"/>
                <w:sz w:val="20"/>
                <w:lang w:val="fr-CA"/>
              </w:rPr>
            </w:pPr>
          </w:p>
          <w:p w:rsidR="00C30817" w:rsidRPr="005577B1" w:rsidRDefault="00C30817" w:rsidP="00D77551">
            <w:pPr>
              <w:jc w:val="both"/>
              <w:rPr>
                <w:rFonts w:eastAsia="Calibri"/>
                <w:smallCaps/>
                <w:sz w:val="20"/>
                <w:lang w:val="fr-CA"/>
              </w:rPr>
            </w:pPr>
            <w:r w:rsidRPr="005577B1">
              <w:rPr>
                <w:rFonts w:eastAsia="Calibri"/>
                <w:sz w:val="20"/>
                <w:lang w:val="fr-CA"/>
              </w:rPr>
              <w:t xml:space="preserve">Droit professionnel – Conflit d’intérêts – Avocats ayant déjà représenté l’adversaire d’un client de la nouvelle firme à laquelle ils se sont joints – Déclaration d’inhabilité de la firme – Les instances inférieures ont-elles erré en concluant que la présomption de connaissance d’informations confidentielles n’avait pas été repoussée? – </w:t>
            </w:r>
            <w:r w:rsidR="00D56013" w:rsidRPr="005577B1">
              <w:rPr>
                <w:rFonts w:eastAsia="Calibri"/>
                <w:sz w:val="20"/>
                <w:lang w:val="fr-CA"/>
              </w:rPr>
              <w:fldChar w:fldCharType="begin"/>
            </w:r>
            <w:r w:rsidRPr="005577B1">
              <w:rPr>
                <w:rFonts w:eastAsia="Calibri"/>
                <w:sz w:val="20"/>
                <w:lang w:val="fr-CA"/>
              </w:rPr>
              <w:instrText xml:space="preserve"> SEQ CHAPTER \h \r 1</w:instrText>
            </w:r>
            <w:r w:rsidR="00D56013" w:rsidRPr="005577B1">
              <w:rPr>
                <w:rFonts w:eastAsia="Calibri"/>
                <w:sz w:val="20"/>
                <w:lang w:val="fr-CA"/>
              </w:rPr>
              <w:fldChar w:fldCharType="end"/>
            </w:r>
            <w:r w:rsidRPr="005577B1">
              <w:rPr>
                <w:rFonts w:eastAsia="Calibri"/>
                <w:sz w:val="20"/>
                <w:lang w:val="fr-CA"/>
              </w:rPr>
              <w:t>À quel moment des mesures de protection doivent-elles être mises en place à la suite de l’arrivée de nouveaux avocats et quelle serait l’étendue de ces mesures? - L’obligation de loyauté de l’avocat envers son client perdure-t-elle indéfiniment?</w:t>
            </w:r>
            <w:r w:rsidR="00D56013" w:rsidRPr="005577B1">
              <w:rPr>
                <w:rFonts w:eastAsia="Calibri"/>
                <w:smallCaps/>
                <w:sz w:val="20"/>
                <w:lang w:val="fr-CA"/>
              </w:rPr>
              <w:fldChar w:fldCharType="begin"/>
            </w:r>
            <w:r w:rsidRPr="005577B1">
              <w:rPr>
                <w:rFonts w:eastAsia="Calibri"/>
                <w:smallCaps/>
                <w:sz w:val="20"/>
                <w:lang w:val="fr-CA"/>
              </w:rPr>
              <w:instrText xml:space="preserve"> SEQ CHAPTER \h \r 1</w:instrText>
            </w:r>
            <w:r w:rsidR="00D56013" w:rsidRPr="005577B1">
              <w:rPr>
                <w:rFonts w:eastAsia="Calibri"/>
                <w:smallCaps/>
                <w:sz w:val="20"/>
                <w:lang w:val="fr-CA"/>
              </w:rPr>
              <w:fldChar w:fldCharType="end"/>
            </w:r>
          </w:p>
        </w:tc>
      </w:tr>
      <w:tr w:rsidR="00C30817" w:rsidRPr="00850008" w:rsidTr="00D77551">
        <w:tc>
          <w:tcPr>
            <w:tcW w:w="5000" w:type="pct"/>
            <w:gridSpan w:val="3"/>
          </w:tcPr>
          <w:p w:rsidR="00C30817" w:rsidRPr="005577B1" w:rsidRDefault="00C30817" w:rsidP="00D77551">
            <w:pPr>
              <w:jc w:val="both"/>
              <w:rPr>
                <w:rFonts w:eastAsia="Calibri"/>
                <w:sz w:val="20"/>
                <w:lang w:val="fr-CA"/>
              </w:rPr>
            </w:pPr>
          </w:p>
        </w:tc>
      </w:tr>
      <w:tr w:rsidR="00C30817" w:rsidRPr="00850008" w:rsidTr="00D77551">
        <w:tc>
          <w:tcPr>
            <w:tcW w:w="5000" w:type="pct"/>
            <w:gridSpan w:val="3"/>
          </w:tcPr>
          <w:p w:rsidR="00C30817" w:rsidRPr="005577B1" w:rsidRDefault="00C30817" w:rsidP="00D77551">
            <w:pPr>
              <w:jc w:val="both"/>
              <w:rPr>
                <w:rFonts w:eastAsia="Calibri"/>
                <w:sz w:val="20"/>
                <w:lang w:val="fr-CA"/>
              </w:rPr>
            </w:pPr>
            <w:r w:rsidRPr="005577B1">
              <w:rPr>
                <w:rFonts w:eastAsia="Calibri"/>
                <w:sz w:val="20"/>
                <w:lang w:val="fr-CA"/>
              </w:rPr>
              <w:t>Un pharmacien franchisé du Groupe Jean Coutu, ou PJC, accuse ce dernier de le forcer, par le biais de redevances contractuelles, à partager en réalité les bénéfices de la vente de médicaments, le tout contrairement aux règlements de l’Ordre professionnel; il a incidemment fait l’objet d’une plainte disciplinaire à cet effet. Le pharmacien veut faire déclarer nulles les clauses de redevances du contrat de franchise et obtenir le remboursement des sommes versées à PJC à ce titre, pour les dernières années. Me Frère, de Lavery, le représente. Lavery s’occupe traditionnellement des dossiers de l’Ordre des pharmaciens. Mes Zigby, Couture et Vautour, qui oeuvrent désormais au sein de Lavery, ont représenté PJC de façon continue alors qu'ils pratiquaient chez Desjardins Ducharme, cabinet dissous en 2007.</w:t>
            </w:r>
          </w:p>
          <w:p w:rsidR="00C30817" w:rsidRPr="005577B1" w:rsidRDefault="00C30817" w:rsidP="00D77551">
            <w:pPr>
              <w:jc w:val="both"/>
              <w:rPr>
                <w:rFonts w:eastAsia="Calibri"/>
                <w:sz w:val="20"/>
                <w:lang w:val="fr-CA"/>
              </w:rPr>
            </w:pPr>
          </w:p>
        </w:tc>
      </w:tr>
      <w:tr w:rsidR="00C30817" w:rsidRPr="00850008" w:rsidTr="00D77551">
        <w:tc>
          <w:tcPr>
            <w:tcW w:w="2427" w:type="pct"/>
          </w:tcPr>
          <w:p w:rsidR="00C30817" w:rsidRPr="005577B1" w:rsidRDefault="00C30817" w:rsidP="00D77551">
            <w:pPr>
              <w:jc w:val="both"/>
              <w:rPr>
                <w:rFonts w:eastAsia="Calibri"/>
                <w:sz w:val="20"/>
                <w:lang w:val="fr-CA"/>
              </w:rPr>
            </w:pPr>
            <w:r w:rsidRPr="005577B1">
              <w:rPr>
                <w:rFonts w:eastAsia="Calibri"/>
                <w:sz w:val="20"/>
                <w:lang w:val="fr-CA"/>
              </w:rPr>
              <w:lastRenderedPageBreak/>
              <w:t>Le 31 juillet 2009</w:t>
            </w:r>
          </w:p>
          <w:p w:rsidR="00C30817" w:rsidRPr="005577B1" w:rsidRDefault="00C30817" w:rsidP="00D77551">
            <w:pPr>
              <w:jc w:val="both"/>
              <w:rPr>
                <w:rFonts w:eastAsia="Calibri"/>
                <w:sz w:val="20"/>
                <w:lang w:val="fr-CA"/>
              </w:rPr>
            </w:pPr>
            <w:r w:rsidRPr="005577B1">
              <w:rPr>
                <w:rFonts w:eastAsia="Calibri"/>
                <w:sz w:val="20"/>
                <w:lang w:val="fr-CA"/>
              </w:rPr>
              <w:t>Cour supérieure du Québec</w:t>
            </w:r>
          </w:p>
          <w:p w:rsidR="00C30817" w:rsidRPr="005577B1" w:rsidRDefault="00C30817" w:rsidP="00D77551">
            <w:pPr>
              <w:jc w:val="both"/>
              <w:rPr>
                <w:rFonts w:eastAsia="Calibri"/>
                <w:sz w:val="20"/>
                <w:lang w:val="fr-CA"/>
              </w:rPr>
            </w:pPr>
            <w:r w:rsidRPr="005577B1">
              <w:rPr>
                <w:rFonts w:eastAsia="Calibri"/>
                <w:sz w:val="20"/>
                <w:lang w:val="fr-CA"/>
              </w:rPr>
              <w:t>(La juge Richer)</w:t>
            </w:r>
          </w:p>
          <w:p w:rsidR="00C30817" w:rsidRPr="005577B1" w:rsidRDefault="00C30817" w:rsidP="00D77551">
            <w:pPr>
              <w:jc w:val="both"/>
              <w:rPr>
                <w:rFonts w:eastAsia="Calibri"/>
                <w:sz w:val="20"/>
                <w:lang w:val="fr-CA"/>
              </w:rPr>
            </w:pPr>
            <w:r w:rsidRPr="005577B1">
              <w:rPr>
                <w:rFonts w:eastAsia="Calibri"/>
                <w:sz w:val="20"/>
                <w:lang w:val="fr-CA"/>
              </w:rPr>
              <w:t>Référence neutre : 2009 QCCS 3893</w:t>
            </w:r>
          </w:p>
          <w:p w:rsidR="00C30817" w:rsidRPr="005577B1" w:rsidRDefault="00C30817" w:rsidP="00D77551">
            <w:pPr>
              <w:jc w:val="both"/>
              <w:rPr>
                <w:rFonts w:eastAsia="Calibri"/>
                <w:sz w:val="20"/>
                <w:lang w:val="fr-CA"/>
              </w:rPr>
            </w:pPr>
          </w:p>
        </w:tc>
        <w:tc>
          <w:tcPr>
            <w:tcW w:w="243" w:type="pct"/>
          </w:tcPr>
          <w:p w:rsidR="00C30817" w:rsidRPr="005577B1" w:rsidRDefault="00C30817" w:rsidP="00D77551">
            <w:pPr>
              <w:jc w:val="both"/>
              <w:rPr>
                <w:rFonts w:eastAsia="Calibri"/>
                <w:sz w:val="20"/>
                <w:lang w:val="fr-FR"/>
              </w:rPr>
            </w:pPr>
          </w:p>
        </w:tc>
        <w:tc>
          <w:tcPr>
            <w:tcW w:w="2330" w:type="pct"/>
          </w:tcPr>
          <w:p w:rsidR="00C30817" w:rsidRPr="005577B1" w:rsidRDefault="00C30817" w:rsidP="00D77551">
            <w:pPr>
              <w:jc w:val="both"/>
              <w:rPr>
                <w:rFonts w:eastAsia="Calibri"/>
                <w:sz w:val="20"/>
                <w:lang w:val="fr-CA"/>
              </w:rPr>
            </w:pPr>
            <w:r w:rsidRPr="005577B1">
              <w:rPr>
                <w:rFonts w:eastAsia="Calibri"/>
                <w:sz w:val="20"/>
                <w:lang w:val="fr-CA"/>
              </w:rPr>
              <w:t>Requête de l’intimé accueillie; firme demanderesse déclarée inhabile à représenter le pharmacien Quesnel, opposé à l’intimé dans le litige principal.</w:t>
            </w:r>
          </w:p>
          <w:p w:rsidR="00C30817" w:rsidRPr="005577B1" w:rsidRDefault="00C30817" w:rsidP="00D77551">
            <w:pPr>
              <w:jc w:val="both"/>
              <w:rPr>
                <w:rFonts w:eastAsia="Calibri"/>
                <w:sz w:val="20"/>
                <w:lang w:val="fr-CA"/>
              </w:rPr>
            </w:pPr>
          </w:p>
        </w:tc>
      </w:tr>
      <w:tr w:rsidR="00C30817" w:rsidRPr="005577B1" w:rsidTr="00D77551">
        <w:tc>
          <w:tcPr>
            <w:tcW w:w="2427" w:type="pct"/>
          </w:tcPr>
          <w:p w:rsidR="00C30817" w:rsidRPr="005577B1" w:rsidRDefault="00C30817" w:rsidP="00D77551">
            <w:pPr>
              <w:jc w:val="both"/>
              <w:rPr>
                <w:rFonts w:eastAsia="Calibri"/>
                <w:sz w:val="20"/>
                <w:lang w:val="fr-CA"/>
              </w:rPr>
            </w:pPr>
            <w:r w:rsidRPr="005577B1">
              <w:rPr>
                <w:rFonts w:eastAsia="Calibri"/>
                <w:sz w:val="20"/>
                <w:lang w:val="fr-CA"/>
              </w:rPr>
              <w:t>Le 12 mai 2010</w:t>
            </w:r>
          </w:p>
          <w:p w:rsidR="00C30817" w:rsidRPr="005577B1" w:rsidRDefault="00C30817" w:rsidP="00D77551">
            <w:pPr>
              <w:jc w:val="both"/>
              <w:rPr>
                <w:rFonts w:eastAsia="Calibri"/>
                <w:sz w:val="20"/>
                <w:lang w:val="fr-CA"/>
              </w:rPr>
            </w:pPr>
            <w:r w:rsidRPr="005577B1">
              <w:rPr>
                <w:rFonts w:eastAsia="Calibri"/>
                <w:sz w:val="20"/>
                <w:lang w:val="fr-CA"/>
              </w:rPr>
              <w:t>Cour d’appel du Québec (Montréal)</w:t>
            </w:r>
          </w:p>
          <w:p w:rsidR="00C30817" w:rsidRPr="005577B1" w:rsidRDefault="00C30817" w:rsidP="00D77551">
            <w:pPr>
              <w:jc w:val="both"/>
              <w:rPr>
                <w:rFonts w:eastAsia="Calibri"/>
                <w:sz w:val="20"/>
                <w:lang w:val="fr-CA"/>
              </w:rPr>
            </w:pPr>
            <w:r w:rsidRPr="005577B1">
              <w:rPr>
                <w:rFonts w:eastAsia="Calibri"/>
                <w:sz w:val="20"/>
                <w:lang w:val="fr-CA"/>
              </w:rPr>
              <w:t>(Les juges Rochon, Dutil et Kasirer)</w:t>
            </w:r>
          </w:p>
          <w:p w:rsidR="00C30817" w:rsidRPr="005577B1" w:rsidRDefault="00C30817" w:rsidP="00D77551">
            <w:pPr>
              <w:jc w:val="both"/>
              <w:rPr>
                <w:rFonts w:eastAsia="Calibri"/>
                <w:sz w:val="20"/>
                <w:lang w:val="fr-CA"/>
              </w:rPr>
            </w:pPr>
            <w:r w:rsidRPr="005577B1">
              <w:rPr>
                <w:rFonts w:eastAsia="Calibri"/>
                <w:sz w:val="20"/>
                <w:lang w:val="fr-CA"/>
              </w:rPr>
              <w:t>Référence neutre : 2010 QCCA 937</w:t>
            </w:r>
          </w:p>
          <w:p w:rsidR="00C30817" w:rsidRPr="005577B1" w:rsidRDefault="00C30817" w:rsidP="00D77551">
            <w:pPr>
              <w:jc w:val="both"/>
              <w:rPr>
                <w:rFonts w:eastAsia="Calibri"/>
                <w:sz w:val="20"/>
                <w:lang w:val="fr-CA"/>
              </w:rPr>
            </w:pPr>
          </w:p>
        </w:tc>
        <w:tc>
          <w:tcPr>
            <w:tcW w:w="243" w:type="pct"/>
          </w:tcPr>
          <w:p w:rsidR="00C30817" w:rsidRPr="005577B1" w:rsidRDefault="00C30817" w:rsidP="00D77551">
            <w:pPr>
              <w:jc w:val="both"/>
              <w:rPr>
                <w:rFonts w:eastAsia="Calibri"/>
                <w:sz w:val="20"/>
                <w:lang w:val="fr-FR"/>
              </w:rPr>
            </w:pPr>
          </w:p>
        </w:tc>
        <w:tc>
          <w:tcPr>
            <w:tcW w:w="2330" w:type="pct"/>
          </w:tcPr>
          <w:p w:rsidR="00C30817" w:rsidRPr="005577B1" w:rsidRDefault="00C30817" w:rsidP="00D77551">
            <w:pPr>
              <w:jc w:val="both"/>
              <w:rPr>
                <w:rFonts w:eastAsia="Calibri"/>
                <w:sz w:val="20"/>
                <w:lang w:val="fr-CA"/>
              </w:rPr>
            </w:pPr>
            <w:r w:rsidRPr="005577B1">
              <w:rPr>
                <w:rFonts w:eastAsia="Calibri"/>
                <w:sz w:val="20"/>
                <w:lang w:val="fr-CA"/>
              </w:rPr>
              <w:t>Rejet de l'appel.</w:t>
            </w:r>
          </w:p>
          <w:p w:rsidR="00C30817" w:rsidRPr="005577B1" w:rsidRDefault="00C30817" w:rsidP="00D77551">
            <w:pPr>
              <w:jc w:val="both"/>
              <w:rPr>
                <w:rFonts w:eastAsia="Calibri"/>
                <w:sz w:val="20"/>
                <w:lang w:val="fr-CA"/>
              </w:rPr>
            </w:pPr>
          </w:p>
        </w:tc>
      </w:tr>
      <w:tr w:rsidR="00C30817" w:rsidRPr="00850008" w:rsidTr="00D77551">
        <w:tc>
          <w:tcPr>
            <w:tcW w:w="2427" w:type="pct"/>
          </w:tcPr>
          <w:p w:rsidR="00C30817" w:rsidRPr="005577B1" w:rsidRDefault="00C30817" w:rsidP="00D77551">
            <w:pPr>
              <w:jc w:val="both"/>
              <w:rPr>
                <w:rFonts w:eastAsia="Calibri"/>
                <w:sz w:val="20"/>
                <w:lang w:val="fr-CA"/>
              </w:rPr>
            </w:pPr>
            <w:r w:rsidRPr="005577B1">
              <w:rPr>
                <w:rFonts w:eastAsia="Calibri"/>
                <w:sz w:val="20"/>
                <w:lang w:val="fr-CA"/>
              </w:rPr>
              <w:t>Le 9 août 2010</w:t>
            </w:r>
          </w:p>
          <w:p w:rsidR="00C30817" w:rsidRPr="005577B1" w:rsidRDefault="00C30817" w:rsidP="00D77551">
            <w:pPr>
              <w:jc w:val="both"/>
              <w:rPr>
                <w:rFonts w:eastAsia="Calibri"/>
                <w:sz w:val="20"/>
                <w:lang w:val="fr-FR"/>
              </w:rPr>
            </w:pPr>
            <w:r w:rsidRPr="005577B1">
              <w:rPr>
                <w:rFonts w:eastAsia="Calibri"/>
                <w:sz w:val="20"/>
                <w:lang w:val="fr-CA"/>
              </w:rPr>
              <w:t>Cour suprême du Canada</w:t>
            </w:r>
          </w:p>
        </w:tc>
        <w:tc>
          <w:tcPr>
            <w:tcW w:w="243" w:type="pct"/>
          </w:tcPr>
          <w:p w:rsidR="00C30817" w:rsidRPr="005577B1" w:rsidRDefault="00C30817" w:rsidP="00D77551">
            <w:pPr>
              <w:jc w:val="both"/>
              <w:rPr>
                <w:rFonts w:eastAsia="Calibri"/>
                <w:sz w:val="20"/>
                <w:lang w:val="fr-FR"/>
              </w:rPr>
            </w:pPr>
          </w:p>
        </w:tc>
        <w:tc>
          <w:tcPr>
            <w:tcW w:w="2330" w:type="pct"/>
          </w:tcPr>
          <w:p w:rsidR="00C30817" w:rsidRPr="005577B1" w:rsidRDefault="00C30817" w:rsidP="00D77551">
            <w:pPr>
              <w:jc w:val="both"/>
              <w:rPr>
                <w:rFonts w:eastAsia="Calibri"/>
                <w:sz w:val="20"/>
                <w:lang w:val="fr-CA"/>
              </w:rPr>
            </w:pPr>
            <w:r w:rsidRPr="005577B1">
              <w:rPr>
                <w:rFonts w:eastAsia="Calibri"/>
                <w:sz w:val="20"/>
                <w:lang w:val="fr-CA"/>
              </w:rPr>
              <w:t>Dépôt de la demande d'autorisation d'appel.</w:t>
            </w:r>
          </w:p>
          <w:p w:rsidR="00C30817" w:rsidRPr="005577B1" w:rsidRDefault="00C30817" w:rsidP="00D77551">
            <w:pPr>
              <w:jc w:val="both"/>
              <w:rPr>
                <w:rFonts w:eastAsia="Calibri"/>
                <w:sz w:val="20"/>
                <w:lang w:val="fr-CA"/>
              </w:rPr>
            </w:pPr>
          </w:p>
        </w:tc>
      </w:tr>
    </w:tbl>
    <w:p w:rsidR="00E42D2B" w:rsidRPr="00C30817" w:rsidRDefault="00E42D2B" w:rsidP="00E42D2B">
      <w:pPr>
        <w:rPr>
          <w:sz w:val="20"/>
          <w:szCs w:val="20"/>
          <w:lang w:val="fr-CA"/>
        </w:rPr>
      </w:pPr>
    </w:p>
    <w:p w:rsidR="00E42D2B" w:rsidRDefault="00D56013" w:rsidP="00E42D2B">
      <w:pPr>
        <w:rPr>
          <w:sz w:val="20"/>
          <w:szCs w:val="20"/>
          <w:lang w:val="fr-CA"/>
        </w:rPr>
      </w:pPr>
      <w:r w:rsidRPr="00D56013">
        <w:rPr>
          <w:sz w:val="20"/>
          <w:szCs w:val="20"/>
          <w:lang w:val="fr-CA"/>
        </w:rPr>
        <w:pict>
          <v:rect id="_x0000_i1061" style="width:2in;height:1pt" o:hrpct="0" o:hralign="center" o:hrstd="t" o:hrnoshade="t" o:hr="t" fillcolor="black [3213]" stroked="f"/>
        </w:pict>
      </w:r>
    </w:p>
    <w:p w:rsidR="00E42D2B" w:rsidRDefault="00E42D2B" w:rsidP="008D292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490728" w:rsidRPr="00490728" w:rsidTr="002E2C77">
        <w:trPr>
          <w:cantSplit/>
        </w:trPr>
        <w:tc>
          <w:tcPr>
            <w:tcW w:w="1458" w:type="dxa"/>
          </w:tcPr>
          <w:p w:rsidR="00490728" w:rsidRPr="00490728" w:rsidRDefault="00490728" w:rsidP="002E2C77">
            <w:pPr>
              <w:rPr>
                <w:sz w:val="20"/>
                <w:szCs w:val="20"/>
              </w:rPr>
            </w:pPr>
            <w:r w:rsidRPr="00490728">
              <w:rPr>
                <w:rStyle w:val="SCCFileNumberChar"/>
                <w:sz w:val="20"/>
                <w:szCs w:val="20"/>
              </w:rPr>
              <w:t>33800</w:t>
            </w:r>
          </w:p>
          <w:p w:rsidR="00490728" w:rsidRPr="00490728" w:rsidRDefault="00490728" w:rsidP="002E2C77">
            <w:pPr>
              <w:rPr>
                <w:b/>
                <w:sz w:val="20"/>
                <w:szCs w:val="20"/>
                <w:lang w:val="fr-CA"/>
              </w:rPr>
            </w:pPr>
          </w:p>
        </w:tc>
        <w:tc>
          <w:tcPr>
            <w:tcW w:w="8118" w:type="dxa"/>
          </w:tcPr>
          <w:p w:rsidR="00490728" w:rsidRPr="00490728" w:rsidRDefault="00490728" w:rsidP="00EE3B7C">
            <w:pPr>
              <w:jc w:val="both"/>
              <w:rPr>
                <w:sz w:val="20"/>
                <w:szCs w:val="20"/>
              </w:rPr>
            </w:pPr>
            <w:r w:rsidRPr="00490728">
              <w:rPr>
                <w:rStyle w:val="SCCLsocChar"/>
                <w:sz w:val="20"/>
                <w:szCs w:val="20"/>
                <w:lang w:val="en-CA"/>
              </w:rPr>
              <w:t>Society of Composers, Authors and Music Publishers of Canada v. Bell Canada, Canadian Recording Industry Association, Apple Canada Inc., Rogers Communications Inc., Rogers Wireless Partnership, Shaw Cablesystems G.P., Telus Communications Inc., CMRRA/SODRAC Inc., Entertainment Software Association</w:t>
            </w:r>
            <w:r w:rsidR="000C543F">
              <w:rPr>
                <w:rStyle w:val="SCCLsocChar"/>
                <w:sz w:val="20"/>
                <w:szCs w:val="20"/>
                <w:lang w:val="en-CA"/>
              </w:rPr>
              <w:t xml:space="preserve"> and</w:t>
            </w:r>
            <w:r w:rsidRPr="00490728">
              <w:rPr>
                <w:rStyle w:val="SCCLsocChar"/>
                <w:sz w:val="20"/>
                <w:szCs w:val="20"/>
                <w:lang w:val="en-CA"/>
              </w:rPr>
              <w:t xml:space="preserve"> Entertainment Software Association of Canada</w:t>
            </w:r>
            <w:r w:rsidRPr="00490728">
              <w:rPr>
                <w:sz w:val="20"/>
                <w:szCs w:val="20"/>
              </w:rPr>
              <w:t xml:space="preserve"> (F</w:t>
            </w:r>
            <w:r w:rsidR="000C543F">
              <w:rPr>
                <w:sz w:val="20"/>
                <w:szCs w:val="20"/>
              </w:rPr>
              <w:t>.</w:t>
            </w:r>
            <w:r w:rsidRPr="00490728">
              <w:rPr>
                <w:sz w:val="20"/>
                <w:szCs w:val="20"/>
              </w:rPr>
              <w:t>C</w:t>
            </w:r>
            <w:r w:rsidR="000C543F">
              <w:rPr>
                <w:sz w:val="20"/>
                <w:szCs w:val="20"/>
              </w:rPr>
              <w:t>.</w:t>
            </w:r>
            <w:r w:rsidRPr="00490728">
              <w:rPr>
                <w:sz w:val="20"/>
                <w:szCs w:val="20"/>
              </w:rPr>
              <w:t>) (Civil) (By Leave)</w:t>
            </w:r>
          </w:p>
          <w:p w:rsidR="00490728" w:rsidRPr="00490728" w:rsidRDefault="00490728" w:rsidP="002E2C77">
            <w:pPr>
              <w:rPr>
                <w:sz w:val="20"/>
                <w:szCs w:val="20"/>
              </w:rPr>
            </w:pPr>
          </w:p>
        </w:tc>
      </w:tr>
      <w:tr w:rsidR="00490728" w:rsidRPr="00490728" w:rsidTr="002E2C77">
        <w:trPr>
          <w:cantSplit/>
        </w:trPr>
        <w:tc>
          <w:tcPr>
            <w:tcW w:w="1458" w:type="dxa"/>
          </w:tcPr>
          <w:p w:rsidR="00490728" w:rsidRPr="00490728" w:rsidRDefault="00490728" w:rsidP="002E2C77">
            <w:pPr>
              <w:rPr>
                <w:sz w:val="20"/>
                <w:szCs w:val="20"/>
              </w:rPr>
            </w:pPr>
            <w:r w:rsidRPr="00490728">
              <w:rPr>
                <w:sz w:val="20"/>
                <w:szCs w:val="20"/>
              </w:rPr>
              <w:t>Coram :</w:t>
            </w:r>
          </w:p>
        </w:tc>
        <w:tc>
          <w:tcPr>
            <w:tcW w:w="8118" w:type="dxa"/>
          </w:tcPr>
          <w:p w:rsidR="00490728" w:rsidRPr="00490728" w:rsidRDefault="00490728" w:rsidP="002E2C77">
            <w:pPr>
              <w:rPr>
                <w:sz w:val="20"/>
                <w:szCs w:val="20"/>
              </w:rPr>
            </w:pPr>
            <w:r w:rsidRPr="00490728">
              <w:rPr>
                <w:rStyle w:val="SCCCoramChar"/>
                <w:sz w:val="20"/>
                <w:szCs w:val="20"/>
                <w:lang w:val="en-CA"/>
              </w:rPr>
              <w:t>LeBel, Deschamps and Charron JJ.</w:t>
            </w:r>
          </w:p>
          <w:p w:rsidR="00490728" w:rsidRPr="00490728" w:rsidRDefault="00490728" w:rsidP="002E2C77">
            <w:pPr>
              <w:rPr>
                <w:sz w:val="20"/>
                <w:szCs w:val="20"/>
                <w:u w:val="single"/>
              </w:rPr>
            </w:pPr>
          </w:p>
        </w:tc>
      </w:tr>
      <w:tr w:rsidR="00490728" w:rsidRPr="00850008" w:rsidTr="002E2C77">
        <w:trPr>
          <w:cantSplit/>
        </w:trPr>
        <w:tc>
          <w:tcPr>
            <w:tcW w:w="9576" w:type="dxa"/>
            <w:gridSpan w:val="2"/>
          </w:tcPr>
          <w:p w:rsidR="00490728" w:rsidRPr="00490728" w:rsidRDefault="00490728" w:rsidP="002E2C77">
            <w:pPr>
              <w:pStyle w:val="SCCShortJudgment"/>
              <w:rPr>
                <w:szCs w:val="20"/>
              </w:rPr>
            </w:pPr>
            <w:r w:rsidRPr="00490728">
              <w:rPr>
                <w:szCs w:val="20"/>
              </w:rPr>
              <w:t>The application for leave to appeal from the judgment of the Federal Court of Appeal, Number A-514-07, 2010 FCA 123, dated May 14, 2010, is granted with costs in the cause.</w:t>
            </w:r>
          </w:p>
          <w:p w:rsidR="00490728" w:rsidRPr="00490728" w:rsidRDefault="00490728" w:rsidP="002E2C77">
            <w:pPr>
              <w:pStyle w:val="SCCShortJudgment"/>
              <w:ind w:firstLine="0"/>
              <w:rPr>
                <w:szCs w:val="20"/>
              </w:rPr>
            </w:pPr>
          </w:p>
          <w:p w:rsidR="00490728" w:rsidRPr="00490728" w:rsidRDefault="00490728" w:rsidP="002E2C77">
            <w:pPr>
              <w:pStyle w:val="SCCShortJudgment"/>
              <w:rPr>
                <w:szCs w:val="20"/>
                <w:lang w:val="fr-CA"/>
              </w:rPr>
            </w:pPr>
            <w:r w:rsidRPr="00490728">
              <w:rPr>
                <w:szCs w:val="20"/>
                <w:lang w:val="fr-CA"/>
              </w:rPr>
              <w:t>La demande d’autorisation d’appel de l’arrêt de la Cour d’appel fédérale, numéro A-514-07, 2010 CAF 123, daté du 14 mai 2010, est accordée avec dépens suivant l’issue de la cause.</w:t>
            </w:r>
            <w:r w:rsidR="002E2C77" w:rsidRPr="00490728">
              <w:rPr>
                <w:szCs w:val="20"/>
                <w:lang w:val="fr-CA"/>
              </w:rPr>
              <w:t xml:space="preserve"> </w:t>
            </w:r>
          </w:p>
        </w:tc>
      </w:tr>
    </w:tbl>
    <w:p w:rsidR="00E42D2B" w:rsidRDefault="00E42D2B" w:rsidP="00E42D2B">
      <w:pPr>
        <w:rPr>
          <w:sz w:val="20"/>
          <w:szCs w:val="20"/>
          <w:lang w:val="fr-CA"/>
        </w:rPr>
      </w:pPr>
    </w:p>
    <w:p w:rsidR="00E42D2B" w:rsidRPr="00E01ABF" w:rsidRDefault="00E42D2B" w:rsidP="00E42D2B">
      <w:pPr>
        <w:rPr>
          <w:sz w:val="20"/>
          <w:szCs w:val="20"/>
          <w:u w:val="single"/>
        </w:rPr>
      </w:pPr>
      <w:r w:rsidRPr="00E01ABF">
        <w:rPr>
          <w:sz w:val="20"/>
          <w:szCs w:val="20"/>
          <w:u w:val="single"/>
        </w:rPr>
        <w:t>CASE SUMMARY</w:t>
      </w:r>
    </w:p>
    <w:p w:rsidR="00E42D2B" w:rsidRDefault="00E42D2B" w:rsidP="00E42D2B">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0B161F" w:rsidRPr="005577B1" w:rsidTr="00D77551">
        <w:tc>
          <w:tcPr>
            <w:tcW w:w="5000" w:type="pct"/>
            <w:gridSpan w:val="3"/>
          </w:tcPr>
          <w:p w:rsidR="000B161F" w:rsidRPr="005577B1" w:rsidRDefault="000B161F" w:rsidP="00D77551">
            <w:pPr>
              <w:jc w:val="both"/>
              <w:rPr>
                <w:rFonts w:eastAsia="Calibri"/>
                <w:smallCaps/>
                <w:sz w:val="20"/>
              </w:rPr>
            </w:pPr>
            <w:r w:rsidRPr="005577B1">
              <w:rPr>
                <w:rFonts w:eastAsia="Calibri"/>
                <w:smallCaps/>
                <w:sz w:val="20"/>
              </w:rPr>
              <w:t>(Court file contains information that is not available for inspection by the public)</w:t>
            </w:r>
          </w:p>
          <w:p w:rsidR="000B161F" w:rsidRPr="005577B1" w:rsidRDefault="000B161F" w:rsidP="00D77551">
            <w:pPr>
              <w:jc w:val="both"/>
              <w:rPr>
                <w:rFonts w:eastAsia="Calibri"/>
                <w:sz w:val="20"/>
              </w:rPr>
            </w:pPr>
          </w:p>
          <w:p w:rsidR="000B161F" w:rsidRDefault="000B161F" w:rsidP="00D77551">
            <w:pPr>
              <w:jc w:val="both"/>
              <w:rPr>
                <w:rFonts w:eastAsia="Calibri"/>
                <w:sz w:val="20"/>
              </w:rPr>
            </w:pPr>
            <w:r w:rsidRPr="005577B1">
              <w:rPr>
                <w:rFonts w:eastAsia="Calibri"/>
                <w:sz w:val="20"/>
              </w:rPr>
              <w:t>Intellectual Property – Copyright – Whether providing previews consisting of excerpts of works is fair dealing for the purpose of research that does not infringe copyright.</w:t>
            </w:r>
          </w:p>
          <w:p w:rsidR="00EF43C9" w:rsidRPr="005577B1" w:rsidRDefault="00EF43C9" w:rsidP="00D77551">
            <w:pPr>
              <w:jc w:val="both"/>
              <w:rPr>
                <w:rFonts w:eastAsia="Calibri"/>
                <w:sz w:val="20"/>
              </w:rPr>
            </w:pPr>
          </w:p>
        </w:tc>
      </w:tr>
      <w:tr w:rsidR="000B161F" w:rsidRPr="005577B1" w:rsidTr="00D77551">
        <w:tc>
          <w:tcPr>
            <w:tcW w:w="5000" w:type="pct"/>
            <w:gridSpan w:val="3"/>
          </w:tcPr>
          <w:p w:rsidR="000B161F" w:rsidRPr="005577B1" w:rsidRDefault="000B161F" w:rsidP="00D77551">
            <w:pPr>
              <w:autoSpaceDE w:val="0"/>
              <w:autoSpaceDN w:val="0"/>
              <w:adjustRightInd w:val="0"/>
              <w:jc w:val="both"/>
              <w:rPr>
                <w:rFonts w:eastAsia="Calibri"/>
                <w:sz w:val="20"/>
              </w:rPr>
            </w:pPr>
            <w:r w:rsidRPr="005577B1">
              <w:rPr>
                <w:rFonts w:eastAsia="Calibri"/>
                <w:sz w:val="20"/>
              </w:rPr>
              <w:t>Some commercial internet sites that sell downloads of works allow users to preview the works.  A preview typically consists of an extract taken from the work, for example a 30-second extract of a musical track, streamed online and accessible to consumers.   On October 18, 2007, the Copyright Board of Canada released a decision stating the royalties to be collected for the communication to the public by telecommunication, in Canada, of musical or dramatic-musical works.  In part, the decision address previews.</w:t>
            </w:r>
          </w:p>
          <w:p w:rsidR="000B161F" w:rsidRPr="005577B1" w:rsidRDefault="000B161F" w:rsidP="00D77551">
            <w:pPr>
              <w:jc w:val="both"/>
              <w:rPr>
                <w:rFonts w:eastAsia="Calibri"/>
                <w:sz w:val="20"/>
              </w:rPr>
            </w:pPr>
          </w:p>
        </w:tc>
      </w:tr>
      <w:tr w:rsidR="000B161F" w:rsidRPr="005577B1" w:rsidTr="00D77551">
        <w:tc>
          <w:tcPr>
            <w:tcW w:w="2427" w:type="pct"/>
          </w:tcPr>
          <w:p w:rsidR="000B161F" w:rsidRPr="005577B1" w:rsidRDefault="000B161F" w:rsidP="00D77551">
            <w:pPr>
              <w:jc w:val="both"/>
              <w:rPr>
                <w:rFonts w:eastAsia="Calibri"/>
                <w:sz w:val="20"/>
              </w:rPr>
            </w:pPr>
            <w:r w:rsidRPr="005577B1">
              <w:rPr>
                <w:rFonts w:eastAsia="Calibri"/>
                <w:sz w:val="20"/>
              </w:rPr>
              <w:t>October 18, 2007</w:t>
            </w:r>
          </w:p>
          <w:p w:rsidR="000B161F" w:rsidRPr="005577B1" w:rsidRDefault="000B161F" w:rsidP="00D77551">
            <w:pPr>
              <w:jc w:val="both"/>
              <w:rPr>
                <w:rFonts w:eastAsia="Calibri"/>
                <w:sz w:val="20"/>
              </w:rPr>
            </w:pPr>
            <w:r w:rsidRPr="005577B1">
              <w:rPr>
                <w:rFonts w:eastAsia="Calibri"/>
                <w:sz w:val="20"/>
              </w:rPr>
              <w:t>Copyright Board of Canada</w:t>
            </w:r>
          </w:p>
          <w:p w:rsidR="000B161F" w:rsidRPr="005577B1" w:rsidRDefault="000B161F" w:rsidP="00D77551">
            <w:pPr>
              <w:jc w:val="both"/>
              <w:rPr>
                <w:rFonts w:eastAsia="Calibri"/>
                <w:sz w:val="20"/>
              </w:rPr>
            </w:pPr>
            <w:r w:rsidRPr="005577B1">
              <w:rPr>
                <w:rFonts w:eastAsia="Calibri"/>
                <w:sz w:val="20"/>
              </w:rPr>
              <w:t>(Vancise, Callary, Charron)</w:t>
            </w:r>
          </w:p>
          <w:p w:rsidR="000B161F" w:rsidRPr="005577B1" w:rsidRDefault="000B161F" w:rsidP="00D77551">
            <w:pPr>
              <w:jc w:val="both"/>
              <w:rPr>
                <w:rFonts w:eastAsia="Calibri"/>
                <w:sz w:val="20"/>
              </w:rPr>
            </w:pPr>
          </w:p>
        </w:tc>
        <w:tc>
          <w:tcPr>
            <w:tcW w:w="243" w:type="pct"/>
          </w:tcPr>
          <w:p w:rsidR="000B161F" w:rsidRPr="005577B1" w:rsidRDefault="000B161F" w:rsidP="00D77551">
            <w:pPr>
              <w:jc w:val="both"/>
              <w:rPr>
                <w:rFonts w:eastAsia="Calibri"/>
                <w:sz w:val="20"/>
              </w:rPr>
            </w:pPr>
          </w:p>
        </w:tc>
        <w:tc>
          <w:tcPr>
            <w:tcW w:w="2330" w:type="pct"/>
          </w:tcPr>
          <w:p w:rsidR="000B161F" w:rsidRPr="005577B1" w:rsidRDefault="000B161F" w:rsidP="00D77551">
            <w:pPr>
              <w:jc w:val="both"/>
              <w:rPr>
                <w:rFonts w:eastAsia="Calibri"/>
                <w:sz w:val="20"/>
              </w:rPr>
            </w:pPr>
            <w:r w:rsidRPr="005577B1">
              <w:rPr>
                <w:rFonts w:eastAsia="Calibri"/>
                <w:sz w:val="20"/>
              </w:rPr>
              <w:t xml:space="preserve">Decision, </w:t>
            </w:r>
            <w:r w:rsidRPr="005577B1">
              <w:rPr>
                <w:rFonts w:eastAsia="Calibri"/>
                <w:i/>
                <w:sz w:val="20"/>
              </w:rPr>
              <w:t>inter alia</w:t>
            </w:r>
            <w:r w:rsidRPr="005577B1">
              <w:rPr>
                <w:rFonts w:eastAsia="Calibri"/>
                <w:sz w:val="20"/>
              </w:rPr>
              <w:t xml:space="preserve">, that defence of fair dealing for the purpose of research applies to consumers viewing previews consisting of excerpts of works   </w:t>
            </w:r>
          </w:p>
          <w:p w:rsidR="000B161F" w:rsidRPr="005577B1" w:rsidRDefault="000B161F" w:rsidP="00D77551">
            <w:pPr>
              <w:jc w:val="both"/>
              <w:rPr>
                <w:rFonts w:eastAsia="Calibri"/>
                <w:sz w:val="20"/>
              </w:rPr>
            </w:pPr>
          </w:p>
        </w:tc>
      </w:tr>
    </w:tbl>
    <w:p w:rsidR="00EE3B7C" w:rsidRDefault="00EE3B7C"/>
    <w:tbl>
      <w:tblPr>
        <w:tblW w:w="4952" w:type="pct"/>
        <w:tblLayout w:type="fixed"/>
        <w:tblCellMar>
          <w:left w:w="0" w:type="dxa"/>
          <w:bottom w:w="99" w:type="dxa"/>
          <w:right w:w="0" w:type="dxa"/>
        </w:tblCellMar>
        <w:tblLook w:val="04A0"/>
      </w:tblPr>
      <w:tblGrid>
        <w:gridCol w:w="4624"/>
        <w:gridCol w:w="463"/>
        <w:gridCol w:w="4440"/>
      </w:tblGrid>
      <w:tr w:rsidR="000B161F" w:rsidRPr="005577B1" w:rsidTr="00EE3B7C">
        <w:trPr>
          <w:cantSplit/>
        </w:trPr>
        <w:tc>
          <w:tcPr>
            <w:tcW w:w="2427" w:type="pct"/>
          </w:tcPr>
          <w:p w:rsidR="000B161F" w:rsidRPr="005577B1" w:rsidRDefault="000B161F" w:rsidP="00D77551">
            <w:pPr>
              <w:jc w:val="both"/>
              <w:rPr>
                <w:rFonts w:eastAsia="Calibri"/>
                <w:sz w:val="20"/>
              </w:rPr>
            </w:pPr>
            <w:r w:rsidRPr="005577B1">
              <w:rPr>
                <w:rFonts w:eastAsia="Calibri"/>
                <w:sz w:val="20"/>
              </w:rPr>
              <w:lastRenderedPageBreak/>
              <w:t>May 14, 2010</w:t>
            </w:r>
          </w:p>
          <w:p w:rsidR="000B161F" w:rsidRPr="005577B1" w:rsidRDefault="000B161F" w:rsidP="00D77551">
            <w:pPr>
              <w:jc w:val="both"/>
              <w:rPr>
                <w:rFonts w:eastAsia="Calibri"/>
                <w:sz w:val="20"/>
              </w:rPr>
            </w:pPr>
            <w:r w:rsidRPr="005577B1">
              <w:rPr>
                <w:rFonts w:eastAsia="Calibri"/>
                <w:sz w:val="20"/>
              </w:rPr>
              <w:t>Federal Court of Appeal (Montreal)</w:t>
            </w:r>
          </w:p>
          <w:p w:rsidR="000B161F" w:rsidRPr="005577B1" w:rsidRDefault="000B161F" w:rsidP="00D77551">
            <w:pPr>
              <w:jc w:val="both"/>
              <w:rPr>
                <w:rFonts w:eastAsia="Calibri"/>
                <w:sz w:val="20"/>
                <w:lang w:val="fr-CA"/>
              </w:rPr>
            </w:pPr>
            <w:r w:rsidRPr="005577B1">
              <w:rPr>
                <w:rFonts w:eastAsia="Calibri"/>
                <w:sz w:val="20"/>
                <w:lang w:val="fr-CA"/>
              </w:rPr>
              <w:t xml:space="preserve">(Létourneau, Nadon, Pelletier JJ.A.) </w:t>
            </w:r>
          </w:p>
          <w:p w:rsidR="000B161F" w:rsidRPr="005577B1" w:rsidRDefault="000B161F" w:rsidP="00D77551">
            <w:pPr>
              <w:jc w:val="both"/>
              <w:rPr>
                <w:rFonts w:eastAsia="Calibri"/>
                <w:sz w:val="20"/>
              </w:rPr>
            </w:pPr>
            <w:r w:rsidRPr="005577B1">
              <w:rPr>
                <w:rFonts w:eastAsia="Calibri"/>
                <w:sz w:val="20"/>
              </w:rPr>
              <w:t>2010 FCA 123</w:t>
            </w:r>
          </w:p>
          <w:p w:rsidR="000B161F" w:rsidRPr="005577B1" w:rsidRDefault="000B161F" w:rsidP="00D77551">
            <w:pPr>
              <w:jc w:val="both"/>
              <w:rPr>
                <w:rFonts w:eastAsia="Calibri"/>
                <w:sz w:val="20"/>
              </w:rPr>
            </w:pPr>
            <w:r w:rsidRPr="005577B1">
              <w:rPr>
                <w:rFonts w:eastAsia="Calibri"/>
                <w:sz w:val="20"/>
              </w:rPr>
              <w:t xml:space="preserve">Docket : A-514-07 </w:t>
            </w:r>
          </w:p>
          <w:p w:rsidR="000B161F" w:rsidRPr="005577B1" w:rsidRDefault="000B161F" w:rsidP="00D77551">
            <w:pPr>
              <w:jc w:val="both"/>
              <w:rPr>
                <w:rFonts w:eastAsia="Calibri"/>
                <w:sz w:val="20"/>
              </w:rPr>
            </w:pPr>
          </w:p>
        </w:tc>
        <w:tc>
          <w:tcPr>
            <w:tcW w:w="243" w:type="pct"/>
          </w:tcPr>
          <w:p w:rsidR="000B161F" w:rsidRPr="005577B1" w:rsidRDefault="000B161F" w:rsidP="00D77551">
            <w:pPr>
              <w:jc w:val="both"/>
              <w:rPr>
                <w:rFonts w:eastAsia="Calibri"/>
                <w:sz w:val="20"/>
              </w:rPr>
            </w:pPr>
          </w:p>
        </w:tc>
        <w:tc>
          <w:tcPr>
            <w:tcW w:w="2330" w:type="pct"/>
          </w:tcPr>
          <w:p w:rsidR="000B161F" w:rsidRPr="005577B1" w:rsidRDefault="000B161F" w:rsidP="00D77551">
            <w:pPr>
              <w:jc w:val="both"/>
              <w:rPr>
                <w:rFonts w:eastAsia="Calibri"/>
                <w:sz w:val="20"/>
              </w:rPr>
            </w:pPr>
            <w:r w:rsidRPr="005577B1">
              <w:rPr>
                <w:rFonts w:eastAsia="Calibri"/>
                <w:sz w:val="20"/>
              </w:rPr>
              <w:t xml:space="preserve">Application for judicial review dismissed  </w:t>
            </w:r>
          </w:p>
          <w:p w:rsidR="000B161F" w:rsidRPr="005577B1" w:rsidRDefault="000B161F" w:rsidP="00D77551">
            <w:pPr>
              <w:jc w:val="both"/>
              <w:rPr>
                <w:rFonts w:eastAsia="Calibri"/>
                <w:sz w:val="20"/>
              </w:rPr>
            </w:pPr>
          </w:p>
        </w:tc>
      </w:tr>
      <w:tr w:rsidR="000B161F" w:rsidRPr="005577B1" w:rsidTr="00D77551">
        <w:tc>
          <w:tcPr>
            <w:tcW w:w="2427" w:type="pct"/>
          </w:tcPr>
          <w:p w:rsidR="000B161F" w:rsidRPr="005577B1" w:rsidRDefault="000B161F" w:rsidP="00D77551">
            <w:pPr>
              <w:jc w:val="both"/>
              <w:rPr>
                <w:rFonts w:eastAsia="Calibri"/>
                <w:sz w:val="20"/>
              </w:rPr>
            </w:pPr>
            <w:r w:rsidRPr="005577B1">
              <w:rPr>
                <w:rFonts w:eastAsia="Calibri"/>
                <w:sz w:val="20"/>
              </w:rPr>
              <w:t>August 13, 2010</w:t>
            </w:r>
          </w:p>
          <w:p w:rsidR="000B161F" w:rsidRPr="005577B1" w:rsidRDefault="000B161F" w:rsidP="00D77551">
            <w:pPr>
              <w:jc w:val="both"/>
              <w:rPr>
                <w:rFonts w:eastAsia="Calibri"/>
                <w:sz w:val="20"/>
              </w:rPr>
            </w:pPr>
            <w:r w:rsidRPr="005577B1">
              <w:rPr>
                <w:rFonts w:eastAsia="Calibri"/>
                <w:sz w:val="20"/>
              </w:rPr>
              <w:t>Supreme Court of Canada</w:t>
            </w:r>
          </w:p>
        </w:tc>
        <w:tc>
          <w:tcPr>
            <w:tcW w:w="243" w:type="pct"/>
          </w:tcPr>
          <w:p w:rsidR="000B161F" w:rsidRPr="005577B1" w:rsidRDefault="000B161F" w:rsidP="00D77551">
            <w:pPr>
              <w:jc w:val="both"/>
              <w:rPr>
                <w:rFonts w:eastAsia="Calibri"/>
                <w:sz w:val="20"/>
              </w:rPr>
            </w:pPr>
          </w:p>
        </w:tc>
        <w:tc>
          <w:tcPr>
            <w:tcW w:w="2330" w:type="pct"/>
          </w:tcPr>
          <w:p w:rsidR="000B161F" w:rsidRPr="005577B1" w:rsidRDefault="000B161F" w:rsidP="00D77551">
            <w:pPr>
              <w:jc w:val="both"/>
              <w:rPr>
                <w:rFonts w:eastAsia="Calibri"/>
                <w:sz w:val="20"/>
              </w:rPr>
            </w:pPr>
            <w:r w:rsidRPr="005577B1">
              <w:rPr>
                <w:rFonts w:eastAsia="Calibri"/>
                <w:sz w:val="20"/>
              </w:rPr>
              <w:t>Application for leave to appeal filed</w:t>
            </w:r>
          </w:p>
          <w:p w:rsidR="000B161F" w:rsidRPr="005577B1" w:rsidRDefault="000B161F" w:rsidP="00D77551">
            <w:pPr>
              <w:jc w:val="both"/>
              <w:rPr>
                <w:rFonts w:eastAsia="Calibri"/>
                <w:sz w:val="20"/>
              </w:rPr>
            </w:pPr>
          </w:p>
        </w:tc>
      </w:tr>
    </w:tbl>
    <w:p w:rsidR="00E42D2B" w:rsidRPr="00E01ABF" w:rsidRDefault="00E42D2B" w:rsidP="00E42D2B">
      <w:pPr>
        <w:rPr>
          <w:sz w:val="20"/>
          <w:szCs w:val="20"/>
        </w:rPr>
      </w:pPr>
    </w:p>
    <w:p w:rsidR="00E42D2B" w:rsidRDefault="00D56013" w:rsidP="00E42D2B">
      <w:pPr>
        <w:rPr>
          <w:sz w:val="20"/>
          <w:szCs w:val="20"/>
          <w:lang w:val="fr-CA"/>
        </w:rPr>
      </w:pPr>
      <w:r w:rsidRPr="00D56013">
        <w:rPr>
          <w:sz w:val="20"/>
          <w:szCs w:val="20"/>
          <w:lang w:val="fr-CA"/>
        </w:rPr>
        <w:pict>
          <v:rect id="_x0000_i1062" style="width:2in;height:1pt" o:hrpct="0" o:hralign="center" o:hrstd="t" o:hrnoshade="t" o:hr="t" fillcolor="black [3213]" stroked="f"/>
        </w:pict>
      </w:r>
    </w:p>
    <w:p w:rsidR="002E2C77" w:rsidRPr="00E01ABF" w:rsidRDefault="002E2C77" w:rsidP="00E42D2B">
      <w:pPr>
        <w:rPr>
          <w:sz w:val="20"/>
          <w:szCs w:val="20"/>
        </w:rPr>
      </w:pPr>
    </w:p>
    <w:p w:rsidR="00E42D2B" w:rsidRPr="00E01ABF" w:rsidRDefault="00E42D2B" w:rsidP="00E42D2B">
      <w:pPr>
        <w:rPr>
          <w:sz w:val="20"/>
          <w:szCs w:val="20"/>
          <w:u w:val="single"/>
        </w:rPr>
      </w:pPr>
      <w:r w:rsidRPr="00E01ABF">
        <w:rPr>
          <w:sz w:val="20"/>
          <w:szCs w:val="20"/>
          <w:u w:val="single"/>
        </w:rPr>
        <w:t>RÉSUMÉ DE L’AFFAIRE</w:t>
      </w:r>
    </w:p>
    <w:p w:rsidR="00E42D2B" w:rsidRDefault="00E42D2B" w:rsidP="00E42D2B">
      <w:pPr>
        <w:rPr>
          <w:sz w:val="20"/>
          <w:szCs w:val="20"/>
        </w:rPr>
      </w:pPr>
    </w:p>
    <w:tbl>
      <w:tblPr>
        <w:tblW w:w="4952" w:type="pct"/>
        <w:tblInd w:w="2" w:type="dxa"/>
        <w:tblLayout w:type="fixed"/>
        <w:tblCellMar>
          <w:left w:w="0" w:type="dxa"/>
          <w:bottom w:w="99" w:type="dxa"/>
          <w:right w:w="0" w:type="dxa"/>
        </w:tblCellMar>
        <w:tblLook w:val="00A0"/>
      </w:tblPr>
      <w:tblGrid>
        <w:gridCol w:w="4624"/>
        <w:gridCol w:w="463"/>
        <w:gridCol w:w="4440"/>
      </w:tblGrid>
      <w:tr w:rsidR="000B161F" w:rsidRPr="00850008" w:rsidTr="00D77551">
        <w:tc>
          <w:tcPr>
            <w:tcW w:w="5000" w:type="pct"/>
            <w:gridSpan w:val="3"/>
          </w:tcPr>
          <w:p w:rsidR="000B161F" w:rsidRPr="00F46C83" w:rsidRDefault="000B161F" w:rsidP="00D77551">
            <w:pPr>
              <w:jc w:val="both"/>
              <w:rPr>
                <w:rFonts w:eastAsia="Calibri"/>
                <w:smallCaps/>
                <w:sz w:val="20"/>
                <w:lang w:val="fr-CA"/>
              </w:rPr>
            </w:pPr>
            <w:r w:rsidRPr="00F46C83">
              <w:rPr>
                <w:rFonts w:eastAsia="Calibri"/>
                <w:smallCaps/>
                <w:sz w:val="20"/>
                <w:lang w:val="fr-CA"/>
              </w:rPr>
              <w:t>(Le dossier de la Cour renferme des données que le public n'est pas autorisé à consulter)</w:t>
            </w:r>
          </w:p>
          <w:p w:rsidR="000B161F" w:rsidRPr="005577B1" w:rsidRDefault="000B161F" w:rsidP="00D77551">
            <w:pPr>
              <w:jc w:val="both"/>
              <w:rPr>
                <w:rFonts w:eastAsia="Calibri"/>
                <w:sz w:val="20"/>
                <w:lang w:val="fr-CA"/>
              </w:rPr>
            </w:pPr>
          </w:p>
          <w:p w:rsidR="000B161F" w:rsidRDefault="000B161F" w:rsidP="00D77551">
            <w:pPr>
              <w:jc w:val="both"/>
              <w:rPr>
                <w:rFonts w:eastAsia="Calibri"/>
                <w:sz w:val="20"/>
                <w:lang w:val="fr-CA"/>
              </w:rPr>
            </w:pPr>
            <w:r w:rsidRPr="005577B1">
              <w:rPr>
                <w:rFonts w:eastAsia="Calibri"/>
                <w:sz w:val="20"/>
                <w:lang w:val="fr-CA"/>
              </w:rPr>
              <w:t>Propriété intellectuelle – Droit d’auteur – L’offre d’écoute préalable d’extraits d’œuvres est-elle une utilisation équitable à des fins de recherche qui ne viole pas le droit d’auteur?</w:t>
            </w:r>
          </w:p>
          <w:p w:rsidR="00EF43C9" w:rsidRPr="005577B1" w:rsidRDefault="00EF43C9" w:rsidP="00D77551">
            <w:pPr>
              <w:jc w:val="both"/>
              <w:rPr>
                <w:rFonts w:eastAsia="Calibri"/>
                <w:sz w:val="20"/>
                <w:lang w:val="fr-CA"/>
              </w:rPr>
            </w:pPr>
          </w:p>
        </w:tc>
      </w:tr>
      <w:tr w:rsidR="000B161F" w:rsidRPr="005577B1" w:rsidTr="00D77551">
        <w:tc>
          <w:tcPr>
            <w:tcW w:w="5000" w:type="pct"/>
            <w:gridSpan w:val="3"/>
          </w:tcPr>
          <w:p w:rsidR="000B161F" w:rsidRPr="005577B1" w:rsidRDefault="000B161F" w:rsidP="00D77551">
            <w:pPr>
              <w:autoSpaceDE w:val="0"/>
              <w:autoSpaceDN w:val="0"/>
              <w:adjustRightInd w:val="0"/>
              <w:jc w:val="both"/>
              <w:rPr>
                <w:rFonts w:eastAsia="Calibri"/>
                <w:sz w:val="20"/>
                <w:lang w:val="fr-CA"/>
              </w:rPr>
            </w:pPr>
            <w:r w:rsidRPr="005577B1">
              <w:rPr>
                <w:rFonts w:eastAsia="Calibri"/>
                <w:sz w:val="20"/>
                <w:lang w:val="fr-CA"/>
              </w:rPr>
              <w:t>Certains sites internet commerciaux qui vendent des téléchargements d’œuvres permettent aux utilisateurs d’écouter les œuvres au préalable. Une écoute préalable comprend un extrait de l’œuvre, d’une durée de trente secondes par exemple, transmis en ligne et accessible par les consommateurs. Le 18 octobre 2007, la Commission du droit d’auteur Canada a publié une décision fixant les redevances à percevoir pour la communication au public par télécommunications au Canada d’œuvres musicales ou dramatiques. La décision porte entre autres sur les écoutes préalables.</w:t>
            </w:r>
          </w:p>
          <w:p w:rsidR="000B161F" w:rsidRPr="005577B1" w:rsidRDefault="000B161F" w:rsidP="00D77551">
            <w:pPr>
              <w:jc w:val="both"/>
              <w:rPr>
                <w:rFonts w:eastAsia="Calibri"/>
                <w:sz w:val="20"/>
                <w:lang w:val="fr-CA"/>
              </w:rPr>
            </w:pPr>
          </w:p>
        </w:tc>
      </w:tr>
      <w:tr w:rsidR="000B161F" w:rsidRPr="00850008" w:rsidTr="00D77551">
        <w:tc>
          <w:tcPr>
            <w:tcW w:w="2427" w:type="pct"/>
          </w:tcPr>
          <w:p w:rsidR="000B161F" w:rsidRPr="005577B1" w:rsidRDefault="000B161F" w:rsidP="00D77551">
            <w:pPr>
              <w:jc w:val="both"/>
              <w:rPr>
                <w:rFonts w:eastAsia="Calibri"/>
                <w:sz w:val="20"/>
                <w:lang w:val="fr-CA"/>
              </w:rPr>
            </w:pPr>
            <w:r w:rsidRPr="005577B1">
              <w:rPr>
                <w:rFonts w:eastAsia="Calibri"/>
                <w:sz w:val="20"/>
                <w:lang w:val="fr-CA"/>
              </w:rPr>
              <w:t>18 octobre 2007</w:t>
            </w:r>
          </w:p>
          <w:p w:rsidR="000B161F" w:rsidRPr="005577B1" w:rsidRDefault="000B161F" w:rsidP="00D77551">
            <w:pPr>
              <w:jc w:val="both"/>
              <w:rPr>
                <w:rFonts w:eastAsia="Calibri"/>
                <w:sz w:val="20"/>
                <w:lang w:val="fr-CA"/>
              </w:rPr>
            </w:pPr>
            <w:r w:rsidRPr="005577B1">
              <w:rPr>
                <w:rFonts w:eastAsia="Calibri"/>
                <w:sz w:val="20"/>
                <w:lang w:val="fr-CA"/>
              </w:rPr>
              <w:t>Commission du droit d’auteur Canada</w:t>
            </w:r>
          </w:p>
          <w:p w:rsidR="000B161F" w:rsidRPr="005577B1" w:rsidRDefault="000B161F" w:rsidP="00D77551">
            <w:pPr>
              <w:jc w:val="both"/>
              <w:rPr>
                <w:rFonts w:eastAsia="Calibri"/>
                <w:sz w:val="20"/>
                <w:lang w:val="fr-CA"/>
              </w:rPr>
            </w:pPr>
            <w:r w:rsidRPr="005577B1">
              <w:rPr>
                <w:rFonts w:eastAsia="Calibri"/>
                <w:sz w:val="20"/>
                <w:lang w:val="fr-CA"/>
              </w:rPr>
              <w:t>(Commissaires Vancise, Callary et Charron)</w:t>
            </w:r>
          </w:p>
          <w:p w:rsidR="000B161F" w:rsidRPr="005577B1" w:rsidRDefault="000B161F" w:rsidP="00D77551">
            <w:pPr>
              <w:jc w:val="both"/>
              <w:rPr>
                <w:rFonts w:eastAsia="Calibri"/>
                <w:sz w:val="20"/>
                <w:lang w:val="fr-CA"/>
              </w:rPr>
            </w:pPr>
          </w:p>
        </w:tc>
        <w:tc>
          <w:tcPr>
            <w:tcW w:w="243" w:type="pct"/>
          </w:tcPr>
          <w:p w:rsidR="000B161F" w:rsidRPr="005577B1" w:rsidRDefault="000B161F" w:rsidP="00D77551">
            <w:pPr>
              <w:jc w:val="both"/>
              <w:rPr>
                <w:rFonts w:eastAsia="Calibri"/>
                <w:sz w:val="20"/>
                <w:lang w:val="fr-CA"/>
              </w:rPr>
            </w:pPr>
          </w:p>
        </w:tc>
        <w:tc>
          <w:tcPr>
            <w:tcW w:w="2330" w:type="pct"/>
          </w:tcPr>
          <w:p w:rsidR="000B161F" w:rsidRPr="005577B1" w:rsidRDefault="000B161F" w:rsidP="00D77551">
            <w:pPr>
              <w:jc w:val="both"/>
              <w:rPr>
                <w:rFonts w:eastAsia="Calibri"/>
                <w:sz w:val="20"/>
                <w:lang w:val="fr-CA"/>
              </w:rPr>
            </w:pPr>
            <w:r w:rsidRPr="005577B1">
              <w:rPr>
                <w:rFonts w:eastAsia="Calibri"/>
                <w:sz w:val="20"/>
                <w:lang w:val="fr-CA"/>
              </w:rPr>
              <w:t>Décision portant notamment que la défense d’utilisation équitable à des fins de recherche s’applique aux consommateurs qui font l’écoute préalable d’extraits d’oeuvres</w:t>
            </w:r>
          </w:p>
          <w:p w:rsidR="000B161F" w:rsidRPr="005577B1" w:rsidRDefault="000B161F" w:rsidP="00D77551">
            <w:pPr>
              <w:jc w:val="both"/>
              <w:rPr>
                <w:rFonts w:eastAsia="Calibri"/>
                <w:sz w:val="20"/>
                <w:lang w:val="fr-CA"/>
              </w:rPr>
            </w:pPr>
          </w:p>
        </w:tc>
      </w:tr>
      <w:tr w:rsidR="000B161F" w:rsidRPr="005577B1" w:rsidTr="00D77551">
        <w:tc>
          <w:tcPr>
            <w:tcW w:w="2427" w:type="pct"/>
          </w:tcPr>
          <w:p w:rsidR="000B161F" w:rsidRPr="005577B1" w:rsidRDefault="000B161F" w:rsidP="00D77551">
            <w:pPr>
              <w:jc w:val="both"/>
              <w:rPr>
                <w:rFonts w:eastAsia="Calibri"/>
                <w:sz w:val="20"/>
                <w:lang w:val="fr-CA"/>
              </w:rPr>
            </w:pPr>
            <w:r w:rsidRPr="005577B1">
              <w:rPr>
                <w:rFonts w:eastAsia="Calibri"/>
                <w:sz w:val="20"/>
                <w:lang w:val="fr-CA"/>
              </w:rPr>
              <w:t>14 mai 2010</w:t>
            </w:r>
          </w:p>
          <w:p w:rsidR="000B161F" w:rsidRPr="005577B1" w:rsidRDefault="000B161F" w:rsidP="00D77551">
            <w:pPr>
              <w:jc w:val="both"/>
              <w:rPr>
                <w:rFonts w:eastAsia="Calibri"/>
                <w:sz w:val="20"/>
                <w:lang w:val="fr-CA"/>
              </w:rPr>
            </w:pPr>
            <w:r w:rsidRPr="005577B1">
              <w:rPr>
                <w:rFonts w:eastAsia="Calibri"/>
                <w:sz w:val="20"/>
                <w:lang w:val="fr-CA"/>
              </w:rPr>
              <w:t>Cour d’appel fédérale (Montréal)</w:t>
            </w:r>
          </w:p>
          <w:p w:rsidR="000B161F" w:rsidRPr="005577B1" w:rsidRDefault="000B161F" w:rsidP="00D77551">
            <w:pPr>
              <w:jc w:val="both"/>
              <w:rPr>
                <w:rFonts w:eastAsia="Calibri"/>
                <w:sz w:val="20"/>
                <w:lang w:val="fr-CA"/>
              </w:rPr>
            </w:pPr>
            <w:r w:rsidRPr="005577B1">
              <w:rPr>
                <w:rFonts w:eastAsia="Calibri"/>
                <w:sz w:val="20"/>
                <w:lang w:val="fr-CA"/>
              </w:rPr>
              <w:t xml:space="preserve">(Juges Létourneau, Nadon et Pelletier) </w:t>
            </w:r>
          </w:p>
          <w:p w:rsidR="000B161F" w:rsidRPr="005577B1" w:rsidRDefault="000B161F" w:rsidP="00D77551">
            <w:pPr>
              <w:jc w:val="both"/>
              <w:rPr>
                <w:rFonts w:eastAsia="Calibri"/>
                <w:sz w:val="20"/>
                <w:lang w:val="fr-CA"/>
              </w:rPr>
            </w:pPr>
            <w:r w:rsidRPr="005577B1">
              <w:rPr>
                <w:rFonts w:eastAsia="Calibri"/>
                <w:sz w:val="20"/>
                <w:lang w:val="fr-CA"/>
              </w:rPr>
              <w:t>2010 CAF 123</w:t>
            </w:r>
          </w:p>
          <w:p w:rsidR="000B161F" w:rsidRPr="005577B1" w:rsidRDefault="000B161F" w:rsidP="00D77551">
            <w:pPr>
              <w:jc w:val="both"/>
              <w:rPr>
                <w:rFonts w:eastAsia="Calibri"/>
                <w:sz w:val="20"/>
                <w:lang w:val="fr-CA"/>
              </w:rPr>
            </w:pPr>
            <w:r w:rsidRPr="005577B1">
              <w:rPr>
                <w:rFonts w:eastAsia="Calibri"/>
                <w:sz w:val="20"/>
                <w:lang w:val="fr-CA"/>
              </w:rPr>
              <w:t xml:space="preserve">Registre : A-514-07 </w:t>
            </w:r>
          </w:p>
          <w:p w:rsidR="000B161F" w:rsidRPr="005577B1" w:rsidRDefault="000B161F" w:rsidP="00D77551">
            <w:pPr>
              <w:jc w:val="both"/>
              <w:rPr>
                <w:rFonts w:eastAsia="Calibri"/>
                <w:sz w:val="20"/>
                <w:lang w:val="fr-CA"/>
              </w:rPr>
            </w:pPr>
          </w:p>
        </w:tc>
        <w:tc>
          <w:tcPr>
            <w:tcW w:w="243" w:type="pct"/>
          </w:tcPr>
          <w:p w:rsidR="000B161F" w:rsidRPr="005577B1" w:rsidRDefault="000B161F" w:rsidP="00D77551">
            <w:pPr>
              <w:jc w:val="both"/>
              <w:rPr>
                <w:rFonts w:eastAsia="Calibri"/>
                <w:sz w:val="20"/>
                <w:lang w:val="fr-CA"/>
              </w:rPr>
            </w:pPr>
          </w:p>
        </w:tc>
        <w:tc>
          <w:tcPr>
            <w:tcW w:w="2330" w:type="pct"/>
          </w:tcPr>
          <w:p w:rsidR="000B161F" w:rsidRPr="005577B1" w:rsidRDefault="000B161F" w:rsidP="00D77551">
            <w:pPr>
              <w:jc w:val="both"/>
              <w:rPr>
                <w:rFonts w:eastAsia="Calibri"/>
                <w:sz w:val="20"/>
                <w:lang w:val="fr-CA"/>
              </w:rPr>
            </w:pPr>
            <w:r w:rsidRPr="005577B1">
              <w:rPr>
                <w:rFonts w:eastAsia="Calibri"/>
                <w:sz w:val="20"/>
                <w:lang w:val="fr-CA"/>
              </w:rPr>
              <w:t xml:space="preserve">Demande de contrôle judiciaire rejetée  </w:t>
            </w:r>
          </w:p>
          <w:p w:rsidR="000B161F" w:rsidRPr="005577B1" w:rsidRDefault="000B161F" w:rsidP="00D77551">
            <w:pPr>
              <w:jc w:val="both"/>
              <w:rPr>
                <w:rFonts w:eastAsia="Calibri"/>
                <w:sz w:val="20"/>
                <w:lang w:val="fr-CA"/>
              </w:rPr>
            </w:pPr>
          </w:p>
        </w:tc>
      </w:tr>
      <w:tr w:rsidR="000B161F" w:rsidRPr="005577B1" w:rsidTr="00D77551">
        <w:tc>
          <w:tcPr>
            <w:tcW w:w="2427" w:type="pct"/>
          </w:tcPr>
          <w:p w:rsidR="000B161F" w:rsidRPr="005577B1" w:rsidRDefault="000B161F" w:rsidP="00D77551">
            <w:pPr>
              <w:jc w:val="both"/>
              <w:rPr>
                <w:rFonts w:eastAsia="Calibri"/>
                <w:sz w:val="20"/>
                <w:lang w:val="fr-CA"/>
              </w:rPr>
            </w:pPr>
            <w:r w:rsidRPr="005577B1">
              <w:rPr>
                <w:rFonts w:eastAsia="Calibri"/>
                <w:sz w:val="20"/>
                <w:lang w:val="fr-CA"/>
              </w:rPr>
              <w:t>13 août 2010</w:t>
            </w:r>
          </w:p>
          <w:p w:rsidR="000B161F" w:rsidRPr="005577B1" w:rsidRDefault="000B161F" w:rsidP="00D77551">
            <w:pPr>
              <w:jc w:val="both"/>
              <w:rPr>
                <w:rFonts w:eastAsia="Calibri"/>
                <w:sz w:val="20"/>
                <w:lang w:val="fr-CA"/>
              </w:rPr>
            </w:pPr>
            <w:r w:rsidRPr="005577B1">
              <w:rPr>
                <w:rFonts w:eastAsia="Calibri"/>
                <w:sz w:val="20"/>
                <w:lang w:val="fr-CA"/>
              </w:rPr>
              <w:t>Cour suprême du Canada</w:t>
            </w:r>
          </w:p>
        </w:tc>
        <w:tc>
          <w:tcPr>
            <w:tcW w:w="243" w:type="pct"/>
          </w:tcPr>
          <w:p w:rsidR="000B161F" w:rsidRPr="005577B1" w:rsidRDefault="000B161F" w:rsidP="00D77551">
            <w:pPr>
              <w:jc w:val="both"/>
              <w:rPr>
                <w:rFonts w:eastAsia="Calibri"/>
                <w:sz w:val="20"/>
                <w:lang w:val="fr-CA"/>
              </w:rPr>
            </w:pPr>
          </w:p>
        </w:tc>
        <w:tc>
          <w:tcPr>
            <w:tcW w:w="2330" w:type="pct"/>
          </w:tcPr>
          <w:p w:rsidR="000B161F" w:rsidRPr="005577B1" w:rsidRDefault="000B161F" w:rsidP="00D77551">
            <w:pPr>
              <w:jc w:val="both"/>
              <w:rPr>
                <w:rFonts w:eastAsia="Calibri"/>
                <w:sz w:val="20"/>
                <w:lang w:val="fr-CA"/>
              </w:rPr>
            </w:pPr>
            <w:r w:rsidRPr="005577B1">
              <w:rPr>
                <w:rFonts w:eastAsia="Calibri"/>
                <w:sz w:val="20"/>
                <w:lang w:val="fr-CA"/>
              </w:rPr>
              <w:t>Demande d’autorisation d’appel déposée</w:t>
            </w:r>
          </w:p>
          <w:p w:rsidR="000B161F" w:rsidRPr="005577B1" w:rsidRDefault="000B161F" w:rsidP="00D77551">
            <w:pPr>
              <w:jc w:val="both"/>
              <w:rPr>
                <w:rFonts w:eastAsia="Calibri"/>
                <w:sz w:val="20"/>
                <w:lang w:val="fr-CA"/>
              </w:rPr>
            </w:pPr>
          </w:p>
        </w:tc>
      </w:tr>
    </w:tbl>
    <w:p w:rsidR="00E42D2B" w:rsidRPr="00E01ABF" w:rsidRDefault="00E42D2B" w:rsidP="00E42D2B">
      <w:pPr>
        <w:rPr>
          <w:sz w:val="20"/>
          <w:szCs w:val="20"/>
        </w:rPr>
      </w:pPr>
    </w:p>
    <w:p w:rsidR="00E42D2B" w:rsidRDefault="00D56013" w:rsidP="00E42D2B">
      <w:pPr>
        <w:rPr>
          <w:sz w:val="20"/>
          <w:szCs w:val="20"/>
          <w:lang w:val="fr-CA"/>
        </w:rPr>
      </w:pPr>
      <w:r w:rsidRPr="00D56013">
        <w:rPr>
          <w:sz w:val="20"/>
          <w:szCs w:val="20"/>
          <w:lang w:val="fr-CA"/>
        </w:rPr>
        <w:pict>
          <v:rect id="_x0000_i1063" style="width:2in;height:1pt" o:hrpct="0" o:hralign="center" o:hrstd="t" o:hrnoshade="t" o:hr="t" fillcolor="black [3213]" stroked="f"/>
        </w:pict>
      </w:r>
    </w:p>
    <w:p w:rsidR="00E42D2B" w:rsidRDefault="00E42D2B" w:rsidP="008D292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EE3B7C" w:rsidRPr="00EE3B7C" w:rsidTr="00EE3B7C">
        <w:tc>
          <w:tcPr>
            <w:tcW w:w="1458" w:type="dxa"/>
          </w:tcPr>
          <w:p w:rsidR="00EE3B7C" w:rsidRPr="00EE3B7C" w:rsidRDefault="00EE3B7C" w:rsidP="00473DF7">
            <w:pPr>
              <w:rPr>
                <w:sz w:val="20"/>
                <w:szCs w:val="20"/>
              </w:rPr>
            </w:pPr>
            <w:r w:rsidRPr="00EE3B7C">
              <w:rPr>
                <w:rStyle w:val="SCCFileNumberChar"/>
                <w:sz w:val="20"/>
                <w:szCs w:val="20"/>
              </w:rPr>
              <w:t>33805</w:t>
            </w:r>
          </w:p>
          <w:p w:rsidR="00EE3B7C" w:rsidRPr="00EE3B7C" w:rsidRDefault="00EE3B7C" w:rsidP="00473DF7">
            <w:pPr>
              <w:rPr>
                <w:b/>
                <w:sz w:val="20"/>
                <w:szCs w:val="20"/>
                <w:lang w:val="fr-CA"/>
              </w:rPr>
            </w:pPr>
          </w:p>
        </w:tc>
        <w:tc>
          <w:tcPr>
            <w:tcW w:w="8118" w:type="dxa"/>
          </w:tcPr>
          <w:p w:rsidR="00EE3B7C" w:rsidRPr="00EE3B7C" w:rsidRDefault="00EE3B7C" w:rsidP="00473DF7">
            <w:pPr>
              <w:rPr>
                <w:sz w:val="20"/>
                <w:szCs w:val="20"/>
              </w:rPr>
            </w:pPr>
            <w:r w:rsidRPr="00EE3B7C">
              <w:rPr>
                <w:rStyle w:val="SCCLsocChar"/>
                <w:sz w:val="20"/>
                <w:szCs w:val="20"/>
                <w:lang w:val="en-CA"/>
              </w:rPr>
              <w:t>Syed Joe Ahmad v. Phil Lachambre</w:t>
            </w:r>
            <w:r w:rsidRPr="00EE3B7C">
              <w:rPr>
                <w:sz w:val="20"/>
                <w:szCs w:val="20"/>
              </w:rPr>
              <w:t xml:space="preserve"> (Alta.) (Civil) (By Leave)</w:t>
            </w:r>
          </w:p>
          <w:p w:rsidR="00EE3B7C" w:rsidRPr="00EE3B7C" w:rsidRDefault="00EE3B7C" w:rsidP="00473DF7">
            <w:pPr>
              <w:rPr>
                <w:sz w:val="20"/>
                <w:szCs w:val="20"/>
              </w:rPr>
            </w:pPr>
          </w:p>
        </w:tc>
      </w:tr>
      <w:tr w:rsidR="00EE3B7C" w:rsidRPr="00EE3B7C" w:rsidTr="00EE3B7C">
        <w:tc>
          <w:tcPr>
            <w:tcW w:w="1458" w:type="dxa"/>
          </w:tcPr>
          <w:p w:rsidR="00EE3B7C" w:rsidRPr="00EE3B7C" w:rsidRDefault="00EE3B7C" w:rsidP="00473DF7">
            <w:pPr>
              <w:rPr>
                <w:sz w:val="20"/>
                <w:szCs w:val="20"/>
              </w:rPr>
            </w:pPr>
            <w:r w:rsidRPr="00EE3B7C">
              <w:rPr>
                <w:sz w:val="20"/>
                <w:szCs w:val="20"/>
              </w:rPr>
              <w:t>Coram :</w:t>
            </w:r>
          </w:p>
        </w:tc>
        <w:tc>
          <w:tcPr>
            <w:tcW w:w="8118" w:type="dxa"/>
          </w:tcPr>
          <w:p w:rsidR="00EE3B7C" w:rsidRPr="00EE3B7C" w:rsidRDefault="00EE3B7C" w:rsidP="00473DF7">
            <w:pPr>
              <w:rPr>
                <w:sz w:val="20"/>
                <w:szCs w:val="20"/>
              </w:rPr>
            </w:pPr>
            <w:r w:rsidRPr="00EE3B7C">
              <w:rPr>
                <w:rStyle w:val="SCCCoramChar"/>
                <w:sz w:val="20"/>
                <w:szCs w:val="20"/>
                <w:lang w:val="en-CA"/>
              </w:rPr>
              <w:t>Binnie, Fish and Rothstein JJ.</w:t>
            </w:r>
          </w:p>
          <w:p w:rsidR="00EE3B7C" w:rsidRPr="00EE3B7C" w:rsidRDefault="00EE3B7C" w:rsidP="00473DF7">
            <w:pPr>
              <w:rPr>
                <w:sz w:val="20"/>
                <w:szCs w:val="20"/>
                <w:u w:val="single"/>
              </w:rPr>
            </w:pPr>
          </w:p>
        </w:tc>
      </w:tr>
      <w:tr w:rsidR="00EE3B7C" w:rsidRPr="00850008" w:rsidTr="00EE3B7C">
        <w:tc>
          <w:tcPr>
            <w:tcW w:w="9576" w:type="dxa"/>
            <w:gridSpan w:val="2"/>
          </w:tcPr>
          <w:p w:rsidR="00EE3B7C" w:rsidRPr="00EE3B7C" w:rsidRDefault="00EE3B7C" w:rsidP="00473DF7">
            <w:pPr>
              <w:pStyle w:val="SCCShortJudgment"/>
              <w:rPr>
                <w:szCs w:val="20"/>
              </w:rPr>
            </w:pPr>
            <w:r w:rsidRPr="00EE3B7C">
              <w:rPr>
                <w:szCs w:val="20"/>
              </w:rPr>
              <w:t>The motion for an extension of time to serve and file the application for leave to appeal is granted.  The application for leave to appeal from the judgment of the Court of Appeal of Alberta (Edmonton), Number 0903-0157-AC, 2010 ABCA 142, dated April 27, 2010, is dismissed with costs.</w:t>
            </w:r>
          </w:p>
          <w:p w:rsidR="00EE3B7C" w:rsidRPr="00EE3B7C" w:rsidRDefault="00EE3B7C" w:rsidP="00473DF7">
            <w:pPr>
              <w:pStyle w:val="SCCShortJudgment"/>
              <w:ind w:firstLine="0"/>
              <w:rPr>
                <w:szCs w:val="20"/>
              </w:rPr>
            </w:pPr>
          </w:p>
          <w:p w:rsidR="00EE3B7C" w:rsidRPr="00EE3B7C" w:rsidRDefault="00EE3B7C" w:rsidP="00EE3B7C">
            <w:pPr>
              <w:pStyle w:val="SCCShortJudgment"/>
              <w:rPr>
                <w:szCs w:val="20"/>
                <w:lang w:val="fr-CA"/>
              </w:rPr>
            </w:pPr>
            <w:r w:rsidRPr="00EE3B7C">
              <w:rPr>
                <w:szCs w:val="20"/>
                <w:lang w:val="fr-CA"/>
              </w:rPr>
              <w:t xml:space="preserve">La requête en prorogation du délai de signification et de dépôt de la demande d’autorisation d’appel est </w:t>
            </w:r>
            <w:r w:rsidRPr="00EE3B7C">
              <w:rPr>
                <w:szCs w:val="20"/>
                <w:lang w:val="fr-CA"/>
              </w:rPr>
              <w:lastRenderedPageBreak/>
              <w:t>accordée.  La demande d’autorisation d’appel de l’arrêt de la Cour d'appel de l’Alberta (Edmonton), numéro 0903-0157-AC, 2010 ABCA 142, daté du 27 avril 2010, est rejetée avec dépens.</w:t>
            </w:r>
          </w:p>
        </w:tc>
      </w:tr>
    </w:tbl>
    <w:p w:rsidR="00E42D2B" w:rsidRPr="00EE3B7C" w:rsidRDefault="00E42D2B" w:rsidP="00E42D2B">
      <w:pPr>
        <w:rPr>
          <w:sz w:val="20"/>
          <w:szCs w:val="20"/>
          <w:lang w:val="fr-CA"/>
        </w:rPr>
      </w:pPr>
    </w:p>
    <w:p w:rsidR="00E42D2B" w:rsidRPr="00E01ABF" w:rsidRDefault="00E42D2B" w:rsidP="00E42D2B">
      <w:pPr>
        <w:rPr>
          <w:sz w:val="20"/>
          <w:szCs w:val="20"/>
          <w:u w:val="single"/>
        </w:rPr>
      </w:pPr>
      <w:r w:rsidRPr="00E01ABF">
        <w:rPr>
          <w:sz w:val="20"/>
          <w:szCs w:val="20"/>
          <w:u w:val="single"/>
        </w:rPr>
        <w:t>CASE SUMMARY</w:t>
      </w:r>
    </w:p>
    <w:p w:rsidR="00E42D2B" w:rsidRDefault="00E42D2B" w:rsidP="00E42D2B">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0B161F" w:rsidRPr="009A0486" w:rsidTr="00D77551">
        <w:tc>
          <w:tcPr>
            <w:tcW w:w="5000" w:type="pct"/>
            <w:gridSpan w:val="3"/>
          </w:tcPr>
          <w:p w:rsidR="000B161F" w:rsidRDefault="000B161F" w:rsidP="00D77551">
            <w:pPr>
              <w:jc w:val="both"/>
              <w:rPr>
                <w:rFonts w:eastAsia="Calibri"/>
                <w:sz w:val="20"/>
              </w:rPr>
            </w:pPr>
            <w:r w:rsidRPr="009A0486">
              <w:rPr>
                <w:rFonts w:eastAsia="Calibri"/>
                <w:sz w:val="20"/>
              </w:rPr>
              <w:t>Civil procedure – Application for non-suit- Torts – Inducement of breach of employment contract – Whether the Court of Appeal erred in accepting the trial judge’s test for granting a non-suit application and its application to the facts of this case.</w:t>
            </w:r>
          </w:p>
          <w:p w:rsidR="00EF43C9" w:rsidRPr="009A0486" w:rsidRDefault="00EF43C9" w:rsidP="00D77551">
            <w:pPr>
              <w:jc w:val="both"/>
              <w:rPr>
                <w:rFonts w:eastAsia="Calibri"/>
                <w:sz w:val="20"/>
              </w:rPr>
            </w:pPr>
          </w:p>
        </w:tc>
      </w:tr>
      <w:tr w:rsidR="000B161F" w:rsidRPr="009A0486" w:rsidTr="00D77551">
        <w:tc>
          <w:tcPr>
            <w:tcW w:w="5000" w:type="pct"/>
            <w:gridSpan w:val="3"/>
          </w:tcPr>
          <w:p w:rsidR="000B161F" w:rsidRPr="009A0486" w:rsidRDefault="000B161F" w:rsidP="00D77551">
            <w:pPr>
              <w:jc w:val="both"/>
              <w:rPr>
                <w:rFonts w:eastAsia="Calibri"/>
                <w:sz w:val="20"/>
              </w:rPr>
            </w:pPr>
            <w:r w:rsidRPr="009A0486">
              <w:rPr>
                <w:rFonts w:eastAsia="Calibri"/>
                <w:sz w:val="20"/>
              </w:rPr>
              <w:t>The Applicant was the chief executive officer of the Athabasca Tribal Council Ltd. (“ATC”), a corporation formed by five First Nations. ATC cooperated with various companies near Fort McMurray in securing employment for members of the First Nations. The Respondent was vice-president of one of those employer companies.</w:t>
            </w:r>
          </w:p>
          <w:p w:rsidR="000B161F" w:rsidRPr="009A0486" w:rsidRDefault="000B161F" w:rsidP="00D77551">
            <w:pPr>
              <w:jc w:val="both"/>
              <w:rPr>
                <w:rFonts w:eastAsia="Calibri"/>
                <w:sz w:val="20"/>
              </w:rPr>
            </w:pPr>
          </w:p>
          <w:p w:rsidR="000B161F" w:rsidRPr="009A0486" w:rsidRDefault="000B161F" w:rsidP="00D77551">
            <w:pPr>
              <w:jc w:val="both"/>
              <w:rPr>
                <w:rFonts w:eastAsia="Calibri"/>
                <w:sz w:val="20"/>
              </w:rPr>
            </w:pPr>
            <w:r w:rsidRPr="009A0486">
              <w:rPr>
                <w:rFonts w:eastAsia="Calibri"/>
                <w:sz w:val="20"/>
              </w:rPr>
              <w:t xml:space="preserve">Complaints were made about the Applicant. Due to financial concerns about ATC, he put forward a proposal that employer companies pay more of the operating costs of ATC. This was unpopular with the companies, and ultimately rejected. A number of people inside and outside ATC had concerns about the Applicant’s actions. When the Respondent was told that the Applicant’s termination was being contemplated, he indicated that he would not have a problem with that decision.  When the Applicant was terminated, he brought an action against ATC for wrongful dismissal, and brought an action against the Respondent and another individual, claiming the tort of inducing breach of his employment contract.  </w:t>
            </w:r>
          </w:p>
          <w:p w:rsidR="000B161F" w:rsidRPr="009A0486" w:rsidRDefault="000B161F" w:rsidP="00D77551">
            <w:pPr>
              <w:jc w:val="both"/>
              <w:rPr>
                <w:rFonts w:eastAsia="Calibri"/>
                <w:sz w:val="20"/>
              </w:rPr>
            </w:pPr>
          </w:p>
        </w:tc>
      </w:tr>
      <w:tr w:rsidR="000B161F" w:rsidRPr="009A0486" w:rsidTr="00D77551">
        <w:tc>
          <w:tcPr>
            <w:tcW w:w="2427" w:type="pct"/>
          </w:tcPr>
          <w:p w:rsidR="000B161F" w:rsidRPr="009A0486" w:rsidRDefault="000B161F" w:rsidP="00D77551">
            <w:pPr>
              <w:jc w:val="both"/>
              <w:rPr>
                <w:rFonts w:eastAsia="Calibri"/>
                <w:sz w:val="20"/>
              </w:rPr>
            </w:pPr>
            <w:r w:rsidRPr="009A0486">
              <w:rPr>
                <w:rFonts w:eastAsia="Calibri"/>
                <w:sz w:val="20"/>
              </w:rPr>
              <w:t>October 27, 2008</w:t>
            </w:r>
          </w:p>
          <w:p w:rsidR="000B161F" w:rsidRPr="009A0486" w:rsidRDefault="000B161F" w:rsidP="00D77551">
            <w:pPr>
              <w:jc w:val="both"/>
              <w:rPr>
                <w:rFonts w:eastAsia="Calibri"/>
                <w:sz w:val="20"/>
              </w:rPr>
            </w:pPr>
            <w:r w:rsidRPr="009A0486">
              <w:rPr>
                <w:rFonts w:eastAsia="Calibri"/>
                <w:sz w:val="20"/>
              </w:rPr>
              <w:t>Court of Queen’s Bench of Alberta</w:t>
            </w:r>
          </w:p>
          <w:p w:rsidR="000B161F" w:rsidRPr="009A0486" w:rsidRDefault="000B161F" w:rsidP="00D77551">
            <w:pPr>
              <w:jc w:val="both"/>
              <w:rPr>
                <w:rFonts w:eastAsia="Calibri"/>
                <w:sz w:val="20"/>
              </w:rPr>
            </w:pPr>
            <w:r w:rsidRPr="009A0486">
              <w:rPr>
                <w:rFonts w:eastAsia="Calibri"/>
                <w:sz w:val="20"/>
              </w:rPr>
              <w:t>(Belzil J.)</w:t>
            </w:r>
          </w:p>
          <w:p w:rsidR="000B161F" w:rsidRPr="009A0486" w:rsidRDefault="000B161F" w:rsidP="00D77551">
            <w:pPr>
              <w:jc w:val="both"/>
              <w:rPr>
                <w:rFonts w:eastAsia="Calibri"/>
                <w:sz w:val="20"/>
              </w:rPr>
            </w:pPr>
            <w:r w:rsidRPr="009A0486">
              <w:rPr>
                <w:rFonts w:eastAsia="Calibri"/>
                <w:sz w:val="20"/>
              </w:rPr>
              <w:t>2008 ABQB 699</w:t>
            </w:r>
          </w:p>
          <w:p w:rsidR="000B161F" w:rsidRPr="009A0486" w:rsidRDefault="000B161F" w:rsidP="00D77551">
            <w:pPr>
              <w:jc w:val="both"/>
              <w:rPr>
                <w:rFonts w:eastAsia="Calibri"/>
                <w:sz w:val="20"/>
              </w:rPr>
            </w:pPr>
          </w:p>
        </w:tc>
        <w:tc>
          <w:tcPr>
            <w:tcW w:w="243" w:type="pct"/>
          </w:tcPr>
          <w:p w:rsidR="000B161F" w:rsidRPr="009A0486" w:rsidRDefault="000B161F" w:rsidP="00D77551">
            <w:pPr>
              <w:jc w:val="both"/>
              <w:rPr>
                <w:rFonts w:eastAsia="Calibri"/>
                <w:sz w:val="20"/>
              </w:rPr>
            </w:pPr>
          </w:p>
        </w:tc>
        <w:tc>
          <w:tcPr>
            <w:tcW w:w="2330" w:type="pct"/>
          </w:tcPr>
          <w:p w:rsidR="000B161F" w:rsidRPr="009A0486" w:rsidRDefault="000B161F" w:rsidP="00D77551">
            <w:pPr>
              <w:jc w:val="both"/>
              <w:rPr>
                <w:rFonts w:eastAsia="Calibri"/>
                <w:sz w:val="20"/>
              </w:rPr>
            </w:pPr>
            <w:r w:rsidRPr="009A0486">
              <w:rPr>
                <w:rFonts w:eastAsia="Calibri"/>
                <w:sz w:val="20"/>
              </w:rPr>
              <w:t>Applicant awarded judgment against employer in the amount of three weeks’ salary, all other claims dismissed; Respondent’s application for non-suit of  Applicant’s claim for the tort of inducing breach of contract, granted</w:t>
            </w:r>
          </w:p>
          <w:p w:rsidR="000B161F" w:rsidRPr="009A0486" w:rsidRDefault="000B161F" w:rsidP="00D77551">
            <w:pPr>
              <w:jc w:val="both"/>
              <w:rPr>
                <w:rFonts w:eastAsia="Calibri"/>
                <w:sz w:val="20"/>
              </w:rPr>
            </w:pPr>
          </w:p>
        </w:tc>
      </w:tr>
      <w:tr w:rsidR="000B161F" w:rsidRPr="009A0486" w:rsidTr="00D77551">
        <w:tc>
          <w:tcPr>
            <w:tcW w:w="2427" w:type="pct"/>
          </w:tcPr>
          <w:p w:rsidR="000B161F" w:rsidRPr="009A0486" w:rsidRDefault="000B161F" w:rsidP="00D77551">
            <w:pPr>
              <w:jc w:val="both"/>
              <w:rPr>
                <w:rFonts w:eastAsia="Calibri"/>
                <w:sz w:val="20"/>
              </w:rPr>
            </w:pPr>
            <w:r w:rsidRPr="009A0486">
              <w:rPr>
                <w:rFonts w:eastAsia="Calibri"/>
                <w:sz w:val="20"/>
              </w:rPr>
              <w:t>April 27, 2010</w:t>
            </w:r>
          </w:p>
          <w:p w:rsidR="000B161F" w:rsidRPr="009A0486" w:rsidRDefault="000B161F" w:rsidP="00D77551">
            <w:pPr>
              <w:jc w:val="both"/>
              <w:rPr>
                <w:rFonts w:eastAsia="Calibri"/>
                <w:sz w:val="20"/>
              </w:rPr>
            </w:pPr>
            <w:r w:rsidRPr="009A0486">
              <w:rPr>
                <w:rFonts w:eastAsia="Calibri"/>
                <w:sz w:val="20"/>
              </w:rPr>
              <w:t>Court of Appeal of Alberta (Edmonton)</w:t>
            </w:r>
          </w:p>
          <w:p w:rsidR="000B161F" w:rsidRPr="009A0486" w:rsidRDefault="000B161F" w:rsidP="00D77551">
            <w:pPr>
              <w:jc w:val="both"/>
              <w:rPr>
                <w:rFonts w:eastAsia="Calibri"/>
                <w:sz w:val="20"/>
              </w:rPr>
            </w:pPr>
            <w:r w:rsidRPr="009A0486">
              <w:rPr>
                <w:rFonts w:eastAsia="Calibri"/>
                <w:sz w:val="20"/>
              </w:rPr>
              <w:t>(Côté, O'Brien and Gill JJ.A.)</w:t>
            </w:r>
          </w:p>
          <w:p w:rsidR="000B161F" w:rsidRPr="009A0486" w:rsidRDefault="000B161F" w:rsidP="00D77551">
            <w:pPr>
              <w:jc w:val="both"/>
              <w:rPr>
                <w:rFonts w:eastAsia="Calibri"/>
                <w:sz w:val="20"/>
              </w:rPr>
            </w:pPr>
            <w:r w:rsidRPr="009A0486">
              <w:rPr>
                <w:rFonts w:eastAsia="Calibri"/>
                <w:sz w:val="20"/>
              </w:rPr>
              <w:t>2010 ABCA 142</w:t>
            </w:r>
          </w:p>
          <w:p w:rsidR="000B161F" w:rsidRPr="009A0486" w:rsidRDefault="000B161F" w:rsidP="00D77551">
            <w:pPr>
              <w:jc w:val="both"/>
              <w:rPr>
                <w:rFonts w:eastAsia="Calibri"/>
                <w:sz w:val="20"/>
              </w:rPr>
            </w:pPr>
          </w:p>
        </w:tc>
        <w:tc>
          <w:tcPr>
            <w:tcW w:w="243" w:type="pct"/>
          </w:tcPr>
          <w:p w:rsidR="000B161F" w:rsidRPr="009A0486" w:rsidRDefault="000B161F" w:rsidP="00D77551">
            <w:pPr>
              <w:jc w:val="both"/>
              <w:rPr>
                <w:rFonts w:eastAsia="Calibri"/>
                <w:sz w:val="20"/>
              </w:rPr>
            </w:pPr>
          </w:p>
        </w:tc>
        <w:tc>
          <w:tcPr>
            <w:tcW w:w="2330" w:type="pct"/>
          </w:tcPr>
          <w:p w:rsidR="000B161F" w:rsidRPr="009A0486" w:rsidRDefault="000B161F" w:rsidP="00D77551">
            <w:pPr>
              <w:jc w:val="both"/>
              <w:rPr>
                <w:rFonts w:eastAsia="Calibri"/>
                <w:sz w:val="20"/>
              </w:rPr>
            </w:pPr>
            <w:r w:rsidRPr="009A0486">
              <w:rPr>
                <w:rFonts w:eastAsia="Calibri"/>
                <w:sz w:val="20"/>
              </w:rPr>
              <w:t>Appeal dismissed</w:t>
            </w:r>
          </w:p>
          <w:p w:rsidR="000B161F" w:rsidRPr="009A0486" w:rsidRDefault="000B161F" w:rsidP="00D77551">
            <w:pPr>
              <w:jc w:val="both"/>
              <w:rPr>
                <w:rFonts w:eastAsia="Calibri"/>
                <w:sz w:val="20"/>
              </w:rPr>
            </w:pPr>
          </w:p>
        </w:tc>
      </w:tr>
      <w:tr w:rsidR="000B161F" w:rsidRPr="009A0486" w:rsidTr="00D77551">
        <w:tc>
          <w:tcPr>
            <w:tcW w:w="2427" w:type="pct"/>
          </w:tcPr>
          <w:p w:rsidR="000B161F" w:rsidRPr="009A0486" w:rsidRDefault="000B161F" w:rsidP="00D77551">
            <w:pPr>
              <w:jc w:val="both"/>
              <w:rPr>
                <w:rFonts w:eastAsia="Calibri"/>
                <w:sz w:val="20"/>
              </w:rPr>
            </w:pPr>
            <w:r w:rsidRPr="009A0486">
              <w:rPr>
                <w:rFonts w:eastAsia="Calibri"/>
                <w:sz w:val="20"/>
              </w:rPr>
              <w:t>August 23, 2010</w:t>
            </w:r>
          </w:p>
          <w:p w:rsidR="000B161F" w:rsidRPr="009A0486" w:rsidRDefault="000B161F" w:rsidP="00D77551">
            <w:pPr>
              <w:jc w:val="both"/>
              <w:rPr>
                <w:rFonts w:eastAsia="Calibri"/>
                <w:sz w:val="20"/>
              </w:rPr>
            </w:pPr>
            <w:r w:rsidRPr="009A0486">
              <w:rPr>
                <w:rFonts w:eastAsia="Calibri"/>
                <w:sz w:val="20"/>
              </w:rPr>
              <w:t>Supreme Court of Canada</w:t>
            </w:r>
          </w:p>
        </w:tc>
        <w:tc>
          <w:tcPr>
            <w:tcW w:w="243" w:type="pct"/>
          </w:tcPr>
          <w:p w:rsidR="000B161F" w:rsidRPr="009A0486" w:rsidRDefault="000B161F" w:rsidP="00D77551">
            <w:pPr>
              <w:jc w:val="both"/>
              <w:rPr>
                <w:rFonts w:eastAsia="Calibri"/>
                <w:sz w:val="20"/>
              </w:rPr>
            </w:pPr>
          </w:p>
        </w:tc>
        <w:tc>
          <w:tcPr>
            <w:tcW w:w="2330" w:type="pct"/>
          </w:tcPr>
          <w:p w:rsidR="000B161F" w:rsidRPr="009A0486" w:rsidRDefault="000B161F" w:rsidP="00D77551">
            <w:pPr>
              <w:jc w:val="both"/>
              <w:rPr>
                <w:rFonts w:eastAsia="Calibri"/>
                <w:sz w:val="20"/>
              </w:rPr>
            </w:pPr>
            <w:r w:rsidRPr="009A0486">
              <w:rPr>
                <w:rFonts w:eastAsia="Calibri"/>
                <w:sz w:val="20"/>
              </w:rPr>
              <w:t>Motion for an extension of time and application for leave to appeal filed</w:t>
            </w:r>
          </w:p>
          <w:p w:rsidR="000B161F" w:rsidRPr="009A0486" w:rsidRDefault="000B161F" w:rsidP="00D77551">
            <w:pPr>
              <w:jc w:val="both"/>
              <w:rPr>
                <w:rFonts w:eastAsia="Calibri"/>
                <w:sz w:val="20"/>
              </w:rPr>
            </w:pPr>
          </w:p>
        </w:tc>
      </w:tr>
    </w:tbl>
    <w:p w:rsidR="00E42D2B" w:rsidRPr="00E01ABF" w:rsidRDefault="00E42D2B" w:rsidP="00E42D2B">
      <w:pPr>
        <w:rPr>
          <w:sz w:val="20"/>
          <w:szCs w:val="20"/>
        </w:rPr>
      </w:pPr>
    </w:p>
    <w:p w:rsidR="00E42D2B" w:rsidRDefault="00D56013" w:rsidP="00E42D2B">
      <w:pPr>
        <w:rPr>
          <w:sz w:val="20"/>
          <w:szCs w:val="20"/>
          <w:lang w:val="fr-CA"/>
        </w:rPr>
      </w:pPr>
      <w:r w:rsidRPr="00D56013">
        <w:rPr>
          <w:sz w:val="20"/>
          <w:szCs w:val="20"/>
          <w:lang w:val="fr-CA"/>
        </w:rPr>
        <w:pict>
          <v:rect id="_x0000_i1064" style="width:2in;height:1pt" o:hrpct="0" o:hralign="center" o:hrstd="t" o:hrnoshade="t" o:hr="t" fillcolor="black [3213]" stroked="f"/>
        </w:pict>
      </w:r>
    </w:p>
    <w:p w:rsidR="00EE3B7C" w:rsidRPr="00E01ABF" w:rsidRDefault="00EE3B7C" w:rsidP="00E42D2B">
      <w:pPr>
        <w:rPr>
          <w:sz w:val="20"/>
          <w:szCs w:val="20"/>
        </w:rPr>
      </w:pPr>
    </w:p>
    <w:p w:rsidR="00E42D2B" w:rsidRPr="00E01ABF" w:rsidRDefault="00E42D2B" w:rsidP="00E42D2B">
      <w:pPr>
        <w:rPr>
          <w:sz w:val="20"/>
          <w:szCs w:val="20"/>
          <w:u w:val="single"/>
        </w:rPr>
      </w:pPr>
      <w:r w:rsidRPr="00E01ABF">
        <w:rPr>
          <w:sz w:val="20"/>
          <w:szCs w:val="20"/>
          <w:u w:val="single"/>
        </w:rPr>
        <w:t>RÉSUMÉ DE L’AFFAIRE</w:t>
      </w:r>
    </w:p>
    <w:p w:rsidR="00E42D2B" w:rsidRDefault="00E42D2B" w:rsidP="00E42D2B">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0B161F" w:rsidRPr="00850008" w:rsidTr="00D77551">
        <w:tc>
          <w:tcPr>
            <w:tcW w:w="5000" w:type="pct"/>
            <w:gridSpan w:val="3"/>
          </w:tcPr>
          <w:p w:rsidR="000B161F" w:rsidRDefault="000B161F" w:rsidP="00D77551">
            <w:pPr>
              <w:jc w:val="both"/>
              <w:rPr>
                <w:rFonts w:eastAsia="Calibri"/>
                <w:sz w:val="20"/>
                <w:lang w:val="fr-CA"/>
              </w:rPr>
            </w:pPr>
            <w:r w:rsidRPr="009A0486">
              <w:rPr>
                <w:rFonts w:eastAsia="Calibri"/>
                <w:sz w:val="20"/>
                <w:lang w:val="fr-CA"/>
              </w:rPr>
              <w:t>Procédure civile – Demande de non-lieu – Responsabilité délictuelle – Incitation à la rupture d’un contrat de travail – La Cour d’appel a-t-elle eu tort d’accepter le critère du juge de première instance pour accueillir une demande de non-lieu et son application aux faits en l’espèce?</w:t>
            </w:r>
          </w:p>
          <w:p w:rsidR="000B161F" w:rsidRPr="009A0486" w:rsidRDefault="000B161F" w:rsidP="00D77551">
            <w:pPr>
              <w:jc w:val="both"/>
              <w:rPr>
                <w:rFonts w:eastAsia="Calibri"/>
                <w:sz w:val="20"/>
                <w:lang w:val="fr-CA"/>
              </w:rPr>
            </w:pPr>
          </w:p>
        </w:tc>
      </w:tr>
      <w:tr w:rsidR="000B161F" w:rsidRPr="00850008" w:rsidTr="00D77551">
        <w:tc>
          <w:tcPr>
            <w:tcW w:w="5000" w:type="pct"/>
            <w:gridSpan w:val="3"/>
          </w:tcPr>
          <w:p w:rsidR="000B161F" w:rsidRPr="009A0486" w:rsidRDefault="000B161F" w:rsidP="00D77551">
            <w:pPr>
              <w:jc w:val="both"/>
              <w:rPr>
                <w:rFonts w:eastAsia="Calibri"/>
                <w:sz w:val="20"/>
                <w:lang w:val="fr-CA"/>
              </w:rPr>
            </w:pPr>
            <w:r w:rsidRPr="009A0486">
              <w:rPr>
                <w:rFonts w:eastAsia="Calibri"/>
                <w:sz w:val="20"/>
                <w:lang w:val="fr-CA"/>
              </w:rPr>
              <w:t>Le demandeur était le premier dirigeant d’Athabasca Tribal Council Ltd. (« ATC »), une personne morale formée de cinq Premières Nations. ATC a collaboré avec diverses compagnies près de Fort McMurray pour l’embauche de membres des Premières Nations. L’intimé était le vice-président de l’une de ces compagnies.</w:t>
            </w:r>
          </w:p>
          <w:p w:rsidR="000B161F" w:rsidRPr="009A0486" w:rsidRDefault="000B161F" w:rsidP="00D77551">
            <w:pPr>
              <w:jc w:val="both"/>
              <w:rPr>
                <w:rFonts w:eastAsia="Calibri"/>
                <w:sz w:val="20"/>
                <w:lang w:val="fr-CA"/>
              </w:rPr>
            </w:pPr>
          </w:p>
          <w:p w:rsidR="000B161F" w:rsidRPr="009A0486" w:rsidRDefault="000B161F" w:rsidP="00D77551">
            <w:pPr>
              <w:jc w:val="both"/>
              <w:rPr>
                <w:rFonts w:eastAsia="Calibri"/>
                <w:sz w:val="20"/>
                <w:lang w:val="fr-CA"/>
              </w:rPr>
            </w:pPr>
            <w:r w:rsidRPr="009A0486">
              <w:rPr>
                <w:rFonts w:eastAsia="Calibri"/>
                <w:sz w:val="20"/>
                <w:lang w:val="fr-CA"/>
              </w:rPr>
              <w:t xml:space="preserve">Le demandeur a fait l’objet de plaintes. En raison de préoccupations financières au sujet d’ATC, il a présenté une proposition pour que les compagnies qui embauchaient paient une plus grande part des frais de fonctionnement d’ATC. Les compagnies n’étaient pas d’accord et ont fini par rejeter la proposition. Un certain nombre de personnes à </w:t>
            </w:r>
            <w:r w:rsidRPr="009A0486">
              <w:rPr>
                <w:rFonts w:eastAsia="Calibri"/>
                <w:sz w:val="20"/>
                <w:lang w:val="fr-CA"/>
              </w:rPr>
              <w:lastRenderedPageBreak/>
              <w:t xml:space="preserve">l’intérieur et à l’extérieur d’ATC étaient préoccupées par les démarches du demandeur. Lorsque l’intimé a été informé que le congédiement du demandeur était envisagé, il a fait savoir qu’il ne serait pas contre cette décision.  Lorsque le demandeur a été congédié, il a intenté une action contre ATC pour congédiement injustifié et une action contre l’intimé et une autre personne, alléguant le délit civil d’avoir incité à la rupture de son contrat de travail.  </w:t>
            </w:r>
          </w:p>
          <w:p w:rsidR="000B161F" w:rsidRPr="009A0486" w:rsidRDefault="000B161F" w:rsidP="00D77551">
            <w:pPr>
              <w:jc w:val="both"/>
              <w:rPr>
                <w:rFonts w:eastAsia="Calibri"/>
                <w:sz w:val="20"/>
                <w:lang w:val="fr-CA"/>
              </w:rPr>
            </w:pPr>
          </w:p>
        </w:tc>
      </w:tr>
      <w:tr w:rsidR="000B161F" w:rsidRPr="00850008" w:rsidTr="00D77551">
        <w:tc>
          <w:tcPr>
            <w:tcW w:w="2427" w:type="pct"/>
          </w:tcPr>
          <w:p w:rsidR="000B161F" w:rsidRPr="009A0486" w:rsidRDefault="000B161F" w:rsidP="00D77551">
            <w:pPr>
              <w:jc w:val="both"/>
              <w:rPr>
                <w:rFonts w:eastAsia="Calibri"/>
                <w:sz w:val="20"/>
                <w:lang w:val="fr-CA"/>
              </w:rPr>
            </w:pPr>
            <w:r w:rsidRPr="009A0486">
              <w:rPr>
                <w:rFonts w:eastAsia="Calibri"/>
                <w:sz w:val="20"/>
                <w:lang w:val="fr-CA"/>
              </w:rPr>
              <w:lastRenderedPageBreak/>
              <w:t>27 octobre 2008</w:t>
            </w:r>
          </w:p>
          <w:p w:rsidR="000B161F" w:rsidRPr="009A0486" w:rsidRDefault="000B161F" w:rsidP="00D77551">
            <w:pPr>
              <w:jc w:val="both"/>
              <w:rPr>
                <w:rFonts w:eastAsia="Calibri"/>
                <w:sz w:val="20"/>
                <w:lang w:val="fr-CA"/>
              </w:rPr>
            </w:pPr>
            <w:r w:rsidRPr="009A0486">
              <w:rPr>
                <w:rFonts w:eastAsia="Calibri"/>
                <w:sz w:val="20"/>
                <w:lang w:val="fr-CA"/>
              </w:rPr>
              <w:t>Cour du Banc de la Reine de l’Alberta</w:t>
            </w:r>
          </w:p>
          <w:p w:rsidR="000B161F" w:rsidRPr="009A0486" w:rsidRDefault="000B161F" w:rsidP="00D77551">
            <w:pPr>
              <w:jc w:val="both"/>
              <w:rPr>
                <w:rFonts w:eastAsia="Calibri"/>
                <w:sz w:val="20"/>
                <w:lang w:val="fr-CA"/>
              </w:rPr>
            </w:pPr>
            <w:r w:rsidRPr="009A0486">
              <w:rPr>
                <w:rFonts w:eastAsia="Calibri"/>
                <w:sz w:val="20"/>
                <w:lang w:val="fr-CA"/>
              </w:rPr>
              <w:t>(Juge Belzil)</w:t>
            </w:r>
          </w:p>
          <w:p w:rsidR="000B161F" w:rsidRPr="009A0486" w:rsidRDefault="000B161F" w:rsidP="00D77551">
            <w:pPr>
              <w:jc w:val="both"/>
              <w:rPr>
                <w:rFonts w:eastAsia="Calibri"/>
                <w:sz w:val="20"/>
                <w:lang w:val="fr-CA"/>
              </w:rPr>
            </w:pPr>
            <w:r w:rsidRPr="009A0486">
              <w:rPr>
                <w:rFonts w:eastAsia="Calibri"/>
                <w:sz w:val="20"/>
                <w:lang w:val="fr-CA"/>
              </w:rPr>
              <w:t>2008 ABQB 699</w:t>
            </w:r>
          </w:p>
          <w:p w:rsidR="000B161F" w:rsidRPr="009A0486" w:rsidRDefault="000B161F" w:rsidP="00D77551">
            <w:pPr>
              <w:jc w:val="both"/>
              <w:rPr>
                <w:rFonts w:eastAsia="Calibri"/>
                <w:sz w:val="20"/>
                <w:lang w:val="fr-CA"/>
              </w:rPr>
            </w:pPr>
          </w:p>
        </w:tc>
        <w:tc>
          <w:tcPr>
            <w:tcW w:w="243" w:type="pct"/>
          </w:tcPr>
          <w:p w:rsidR="000B161F" w:rsidRPr="009A0486" w:rsidRDefault="000B161F" w:rsidP="00D77551">
            <w:pPr>
              <w:jc w:val="both"/>
              <w:rPr>
                <w:rFonts w:eastAsia="Calibri"/>
                <w:sz w:val="20"/>
                <w:lang w:val="fr-CA"/>
              </w:rPr>
            </w:pPr>
          </w:p>
        </w:tc>
        <w:tc>
          <w:tcPr>
            <w:tcW w:w="2330" w:type="pct"/>
          </w:tcPr>
          <w:p w:rsidR="000B161F" w:rsidRPr="009A0486" w:rsidRDefault="000B161F" w:rsidP="00D77551">
            <w:pPr>
              <w:jc w:val="both"/>
              <w:rPr>
                <w:rFonts w:eastAsia="Calibri"/>
                <w:sz w:val="20"/>
                <w:lang w:val="fr-CA"/>
              </w:rPr>
            </w:pPr>
            <w:r w:rsidRPr="009A0486">
              <w:rPr>
                <w:rFonts w:eastAsia="Calibri"/>
                <w:sz w:val="20"/>
                <w:lang w:val="fr-CA"/>
              </w:rPr>
              <w:t>Le demandeur obtient un jugement contre l’employeur pour le montant de trois semaines de salaire, toutes les autres demandes sont rejetées; demande de non-lieu relativement à la demande du demandeur pour le délit civil d’avoir incité à la rupture de contrat, accueillie</w:t>
            </w:r>
          </w:p>
          <w:p w:rsidR="000B161F" w:rsidRPr="009A0486" w:rsidRDefault="000B161F" w:rsidP="00D77551">
            <w:pPr>
              <w:jc w:val="both"/>
              <w:rPr>
                <w:rFonts w:eastAsia="Calibri"/>
                <w:sz w:val="20"/>
                <w:lang w:val="fr-CA"/>
              </w:rPr>
            </w:pPr>
          </w:p>
        </w:tc>
      </w:tr>
      <w:tr w:rsidR="000B161F" w:rsidRPr="009A0486" w:rsidTr="00D77551">
        <w:tc>
          <w:tcPr>
            <w:tcW w:w="2427" w:type="pct"/>
          </w:tcPr>
          <w:p w:rsidR="000B161F" w:rsidRPr="009A0486" w:rsidRDefault="000B161F" w:rsidP="00D77551">
            <w:pPr>
              <w:jc w:val="both"/>
              <w:rPr>
                <w:rFonts w:eastAsia="Calibri"/>
                <w:sz w:val="20"/>
                <w:lang w:val="fr-CA"/>
              </w:rPr>
            </w:pPr>
            <w:r w:rsidRPr="009A0486">
              <w:rPr>
                <w:rFonts w:eastAsia="Calibri"/>
                <w:sz w:val="20"/>
                <w:lang w:val="fr-CA"/>
              </w:rPr>
              <w:t>27 avril 2010</w:t>
            </w:r>
          </w:p>
          <w:p w:rsidR="000B161F" w:rsidRPr="009A0486" w:rsidRDefault="000B161F" w:rsidP="00D77551">
            <w:pPr>
              <w:jc w:val="both"/>
              <w:rPr>
                <w:rFonts w:eastAsia="Calibri"/>
                <w:sz w:val="20"/>
                <w:lang w:val="fr-CA"/>
              </w:rPr>
            </w:pPr>
            <w:r w:rsidRPr="009A0486">
              <w:rPr>
                <w:rFonts w:eastAsia="Calibri"/>
                <w:sz w:val="20"/>
                <w:lang w:val="fr-CA"/>
              </w:rPr>
              <w:t>Cour d’appel de l’Alberta (Edmonton)</w:t>
            </w:r>
          </w:p>
          <w:p w:rsidR="000B161F" w:rsidRPr="009A0486" w:rsidRDefault="000B161F" w:rsidP="00D77551">
            <w:pPr>
              <w:jc w:val="both"/>
              <w:rPr>
                <w:rFonts w:eastAsia="Calibri"/>
                <w:sz w:val="20"/>
                <w:lang w:val="fr-CA"/>
              </w:rPr>
            </w:pPr>
            <w:r w:rsidRPr="009A0486">
              <w:rPr>
                <w:rFonts w:eastAsia="Calibri"/>
                <w:sz w:val="20"/>
                <w:lang w:val="fr-CA"/>
              </w:rPr>
              <w:t>(Juges Côté, O'Brien et Gill)</w:t>
            </w:r>
          </w:p>
          <w:p w:rsidR="000B161F" w:rsidRPr="009A0486" w:rsidRDefault="000B161F" w:rsidP="00D77551">
            <w:pPr>
              <w:jc w:val="both"/>
              <w:rPr>
                <w:rFonts w:eastAsia="Calibri"/>
                <w:sz w:val="20"/>
                <w:lang w:val="fr-CA"/>
              </w:rPr>
            </w:pPr>
            <w:r w:rsidRPr="009A0486">
              <w:rPr>
                <w:rFonts w:eastAsia="Calibri"/>
                <w:sz w:val="20"/>
                <w:lang w:val="fr-CA"/>
              </w:rPr>
              <w:t>2010 ABCA 142</w:t>
            </w:r>
          </w:p>
          <w:p w:rsidR="000B161F" w:rsidRPr="009A0486" w:rsidRDefault="000B161F" w:rsidP="00D77551">
            <w:pPr>
              <w:jc w:val="both"/>
              <w:rPr>
                <w:rFonts w:eastAsia="Calibri"/>
                <w:sz w:val="20"/>
                <w:lang w:val="fr-CA"/>
              </w:rPr>
            </w:pPr>
          </w:p>
        </w:tc>
        <w:tc>
          <w:tcPr>
            <w:tcW w:w="243" w:type="pct"/>
          </w:tcPr>
          <w:p w:rsidR="000B161F" w:rsidRPr="009A0486" w:rsidRDefault="000B161F" w:rsidP="00D77551">
            <w:pPr>
              <w:jc w:val="both"/>
              <w:rPr>
                <w:rFonts w:eastAsia="Calibri"/>
                <w:sz w:val="20"/>
                <w:lang w:val="fr-CA"/>
              </w:rPr>
            </w:pPr>
          </w:p>
        </w:tc>
        <w:tc>
          <w:tcPr>
            <w:tcW w:w="2330" w:type="pct"/>
          </w:tcPr>
          <w:p w:rsidR="000B161F" w:rsidRPr="009A0486" w:rsidRDefault="000B161F" w:rsidP="00D77551">
            <w:pPr>
              <w:jc w:val="both"/>
              <w:rPr>
                <w:rFonts w:eastAsia="Calibri"/>
                <w:sz w:val="20"/>
                <w:lang w:val="fr-CA"/>
              </w:rPr>
            </w:pPr>
            <w:r w:rsidRPr="009A0486">
              <w:rPr>
                <w:rFonts w:eastAsia="Calibri"/>
                <w:sz w:val="20"/>
                <w:lang w:val="fr-CA"/>
              </w:rPr>
              <w:t>Appel rejeté</w:t>
            </w:r>
          </w:p>
          <w:p w:rsidR="000B161F" w:rsidRPr="009A0486" w:rsidRDefault="000B161F" w:rsidP="00D77551">
            <w:pPr>
              <w:jc w:val="both"/>
              <w:rPr>
                <w:rFonts w:eastAsia="Calibri"/>
                <w:sz w:val="20"/>
                <w:lang w:val="fr-CA"/>
              </w:rPr>
            </w:pPr>
          </w:p>
        </w:tc>
      </w:tr>
      <w:tr w:rsidR="000B161F" w:rsidRPr="00850008" w:rsidTr="00D77551">
        <w:tc>
          <w:tcPr>
            <w:tcW w:w="2427" w:type="pct"/>
          </w:tcPr>
          <w:p w:rsidR="000B161F" w:rsidRPr="009A0486" w:rsidRDefault="000B161F" w:rsidP="00D77551">
            <w:pPr>
              <w:jc w:val="both"/>
              <w:rPr>
                <w:rFonts w:eastAsia="Calibri"/>
                <w:sz w:val="20"/>
                <w:lang w:val="fr-CA"/>
              </w:rPr>
            </w:pPr>
            <w:r w:rsidRPr="009A0486">
              <w:rPr>
                <w:rFonts w:eastAsia="Calibri"/>
                <w:sz w:val="20"/>
                <w:lang w:val="fr-CA"/>
              </w:rPr>
              <w:t>23 août 2010</w:t>
            </w:r>
          </w:p>
          <w:p w:rsidR="000B161F" w:rsidRPr="009A0486" w:rsidRDefault="000B161F" w:rsidP="00D77551">
            <w:pPr>
              <w:jc w:val="both"/>
              <w:rPr>
                <w:rFonts w:eastAsia="Calibri"/>
                <w:sz w:val="20"/>
                <w:lang w:val="fr-CA"/>
              </w:rPr>
            </w:pPr>
            <w:r w:rsidRPr="009A0486">
              <w:rPr>
                <w:rFonts w:eastAsia="Calibri"/>
                <w:sz w:val="20"/>
                <w:lang w:val="fr-CA"/>
              </w:rPr>
              <w:t>Cour suprême du Canada</w:t>
            </w:r>
          </w:p>
        </w:tc>
        <w:tc>
          <w:tcPr>
            <w:tcW w:w="243" w:type="pct"/>
          </w:tcPr>
          <w:p w:rsidR="000B161F" w:rsidRPr="009A0486" w:rsidRDefault="000B161F" w:rsidP="00D77551">
            <w:pPr>
              <w:jc w:val="both"/>
              <w:rPr>
                <w:rFonts w:eastAsia="Calibri"/>
                <w:sz w:val="20"/>
                <w:lang w:val="fr-CA"/>
              </w:rPr>
            </w:pPr>
          </w:p>
        </w:tc>
        <w:tc>
          <w:tcPr>
            <w:tcW w:w="2330" w:type="pct"/>
          </w:tcPr>
          <w:p w:rsidR="000B161F" w:rsidRPr="009A0486" w:rsidRDefault="000B161F" w:rsidP="00D77551">
            <w:pPr>
              <w:jc w:val="both"/>
              <w:rPr>
                <w:rFonts w:eastAsia="Calibri"/>
                <w:sz w:val="20"/>
                <w:lang w:val="fr-CA"/>
              </w:rPr>
            </w:pPr>
            <w:r w:rsidRPr="009A0486">
              <w:rPr>
                <w:rFonts w:eastAsia="Calibri"/>
                <w:sz w:val="20"/>
                <w:lang w:val="fr-CA"/>
              </w:rPr>
              <w:t>Requête en prorogation de délai et demande d’autorisation d’appel, déposées</w:t>
            </w:r>
          </w:p>
        </w:tc>
      </w:tr>
    </w:tbl>
    <w:p w:rsidR="00E42D2B" w:rsidRPr="000B161F" w:rsidRDefault="00E42D2B" w:rsidP="00E42D2B">
      <w:pPr>
        <w:rPr>
          <w:sz w:val="20"/>
          <w:szCs w:val="20"/>
          <w:lang w:val="fr-CA"/>
        </w:rPr>
      </w:pPr>
    </w:p>
    <w:p w:rsidR="00E42D2B" w:rsidRDefault="00D56013" w:rsidP="00E42D2B">
      <w:pPr>
        <w:rPr>
          <w:sz w:val="20"/>
          <w:szCs w:val="20"/>
          <w:lang w:val="fr-CA"/>
        </w:rPr>
      </w:pPr>
      <w:r w:rsidRPr="00D56013">
        <w:rPr>
          <w:sz w:val="20"/>
          <w:szCs w:val="20"/>
          <w:lang w:val="fr-CA"/>
        </w:rPr>
        <w:pict>
          <v:rect id="_x0000_i1065" style="width:2in;height:1pt" o:hrpct="0" o:hralign="center" o:hrstd="t" o:hrnoshade="t" o:hr="t" fillcolor="black [3213]" stroked="f"/>
        </w:pict>
      </w:r>
    </w:p>
    <w:p w:rsidR="00E42D2B" w:rsidRDefault="00E42D2B" w:rsidP="008D292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EE3B7C" w:rsidRPr="00EE3B7C" w:rsidTr="00473DF7">
        <w:trPr>
          <w:cantSplit/>
        </w:trPr>
        <w:tc>
          <w:tcPr>
            <w:tcW w:w="1458" w:type="dxa"/>
          </w:tcPr>
          <w:p w:rsidR="00EE3B7C" w:rsidRPr="00EE3B7C" w:rsidRDefault="00EE3B7C" w:rsidP="00473DF7">
            <w:pPr>
              <w:rPr>
                <w:sz w:val="20"/>
                <w:szCs w:val="20"/>
              </w:rPr>
            </w:pPr>
            <w:r w:rsidRPr="00EE3B7C">
              <w:rPr>
                <w:rStyle w:val="SCCFileNumberChar"/>
                <w:sz w:val="20"/>
                <w:szCs w:val="20"/>
              </w:rPr>
              <w:t>33809</w:t>
            </w:r>
          </w:p>
          <w:p w:rsidR="00EE3B7C" w:rsidRPr="00EE3B7C" w:rsidRDefault="00EE3B7C" w:rsidP="00473DF7">
            <w:pPr>
              <w:rPr>
                <w:b/>
                <w:sz w:val="20"/>
                <w:szCs w:val="20"/>
                <w:lang w:val="fr-CA"/>
              </w:rPr>
            </w:pPr>
          </w:p>
        </w:tc>
        <w:tc>
          <w:tcPr>
            <w:tcW w:w="8118" w:type="dxa"/>
          </w:tcPr>
          <w:p w:rsidR="00EE3B7C" w:rsidRPr="00EE3B7C" w:rsidRDefault="00EE3B7C" w:rsidP="00473DF7">
            <w:pPr>
              <w:rPr>
                <w:sz w:val="20"/>
                <w:szCs w:val="20"/>
              </w:rPr>
            </w:pPr>
            <w:r w:rsidRPr="00EE3B7C">
              <w:rPr>
                <w:rStyle w:val="SCCLsocChar"/>
                <w:sz w:val="20"/>
                <w:szCs w:val="20"/>
                <w:lang w:val="en-CA"/>
              </w:rPr>
              <w:t>Alice Dicks, Allison Collins and M. Joseph Dicks v. Heidi Scott as Executrix of the Estate of John Joseph Dicks</w:t>
            </w:r>
            <w:r w:rsidRPr="00EE3B7C">
              <w:rPr>
                <w:sz w:val="20"/>
                <w:szCs w:val="20"/>
              </w:rPr>
              <w:t xml:space="preserve"> (N.L.) (Civil) (By Leave)</w:t>
            </w:r>
          </w:p>
          <w:p w:rsidR="00EE3B7C" w:rsidRPr="00EE3B7C" w:rsidRDefault="00EE3B7C" w:rsidP="00473DF7">
            <w:pPr>
              <w:rPr>
                <w:sz w:val="20"/>
                <w:szCs w:val="20"/>
              </w:rPr>
            </w:pPr>
          </w:p>
        </w:tc>
      </w:tr>
      <w:tr w:rsidR="00EE3B7C" w:rsidRPr="00EE3B7C" w:rsidTr="00473DF7">
        <w:trPr>
          <w:cantSplit/>
        </w:trPr>
        <w:tc>
          <w:tcPr>
            <w:tcW w:w="1458" w:type="dxa"/>
          </w:tcPr>
          <w:p w:rsidR="00EE3B7C" w:rsidRPr="00EE3B7C" w:rsidRDefault="00EE3B7C" w:rsidP="00473DF7">
            <w:pPr>
              <w:rPr>
                <w:sz w:val="20"/>
                <w:szCs w:val="20"/>
              </w:rPr>
            </w:pPr>
            <w:r w:rsidRPr="00EE3B7C">
              <w:rPr>
                <w:sz w:val="20"/>
                <w:szCs w:val="20"/>
              </w:rPr>
              <w:t>Coram :</w:t>
            </w:r>
          </w:p>
        </w:tc>
        <w:tc>
          <w:tcPr>
            <w:tcW w:w="8118" w:type="dxa"/>
          </w:tcPr>
          <w:p w:rsidR="00EE3B7C" w:rsidRPr="00EE3B7C" w:rsidRDefault="00EE3B7C" w:rsidP="00473DF7">
            <w:pPr>
              <w:rPr>
                <w:sz w:val="20"/>
                <w:szCs w:val="20"/>
              </w:rPr>
            </w:pPr>
            <w:r w:rsidRPr="00EE3B7C">
              <w:rPr>
                <w:rStyle w:val="SCCCoramChar"/>
                <w:sz w:val="20"/>
                <w:szCs w:val="20"/>
                <w:lang w:val="en-CA"/>
              </w:rPr>
              <w:t>McLachlin C.J. and Abella and Cromwell JJ.</w:t>
            </w:r>
          </w:p>
          <w:p w:rsidR="00EE3B7C" w:rsidRPr="00EE3B7C" w:rsidRDefault="00EE3B7C" w:rsidP="00473DF7">
            <w:pPr>
              <w:rPr>
                <w:sz w:val="20"/>
                <w:szCs w:val="20"/>
                <w:u w:val="single"/>
              </w:rPr>
            </w:pPr>
          </w:p>
        </w:tc>
      </w:tr>
      <w:tr w:rsidR="00EE3B7C" w:rsidRPr="00850008" w:rsidTr="00473DF7">
        <w:trPr>
          <w:cantSplit/>
        </w:trPr>
        <w:tc>
          <w:tcPr>
            <w:tcW w:w="9576" w:type="dxa"/>
            <w:gridSpan w:val="2"/>
          </w:tcPr>
          <w:p w:rsidR="00EE3B7C" w:rsidRPr="00EE3B7C" w:rsidRDefault="00EE3B7C" w:rsidP="00473DF7">
            <w:pPr>
              <w:pStyle w:val="SCCShortJudgment"/>
              <w:rPr>
                <w:szCs w:val="20"/>
              </w:rPr>
            </w:pPr>
            <w:r w:rsidRPr="00EE3B7C">
              <w:rPr>
                <w:szCs w:val="20"/>
              </w:rPr>
              <w:t>The application for leave to appeal from the judgment of the Supreme Court of Newfoundland and Labrador - Court of Appeal, Numbers 08/73 and 08/74, 2010 NLCA 35, dated May 31, 2010, is dismissed with costs to the respondent Heidi Scott and to be paid from the Estate of John Joseph Dicks.</w:t>
            </w:r>
          </w:p>
          <w:p w:rsidR="00EE3B7C" w:rsidRPr="00EE3B7C" w:rsidRDefault="00EE3B7C" w:rsidP="00473DF7">
            <w:pPr>
              <w:pStyle w:val="SCCShortJudgment"/>
              <w:ind w:firstLine="0"/>
              <w:rPr>
                <w:szCs w:val="20"/>
              </w:rPr>
            </w:pPr>
          </w:p>
          <w:p w:rsidR="00EE3B7C" w:rsidRPr="00EE3B7C" w:rsidRDefault="00EE3B7C" w:rsidP="00473DF7">
            <w:pPr>
              <w:pStyle w:val="SCCShortJudgment"/>
              <w:rPr>
                <w:szCs w:val="20"/>
                <w:lang w:val="fr-CA"/>
              </w:rPr>
            </w:pPr>
            <w:r w:rsidRPr="00EE3B7C">
              <w:rPr>
                <w:szCs w:val="20"/>
                <w:lang w:val="fr-CA"/>
              </w:rPr>
              <w:t>La demande d’autorisation d’appel de l’arrêt de la Cour suprême de Terre-Neuve-et-Labrador - Cour d'appel, numéros 08/73 et 08/74, 2010 NLCA 35, daté du 31 mai 2010, est rejetée avec dépens en faveur de l’intimée Heidi Scott et a être payé de la succession de John Joseph Dicks.</w:t>
            </w:r>
          </w:p>
          <w:p w:rsidR="00EE3B7C" w:rsidRPr="00EE3B7C" w:rsidRDefault="00EE3B7C" w:rsidP="00473DF7">
            <w:pPr>
              <w:rPr>
                <w:sz w:val="20"/>
                <w:szCs w:val="20"/>
                <w:lang w:val="fr-CA"/>
              </w:rPr>
            </w:pPr>
          </w:p>
        </w:tc>
      </w:tr>
    </w:tbl>
    <w:p w:rsidR="00E42D2B" w:rsidRPr="00E01ABF" w:rsidRDefault="00E42D2B" w:rsidP="00E42D2B">
      <w:pPr>
        <w:rPr>
          <w:sz w:val="20"/>
          <w:szCs w:val="20"/>
          <w:u w:val="single"/>
        </w:rPr>
      </w:pPr>
      <w:r w:rsidRPr="00E01ABF">
        <w:rPr>
          <w:sz w:val="20"/>
          <w:szCs w:val="20"/>
          <w:u w:val="single"/>
        </w:rPr>
        <w:t>CASE SUMMARY</w:t>
      </w:r>
    </w:p>
    <w:p w:rsidR="00E42D2B" w:rsidRDefault="00E42D2B" w:rsidP="00E42D2B">
      <w:pPr>
        <w:rPr>
          <w:sz w:val="20"/>
          <w:szCs w:val="20"/>
        </w:rPr>
      </w:pPr>
    </w:p>
    <w:tbl>
      <w:tblPr>
        <w:tblW w:w="4952" w:type="pct"/>
        <w:tblLayout w:type="fixed"/>
        <w:tblCellMar>
          <w:left w:w="0" w:type="dxa"/>
          <w:bottom w:w="99" w:type="dxa"/>
          <w:right w:w="0" w:type="dxa"/>
        </w:tblCellMar>
        <w:tblLook w:val="04A0"/>
      </w:tblPr>
      <w:tblGrid>
        <w:gridCol w:w="9527"/>
      </w:tblGrid>
      <w:tr w:rsidR="000B161F" w:rsidRPr="00316127" w:rsidTr="00D77551">
        <w:tc>
          <w:tcPr>
            <w:tcW w:w="5000" w:type="pct"/>
          </w:tcPr>
          <w:p w:rsidR="000B161F" w:rsidRPr="00316127" w:rsidRDefault="000B161F" w:rsidP="00F838C3">
            <w:pPr>
              <w:jc w:val="both"/>
              <w:rPr>
                <w:sz w:val="20"/>
              </w:rPr>
            </w:pPr>
            <w:r w:rsidRPr="00316127">
              <w:rPr>
                <w:sz w:val="20"/>
              </w:rPr>
              <w:t xml:space="preserve">Wills and Estates – Wills – Administration of estates – Executrix and Trustee – Whether the </w:t>
            </w:r>
            <w:r w:rsidR="00D56013" w:rsidRPr="00316127">
              <w:rPr>
                <w:sz w:val="20"/>
              </w:rPr>
              <w:fldChar w:fldCharType="begin"/>
            </w:r>
            <w:r w:rsidRPr="00316127">
              <w:rPr>
                <w:sz w:val="20"/>
              </w:rPr>
              <w:instrText xml:space="preserve"> SEQ CHAPTER \h \r 1</w:instrText>
            </w:r>
            <w:r w:rsidR="00D56013" w:rsidRPr="00316127">
              <w:rPr>
                <w:sz w:val="20"/>
              </w:rPr>
              <w:fldChar w:fldCharType="end"/>
            </w:r>
            <w:r w:rsidRPr="00316127">
              <w:rPr>
                <w:sz w:val="20"/>
              </w:rPr>
              <w:t>trustee is required to invest estate assets to generate income for a life beneficiary – If yes, whether the trustee is entitled to invest a significant portion of the estate assets in non-yielding or low yielding “growth” equity investments intended for capital appreciation instead of producing current income for the life beneficiary – If yes, w</w:t>
            </w:r>
            <w:r w:rsidR="00D56013" w:rsidRPr="00316127">
              <w:rPr>
                <w:sz w:val="20"/>
              </w:rPr>
              <w:fldChar w:fldCharType="begin"/>
            </w:r>
            <w:r w:rsidRPr="00316127">
              <w:rPr>
                <w:sz w:val="20"/>
              </w:rPr>
              <w:instrText xml:space="preserve"> SEQ CHAPTER \h \r 1</w:instrText>
            </w:r>
            <w:r w:rsidR="00D56013" w:rsidRPr="00316127">
              <w:rPr>
                <w:sz w:val="20"/>
              </w:rPr>
              <w:fldChar w:fldCharType="end"/>
            </w:r>
            <w:r w:rsidRPr="00316127">
              <w:rPr>
                <w:sz w:val="20"/>
              </w:rPr>
              <w:t xml:space="preserve">hether the </w:t>
            </w:r>
            <w:r w:rsidRPr="00316127">
              <w:rPr>
                <w:i/>
                <w:iCs/>
                <w:sz w:val="20"/>
              </w:rPr>
              <w:t>Trustee Act</w:t>
            </w:r>
            <w:r w:rsidRPr="00316127">
              <w:rPr>
                <w:sz w:val="20"/>
              </w:rPr>
              <w:t>, permits an executrix to invest a significant portion of the estate assets in low yielding “growth” equities, instead of producing current income for  the life beneficiary.</w:t>
            </w:r>
          </w:p>
          <w:p w:rsidR="000B161F" w:rsidRPr="00316127" w:rsidRDefault="000B161F" w:rsidP="00D77551">
            <w:pPr>
              <w:rPr>
                <w:sz w:val="20"/>
              </w:rPr>
            </w:pPr>
          </w:p>
        </w:tc>
      </w:tr>
      <w:tr w:rsidR="000B161F" w:rsidRPr="00316127" w:rsidTr="00D77551">
        <w:tc>
          <w:tcPr>
            <w:tcW w:w="5000" w:type="pct"/>
          </w:tcPr>
          <w:p w:rsidR="000B161F" w:rsidRPr="00316127" w:rsidRDefault="000B161F" w:rsidP="00F838C3">
            <w:pPr>
              <w:jc w:val="both"/>
              <w:rPr>
                <w:sz w:val="20"/>
              </w:rPr>
            </w:pPr>
            <w:r w:rsidRPr="00316127">
              <w:rPr>
                <w:sz w:val="20"/>
              </w:rPr>
              <w:t>The issues in this leave application stem from a dispute over the administration of an estate.   The Testator directed his Estate be held in trust for the benefit of his spouse during her lifetime, with the residue after her death to be divided equally among his four children.  An application by beneficiaries in the Trial Division to have the Trustee removed was dismissed.  The Court of Appeal also dismissed the appeal.</w:t>
            </w:r>
          </w:p>
          <w:p w:rsidR="000B161F" w:rsidRPr="00316127" w:rsidRDefault="000B161F" w:rsidP="00D77551">
            <w:pPr>
              <w:rPr>
                <w:sz w:val="20"/>
              </w:rPr>
            </w:pPr>
          </w:p>
        </w:tc>
      </w:tr>
    </w:tbl>
    <w:p w:rsidR="00EE3B7C" w:rsidRDefault="00EE3B7C"/>
    <w:tbl>
      <w:tblPr>
        <w:tblW w:w="4952" w:type="pct"/>
        <w:tblLayout w:type="fixed"/>
        <w:tblCellMar>
          <w:left w:w="0" w:type="dxa"/>
          <w:bottom w:w="99" w:type="dxa"/>
          <w:right w:w="0" w:type="dxa"/>
        </w:tblCellMar>
        <w:tblLook w:val="04A0"/>
      </w:tblPr>
      <w:tblGrid>
        <w:gridCol w:w="4624"/>
        <w:gridCol w:w="463"/>
        <w:gridCol w:w="4440"/>
      </w:tblGrid>
      <w:tr w:rsidR="000B161F" w:rsidRPr="00316127" w:rsidTr="00EE3B7C">
        <w:trPr>
          <w:cantSplit/>
        </w:trPr>
        <w:tc>
          <w:tcPr>
            <w:tcW w:w="2427" w:type="pct"/>
          </w:tcPr>
          <w:p w:rsidR="000B161F" w:rsidRPr="00316127" w:rsidRDefault="000B161F" w:rsidP="00D77551">
            <w:pPr>
              <w:rPr>
                <w:sz w:val="20"/>
              </w:rPr>
            </w:pPr>
            <w:r w:rsidRPr="00316127">
              <w:rPr>
                <w:sz w:val="20"/>
              </w:rPr>
              <w:lastRenderedPageBreak/>
              <w:t>August 11, 2008</w:t>
            </w:r>
          </w:p>
          <w:p w:rsidR="000B161F" w:rsidRPr="00316127" w:rsidRDefault="000B161F" w:rsidP="00D77551">
            <w:pPr>
              <w:rPr>
                <w:sz w:val="20"/>
              </w:rPr>
            </w:pPr>
            <w:r w:rsidRPr="00316127">
              <w:rPr>
                <w:sz w:val="20"/>
              </w:rPr>
              <w:t xml:space="preserve">Supreme Court of Newfoundland &amp; Labrador, </w:t>
            </w:r>
          </w:p>
          <w:p w:rsidR="000B161F" w:rsidRPr="00316127" w:rsidRDefault="000B161F" w:rsidP="00D77551">
            <w:pPr>
              <w:rPr>
                <w:sz w:val="20"/>
              </w:rPr>
            </w:pPr>
            <w:r w:rsidRPr="00316127">
              <w:rPr>
                <w:sz w:val="20"/>
              </w:rPr>
              <w:t>Trial Division</w:t>
            </w:r>
          </w:p>
          <w:p w:rsidR="000B161F" w:rsidRPr="00316127" w:rsidRDefault="000B161F" w:rsidP="00D77551">
            <w:pPr>
              <w:rPr>
                <w:sz w:val="20"/>
              </w:rPr>
            </w:pPr>
            <w:r w:rsidRPr="00316127">
              <w:rPr>
                <w:sz w:val="20"/>
              </w:rPr>
              <w:t>(Orsborn J.)</w:t>
            </w:r>
          </w:p>
          <w:p w:rsidR="000B161F" w:rsidRPr="00316127" w:rsidRDefault="000B161F" w:rsidP="00D77551">
            <w:pPr>
              <w:rPr>
                <w:sz w:val="20"/>
              </w:rPr>
            </w:pPr>
            <w:r w:rsidRPr="00316127">
              <w:rPr>
                <w:sz w:val="20"/>
              </w:rPr>
              <w:t>Neutral citation: 2008 NLTD 138</w:t>
            </w:r>
          </w:p>
          <w:p w:rsidR="000B161F" w:rsidRPr="00316127" w:rsidRDefault="000B161F" w:rsidP="00D77551">
            <w:pPr>
              <w:rPr>
                <w:sz w:val="20"/>
              </w:rPr>
            </w:pPr>
          </w:p>
        </w:tc>
        <w:tc>
          <w:tcPr>
            <w:tcW w:w="243" w:type="pct"/>
          </w:tcPr>
          <w:p w:rsidR="000B161F" w:rsidRPr="00316127" w:rsidRDefault="000B161F" w:rsidP="00D77551">
            <w:pPr>
              <w:rPr>
                <w:sz w:val="20"/>
              </w:rPr>
            </w:pPr>
          </w:p>
        </w:tc>
        <w:tc>
          <w:tcPr>
            <w:tcW w:w="2330" w:type="pct"/>
          </w:tcPr>
          <w:p w:rsidR="000B161F" w:rsidRPr="00316127" w:rsidRDefault="000B161F" w:rsidP="00F838C3">
            <w:pPr>
              <w:jc w:val="both"/>
              <w:rPr>
                <w:sz w:val="20"/>
              </w:rPr>
            </w:pPr>
            <w:r w:rsidRPr="00316127">
              <w:rPr>
                <w:sz w:val="20"/>
              </w:rPr>
              <w:t>Application seeking relief concerning the administration of the Estate of John Dicks, dismissed</w:t>
            </w:r>
          </w:p>
          <w:p w:rsidR="000B161F" w:rsidRPr="00316127" w:rsidRDefault="000B161F" w:rsidP="00D77551">
            <w:pPr>
              <w:rPr>
                <w:sz w:val="20"/>
              </w:rPr>
            </w:pPr>
          </w:p>
        </w:tc>
      </w:tr>
      <w:tr w:rsidR="000B161F" w:rsidRPr="00316127" w:rsidTr="00EE3B7C">
        <w:trPr>
          <w:cantSplit/>
        </w:trPr>
        <w:tc>
          <w:tcPr>
            <w:tcW w:w="2427" w:type="pct"/>
          </w:tcPr>
          <w:p w:rsidR="000B161F" w:rsidRPr="00316127" w:rsidRDefault="000B161F" w:rsidP="00D77551">
            <w:pPr>
              <w:rPr>
                <w:sz w:val="20"/>
              </w:rPr>
            </w:pPr>
            <w:r w:rsidRPr="00316127">
              <w:rPr>
                <w:sz w:val="20"/>
              </w:rPr>
              <w:t>May 31, 2010</w:t>
            </w:r>
          </w:p>
          <w:p w:rsidR="000B161F" w:rsidRPr="00316127" w:rsidRDefault="000B161F" w:rsidP="00D77551">
            <w:pPr>
              <w:rPr>
                <w:sz w:val="20"/>
              </w:rPr>
            </w:pPr>
            <w:r w:rsidRPr="00316127">
              <w:rPr>
                <w:sz w:val="20"/>
              </w:rPr>
              <w:t xml:space="preserve">Supreme Court of Newfoundland and </w:t>
            </w:r>
          </w:p>
          <w:p w:rsidR="000B161F" w:rsidRPr="00316127" w:rsidRDefault="000B161F" w:rsidP="00D77551">
            <w:pPr>
              <w:rPr>
                <w:sz w:val="20"/>
              </w:rPr>
            </w:pPr>
            <w:r w:rsidRPr="00316127">
              <w:rPr>
                <w:sz w:val="20"/>
              </w:rPr>
              <w:t>Labrador - Court of Appeal</w:t>
            </w:r>
          </w:p>
          <w:p w:rsidR="000B161F" w:rsidRPr="00316127" w:rsidRDefault="000B161F" w:rsidP="00D77551">
            <w:pPr>
              <w:rPr>
                <w:sz w:val="20"/>
              </w:rPr>
            </w:pPr>
            <w:r w:rsidRPr="00316127">
              <w:rPr>
                <w:sz w:val="20"/>
              </w:rPr>
              <w:t xml:space="preserve">(Green C.J.N.L. and Cameron and Welsh </w:t>
            </w:r>
          </w:p>
          <w:p w:rsidR="000B161F" w:rsidRPr="00316127" w:rsidRDefault="000B161F" w:rsidP="00D77551">
            <w:pPr>
              <w:rPr>
                <w:sz w:val="20"/>
              </w:rPr>
            </w:pPr>
            <w:r w:rsidRPr="00316127">
              <w:rPr>
                <w:sz w:val="20"/>
              </w:rPr>
              <w:t>JJ.A.)</w:t>
            </w:r>
          </w:p>
          <w:p w:rsidR="000B161F" w:rsidRPr="00316127" w:rsidRDefault="000B161F" w:rsidP="00D77551">
            <w:pPr>
              <w:rPr>
                <w:sz w:val="20"/>
              </w:rPr>
            </w:pPr>
            <w:r w:rsidRPr="00316127">
              <w:rPr>
                <w:sz w:val="20"/>
              </w:rPr>
              <w:t>Neutral citation: 2010 NLCA 35</w:t>
            </w:r>
          </w:p>
          <w:p w:rsidR="000B161F" w:rsidRPr="00316127" w:rsidRDefault="000B161F" w:rsidP="00D77551">
            <w:pPr>
              <w:rPr>
                <w:sz w:val="20"/>
              </w:rPr>
            </w:pPr>
          </w:p>
        </w:tc>
        <w:tc>
          <w:tcPr>
            <w:tcW w:w="243" w:type="pct"/>
          </w:tcPr>
          <w:p w:rsidR="000B161F" w:rsidRPr="00316127" w:rsidRDefault="000B161F" w:rsidP="00D77551">
            <w:pPr>
              <w:rPr>
                <w:sz w:val="20"/>
              </w:rPr>
            </w:pPr>
          </w:p>
        </w:tc>
        <w:tc>
          <w:tcPr>
            <w:tcW w:w="2330" w:type="pct"/>
          </w:tcPr>
          <w:p w:rsidR="000B161F" w:rsidRPr="00316127" w:rsidRDefault="000B161F" w:rsidP="00D77551">
            <w:pPr>
              <w:rPr>
                <w:sz w:val="20"/>
              </w:rPr>
            </w:pPr>
            <w:r w:rsidRPr="00316127">
              <w:rPr>
                <w:sz w:val="20"/>
              </w:rPr>
              <w:t xml:space="preserve">Appeal dismissed </w:t>
            </w:r>
          </w:p>
          <w:p w:rsidR="000B161F" w:rsidRPr="00316127" w:rsidRDefault="000B161F" w:rsidP="00D77551">
            <w:pPr>
              <w:rPr>
                <w:sz w:val="20"/>
              </w:rPr>
            </w:pPr>
          </w:p>
        </w:tc>
      </w:tr>
      <w:tr w:rsidR="000B161F" w:rsidRPr="00316127" w:rsidTr="00EE3B7C">
        <w:trPr>
          <w:cantSplit/>
        </w:trPr>
        <w:tc>
          <w:tcPr>
            <w:tcW w:w="2427" w:type="pct"/>
          </w:tcPr>
          <w:p w:rsidR="000B161F" w:rsidRPr="00316127" w:rsidRDefault="000B161F" w:rsidP="00D77551">
            <w:pPr>
              <w:rPr>
                <w:sz w:val="20"/>
              </w:rPr>
            </w:pPr>
            <w:r w:rsidRPr="00316127">
              <w:rPr>
                <w:sz w:val="20"/>
              </w:rPr>
              <w:t>August 26, 2010</w:t>
            </w:r>
          </w:p>
          <w:p w:rsidR="000B161F" w:rsidRPr="00316127" w:rsidRDefault="000B161F" w:rsidP="00D77551">
            <w:pPr>
              <w:rPr>
                <w:sz w:val="20"/>
              </w:rPr>
            </w:pPr>
            <w:r w:rsidRPr="00316127">
              <w:rPr>
                <w:sz w:val="20"/>
              </w:rPr>
              <w:t>Supreme Court of Canada</w:t>
            </w:r>
          </w:p>
        </w:tc>
        <w:tc>
          <w:tcPr>
            <w:tcW w:w="243" w:type="pct"/>
          </w:tcPr>
          <w:p w:rsidR="000B161F" w:rsidRPr="00316127" w:rsidRDefault="000B161F" w:rsidP="00D77551">
            <w:pPr>
              <w:rPr>
                <w:sz w:val="20"/>
              </w:rPr>
            </w:pPr>
          </w:p>
        </w:tc>
        <w:tc>
          <w:tcPr>
            <w:tcW w:w="2330" w:type="pct"/>
          </w:tcPr>
          <w:p w:rsidR="000B161F" w:rsidRPr="00316127" w:rsidRDefault="000B161F" w:rsidP="00D77551">
            <w:pPr>
              <w:rPr>
                <w:sz w:val="20"/>
              </w:rPr>
            </w:pPr>
            <w:r w:rsidRPr="00316127">
              <w:rPr>
                <w:sz w:val="20"/>
              </w:rPr>
              <w:t>Application for leave to appeal filed</w:t>
            </w:r>
          </w:p>
          <w:p w:rsidR="000B161F" w:rsidRPr="00316127" w:rsidRDefault="000B161F" w:rsidP="00D77551">
            <w:pPr>
              <w:rPr>
                <w:sz w:val="20"/>
              </w:rPr>
            </w:pPr>
          </w:p>
        </w:tc>
      </w:tr>
    </w:tbl>
    <w:p w:rsidR="00E42D2B" w:rsidRPr="00E01ABF" w:rsidRDefault="00E42D2B" w:rsidP="00E42D2B">
      <w:pPr>
        <w:rPr>
          <w:sz w:val="20"/>
          <w:szCs w:val="20"/>
        </w:rPr>
      </w:pPr>
    </w:p>
    <w:p w:rsidR="00E42D2B" w:rsidRDefault="00D56013" w:rsidP="00E42D2B">
      <w:pPr>
        <w:rPr>
          <w:sz w:val="20"/>
          <w:szCs w:val="20"/>
          <w:lang w:val="fr-CA"/>
        </w:rPr>
      </w:pPr>
      <w:r w:rsidRPr="00D56013">
        <w:rPr>
          <w:sz w:val="20"/>
          <w:szCs w:val="20"/>
          <w:lang w:val="fr-CA"/>
        </w:rPr>
        <w:pict>
          <v:rect id="_x0000_i1066" style="width:2in;height:1pt" o:hrpct="0" o:hralign="center" o:hrstd="t" o:hrnoshade="t" o:hr="t" fillcolor="black [3213]" stroked="f"/>
        </w:pict>
      </w:r>
    </w:p>
    <w:p w:rsidR="00EE3B7C" w:rsidRPr="00E01ABF" w:rsidRDefault="00EE3B7C" w:rsidP="00E42D2B">
      <w:pPr>
        <w:rPr>
          <w:sz w:val="20"/>
          <w:szCs w:val="20"/>
        </w:rPr>
      </w:pPr>
    </w:p>
    <w:p w:rsidR="00E42D2B" w:rsidRPr="00E01ABF" w:rsidRDefault="00E42D2B" w:rsidP="00E42D2B">
      <w:pPr>
        <w:rPr>
          <w:sz w:val="20"/>
          <w:szCs w:val="20"/>
          <w:u w:val="single"/>
        </w:rPr>
      </w:pPr>
      <w:r w:rsidRPr="00E01ABF">
        <w:rPr>
          <w:sz w:val="20"/>
          <w:szCs w:val="20"/>
          <w:u w:val="single"/>
        </w:rPr>
        <w:t>RÉSUMÉ DE L’AFFAIRE</w:t>
      </w:r>
    </w:p>
    <w:p w:rsidR="00E42D2B" w:rsidRDefault="00E42D2B" w:rsidP="00E42D2B">
      <w:pPr>
        <w:rPr>
          <w:sz w:val="20"/>
          <w:szCs w:val="20"/>
        </w:rPr>
      </w:pPr>
    </w:p>
    <w:tbl>
      <w:tblPr>
        <w:tblW w:w="4952" w:type="pct"/>
        <w:tblInd w:w="2" w:type="dxa"/>
        <w:tblLayout w:type="fixed"/>
        <w:tblCellMar>
          <w:left w:w="0" w:type="dxa"/>
          <w:bottom w:w="99" w:type="dxa"/>
          <w:right w:w="0" w:type="dxa"/>
        </w:tblCellMar>
        <w:tblLook w:val="00A0"/>
      </w:tblPr>
      <w:tblGrid>
        <w:gridCol w:w="4624"/>
        <w:gridCol w:w="463"/>
        <w:gridCol w:w="4440"/>
      </w:tblGrid>
      <w:tr w:rsidR="000B161F" w:rsidRPr="00850008" w:rsidTr="00D77551">
        <w:tc>
          <w:tcPr>
            <w:tcW w:w="5000" w:type="pct"/>
            <w:gridSpan w:val="3"/>
          </w:tcPr>
          <w:p w:rsidR="000B161F" w:rsidRPr="00316127" w:rsidRDefault="000B161F" w:rsidP="00D77551">
            <w:pPr>
              <w:jc w:val="both"/>
              <w:rPr>
                <w:rFonts w:eastAsia="Calibri"/>
                <w:sz w:val="20"/>
                <w:lang w:val="fr-CA"/>
              </w:rPr>
            </w:pPr>
            <w:r w:rsidRPr="00316127">
              <w:rPr>
                <w:rFonts w:eastAsia="Calibri"/>
                <w:sz w:val="20"/>
                <w:lang w:val="fr-CA"/>
              </w:rPr>
              <w:t xml:space="preserve">Successions – Testaments – Administration des successions – Exécutrice et fiduciaire – Le fiduciaire est-il tenu d’investir les biens de la succession afin de produire un revenu pour un bénéficiaire viager? – Dans l’affirmative, le fiduciaire a-t-il le droit d’investir une partie considérable des biens de la succession dans des placements en actions « de croissance » à rendement nul ou à faible rendement qui ont pour but de produire une plus-value en capital, plutôt qu’un revenu courant pour le bénéficiaire viager?   – Dans l’affirmative, la </w:t>
            </w:r>
            <w:r w:rsidRPr="00316127">
              <w:rPr>
                <w:rFonts w:eastAsia="Calibri"/>
                <w:i/>
                <w:iCs/>
                <w:sz w:val="20"/>
                <w:lang w:val="fr-CA"/>
              </w:rPr>
              <w:t>Trustee Act</w:t>
            </w:r>
            <w:r w:rsidRPr="00316127">
              <w:rPr>
                <w:rFonts w:eastAsia="Calibri"/>
                <w:sz w:val="20"/>
                <w:lang w:val="fr-CA"/>
              </w:rPr>
              <w:t xml:space="preserve"> permet-elle à une exécutrice d’investir une partie considérable des biens de la succession dans des placements en actions « de croissance » à faible rendement, plutôt que de produire un revenu courant pour le bénéficiaire viager?</w:t>
            </w:r>
          </w:p>
          <w:p w:rsidR="000B161F" w:rsidRPr="00316127" w:rsidRDefault="000B161F" w:rsidP="00D77551">
            <w:pPr>
              <w:jc w:val="both"/>
              <w:rPr>
                <w:rFonts w:eastAsia="Calibri"/>
                <w:sz w:val="20"/>
                <w:lang w:val="fr-CA"/>
              </w:rPr>
            </w:pPr>
          </w:p>
        </w:tc>
      </w:tr>
      <w:tr w:rsidR="000B161F" w:rsidRPr="00316127" w:rsidTr="00D77551">
        <w:tc>
          <w:tcPr>
            <w:tcW w:w="5000" w:type="pct"/>
            <w:gridSpan w:val="3"/>
          </w:tcPr>
          <w:p w:rsidR="000B161F" w:rsidRPr="00316127" w:rsidRDefault="000B161F" w:rsidP="00D77551">
            <w:pPr>
              <w:jc w:val="both"/>
              <w:rPr>
                <w:rFonts w:eastAsia="Calibri"/>
                <w:sz w:val="20"/>
                <w:lang w:val="fr-CA"/>
              </w:rPr>
            </w:pPr>
            <w:r w:rsidRPr="00316127">
              <w:rPr>
                <w:rFonts w:eastAsia="Calibri"/>
                <w:sz w:val="20"/>
                <w:lang w:val="fr-CA"/>
              </w:rPr>
              <w:t>La question en litige dans la présente demande d’autorisation découle d’un différend concernant l’administration d’une succession. Le testateur avait demandé que sa succession soit détenue en fiducie au profit de son épouse du vivant de celle-ci et que le reliquat après son décès soit divisé entre ses quatre enfants à parts égales. La Section de première instance a rejeté la demande des bénéficiaires en destitution de la fiduciaire. La Cour d’appel a rejeté l’appel.</w:t>
            </w:r>
          </w:p>
          <w:p w:rsidR="000B161F" w:rsidRPr="00316127" w:rsidRDefault="000B161F" w:rsidP="00D77551">
            <w:pPr>
              <w:jc w:val="both"/>
              <w:rPr>
                <w:rFonts w:eastAsia="Calibri"/>
                <w:sz w:val="20"/>
                <w:lang w:val="fr-CA"/>
              </w:rPr>
            </w:pPr>
          </w:p>
        </w:tc>
      </w:tr>
      <w:tr w:rsidR="000B161F" w:rsidRPr="00850008" w:rsidTr="00D77551">
        <w:tc>
          <w:tcPr>
            <w:tcW w:w="2427" w:type="pct"/>
          </w:tcPr>
          <w:p w:rsidR="000B161F" w:rsidRPr="00316127" w:rsidRDefault="000B161F" w:rsidP="00D77551">
            <w:pPr>
              <w:jc w:val="both"/>
              <w:rPr>
                <w:rFonts w:eastAsia="Calibri"/>
                <w:sz w:val="20"/>
                <w:lang w:val="fr-CA"/>
              </w:rPr>
            </w:pPr>
            <w:r w:rsidRPr="00316127">
              <w:rPr>
                <w:rFonts w:eastAsia="Calibri"/>
                <w:sz w:val="20"/>
                <w:lang w:val="fr-CA"/>
              </w:rPr>
              <w:t>11 août 2008</w:t>
            </w:r>
          </w:p>
          <w:p w:rsidR="000B161F" w:rsidRPr="00316127" w:rsidRDefault="000B161F" w:rsidP="00D77551">
            <w:pPr>
              <w:jc w:val="both"/>
              <w:rPr>
                <w:rFonts w:eastAsia="Calibri"/>
                <w:sz w:val="20"/>
                <w:lang w:val="fr-CA"/>
              </w:rPr>
            </w:pPr>
            <w:r w:rsidRPr="00316127">
              <w:rPr>
                <w:rFonts w:eastAsia="Calibri"/>
                <w:sz w:val="20"/>
                <w:lang w:val="fr-CA"/>
              </w:rPr>
              <w:t xml:space="preserve">Cour suprême de Terre-Neuve-et-Labrador, </w:t>
            </w:r>
          </w:p>
          <w:p w:rsidR="000B161F" w:rsidRPr="00316127" w:rsidRDefault="000B161F" w:rsidP="00D77551">
            <w:pPr>
              <w:jc w:val="both"/>
              <w:rPr>
                <w:rFonts w:eastAsia="Calibri"/>
                <w:sz w:val="20"/>
                <w:lang w:val="fr-CA"/>
              </w:rPr>
            </w:pPr>
            <w:r w:rsidRPr="00316127">
              <w:rPr>
                <w:rFonts w:eastAsia="Calibri"/>
                <w:sz w:val="20"/>
                <w:lang w:val="fr-CA"/>
              </w:rPr>
              <w:t>Section de première instance</w:t>
            </w:r>
          </w:p>
          <w:p w:rsidR="000B161F" w:rsidRPr="00316127" w:rsidRDefault="000B161F" w:rsidP="00D77551">
            <w:pPr>
              <w:jc w:val="both"/>
              <w:rPr>
                <w:rFonts w:eastAsia="Calibri"/>
                <w:sz w:val="20"/>
                <w:lang w:val="fr-CA"/>
              </w:rPr>
            </w:pPr>
            <w:r w:rsidRPr="00316127">
              <w:rPr>
                <w:rFonts w:eastAsia="Calibri"/>
                <w:sz w:val="20"/>
                <w:lang w:val="fr-CA"/>
              </w:rPr>
              <w:t>(Juge Orsborn)</w:t>
            </w:r>
          </w:p>
          <w:p w:rsidR="000B161F" w:rsidRPr="00316127" w:rsidRDefault="000B161F" w:rsidP="00D77551">
            <w:pPr>
              <w:jc w:val="both"/>
              <w:rPr>
                <w:rFonts w:eastAsia="Calibri"/>
                <w:sz w:val="20"/>
                <w:lang w:val="fr-CA"/>
              </w:rPr>
            </w:pPr>
            <w:r w:rsidRPr="00316127">
              <w:rPr>
                <w:rFonts w:eastAsia="Calibri"/>
                <w:sz w:val="20"/>
                <w:lang w:val="fr-CA"/>
              </w:rPr>
              <w:t>Référence neutre : 2008 NLTD 138</w:t>
            </w:r>
          </w:p>
          <w:p w:rsidR="000B161F" w:rsidRPr="00316127" w:rsidRDefault="000B161F" w:rsidP="00D77551">
            <w:pPr>
              <w:jc w:val="both"/>
              <w:rPr>
                <w:rFonts w:eastAsia="Calibri"/>
                <w:sz w:val="20"/>
                <w:lang w:val="fr-CA"/>
              </w:rPr>
            </w:pPr>
          </w:p>
        </w:tc>
        <w:tc>
          <w:tcPr>
            <w:tcW w:w="243" w:type="pct"/>
          </w:tcPr>
          <w:p w:rsidR="000B161F" w:rsidRPr="00316127" w:rsidRDefault="000B161F" w:rsidP="00D77551">
            <w:pPr>
              <w:jc w:val="both"/>
              <w:rPr>
                <w:rFonts w:eastAsia="Calibri"/>
                <w:sz w:val="20"/>
                <w:lang w:val="fr-CA"/>
              </w:rPr>
            </w:pPr>
          </w:p>
        </w:tc>
        <w:tc>
          <w:tcPr>
            <w:tcW w:w="2330" w:type="pct"/>
          </w:tcPr>
          <w:p w:rsidR="000B161F" w:rsidRPr="00316127" w:rsidRDefault="000B161F" w:rsidP="00D77551">
            <w:pPr>
              <w:jc w:val="both"/>
              <w:rPr>
                <w:rFonts w:eastAsia="Calibri"/>
                <w:sz w:val="20"/>
                <w:lang w:val="fr-CA"/>
              </w:rPr>
            </w:pPr>
            <w:r w:rsidRPr="00316127">
              <w:rPr>
                <w:rFonts w:eastAsia="Calibri"/>
                <w:sz w:val="20"/>
                <w:lang w:val="fr-CA"/>
              </w:rPr>
              <w:t xml:space="preserve">Demande de réparation relative à l’administration de la succession de John Dicks, rejetée </w:t>
            </w:r>
          </w:p>
          <w:p w:rsidR="000B161F" w:rsidRPr="00316127" w:rsidRDefault="000B161F" w:rsidP="00D77551">
            <w:pPr>
              <w:jc w:val="both"/>
              <w:rPr>
                <w:rFonts w:eastAsia="Calibri"/>
                <w:sz w:val="20"/>
                <w:lang w:val="fr-CA"/>
              </w:rPr>
            </w:pPr>
          </w:p>
        </w:tc>
      </w:tr>
      <w:tr w:rsidR="000B161F" w:rsidRPr="00316127" w:rsidTr="00D77551">
        <w:tc>
          <w:tcPr>
            <w:tcW w:w="2427" w:type="pct"/>
          </w:tcPr>
          <w:p w:rsidR="000B161F" w:rsidRPr="00316127" w:rsidRDefault="000B161F" w:rsidP="00D77551">
            <w:pPr>
              <w:jc w:val="both"/>
              <w:rPr>
                <w:rFonts w:eastAsia="Calibri"/>
                <w:sz w:val="20"/>
                <w:lang w:val="fr-CA"/>
              </w:rPr>
            </w:pPr>
            <w:r w:rsidRPr="00316127">
              <w:rPr>
                <w:rFonts w:eastAsia="Calibri"/>
                <w:sz w:val="20"/>
                <w:lang w:val="fr-CA"/>
              </w:rPr>
              <w:t>31 mai 2010</w:t>
            </w:r>
          </w:p>
          <w:p w:rsidR="000B161F" w:rsidRPr="00316127" w:rsidRDefault="000B161F" w:rsidP="00D77551">
            <w:pPr>
              <w:jc w:val="both"/>
              <w:rPr>
                <w:rFonts w:eastAsia="Calibri"/>
                <w:sz w:val="20"/>
                <w:lang w:val="fr-CA"/>
              </w:rPr>
            </w:pPr>
            <w:r w:rsidRPr="00316127">
              <w:rPr>
                <w:rFonts w:eastAsia="Calibri"/>
                <w:sz w:val="20"/>
                <w:lang w:val="fr-CA"/>
              </w:rPr>
              <w:t>Cour suprême de Terre-Neuve-et-Labrador – Cour d’appel</w:t>
            </w:r>
          </w:p>
          <w:p w:rsidR="000B161F" w:rsidRPr="00316127" w:rsidRDefault="000B161F" w:rsidP="00D77551">
            <w:pPr>
              <w:jc w:val="both"/>
              <w:rPr>
                <w:rFonts w:eastAsia="Calibri"/>
                <w:sz w:val="20"/>
                <w:lang w:val="fr-CA"/>
              </w:rPr>
            </w:pPr>
            <w:r w:rsidRPr="00316127">
              <w:rPr>
                <w:rFonts w:eastAsia="Calibri"/>
                <w:sz w:val="20"/>
                <w:lang w:val="fr-CA"/>
              </w:rPr>
              <w:t>(Juge en chef Green, juges Cameron et Welsh)</w:t>
            </w:r>
          </w:p>
          <w:p w:rsidR="000B161F" w:rsidRPr="00316127" w:rsidRDefault="000B161F" w:rsidP="00D77551">
            <w:pPr>
              <w:jc w:val="both"/>
              <w:rPr>
                <w:rFonts w:eastAsia="Calibri"/>
                <w:sz w:val="20"/>
                <w:lang w:val="fr-CA"/>
              </w:rPr>
            </w:pPr>
            <w:r w:rsidRPr="00316127">
              <w:rPr>
                <w:rFonts w:eastAsia="Calibri"/>
                <w:sz w:val="20"/>
                <w:lang w:val="fr-CA"/>
              </w:rPr>
              <w:t>Référence neutre : 2010 NLCA 35</w:t>
            </w:r>
          </w:p>
          <w:p w:rsidR="000B161F" w:rsidRPr="00316127" w:rsidRDefault="000B161F" w:rsidP="00D77551">
            <w:pPr>
              <w:jc w:val="both"/>
              <w:rPr>
                <w:rFonts w:eastAsia="Calibri"/>
                <w:sz w:val="20"/>
                <w:lang w:val="fr-CA"/>
              </w:rPr>
            </w:pPr>
          </w:p>
        </w:tc>
        <w:tc>
          <w:tcPr>
            <w:tcW w:w="243" w:type="pct"/>
          </w:tcPr>
          <w:p w:rsidR="000B161F" w:rsidRPr="00316127" w:rsidRDefault="000B161F" w:rsidP="00D77551">
            <w:pPr>
              <w:jc w:val="both"/>
              <w:rPr>
                <w:rFonts w:eastAsia="Calibri"/>
                <w:sz w:val="20"/>
                <w:lang w:val="fr-CA"/>
              </w:rPr>
            </w:pPr>
          </w:p>
        </w:tc>
        <w:tc>
          <w:tcPr>
            <w:tcW w:w="2330" w:type="pct"/>
          </w:tcPr>
          <w:p w:rsidR="000B161F" w:rsidRPr="00316127" w:rsidRDefault="000B161F" w:rsidP="00D77551">
            <w:pPr>
              <w:jc w:val="both"/>
              <w:rPr>
                <w:rFonts w:eastAsia="Calibri"/>
                <w:sz w:val="20"/>
                <w:lang w:val="fr-CA"/>
              </w:rPr>
            </w:pPr>
            <w:r w:rsidRPr="00316127">
              <w:rPr>
                <w:rFonts w:eastAsia="Calibri"/>
                <w:sz w:val="20"/>
                <w:lang w:val="fr-CA"/>
              </w:rPr>
              <w:t>Appel rejeté</w:t>
            </w:r>
          </w:p>
          <w:p w:rsidR="000B161F" w:rsidRPr="00316127" w:rsidRDefault="000B161F" w:rsidP="00D77551">
            <w:pPr>
              <w:jc w:val="both"/>
              <w:rPr>
                <w:rFonts w:eastAsia="Calibri"/>
                <w:sz w:val="20"/>
                <w:lang w:val="fr-CA"/>
              </w:rPr>
            </w:pPr>
          </w:p>
        </w:tc>
      </w:tr>
      <w:tr w:rsidR="000B161F" w:rsidRPr="00316127" w:rsidTr="00D77551">
        <w:tc>
          <w:tcPr>
            <w:tcW w:w="2427" w:type="pct"/>
          </w:tcPr>
          <w:p w:rsidR="000B161F" w:rsidRPr="00316127" w:rsidRDefault="000B161F" w:rsidP="00D77551">
            <w:pPr>
              <w:jc w:val="both"/>
              <w:rPr>
                <w:rFonts w:eastAsia="Calibri"/>
                <w:sz w:val="20"/>
                <w:lang w:val="fr-CA"/>
              </w:rPr>
            </w:pPr>
            <w:r w:rsidRPr="00316127">
              <w:rPr>
                <w:rFonts w:eastAsia="Calibri"/>
                <w:sz w:val="20"/>
                <w:lang w:val="fr-CA"/>
              </w:rPr>
              <w:t>26 août 2010</w:t>
            </w:r>
          </w:p>
          <w:p w:rsidR="000B161F" w:rsidRPr="00316127" w:rsidRDefault="000B161F" w:rsidP="00D77551">
            <w:pPr>
              <w:jc w:val="both"/>
              <w:rPr>
                <w:rFonts w:eastAsia="Calibri"/>
                <w:sz w:val="20"/>
                <w:lang w:val="fr-CA"/>
              </w:rPr>
            </w:pPr>
            <w:r w:rsidRPr="00316127">
              <w:rPr>
                <w:rFonts w:eastAsia="Calibri"/>
                <w:sz w:val="20"/>
                <w:lang w:val="fr-CA"/>
              </w:rPr>
              <w:t>Cour suprême du Canada</w:t>
            </w:r>
          </w:p>
        </w:tc>
        <w:tc>
          <w:tcPr>
            <w:tcW w:w="243" w:type="pct"/>
          </w:tcPr>
          <w:p w:rsidR="000B161F" w:rsidRPr="00316127" w:rsidRDefault="000B161F" w:rsidP="00D77551">
            <w:pPr>
              <w:jc w:val="both"/>
              <w:rPr>
                <w:rFonts w:eastAsia="Calibri"/>
                <w:sz w:val="20"/>
                <w:lang w:val="fr-CA"/>
              </w:rPr>
            </w:pPr>
          </w:p>
        </w:tc>
        <w:tc>
          <w:tcPr>
            <w:tcW w:w="2330" w:type="pct"/>
          </w:tcPr>
          <w:p w:rsidR="000B161F" w:rsidRPr="00316127" w:rsidRDefault="000B161F" w:rsidP="00D77551">
            <w:pPr>
              <w:jc w:val="both"/>
              <w:rPr>
                <w:rFonts w:eastAsia="Calibri"/>
                <w:sz w:val="20"/>
                <w:lang w:val="fr-CA"/>
              </w:rPr>
            </w:pPr>
            <w:r w:rsidRPr="00316127">
              <w:rPr>
                <w:rFonts w:eastAsia="Calibri"/>
                <w:sz w:val="20"/>
                <w:lang w:val="fr-CA"/>
              </w:rPr>
              <w:t>Demande d’autorisation d’appel, déposée</w:t>
            </w:r>
          </w:p>
          <w:p w:rsidR="000B161F" w:rsidRPr="00316127" w:rsidRDefault="000B161F" w:rsidP="00D77551">
            <w:pPr>
              <w:jc w:val="both"/>
              <w:rPr>
                <w:rFonts w:eastAsia="Calibri"/>
                <w:sz w:val="20"/>
                <w:lang w:val="fr-CA"/>
              </w:rPr>
            </w:pPr>
          </w:p>
        </w:tc>
      </w:tr>
    </w:tbl>
    <w:p w:rsidR="00E42D2B" w:rsidRPr="00E01ABF" w:rsidRDefault="00E42D2B" w:rsidP="00E42D2B">
      <w:pPr>
        <w:rPr>
          <w:sz w:val="20"/>
          <w:szCs w:val="20"/>
        </w:rPr>
      </w:pPr>
    </w:p>
    <w:p w:rsidR="00E42D2B" w:rsidRDefault="00D56013" w:rsidP="00E42D2B">
      <w:pPr>
        <w:rPr>
          <w:sz w:val="20"/>
          <w:szCs w:val="20"/>
          <w:lang w:val="fr-CA"/>
        </w:rPr>
      </w:pPr>
      <w:r w:rsidRPr="00D56013">
        <w:rPr>
          <w:sz w:val="20"/>
          <w:szCs w:val="20"/>
          <w:lang w:val="fr-CA"/>
        </w:rPr>
        <w:pict>
          <v:rect id="_x0000_i1067" style="width:2in;height:1pt" o:hrpct="0" o:hralign="center" o:hrstd="t" o:hrnoshade="t" o:hr="t" fillcolor="black [3213]" stroked="f"/>
        </w:pict>
      </w:r>
    </w:p>
    <w:p w:rsidR="00E42D2B" w:rsidRDefault="00E42D2B" w:rsidP="008D292F">
      <w:pPr>
        <w:rPr>
          <w:sz w:val="20"/>
          <w:szCs w:val="20"/>
          <w:lang w:val="fr-CA"/>
        </w:rPr>
      </w:pPr>
    </w:p>
    <w:p w:rsidR="00E42D2B" w:rsidRDefault="00E42D2B" w:rsidP="00E42D2B">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EE3B7C" w:rsidRPr="00EE3B7C" w:rsidTr="00473DF7">
        <w:trPr>
          <w:cantSplit/>
        </w:trPr>
        <w:tc>
          <w:tcPr>
            <w:tcW w:w="1458" w:type="dxa"/>
          </w:tcPr>
          <w:p w:rsidR="00EE3B7C" w:rsidRPr="00EE3B7C" w:rsidRDefault="00EE3B7C" w:rsidP="00473DF7">
            <w:pPr>
              <w:rPr>
                <w:sz w:val="20"/>
                <w:szCs w:val="20"/>
              </w:rPr>
            </w:pPr>
            <w:r w:rsidRPr="00EE3B7C">
              <w:rPr>
                <w:rStyle w:val="SCCFileNumberChar"/>
                <w:sz w:val="20"/>
                <w:szCs w:val="20"/>
              </w:rPr>
              <w:lastRenderedPageBreak/>
              <w:t>33810</w:t>
            </w:r>
          </w:p>
          <w:p w:rsidR="00EE3B7C" w:rsidRPr="00EE3B7C" w:rsidRDefault="00EE3B7C" w:rsidP="00473DF7">
            <w:pPr>
              <w:rPr>
                <w:b/>
                <w:sz w:val="20"/>
                <w:szCs w:val="20"/>
                <w:lang w:val="fr-CA"/>
              </w:rPr>
            </w:pPr>
          </w:p>
        </w:tc>
        <w:tc>
          <w:tcPr>
            <w:tcW w:w="8118" w:type="dxa"/>
          </w:tcPr>
          <w:p w:rsidR="00EE3B7C" w:rsidRPr="00EE3B7C" w:rsidRDefault="00EE3B7C" w:rsidP="00473DF7">
            <w:pPr>
              <w:rPr>
                <w:sz w:val="20"/>
                <w:szCs w:val="20"/>
              </w:rPr>
            </w:pPr>
            <w:r w:rsidRPr="00EE3B7C">
              <w:rPr>
                <w:rStyle w:val="SCCLsocChar"/>
                <w:sz w:val="20"/>
                <w:szCs w:val="20"/>
                <w:lang w:val="en-CA"/>
              </w:rPr>
              <w:t>Philip E. Johnston v. Chubb Canada</w:t>
            </w:r>
            <w:r w:rsidRPr="00EE3B7C">
              <w:rPr>
                <w:sz w:val="20"/>
                <w:szCs w:val="20"/>
              </w:rPr>
              <w:t xml:space="preserve"> (Que.) (Civil) (By Leave)</w:t>
            </w:r>
          </w:p>
          <w:p w:rsidR="00EE3B7C" w:rsidRPr="00EE3B7C" w:rsidRDefault="00EE3B7C" w:rsidP="00473DF7">
            <w:pPr>
              <w:rPr>
                <w:sz w:val="20"/>
                <w:szCs w:val="20"/>
              </w:rPr>
            </w:pPr>
          </w:p>
        </w:tc>
      </w:tr>
      <w:tr w:rsidR="00EE3B7C" w:rsidRPr="00EE3B7C" w:rsidTr="00473DF7">
        <w:trPr>
          <w:cantSplit/>
        </w:trPr>
        <w:tc>
          <w:tcPr>
            <w:tcW w:w="1458" w:type="dxa"/>
          </w:tcPr>
          <w:p w:rsidR="00EE3B7C" w:rsidRPr="00EE3B7C" w:rsidRDefault="00EE3B7C" w:rsidP="00473DF7">
            <w:pPr>
              <w:rPr>
                <w:sz w:val="20"/>
                <w:szCs w:val="20"/>
              </w:rPr>
            </w:pPr>
            <w:r w:rsidRPr="00EE3B7C">
              <w:rPr>
                <w:sz w:val="20"/>
                <w:szCs w:val="20"/>
              </w:rPr>
              <w:t>Coram :</w:t>
            </w:r>
          </w:p>
        </w:tc>
        <w:tc>
          <w:tcPr>
            <w:tcW w:w="8118" w:type="dxa"/>
          </w:tcPr>
          <w:p w:rsidR="00EE3B7C" w:rsidRPr="00EE3B7C" w:rsidRDefault="00EE3B7C" w:rsidP="00473DF7">
            <w:pPr>
              <w:rPr>
                <w:sz w:val="20"/>
                <w:szCs w:val="20"/>
              </w:rPr>
            </w:pPr>
            <w:r w:rsidRPr="00EE3B7C">
              <w:rPr>
                <w:rStyle w:val="SCCCoramChar"/>
                <w:sz w:val="20"/>
                <w:szCs w:val="20"/>
                <w:lang w:val="en-CA"/>
              </w:rPr>
              <w:t>LeBel, Deschamps and Charron JJ.</w:t>
            </w:r>
          </w:p>
          <w:p w:rsidR="00EE3B7C" w:rsidRPr="00EE3B7C" w:rsidRDefault="00EE3B7C" w:rsidP="00473DF7">
            <w:pPr>
              <w:rPr>
                <w:sz w:val="20"/>
                <w:szCs w:val="20"/>
                <w:u w:val="single"/>
              </w:rPr>
            </w:pPr>
          </w:p>
        </w:tc>
      </w:tr>
      <w:tr w:rsidR="00EE3B7C" w:rsidRPr="00850008" w:rsidTr="00473DF7">
        <w:trPr>
          <w:cantSplit/>
        </w:trPr>
        <w:tc>
          <w:tcPr>
            <w:tcW w:w="9576" w:type="dxa"/>
            <w:gridSpan w:val="2"/>
          </w:tcPr>
          <w:p w:rsidR="00EE3B7C" w:rsidRPr="00EE3B7C" w:rsidRDefault="00EE3B7C" w:rsidP="00473DF7">
            <w:pPr>
              <w:pStyle w:val="SCCShortJudgment"/>
              <w:rPr>
                <w:szCs w:val="20"/>
              </w:rPr>
            </w:pPr>
            <w:r w:rsidRPr="00EE3B7C">
              <w:rPr>
                <w:szCs w:val="20"/>
              </w:rPr>
              <w:t>The application for leave to appeal from the judgment of the Court of Appeal of Quebec (Montréal), Number 500-09-019125-087, 2010 QCCA 1066, dated June 2, 2010, is dismissed with costs.</w:t>
            </w:r>
          </w:p>
          <w:p w:rsidR="00EE3B7C" w:rsidRPr="00EE3B7C" w:rsidRDefault="00EE3B7C" w:rsidP="00473DF7">
            <w:pPr>
              <w:pStyle w:val="SCCShortJudgment"/>
              <w:ind w:firstLine="0"/>
              <w:rPr>
                <w:szCs w:val="20"/>
              </w:rPr>
            </w:pPr>
          </w:p>
          <w:p w:rsidR="00EE3B7C" w:rsidRPr="00EE3B7C" w:rsidRDefault="00EE3B7C" w:rsidP="00EE3B7C">
            <w:pPr>
              <w:pStyle w:val="SCCShortJudgment"/>
              <w:rPr>
                <w:szCs w:val="20"/>
                <w:lang w:val="fr-CA"/>
              </w:rPr>
            </w:pPr>
            <w:r w:rsidRPr="00EE3B7C">
              <w:rPr>
                <w:szCs w:val="20"/>
                <w:lang w:val="fr-CA"/>
              </w:rPr>
              <w:t>La demande d’autorisation d’appel de l’arrêt de la Cour d’appel du Québec (Montréal), numéro 500-09-019125-087, 2010 QCCA 1066, daté du 2 juin 2010, est rejetée avec dépens.</w:t>
            </w:r>
          </w:p>
        </w:tc>
      </w:tr>
    </w:tbl>
    <w:p w:rsidR="00E42D2B" w:rsidRDefault="00E42D2B" w:rsidP="00E42D2B">
      <w:pPr>
        <w:rPr>
          <w:sz w:val="20"/>
          <w:szCs w:val="20"/>
          <w:lang w:val="fr-CA"/>
        </w:rPr>
      </w:pPr>
    </w:p>
    <w:p w:rsidR="00E42D2B" w:rsidRPr="00E01ABF" w:rsidRDefault="00E42D2B" w:rsidP="00E42D2B">
      <w:pPr>
        <w:rPr>
          <w:sz w:val="20"/>
          <w:szCs w:val="20"/>
          <w:u w:val="single"/>
        </w:rPr>
      </w:pPr>
      <w:r w:rsidRPr="00E01ABF">
        <w:rPr>
          <w:sz w:val="20"/>
          <w:szCs w:val="20"/>
          <w:u w:val="single"/>
        </w:rPr>
        <w:t>CASE SUMMARY</w:t>
      </w:r>
    </w:p>
    <w:p w:rsidR="00E42D2B" w:rsidRDefault="00E42D2B" w:rsidP="00E42D2B">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26524B" w:rsidRPr="005577B1" w:rsidTr="00D77551">
        <w:tc>
          <w:tcPr>
            <w:tcW w:w="5000" w:type="pct"/>
            <w:gridSpan w:val="3"/>
          </w:tcPr>
          <w:p w:rsidR="0026524B" w:rsidRPr="005577B1" w:rsidRDefault="0026524B" w:rsidP="00D77551">
            <w:pPr>
              <w:jc w:val="both"/>
              <w:rPr>
                <w:rFonts w:eastAsia="Calibri"/>
                <w:sz w:val="20"/>
              </w:rPr>
            </w:pPr>
            <w:r w:rsidRPr="005577B1">
              <w:rPr>
                <w:rFonts w:eastAsia="Calibri"/>
                <w:sz w:val="20"/>
              </w:rPr>
              <w:t>Insurance – Liability insurance – Latent defects – Action in warranty –  Policy interpretation – Duty to defend – Whether the Court of Appeal erred in holding that the escape of oil from a buried underground storage tank did not constitute an “occurrence”, “loss” or “accident” within the meaning of the insurance policy – Whether the Court of Appeal erred in failing to recognize that the personal liability insurance policy included coverage for contractual liability, having exclusions not relevant to this litigation – Whether the Court of Appeal erred in resorting to general principles of insurance law as an interpretive aid.</w:t>
            </w:r>
          </w:p>
          <w:p w:rsidR="0026524B" w:rsidRPr="005577B1" w:rsidRDefault="0026524B" w:rsidP="00D77551">
            <w:pPr>
              <w:jc w:val="both"/>
              <w:rPr>
                <w:rFonts w:eastAsia="Calibri"/>
                <w:sz w:val="20"/>
              </w:rPr>
            </w:pPr>
          </w:p>
        </w:tc>
      </w:tr>
      <w:tr w:rsidR="0026524B" w:rsidRPr="005577B1" w:rsidTr="00D77551">
        <w:tc>
          <w:tcPr>
            <w:tcW w:w="5000" w:type="pct"/>
            <w:gridSpan w:val="3"/>
          </w:tcPr>
          <w:p w:rsidR="0026524B" w:rsidRDefault="0026524B" w:rsidP="005617B9">
            <w:pPr>
              <w:jc w:val="both"/>
              <w:rPr>
                <w:rFonts w:eastAsia="Calibri"/>
                <w:sz w:val="20"/>
              </w:rPr>
            </w:pPr>
            <w:r w:rsidRPr="005577B1">
              <w:rPr>
                <w:rFonts w:eastAsia="Calibri"/>
                <w:sz w:val="20"/>
              </w:rPr>
              <w:t>The applicant, Mr. Johnston, sold his home to a third party, who, after purchase, discovered an old tank buried in the backyard of the property. The third party purchasers brought an action against Mr. Johnston on the basis that they would not have paid such a high price for the property had they known of the latent defect. In response, Mr. Johnston brought an action in warranty against his insurance company, the respondent Chubb Canada. The third party purchaser’s action was allowed in part. Mr. Johnston’s action in warranty was dismissed on the grounds that the leaking oil tank did not constitute an “occurrence” or an event necessary to activate his liability coverage, and that the insurance company’s duty to defend did not arise given the nature of the claim. The Court of Appeal dismissed the appeal.</w:t>
            </w:r>
          </w:p>
          <w:p w:rsidR="005617B9" w:rsidRPr="005577B1" w:rsidRDefault="005617B9" w:rsidP="005617B9">
            <w:pPr>
              <w:jc w:val="both"/>
              <w:rPr>
                <w:rFonts w:eastAsia="Calibri"/>
                <w:sz w:val="20"/>
              </w:rPr>
            </w:pPr>
          </w:p>
        </w:tc>
      </w:tr>
      <w:tr w:rsidR="0026524B" w:rsidRPr="005577B1" w:rsidTr="00D77551">
        <w:tc>
          <w:tcPr>
            <w:tcW w:w="2427" w:type="pct"/>
          </w:tcPr>
          <w:p w:rsidR="0026524B" w:rsidRPr="005577B1" w:rsidRDefault="0026524B" w:rsidP="00D77551">
            <w:pPr>
              <w:jc w:val="both"/>
              <w:rPr>
                <w:rFonts w:eastAsia="Calibri"/>
                <w:sz w:val="20"/>
              </w:rPr>
            </w:pPr>
            <w:r w:rsidRPr="005577B1">
              <w:rPr>
                <w:rFonts w:eastAsia="Calibri"/>
                <w:sz w:val="20"/>
              </w:rPr>
              <w:t>October 2, 2008</w:t>
            </w:r>
          </w:p>
          <w:p w:rsidR="0026524B" w:rsidRPr="005577B1" w:rsidRDefault="0026524B" w:rsidP="00D77551">
            <w:pPr>
              <w:jc w:val="both"/>
              <w:rPr>
                <w:rFonts w:eastAsia="Calibri"/>
                <w:sz w:val="20"/>
              </w:rPr>
            </w:pPr>
            <w:r w:rsidRPr="005577B1">
              <w:rPr>
                <w:rFonts w:eastAsia="Calibri"/>
                <w:sz w:val="20"/>
              </w:rPr>
              <w:t>Superior Court of Quebec</w:t>
            </w:r>
          </w:p>
          <w:p w:rsidR="0026524B" w:rsidRPr="005577B1" w:rsidRDefault="0026524B" w:rsidP="00D77551">
            <w:pPr>
              <w:jc w:val="both"/>
              <w:rPr>
                <w:rFonts w:eastAsia="Calibri"/>
                <w:sz w:val="20"/>
              </w:rPr>
            </w:pPr>
            <w:r w:rsidRPr="005577B1">
              <w:rPr>
                <w:rFonts w:eastAsia="Calibri"/>
                <w:sz w:val="20"/>
              </w:rPr>
              <w:t>(Hébert J.)</w:t>
            </w:r>
          </w:p>
          <w:p w:rsidR="0026524B" w:rsidRPr="005577B1" w:rsidRDefault="0026524B" w:rsidP="00D77551">
            <w:pPr>
              <w:jc w:val="both"/>
              <w:rPr>
                <w:rFonts w:eastAsia="Calibri"/>
                <w:sz w:val="20"/>
              </w:rPr>
            </w:pPr>
            <w:r w:rsidRPr="005577B1">
              <w:rPr>
                <w:rFonts w:eastAsia="Calibri"/>
                <w:sz w:val="20"/>
              </w:rPr>
              <w:t>2008 QCCS 4589</w:t>
            </w:r>
          </w:p>
          <w:p w:rsidR="0026524B" w:rsidRPr="005577B1" w:rsidRDefault="0026524B" w:rsidP="00D77551">
            <w:pPr>
              <w:jc w:val="both"/>
              <w:rPr>
                <w:rFonts w:eastAsia="Calibri"/>
                <w:sz w:val="20"/>
              </w:rPr>
            </w:pPr>
          </w:p>
        </w:tc>
        <w:tc>
          <w:tcPr>
            <w:tcW w:w="243" w:type="pct"/>
          </w:tcPr>
          <w:p w:rsidR="0026524B" w:rsidRPr="005577B1" w:rsidRDefault="0026524B" w:rsidP="00D77551">
            <w:pPr>
              <w:jc w:val="both"/>
              <w:rPr>
                <w:rFonts w:eastAsia="Calibri"/>
                <w:sz w:val="20"/>
              </w:rPr>
            </w:pPr>
          </w:p>
        </w:tc>
        <w:tc>
          <w:tcPr>
            <w:tcW w:w="2330" w:type="pct"/>
          </w:tcPr>
          <w:p w:rsidR="0026524B" w:rsidRPr="005577B1" w:rsidRDefault="0026524B" w:rsidP="00D77551">
            <w:pPr>
              <w:jc w:val="both"/>
              <w:rPr>
                <w:rFonts w:eastAsia="Calibri"/>
                <w:sz w:val="20"/>
              </w:rPr>
            </w:pPr>
            <w:r w:rsidRPr="005577B1">
              <w:rPr>
                <w:rFonts w:eastAsia="Calibri"/>
                <w:sz w:val="20"/>
              </w:rPr>
              <w:t>Applicant’s action in warranty against the respondent insurance company dismissed</w:t>
            </w:r>
          </w:p>
          <w:p w:rsidR="0026524B" w:rsidRPr="005577B1" w:rsidRDefault="0026524B" w:rsidP="00D77551">
            <w:pPr>
              <w:jc w:val="both"/>
              <w:rPr>
                <w:rFonts w:eastAsia="Calibri"/>
                <w:sz w:val="20"/>
              </w:rPr>
            </w:pPr>
          </w:p>
        </w:tc>
      </w:tr>
      <w:tr w:rsidR="0026524B" w:rsidRPr="005577B1" w:rsidTr="00D77551">
        <w:tc>
          <w:tcPr>
            <w:tcW w:w="2427" w:type="pct"/>
          </w:tcPr>
          <w:p w:rsidR="0026524B" w:rsidRPr="005577B1" w:rsidRDefault="0026524B" w:rsidP="00D77551">
            <w:pPr>
              <w:jc w:val="both"/>
              <w:rPr>
                <w:rFonts w:eastAsia="Calibri"/>
                <w:sz w:val="20"/>
              </w:rPr>
            </w:pPr>
            <w:r w:rsidRPr="005577B1">
              <w:rPr>
                <w:rFonts w:eastAsia="Calibri"/>
                <w:sz w:val="20"/>
              </w:rPr>
              <w:t>June 2, 2010</w:t>
            </w:r>
          </w:p>
          <w:p w:rsidR="0026524B" w:rsidRPr="005577B1" w:rsidRDefault="0026524B" w:rsidP="00D77551">
            <w:pPr>
              <w:jc w:val="both"/>
              <w:rPr>
                <w:rFonts w:eastAsia="Calibri"/>
                <w:sz w:val="20"/>
              </w:rPr>
            </w:pPr>
            <w:r w:rsidRPr="005577B1">
              <w:rPr>
                <w:rFonts w:eastAsia="Calibri"/>
                <w:sz w:val="20"/>
              </w:rPr>
              <w:t>Court of Appeal of Quebec</w:t>
            </w:r>
          </w:p>
          <w:p w:rsidR="0026524B" w:rsidRPr="005577B1" w:rsidRDefault="0026524B" w:rsidP="00D77551">
            <w:pPr>
              <w:jc w:val="both"/>
              <w:rPr>
                <w:rFonts w:eastAsia="Calibri"/>
                <w:sz w:val="20"/>
              </w:rPr>
            </w:pPr>
            <w:r w:rsidRPr="005577B1">
              <w:rPr>
                <w:rFonts w:eastAsia="Calibri"/>
                <w:sz w:val="20"/>
              </w:rPr>
              <w:t>(Rochon, Dalphond and Bouchard JJ.A.)</w:t>
            </w:r>
          </w:p>
          <w:p w:rsidR="0026524B" w:rsidRPr="005577B1" w:rsidRDefault="0026524B" w:rsidP="00D77551">
            <w:pPr>
              <w:jc w:val="both"/>
              <w:rPr>
                <w:rFonts w:eastAsia="Calibri"/>
                <w:sz w:val="20"/>
              </w:rPr>
            </w:pPr>
            <w:r w:rsidRPr="005577B1">
              <w:rPr>
                <w:rFonts w:eastAsia="Calibri"/>
                <w:sz w:val="20"/>
              </w:rPr>
              <w:t>2010 QCCA 1066</w:t>
            </w:r>
          </w:p>
          <w:p w:rsidR="0026524B" w:rsidRPr="005577B1" w:rsidRDefault="0026524B" w:rsidP="00D77551">
            <w:pPr>
              <w:jc w:val="both"/>
              <w:rPr>
                <w:rFonts w:eastAsia="Calibri"/>
                <w:sz w:val="20"/>
              </w:rPr>
            </w:pPr>
          </w:p>
        </w:tc>
        <w:tc>
          <w:tcPr>
            <w:tcW w:w="243" w:type="pct"/>
          </w:tcPr>
          <w:p w:rsidR="0026524B" w:rsidRPr="005577B1" w:rsidRDefault="0026524B" w:rsidP="00D77551">
            <w:pPr>
              <w:jc w:val="both"/>
              <w:rPr>
                <w:rFonts w:eastAsia="Calibri"/>
                <w:sz w:val="20"/>
              </w:rPr>
            </w:pPr>
          </w:p>
        </w:tc>
        <w:tc>
          <w:tcPr>
            <w:tcW w:w="2330" w:type="pct"/>
          </w:tcPr>
          <w:p w:rsidR="0026524B" w:rsidRPr="005577B1" w:rsidRDefault="0026524B" w:rsidP="00D77551">
            <w:pPr>
              <w:jc w:val="both"/>
              <w:rPr>
                <w:rFonts w:eastAsia="Calibri"/>
                <w:sz w:val="20"/>
              </w:rPr>
            </w:pPr>
            <w:r w:rsidRPr="005577B1">
              <w:rPr>
                <w:rFonts w:eastAsia="Calibri"/>
                <w:sz w:val="20"/>
              </w:rPr>
              <w:t>Appeal dismissed</w:t>
            </w:r>
          </w:p>
          <w:p w:rsidR="0026524B" w:rsidRPr="005577B1" w:rsidRDefault="0026524B" w:rsidP="00D77551">
            <w:pPr>
              <w:jc w:val="both"/>
              <w:rPr>
                <w:rFonts w:eastAsia="Calibri"/>
                <w:sz w:val="20"/>
              </w:rPr>
            </w:pPr>
          </w:p>
        </w:tc>
      </w:tr>
      <w:tr w:rsidR="0026524B" w:rsidRPr="005577B1" w:rsidTr="00D77551">
        <w:tc>
          <w:tcPr>
            <w:tcW w:w="2427" w:type="pct"/>
          </w:tcPr>
          <w:p w:rsidR="0026524B" w:rsidRPr="005577B1" w:rsidRDefault="0026524B" w:rsidP="00D77551">
            <w:pPr>
              <w:jc w:val="both"/>
              <w:rPr>
                <w:rFonts w:eastAsia="Calibri"/>
                <w:sz w:val="20"/>
              </w:rPr>
            </w:pPr>
            <w:r w:rsidRPr="005577B1">
              <w:rPr>
                <w:rFonts w:eastAsia="Calibri"/>
                <w:sz w:val="20"/>
              </w:rPr>
              <w:t>August 27, 2010</w:t>
            </w:r>
          </w:p>
          <w:p w:rsidR="0026524B" w:rsidRPr="005577B1" w:rsidRDefault="0026524B" w:rsidP="00D77551">
            <w:pPr>
              <w:jc w:val="both"/>
              <w:rPr>
                <w:rFonts w:eastAsia="Calibri"/>
                <w:sz w:val="20"/>
              </w:rPr>
            </w:pPr>
            <w:r w:rsidRPr="005577B1">
              <w:rPr>
                <w:rFonts w:eastAsia="Calibri"/>
                <w:sz w:val="20"/>
              </w:rPr>
              <w:t>Supreme Court of Canada</w:t>
            </w:r>
          </w:p>
        </w:tc>
        <w:tc>
          <w:tcPr>
            <w:tcW w:w="243" w:type="pct"/>
          </w:tcPr>
          <w:p w:rsidR="0026524B" w:rsidRPr="005577B1" w:rsidRDefault="0026524B" w:rsidP="00D77551">
            <w:pPr>
              <w:jc w:val="both"/>
              <w:rPr>
                <w:rFonts w:eastAsia="Calibri"/>
                <w:sz w:val="20"/>
              </w:rPr>
            </w:pPr>
          </w:p>
        </w:tc>
        <w:tc>
          <w:tcPr>
            <w:tcW w:w="2330" w:type="pct"/>
          </w:tcPr>
          <w:p w:rsidR="0026524B" w:rsidRPr="005577B1" w:rsidRDefault="0026524B" w:rsidP="00D77551">
            <w:pPr>
              <w:jc w:val="both"/>
              <w:rPr>
                <w:rFonts w:eastAsia="Calibri"/>
                <w:sz w:val="20"/>
              </w:rPr>
            </w:pPr>
            <w:r w:rsidRPr="005577B1">
              <w:rPr>
                <w:rFonts w:eastAsia="Calibri"/>
                <w:sz w:val="20"/>
              </w:rPr>
              <w:t>Application for leave to appeal filed</w:t>
            </w:r>
          </w:p>
          <w:p w:rsidR="0026524B" w:rsidRPr="005577B1" w:rsidRDefault="0026524B" w:rsidP="00D77551">
            <w:pPr>
              <w:jc w:val="both"/>
              <w:rPr>
                <w:rFonts w:eastAsia="Calibri"/>
                <w:sz w:val="20"/>
              </w:rPr>
            </w:pPr>
          </w:p>
        </w:tc>
      </w:tr>
    </w:tbl>
    <w:p w:rsidR="00E42D2B" w:rsidRPr="00E01ABF" w:rsidRDefault="00E42D2B" w:rsidP="00E42D2B">
      <w:pPr>
        <w:rPr>
          <w:sz w:val="20"/>
          <w:szCs w:val="20"/>
        </w:rPr>
      </w:pPr>
    </w:p>
    <w:p w:rsidR="00E42D2B" w:rsidRDefault="00D56013" w:rsidP="00E42D2B">
      <w:pPr>
        <w:rPr>
          <w:sz w:val="20"/>
          <w:szCs w:val="20"/>
          <w:lang w:val="fr-CA"/>
        </w:rPr>
      </w:pPr>
      <w:r w:rsidRPr="00D56013">
        <w:rPr>
          <w:sz w:val="20"/>
          <w:szCs w:val="20"/>
          <w:lang w:val="fr-CA"/>
        </w:rPr>
        <w:pict>
          <v:rect id="_x0000_i1068" style="width:2in;height:1pt" o:hrpct="0" o:hralign="center" o:hrstd="t" o:hrnoshade="t" o:hr="t" fillcolor="black [3213]" stroked="f"/>
        </w:pict>
      </w:r>
    </w:p>
    <w:p w:rsidR="00EE3B7C" w:rsidRPr="00E01ABF" w:rsidRDefault="00EE3B7C" w:rsidP="00E42D2B">
      <w:pPr>
        <w:rPr>
          <w:sz w:val="20"/>
          <w:szCs w:val="20"/>
        </w:rPr>
      </w:pPr>
    </w:p>
    <w:p w:rsidR="00E42D2B" w:rsidRPr="00E01ABF" w:rsidRDefault="00E42D2B" w:rsidP="00E42D2B">
      <w:pPr>
        <w:rPr>
          <w:sz w:val="20"/>
          <w:szCs w:val="20"/>
          <w:u w:val="single"/>
        </w:rPr>
      </w:pPr>
      <w:r w:rsidRPr="00E01ABF">
        <w:rPr>
          <w:sz w:val="20"/>
          <w:szCs w:val="20"/>
          <w:u w:val="single"/>
        </w:rPr>
        <w:t>RÉSUMÉ DE L’AFFAIRE</w:t>
      </w:r>
    </w:p>
    <w:p w:rsidR="00E42D2B" w:rsidRDefault="00E42D2B" w:rsidP="00E42D2B">
      <w:pPr>
        <w:rPr>
          <w:sz w:val="20"/>
          <w:szCs w:val="20"/>
        </w:rPr>
      </w:pPr>
    </w:p>
    <w:tbl>
      <w:tblPr>
        <w:tblW w:w="4952" w:type="pct"/>
        <w:tblInd w:w="2" w:type="dxa"/>
        <w:tblLayout w:type="fixed"/>
        <w:tblCellMar>
          <w:left w:w="0" w:type="dxa"/>
          <w:bottom w:w="99" w:type="dxa"/>
          <w:right w:w="0" w:type="dxa"/>
        </w:tblCellMar>
        <w:tblLook w:val="00A0"/>
      </w:tblPr>
      <w:tblGrid>
        <w:gridCol w:w="4624"/>
        <w:gridCol w:w="463"/>
        <w:gridCol w:w="4440"/>
      </w:tblGrid>
      <w:tr w:rsidR="0026524B" w:rsidRPr="00850008" w:rsidTr="00D77551">
        <w:tc>
          <w:tcPr>
            <w:tcW w:w="5000" w:type="pct"/>
            <w:gridSpan w:val="3"/>
          </w:tcPr>
          <w:p w:rsidR="0026524B" w:rsidRPr="005577B1" w:rsidRDefault="0026524B" w:rsidP="00D77551">
            <w:pPr>
              <w:jc w:val="both"/>
              <w:rPr>
                <w:rFonts w:eastAsia="Calibri"/>
                <w:sz w:val="20"/>
                <w:lang w:val="fr-CA"/>
              </w:rPr>
            </w:pPr>
            <w:r w:rsidRPr="005577B1">
              <w:rPr>
                <w:rFonts w:eastAsia="Calibri"/>
                <w:sz w:val="20"/>
                <w:lang w:val="fr-CA"/>
              </w:rPr>
              <w:t>Assurance – Assurance de responsabilité – Vices cachés – Action en garantie –  Interprétation de la police – Obligation de défendre – La Cour d’appel a-t-elle eu tort de conclure que la fuite d’huile d’un réservoir enfoui ne constituait pas une « occurrence », un « sinistre » (« </w:t>
            </w:r>
            <w:r w:rsidRPr="005577B1">
              <w:rPr>
                <w:rFonts w:eastAsia="Calibri"/>
                <w:i/>
                <w:iCs/>
                <w:sz w:val="20"/>
                <w:lang w:val="fr-CA"/>
              </w:rPr>
              <w:t>loss</w:t>
            </w:r>
            <w:r w:rsidRPr="005577B1">
              <w:rPr>
                <w:rFonts w:eastAsia="Calibri"/>
                <w:sz w:val="20"/>
                <w:lang w:val="fr-CA"/>
              </w:rPr>
              <w:t xml:space="preserve"> ») ou un « accident » au sens du contrat d’assurance? – La Cour d’appel a-t-elle eu tort de ne pas reconnaître que le contrat d’assurance de responsabilité personnelle comprenait une couverture de la responsabilité contractuelle, comportant des exclusions qui ne s’appliquent pas en l’espèce? – La </w:t>
            </w:r>
            <w:r w:rsidRPr="005577B1">
              <w:rPr>
                <w:rFonts w:eastAsia="Calibri"/>
                <w:sz w:val="20"/>
                <w:lang w:val="fr-CA"/>
              </w:rPr>
              <w:lastRenderedPageBreak/>
              <w:t>Cour d’appel a-t-elle eu tort d’avoir recours aux principes généraux du droit des assurances comme outil d’interprétation?</w:t>
            </w:r>
          </w:p>
          <w:p w:rsidR="0026524B" w:rsidRPr="005577B1" w:rsidRDefault="0026524B" w:rsidP="00D77551">
            <w:pPr>
              <w:jc w:val="both"/>
              <w:rPr>
                <w:rFonts w:eastAsia="Calibri"/>
                <w:sz w:val="20"/>
                <w:lang w:val="fr-CA"/>
              </w:rPr>
            </w:pPr>
          </w:p>
        </w:tc>
      </w:tr>
      <w:tr w:rsidR="0026524B" w:rsidRPr="005577B1" w:rsidTr="00D77551">
        <w:tc>
          <w:tcPr>
            <w:tcW w:w="5000" w:type="pct"/>
            <w:gridSpan w:val="3"/>
          </w:tcPr>
          <w:p w:rsidR="0026524B" w:rsidRPr="005577B1" w:rsidRDefault="0026524B" w:rsidP="00D77551">
            <w:pPr>
              <w:jc w:val="both"/>
              <w:rPr>
                <w:rFonts w:eastAsia="Calibri"/>
                <w:sz w:val="20"/>
                <w:lang w:val="fr-CA"/>
              </w:rPr>
            </w:pPr>
            <w:r w:rsidRPr="005577B1">
              <w:rPr>
                <w:rFonts w:eastAsia="Calibri"/>
                <w:sz w:val="20"/>
                <w:lang w:val="fr-CA"/>
              </w:rPr>
              <w:lastRenderedPageBreak/>
              <w:t xml:space="preserve">Le demandeur, M. Johnston, a vendu sa maison à des tiers qui, après l’achat, ont découvert un vieux réservoir enfoui à l’arrière de la maison. Les tiers-acheteurs ont intenté une action contre M. Johnston, alléguant qu’ils n’auraient pas payé un prix aussi élevé pour le bien s’ils avaient eu connaissance du vice caché. En réponse, M. Johnston a intenté un recours en garantie contre sa compagnie d’assurance, l’intimée Chubb Canada. L’action des tiers acheteurs a été accueillie en partie. L’action en garantie de M. Johnston a été rejetée au motif que le réservoir d’huile qui fuyait ne constituait pas une « occurrence » ou un événement nécessaire pour déclencher sa couverture de responsabilité et que l’obligation de défendre de la compagnie d’assurance n’avait pas pris naissance, vu la nature de sa réclamation. La Cour d’appel a rejeté l’appel.  </w:t>
            </w:r>
          </w:p>
        </w:tc>
      </w:tr>
      <w:tr w:rsidR="0026524B" w:rsidRPr="005577B1" w:rsidTr="00D77551">
        <w:tc>
          <w:tcPr>
            <w:tcW w:w="5000" w:type="pct"/>
            <w:gridSpan w:val="3"/>
          </w:tcPr>
          <w:p w:rsidR="0026524B" w:rsidRPr="005577B1" w:rsidRDefault="0026524B" w:rsidP="00D77551">
            <w:pPr>
              <w:jc w:val="both"/>
              <w:rPr>
                <w:rFonts w:eastAsia="Calibri"/>
                <w:sz w:val="20"/>
                <w:lang w:val="fr-CA"/>
              </w:rPr>
            </w:pPr>
          </w:p>
        </w:tc>
      </w:tr>
      <w:tr w:rsidR="0026524B" w:rsidRPr="00850008" w:rsidTr="00D77551">
        <w:tc>
          <w:tcPr>
            <w:tcW w:w="2427" w:type="pct"/>
          </w:tcPr>
          <w:p w:rsidR="0026524B" w:rsidRPr="005577B1" w:rsidRDefault="0026524B" w:rsidP="00D77551">
            <w:pPr>
              <w:jc w:val="both"/>
              <w:rPr>
                <w:rFonts w:eastAsia="Calibri"/>
                <w:sz w:val="20"/>
                <w:lang w:val="fr-CA"/>
              </w:rPr>
            </w:pPr>
            <w:r w:rsidRPr="005577B1">
              <w:rPr>
                <w:rFonts w:eastAsia="Calibri"/>
                <w:sz w:val="20"/>
                <w:lang w:val="fr-CA"/>
              </w:rPr>
              <w:t>2 octobre 2008</w:t>
            </w:r>
          </w:p>
          <w:p w:rsidR="0026524B" w:rsidRPr="005577B1" w:rsidRDefault="0026524B" w:rsidP="00D77551">
            <w:pPr>
              <w:jc w:val="both"/>
              <w:rPr>
                <w:rFonts w:eastAsia="Calibri"/>
                <w:sz w:val="20"/>
                <w:lang w:val="fr-CA"/>
              </w:rPr>
            </w:pPr>
            <w:r w:rsidRPr="005577B1">
              <w:rPr>
                <w:rFonts w:eastAsia="Calibri"/>
                <w:sz w:val="20"/>
                <w:lang w:val="fr-CA"/>
              </w:rPr>
              <w:t>Cour supérieure du Québec</w:t>
            </w:r>
          </w:p>
          <w:p w:rsidR="0026524B" w:rsidRPr="005577B1" w:rsidRDefault="0026524B" w:rsidP="00D77551">
            <w:pPr>
              <w:jc w:val="both"/>
              <w:rPr>
                <w:rFonts w:eastAsia="Calibri"/>
                <w:sz w:val="20"/>
                <w:lang w:val="fr-CA"/>
              </w:rPr>
            </w:pPr>
            <w:r w:rsidRPr="005577B1">
              <w:rPr>
                <w:rFonts w:eastAsia="Calibri"/>
                <w:sz w:val="20"/>
                <w:lang w:val="fr-CA"/>
              </w:rPr>
              <w:t>(Juge Hébert)</w:t>
            </w:r>
          </w:p>
          <w:p w:rsidR="0026524B" w:rsidRPr="005577B1" w:rsidRDefault="0026524B" w:rsidP="00D77551">
            <w:pPr>
              <w:jc w:val="both"/>
              <w:rPr>
                <w:rFonts w:eastAsia="Calibri"/>
                <w:sz w:val="20"/>
                <w:lang w:val="fr-CA"/>
              </w:rPr>
            </w:pPr>
            <w:r w:rsidRPr="005577B1">
              <w:rPr>
                <w:rFonts w:eastAsia="Calibri"/>
                <w:sz w:val="20"/>
                <w:lang w:val="fr-CA"/>
              </w:rPr>
              <w:t>2008 QCCS 4589</w:t>
            </w:r>
          </w:p>
          <w:p w:rsidR="0026524B" w:rsidRPr="005577B1" w:rsidRDefault="0026524B" w:rsidP="00D77551">
            <w:pPr>
              <w:jc w:val="both"/>
              <w:rPr>
                <w:rFonts w:eastAsia="Calibri"/>
                <w:sz w:val="20"/>
                <w:lang w:val="fr-CA"/>
              </w:rPr>
            </w:pPr>
          </w:p>
        </w:tc>
        <w:tc>
          <w:tcPr>
            <w:tcW w:w="243" w:type="pct"/>
          </w:tcPr>
          <w:p w:rsidR="0026524B" w:rsidRPr="005577B1" w:rsidRDefault="0026524B" w:rsidP="00D77551">
            <w:pPr>
              <w:jc w:val="both"/>
              <w:rPr>
                <w:rFonts w:eastAsia="Calibri"/>
                <w:sz w:val="20"/>
                <w:lang w:val="fr-CA"/>
              </w:rPr>
            </w:pPr>
          </w:p>
        </w:tc>
        <w:tc>
          <w:tcPr>
            <w:tcW w:w="2330" w:type="pct"/>
          </w:tcPr>
          <w:p w:rsidR="0026524B" w:rsidRPr="005577B1" w:rsidRDefault="0026524B" w:rsidP="00D77551">
            <w:pPr>
              <w:jc w:val="both"/>
              <w:rPr>
                <w:rFonts w:eastAsia="Calibri"/>
                <w:sz w:val="20"/>
                <w:lang w:val="fr-CA"/>
              </w:rPr>
            </w:pPr>
            <w:r w:rsidRPr="005577B1">
              <w:rPr>
                <w:rFonts w:eastAsia="Calibri"/>
                <w:sz w:val="20"/>
                <w:lang w:val="fr-CA"/>
              </w:rPr>
              <w:t>Action en garantie du demandeur contre la compagnie d’assurance intimée, rejetée</w:t>
            </w:r>
          </w:p>
          <w:p w:rsidR="0026524B" w:rsidRPr="005577B1" w:rsidRDefault="0026524B" w:rsidP="00D77551">
            <w:pPr>
              <w:jc w:val="both"/>
              <w:rPr>
                <w:rFonts w:eastAsia="Calibri"/>
                <w:sz w:val="20"/>
                <w:lang w:val="fr-CA"/>
              </w:rPr>
            </w:pPr>
          </w:p>
        </w:tc>
      </w:tr>
      <w:tr w:rsidR="0026524B" w:rsidRPr="005577B1" w:rsidTr="00D77551">
        <w:tc>
          <w:tcPr>
            <w:tcW w:w="2427" w:type="pct"/>
          </w:tcPr>
          <w:p w:rsidR="0026524B" w:rsidRPr="005577B1" w:rsidRDefault="0026524B" w:rsidP="00D77551">
            <w:pPr>
              <w:jc w:val="both"/>
              <w:rPr>
                <w:rFonts w:eastAsia="Calibri"/>
                <w:sz w:val="20"/>
                <w:lang w:val="fr-CA"/>
              </w:rPr>
            </w:pPr>
            <w:r w:rsidRPr="005577B1">
              <w:rPr>
                <w:rFonts w:eastAsia="Calibri"/>
                <w:sz w:val="20"/>
                <w:lang w:val="fr-CA"/>
              </w:rPr>
              <w:t>2 juin 2010</w:t>
            </w:r>
          </w:p>
          <w:p w:rsidR="0026524B" w:rsidRPr="005577B1" w:rsidRDefault="0026524B" w:rsidP="00D77551">
            <w:pPr>
              <w:jc w:val="both"/>
              <w:rPr>
                <w:rFonts w:eastAsia="Calibri"/>
                <w:sz w:val="20"/>
                <w:lang w:val="fr-CA"/>
              </w:rPr>
            </w:pPr>
            <w:r w:rsidRPr="005577B1">
              <w:rPr>
                <w:rFonts w:eastAsia="Calibri"/>
                <w:sz w:val="20"/>
                <w:lang w:val="fr-CA"/>
              </w:rPr>
              <w:t>Cour d’appel du Québec</w:t>
            </w:r>
          </w:p>
          <w:p w:rsidR="0026524B" w:rsidRPr="005577B1" w:rsidRDefault="0026524B" w:rsidP="00D77551">
            <w:pPr>
              <w:jc w:val="both"/>
              <w:rPr>
                <w:rFonts w:eastAsia="Calibri"/>
                <w:sz w:val="20"/>
                <w:lang w:val="fr-CA"/>
              </w:rPr>
            </w:pPr>
            <w:r w:rsidRPr="005577B1">
              <w:rPr>
                <w:rFonts w:eastAsia="Calibri"/>
                <w:sz w:val="20"/>
                <w:lang w:val="fr-CA"/>
              </w:rPr>
              <w:t>(Juges Rochon, Dalphond et Bouchard)</w:t>
            </w:r>
          </w:p>
          <w:p w:rsidR="0026524B" w:rsidRPr="005577B1" w:rsidRDefault="0026524B" w:rsidP="00D77551">
            <w:pPr>
              <w:jc w:val="both"/>
              <w:rPr>
                <w:rFonts w:eastAsia="Calibri"/>
                <w:sz w:val="20"/>
                <w:lang w:val="fr-CA"/>
              </w:rPr>
            </w:pPr>
            <w:r w:rsidRPr="005577B1">
              <w:rPr>
                <w:rFonts w:eastAsia="Calibri"/>
                <w:sz w:val="20"/>
                <w:lang w:val="fr-CA"/>
              </w:rPr>
              <w:t>2010 QCCA 1066</w:t>
            </w:r>
          </w:p>
          <w:p w:rsidR="0026524B" w:rsidRPr="005577B1" w:rsidRDefault="0026524B" w:rsidP="00D77551">
            <w:pPr>
              <w:jc w:val="both"/>
              <w:rPr>
                <w:rFonts w:eastAsia="Calibri"/>
                <w:sz w:val="20"/>
                <w:lang w:val="fr-CA"/>
              </w:rPr>
            </w:pPr>
          </w:p>
        </w:tc>
        <w:tc>
          <w:tcPr>
            <w:tcW w:w="243" w:type="pct"/>
          </w:tcPr>
          <w:p w:rsidR="0026524B" w:rsidRPr="005577B1" w:rsidRDefault="0026524B" w:rsidP="00D77551">
            <w:pPr>
              <w:jc w:val="both"/>
              <w:rPr>
                <w:rFonts w:eastAsia="Calibri"/>
                <w:sz w:val="20"/>
                <w:lang w:val="fr-CA"/>
              </w:rPr>
            </w:pPr>
          </w:p>
        </w:tc>
        <w:tc>
          <w:tcPr>
            <w:tcW w:w="2330" w:type="pct"/>
          </w:tcPr>
          <w:p w:rsidR="0026524B" w:rsidRPr="005577B1" w:rsidRDefault="0026524B" w:rsidP="00D77551">
            <w:pPr>
              <w:jc w:val="both"/>
              <w:rPr>
                <w:rFonts w:eastAsia="Calibri"/>
                <w:sz w:val="20"/>
                <w:lang w:val="fr-CA"/>
              </w:rPr>
            </w:pPr>
            <w:r w:rsidRPr="005577B1">
              <w:rPr>
                <w:rFonts w:eastAsia="Calibri"/>
                <w:sz w:val="20"/>
                <w:lang w:val="fr-CA"/>
              </w:rPr>
              <w:t>Appel rejeté</w:t>
            </w:r>
          </w:p>
          <w:p w:rsidR="0026524B" w:rsidRPr="005577B1" w:rsidRDefault="0026524B" w:rsidP="00D77551">
            <w:pPr>
              <w:jc w:val="both"/>
              <w:rPr>
                <w:rFonts w:eastAsia="Calibri"/>
                <w:sz w:val="20"/>
                <w:lang w:val="fr-CA"/>
              </w:rPr>
            </w:pPr>
          </w:p>
        </w:tc>
      </w:tr>
      <w:tr w:rsidR="0026524B" w:rsidRPr="005577B1" w:rsidTr="00D77551">
        <w:tc>
          <w:tcPr>
            <w:tcW w:w="2427" w:type="pct"/>
          </w:tcPr>
          <w:p w:rsidR="0026524B" w:rsidRPr="005577B1" w:rsidRDefault="0026524B" w:rsidP="00D77551">
            <w:pPr>
              <w:jc w:val="both"/>
              <w:rPr>
                <w:rFonts w:eastAsia="Calibri"/>
                <w:sz w:val="20"/>
                <w:lang w:val="fr-CA"/>
              </w:rPr>
            </w:pPr>
            <w:r w:rsidRPr="005577B1">
              <w:rPr>
                <w:rFonts w:eastAsia="Calibri"/>
                <w:sz w:val="20"/>
                <w:lang w:val="fr-CA"/>
              </w:rPr>
              <w:t>27 août 2010</w:t>
            </w:r>
          </w:p>
          <w:p w:rsidR="0026524B" w:rsidRPr="005577B1" w:rsidRDefault="0026524B" w:rsidP="00D77551">
            <w:pPr>
              <w:jc w:val="both"/>
              <w:rPr>
                <w:rFonts w:eastAsia="Calibri"/>
                <w:sz w:val="20"/>
                <w:lang w:val="fr-CA"/>
              </w:rPr>
            </w:pPr>
            <w:r w:rsidRPr="005577B1">
              <w:rPr>
                <w:rFonts w:eastAsia="Calibri"/>
                <w:sz w:val="20"/>
                <w:lang w:val="fr-CA"/>
              </w:rPr>
              <w:t>Cour suprême du Canada</w:t>
            </w:r>
          </w:p>
        </w:tc>
        <w:tc>
          <w:tcPr>
            <w:tcW w:w="243" w:type="pct"/>
          </w:tcPr>
          <w:p w:rsidR="0026524B" w:rsidRPr="005577B1" w:rsidRDefault="0026524B" w:rsidP="00D77551">
            <w:pPr>
              <w:jc w:val="both"/>
              <w:rPr>
                <w:rFonts w:eastAsia="Calibri"/>
                <w:sz w:val="20"/>
                <w:lang w:val="fr-CA"/>
              </w:rPr>
            </w:pPr>
          </w:p>
        </w:tc>
        <w:tc>
          <w:tcPr>
            <w:tcW w:w="2330" w:type="pct"/>
          </w:tcPr>
          <w:p w:rsidR="0026524B" w:rsidRPr="005577B1" w:rsidRDefault="0026524B" w:rsidP="00D77551">
            <w:pPr>
              <w:jc w:val="both"/>
              <w:rPr>
                <w:rFonts w:eastAsia="Calibri"/>
                <w:sz w:val="20"/>
                <w:lang w:val="fr-CA"/>
              </w:rPr>
            </w:pPr>
            <w:r w:rsidRPr="005577B1">
              <w:rPr>
                <w:rFonts w:eastAsia="Calibri"/>
                <w:sz w:val="20"/>
                <w:lang w:val="fr-CA"/>
              </w:rPr>
              <w:t>Demande d’autorisation d’appel, déposée</w:t>
            </w:r>
          </w:p>
          <w:p w:rsidR="0026524B" w:rsidRPr="005577B1" w:rsidRDefault="0026524B" w:rsidP="00D77551">
            <w:pPr>
              <w:jc w:val="both"/>
              <w:rPr>
                <w:rFonts w:eastAsia="Calibri"/>
                <w:sz w:val="20"/>
                <w:lang w:val="fr-CA"/>
              </w:rPr>
            </w:pPr>
          </w:p>
        </w:tc>
      </w:tr>
    </w:tbl>
    <w:p w:rsidR="00E42D2B" w:rsidRPr="00E01ABF" w:rsidRDefault="00E42D2B" w:rsidP="00E42D2B">
      <w:pPr>
        <w:rPr>
          <w:sz w:val="20"/>
          <w:szCs w:val="20"/>
        </w:rPr>
      </w:pPr>
    </w:p>
    <w:p w:rsidR="00E42D2B" w:rsidRDefault="00D56013" w:rsidP="00E42D2B">
      <w:pPr>
        <w:rPr>
          <w:sz w:val="20"/>
          <w:szCs w:val="20"/>
          <w:lang w:val="fr-CA"/>
        </w:rPr>
      </w:pPr>
      <w:r w:rsidRPr="00D56013">
        <w:rPr>
          <w:sz w:val="20"/>
          <w:szCs w:val="20"/>
          <w:lang w:val="fr-CA"/>
        </w:rPr>
        <w:pict>
          <v:rect id="_x0000_i1069" style="width:2in;height:1pt" o:hrpct="0" o:hralign="center" o:hrstd="t" o:hrnoshade="t" o:hr="t" fillcolor="black [3213]" stroked="f"/>
        </w:pict>
      </w:r>
    </w:p>
    <w:p w:rsidR="00E42D2B" w:rsidRDefault="00E42D2B" w:rsidP="008D292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AF11AE" w:rsidRPr="00AF11AE" w:rsidTr="00473DF7">
        <w:trPr>
          <w:cantSplit/>
        </w:trPr>
        <w:tc>
          <w:tcPr>
            <w:tcW w:w="1458" w:type="dxa"/>
          </w:tcPr>
          <w:p w:rsidR="00AF11AE" w:rsidRPr="00AF11AE" w:rsidRDefault="00AF11AE" w:rsidP="00473DF7">
            <w:pPr>
              <w:rPr>
                <w:sz w:val="20"/>
                <w:szCs w:val="20"/>
              </w:rPr>
            </w:pPr>
            <w:r w:rsidRPr="00AF11AE">
              <w:rPr>
                <w:rStyle w:val="SCCFileNumberChar"/>
                <w:sz w:val="20"/>
                <w:szCs w:val="20"/>
              </w:rPr>
              <w:t>33816</w:t>
            </w:r>
          </w:p>
          <w:p w:rsidR="00AF11AE" w:rsidRPr="00AF11AE" w:rsidRDefault="00AF11AE" w:rsidP="00473DF7">
            <w:pPr>
              <w:rPr>
                <w:b/>
                <w:sz w:val="20"/>
                <w:szCs w:val="20"/>
                <w:lang w:val="fr-CA"/>
              </w:rPr>
            </w:pPr>
          </w:p>
        </w:tc>
        <w:tc>
          <w:tcPr>
            <w:tcW w:w="8118" w:type="dxa"/>
          </w:tcPr>
          <w:p w:rsidR="00AF11AE" w:rsidRPr="00AF11AE" w:rsidRDefault="00AF11AE" w:rsidP="00473DF7">
            <w:pPr>
              <w:rPr>
                <w:sz w:val="20"/>
                <w:szCs w:val="20"/>
              </w:rPr>
            </w:pPr>
            <w:r w:rsidRPr="00AF11AE">
              <w:rPr>
                <w:rStyle w:val="SCCLsocChar"/>
                <w:sz w:val="20"/>
                <w:szCs w:val="20"/>
                <w:lang w:val="en-CA"/>
              </w:rPr>
              <w:t>Roman Catholic Bishop of the Diocese of Calgary v. Attorney General of Canada, in Right of Her Majesty the Queen</w:t>
            </w:r>
            <w:r w:rsidRPr="00AF11AE">
              <w:rPr>
                <w:sz w:val="20"/>
                <w:szCs w:val="20"/>
              </w:rPr>
              <w:t xml:space="preserve"> (Alta.) (Civil) (By Leave)</w:t>
            </w:r>
          </w:p>
          <w:p w:rsidR="00AF11AE" w:rsidRPr="00AF11AE" w:rsidRDefault="00AF11AE" w:rsidP="00473DF7">
            <w:pPr>
              <w:rPr>
                <w:sz w:val="20"/>
                <w:szCs w:val="20"/>
              </w:rPr>
            </w:pPr>
          </w:p>
        </w:tc>
      </w:tr>
      <w:tr w:rsidR="00AF11AE" w:rsidRPr="00AF11AE" w:rsidTr="00473DF7">
        <w:trPr>
          <w:cantSplit/>
        </w:trPr>
        <w:tc>
          <w:tcPr>
            <w:tcW w:w="1458" w:type="dxa"/>
          </w:tcPr>
          <w:p w:rsidR="00AF11AE" w:rsidRPr="00AF11AE" w:rsidRDefault="00AF11AE" w:rsidP="00473DF7">
            <w:pPr>
              <w:rPr>
                <w:sz w:val="20"/>
                <w:szCs w:val="20"/>
              </w:rPr>
            </w:pPr>
            <w:r w:rsidRPr="00AF11AE">
              <w:rPr>
                <w:sz w:val="20"/>
                <w:szCs w:val="20"/>
              </w:rPr>
              <w:t>Coram :</w:t>
            </w:r>
          </w:p>
        </w:tc>
        <w:tc>
          <w:tcPr>
            <w:tcW w:w="8118" w:type="dxa"/>
          </w:tcPr>
          <w:p w:rsidR="00AF11AE" w:rsidRPr="00AF11AE" w:rsidRDefault="00AF11AE" w:rsidP="00473DF7">
            <w:pPr>
              <w:rPr>
                <w:sz w:val="20"/>
                <w:szCs w:val="20"/>
              </w:rPr>
            </w:pPr>
            <w:r w:rsidRPr="00AF11AE">
              <w:rPr>
                <w:rStyle w:val="SCCCoramChar"/>
                <w:sz w:val="20"/>
                <w:szCs w:val="20"/>
                <w:lang w:val="en-CA"/>
              </w:rPr>
              <w:t>Binnie, Fish and Rothstein JJ.</w:t>
            </w:r>
          </w:p>
          <w:p w:rsidR="00AF11AE" w:rsidRPr="00AF11AE" w:rsidRDefault="00AF11AE" w:rsidP="00473DF7">
            <w:pPr>
              <w:rPr>
                <w:sz w:val="20"/>
                <w:szCs w:val="20"/>
                <w:u w:val="single"/>
              </w:rPr>
            </w:pPr>
          </w:p>
        </w:tc>
      </w:tr>
      <w:tr w:rsidR="00AF11AE" w:rsidRPr="00850008" w:rsidTr="00473DF7">
        <w:trPr>
          <w:cantSplit/>
        </w:trPr>
        <w:tc>
          <w:tcPr>
            <w:tcW w:w="9576" w:type="dxa"/>
            <w:gridSpan w:val="2"/>
          </w:tcPr>
          <w:p w:rsidR="00AF11AE" w:rsidRPr="00AF11AE" w:rsidRDefault="00AF11AE" w:rsidP="00473DF7">
            <w:pPr>
              <w:pStyle w:val="SCCShortJudgment"/>
              <w:rPr>
                <w:szCs w:val="20"/>
              </w:rPr>
            </w:pPr>
            <w:r w:rsidRPr="00AF11AE">
              <w:rPr>
                <w:szCs w:val="20"/>
              </w:rPr>
              <w:t>The application for leave to appeal from the judgment of the Court of Appeal of Alberta (Calgary), Number 0901-0225-AC, 2010 ABCA 202, dated June 3, 2010, is dismissed with costs.</w:t>
            </w:r>
          </w:p>
          <w:p w:rsidR="00AF11AE" w:rsidRPr="00AF11AE" w:rsidRDefault="00AF11AE" w:rsidP="00473DF7">
            <w:pPr>
              <w:pStyle w:val="SCCShortJudgment"/>
              <w:ind w:firstLine="0"/>
              <w:rPr>
                <w:szCs w:val="20"/>
              </w:rPr>
            </w:pPr>
          </w:p>
          <w:p w:rsidR="00AF11AE" w:rsidRPr="00AF11AE" w:rsidRDefault="00AF11AE" w:rsidP="00AF11AE">
            <w:pPr>
              <w:pStyle w:val="SCCShortJudgment"/>
              <w:rPr>
                <w:szCs w:val="20"/>
                <w:lang w:val="fr-CA"/>
              </w:rPr>
            </w:pPr>
            <w:r w:rsidRPr="00AF11AE">
              <w:rPr>
                <w:szCs w:val="20"/>
                <w:lang w:val="fr-CA"/>
              </w:rPr>
              <w:t>La demande d’autorisation d’appel de l’arrêt de la Cour d’appel de l’Alberta (Calgary), numéro 0901-0225-AC, 2010 ABCA 202, daté du 3 juin 2010, est rejetée avec dépens.</w:t>
            </w:r>
          </w:p>
        </w:tc>
      </w:tr>
    </w:tbl>
    <w:p w:rsidR="00E42D2B" w:rsidRDefault="00E42D2B" w:rsidP="00E42D2B">
      <w:pPr>
        <w:rPr>
          <w:sz w:val="20"/>
          <w:szCs w:val="20"/>
          <w:lang w:val="fr-CA"/>
        </w:rPr>
      </w:pPr>
    </w:p>
    <w:p w:rsidR="00E42D2B" w:rsidRPr="00E01ABF" w:rsidRDefault="00E42D2B" w:rsidP="00E42D2B">
      <w:pPr>
        <w:rPr>
          <w:sz w:val="20"/>
          <w:szCs w:val="20"/>
          <w:u w:val="single"/>
        </w:rPr>
      </w:pPr>
      <w:r w:rsidRPr="00E01ABF">
        <w:rPr>
          <w:sz w:val="20"/>
          <w:szCs w:val="20"/>
          <w:u w:val="single"/>
        </w:rPr>
        <w:t>CASE SUMMARY</w:t>
      </w:r>
    </w:p>
    <w:p w:rsidR="00E42D2B" w:rsidRDefault="00E42D2B" w:rsidP="00E42D2B">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26524B" w:rsidRPr="009A0486" w:rsidTr="00D77551">
        <w:tc>
          <w:tcPr>
            <w:tcW w:w="5000" w:type="pct"/>
            <w:gridSpan w:val="3"/>
          </w:tcPr>
          <w:p w:rsidR="0026524B" w:rsidRPr="009A0486" w:rsidRDefault="0026524B" w:rsidP="00D77551">
            <w:pPr>
              <w:jc w:val="both"/>
              <w:rPr>
                <w:rFonts w:eastAsia="Calibri"/>
                <w:sz w:val="20"/>
              </w:rPr>
            </w:pPr>
            <w:r w:rsidRPr="009A0486">
              <w:rPr>
                <w:rFonts w:eastAsia="Calibri"/>
                <w:sz w:val="20"/>
              </w:rPr>
              <w:t xml:space="preserve">Civil procedure – Appeals – Leave to appeal  -- Personal or institutional bias – Rule 505(3) of the Alberta  </w:t>
            </w:r>
            <w:r w:rsidRPr="009A0486">
              <w:rPr>
                <w:rFonts w:eastAsia="Calibri"/>
                <w:i/>
                <w:sz w:val="20"/>
              </w:rPr>
              <w:t xml:space="preserve">Rules of Court </w:t>
            </w:r>
            <w:r w:rsidRPr="009A0486">
              <w:rPr>
                <w:rFonts w:eastAsia="Calibri"/>
                <w:sz w:val="20"/>
              </w:rPr>
              <w:t>-- Whether the Alberta judicial process that requires a litigant to seek leave to appeal from the judge that made the decision at first instance raises a reasonable apprehension of bias – Whether a Justice can deny access to appellate review of his own decision through the refusal to grant leave.</w:t>
            </w:r>
          </w:p>
        </w:tc>
      </w:tr>
      <w:tr w:rsidR="0026524B" w:rsidRPr="009A0486" w:rsidTr="00D77551">
        <w:tc>
          <w:tcPr>
            <w:tcW w:w="5000" w:type="pct"/>
            <w:gridSpan w:val="3"/>
          </w:tcPr>
          <w:p w:rsidR="0026524B" w:rsidRPr="009A0486" w:rsidRDefault="0026524B" w:rsidP="00D77551">
            <w:pPr>
              <w:spacing w:before="144"/>
              <w:jc w:val="both"/>
              <w:rPr>
                <w:color w:val="000000"/>
                <w:sz w:val="20"/>
              </w:rPr>
            </w:pPr>
            <w:r w:rsidRPr="009A0486">
              <w:rPr>
                <w:color w:val="000000"/>
                <w:sz w:val="20"/>
              </w:rPr>
              <w:t xml:space="preserve">This appeal arises out of class action litigation brought on behalf of former residents in Indian Residential Schools in Alberta.  In May 2006, a global settlement was reached. The applicant, Roman Catholic Bishop of the Diocese of Calgary did not participate in the settlement. After the settlement was approved by the courts in nine jurisdictions, the applicant sought its costs for defending the third party claims filed by Canada, pursuant to r. 601 of the </w:t>
            </w:r>
            <w:r w:rsidRPr="00316127">
              <w:rPr>
                <w:i/>
                <w:iCs/>
                <w:color w:val="000000"/>
                <w:sz w:val="20"/>
              </w:rPr>
              <w:t>Alberta Rules of Court</w:t>
            </w:r>
            <w:r w:rsidRPr="009A0486">
              <w:rPr>
                <w:color w:val="000000"/>
                <w:sz w:val="20"/>
              </w:rPr>
              <w:t>.</w:t>
            </w:r>
          </w:p>
          <w:p w:rsidR="0026524B" w:rsidRPr="009A0486" w:rsidRDefault="0026524B" w:rsidP="00D77551">
            <w:pPr>
              <w:spacing w:before="144"/>
              <w:jc w:val="both"/>
              <w:rPr>
                <w:color w:val="000000"/>
                <w:sz w:val="20"/>
              </w:rPr>
            </w:pPr>
            <w:r w:rsidRPr="009A0486">
              <w:rPr>
                <w:color w:val="000000"/>
                <w:sz w:val="20"/>
              </w:rPr>
              <w:lastRenderedPageBreak/>
              <w:t xml:space="preserve">The case management judge who had been handling the action denied the applicant's application for costs: </w:t>
            </w:r>
            <w:hyperlink r:id="rId22" w:tgtFrame="_parent" w:history="1">
              <w:r w:rsidRPr="00316127">
                <w:rPr>
                  <w:sz w:val="20"/>
                </w:rPr>
                <w:t>2009 ABQB 29</w:t>
              </w:r>
            </w:hyperlink>
            <w:r w:rsidRPr="009A0486">
              <w:rPr>
                <w:color w:val="000000"/>
                <w:sz w:val="20"/>
              </w:rPr>
              <w:t xml:space="preserve">. The applicant sought leave to appeal the costs decision under r. 505(3), which requires that leave be obtained from the court that made the costs order. The case management judge (which was the same judge that denied the application for costs) denied the application for leave: </w:t>
            </w:r>
            <w:hyperlink r:id="rId23" w:tgtFrame="_parent" w:history="1">
              <w:r w:rsidRPr="00316127">
                <w:rPr>
                  <w:sz w:val="20"/>
                </w:rPr>
                <w:t>2009 ABQB 231</w:t>
              </w:r>
            </w:hyperlink>
            <w:r w:rsidRPr="009A0486">
              <w:rPr>
                <w:color w:val="000000"/>
                <w:sz w:val="20"/>
              </w:rPr>
              <w:t>.</w:t>
            </w:r>
          </w:p>
          <w:p w:rsidR="0026524B" w:rsidRPr="009A0486" w:rsidRDefault="0026524B" w:rsidP="00D77551">
            <w:pPr>
              <w:spacing w:before="144"/>
              <w:jc w:val="both"/>
              <w:rPr>
                <w:color w:val="000000"/>
                <w:sz w:val="20"/>
              </w:rPr>
            </w:pPr>
            <w:r w:rsidRPr="009A0486">
              <w:rPr>
                <w:color w:val="000000"/>
                <w:sz w:val="20"/>
              </w:rPr>
              <w:t>The applicant sought to appeal the decision denying leave and, if it was successful on that appeal, it asked the court to grant leave to appeal the costs decision and then hear the appeal from the costs decision.  The Court of Appeal dismissed the appeal finding the applicant’s allegations of bias, either personal or institutional, could not be sustained and the case management judge had jurisdiction to decide the leave application and his decision denying leave was final.</w:t>
            </w:r>
          </w:p>
          <w:p w:rsidR="0026524B" w:rsidRPr="009A0486" w:rsidRDefault="0026524B" w:rsidP="00D77551">
            <w:pPr>
              <w:jc w:val="both"/>
              <w:rPr>
                <w:rFonts w:eastAsia="Calibri"/>
                <w:sz w:val="20"/>
              </w:rPr>
            </w:pPr>
          </w:p>
        </w:tc>
      </w:tr>
      <w:tr w:rsidR="0026524B" w:rsidRPr="009A0486" w:rsidTr="00D77551">
        <w:tc>
          <w:tcPr>
            <w:tcW w:w="2427" w:type="pct"/>
          </w:tcPr>
          <w:p w:rsidR="0026524B" w:rsidRPr="009A0486" w:rsidRDefault="0026524B" w:rsidP="00D77551">
            <w:pPr>
              <w:jc w:val="both"/>
              <w:rPr>
                <w:rFonts w:eastAsia="Calibri"/>
                <w:sz w:val="20"/>
              </w:rPr>
            </w:pPr>
            <w:r w:rsidRPr="009A0486">
              <w:rPr>
                <w:rFonts w:eastAsia="Calibri"/>
                <w:sz w:val="20"/>
              </w:rPr>
              <w:lastRenderedPageBreak/>
              <w:t>January 14, 2009</w:t>
            </w:r>
          </w:p>
          <w:p w:rsidR="0026524B" w:rsidRPr="009A0486" w:rsidRDefault="0026524B" w:rsidP="00D77551">
            <w:pPr>
              <w:jc w:val="both"/>
              <w:rPr>
                <w:rFonts w:eastAsia="Calibri"/>
                <w:sz w:val="20"/>
              </w:rPr>
            </w:pPr>
            <w:r w:rsidRPr="009A0486">
              <w:rPr>
                <w:rFonts w:eastAsia="Calibri"/>
                <w:sz w:val="20"/>
              </w:rPr>
              <w:t>Court of Queen’s Bench of Alberta</w:t>
            </w:r>
          </w:p>
          <w:p w:rsidR="0026524B" w:rsidRPr="009A0486" w:rsidRDefault="0026524B" w:rsidP="00D77551">
            <w:pPr>
              <w:jc w:val="both"/>
              <w:rPr>
                <w:rFonts w:eastAsia="Calibri"/>
                <w:sz w:val="20"/>
              </w:rPr>
            </w:pPr>
            <w:r w:rsidRPr="009A0486">
              <w:rPr>
                <w:rFonts w:eastAsia="Calibri"/>
                <w:sz w:val="20"/>
              </w:rPr>
              <w:t>(McMahon J.)</w:t>
            </w:r>
          </w:p>
          <w:p w:rsidR="0026524B" w:rsidRPr="009A0486" w:rsidRDefault="0026524B" w:rsidP="00D77551">
            <w:pPr>
              <w:jc w:val="both"/>
              <w:rPr>
                <w:rFonts w:eastAsia="Calibri"/>
                <w:sz w:val="20"/>
              </w:rPr>
            </w:pPr>
            <w:r w:rsidRPr="009A0486">
              <w:rPr>
                <w:rFonts w:eastAsia="Calibri"/>
                <w:sz w:val="20"/>
              </w:rPr>
              <w:t>2009 ABQB 29</w:t>
            </w:r>
          </w:p>
          <w:p w:rsidR="0026524B" w:rsidRPr="009A0486" w:rsidRDefault="0026524B" w:rsidP="00D77551">
            <w:pPr>
              <w:jc w:val="both"/>
              <w:rPr>
                <w:rFonts w:eastAsia="Calibri"/>
                <w:sz w:val="20"/>
              </w:rPr>
            </w:pPr>
          </w:p>
        </w:tc>
        <w:tc>
          <w:tcPr>
            <w:tcW w:w="243" w:type="pct"/>
          </w:tcPr>
          <w:p w:rsidR="0026524B" w:rsidRPr="009A0486" w:rsidRDefault="0026524B" w:rsidP="00D77551">
            <w:pPr>
              <w:jc w:val="both"/>
              <w:rPr>
                <w:rFonts w:eastAsia="Calibri"/>
                <w:sz w:val="20"/>
              </w:rPr>
            </w:pPr>
          </w:p>
        </w:tc>
        <w:tc>
          <w:tcPr>
            <w:tcW w:w="2330" w:type="pct"/>
          </w:tcPr>
          <w:p w:rsidR="0026524B" w:rsidRPr="009A0486" w:rsidRDefault="0026524B" w:rsidP="00D77551">
            <w:pPr>
              <w:jc w:val="both"/>
              <w:rPr>
                <w:rFonts w:eastAsia="Calibri"/>
                <w:sz w:val="20"/>
              </w:rPr>
            </w:pPr>
            <w:r w:rsidRPr="009A0486">
              <w:rPr>
                <w:rFonts w:eastAsia="Calibri"/>
                <w:sz w:val="20"/>
              </w:rPr>
              <w:t>Application for costs dismissed</w:t>
            </w:r>
          </w:p>
        </w:tc>
      </w:tr>
      <w:tr w:rsidR="0026524B" w:rsidRPr="009A0486" w:rsidTr="00D77551">
        <w:tc>
          <w:tcPr>
            <w:tcW w:w="2427" w:type="pct"/>
          </w:tcPr>
          <w:p w:rsidR="0026524B" w:rsidRPr="009A0486" w:rsidRDefault="0026524B" w:rsidP="00D77551">
            <w:pPr>
              <w:jc w:val="both"/>
              <w:rPr>
                <w:rFonts w:eastAsia="Calibri"/>
                <w:sz w:val="20"/>
              </w:rPr>
            </w:pPr>
            <w:r w:rsidRPr="009A0486">
              <w:rPr>
                <w:rFonts w:eastAsia="Calibri"/>
                <w:sz w:val="20"/>
              </w:rPr>
              <w:t>April 14, 2009</w:t>
            </w:r>
          </w:p>
          <w:p w:rsidR="0026524B" w:rsidRPr="009A0486" w:rsidRDefault="0026524B" w:rsidP="00D77551">
            <w:pPr>
              <w:jc w:val="both"/>
              <w:rPr>
                <w:rFonts w:eastAsia="Calibri"/>
                <w:sz w:val="20"/>
              </w:rPr>
            </w:pPr>
            <w:r w:rsidRPr="009A0486">
              <w:rPr>
                <w:rFonts w:eastAsia="Calibri"/>
                <w:sz w:val="20"/>
              </w:rPr>
              <w:t>Court of Queen’s Bench of Alberta</w:t>
            </w:r>
          </w:p>
          <w:p w:rsidR="0026524B" w:rsidRPr="009A0486" w:rsidRDefault="0026524B" w:rsidP="00D77551">
            <w:pPr>
              <w:jc w:val="both"/>
              <w:rPr>
                <w:rFonts w:eastAsia="Calibri"/>
                <w:sz w:val="20"/>
              </w:rPr>
            </w:pPr>
            <w:r w:rsidRPr="009A0486">
              <w:rPr>
                <w:rFonts w:eastAsia="Calibri"/>
                <w:sz w:val="20"/>
              </w:rPr>
              <w:t>(McMahon J.)</w:t>
            </w:r>
          </w:p>
          <w:p w:rsidR="0026524B" w:rsidRPr="009A0486" w:rsidRDefault="0026524B" w:rsidP="00D77551">
            <w:pPr>
              <w:jc w:val="both"/>
              <w:rPr>
                <w:rFonts w:eastAsia="Calibri"/>
                <w:sz w:val="20"/>
              </w:rPr>
            </w:pPr>
            <w:r w:rsidRPr="009A0486">
              <w:rPr>
                <w:rFonts w:eastAsia="Calibri"/>
                <w:sz w:val="20"/>
              </w:rPr>
              <w:t>2009 ABQB 29</w:t>
            </w:r>
          </w:p>
          <w:p w:rsidR="0026524B" w:rsidRPr="009A0486" w:rsidRDefault="0026524B" w:rsidP="00D77551">
            <w:pPr>
              <w:jc w:val="both"/>
              <w:rPr>
                <w:rFonts w:eastAsia="Calibri"/>
                <w:sz w:val="20"/>
              </w:rPr>
            </w:pPr>
          </w:p>
        </w:tc>
        <w:tc>
          <w:tcPr>
            <w:tcW w:w="243" w:type="pct"/>
          </w:tcPr>
          <w:p w:rsidR="0026524B" w:rsidRPr="009A0486" w:rsidRDefault="0026524B" w:rsidP="00D77551">
            <w:pPr>
              <w:jc w:val="both"/>
              <w:rPr>
                <w:rFonts w:eastAsia="Calibri"/>
                <w:sz w:val="20"/>
              </w:rPr>
            </w:pPr>
          </w:p>
        </w:tc>
        <w:tc>
          <w:tcPr>
            <w:tcW w:w="2330" w:type="pct"/>
          </w:tcPr>
          <w:p w:rsidR="0026524B" w:rsidRPr="009A0486" w:rsidRDefault="0026524B" w:rsidP="00D77551">
            <w:pPr>
              <w:jc w:val="both"/>
              <w:rPr>
                <w:rFonts w:eastAsia="Calibri"/>
                <w:sz w:val="20"/>
              </w:rPr>
            </w:pPr>
            <w:r w:rsidRPr="009A0486">
              <w:rPr>
                <w:rFonts w:eastAsia="Calibri"/>
                <w:sz w:val="20"/>
              </w:rPr>
              <w:t xml:space="preserve">Application for leave to appeal a cost decision dismissed </w:t>
            </w:r>
          </w:p>
        </w:tc>
      </w:tr>
      <w:tr w:rsidR="0026524B" w:rsidRPr="009A0486" w:rsidTr="00D77551">
        <w:tc>
          <w:tcPr>
            <w:tcW w:w="2427" w:type="pct"/>
          </w:tcPr>
          <w:p w:rsidR="0026524B" w:rsidRPr="009A0486" w:rsidRDefault="0026524B" w:rsidP="00D77551">
            <w:pPr>
              <w:jc w:val="both"/>
              <w:rPr>
                <w:rFonts w:eastAsia="Calibri"/>
                <w:sz w:val="20"/>
              </w:rPr>
            </w:pPr>
            <w:r w:rsidRPr="009A0486">
              <w:rPr>
                <w:rFonts w:eastAsia="Calibri"/>
                <w:sz w:val="20"/>
              </w:rPr>
              <w:t>June 3, 2010</w:t>
            </w:r>
          </w:p>
          <w:p w:rsidR="0026524B" w:rsidRPr="009A0486" w:rsidRDefault="0026524B" w:rsidP="00D77551">
            <w:pPr>
              <w:jc w:val="both"/>
              <w:rPr>
                <w:rFonts w:eastAsia="Calibri"/>
                <w:sz w:val="20"/>
              </w:rPr>
            </w:pPr>
            <w:r w:rsidRPr="009A0486">
              <w:rPr>
                <w:rFonts w:eastAsia="Calibri"/>
                <w:sz w:val="20"/>
              </w:rPr>
              <w:t>Court of Appeal of Alberta (Calgary)</w:t>
            </w:r>
          </w:p>
          <w:p w:rsidR="0026524B" w:rsidRPr="009A0486" w:rsidRDefault="0026524B" w:rsidP="00D77551">
            <w:pPr>
              <w:jc w:val="both"/>
              <w:rPr>
                <w:rFonts w:eastAsia="Calibri"/>
                <w:sz w:val="20"/>
              </w:rPr>
            </w:pPr>
            <w:r w:rsidRPr="009A0486">
              <w:rPr>
                <w:rFonts w:eastAsia="Calibri"/>
                <w:sz w:val="20"/>
              </w:rPr>
              <w:t>(Paperny, Ritter and Martin JJ.A.)</w:t>
            </w:r>
          </w:p>
          <w:p w:rsidR="0026524B" w:rsidRPr="009A0486" w:rsidRDefault="0026524B" w:rsidP="00D77551">
            <w:pPr>
              <w:jc w:val="both"/>
              <w:rPr>
                <w:rFonts w:eastAsia="Calibri"/>
                <w:sz w:val="20"/>
              </w:rPr>
            </w:pPr>
            <w:r w:rsidRPr="009A0486">
              <w:rPr>
                <w:rFonts w:eastAsia="Calibri"/>
                <w:sz w:val="20"/>
              </w:rPr>
              <w:t>2010 ABCA 202</w:t>
            </w:r>
          </w:p>
          <w:p w:rsidR="0026524B" w:rsidRPr="009A0486" w:rsidRDefault="0026524B" w:rsidP="00D77551">
            <w:pPr>
              <w:jc w:val="both"/>
              <w:rPr>
                <w:rFonts w:eastAsia="Calibri"/>
                <w:sz w:val="20"/>
              </w:rPr>
            </w:pPr>
          </w:p>
        </w:tc>
        <w:tc>
          <w:tcPr>
            <w:tcW w:w="243" w:type="pct"/>
          </w:tcPr>
          <w:p w:rsidR="0026524B" w:rsidRPr="009A0486" w:rsidRDefault="0026524B" w:rsidP="00D77551">
            <w:pPr>
              <w:jc w:val="both"/>
              <w:rPr>
                <w:rFonts w:eastAsia="Calibri"/>
                <w:sz w:val="20"/>
              </w:rPr>
            </w:pPr>
          </w:p>
        </w:tc>
        <w:tc>
          <w:tcPr>
            <w:tcW w:w="2330" w:type="pct"/>
          </w:tcPr>
          <w:p w:rsidR="0026524B" w:rsidRPr="009A0486" w:rsidRDefault="0026524B" w:rsidP="00D77551">
            <w:pPr>
              <w:jc w:val="both"/>
              <w:rPr>
                <w:rFonts w:eastAsia="Calibri"/>
                <w:sz w:val="20"/>
              </w:rPr>
            </w:pPr>
            <w:r w:rsidRPr="009A0486">
              <w:rPr>
                <w:rFonts w:eastAsia="Calibri"/>
                <w:sz w:val="20"/>
              </w:rPr>
              <w:t>Appeal dismissed</w:t>
            </w:r>
          </w:p>
          <w:p w:rsidR="0026524B" w:rsidRPr="009A0486" w:rsidRDefault="0026524B" w:rsidP="00D77551">
            <w:pPr>
              <w:jc w:val="both"/>
              <w:rPr>
                <w:rFonts w:eastAsia="Calibri"/>
                <w:sz w:val="20"/>
              </w:rPr>
            </w:pPr>
          </w:p>
        </w:tc>
      </w:tr>
      <w:tr w:rsidR="0026524B" w:rsidRPr="009A0486" w:rsidTr="00D77551">
        <w:tc>
          <w:tcPr>
            <w:tcW w:w="2427" w:type="pct"/>
          </w:tcPr>
          <w:p w:rsidR="0026524B" w:rsidRPr="009A0486" w:rsidRDefault="0026524B" w:rsidP="00D77551">
            <w:pPr>
              <w:jc w:val="both"/>
              <w:rPr>
                <w:rFonts w:eastAsia="Calibri"/>
                <w:sz w:val="20"/>
              </w:rPr>
            </w:pPr>
            <w:r w:rsidRPr="009A0486">
              <w:rPr>
                <w:rFonts w:eastAsia="Calibri"/>
                <w:sz w:val="20"/>
              </w:rPr>
              <w:t>August 31, 2010</w:t>
            </w:r>
          </w:p>
          <w:p w:rsidR="0026524B" w:rsidRPr="009A0486" w:rsidRDefault="0026524B" w:rsidP="00D77551">
            <w:pPr>
              <w:jc w:val="both"/>
              <w:rPr>
                <w:rFonts w:eastAsia="Calibri"/>
                <w:sz w:val="20"/>
              </w:rPr>
            </w:pPr>
            <w:r w:rsidRPr="009A0486">
              <w:rPr>
                <w:rFonts w:eastAsia="Calibri"/>
                <w:sz w:val="20"/>
              </w:rPr>
              <w:t>Supreme Court of Canada</w:t>
            </w:r>
          </w:p>
        </w:tc>
        <w:tc>
          <w:tcPr>
            <w:tcW w:w="243" w:type="pct"/>
          </w:tcPr>
          <w:p w:rsidR="0026524B" w:rsidRPr="009A0486" w:rsidRDefault="0026524B" w:rsidP="00D77551">
            <w:pPr>
              <w:jc w:val="both"/>
              <w:rPr>
                <w:rFonts w:eastAsia="Calibri"/>
                <w:sz w:val="20"/>
              </w:rPr>
            </w:pPr>
          </w:p>
        </w:tc>
        <w:tc>
          <w:tcPr>
            <w:tcW w:w="2330" w:type="pct"/>
          </w:tcPr>
          <w:p w:rsidR="0026524B" w:rsidRPr="009A0486" w:rsidRDefault="0026524B" w:rsidP="00D77551">
            <w:pPr>
              <w:jc w:val="both"/>
              <w:rPr>
                <w:rFonts w:eastAsia="Calibri"/>
                <w:sz w:val="20"/>
              </w:rPr>
            </w:pPr>
            <w:r w:rsidRPr="009A0486">
              <w:rPr>
                <w:rFonts w:eastAsia="Calibri"/>
                <w:sz w:val="20"/>
              </w:rPr>
              <w:t>Application for leave to appeal filed</w:t>
            </w:r>
          </w:p>
          <w:p w:rsidR="0026524B" w:rsidRPr="009A0486" w:rsidRDefault="0026524B" w:rsidP="00D77551">
            <w:pPr>
              <w:jc w:val="both"/>
              <w:rPr>
                <w:rFonts w:eastAsia="Calibri"/>
                <w:sz w:val="20"/>
              </w:rPr>
            </w:pPr>
          </w:p>
        </w:tc>
      </w:tr>
    </w:tbl>
    <w:p w:rsidR="00E42D2B" w:rsidRPr="00E01ABF" w:rsidRDefault="00E42D2B" w:rsidP="00E42D2B">
      <w:pPr>
        <w:rPr>
          <w:sz w:val="20"/>
          <w:szCs w:val="20"/>
        </w:rPr>
      </w:pPr>
    </w:p>
    <w:p w:rsidR="00E42D2B" w:rsidRDefault="00D56013" w:rsidP="00E42D2B">
      <w:pPr>
        <w:rPr>
          <w:sz w:val="20"/>
          <w:szCs w:val="20"/>
          <w:lang w:val="fr-CA"/>
        </w:rPr>
      </w:pPr>
      <w:r w:rsidRPr="00D56013">
        <w:rPr>
          <w:sz w:val="20"/>
          <w:szCs w:val="20"/>
          <w:lang w:val="fr-CA"/>
        </w:rPr>
        <w:pict>
          <v:rect id="_x0000_i1070" style="width:2in;height:1pt" o:hrpct="0" o:hralign="center" o:hrstd="t" o:hrnoshade="t" o:hr="t" fillcolor="black [3213]" stroked="f"/>
        </w:pict>
      </w:r>
    </w:p>
    <w:p w:rsidR="00AF11AE" w:rsidRPr="00E01ABF" w:rsidRDefault="00AF11AE" w:rsidP="00E42D2B">
      <w:pPr>
        <w:rPr>
          <w:sz w:val="20"/>
          <w:szCs w:val="20"/>
        </w:rPr>
      </w:pPr>
    </w:p>
    <w:p w:rsidR="00E42D2B" w:rsidRPr="00E01ABF" w:rsidRDefault="00E42D2B" w:rsidP="00E42D2B">
      <w:pPr>
        <w:rPr>
          <w:sz w:val="20"/>
          <w:szCs w:val="20"/>
          <w:u w:val="single"/>
        </w:rPr>
      </w:pPr>
      <w:r w:rsidRPr="00E01ABF">
        <w:rPr>
          <w:sz w:val="20"/>
          <w:szCs w:val="20"/>
          <w:u w:val="single"/>
        </w:rPr>
        <w:t>RÉSUMÉ DE L’AFFAIRE</w:t>
      </w:r>
    </w:p>
    <w:p w:rsidR="00E42D2B" w:rsidRDefault="00E42D2B" w:rsidP="00E42D2B">
      <w:pPr>
        <w:rPr>
          <w:sz w:val="20"/>
          <w:szCs w:val="20"/>
        </w:rPr>
      </w:pPr>
    </w:p>
    <w:tbl>
      <w:tblPr>
        <w:tblW w:w="4952" w:type="pct"/>
        <w:tblInd w:w="2" w:type="dxa"/>
        <w:tblLayout w:type="fixed"/>
        <w:tblCellMar>
          <w:left w:w="0" w:type="dxa"/>
          <w:bottom w:w="99" w:type="dxa"/>
          <w:right w:w="0" w:type="dxa"/>
        </w:tblCellMar>
        <w:tblLook w:val="00A0"/>
      </w:tblPr>
      <w:tblGrid>
        <w:gridCol w:w="4624"/>
        <w:gridCol w:w="463"/>
        <w:gridCol w:w="4440"/>
      </w:tblGrid>
      <w:tr w:rsidR="004D0B4E" w:rsidRPr="00850008" w:rsidTr="00D77551">
        <w:tc>
          <w:tcPr>
            <w:tcW w:w="5000" w:type="pct"/>
            <w:gridSpan w:val="3"/>
          </w:tcPr>
          <w:p w:rsidR="004D0B4E" w:rsidRPr="009A0486" w:rsidRDefault="004D0B4E" w:rsidP="00D77551">
            <w:pPr>
              <w:jc w:val="both"/>
              <w:rPr>
                <w:rFonts w:eastAsia="Calibri"/>
                <w:sz w:val="20"/>
                <w:lang w:val="fr-CA"/>
              </w:rPr>
            </w:pPr>
            <w:r w:rsidRPr="009A0486">
              <w:rPr>
                <w:rFonts w:eastAsia="Calibri"/>
                <w:sz w:val="20"/>
                <w:lang w:val="fr-CA"/>
              </w:rPr>
              <w:t xml:space="preserve">Procédure civile – Appels – Autorisation d’appel – Partialité personnelle ou institutionnelle – Règle 505(3) des </w:t>
            </w:r>
            <w:r w:rsidRPr="009A0486">
              <w:rPr>
                <w:rFonts w:eastAsia="Calibri"/>
                <w:i/>
                <w:iCs/>
                <w:sz w:val="20"/>
                <w:lang w:val="fr-CA"/>
              </w:rPr>
              <w:t xml:space="preserve">Rules of Court </w:t>
            </w:r>
            <w:r w:rsidRPr="009A0486">
              <w:rPr>
                <w:rFonts w:eastAsia="Calibri"/>
                <w:sz w:val="20"/>
                <w:lang w:val="fr-CA"/>
              </w:rPr>
              <w:t>d’Alberta – Le processus judiciaire albertain qui oblige une partie à un litige à demander l’autorisation d’appel du juge qui a rendu la décision en premier lieu soulève-t-il une crainte raisonnable de partialité? – Un juge peut-il refuser l’accès à la révision en appel de sa propre décision par le refus d’accorder l’autorisation?</w:t>
            </w:r>
          </w:p>
        </w:tc>
      </w:tr>
      <w:tr w:rsidR="004D0B4E" w:rsidRPr="00850008" w:rsidTr="00D77551">
        <w:tc>
          <w:tcPr>
            <w:tcW w:w="5000" w:type="pct"/>
            <w:gridSpan w:val="3"/>
          </w:tcPr>
          <w:p w:rsidR="004D0B4E" w:rsidRPr="009A0486" w:rsidRDefault="004D0B4E" w:rsidP="00D77551">
            <w:pPr>
              <w:spacing w:before="144"/>
              <w:jc w:val="both"/>
              <w:rPr>
                <w:color w:val="000000"/>
                <w:sz w:val="20"/>
                <w:lang w:val="fr-CA"/>
              </w:rPr>
            </w:pPr>
            <w:r w:rsidRPr="009A0486">
              <w:rPr>
                <w:color w:val="000000"/>
                <w:sz w:val="20"/>
                <w:lang w:val="fr-CA"/>
              </w:rPr>
              <w:t xml:space="preserve">Le présent appel découle d’un recours collectif intenté au nom d’anciens pensionnaires des pensionnats indiens en Alberta. En mai 2006, un règlement global a été conclu. Le demandeur, l’évêque catholique romain du diocèse de Calgary n’a pas participé au règlement. Après que le règlement a été homologué par les tribunaux dans neuf ressorts, le demandeur a demandé ses dépens en défense aux mises en cause déposées par le Canada, conformément à la règle 601 des </w:t>
            </w:r>
            <w:r w:rsidRPr="00316127">
              <w:rPr>
                <w:i/>
                <w:iCs/>
                <w:color w:val="000000"/>
                <w:sz w:val="20"/>
                <w:lang w:val="fr-CA"/>
              </w:rPr>
              <w:t>Alberta Rules of Court</w:t>
            </w:r>
            <w:r w:rsidRPr="009A0486">
              <w:rPr>
                <w:color w:val="000000"/>
                <w:sz w:val="20"/>
                <w:lang w:val="fr-CA"/>
              </w:rPr>
              <w:t>.</w:t>
            </w:r>
          </w:p>
          <w:p w:rsidR="004D0B4E" w:rsidRPr="009A0486" w:rsidRDefault="004D0B4E" w:rsidP="00D77551">
            <w:pPr>
              <w:spacing w:before="144"/>
              <w:ind w:left="-2" w:right="2"/>
              <w:jc w:val="both"/>
              <w:rPr>
                <w:color w:val="000000"/>
                <w:sz w:val="20"/>
                <w:lang w:val="fr-CA"/>
              </w:rPr>
            </w:pPr>
            <w:r w:rsidRPr="009A0486">
              <w:rPr>
                <w:color w:val="000000"/>
                <w:sz w:val="20"/>
                <w:lang w:val="fr-CA"/>
              </w:rPr>
              <w:t xml:space="preserve">Le juge responsable de la gestion de l’instance qui avait traité l’affaire a rejeté la demande de dépens du demandeur : </w:t>
            </w:r>
            <w:hyperlink r:id="rId24" w:tgtFrame="_parent" w:history="1">
              <w:r w:rsidRPr="00316127">
                <w:rPr>
                  <w:sz w:val="20"/>
                  <w:lang w:val="fr-CA"/>
                </w:rPr>
                <w:t>2009 ABQB 29</w:t>
              </w:r>
            </w:hyperlink>
            <w:r w:rsidRPr="009A0486">
              <w:rPr>
                <w:color w:val="000000"/>
                <w:sz w:val="20"/>
                <w:lang w:val="fr-CA"/>
              </w:rPr>
              <w:t xml:space="preserve">. Le demandeur a demandé l’autorisation d’appel de la décision sur les dépens en vertu de la règle 505(3), qui oblige une partie à obtenir l’autorisation du tribunal qui a rendu l’ordonnance sur les dépens. Le  juge responsable de la gestion de l’instance (le même qui avait rejeté la demande de dépens) a rejeté la demande d’autorisation d’appel : </w:t>
            </w:r>
            <w:hyperlink r:id="rId25" w:tgtFrame="_parent" w:history="1">
              <w:r w:rsidRPr="00316127">
                <w:rPr>
                  <w:sz w:val="20"/>
                  <w:lang w:val="fr-CA"/>
                </w:rPr>
                <w:t>2009 ABQB 231</w:t>
              </w:r>
            </w:hyperlink>
            <w:r w:rsidRPr="009A0486">
              <w:rPr>
                <w:color w:val="000000"/>
                <w:sz w:val="20"/>
                <w:lang w:val="fr-CA"/>
              </w:rPr>
              <w:t>.</w:t>
            </w:r>
          </w:p>
          <w:p w:rsidR="004D0B4E" w:rsidRPr="009A0486" w:rsidRDefault="004D0B4E" w:rsidP="00D77551">
            <w:pPr>
              <w:spacing w:before="144"/>
              <w:ind w:left="-2" w:right="2"/>
              <w:jc w:val="both"/>
              <w:rPr>
                <w:color w:val="000000"/>
                <w:sz w:val="20"/>
                <w:lang w:val="fr-CA"/>
              </w:rPr>
            </w:pPr>
            <w:r w:rsidRPr="009A0486">
              <w:rPr>
                <w:color w:val="000000"/>
                <w:sz w:val="20"/>
                <w:lang w:val="fr-CA"/>
              </w:rPr>
              <w:t xml:space="preserve">Le demandeur a cherché à interjeter appel de la décision refusant l’autorisation et, s’il avait gain de cause dans cet appel, il a demandé au tribunal d’accorder l’autorisation d’appel de la décision sur les dépens, puis d’entendre l’appel </w:t>
            </w:r>
            <w:r w:rsidRPr="009A0486">
              <w:rPr>
                <w:color w:val="000000"/>
                <w:sz w:val="20"/>
                <w:lang w:val="fr-CA"/>
              </w:rPr>
              <w:lastRenderedPageBreak/>
              <w:t>de cette décision. La Cour d’appel a rejeté l’appel, concluant que l’allégation de partialité, personnelle ou institutionnelle, faite par le demandeur, ne pouvait être retenue, que le juge responsable de la gestion de l’instance avait compétence pour trancher la demande d’autorisation d’appel et que sa décision refusant l’autorisation était finale.</w:t>
            </w:r>
          </w:p>
          <w:p w:rsidR="004D0B4E" w:rsidRPr="009A0486" w:rsidRDefault="004D0B4E" w:rsidP="00D77551">
            <w:pPr>
              <w:jc w:val="both"/>
              <w:rPr>
                <w:rFonts w:eastAsia="Calibri"/>
                <w:sz w:val="20"/>
                <w:lang w:val="fr-CA"/>
              </w:rPr>
            </w:pPr>
          </w:p>
        </w:tc>
      </w:tr>
      <w:tr w:rsidR="004D0B4E" w:rsidRPr="009A0486" w:rsidTr="00D77551">
        <w:tc>
          <w:tcPr>
            <w:tcW w:w="2427" w:type="pct"/>
          </w:tcPr>
          <w:p w:rsidR="004D0B4E" w:rsidRPr="009A0486" w:rsidRDefault="004D0B4E" w:rsidP="00D77551">
            <w:pPr>
              <w:jc w:val="both"/>
              <w:rPr>
                <w:rFonts w:eastAsia="Calibri"/>
                <w:sz w:val="20"/>
                <w:lang w:val="fr-CA"/>
              </w:rPr>
            </w:pPr>
            <w:r w:rsidRPr="009A0486">
              <w:rPr>
                <w:rFonts w:eastAsia="Calibri"/>
                <w:sz w:val="20"/>
                <w:lang w:val="fr-CA"/>
              </w:rPr>
              <w:lastRenderedPageBreak/>
              <w:t>14 janvier 2009</w:t>
            </w:r>
          </w:p>
          <w:p w:rsidR="004D0B4E" w:rsidRPr="009A0486" w:rsidRDefault="004D0B4E" w:rsidP="00D77551">
            <w:pPr>
              <w:jc w:val="both"/>
              <w:rPr>
                <w:rFonts w:eastAsia="Calibri"/>
                <w:sz w:val="20"/>
                <w:lang w:val="fr-CA"/>
              </w:rPr>
            </w:pPr>
            <w:r w:rsidRPr="009A0486">
              <w:rPr>
                <w:rFonts w:eastAsia="Calibri"/>
                <w:sz w:val="20"/>
                <w:lang w:val="fr-CA"/>
              </w:rPr>
              <w:t>Cour du Banc de la Reine de l’Alberta</w:t>
            </w:r>
          </w:p>
          <w:p w:rsidR="004D0B4E" w:rsidRPr="009A0486" w:rsidRDefault="004D0B4E" w:rsidP="00D77551">
            <w:pPr>
              <w:jc w:val="both"/>
              <w:rPr>
                <w:rFonts w:eastAsia="Calibri"/>
                <w:sz w:val="20"/>
                <w:lang w:val="fr-CA"/>
              </w:rPr>
            </w:pPr>
            <w:r w:rsidRPr="009A0486">
              <w:rPr>
                <w:rFonts w:eastAsia="Calibri"/>
                <w:sz w:val="20"/>
                <w:lang w:val="fr-CA"/>
              </w:rPr>
              <w:t>(Juge McMahon)</w:t>
            </w:r>
          </w:p>
          <w:p w:rsidR="004D0B4E" w:rsidRPr="009A0486" w:rsidRDefault="004D0B4E" w:rsidP="00D77551">
            <w:pPr>
              <w:jc w:val="both"/>
              <w:rPr>
                <w:rFonts w:eastAsia="Calibri"/>
                <w:sz w:val="20"/>
                <w:lang w:val="fr-CA"/>
              </w:rPr>
            </w:pPr>
            <w:r w:rsidRPr="009A0486">
              <w:rPr>
                <w:rFonts w:eastAsia="Calibri"/>
                <w:sz w:val="20"/>
                <w:lang w:val="fr-CA"/>
              </w:rPr>
              <w:t>2009 ABQB 29</w:t>
            </w:r>
          </w:p>
          <w:p w:rsidR="004D0B4E" w:rsidRPr="009A0486" w:rsidRDefault="004D0B4E" w:rsidP="00D77551">
            <w:pPr>
              <w:jc w:val="both"/>
              <w:rPr>
                <w:rFonts w:eastAsia="Calibri"/>
                <w:sz w:val="20"/>
                <w:lang w:val="fr-CA"/>
              </w:rPr>
            </w:pPr>
          </w:p>
        </w:tc>
        <w:tc>
          <w:tcPr>
            <w:tcW w:w="243" w:type="pct"/>
          </w:tcPr>
          <w:p w:rsidR="004D0B4E" w:rsidRPr="009A0486" w:rsidRDefault="004D0B4E" w:rsidP="00D77551">
            <w:pPr>
              <w:jc w:val="both"/>
              <w:rPr>
                <w:rFonts w:eastAsia="Calibri"/>
                <w:sz w:val="20"/>
                <w:lang w:val="fr-CA"/>
              </w:rPr>
            </w:pPr>
          </w:p>
        </w:tc>
        <w:tc>
          <w:tcPr>
            <w:tcW w:w="2330" w:type="pct"/>
          </w:tcPr>
          <w:p w:rsidR="004D0B4E" w:rsidRPr="009A0486" w:rsidRDefault="004D0B4E" w:rsidP="00D77551">
            <w:pPr>
              <w:jc w:val="both"/>
              <w:rPr>
                <w:rFonts w:eastAsia="Calibri"/>
                <w:sz w:val="20"/>
                <w:lang w:val="fr-CA"/>
              </w:rPr>
            </w:pPr>
            <w:r w:rsidRPr="009A0486">
              <w:rPr>
                <w:rFonts w:eastAsia="Calibri"/>
                <w:sz w:val="20"/>
                <w:lang w:val="fr-CA"/>
              </w:rPr>
              <w:t>Demande de dépens rejetée</w:t>
            </w:r>
          </w:p>
        </w:tc>
      </w:tr>
      <w:tr w:rsidR="004D0B4E" w:rsidRPr="00850008" w:rsidTr="00D77551">
        <w:tc>
          <w:tcPr>
            <w:tcW w:w="2427" w:type="pct"/>
          </w:tcPr>
          <w:p w:rsidR="004D0B4E" w:rsidRPr="009A0486" w:rsidRDefault="004D0B4E" w:rsidP="00D77551">
            <w:pPr>
              <w:jc w:val="both"/>
              <w:rPr>
                <w:rFonts w:eastAsia="Calibri"/>
                <w:sz w:val="20"/>
                <w:lang w:val="fr-CA"/>
              </w:rPr>
            </w:pPr>
            <w:r w:rsidRPr="009A0486">
              <w:rPr>
                <w:rFonts w:eastAsia="Calibri"/>
                <w:sz w:val="20"/>
                <w:lang w:val="fr-CA"/>
              </w:rPr>
              <w:t>14 avril 2009</w:t>
            </w:r>
          </w:p>
          <w:p w:rsidR="004D0B4E" w:rsidRPr="009A0486" w:rsidRDefault="004D0B4E" w:rsidP="00D77551">
            <w:pPr>
              <w:jc w:val="both"/>
              <w:rPr>
                <w:rFonts w:eastAsia="Calibri"/>
                <w:sz w:val="20"/>
                <w:lang w:val="fr-CA"/>
              </w:rPr>
            </w:pPr>
            <w:r w:rsidRPr="009A0486">
              <w:rPr>
                <w:rFonts w:eastAsia="Calibri"/>
                <w:sz w:val="20"/>
                <w:lang w:val="fr-CA"/>
              </w:rPr>
              <w:t>Cour du Banc de la Reine de l’Alberta</w:t>
            </w:r>
          </w:p>
          <w:p w:rsidR="004D0B4E" w:rsidRPr="009A0486" w:rsidRDefault="004D0B4E" w:rsidP="00D77551">
            <w:pPr>
              <w:jc w:val="both"/>
              <w:rPr>
                <w:rFonts w:eastAsia="Calibri"/>
                <w:sz w:val="20"/>
                <w:lang w:val="fr-CA"/>
              </w:rPr>
            </w:pPr>
            <w:r w:rsidRPr="009A0486">
              <w:rPr>
                <w:rFonts w:eastAsia="Calibri"/>
                <w:sz w:val="20"/>
                <w:lang w:val="fr-CA"/>
              </w:rPr>
              <w:t>(Juge McMahon)</w:t>
            </w:r>
          </w:p>
          <w:p w:rsidR="004D0B4E" w:rsidRPr="009A0486" w:rsidRDefault="004D0B4E" w:rsidP="00D77551">
            <w:pPr>
              <w:jc w:val="both"/>
              <w:rPr>
                <w:rFonts w:eastAsia="Calibri"/>
                <w:sz w:val="20"/>
                <w:lang w:val="fr-CA"/>
              </w:rPr>
            </w:pPr>
            <w:r w:rsidRPr="009A0486">
              <w:rPr>
                <w:rFonts w:eastAsia="Calibri"/>
                <w:sz w:val="20"/>
                <w:lang w:val="fr-CA"/>
              </w:rPr>
              <w:t>2009 ABQB 29</w:t>
            </w:r>
          </w:p>
          <w:p w:rsidR="004D0B4E" w:rsidRPr="009A0486" w:rsidRDefault="004D0B4E" w:rsidP="00D77551">
            <w:pPr>
              <w:jc w:val="both"/>
              <w:rPr>
                <w:rFonts w:eastAsia="Calibri"/>
                <w:sz w:val="20"/>
                <w:lang w:val="fr-CA"/>
              </w:rPr>
            </w:pPr>
          </w:p>
        </w:tc>
        <w:tc>
          <w:tcPr>
            <w:tcW w:w="243" w:type="pct"/>
          </w:tcPr>
          <w:p w:rsidR="004D0B4E" w:rsidRPr="009A0486" w:rsidRDefault="004D0B4E" w:rsidP="00D77551">
            <w:pPr>
              <w:jc w:val="both"/>
              <w:rPr>
                <w:rFonts w:eastAsia="Calibri"/>
                <w:sz w:val="20"/>
                <w:lang w:val="fr-CA"/>
              </w:rPr>
            </w:pPr>
          </w:p>
        </w:tc>
        <w:tc>
          <w:tcPr>
            <w:tcW w:w="2330" w:type="pct"/>
          </w:tcPr>
          <w:p w:rsidR="004D0B4E" w:rsidRPr="009A0486" w:rsidRDefault="004D0B4E" w:rsidP="00D77551">
            <w:pPr>
              <w:jc w:val="both"/>
              <w:rPr>
                <w:rFonts w:eastAsia="Calibri"/>
                <w:sz w:val="20"/>
                <w:lang w:val="fr-CA"/>
              </w:rPr>
            </w:pPr>
            <w:r w:rsidRPr="009A0486">
              <w:rPr>
                <w:rFonts w:eastAsia="Calibri"/>
                <w:sz w:val="20"/>
                <w:lang w:val="fr-CA"/>
              </w:rPr>
              <w:t xml:space="preserve">Demande d’autorisation d’appel d’une décision sur les dépens, rejetée </w:t>
            </w:r>
          </w:p>
        </w:tc>
      </w:tr>
      <w:tr w:rsidR="004D0B4E" w:rsidRPr="009A0486" w:rsidTr="00D77551">
        <w:tc>
          <w:tcPr>
            <w:tcW w:w="2427" w:type="pct"/>
          </w:tcPr>
          <w:p w:rsidR="004D0B4E" w:rsidRPr="009A0486" w:rsidRDefault="004D0B4E" w:rsidP="00D77551">
            <w:pPr>
              <w:jc w:val="both"/>
              <w:rPr>
                <w:rFonts w:eastAsia="Calibri"/>
                <w:sz w:val="20"/>
                <w:lang w:val="fr-CA"/>
              </w:rPr>
            </w:pPr>
            <w:r w:rsidRPr="009A0486">
              <w:rPr>
                <w:rFonts w:eastAsia="Calibri"/>
                <w:sz w:val="20"/>
                <w:lang w:val="fr-CA"/>
              </w:rPr>
              <w:t>3 juin 2010</w:t>
            </w:r>
          </w:p>
          <w:p w:rsidR="004D0B4E" w:rsidRPr="009A0486" w:rsidRDefault="004D0B4E" w:rsidP="00D77551">
            <w:pPr>
              <w:jc w:val="both"/>
              <w:rPr>
                <w:rFonts w:eastAsia="Calibri"/>
                <w:sz w:val="20"/>
                <w:lang w:val="fr-CA"/>
              </w:rPr>
            </w:pPr>
            <w:r w:rsidRPr="009A0486">
              <w:rPr>
                <w:rFonts w:eastAsia="Calibri"/>
                <w:sz w:val="20"/>
                <w:lang w:val="fr-CA"/>
              </w:rPr>
              <w:t>Cour d’appel de l’Alberta (Calgary)</w:t>
            </w:r>
          </w:p>
          <w:p w:rsidR="004D0B4E" w:rsidRPr="009A0486" w:rsidRDefault="004D0B4E" w:rsidP="00D77551">
            <w:pPr>
              <w:jc w:val="both"/>
              <w:rPr>
                <w:rFonts w:eastAsia="Calibri"/>
                <w:sz w:val="20"/>
                <w:lang w:val="fr-CA"/>
              </w:rPr>
            </w:pPr>
            <w:r w:rsidRPr="009A0486">
              <w:rPr>
                <w:rFonts w:eastAsia="Calibri"/>
                <w:sz w:val="20"/>
                <w:lang w:val="fr-CA"/>
              </w:rPr>
              <w:t>(Juges Paperny, Ritter et Martin)</w:t>
            </w:r>
          </w:p>
          <w:p w:rsidR="004D0B4E" w:rsidRPr="009A0486" w:rsidRDefault="004D0B4E" w:rsidP="00D77551">
            <w:pPr>
              <w:jc w:val="both"/>
              <w:rPr>
                <w:rFonts w:eastAsia="Calibri"/>
                <w:sz w:val="20"/>
                <w:lang w:val="fr-CA"/>
              </w:rPr>
            </w:pPr>
            <w:r w:rsidRPr="009A0486">
              <w:rPr>
                <w:rFonts w:eastAsia="Calibri"/>
                <w:sz w:val="20"/>
                <w:lang w:val="fr-CA"/>
              </w:rPr>
              <w:t>2010 ABCA 202</w:t>
            </w:r>
          </w:p>
          <w:p w:rsidR="004D0B4E" w:rsidRPr="009A0486" w:rsidRDefault="004D0B4E" w:rsidP="00D77551">
            <w:pPr>
              <w:jc w:val="both"/>
              <w:rPr>
                <w:rFonts w:eastAsia="Calibri"/>
                <w:sz w:val="20"/>
                <w:lang w:val="fr-CA"/>
              </w:rPr>
            </w:pPr>
          </w:p>
        </w:tc>
        <w:tc>
          <w:tcPr>
            <w:tcW w:w="243" w:type="pct"/>
          </w:tcPr>
          <w:p w:rsidR="004D0B4E" w:rsidRPr="009A0486" w:rsidRDefault="004D0B4E" w:rsidP="00D77551">
            <w:pPr>
              <w:jc w:val="both"/>
              <w:rPr>
                <w:rFonts w:eastAsia="Calibri"/>
                <w:sz w:val="20"/>
                <w:lang w:val="fr-CA"/>
              </w:rPr>
            </w:pPr>
          </w:p>
        </w:tc>
        <w:tc>
          <w:tcPr>
            <w:tcW w:w="2330" w:type="pct"/>
          </w:tcPr>
          <w:p w:rsidR="004D0B4E" w:rsidRPr="009A0486" w:rsidRDefault="004D0B4E" w:rsidP="00D77551">
            <w:pPr>
              <w:jc w:val="both"/>
              <w:rPr>
                <w:rFonts w:eastAsia="Calibri"/>
                <w:sz w:val="20"/>
                <w:lang w:val="fr-CA"/>
              </w:rPr>
            </w:pPr>
            <w:r w:rsidRPr="009A0486">
              <w:rPr>
                <w:rFonts w:eastAsia="Calibri"/>
                <w:sz w:val="20"/>
                <w:lang w:val="fr-CA"/>
              </w:rPr>
              <w:t>Appel rejeté</w:t>
            </w:r>
          </w:p>
          <w:p w:rsidR="004D0B4E" w:rsidRPr="009A0486" w:rsidRDefault="004D0B4E" w:rsidP="00D77551">
            <w:pPr>
              <w:jc w:val="both"/>
              <w:rPr>
                <w:rFonts w:eastAsia="Calibri"/>
                <w:sz w:val="20"/>
                <w:lang w:val="fr-CA"/>
              </w:rPr>
            </w:pPr>
          </w:p>
        </w:tc>
      </w:tr>
      <w:tr w:rsidR="004D0B4E" w:rsidRPr="009A0486" w:rsidTr="00D77551">
        <w:tc>
          <w:tcPr>
            <w:tcW w:w="2427" w:type="pct"/>
          </w:tcPr>
          <w:p w:rsidR="004D0B4E" w:rsidRPr="009A0486" w:rsidRDefault="004D0B4E" w:rsidP="00D77551">
            <w:pPr>
              <w:jc w:val="both"/>
              <w:rPr>
                <w:rFonts w:eastAsia="Calibri"/>
                <w:sz w:val="20"/>
                <w:lang w:val="fr-CA"/>
              </w:rPr>
            </w:pPr>
            <w:r w:rsidRPr="009A0486">
              <w:rPr>
                <w:rFonts w:eastAsia="Calibri"/>
                <w:sz w:val="20"/>
                <w:lang w:val="fr-CA"/>
              </w:rPr>
              <w:t>31 août 2010</w:t>
            </w:r>
          </w:p>
          <w:p w:rsidR="004D0B4E" w:rsidRPr="009A0486" w:rsidRDefault="004D0B4E" w:rsidP="00D77551">
            <w:pPr>
              <w:jc w:val="both"/>
              <w:rPr>
                <w:rFonts w:eastAsia="Calibri"/>
                <w:sz w:val="20"/>
                <w:lang w:val="fr-CA"/>
              </w:rPr>
            </w:pPr>
            <w:r w:rsidRPr="009A0486">
              <w:rPr>
                <w:rFonts w:eastAsia="Calibri"/>
                <w:sz w:val="20"/>
                <w:lang w:val="fr-CA"/>
              </w:rPr>
              <w:t>Cour suprême du Canada</w:t>
            </w:r>
          </w:p>
        </w:tc>
        <w:tc>
          <w:tcPr>
            <w:tcW w:w="243" w:type="pct"/>
          </w:tcPr>
          <w:p w:rsidR="004D0B4E" w:rsidRPr="009A0486" w:rsidRDefault="004D0B4E" w:rsidP="00D77551">
            <w:pPr>
              <w:jc w:val="both"/>
              <w:rPr>
                <w:rFonts w:eastAsia="Calibri"/>
                <w:sz w:val="20"/>
                <w:lang w:val="fr-CA"/>
              </w:rPr>
            </w:pPr>
          </w:p>
        </w:tc>
        <w:tc>
          <w:tcPr>
            <w:tcW w:w="2330" w:type="pct"/>
          </w:tcPr>
          <w:p w:rsidR="004D0B4E" w:rsidRPr="009A0486" w:rsidRDefault="004D0B4E" w:rsidP="00D77551">
            <w:pPr>
              <w:jc w:val="both"/>
              <w:rPr>
                <w:rFonts w:eastAsia="Calibri"/>
                <w:sz w:val="20"/>
                <w:lang w:val="fr-CA"/>
              </w:rPr>
            </w:pPr>
            <w:r w:rsidRPr="009A0486">
              <w:rPr>
                <w:rFonts w:eastAsia="Calibri"/>
                <w:sz w:val="20"/>
                <w:lang w:val="fr-CA"/>
              </w:rPr>
              <w:t>Demande d’autorisation d’appel, déposée</w:t>
            </w:r>
          </w:p>
          <w:p w:rsidR="004D0B4E" w:rsidRPr="009A0486" w:rsidRDefault="004D0B4E" w:rsidP="00D77551">
            <w:pPr>
              <w:jc w:val="both"/>
              <w:rPr>
                <w:rFonts w:eastAsia="Calibri"/>
                <w:sz w:val="20"/>
                <w:lang w:val="fr-CA"/>
              </w:rPr>
            </w:pPr>
          </w:p>
        </w:tc>
      </w:tr>
    </w:tbl>
    <w:p w:rsidR="00E42D2B" w:rsidRPr="00E01ABF" w:rsidRDefault="00E42D2B" w:rsidP="00E42D2B">
      <w:pPr>
        <w:rPr>
          <w:sz w:val="20"/>
          <w:szCs w:val="20"/>
        </w:rPr>
      </w:pPr>
    </w:p>
    <w:p w:rsidR="00E42D2B" w:rsidRDefault="00D56013" w:rsidP="00E42D2B">
      <w:pPr>
        <w:rPr>
          <w:sz w:val="20"/>
          <w:szCs w:val="20"/>
          <w:lang w:val="fr-CA"/>
        </w:rPr>
      </w:pPr>
      <w:r w:rsidRPr="00D56013">
        <w:rPr>
          <w:sz w:val="20"/>
          <w:szCs w:val="20"/>
          <w:lang w:val="fr-CA"/>
        </w:rPr>
        <w:pict>
          <v:rect id="_x0000_i1071" style="width:2in;height:1pt" o:hrpct="0" o:hralign="center" o:hrstd="t" o:hrnoshade="t" o:hr="t" fillcolor="black [3213]" stroked="f"/>
        </w:pict>
      </w:r>
    </w:p>
    <w:p w:rsidR="00E42D2B" w:rsidRDefault="00E42D2B" w:rsidP="008D292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AF11AE" w:rsidRPr="00AF11AE" w:rsidTr="00473DF7">
        <w:trPr>
          <w:cantSplit/>
        </w:trPr>
        <w:tc>
          <w:tcPr>
            <w:tcW w:w="1458" w:type="dxa"/>
          </w:tcPr>
          <w:p w:rsidR="00AF11AE" w:rsidRPr="00AF11AE" w:rsidRDefault="00AF11AE" w:rsidP="00473DF7">
            <w:pPr>
              <w:rPr>
                <w:sz w:val="20"/>
                <w:szCs w:val="20"/>
              </w:rPr>
            </w:pPr>
            <w:r w:rsidRPr="00AF11AE">
              <w:rPr>
                <w:rStyle w:val="SCCFileNumberChar"/>
                <w:sz w:val="20"/>
                <w:szCs w:val="20"/>
              </w:rPr>
              <w:t>33821</w:t>
            </w:r>
          </w:p>
          <w:p w:rsidR="00AF11AE" w:rsidRPr="00AF11AE" w:rsidRDefault="00AF11AE" w:rsidP="00473DF7">
            <w:pPr>
              <w:rPr>
                <w:b/>
                <w:sz w:val="20"/>
                <w:szCs w:val="20"/>
                <w:lang w:val="fr-CA"/>
              </w:rPr>
            </w:pPr>
          </w:p>
        </w:tc>
        <w:tc>
          <w:tcPr>
            <w:tcW w:w="8118" w:type="dxa"/>
          </w:tcPr>
          <w:p w:rsidR="00AF11AE" w:rsidRPr="00AF11AE" w:rsidRDefault="00AF11AE" w:rsidP="00AF11AE">
            <w:pPr>
              <w:jc w:val="both"/>
              <w:rPr>
                <w:sz w:val="20"/>
                <w:szCs w:val="20"/>
              </w:rPr>
            </w:pPr>
            <w:r w:rsidRPr="00AF11AE">
              <w:rPr>
                <w:rStyle w:val="SCCLsocChar"/>
                <w:sz w:val="20"/>
                <w:szCs w:val="20"/>
                <w:lang w:val="en-CA"/>
              </w:rPr>
              <w:t>Thornhill Green Co-Operative Homes Inc.</w:t>
            </w:r>
            <w:r w:rsidR="00B143CA">
              <w:rPr>
                <w:rStyle w:val="SCCLsocChar"/>
                <w:sz w:val="20"/>
                <w:szCs w:val="20"/>
                <w:lang w:val="en-CA"/>
              </w:rPr>
              <w:t xml:space="preserve"> and</w:t>
            </w:r>
            <w:r w:rsidRPr="00AF11AE">
              <w:rPr>
                <w:rStyle w:val="SCCLsocChar"/>
                <w:sz w:val="20"/>
                <w:szCs w:val="20"/>
                <w:lang w:val="en-CA"/>
              </w:rPr>
              <w:t xml:space="preserve"> Co-Operative Housing Federation of Canada v. Regional Municipality of York</w:t>
            </w:r>
            <w:r w:rsidRPr="00AF11AE">
              <w:rPr>
                <w:sz w:val="20"/>
                <w:szCs w:val="20"/>
              </w:rPr>
              <w:t xml:space="preserve"> (Ont.) (Civil) (By Leave)</w:t>
            </w:r>
          </w:p>
          <w:p w:rsidR="00AF11AE" w:rsidRPr="00AF11AE" w:rsidRDefault="00AF11AE" w:rsidP="00473DF7">
            <w:pPr>
              <w:rPr>
                <w:sz w:val="20"/>
                <w:szCs w:val="20"/>
              </w:rPr>
            </w:pPr>
          </w:p>
        </w:tc>
      </w:tr>
      <w:tr w:rsidR="00AF11AE" w:rsidRPr="00AF11AE" w:rsidTr="00473DF7">
        <w:trPr>
          <w:cantSplit/>
        </w:trPr>
        <w:tc>
          <w:tcPr>
            <w:tcW w:w="1458" w:type="dxa"/>
          </w:tcPr>
          <w:p w:rsidR="00AF11AE" w:rsidRPr="00AF11AE" w:rsidRDefault="00AF11AE" w:rsidP="00473DF7">
            <w:pPr>
              <w:rPr>
                <w:sz w:val="20"/>
                <w:szCs w:val="20"/>
              </w:rPr>
            </w:pPr>
            <w:r w:rsidRPr="00AF11AE">
              <w:rPr>
                <w:sz w:val="20"/>
                <w:szCs w:val="20"/>
              </w:rPr>
              <w:t>Coram :</w:t>
            </w:r>
          </w:p>
        </w:tc>
        <w:tc>
          <w:tcPr>
            <w:tcW w:w="8118" w:type="dxa"/>
          </w:tcPr>
          <w:p w:rsidR="00AF11AE" w:rsidRPr="00AF11AE" w:rsidRDefault="00AF11AE" w:rsidP="00473DF7">
            <w:pPr>
              <w:rPr>
                <w:sz w:val="20"/>
                <w:szCs w:val="20"/>
              </w:rPr>
            </w:pPr>
            <w:r w:rsidRPr="00AF11AE">
              <w:rPr>
                <w:rStyle w:val="SCCCoramChar"/>
                <w:sz w:val="20"/>
                <w:szCs w:val="20"/>
                <w:lang w:val="en-CA"/>
              </w:rPr>
              <w:t>LeBel, Deschamps and Charron JJ.</w:t>
            </w:r>
          </w:p>
          <w:p w:rsidR="00AF11AE" w:rsidRPr="00AF11AE" w:rsidRDefault="00AF11AE" w:rsidP="00473DF7">
            <w:pPr>
              <w:rPr>
                <w:sz w:val="20"/>
                <w:szCs w:val="20"/>
                <w:u w:val="single"/>
              </w:rPr>
            </w:pPr>
          </w:p>
        </w:tc>
      </w:tr>
      <w:tr w:rsidR="00AF11AE" w:rsidRPr="00850008" w:rsidTr="00473DF7">
        <w:trPr>
          <w:cantSplit/>
        </w:trPr>
        <w:tc>
          <w:tcPr>
            <w:tcW w:w="9576" w:type="dxa"/>
            <w:gridSpan w:val="2"/>
          </w:tcPr>
          <w:p w:rsidR="00AF11AE" w:rsidRPr="00AF11AE" w:rsidRDefault="00AF11AE" w:rsidP="00473DF7">
            <w:pPr>
              <w:pStyle w:val="SCCShortJudgment"/>
              <w:rPr>
                <w:szCs w:val="20"/>
              </w:rPr>
            </w:pPr>
            <w:r w:rsidRPr="00AF11AE">
              <w:rPr>
                <w:szCs w:val="20"/>
              </w:rPr>
              <w:t>The application for leave to appeal from the judgment of the Court of Appeal for Ontario, Number C50945, 2010 ONCA 393, dated June 2, 2010, is dismissed with costs to the respondent Regional Municipality of York and to Mintz &amp; Partners Limited, in its capacity as court-appointed receiver and manager of Thornhill Green Co-Operative Homes Inc.</w:t>
            </w:r>
          </w:p>
          <w:p w:rsidR="00AF11AE" w:rsidRPr="00AF11AE" w:rsidRDefault="00AF11AE" w:rsidP="00473DF7">
            <w:pPr>
              <w:pStyle w:val="SCCShortJudgment"/>
              <w:ind w:firstLine="0"/>
              <w:rPr>
                <w:szCs w:val="20"/>
              </w:rPr>
            </w:pPr>
          </w:p>
          <w:p w:rsidR="00AF11AE" w:rsidRPr="00AF11AE" w:rsidRDefault="00AF11AE" w:rsidP="00AF11AE">
            <w:pPr>
              <w:pStyle w:val="SCCShortJudgment"/>
              <w:rPr>
                <w:szCs w:val="20"/>
                <w:lang w:val="fr-CA"/>
              </w:rPr>
            </w:pPr>
            <w:r w:rsidRPr="00AF11AE">
              <w:rPr>
                <w:szCs w:val="20"/>
                <w:lang w:val="fr-CA"/>
              </w:rPr>
              <w:t xml:space="preserve">La demande d’autorisation d’appel de l’arrêt de la Cour d’appel de l’Ontario, numéro C50945, 2010 ONCA 393, daté du 2 juin 2010, est rejetée avec dépens en faveur de l’intimée Regional Municipality of York et  en faveur de Mintz &amp; Partners Limited, in its capacity as court-appointed receiver and manager of Thornhill Green Co-Operative Homes Inc. </w:t>
            </w:r>
          </w:p>
        </w:tc>
      </w:tr>
    </w:tbl>
    <w:p w:rsidR="0026524B" w:rsidRDefault="0026524B" w:rsidP="0026524B">
      <w:pPr>
        <w:rPr>
          <w:sz w:val="20"/>
          <w:szCs w:val="20"/>
          <w:lang w:val="fr-CA"/>
        </w:rPr>
      </w:pPr>
    </w:p>
    <w:p w:rsidR="0026524B" w:rsidRPr="00E01ABF" w:rsidRDefault="0026524B" w:rsidP="0026524B">
      <w:pPr>
        <w:rPr>
          <w:sz w:val="20"/>
          <w:szCs w:val="20"/>
          <w:u w:val="single"/>
        </w:rPr>
      </w:pPr>
      <w:r w:rsidRPr="00E01ABF">
        <w:rPr>
          <w:sz w:val="20"/>
          <w:szCs w:val="20"/>
          <w:u w:val="single"/>
        </w:rPr>
        <w:t>CASE SUMMARY</w:t>
      </w:r>
    </w:p>
    <w:p w:rsidR="0026524B" w:rsidRDefault="0026524B" w:rsidP="0026524B">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C3754E" w:rsidRPr="005577B1" w:rsidTr="00D77551">
        <w:tc>
          <w:tcPr>
            <w:tcW w:w="5000" w:type="pct"/>
            <w:gridSpan w:val="3"/>
          </w:tcPr>
          <w:p w:rsidR="00C3754E" w:rsidRPr="005577B1" w:rsidRDefault="00C3754E" w:rsidP="00D77551">
            <w:pPr>
              <w:jc w:val="both"/>
              <w:rPr>
                <w:rFonts w:eastAsia="Calibri"/>
                <w:sz w:val="20"/>
              </w:rPr>
            </w:pPr>
            <w:r w:rsidRPr="005577B1">
              <w:rPr>
                <w:rFonts w:eastAsia="Calibri"/>
                <w:sz w:val="20"/>
              </w:rPr>
              <w:t xml:space="preserve">Bankruptcy and insolvency – Receiver – Receivership sale – Applicant housing co-op placed in receivership – Court approving sale of assets recommended by court-appointed receiver - Whether principles of </w:t>
            </w:r>
            <w:r w:rsidRPr="005577B1">
              <w:rPr>
                <w:rFonts w:eastAsia="Calibri"/>
                <w:i/>
                <w:sz w:val="20"/>
              </w:rPr>
              <w:t>Soundair</w:t>
            </w:r>
            <w:r w:rsidRPr="005577B1">
              <w:rPr>
                <w:rFonts w:eastAsia="Calibri"/>
                <w:sz w:val="20"/>
              </w:rPr>
              <w:t xml:space="preserve"> are properly applicable to a case of a receiver/manager appointed to address management issues in a non-profit housing co-operative – Weight court should give to desirability of preserving democratic participation rights and other housing rights of members of a “non-profit housing co-operative” - Whether it is appropriate to treat property of non-profit housing co-operatives as “phantom equity”.</w:t>
            </w:r>
          </w:p>
        </w:tc>
      </w:tr>
      <w:tr w:rsidR="00C3754E" w:rsidRPr="005577B1" w:rsidTr="00D77551">
        <w:tc>
          <w:tcPr>
            <w:tcW w:w="5000" w:type="pct"/>
            <w:gridSpan w:val="3"/>
          </w:tcPr>
          <w:p w:rsidR="00C3754E" w:rsidRPr="005577B1" w:rsidRDefault="00C3754E" w:rsidP="00D77551">
            <w:pPr>
              <w:jc w:val="both"/>
              <w:rPr>
                <w:rFonts w:eastAsia="Calibri"/>
                <w:sz w:val="20"/>
              </w:rPr>
            </w:pPr>
          </w:p>
        </w:tc>
      </w:tr>
      <w:tr w:rsidR="00C3754E" w:rsidRPr="005577B1" w:rsidTr="00D77551">
        <w:tc>
          <w:tcPr>
            <w:tcW w:w="5000" w:type="pct"/>
            <w:gridSpan w:val="3"/>
          </w:tcPr>
          <w:p w:rsidR="00C3754E" w:rsidRPr="005577B1" w:rsidRDefault="00C3754E" w:rsidP="00D77551">
            <w:pPr>
              <w:jc w:val="both"/>
              <w:rPr>
                <w:rFonts w:eastAsia="Calibri"/>
                <w:sz w:val="20"/>
              </w:rPr>
            </w:pPr>
            <w:r w:rsidRPr="005577B1">
              <w:rPr>
                <w:rFonts w:eastAsia="Calibri"/>
                <w:sz w:val="20"/>
              </w:rPr>
              <w:t xml:space="preserve">Thornhill Green Co-operative Homes Inc. is a co-operative corporation established to provide affordable housing.  As </w:t>
            </w:r>
            <w:r w:rsidRPr="005577B1">
              <w:rPr>
                <w:rFonts w:eastAsia="Calibri"/>
                <w:sz w:val="20"/>
              </w:rPr>
              <w:lastRenderedPageBreak/>
              <w:t>such, it is regulated and governed by provincial legislation pertaining both to co-operative housing and social assistance housing.  The Regional Municipality of York (the Region) is responsible under that legislation for supervising individual co-operatives and other social housing organizations in the region.</w:t>
            </w:r>
          </w:p>
          <w:p w:rsidR="00C3754E" w:rsidRPr="005577B1" w:rsidRDefault="00C3754E" w:rsidP="00D77551">
            <w:pPr>
              <w:jc w:val="both"/>
              <w:rPr>
                <w:rFonts w:eastAsia="Calibri"/>
                <w:sz w:val="20"/>
              </w:rPr>
            </w:pPr>
          </w:p>
          <w:p w:rsidR="00C3754E" w:rsidRPr="005577B1" w:rsidRDefault="00C3754E" w:rsidP="00D77551">
            <w:pPr>
              <w:jc w:val="both"/>
              <w:rPr>
                <w:rFonts w:eastAsia="Calibri"/>
                <w:sz w:val="20"/>
              </w:rPr>
            </w:pPr>
            <w:r w:rsidRPr="005577B1">
              <w:rPr>
                <w:rFonts w:eastAsia="Calibri"/>
                <w:sz w:val="20"/>
              </w:rPr>
              <w:t xml:space="preserve">Because of various financial difficulties it had encountered, Thornhill Green was placed in receivership in 2006 at the instance of the Region.  Mintz &amp; Partners Ltd. was appointed receiver and manager and ultimately recommended a sale to Housing York Inc., a body controlled by the Region.  </w:t>
            </w:r>
          </w:p>
          <w:p w:rsidR="00C3754E" w:rsidRPr="005577B1" w:rsidRDefault="00C3754E" w:rsidP="00D77551">
            <w:pPr>
              <w:jc w:val="both"/>
              <w:rPr>
                <w:rFonts w:eastAsia="Calibri"/>
                <w:sz w:val="20"/>
              </w:rPr>
            </w:pPr>
          </w:p>
        </w:tc>
      </w:tr>
      <w:tr w:rsidR="00C3754E" w:rsidRPr="005577B1" w:rsidTr="00D77551">
        <w:tc>
          <w:tcPr>
            <w:tcW w:w="2427" w:type="pct"/>
          </w:tcPr>
          <w:p w:rsidR="00C3754E" w:rsidRPr="005577B1" w:rsidRDefault="00C3754E" w:rsidP="00D77551">
            <w:pPr>
              <w:jc w:val="both"/>
              <w:rPr>
                <w:rFonts w:eastAsia="Calibri"/>
                <w:sz w:val="20"/>
              </w:rPr>
            </w:pPr>
            <w:r w:rsidRPr="005577B1">
              <w:rPr>
                <w:rFonts w:eastAsia="Calibri"/>
                <w:sz w:val="20"/>
              </w:rPr>
              <w:lastRenderedPageBreak/>
              <w:t>July 16, 2009</w:t>
            </w:r>
          </w:p>
          <w:p w:rsidR="00C3754E" w:rsidRPr="005577B1" w:rsidRDefault="00C3754E" w:rsidP="00D77551">
            <w:pPr>
              <w:jc w:val="both"/>
              <w:rPr>
                <w:rFonts w:eastAsia="Calibri"/>
                <w:sz w:val="20"/>
              </w:rPr>
            </w:pPr>
            <w:r w:rsidRPr="005577B1">
              <w:rPr>
                <w:rFonts w:eastAsia="Calibri"/>
                <w:sz w:val="20"/>
              </w:rPr>
              <w:t>Ontario Superior Court of Justice</w:t>
            </w:r>
          </w:p>
          <w:p w:rsidR="00C3754E" w:rsidRPr="005577B1" w:rsidRDefault="00C3754E" w:rsidP="00D77551">
            <w:pPr>
              <w:jc w:val="both"/>
              <w:rPr>
                <w:rFonts w:eastAsia="Calibri"/>
                <w:sz w:val="20"/>
              </w:rPr>
            </w:pPr>
            <w:r w:rsidRPr="005577B1">
              <w:rPr>
                <w:rFonts w:eastAsia="Calibri"/>
                <w:sz w:val="20"/>
              </w:rPr>
              <w:t>(Morawetz J.)</w:t>
            </w:r>
          </w:p>
          <w:p w:rsidR="00C3754E" w:rsidRPr="005577B1" w:rsidRDefault="00C3754E" w:rsidP="00D77551">
            <w:pPr>
              <w:jc w:val="both"/>
              <w:rPr>
                <w:rFonts w:eastAsia="Calibri"/>
                <w:sz w:val="20"/>
              </w:rPr>
            </w:pPr>
          </w:p>
        </w:tc>
        <w:tc>
          <w:tcPr>
            <w:tcW w:w="243" w:type="pct"/>
          </w:tcPr>
          <w:p w:rsidR="00C3754E" w:rsidRDefault="00C3754E" w:rsidP="00D77551">
            <w:pPr>
              <w:jc w:val="both"/>
              <w:rPr>
                <w:rFonts w:eastAsia="Calibri"/>
                <w:sz w:val="20"/>
              </w:rPr>
            </w:pPr>
          </w:p>
          <w:p w:rsidR="005617B9" w:rsidRDefault="005617B9" w:rsidP="00D77551">
            <w:pPr>
              <w:jc w:val="both"/>
              <w:rPr>
                <w:rFonts w:eastAsia="Calibri"/>
                <w:sz w:val="20"/>
              </w:rPr>
            </w:pPr>
          </w:p>
          <w:p w:rsidR="005617B9" w:rsidRDefault="005617B9" w:rsidP="00D77551">
            <w:pPr>
              <w:jc w:val="both"/>
              <w:rPr>
                <w:rFonts w:eastAsia="Calibri"/>
                <w:sz w:val="20"/>
              </w:rPr>
            </w:pPr>
          </w:p>
          <w:p w:rsidR="005617B9" w:rsidRDefault="005617B9" w:rsidP="00D77551">
            <w:pPr>
              <w:jc w:val="both"/>
              <w:rPr>
                <w:rFonts w:eastAsia="Calibri"/>
                <w:sz w:val="20"/>
              </w:rPr>
            </w:pPr>
          </w:p>
          <w:p w:rsidR="005617B9" w:rsidRPr="005577B1" w:rsidRDefault="005617B9" w:rsidP="00D77551">
            <w:pPr>
              <w:jc w:val="both"/>
              <w:rPr>
                <w:rFonts w:eastAsia="Calibri"/>
                <w:sz w:val="20"/>
              </w:rPr>
            </w:pPr>
          </w:p>
        </w:tc>
        <w:tc>
          <w:tcPr>
            <w:tcW w:w="2330" w:type="pct"/>
          </w:tcPr>
          <w:p w:rsidR="00C3754E" w:rsidRPr="005577B1" w:rsidRDefault="00C3754E" w:rsidP="00D77551">
            <w:pPr>
              <w:jc w:val="both"/>
              <w:rPr>
                <w:rFonts w:eastAsia="Calibri"/>
                <w:sz w:val="20"/>
              </w:rPr>
            </w:pPr>
            <w:r w:rsidRPr="005577B1">
              <w:rPr>
                <w:rFonts w:eastAsia="Calibri"/>
                <w:sz w:val="20"/>
              </w:rPr>
              <w:t>Motion by Receiver for order approving transaction of purchase and sale granted; Cross-motion by Thornhill Green to remove power of Receiver to sell property dismissed</w:t>
            </w:r>
          </w:p>
        </w:tc>
      </w:tr>
      <w:tr w:rsidR="00C3754E" w:rsidRPr="005577B1" w:rsidTr="00D77551">
        <w:tc>
          <w:tcPr>
            <w:tcW w:w="2427" w:type="pct"/>
          </w:tcPr>
          <w:p w:rsidR="00C3754E" w:rsidRPr="005577B1" w:rsidRDefault="00C3754E" w:rsidP="00D77551">
            <w:pPr>
              <w:jc w:val="both"/>
              <w:rPr>
                <w:rFonts w:eastAsia="Calibri"/>
                <w:sz w:val="20"/>
              </w:rPr>
            </w:pPr>
            <w:r w:rsidRPr="005577B1">
              <w:rPr>
                <w:rFonts w:eastAsia="Calibri"/>
                <w:sz w:val="20"/>
              </w:rPr>
              <w:t>June 2, 2010</w:t>
            </w:r>
          </w:p>
          <w:p w:rsidR="00C3754E" w:rsidRPr="005577B1" w:rsidRDefault="00C3754E" w:rsidP="00D77551">
            <w:pPr>
              <w:jc w:val="both"/>
              <w:rPr>
                <w:rFonts w:eastAsia="Calibri"/>
                <w:sz w:val="20"/>
              </w:rPr>
            </w:pPr>
            <w:r w:rsidRPr="005577B1">
              <w:rPr>
                <w:rFonts w:eastAsia="Calibri"/>
                <w:sz w:val="20"/>
              </w:rPr>
              <w:t>Court of Appeal for Ontario</w:t>
            </w:r>
          </w:p>
          <w:p w:rsidR="00C3754E" w:rsidRPr="005577B1" w:rsidRDefault="00C3754E" w:rsidP="00D77551">
            <w:pPr>
              <w:jc w:val="both"/>
              <w:rPr>
                <w:rFonts w:eastAsia="Calibri"/>
                <w:sz w:val="20"/>
              </w:rPr>
            </w:pPr>
            <w:r w:rsidRPr="005577B1">
              <w:rPr>
                <w:rFonts w:eastAsia="Calibri"/>
                <w:sz w:val="20"/>
              </w:rPr>
              <w:t>(Weiler , Blair and Rouleau JJ.A.)</w:t>
            </w:r>
          </w:p>
          <w:p w:rsidR="00C3754E" w:rsidRPr="005577B1" w:rsidRDefault="00C3754E" w:rsidP="005617B9">
            <w:pPr>
              <w:jc w:val="both"/>
              <w:rPr>
                <w:rFonts w:eastAsia="Calibri"/>
                <w:sz w:val="20"/>
              </w:rPr>
            </w:pPr>
            <w:r w:rsidRPr="005577B1">
              <w:rPr>
                <w:rFonts w:eastAsia="Calibri"/>
                <w:sz w:val="20"/>
              </w:rPr>
              <w:t>Neutral citation:  2010 ONCA 393</w:t>
            </w:r>
          </w:p>
        </w:tc>
        <w:tc>
          <w:tcPr>
            <w:tcW w:w="243" w:type="pct"/>
          </w:tcPr>
          <w:p w:rsidR="00C3754E" w:rsidRDefault="00C3754E" w:rsidP="00D77551">
            <w:pPr>
              <w:jc w:val="both"/>
              <w:rPr>
                <w:rFonts w:eastAsia="Calibri"/>
                <w:sz w:val="20"/>
              </w:rPr>
            </w:pPr>
          </w:p>
          <w:p w:rsidR="005617B9" w:rsidRDefault="005617B9" w:rsidP="00D77551">
            <w:pPr>
              <w:jc w:val="both"/>
              <w:rPr>
                <w:rFonts w:eastAsia="Calibri"/>
                <w:sz w:val="20"/>
              </w:rPr>
            </w:pPr>
          </w:p>
          <w:p w:rsidR="005617B9" w:rsidRDefault="005617B9" w:rsidP="00D77551">
            <w:pPr>
              <w:jc w:val="both"/>
              <w:rPr>
                <w:rFonts w:eastAsia="Calibri"/>
                <w:sz w:val="20"/>
              </w:rPr>
            </w:pPr>
          </w:p>
          <w:p w:rsidR="005617B9" w:rsidRDefault="005617B9" w:rsidP="00D77551">
            <w:pPr>
              <w:jc w:val="both"/>
              <w:rPr>
                <w:rFonts w:eastAsia="Calibri"/>
                <w:sz w:val="20"/>
              </w:rPr>
            </w:pPr>
          </w:p>
          <w:p w:rsidR="005617B9" w:rsidRPr="005577B1" w:rsidRDefault="005617B9" w:rsidP="00D77551">
            <w:pPr>
              <w:jc w:val="both"/>
              <w:rPr>
                <w:rFonts w:eastAsia="Calibri"/>
                <w:sz w:val="20"/>
              </w:rPr>
            </w:pPr>
          </w:p>
        </w:tc>
        <w:tc>
          <w:tcPr>
            <w:tcW w:w="2330" w:type="pct"/>
          </w:tcPr>
          <w:p w:rsidR="00C3754E" w:rsidRPr="005577B1" w:rsidRDefault="00C3754E" w:rsidP="00D77551">
            <w:pPr>
              <w:jc w:val="both"/>
              <w:rPr>
                <w:rFonts w:eastAsia="Calibri"/>
                <w:sz w:val="20"/>
              </w:rPr>
            </w:pPr>
            <w:r w:rsidRPr="005577B1">
              <w:rPr>
                <w:rFonts w:eastAsia="Calibri"/>
                <w:sz w:val="20"/>
              </w:rPr>
              <w:t>Appeal dismissed</w:t>
            </w:r>
          </w:p>
          <w:p w:rsidR="00C3754E" w:rsidRPr="005577B1" w:rsidRDefault="00C3754E" w:rsidP="00D77551">
            <w:pPr>
              <w:jc w:val="both"/>
              <w:rPr>
                <w:rFonts w:eastAsia="Calibri"/>
                <w:sz w:val="20"/>
              </w:rPr>
            </w:pPr>
          </w:p>
        </w:tc>
      </w:tr>
      <w:tr w:rsidR="00C3754E" w:rsidRPr="005577B1" w:rsidTr="00D77551">
        <w:tc>
          <w:tcPr>
            <w:tcW w:w="2427" w:type="pct"/>
          </w:tcPr>
          <w:p w:rsidR="00C3754E" w:rsidRPr="005577B1" w:rsidRDefault="00C3754E" w:rsidP="00D77551">
            <w:pPr>
              <w:jc w:val="both"/>
              <w:rPr>
                <w:rFonts w:eastAsia="Calibri"/>
                <w:sz w:val="20"/>
              </w:rPr>
            </w:pPr>
            <w:r w:rsidRPr="005577B1">
              <w:rPr>
                <w:rFonts w:eastAsia="Calibri"/>
                <w:sz w:val="20"/>
              </w:rPr>
              <w:t>September 1, 2010</w:t>
            </w:r>
          </w:p>
          <w:p w:rsidR="00C3754E" w:rsidRPr="005577B1" w:rsidRDefault="00C3754E" w:rsidP="00D77551">
            <w:pPr>
              <w:jc w:val="both"/>
              <w:rPr>
                <w:rFonts w:eastAsia="Calibri"/>
                <w:sz w:val="20"/>
              </w:rPr>
            </w:pPr>
            <w:r w:rsidRPr="005577B1">
              <w:rPr>
                <w:rFonts w:eastAsia="Calibri"/>
                <w:sz w:val="20"/>
              </w:rPr>
              <w:t>Supreme Court of Canada</w:t>
            </w:r>
          </w:p>
        </w:tc>
        <w:tc>
          <w:tcPr>
            <w:tcW w:w="243" w:type="pct"/>
          </w:tcPr>
          <w:p w:rsidR="00C3754E" w:rsidRPr="005577B1" w:rsidRDefault="00C3754E" w:rsidP="00D77551">
            <w:pPr>
              <w:jc w:val="both"/>
              <w:rPr>
                <w:rFonts w:eastAsia="Calibri"/>
                <w:sz w:val="20"/>
              </w:rPr>
            </w:pPr>
          </w:p>
        </w:tc>
        <w:tc>
          <w:tcPr>
            <w:tcW w:w="2330" w:type="pct"/>
          </w:tcPr>
          <w:p w:rsidR="00C3754E" w:rsidRPr="005577B1" w:rsidRDefault="00C3754E" w:rsidP="00D77551">
            <w:pPr>
              <w:jc w:val="both"/>
              <w:rPr>
                <w:rFonts w:eastAsia="Calibri"/>
                <w:sz w:val="20"/>
              </w:rPr>
            </w:pPr>
            <w:r w:rsidRPr="005577B1">
              <w:rPr>
                <w:rFonts w:eastAsia="Calibri"/>
                <w:sz w:val="20"/>
              </w:rPr>
              <w:t>Application for leave to appeal filed</w:t>
            </w:r>
          </w:p>
          <w:p w:rsidR="00C3754E" w:rsidRPr="005577B1" w:rsidRDefault="00C3754E" w:rsidP="00D77551">
            <w:pPr>
              <w:jc w:val="both"/>
              <w:rPr>
                <w:rFonts w:eastAsia="Calibri"/>
                <w:sz w:val="20"/>
              </w:rPr>
            </w:pPr>
          </w:p>
        </w:tc>
      </w:tr>
    </w:tbl>
    <w:p w:rsidR="0026524B" w:rsidRPr="00E01ABF" w:rsidRDefault="0026524B" w:rsidP="0026524B">
      <w:pPr>
        <w:rPr>
          <w:sz w:val="20"/>
          <w:szCs w:val="20"/>
        </w:rPr>
      </w:pPr>
    </w:p>
    <w:p w:rsidR="0026524B" w:rsidRDefault="00D56013" w:rsidP="0026524B">
      <w:pPr>
        <w:rPr>
          <w:sz w:val="20"/>
          <w:szCs w:val="20"/>
          <w:lang w:val="fr-CA"/>
        </w:rPr>
      </w:pPr>
      <w:r w:rsidRPr="00D56013">
        <w:rPr>
          <w:sz w:val="20"/>
          <w:szCs w:val="20"/>
          <w:lang w:val="fr-CA"/>
        </w:rPr>
        <w:pict>
          <v:rect id="_x0000_i1072" style="width:2in;height:1pt" o:hrpct="0" o:hralign="center" o:hrstd="t" o:hrnoshade="t" o:hr="t" fillcolor="black [3213]" stroked="f"/>
        </w:pict>
      </w:r>
    </w:p>
    <w:p w:rsidR="00B143CA" w:rsidRPr="00E01ABF" w:rsidRDefault="00B143CA" w:rsidP="0026524B">
      <w:pPr>
        <w:rPr>
          <w:sz w:val="20"/>
          <w:szCs w:val="20"/>
        </w:rPr>
      </w:pPr>
    </w:p>
    <w:p w:rsidR="0026524B" w:rsidRPr="00E01ABF" w:rsidRDefault="0026524B" w:rsidP="0026524B">
      <w:pPr>
        <w:rPr>
          <w:sz w:val="20"/>
          <w:szCs w:val="20"/>
          <w:u w:val="single"/>
        </w:rPr>
      </w:pPr>
      <w:r w:rsidRPr="00E01ABF">
        <w:rPr>
          <w:sz w:val="20"/>
          <w:szCs w:val="20"/>
          <w:u w:val="single"/>
        </w:rPr>
        <w:t>RÉSUMÉ DE L’AFFAIRE</w:t>
      </w:r>
    </w:p>
    <w:p w:rsidR="0026524B" w:rsidRDefault="0026524B" w:rsidP="0026524B">
      <w:pPr>
        <w:rPr>
          <w:sz w:val="20"/>
          <w:szCs w:val="20"/>
        </w:rPr>
      </w:pPr>
    </w:p>
    <w:tbl>
      <w:tblPr>
        <w:tblW w:w="4952" w:type="pct"/>
        <w:tblInd w:w="2" w:type="dxa"/>
        <w:tblLayout w:type="fixed"/>
        <w:tblCellMar>
          <w:left w:w="0" w:type="dxa"/>
          <w:bottom w:w="99" w:type="dxa"/>
          <w:right w:w="0" w:type="dxa"/>
        </w:tblCellMar>
        <w:tblLook w:val="00A0"/>
      </w:tblPr>
      <w:tblGrid>
        <w:gridCol w:w="4624"/>
        <w:gridCol w:w="463"/>
        <w:gridCol w:w="4440"/>
      </w:tblGrid>
      <w:tr w:rsidR="00C3754E" w:rsidRPr="00850008" w:rsidTr="00D77551">
        <w:tc>
          <w:tcPr>
            <w:tcW w:w="5000" w:type="pct"/>
            <w:gridSpan w:val="3"/>
          </w:tcPr>
          <w:p w:rsidR="00C3754E" w:rsidRDefault="00C3754E" w:rsidP="00D77551">
            <w:pPr>
              <w:jc w:val="both"/>
              <w:rPr>
                <w:rFonts w:eastAsia="Calibri"/>
                <w:sz w:val="20"/>
                <w:lang w:val="fr-CA"/>
              </w:rPr>
            </w:pPr>
            <w:r w:rsidRPr="005577B1">
              <w:rPr>
                <w:rFonts w:eastAsia="Calibri"/>
                <w:sz w:val="20"/>
                <w:lang w:val="fr-CA"/>
              </w:rPr>
              <w:t xml:space="preserve">Faillite et insolvabilité – Séquestre – Vente de séquestre – La coopérative d’habitation demanderesse a été mise sous séquestre – Le tribunal a homologué la vente des biens recommandée par le séquestre judiciaire – Les principes de l’arrêt </w:t>
            </w:r>
            <w:r w:rsidRPr="005577B1">
              <w:rPr>
                <w:rFonts w:eastAsia="Calibri"/>
                <w:i/>
                <w:iCs/>
                <w:sz w:val="20"/>
                <w:lang w:val="fr-CA"/>
              </w:rPr>
              <w:t>Soundair</w:t>
            </w:r>
            <w:r w:rsidRPr="005577B1">
              <w:rPr>
                <w:rFonts w:eastAsia="Calibri"/>
                <w:sz w:val="20"/>
                <w:lang w:val="fr-CA"/>
              </w:rPr>
              <w:t xml:space="preserve"> s’appliquent-ils dans une affaire où un séquestre/gestionnaire a été nommé pour s’occuper des questions de gestion dans une coopérative d’habitation sans but lucratif? – Quelle importance le tribunal doit-il accorder au caractère souhaitable de préserver les droits de participation démocratique et d’autres droits relatifs au logement des membres d’une « coopérative d’habitation sans but lucratif »? – Convient-il de traiter les biens des coopératives d’habitation sans but lucratif comme des [</w:t>
            </w:r>
            <w:r w:rsidRPr="005577B1">
              <w:rPr>
                <w:rFonts w:eastAsia="Calibri"/>
                <w:smallCaps/>
                <w:sz w:val="20"/>
                <w:lang w:val="fr-CA"/>
              </w:rPr>
              <w:t>traduction</w:t>
            </w:r>
            <w:r w:rsidRPr="005577B1">
              <w:rPr>
                <w:rFonts w:eastAsia="Calibri"/>
                <w:sz w:val="20"/>
                <w:lang w:val="fr-CA"/>
              </w:rPr>
              <w:t>] « biens propres fictifs »?</w:t>
            </w:r>
          </w:p>
          <w:p w:rsidR="00F838C3" w:rsidRPr="005577B1" w:rsidRDefault="00F838C3" w:rsidP="00D77551">
            <w:pPr>
              <w:jc w:val="both"/>
              <w:rPr>
                <w:rFonts w:eastAsia="Calibri"/>
                <w:sz w:val="20"/>
                <w:lang w:val="fr-CA"/>
              </w:rPr>
            </w:pPr>
          </w:p>
        </w:tc>
      </w:tr>
      <w:tr w:rsidR="00C3754E" w:rsidRPr="00850008" w:rsidTr="00D77551">
        <w:tc>
          <w:tcPr>
            <w:tcW w:w="5000" w:type="pct"/>
            <w:gridSpan w:val="3"/>
          </w:tcPr>
          <w:p w:rsidR="00C3754E" w:rsidRPr="005577B1" w:rsidRDefault="00C3754E" w:rsidP="00D77551">
            <w:pPr>
              <w:jc w:val="both"/>
              <w:rPr>
                <w:rFonts w:eastAsia="Calibri"/>
                <w:sz w:val="20"/>
                <w:lang w:val="fr-CA"/>
              </w:rPr>
            </w:pPr>
            <w:r w:rsidRPr="005577B1">
              <w:rPr>
                <w:rFonts w:eastAsia="Calibri"/>
                <w:sz w:val="20"/>
                <w:lang w:val="fr-CA"/>
              </w:rPr>
              <w:t>Thornhill Green Co-operative Homes Inc. est une coopérative constituée en personne morale pour fournir des logements abordables. Comme telle, elle est régie par les lois provinciales relatives aux coopératives d’habitation et au logement social. La municipalité régionale de York (la Région) est chargée, en vertu de ces lois, de superviser les coopératives et d’autres organismes de logement social dans la région.</w:t>
            </w:r>
          </w:p>
          <w:p w:rsidR="00C3754E" w:rsidRPr="005577B1" w:rsidRDefault="00C3754E" w:rsidP="00D77551">
            <w:pPr>
              <w:jc w:val="both"/>
              <w:rPr>
                <w:rFonts w:eastAsia="Calibri"/>
                <w:sz w:val="20"/>
                <w:lang w:val="fr-CA"/>
              </w:rPr>
            </w:pPr>
          </w:p>
          <w:p w:rsidR="00C3754E" w:rsidRPr="005577B1" w:rsidRDefault="00C3754E" w:rsidP="00D77551">
            <w:pPr>
              <w:jc w:val="both"/>
              <w:rPr>
                <w:rFonts w:eastAsia="Calibri"/>
                <w:sz w:val="20"/>
                <w:lang w:val="fr-CA"/>
              </w:rPr>
            </w:pPr>
            <w:r w:rsidRPr="005577B1">
              <w:rPr>
                <w:rFonts w:eastAsia="Calibri"/>
                <w:sz w:val="20"/>
                <w:lang w:val="fr-CA"/>
              </w:rPr>
              <w:t xml:space="preserve">En raison de diverses difficultés financières qu’elle a connues, Thornhill Green a été mise sous séquestre en 2006 à la demande de la Région. Mintz &amp; Partners Ltd. a été nommée séquestre et gestionnaire a fini par recommander la vente à Housing York Inc., un organisme contrôlé par la Région.  </w:t>
            </w:r>
          </w:p>
          <w:p w:rsidR="00C3754E" w:rsidRPr="005577B1" w:rsidRDefault="00C3754E" w:rsidP="00D77551">
            <w:pPr>
              <w:jc w:val="both"/>
              <w:rPr>
                <w:rFonts w:eastAsia="Calibri"/>
                <w:sz w:val="20"/>
                <w:lang w:val="fr-CA"/>
              </w:rPr>
            </w:pPr>
          </w:p>
        </w:tc>
      </w:tr>
      <w:tr w:rsidR="00C3754E" w:rsidRPr="00850008" w:rsidTr="00D77551">
        <w:tc>
          <w:tcPr>
            <w:tcW w:w="2427" w:type="pct"/>
          </w:tcPr>
          <w:p w:rsidR="00C3754E" w:rsidRPr="005577B1" w:rsidRDefault="00C3754E" w:rsidP="00D77551">
            <w:pPr>
              <w:jc w:val="both"/>
              <w:rPr>
                <w:rFonts w:eastAsia="Calibri"/>
                <w:sz w:val="20"/>
                <w:lang w:val="fr-CA"/>
              </w:rPr>
            </w:pPr>
            <w:r w:rsidRPr="005577B1">
              <w:rPr>
                <w:rFonts w:eastAsia="Calibri"/>
                <w:sz w:val="20"/>
                <w:lang w:val="fr-CA"/>
              </w:rPr>
              <w:t>16 juillet 2009</w:t>
            </w:r>
          </w:p>
          <w:p w:rsidR="00C3754E" w:rsidRPr="005577B1" w:rsidRDefault="00C3754E" w:rsidP="00D77551">
            <w:pPr>
              <w:jc w:val="both"/>
              <w:rPr>
                <w:rFonts w:eastAsia="Calibri"/>
                <w:sz w:val="20"/>
                <w:lang w:val="fr-CA"/>
              </w:rPr>
            </w:pPr>
            <w:r w:rsidRPr="005577B1">
              <w:rPr>
                <w:rFonts w:eastAsia="Calibri"/>
                <w:sz w:val="20"/>
                <w:lang w:val="fr-CA"/>
              </w:rPr>
              <w:t>Cour supérieure de justice de l’Ontario</w:t>
            </w:r>
          </w:p>
          <w:p w:rsidR="00C3754E" w:rsidRPr="005577B1" w:rsidRDefault="00C3754E" w:rsidP="00D77551">
            <w:pPr>
              <w:jc w:val="both"/>
              <w:rPr>
                <w:rFonts w:eastAsia="Calibri"/>
                <w:sz w:val="20"/>
                <w:lang w:val="fr-CA"/>
              </w:rPr>
            </w:pPr>
            <w:r w:rsidRPr="005577B1">
              <w:rPr>
                <w:rFonts w:eastAsia="Calibri"/>
                <w:sz w:val="20"/>
                <w:lang w:val="fr-CA"/>
              </w:rPr>
              <w:t>(Juge Morawetz)</w:t>
            </w:r>
          </w:p>
          <w:p w:rsidR="00C3754E" w:rsidRPr="005577B1" w:rsidRDefault="00C3754E" w:rsidP="00D77551">
            <w:pPr>
              <w:jc w:val="both"/>
              <w:rPr>
                <w:rFonts w:eastAsia="Calibri"/>
                <w:sz w:val="20"/>
                <w:lang w:val="fr-CA"/>
              </w:rPr>
            </w:pPr>
          </w:p>
        </w:tc>
        <w:tc>
          <w:tcPr>
            <w:tcW w:w="243" w:type="pct"/>
          </w:tcPr>
          <w:p w:rsidR="00C3754E" w:rsidRDefault="00C3754E" w:rsidP="00D77551">
            <w:pPr>
              <w:jc w:val="both"/>
              <w:rPr>
                <w:rFonts w:eastAsia="Calibri"/>
                <w:sz w:val="20"/>
                <w:lang w:val="fr-CA"/>
              </w:rPr>
            </w:pPr>
          </w:p>
          <w:p w:rsidR="005617B9" w:rsidRDefault="005617B9" w:rsidP="00D77551">
            <w:pPr>
              <w:jc w:val="both"/>
              <w:rPr>
                <w:rFonts w:eastAsia="Calibri"/>
                <w:sz w:val="20"/>
                <w:lang w:val="fr-CA"/>
              </w:rPr>
            </w:pPr>
          </w:p>
          <w:p w:rsidR="005617B9" w:rsidRDefault="005617B9" w:rsidP="00D77551">
            <w:pPr>
              <w:jc w:val="both"/>
              <w:rPr>
                <w:rFonts w:eastAsia="Calibri"/>
                <w:sz w:val="20"/>
                <w:lang w:val="fr-CA"/>
              </w:rPr>
            </w:pPr>
          </w:p>
          <w:p w:rsidR="005617B9" w:rsidRDefault="005617B9" w:rsidP="00D77551">
            <w:pPr>
              <w:jc w:val="both"/>
              <w:rPr>
                <w:rFonts w:eastAsia="Calibri"/>
                <w:sz w:val="20"/>
                <w:lang w:val="fr-CA"/>
              </w:rPr>
            </w:pPr>
          </w:p>
          <w:p w:rsidR="005617B9" w:rsidRPr="005577B1" w:rsidRDefault="005617B9" w:rsidP="00D77551">
            <w:pPr>
              <w:jc w:val="both"/>
              <w:rPr>
                <w:rFonts w:eastAsia="Calibri"/>
                <w:sz w:val="20"/>
                <w:lang w:val="fr-CA"/>
              </w:rPr>
            </w:pPr>
          </w:p>
        </w:tc>
        <w:tc>
          <w:tcPr>
            <w:tcW w:w="2330" w:type="pct"/>
          </w:tcPr>
          <w:p w:rsidR="00C3754E" w:rsidRPr="005577B1" w:rsidRDefault="00C3754E" w:rsidP="00D77551">
            <w:pPr>
              <w:jc w:val="both"/>
              <w:rPr>
                <w:rFonts w:eastAsia="Calibri"/>
                <w:sz w:val="20"/>
                <w:lang w:val="fr-CA"/>
              </w:rPr>
            </w:pPr>
            <w:r w:rsidRPr="005577B1">
              <w:rPr>
                <w:rFonts w:eastAsia="Calibri"/>
                <w:sz w:val="20"/>
                <w:lang w:val="fr-CA"/>
              </w:rPr>
              <w:t>Motion du séquestre en vue d’obtenir l’homologation de l’achat et la vente, accueillie; motion incidente de Thornhill Green en vue de retirer le pouvoir du séquestre de vendre les biens, rejetée</w:t>
            </w:r>
          </w:p>
        </w:tc>
      </w:tr>
      <w:tr w:rsidR="00C3754E" w:rsidRPr="005577B1" w:rsidTr="00D77551">
        <w:tc>
          <w:tcPr>
            <w:tcW w:w="2427" w:type="pct"/>
          </w:tcPr>
          <w:p w:rsidR="00C3754E" w:rsidRPr="005577B1" w:rsidRDefault="00C3754E" w:rsidP="00D77551">
            <w:pPr>
              <w:jc w:val="both"/>
              <w:rPr>
                <w:rFonts w:eastAsia="Calibri"/>
                <w:sz w:val="20"/>
                <w:lang w:val="fr-CA"/>
              </w:rPr>
            </w:pPr>
            <w:r w:rsidRPr="005577B1">
              <w:rPr>
                <w:rFonts w:eastAsia="Calibri"/>
                <w:sz w:val="20"/>
                <w:lang w:val="fr-CA"/>
              </w:rPr>
              <w:t>2 juin 2010</w:t>
            </w:r>
          </w:p>
          <w:p w:rsidR="00C3754E" w:rsidRPr="005577B1" w:rsidRDefault="00C3754E" w:rsidP="00D77551">
            <w:pPr>
              <w:jc w:val="both"/>
              <w:rPr>
                <w:rFonts w:eastAsia="Calibri"/>
                <w:sz w:val="20"/>
                <w:lang w:val="fr-CA"/>
              </w:rPr>
            </w:pPr>
            <w:r w:rsidRPr="005577B1">
              <w:rPr>
                <w:rFonts w:eastAsia="Calibri"/>
                <w:sz w:val="20"/>
                <w:lang w:val="fr-CA"/>
              </w:rPr>
              <w:t>Cour d’appel de l’Ontario</w:t>
            </w:r>
          </w:p>
          <w:p w:rsidR="00C3754E" w:rsidRPr="005577B1" w:rsidRDefault="00C3754E" w:rsidP="00D77551">
            <w:pPr>
              <w:jc w:val="both"/>
              <w:rPr>
                <w:rFonts w:eastAsia="Calibri"/>
                <w:sz w:val="20"/>
                <w:lang w:val="fr-CA"/>
              </w:rPr>
            </w:pPr>
            <w:r w:rsidRPr="005577B1">
              <w:rPr>
                <w:rFonts w:eastAsia="Calibri"/>
                <w:sz w:val="20"/>
                <w:lang w:val="fr-CA"/>
              </w:rPr>
              <w:t>(Juges Weiler, Blair et Rouleau)</w:t>
            </w:r>
          </w:p>
          <w:p w:rsidR="00C3754E" w:rsidRPr="005577B1" w:rsidRDefault="00C3754E" w:rsidP="005617B9">
            <w:pPr>
              <w:jc w:val="both"/>
              <w:rPr>
                <w:rFonts w:eastAsia="Calibri"/>
                <w:sz w:val="20"/>
                <w:lang w:val="fr-CA"/>
              </w:rPr>
            </w:pPr>
            <w:r w:rsidRPr="005577B1">
              <w:rPr>
                <w:rFonts w:eastAsia="Calibri"/>
                <w:sz w:val="20"/>
                <w:lang w:val="fr-CA"/>
              </w:rPr>
              <w:t>Référence neutre :  2010 ONCA 393</w:t>
            </w:r>
          </w:p>
        </w:tc>
        <w:tc>
          <w:tcPr>
            <w:tcW w:w="243" w:type="pct"/>
          </w:tcPr>
          <w:p w:rsidR="00C3754E" w:rsidRDefault="00C3754E" w:rsidP="00D77551">
            <w:pPr>
              <w:jc w:val="both"/>
              <w:rPr>
                <w:rFonts w:eastAsia="Calibri"/>
                <w:sz w:val="20"/>
                <w:lang w:val="fr-CA"/>
              </w:rPr>
            </w:pPr>
          </w:p>
          <w:p w:rsidR="005617B9" w:rsidRDefault="005617B9" w:rsidP="00D77551">
            <w:pPr>
              <w:jc w:val="both"/>
              <w:rPr>
                <w:rFonts w:eastAsia="Calibri"/>
                <w:sz w:val="20"/>
                <w:lang w:val="fr-CA"/>
              </w:rPr>
            </w:pPr>
          </w:p>
          <w:p w:rsidR="005617B9" w:rsidRDefault="005617B9" w:rsidP="00D77551">
            <w:pPr>
              <w:jc w:val="both"/>
              <w:rPr>
                <w:rFonts w:eastAsia="Calibri"/>
                <w:sz w:val="20"/>
                <w:lang w:val="fr-CA"/>
              </w:rPr>
            </w:pPr>
          </w:p>
          <w:p w:rsidR="005617B9" w:rsidRPr="005577B1" w:rsidRDefault="005617B9" w:rsidP="00D77551">
            <w:pPr>
              <w:jc w:val="both"/>
              <w:rPr>
                <w:rFonts w:eastAsia="Calibri"/>
                <w:sz w:val="20"/>
                <w:lang w:val="fr-CA"/>
              </w:rPr>
            </w:pPr>
          </w:p>
        </w:tc>
        <w:tc>
          <w:tcPr>
            <w:tcW w:w="2330" w:type="pct"/>
          </w:tcPr>
          <w:p w:rsidR="00C3754E" w:rsidRPr="005577B1" w:rsidRDefault="00C3754E" w:rsidP="00D77551">
            <w:pPr>
              <w:jc w:val="both"/>
              <w:rPr>
                <w:rFonts w:eastAsia="Calibri"/>
                <w:sz w:val="20"/>
                <w:lang w:val="fr-CA"/>
              </w:rPr>
            </w:pPr>
            <w:r w:rsidRPr="005577B1">
              <w:rPr>
                <w:rFonts w:eastAsia="Calibri"/>
                <w:sz w:val="20"/>
                <w:lang w:val="fr-CA"/>
              </w:rPr>
              <w:t>Appel rejeté</w:t>
            </w:r>
          </w:p>
          <w:p w:rsidR="00C3754E" w:rsidRPr="005577B1" w:rsidRDefault="00C3754E" w:rsidP="00D77551">
            <w:pPr>
              <w:jc w:val="both"/>
              <w:rPr>
                <w:rFonts w:eastAsia="Calibri"/>
                <w:sz w:val="20"/>
                <w:lang w:val="fr-CA"/>
              </w:rPr>
            </w:pPr>
          </w:p>
        </w:tc>
      </w:tr>
      <w:tr w:rsidR="00C3754E" w:rsidRPr="005577B1" w:rsidTr="00D77551">
        <w:tc>
          <w:tcPr>
            <w:tcW w:w="2427" w:type="pct"/>
          </w:tcPr>
          <w:p w:rsidR="00C3754E" w:rsidRPr="005577B1" w:rsidRDefault="00C3754E" w:rsidP="00D77551">
            <w:pPr>
              <w:jc w:val="both"/>
              <w:rPr>
                <w:rFonts w:eastAsia="Calibri"/>
                <w:sz w:val="20"/>
                <w:lang w:val="fr-CA"/>
              </w:rPr>
            </w:pPr>
            <w:r w:rsidRPr="005577B1">
              <w:rPr>
                <w:rFonts w:eastAsia="Calibri"/>
                <w:sz w:val="20"/>
                <w:lang w:val="fr-CA"/>
              </w:rPr>
              <w:lastRenderedPageBreak/>
              <w:t>1</w:t>
            </w:r>
            <w:r w:rsidRPr="005577B1">
              <w:rPr>
                <w:rFonts w:eastAsia="Calibri"/>
                <w:sz w:val="20"/>
                <w:vertAlign w:val="superscript"/>
                <w:lang w:val="fr-CA"/>
              </w:rPr>
              <w:t>er</w:t>
            </w:r>
            <w:r w:rsidRPr="005577B1">
              <w:rPr>
                <w:rFonts w:eastAsia="Calibri"/>
                <w:sz w:val="20"/>
                <w:lang w:val="fr-CA"/>
              </w:rPr>
              <w:t xml:space="preserve"> septembre 2010</w:t>
            </w:r>
          </w:p>
          <w:p w:rsidR="00C3754E" w:rsidRPr="005577B1" w:rsidRDefault="00C3754E" w:rsidP="00D77551">
            <w:pPr>
              <w:jc w:val="both"/>
              <w:rPr>
                <w:rFonts w:eastAsia="Calibri"/>
                <w:sz w:val="20"/>
                <w:lang w:val="fr-CA"/>
              </w:rPr>
            </w:pPr>
            <w:r w:rsidRPr="005577B1">
              <w:rPr>
                <w:rFonts w:eastAsia="Calibri"/>
                <w:sz w:val="20"/>
                <w:lang w:val="fr-CA"/>
              </w:rPr>
              <w:t>Cour suprême du Canada</w:t>
            </w:r>
          </w:p>
        </w:tc>
        <w:tc>
          <w:tcPr>
            <w:tcW w:w="243" w:type="pct"/>
          </w:tcPr>
          <w:p w:rsidR="00C3754E" w:rsidRPr="005577B1" w:rsidRDefault="00C3754E" w:rsidP="00D77551">
            <w:pPr>
              <w:jc w:val="both"/>
              <w:rPr>
                <w:rFonts w:eastAsia="Calibri"/>
                <w:sz w:val="20"/>
                <w:lang w:val="fr-CA"/>
              </w:rPr>
            </w:pPr>
          </w:p>
        </w:tc>
        <w:tc>
          <w:tcPr>
            <w:tcW w:w="2330" w:type="pct"/>
          </w:tcPr>
          <w:p w:rsidR="00C3754E" w:rsidRPr="005577B1" w:rsidRDefault="00C3754E" w:rsidP="00D77551">
            <w:pPr>
              <w:jc w:val="both"/>
              <w:rPr>
                <w:rFonts w:eastAsia="Calibri"/>
                <w:sz w:val="20"/>
                <w:lang w:val="fr-CA"/>
              </w:rPr>
            </w:pPr>
            <w:r w:rsidRPr="005577B1">
              <w:rPr>
                <w:rFonts w:eastAsia="Calibri"/>
                <w:sz w:val="20"/>
                <w:lang w:val="fr-CA"/>
              </w:rPr>
              <w:t>Demande d’autorisation d’appel, déposée</w:t>
            </w:r>
          </w:p>
          <w:p w:rsidR="00C3754E" w:rsidRPr="005577B1" w:rsidRDefault="00C3754E" w:rsidP="00D77551">
            <w:pPr>
              <w:jc w:val="both"/>
              <w:rPr>
                <w:rFonts w:eastAsia="Calibri"/>
                <w:sz w:val="20"/>
                <w:lang w:val="fr-CA"/>
              </w:rPr>
            </w:pPr>
          </w:p>
        </w:tc>
      </w:tr>
    </w:tbl>
    <w:p w:rsidR="0026524B" w:rsidRPr="00E01ABF" w:rsidRDefault="0026524B" w:rsidP="0026524B">
      <w:pPr>
        <w:rPr>
          <w:sz w:val="20"/>
          <w:szCs w:val="20"/>
        </w:rPr>
      </w:pPr>
    </w:p>
    <w:p w:rsidR="0026524B" w:rsidRDefault="00D56013" w:rsidP="0026524B">
      <w:pPr>
        <w:rPr>
          <w:sz w:val="20"/>
          <w:szCs w:val="20"/>
          <w:lang w:val="fr-CA"/>
        </w:rPr>
      </w:pPr>
      <w:r w:rsidRPr="00D56013">
        <w:rPr>
          <w:sz w:val="20"/>
          <w:szCs w:val="20"/>
          <w:lang w:val="fr-CA"/>
        </w:rPr>
        <w:pict>
          <v:rect id="_x0000_i1073" style="width:2in;height:1pt" o:hrpct="0" o:hralign="center" o:hrstd="t" o:hrnoshade="t" o:hr="t" fillcolor="black [3213]" stroked="f"/>
        </w:pict>
      </w:r>
    </w:p>
    <w:p w:rsidR="00E01ABF" w:rsidRDefault="00E01ABF" w:rsidP="008D292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AF11AE" w:rsidRPr="00AF11AE" w:rsidTr="00473DF7">
        <w:trPr>
          <w:cantSplit/>
        </w:trPr>
        <w:tc>
          <w:tcPr>
            <w:tcW w:w="1458" w:type="dxa"/>
          </w:tcPr>
          <w:p w:rsidR="00AF11AE" w:rsidRPr="00AF11AE" w:rsidRDefault="00AF11AE" w:rsidP="00473DF7">
            <w:pPr>
              <w:rPr>
                <w:sz w:val="20"/>
                <w:szCs w:val="20"/>
              </w:rPr>
            </w:pPr>
            <w:r w:rsidRPr="00AF11AE">
              <w:rPr>
                <w:rStyle w:val="SCCFileNumberChar"/>
                <w:sz w:val="20"/>
                <w:szCs w:val="20"/>
              </w:rPr>
              <w:t>33825</w:t>
            </w:r>
          </w:p>
          <w:p w:rsidR="00AF11AE" w:rsidRPr="00AF11AE" w:rsidRDefault="00AF11AE" w:rsidP="00473DF7">
            <w:pPr>
              <w:rPr>
                <w:b/>
                <w:sz w:val="20"/>
                <w:szCs w:val="20"/>
                <w:lang w:val="fr-CA"/>
              </w:rPr>
            </w:pPr>
          </w:p>
        </w:tc>
        <w:tc>
          <w:tcPr>
            <w:tcW w:w="8118" w:type="dxa"/>
          </w:tcPr>
          <w:p w:rsidR="00AF11AE" w:rsidRPr="00AF11AE" w:rsidRDefault="00AF11AE" w:rsidP="00473DF7">
            <w:pPr>
              <w:rPr>
                <w:sz w:val="20"/>
                <w:szCs w:val="20"/>
              </w:rPr>
            </w:pPr>
            <w:r w:rsidRPr="00AF11AE">
              <w:rPr>
                <w:rStyle w:val="SCCLsocChar"/>
                <w:sz w:val="20"/>
                <w:szCs w:val="20"/>
                <w:lang w:val="en-CA"/>
              </w:rPr>
              <w:t>Randall James Thompson v. Barbara Webber, Heather Barkley, E.M. Liz Makarewich and Corporation of the District of Saanich</w:t>
            </w:r>
            <w:r w:rsidRPr="00AF11AE">
              <w:rPr>
                <w:sz w:val="20"/>
                <w:szCs w:val="20"/>
              </w:rPr>
              <w:t xml:space="preserve"> (B.C.) (Civil) (By Leave)</w:t>
            </w:r>
          </w:p>
          <w:p w:rsidR="00AF11AE" w:rsidRPr="00AF11AE" w:rsidRDefault="00AF11AE" w:rsidP="00473DF7">
            <w:pPr>
              <w:rPr>
                <w:sz w:val="20"/>
                <w:szCs w:val="20"/>
              </w:rPr>
            </w:pPr>
          </w:p>
        </w:tc>
      </w:tr>
      <w:tr w:rsidR="00AF11AE" w:rsidRPr="00AF11AE" w:rsidTr="00473DF7">
        <w:trPr>
          <w:cantSplit/>
        </w:trPr>
        <w:tc>
          <w:tcPr>
            <w:tcW w:w="1458" w:type="dxa"/>
          </w:tcPr>
          <w:p w:rsidR="00AF11AE" w:rsidRPr="00AF11AE" w:rsidRDefault="00AF11AE" w:rsidP="00473DF7">
            <w:pPr>
              <w:rPr>
                <w:sz w:val="20"/>
                <w:szCs w:val="20"/>
              </w:rPr>
            </w:pPr>
            <w:r w:rsidRPr="00AF11AE">
              <w:rPr>
                <w:sz w:val="20"/>
                <w:szCs w:val="20"/>
              </w:rPr>
              <w:t>Coram :</w:t>
            </w:r>
          </w:p>
        </w:tc>
        <w:tc>
          <w:tcPr>
            <w:tcW w:w="8118" w:type="dxa"/>
          </w:tcPr>
          <w:p w:rsidR="00AF11AE" w:rsidRPr="00AF11AE" w:rsidRDefault="00AF11AE" w:rsidP="00473DF7">
            <w:pPr>
              <w:rPr>
                <w:sz w:val="20"/>
                <w:szCs w:val="20"/>
              </w:rPr>
            </w:pPr>
            <w:r w:rsidRPr="00AF11AE">
              <w:rPr>
                <w:rStyle w:val="SCCCoramChar"/>
                <w:sz w:val="20"/>
                <w:szCs w:val="20"/>
                <w:lang w:val="en-CA"/>
              </w:rPr>
              <w:t>Binnie, Fish and Rothstein JJ.</w:t>
            </w:r>
          </w:p>
          <w:p w:rsidR="00AF11AE" w:rsidRPr="00AF11AE" w:rsidRDefault="00AF11AE" w:rsidP="00473DF7">
            <w:pPr>
              <w:rPr>
                <w:sz w:val="20"/>
                <w:szCs w:val="20"/>
                <w:u w:val="single"/>
              </w:rPr>
            </w:pPr>
          </w:p>
        </w:tc>
      </w:tr>
      <w:tr w:rsidR="00AF11AE" w:rsidRPr="00850008" w:rsidTr="00473DF7">
        <w:trPr>
          <w:cantSplit/>
        </w:trPr>
        <w:tc>
          <w:tcPr>
            <w:tcW w:w="9576" w:type="dxa"/>
            <w:gridSpan w:val="2"/>
          </w:tcPr>
          <w:p w:rsidR="00AF11AE" w:rsidRPr="00AF11AE" w:rsidRDefault="00AF11AE" w:rsidP="00473DF7">
            <w:pPr>
              <w:pStyle w:val="SCCShortJudgment"/>
              <w:rPr>
                <w:szCs w:val="20"/>
              </w:rPr>
            </w:pPr>
            <w:r w:rsidRPr="00AF11AE">
              <w:rPr>
                <w:szCs w:val="20"/>
              </w:rPr>
              <w:t>The application for leave to appeal from the judgment of the Court of Appeal for British Columbia (Vancouver), Number CA037341, 2010 BCCA 308,  dated June 10, 2010, is dismissed with costs.</w:t>
            </w:r>
          </w:p>
          <w:p w:rsidR="00AF11AE" w:rsidRPr="00AF11AE" w:rsidRDefault="00AF11AE" w:rsidP="00473DF7">
            <w:pPr>
              <w:pStyle w:val="SCCShortJudgment"/>
              <w:ind w:firstLine="0"/>
              <w:rPr>
                <w:szCs w:val="20"/>
              </w:rPr>
            </w:pPr>
          </w:p>
          <w:p w:rsidR="00AF11AE" w:rsidRPr="00AF11AE" w:rsidRDefault="00AF11AE" w:rsidP="00473DF7">
            <w:pPr>
              <w:pStyle w:val="SCCShortJudgment"/>
              <w:rPr>
                <w:szCs w:val="20"/>
                <w:lang w:val="fr-CA"/>
              </w:rPr>
            </w:pPr>
            <w:r w:rsidRPr="00AF11AE">
              <w:rPr>
                <w:szCs w:val="20"/>
                <w:lang w:val="fr-CA"/>
              </w:rPr>
              <w:t>La demande d’autorisation d’appel de l’arrêt de la Cour d’appel de la Colombie-Britannique (Vancouver), numéro CA037341, 2010 BCCA 308, daté du 10 juin 2010, est rejetée avec dépens.</w:t>
            </w:r>
          </w:p>
          <w:p w:rsidR="00AF11AE" w:rsidRPr="00AF11AE" w:rsidRDefault="00AF11AE" w:rsidP="00473DF7">
            <w:pPr>
              <w:rPr>
                <w:sz w:val="20"/>
                <w:szCs w:val="20"/>
                <w:lang w:val="fr-CA"/>
              </w:rPr>
            </w:pPr>
          </w:p>
        </w:tc>
      </w:tr>
    </w:tbl>
    <w:p w:rsidR="0026524B" w:rsidRPr="00E01ABF" w:rsidRDefault="0026524B" w:rsidP="0026524B">
      <w:pPr>
        <w:rPr>
          <w:sz w:val="20"/>
          <w:szCs w:val="20"/>
          <w:u w:val="single"/>
        </w:rPr>
      </w:pPr>
      <w:r w:rsidRPr="00E01ABF">
        <w:rPr>
          <w:sz w:val="20"/>
          <w:szCs w:val="20"/>
          <w:u w:val="single"/>
        </w:rPr>
        <w:t>CASE SUMMARY</w:t>
      </w:r>
    </w:p>
    <w:p w:rsidR="0026524B" w:rsidRDefault="0026524B" w:rsidP="0026524B">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CF3C04" w:rsidRPr="00316127" w:rsidTr="00D77551">
        <w:tc>
          <w:tcPr>
            <w:tcW w:w="5000" w:type="pct"/>
            <w:gridSpan w:val="3"/>
          </w:tcPr>
          <w:p w:rsidR="00CF3C04" w:rsidRDefault="00CF3C04" w:rsidP="00D77551">
            <w:pPr>
              <w:jc w:val="both"/>
              <w:rPr>
                <w:rFonts w:eastAsia="Calibri"/>
                <w:sz w:val="20"/>
              </w:rPr>
            </w:pPr>
            <w:r w:rsidRPr="00316127">
              <w:rPr>
                <w:rFonts w:eastAsia="Calibri"/>
                <w:i/>
                <w:sz w:val="20"/>
              </w:rPr>
              <w:t>Charter of rights</w:t>
            </w:r>
            <w:r w:rsidRPr="00316127">
              <w:rPr>
                <w:rFonts w:eastAsia="Calibri"/>
                <w:sz w:val="20"/>
              </w:rPr>
              <w:t xml:space="preserve"> – Right to equality – Discrimination based on sex - Torts – Negligence – Duty of Care – Damages – Compensable harm – Whether the lower courts erred in dismissing the Applicant’s action -  Do law enforcement officers still have discretion when it comes to the assault of children with an object, or must they recommend charges (and assist in prosecution) based on the objective test established by the Supreme Court of Canada - Did the female law enforcement officers decide not to prosecute because of gender discrimination against the father, and is this a violation of his </w:t>
            </w:r>
            <w:r w:rsidRPr="00316127">
              <w:rPr>
                <w:rFonts w:eastAsia="Calibri"/>
                <w:i/>
                <w:sz w:val="20"/>
              </w:rPr>
              <w:t>Charter</w:t>
            </w:r>
            <w:r w:rsidRPr="00316127">
              <w:rPr>
                <w:rFonts w:eastAsia="Calibri"/>
                <w:sz w:val="20"/>
              </w:rPr>
              <w:t xml:space="preserve"> rights and therefore a compensable harm - Is Parental Alienation suffered by the targeted parent a harm by itself, or must the psychological harms stemming from it be claimed - </w:t>
            </w:r>
            <w:r w:rsidRPr="00316127">
              <w:rPr>
                <w:rFonts w:eastAsia="Calibri"/>
                <w:i/>
                <w:sz w:val="20"/>
              </w:rPr>
              <w:t>Canadian Charter Rights and Freedoms,</w:t>
            </w:r>
            <w:r w:rsidRPr="00316127">
              <w:rPr>
                <w:rFonts w:eastAsia="Calibri"/>
                <w:sz w:val="20"/>
              </w:rPr>
              <w:t xml:space="preserve">  ss. 1 and 15 - </w:t>
            </w:r>
            <w:r w:rsidRPr="00316127">
              <w:rPr>
                <w:rFonts w:eastAsia="Calibri"/>
                <w:i/>
                <w:sz w:val="20"/>
              </w:rPr>
              <w:t>Canadian Foundation for Children, Youth and the Law v. Canada (Attorney General),</w:t>
            </w:r>
            <w:r w:rsidRPr="00316127">
              <w:rPr>
                <w:rFonts w:eastAsia="Calibri"/>
                <w:sz w:val="20"/>
              </w:rPr>
              <w:t xml:space="preserve"> 2004 SCC 4, [2004] 1 S.C.R. 76.</w:t>
            </w:r>
          </w:p>
          <w:p w:rsidR="00CF3C04" w:rsidRPr="00316127" w:rsidRDefault="00CF3C04" w:rsidP="00D77551">
            <w:pPr>
              <w:jc w:val="both"/>
              <w:rPr>
                <w:rFonts w:eastAsia="Calibri"/>
                <w:sz w:val="20"/>
              </w:rPr>
            </w:pPr>
          </w:p>
        </w:tc>
      </w:tr>
      <w:tr w:rsidR="00CF3C04" w:rsidRPr="00316127" w:rsidTr="00D77551">
        <w:tc>
          <w:tcPr>
            <w:tcW w:w="5000" w:type="pct"/>
            <w:gridSpan w:val="3"/>
          </w:tcPr>
          <w:p w:rsidR="00CF3C04" w:rsidRPr="00316127" w:rsidRDefault="00CF3C04" w:rsidP="00D77551">
            <w:pPr>
              <w:jc w:val="both"/>
              <w:rPr>
                <w:rFonts w:eastAsia="Calibri"/>
                <w:sz w:val="20"/>
              </w:rPr>
            </w:pPr>
            <w:r w:rsidRPr="00316127">
              <w:rPr>
                <w:rFonts w:eastAsia="Calibri"/>
                <w:sz w:val="20"/>
              </w:rPr>
              <w:t>The applicant and his former wife shared joint custody and guardianship of their two children.  In June 2007, the children made comments to their father that made him believe their mother had been disciplining them by striking them with a kitchen spatula. He made a complaint about the conduct to the Saanich police department.  An officer eventually interviewed the former spouse and later another officer interviewed the children.  The officers received information from the children and admissions from their mother that she had indeed assaulted them with a spatula. A further interview was conducted of a person outside the province. Following that, the Saanich police closed the file and took no action.</w:t>
            </w:r>
          </w:p>
          <w:p w:rsidR="00CF3C04" w:rsidRPr="00316127" w:rsidRDefault="00CF3C04" w:rsidP="00D77551">
            <w:pPr>
              <w:jc w:val="both"/>
              <w:rPr>
                <w:rFonts w:eastAsia="Calibri"/>
                <w:sz w:val="20"/>
              </w:rPr>
            </w:pPr>
          </w:p>
          <w:p w:rsidR="00CF3C04" w:rsidRPr="00316127" w:rsidRDefault="00CF3C04" w:rsidP="00D77551">
            <w:pPr>
              <w:jc w:val="both"/>
              <w:rPr>
                <w:rFonts w:eastAsia="Calibri"/>
                <w:sz w:val="20"/>
              </w:rPr>
            </w:pPr>
            <w:r w:rsidRPr="00316127">
              <w:rPr>
                <w:rFonts w:eastAsia="Calibri"/>
                <w:sz w:val="20"/>
              </w:rPr>
              <w:t>The applicant commenced an action in negligence against three members of the Saanich Police Department and the District of Saanich. He alleged that the officers caused him injury by failing to adequately investigate or to recommend prosecution in regard to the information he had supplied. He alleged that these deficiencies caused his estrangement from his children, causing him relationship and psychological consequences and injury which justify an award of damages.</w:t>
            </w:r>
          </w:p>
          <w:p w:rsidR="00CF3C04" w:rsidRPr="00316127" w:rsidRDefault="00CF3C04" w:rsidP="00D77551">
            <w:pPr>
              <w:jc w:val="both"/>
              <w:rPr>
                <w:rFonts w:eastAsia="Calibri"/>
                <w:sz w:val="20"/>
              </w:rPr>
            </w:pPr>
          </w:p>
        </w:tc>
      </w:tr>
      <w:tr w:rsidR="00CF3C04" w:rsidRPr="00316127" w:rsidTr="00D77551">
        <w:tc>
          <w:tcPr>
            <w:tcW w:w="2427" w:type="pct"/>
          </w:tcPr>
          <w:p w:rsidR="00CF3C04" w:rsidRPr="00316127" w:rsidRDefault="00CF3C04" w:rsidP="00D77551">
            <w:pPr>
              <w:jc w:val="both"/>
              <w:rPr>
                <w:rFonts w:eastAsia="Calibri"/>
                <w:sz w:val="20"/>
              </w:rPr>
            </w:pPr>
            <w:r w:rsidRPr="00316127">
              <w:rPr>
                <w:rFonts w:eastAsia="Calibri"/>
                <w:sz w:val="20"/>
              </w:rPr>
              <w:t>July 14, 2009</w:t>
            </w:r>
          </w:p>
          <w:p w:rsidR="00CF3C04" w:rsidRPr="00316127" w:rsidRDefault="00CF3C04" w:rsidP="00D77551">
            <w:pPr>
              <w:jc w:val="both"/>
              <w:rPr>
                <w:rFonts w:eastAsia="Calibri"/>
                <w:sz w:val="20"/>
              </w:rPr>
            </w:pPr>
            <w:r w:rsidRPr="00316127">
              <w:rPr>
                <w:rFonts w:eastAsia="Calibri"/>
                <w:sz w:val="20"/>
              </w:rPr>
              <w:t>Supreme Court of British Columbia</w:t>
            </w:r>
          </w:p>
          <w:p w:rsidR="00CF3C04" w:rsidRPr="00316127" w:rsidRDefault="00CF3C04" w:rsidP="00D77551">
            <w:pPr>
              <w:jc w:val="both"/>
              <w:rPr>
                <w:rFonts w:eastAsia="Calibri"/>
                <w:sz w:val="20"/>
              </w:rPr>
            </w:pPr>
            <w:r w:rsidRPr="00316127">
              <w:rPr>
                <w:rFonts w:eastAsia="Calibri"/>
                <w:sz w:val="20"/>
              </w:rPr>
              <w:t>(Wilson J.)</w:t>
            </w:r>
          </w:p>
          <w:p w:rsidR="00CF3C04" w:rsidRPr="00316127" w:rsidRDefault="00CF3C04" w:rsidP="00D77551">
            <w:pPr>
              <w:jc w:val="both"/>
              <w:rPr>
                <w:rFonts w:eastAsia="Calibri"/>
                <w:sz w:val="20"/>
              </w:rPr>
            </w:pPr>
            <w:r w:rsidRPr="00316127">
              <w:rPr>
                <w:rFonts w:eastAsia="Calibri"/>
                <w:sz w:val="20"/>
              </w:rPr>
              <w:t>2009 BCSC 1876</w:t>
            </w:r>
          </w:p>
          <w:p w:rsidR="00CF3C04" w:rsidRPr="00316127" w:rsidRDefault="00CF3C04" w:rsidP="00D77551">
            <w:pPr>
              <w:jc w:val="both"/>
              <w:rPr>
                <w:rFonts w:eastAsia="Calibri"/>
                <w:sz w:val="20"/>
              </w:rPr>
            </w:pPr>
          </w:p>
        </w:tc>
        <w:tc>
          <w:tcPr>
            <w:tcW w:w="243" w:type="pct"/>
          </w:tcPr>
          <w:p w:rsidR="00CF3C04" w:rsidRPr="00316127" w:rsidRDefault="00CF3C04" w:rsidP="00D77551">
            <w:pPr>
              <w:jc w:val="both"/>
              <w:rPr>
                <w:rFonts w:eastAsia="Calibri"/>
                <w:sz w:val="20"/>
              </w:rPr>
            </w:pPr>
          </w:p>
        </w:tc>
        <w:tc>
          <w:tcPr>
            <w:tcW w:w="2330" w:type="pct"/>
          </w:tcPr>
          <w:p w:rsidR="00CF3C04" w:rsidRPr="00316127" w:rsidRDefault="00CF3C04" w:rsidP="00D77551">
            <w:pPr>
              <w:jc w:val="both"/>
              <w:rPr>
                <w:rFonts w:eastAsia="Calibri"/>
                <w:sz w:val="20"/>
              </w:rPr>
            </w:pPr>
            <w:r w:rsidRPr="00316127">
              <w:rPr>
                <w:rFonts w:eastAsia="Calibri"/>
                <w:sz w:val="20"/>
              </w:rPr>
              <w:t xml:space="preserve">Order striking out certain paragraphs from the  Applicant’s statement of claim and dismissing his action </w:t>
            </w:r>
          </w:p>
        </w:tc>
      </w:tr>
    </w:tbl>
    <w:p w:rsidR="00AF11AE" w:rsidRDefault="00AF11AE"/>
    <w:tbl>
      <w:tblPr>
        <w:tblW w:w="4952" w:type="pct"/>
        <w:tblLayout w:type="fixed"/>
        <w:tblCellMar>
          <w:left w:w="0" w:type="dxa"/>
          <w:bottom w:w="99" w:type="dxa"/>
          <w:right w:w="0" w:type="dxa"/>
        </w:tblCellMar>
        <w:tblLook w:val="04A0"/>
      </w:tblPr>
      <w:tblGrid>
        <w:gridCol w:w="4624"/>
        <w:gridCol w:w="463"/>
        <w:gridCol w:w="4440"/>
      </w:tblGrid>
      <w:tr w:rsidR="00CF3C04" w:rsidRPr="00316127" w:rsidTr="00AF11AE">
        <w:trPr>
          <w:cantSplit/>
        </w:trPr>
        <w:tc>
          <w:tcPr>
            <w:tcW w:w="2427" w:type="pct"/>
          </w:tcPr>
          <w:p w:rsidR="00CF3C04" w:rsidRPr="00316127" w:rsidRDefault="00CF3C04" w:rsidP="00D77551">
            <w:pPr>
              <w:jc w:val="both"/>
              <w:rPr>
                <w:rFonts w:eastAsia="Calibri"/>
                <w:sz w:val="20"/>
              </w:rPr>
            </w:pPr>
            <w:r w:rsidRPr="00316127">
              <w:rPr>
                <w:rFonts w:eastAsia="Calibri"/>
                <w:sz w:val="20"/>
              </w:rPr>
              <w:lastRenderedPageBreak/>
              <w:t>June 10, 2010</w:t>
            </w:r>
          </w:p>
          <w:p w:rsidR="00CF3C04" w:rsidRPr="00316127" w:rsidRDefault="00CF3C04" w:rsidP="00D77551">
            <w:pPr>
              <w:jc w:val="both"/>
              <w:rPr>
                <w:rFonts w:eastAsia="Calibri"/>
                <w:sz w:val="20"/>
              </w:rPr>
            </w:pPr>
            <w:r w:rsidRPr="00316127">
              <w:rPr>
                <w:rFonts w:eastAsia="Calibri"/>
                <w:sz w:val="20"/>
              </w:rPr>
              <w:t xml:space="preserve">Court of Appeal for British Columbia </w:t>
            </w:r>
          </w:p>
          <w:p w:rsidR="00CF3C04" w:rsidRPr="00316127" w:rsidRDefault="00CF3C04" w:rsidP="00D77551">
            <w:pPr>
              <w:jc w:val="both"/>
              <w:rPr>
                <w:rFonts w:eastAsia="Calibri"/>
                <w:sz w:val="20"/>
              </w:rPr>
            </w:pPr>
            <w:r w:rsidRPr="00316127">
              <w:rPr>
                <w:rFonts w:eastAsia="Calibri"/>
                <w:sz w:val="20"/>
              </w:rPr>
              <w:t>(Vancouver)</w:t>
            </w:r>
          </w:p>
          <w:p w:rsidR="00CF3C04" w:rsidRPr="00316127" w:rsidRDefault="00CF3C04" w:rsidP="00D77551">
            <w:pPr>
              <w:jc w:val="both"/>
              <w:rPr>
                <w:rFonts w:eastAsia="Calibri"/>
                <w:sz w:val="20"/>
              </w:rPr>
            </w:pPr>
            <w:r w:rsidRPr="00316127">
              <w:rPr>
                <w:rFonts w:eastAsia="Calibri"/>
                <w:sz w:val="20"/>
              </w:rPr>
              <w:t>(Rowles, Saunders and Smith JJ.A.)</w:t>
            </w:r>
          </w:p>
          <w:p w:rsidR="00CF3C04" w:rsidRPr="00316127" w:rsidRDefault="00CF3C04" w:rsidP="00D77551">
            <w:pPr>
              <w:jc w:val="both"/>
              <w:rPr>
                <w:rFonts w:eastAsia="Calibri"/>
                <w:sz w:val="20"/>
              </w:rPr>
            </w:pPr>
            <w:r w:rsidRPr="00316127">
              <w:rPr>
                <w:rFonts w:eastAsia="Calibri"/>
                <w:sz w:val="20"/>
              </w:rPr>
              <w:t>2010 BCCA 308; CA037341</w:t>
            </w:r>
          </w:p>
          <w:p w:rsidR="00CF3C04" w:rsidRPr="00316127" w:rsidRDefault="00CF3C04" w:rsidP="00D77551">
            <w:pPr>
              <w:jc w:val="both"/>
              <w:rPr>
                <w:rFonts w:eastAsia="Calibri"/>
                <w:sz w:val="20"/>
              </w:rPr>
            </w:pPr>
          </w:p>
        </w:tc>
        <w:tc>
          <w:tcPr>
            <w:tcW w:w="243" w:type="pct"/>
          </w:tcPr>
          <w:p w:rsidR="00CF3C04" w:rsidRPr="00316127" w:rsidRDefault="00CF3C04" w:rsidP="00D77551">
            <w:pPr>
              <w:jc w:val="both"/>
              <w:rPr>
                <w:rFonts w:eastAsia="Calibri"/>
                <w:sz w:val="20"/>
              </w:rPr>
            </w:pPr>
          </w:p>
        </w:tc>
        <w:tc>
          <w:tcPr>
            <w:tcW w:w="2330" w:type="pct"/>
          </w:tcPr>
          <w:p w:rsidR="00CF3C04" w:rsidRPr="00316127" w:rsidRDefault="00CF3C04" w:rsidP="00D77551">
            <w:pPr>
              <w:jc w:val="both"/>
              <w:rPr>
                <w:rFonts w:eastAsia="Calibri"/>
                <w:sz w:val="20"/>
              </w:rPr>
            </w:pPr>
            <w:r w:rsidRPr="00316127">
              <w:rPr>
                <w:rFonts w:eastAsia="Calibri"/>
                <w:sz w:val="20"/>
              </w:rPr>
              <w:t>Appeal dismissed</w:t>
            </w:r>
          </w:p>
          <w:p w:rsidR="00CF3C04" w:rsidRPr="00316127" w:rsidRDefault="00CF3C04" w:rsidP="00D77551">
            <w:pPr>
              <w:jc w:val="both"/>
              <w:rPr>
                <w:rFonts w:eastAsia="Calibri"/>
                <w:sz w:val="20"/>
              </w:rPr>
            </w:pPr>
          </w:p>
        </w:tc>
      </w:tr>
      <w:tr w:rsidR="00CF3C04" w:rsidRPr="00316127" w:rsidTr="00AF11AE">
        <w:trPr>
          <w:cantSplit/>
        </w:trPr>
        <w:tc>
          <w:tcPr>
            <w:tcW w:w="2427" w:type="pct"/>
          </w:tcPr>
          <w:p w:rsidR="00CF3C04" w:rsidRPr="00316127" w:rsidRDefault="00CF3C04" w:rsidP="00D77551">
            <w:pPr>
              <w:jc w:val="both"/>
              <w:rPr>
                <w:rFonts w:eastAsia="Calibri"/>
                <w:sz w:val="20"/>
              </w:rPr>
            </w:pPr>
            <w:r w:rsidRPr="00316127">
              <w:rPr>
                <w:rFonts w:eastAsia="Calibri"/>
                <w:sz w:val="20"/>
              </w:rPr>
              <w:t>September 7, 2010</w:t>
            </w:r>
          </w:p>
          <w:p w:rsidR="00CF3C04" w:rsidRPr="00316127" w:rsidRDefault="00CF3C04" w:rsidP="00D77551">
            <w:pPr>
              <w:jc w:val="both"/>
              <w:rPr>
                <w:rFonts w:eastAsia="Calibri"/>
                <w:sz w:val="20"/>
              </w:rPr>
            </w:pPr>
            <w:r w:rsidRPr="00316127">
              <w:rPr>
                <w:rFonts w:eastAsia="Calibri"/>
                <w:sz w:val="20"/>
              </w:rPr>
              <w:t>Supreme Court of Canada</w:t>
            </w:r>
          </w:p>
        </w:tc>
        <w:tc>
          <w:tcPr>
            <w:tcW w:w="243" w:type="pct"/>
          </w:tcPr>
          <w:p w:rsidR="00AF11AE" w:rsidRPr="00316127" w:rsidRDefault="00AF11AE" w:rsidP="00D77551">
            <w:pPr>
              <w:jc w:val="both"/>
              <w:rPr>
                <w:rFonts w:eastAsia="Calibri"/>
                <w:sz w:val="20"/>
              </w:rPr>
            </w:pPr>
          </w:p>
        </w:tc>
        <w:tc>
          <w:tcPr>
            <w:tcW w:w="2330" w:type="pct"/>
          </w:tcPr>
          <w:p w:rsidR="00CF3C04" w:rsidRPr="00316127" w:rsidRDefault="00CF3C04" w:rsidP="00D77551">
            <w:pPr>
              <w:jc w:val="both"/>
              <w:rPr>
                <w:rFonts w:eastAsia="Calibri"/>
                <w:sz w:val="20"/>
              </w:rPr>
            </w:pPr>
            <w:r w:rsidRPr="00316127">
              <w:rPr>
                <w:rFonts w:eastAsia="Calibri"/>
                <w:sz w:val="20"/>
              </w:rPr>
              <w:t>Application for leave to appeal filed</w:t>
            </w:r>
          </w:p>
          <w:p w:rsidR="00CF3C04" w:rsidRPr="00316127" w:rsidRDefault="00CF3C04" w:rsidP="00D77551">
            <w:pPr>
              <w:jc w:val="both"/>
              <w:rPr>
                <w:rFonts w:eastAsia="Calibri"/>
                <w:sz w:val="20"/>
              </w:rPr>
            </w:pPr>
          </w:p>
        </w:tc>
      </w:tr>
    </w:tbl>
    <w:p w:rsidR="00AF11AE" w:rsidRPr="00FA4947" w:rsidRDefault="00AF11AE" w:rsidP="0026524B">
      <w:pPr>
        <w:rPr>
          <w:sz w:val="20"/>
          <w:szCs w:val="20"/>
        </w:rPr>
      </w:pPr>
    </w:p>
    <w:p w:rsidR="0026524B" w:rsidRDefault="00D56013" w:rsidP="0026524B">
      <w:pPr>
        <w:rPr>
          <w:sz w:val="20"/>
          <w:szCs w:val="20"/>
          <w:lang w:val="fr-CA"/>
        </w:rPr>
      </w:pPr>
      <w:r w:rsidRPr="00D56013">
        <w:rPr>
          <w:sz w:val="20"/>
          <w:szCs w:val="20"/>
          <w:lang w:val="fr-CA"/>
        </w:rPr>
        <w:pict>
          <v:rect id="_x0000_i1074" style="width:2in;height:1pt" o:hrpct="0" o:hralign="center" o:hrstd="t" o:hrnoshade="t" o:hr="t" fillcolor="black [3213]" stroked="f"/>
        </w:pict>
      </w:r>
    </w:p>
    <w:p w:rsidR="00AF11AE" w:rsidRPr="00E01ABF" w:rsidRDefault="00AF11AE" w:rsidP="0026524B">
      <w:pPr>
        <w:rPr>
          <w:sz w:val="20"/>
          <w:szCs w:val="20"/>
        </w:rPr>
      </w:pPr>
    </w:p>
    <w:p w:rsidR="0026524B" w:rsidRPr="00E01ABF" w:rsidRDefault="0026524B" w:rsidP="0026524B">
      <w:pPr>
        <w:rPr>
          <w:sz w:val="20"/>
          <w:szCs w:val="20"/>
          <w:u w:val="single"/>
        </w:rPr>
      </w:pPr>
      <w:r w:rsidRPr="00E01ABF">
        <w:rPr>
          <w:sz w:val="20"/>
          <w:szCs w:val="20"/>
          <w:u w:val="single"/>
        </w:rPr>
        <w:t>RÉSUMÉ DE L’AFFAIRE</w:t>
      </w:r>
    </w:p>
    <w:p w:rsidR="0026524B" w:rsidRDefault="0026524B" w:rsidP="0026524B">
      <w:pPr>
        <w:rPr>
          <w:sz w:val="20"/>
          <w:szCs w:val="20"/>
        </w:rPr>
      </w:pPr>
    </w:p>
    <w:tbl>
      <w:tblPr>
        <w:tblW w:w="4952" w:type="pct"/>
        <w:tblInd w:w="2" w:type="dxa"/>
        <w:tblLayout w:type="fixed"/>
        <w:tblCellMar>
          <w:left w:w="0" w:type="dxa"/>
          <w:bottom w:w="99" w:type="dxa"/>
          <w:right w:w="0" w:type="dxa"/>
        </w:tblCellMar>
        <w:tblLook w:val="00A0"/>
      </w:tblPr>
      <w:tblGrid>
        <w:gridCol w:w="4624"/>
        <w:gridCol w:w="463"/>
        <w:gridCol w:w="4440"/>
      </w:tblGrid>
      <w:tr w:rsidR="00CF3C04" w:rsidRPr="00850008" w:rsidTr="00D77551">
        <w:tc>
          <w:tcPr>
            <w:tcW w:w="5000" w:type="pct"/>
            <w:gridSpan w:val="3"/>
          </w:tcPr>
          <w:p w:rsidR="00CF3C04" w:rsidRDefault="00CF3C04" w:rsidP="00D77551">
            <w:pPr>
              <w:jc w:val="both"/>
              <w:rPr>
                <w:rFonts w:eastAsia="Calibri"/>
                <w:sz w:val="20"/>
                <w:lang w:val="fr-CA"/>
              </w:rPr>
            </w:pPr>
            <w:r w:rsidRPr="009A0486">
              <w:rPr>
                <w:rFonts w:eastAsia="Calibri"/>
                <w:i/>
                <w:iCs/>
                <w:sz w:val="20"/>
                <w:lang w:val="fr-CA"/>
              </w:rPr>
              <w:t>Charte des droits</w:t>
            </w:r>
            <w:r w:rsidRPr="009A0486">
              <w:rPr>
                <w:rFonts w:eastAsia="Calibri"/>
                <w:sz w:val="20"/>
                <w:lang w:val="fr-CA"/>
              </w:rPr>
              <w:t xml:space="preserve"> – Droit à l’égalité – Discrimination fondée sur le sexe – Responsabilité délictuelle – Négligence – Obligation de diligence – Dommages-intérêts – Préjudice indemnisable – Les juridictions inférieures ont-elles eu tort de rejeter l’action du demandeur? -  Les agents de la paix ont-ils encore un pouvoir discrétionnaire lorsqu’il s’agit de voies de fait commis contre des enfants au moyen d’un objet, ou doivent-ils recommander que des accusations soient portées (et aider la poursuite) en fonction du critère objectif établi par la Cour suprême du Canada? – Les agentes de la paix en l’espèce ont-elles décidé de ne pas poursuivre en raison de discrimination fondée sur le sexe contre le père et s’agit-il d’une violation de ses droits garantis par la </w:t>
            </w:r>
            <w:r w:rsidRPr="009A0486">
              <w:rPr>
                <w:rFonts w:eastAsia="Calibri"/>
                <w:i/>
                <w:iCs/>
                <w:sz w:val="20"/>
                <w:lang w:val="fr-CA"/>
              </w:rPr>
              <w:t>Charte</w:t>
            </w:r>
            <w:r w:rsidRPr="009A0486">
              <w:rPr>
                <w:rFonts w:eastAsia="Calibri"/>
                <w:sz w:val="20"/>
                <w:lang w:val="fr-CA"/>
              </w:rPr>
              <w:t xml:space="preserve"> et donc un préjudice indemnisable? – L’aliénation parentale subie par le parent ciblé est-il un préjudice en soi, ou faut-il alléguer les préjudices psychologiques qui en découlent? – </w:t>
            </w:r>
            <w:r w:rsidRPr="009A0486">
              <w:rPr>
                <w:rFonts w:eastAsia="Calibri"/>
                <w:i/>
                <w:iCs/>
                <w:sz w:val="20"/>
                <w:lang w:val="fr-CA"/>
              </w:rPr>
              <w:t>Charte canadienne des droits et libertés,</w:t>
            </w:r>
            <w:r w:rsidRPr="009A0486">
              <w:rPr>
                <w:rFonts w:eastAsia="Calibri"/>
                <w:sz w:val="20"/>
                <w:lang w:val="fr-CA"/>
              </w:rPr>
              <w:t xml:space="preserve">  art. 1 et 15 - </w:t>
            </w:r>
            <w:r w:rsidRPr="009A0486">
              <w:rPr>
                <w:rFonts w:eastAsia="Calibri"/>
                <w:i/>
                <w:iCs/>
                <w:sz w:val="20"/>
                <w:lang w:val="fr-CA"/>
              </w:rPr>
              <w:t>Canadian Foundation for Children, Youth and the Law c. Canada (Procureur général),</w:t>
            </w:r>
            <w:r w:rsidRPr="009A0486">
              <w:rPr>
                <w:rFonts w:eastAsia="Calibri"/>
                <w:sz w:val="20"/>
                <w:lang w:val="fr-CA"/>
              </w:rPr>
              <w:t xml:space="preserve"> 2004 CSC 4, [2004] 1 R.C.S. 76.</w:t>
            </w:r>
          </w:p>
          <w:p w:rsidR="00CF3C04" w:rsidRPr="009A0486" w:rsidRDefault="00CF3C04" w:rsidP="00D77551">
            <w:pPr>
              <w:jc w:val="both"/>
              <w:rPr>
                <w:rFonts w:eastAsia="Calibri"/>
                <w:sz w:val="20"/>
                <w:lang w:val="fr-CA"/>
              </w:rPr>
            </w:pPr>
          </w:p>
        </w:tc>
      </w:tr>
      <w:tr w:rsidR="00CF3C04" w:rsidRPr="00850008" w:rsidTr="00D77551">
        <w:tc>
          <w:tcPr>
            <w:tcW w:w="5000" w:type="pct"/>
            <w:gridSpan w:val="3"/>
          </w:tcPr>
          <w:p w:rsidR="00CF3C04" w:rsidRPr="009A0486" w:rsidRDefault="00CF3C04" w:rsidP="00D77551">
            <w:pPr>
              <w:jc w:val="both"/>
              <w:rPr>
                <w:rFonts w:eastAsia="Calibri"/>
                <w:sz w:val="20"/>
                <w:lang w:val="fr-CA"/>
              </w:rPr>
            </w:pPr>
            <w:r w:rsidRPr="009A0486">
              <w:rPr>
                <w:rFonts w:eastAsia="Calibri"/>
                <w:sz w:val="20"/>
                <w:lang w:val="fr-CA"/>
              </w:rPr>
              <w:t>Le demandeur et son ex-épouse avaient la garde et la tutelle conjointes de leurs deux enfants. En juin 2007, les enfants ont fait des commentaires à leur père qui l’ont amené à croire que leur mère les avait corrigés en les frappant avec une spatule de cuisine. Il a porté plainte au service de police de Saanich.  Une agente a fini par interroger l’ex-épouse, puis une autre agente a interrogé les enfants. Les enfants ont affirmé – et leur mère a admis – que cette dernière les avait effectivement agressés avec une spatule. Une personne à l’extérieur de la province a également été interrogée. À la suite de ces démarches, la police de Saanich a fermé le dossier et n’a pas pris de mesures.</w:t>
            </w:r>
          </w:p>
          <w:p w:rsidR="00CF3C04" w:rsidRPr="009A0486" w:rsidRDefault="00CF3C04" w:rsidP="00D77551">
            <w:pPr>
              <w:jc w:val="both"/>
              <w:rPr>
                <w:rFonts w:eastAsia="Calibri"/>
                <w:sz w:val="20"/>
                <w:lang w:val="fr-CA"/>
              </w:rPr>
            </w:pPr>
          </w:p>
          <w:p w:rsidR="00CF3C04" w:rsidRPr="009A0486" w:rsidRDefault="00CF3C04" w:rsidP="00D77551">
            <w:pPr>
              <w:jc w:val="both"/>
              <w:rPr>
                <w:rFonts w:eastAsia="Calibri"/>
                <w:sz w:val="20"/>
                <w:lang w:val="fr-CA"/>
              </w:rPr>
            </w:pPr>
            <w:r w:rsidRPr="009A0486">
              <w:rPr>
                <w:rFonts w:eastAsia="Calibri"/>
                <w:sz w:val="20"/>
                <w:lang w:val="fr-CA"/>
              </w:rPr>
              <w:t>Le demandeur a intenté une action en négligence contre trois membres du service de police de Saanich et le district de Saanich. Il a allégué que les agentes lui avaient causé un préjudice en n’ayant pas enquêté suffisamment ou en n’ayant pas recommandé une poursuite à la suite des renseignements qu’il avait fournis. Il a allégué que ces lacunes avaient causé son éloignement de ses enfants, entraînant pour lui des conséquences relationnelles et psychologiques et un préjudice justifiant l’attribution de dommages-intérêts.</w:t>
            </w:r>
          </w:p>
          <w:p w:rsidR="00CF3C04" w:rsidRPr="009A0486" w:rsidRDefault="00CF3C04" w:rsidP="00D77551">
            <w:pPr>
              <w:jc w:val="both"/>
              <w:rPr>
                <w:rFonts w:eastAsia="Calibri"/>
                <w:sz w:val="20"/>
                <w:lang w:val="fr-CA"/>
              </w:rPr>
            </w:pPr>
          </w:p>
        </w:tc>
      </w:tr>
      <w:tr w:rsidR="00CF3C04" w:rsidRPr="00850008" w:rsidTr="00D77551">
        <w:tc>
          <w:tcPr>
            <w:tcW w:w="2427" w:type="pct"/>
          </w:tcPr>
          <w:p w:rsidR="00CF3C04" w:rsidRPr="009A0486" w:rsidRDefault="00CF3C04" w:rsidP="00D77551">
            <w:pPr>
              <w:jc w:val="both"/>
              <w:rPr>
                <w:rFonts w:eastAsia="Calibri"/>
                <w:sz w:val="20"/>
                <w:lang w:val="fr-CA"/>
              </w:rPr>
            </w:pPr>
            <w:r w:rsidRPr="009A0486">
              <w:rPr>
                <w:rFonts w:eastAsia="Calibri"/>
                <w:sz w:val="20"/>
                <w:lang w:val="fr-CA"/>
              </w:rPr>
              <w:t>14 juillet 2009</w:t>
            </w:r>
          </w:p>
          <w:p w:rsidR="00CF3C04" w:rsidRPr="009A0486" w:rsidRDefault="00CF3C04" w:rsidP="00D77551">
            <w:pPr>
              <w:jc w:val="both"/>
              <w:rPr>
                <w:rFonts w:eastAsia="Calibri"/>
                <w:sz w:val="20"/>
                <w:lang w:val="fr-CA"/>
              </w:rPr>
            </w:pPr>
            <w:r w:rsidRPr="009A0486">
              <w:rPr>
                <w:rFonts w:eastAsia="Calibri"/>
                <w:sz w:val="20"/>
                <w:lang w:val="fr-CA"/>
              </w:rPr>
              <w:t>Cour suprême de la Colombie-Britannique</w:t>
            </w:r>
          </w:p>
          <w:p w:rsidR="00CF3C04" w:rsidRPr="009A0486" w:rsidRDefault="00CF3C04" w:rsidP="00D77551">
            <w:pPr>
              <w:jc w:val="both"/>
              <w:rPr>
                <w:rFonts w:eastAsia="Calibri"/>
                <w:sz w:val="20"/>
                <w:lang w:val="fr-CA"/>
              </w:rPr>
            </w:pPr>
            <w:r w:rsidRPr="009A0486">
              <w:rPr>
                <w:rFonts w:eastAsia="Calibri"/>
                <w:sz w:val="20"/>
                <w:lang w:val="fr-CA"/>
              </w:rPr>
              <w:t>(Juge Wilson)</w:t>
            </w:r>
          </w:p>
          <w:p w:rsidR="00CF3C04" w:rsidRPr="009A0486" w:rsidRDefault="00CF3C04" w:rsidP="00D77551">
            <w:pPr>
              <w:jc w:val="both"/>
              <w:rPr>
                <w:rFonts w:eastAsia="Calibri"/>
                <w:sz w:val="20"/>
                <w:lang w:val="fr-CA"/>
              </w:rPr>
            </w:pPr>
            <w:r w:rsidRPr="009A0486">
              <w:rPr>
                <w:rFonts w:eastAsia="Calibri"/>
                <w:sz w:val="20"/>
                <w:lang w:val="fr-CA"/>
              </w:rPr>
              <w:t>2009 BCSC 1876</w:t>
            </w:r>
          </w:p>
          <w:p w:rsidR="00CF3C04" w:rsidRPr="009A0486" w:rsidRDefault="00CF3C04" w:rsidP="00D77551">
            <w:pPr>
              <w:jc w:val="both"/>
              <w:rPr>
                <w:rFonts w:eastAsia="Calibri"/>
                <w:sz w:val="20"/>
                <w:lang w:val="fr-CA"/>
              </w:rPr>
            </w:pPr>
          </w:p>
        </w:tc>
        <w:tc>
          <w:tcPr>
            <w:tcW w:w="243" w:type="pct"/>
          </w:tcPr>
          <w:p w:rsidR="00CF3C04" w:rsidRPr="009A0486" w:rsidRDefault="00CF3C04" w:rsidP="00D77551">
            <w:pPr>
              <w:jc w:val="both"/>
              <w:rPr>
                <w:rFonts w:eastAsia="Calibri"/>
                <w:sz w:val="20"/>
                <w:lang w:val="fr-CA"/>
              </w:rPr>
            </w:pPr>
          </w:p>
        </w:tc>
        <w:tc>
          <w:tcPr>
            <w:tcW w:w="2330" w:type="pct"/>
          </w:tcPr>
          <w:p w:rsidR="00CF3C04" w:rsidRPr="009A0486" w:rsidRDefault="00CF3C04" w:rsidP="00D77551">
            <w:pPr>
              <w:jc w:val="both"/>
              <w:rPr>
                <w:rFonts w:eastAsia="Calibri"/>
                <w:sz w:val="20"/>
                <w:lang w:val="fr-CA"/>
              </w:rPr>
            </w:pPr>
            <w:r w:rsidRPr="009A0486">
              <w:rPr>
                <w:rFonts w:eastAsia="Calibri"/>
                <w:sz w:val="20"/>
                <w:lang w:val="fr-CA"/>
              </w:rPr>
              <w:t xml:space="preserve">Ordonnance radiant certains paragraphes de la déclaration du demandeur et rejetant son action </w:t>
            </w:r>
          </w:p>
        </w:tc>
      </w:tr>
      <w:tr w:rsidR="00CF3C04" w:rsidRPr="009A0486" w:rsidTr="00D77551">
        <w:tc>
          <w:tcPr>
            <w:tcW w:w="2427" w:type="pct"/>
          </w:tcPr>
          <w:p w:rsidR="00CF3C04" w:rsidRPr="009A0486" w:rsidRDefault="00CF3C04" w:rsidP="00D77551">
            <w:pPr>
              <w:jc w:val="both"/>
              <w:rPr>
                <w:rFonts w:eastAsia="Calibri"/>
                <w:sz w:val="20"/>
                <w:lang w:val="fr-CA"/>
              </w:rPr>
            </w:pPr>
            <w:r w:rsidRPr="009A0486">
              <w:rPr>
                <w:rFonts w:eastAsia="Calibri"/>
                <w:sz w:val="20"/>
                <w:lang w:val="fr-CA"/>
              </w:rPr>
              <w:t>10 juin 2010</w:t>
            </w:r>
          </w:p>
          <w:p w:rsidR="00CF3C04" w:rsidRPr="009A0486" w:rsidRDefault="00CF3C04" w:rsidP="00D77551">
            <w:pPr>
              <w:jc w:val="both"/>
              <w:rPr>
                <w:rFonts w:eastAsia="Calibri"/>
                <w:sz w:val="20"/>
                <w:lang w:val="fr-CA"/>
              </w:rPr>
            </w:pPr>
            <w:r w:rsidRPr="009A0486">
              <w:rPr>
                <w:rFonts w:eastAsia="Calibri"/>
                <w:sz w:val="20"/>
                <w:lang w:val="fr-CA"/>
              </w:rPr>
              <w:t>Cour d’appel de la Colombie-Britannique</w:t>
            </w:r>
          </w:p>
          <w:p w:rsidR="00CF3C04" w:rsidRPr="009A0486" w:rsidRDefault="00CF3C04" w:rsidP="00D77551">
            <w:pPr>
              <w:jc w:val="both"/>
              <w:rPr>
                <w:rFonts w:eastAsia="Calibri"/>
                <w:sz w:val="20"/>
                <w:lang w:val="fr-CA"/>
              </w:rPr>
            </w:pPr>
            <w:r w:rsidRPr="009A0486">
              <w:rPr>
                <w:rFonts w:eastAsia="Calibri"/>
                <w:sz w:val="20"/>
                <w:lang w:val="fr-CA"/>
              </w:rPr>
              <w:t>(Vancouver)</w:t>
            </w:r>
          </w:p>
          <w:p w:rsidR="00CF3C04" w:rsidRPr="009A0486" w:rsidRDefault="00CF3C04" w:rsidP="00D77551">
            <w:pPr>
              <w:jc w:val="both"/>
              <w:rPr>
                <w:rFonts w:eastAsia="Calibri"/>
                <w:sz w:val="20"/>
                <w:lang w:val="fr-CA"/>
              </w:rPr>
            </w:pPr>
            <w:r w:rsidRPr="009A0486">
              <w:rPr>
                <w:rFonts w:eastAsia="Calibri"/>
                <w:sz w:val="20"/>
                <w:lang w:val="fr-CA"/>
              </w:rPr>
              <w:t>(Juges Rowles, Saunders et Smith)</w:t>
            </w:r>
          </w:p>
          <w:p w:rsidR="00CF3C04" w:rsidRPr="009A0486" w:rsidRDefault="00CF3C04" w:rsidP="00D77551">
            <w:pPr>
              <w:jc w:val="both"/>
              <w:rPr>
                <w:rFonts w:eastAsia="Calibri"/>
                <w:sz w:val="20"/>
                <w:lang w:val="fr-CA"/>
              </w:rPr>
            </w:pPr>
            <w:r w:rsidRPr="009A0486">
              <w:rPr>
                <w:rFonts w:eastAsia="Calibri"/>
                <w:sz w:val="20"/>
                <w:lang w:val="fr-CA"/>
              </w:rPr>
              <w:t>2010 BCCA 308; CA037341</w:t>
            </w:r>
          </w:p>
          <w:p w:rsidR="00CF3C04" w:rsidRPr="009A0486" w:rsidRDefault="00CF3C04" w:rsidP="00D77551">
            <w:pPr>
              <w:jc w:val="both"/>
              <w:rPr>
                <w:rFonts w:eastAsia="Calibri"/>
                <w:sz w:val="20"/>
                <w:lang w:val="fr-CA"/>
              </w:rPr>
            </w:pPr>
          </w:p>
        </w:tc>
        <w:tc>
          <w:tcPr>
            <w:tcW w:w="243" w:type="pct"/>
          </w:tcPr>
          <w:p w:rsidR="00CF3C04" w:rsidRPr="009A0486" w:rsidRDefault="00CF3C04" w:rsidP="00D77551">
            <w:pPr>
              <w:jc w:val="both"/>
              <w:rPr>
                <w:rFonts w:eastAsia="Calibri"/>
                <w:sz w:val="20"/>
                <w:lang w:val="fr-CA"/>
              </w:rPr>
            </w:pPr>
          </w:p>
        </w:tc>
        <w:tc>
          <w:tcPr>
            <w:tcW w:w="2330" w:type="pct"/>
          </w:tcPr>
          <w:p w:rsidR="00CF3C04" w:rsidRPr="009A0486" w:rsidRDefault="00CF3C04" w:rsidP="00D77551">
            <w:pPr>
              <w:jc w:val="both"/>
              <w:rPr>
                <w:rFonts w:eastAsia="Calibri"/>
                <w:sz w:val="20"/>
                <w:lang w:val="fr-CA"/>
              </w:rPr>
            </w:pPr>
            <w:r w:rsidRPr="009A0486">
              <w:rPr>
                <w:rFonts w:eastAsia="Calibri"/>
                <w:sz w:val="20"/>
                <w:lang w:val="fr-CA"/>
              </w:rPr>
              <w:t>Appel rejeté</w:t>
            </w:r>
          </w:p>
          <w:p w:rsidR="00CF3C04" w:rsidRPr="009A0486" w:rsidRDefault="00CF3C04" w:rsidP="00D77551">
            <w:pPr>
              <w:jc w:val="both"/>
              <w:rPr>
                <w:rFonts w:eastAsia="Calibri"/>
                <w:sz w:val="20"/>
                <w:lang w:val="fr-CA"/>
              </w:rPr>
            </w:pPr>
          </w:p>
        </w:tc>
      </w:tr>
    </w:tbl>
    <w:p w:rsidR="00AF11AE" w:rsidRDefault="00AF11AE"/>
    <w:p w:rsidR="00AF11AE" w:rsidRDefault="00AF11AE"/>
    <w:tbl>
      <w:tblPr>
        <w:tblW w:w="4952" w:type="pct"/>
        <w:tblInd w:w="2" w:type="dxa"/>
        <w:tblLayout w:type="fixed"/>
        <w:tblCellMar>
          <w:left w:w="0" w:type="dxa"/>
          <w:bottom w:w="99" w:type="dxa"/>
          <w:right w:w="0" w:type="dxa"/>
        </w:tblCellMar>
        <w:tblLook w:val="00A0"/>
      </w:tblPr>
      <w:tblGrid>
        <w:gridCol w:w="4624"/>
        <w:gridCol w:w="463"/>
        <w:gridCol w:w="4440"/>
      </w:tblGrid>
      <w:tr w:rsidR="00CF3C04" w:rsidRPr="009A0486" w:rsidTr="00AF11AE">
        <w:trPr>
          <w:cantSplit/>
        </w:trPr>
        <w:tc>
          <w:tcPr>
            <w:tcW w:w="2427" w:type="pct"/>
          </w:tcPr>
          <w:p w:rsidR="00CF3C04" w:rsidRPr="009A0486" w:rsidRDefault="00CF3C04" w:rsidP="00D77551">
            <w:pPr>
              <w:jc w:val="both"/>
              <w:rPr>
                <w:rFonts w:eastAsia="Calibri"/>
                <w:sz w:val="20"/>
                <w:lang w:val="fr-CA"/>
              </w:rPr>
            </w:pPr>
            <w:r w:rsidRPr="009A0486">
              <w:rPr>
                <w:rFonts w:eastAsia="Calibri"/>
                <w:sz w:val="20"/>
                <w:lang w:val="fr-CA"/>
              </w:rPr>
              <w:lastRenderedPageBreak/>
              <w:t>7 septembre 2010</w:t>
            </w:r>
          </w:p>
          <w:p w:rsidR="00CF3C04" w:rsidRPr="009A0486" w:rsidRDefault="00CF3C04" w:rsidP="00D77551">
            <w:pPr>
              <w:jc w:val="both"/>
              <w:rPr>
                <w:rFonts w:eastAsia="Calibri"/>
                <w:sz w:val="20"/>
                <w:lang w:val="fr-CA"/>
              </w:rPr>
            </w:pPr>
            <w:r w:rsidRPr="009A0486">
              <w:rPr>
                <w:rFonts w:eastAsia="Calibri"/>
                <w:sz w:val="20"/>
                <w:lang w:val="fr-CA"/>
              </w:rPr>
              <w:t>Cour suprême du Canada</w:t>
            </w:r>
          </w:p>
        </w:tc>
        <w:tc>
          <w:tcPr>
            <w:tcW w:w="243" w:type="pct"/>
          </w:tcPr>
          <w:p w:rsidR="00CF3C04" w:rsidRPr="009A0486" w:rsidRDefault="00CF3C04" w:rsidP="00D77551">
            <w:pPr>
              <w:jc w:val="both"/>
              <w:rPr>
                <w:rFonts w:eastAsia="Calibri"/>
                <w:sz w:val="20"/>
                <w:lang w:val="fr-CA"/>
              </w:rPr>
            </w:pPr>
          </w:p>
        </w:tc>
        <w:tc>
          <w:tcPr>
            <w:tcW w:w="2330" w:type="pct"/>
          </w:tcPr>
          <w:p w:rsidR="00CF3C04" w:rsidRPr="009A0486" w:rsidRDefault="00CF3C04" w:rsidP="00D77551">
            <w:pPr>
              <w:jc w:val="both"/>
              <w:rPr>
                <w:rFonts w:eastAsia="Calibri"/>
                <w:sz w:val="20"/>
                <w:lang w:val="fr-CA"/>
              </w:rPr>
            </w:pPr>
            <w:r w:rsidRPr="009A0486">
              <w:rPr>
                <w:rFonts w:eastAsia="Calibri"/>
                <w:sz w:val="20"/>
                <w:lang w:val="fr-CA"/>
              </w:rPr>
              <w:t>Demande d’autorisation d’appel déposée</w:t>
            </w:r>
          </w:p>
          <w:p w:rsidR="00CF3C04" w:rsidRPr="009A0486" w:rsidRDefault="00CF3C04" w:rsidP="00D77551">
            <w:pPr>
              <w:jc w:val="both"/>
              <w:rPr>
                <w:rFonts w:eastAsia="Calibri"/>
                <w:sz w:val="20"/>
                <w:lang w:val="fr-CA"/>
              </w:rPr>
            </w:pPr>
          </w:p>
        </w:tc>
      </w:tr>
    </w:tbl>
    <w:p w:rsidR="0026524B" w:rsidRPr="00E01ABF" w:rsidRDefault="0026524B" w:rsidP="0026524B">
      <w:pPr>
        <w:rPr>
          <w:sz w:val="20"/>
          <w:szCs w:val="20"/>
        </w:rPr>
      </w:pPr>
    </w:p>
    <w:p w:rsidR="0026524B" w:rsidRDefault="00D56013" w:rsidP="0026524B">
      <w:pPr>
        <w:rPr>
          <w:sz w:val="20"/>
          <w:szCs w:val="20"/>
          <w:lang w:val="fr-CA"/>
        </w:rPr>
      </w:pPr>
      <w:r w:rsidRPr="00D56013">
        <w:rPr>
          <w:sz w:val="20"/>
          <w:szCs w:val="20"/>
          <w:lang w:val="fr-CA"/>
        </w:rPr>
        <w:pict>
          <v:rect id="_x0000_i1075" style="width:2in;height:1pt" o:hrpct="0" o:hralign="center" o:hrstd="t" o:hrnoshade="t" o:hr="t" fillcolor="black [3213]" stroked="f"/>
        </w:pict>
      </w:r>
    </w:p>
    <w:p w:rsidR="00AF11AE" w:rsidRDefault="00AF11AE">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AF11AE" w:rsidRPr="00AF11AE" w:rsidTr="00473DF7">
        <w:trPr>
          <w:cantSplit/>
        </w:trPr>
        <w:tc>
          <w:tcPr>
            <w:tcW w:w="1458" w:type="dxa"/>
          </w:tcPr>
          <w:p w:rsidR="00AF11AE" w:rsidRPr="00AF11AE" w:rsidRDefault="00AF11AE" w:rsidP="00473DF7">
            <w:pPr>
              <w:rPr>
                <w:sz w:val="20"/>
                <w:szCs w:val="20"/>
              </w:rPr>
            </w:pPr>
            <w:r w:rsidRPr="00AF11AE">
              <w:rPr>
                <w:rStyle w:val="SCCFileNumberChar"/>
                <w:sz w:val="20"/>
                <w:szCs w:val="20"/>
              </w:rPr>
              <w:t>33834</w:t>
            </w:r>
          </w:p>
          <w:p w:rsidR="00AF11AE" w:rsidRPr="00AF11AE" w:rsidRDefault="00AF11AE" w:rsidP="00473DF7">
            <w:pPr>
              <w:rPr>
                <w:b/>
                <w:sz w:val="20"/>
                <w:szCs w:val="20"/>
                <w:lang w:val="fr-CA"/>
              </w:rPr>
            </w:pPr>
          </w:p>
        </w:tc>
        <w:tc>
          <w:tcPr>
            <w:tcW w:w="8118" w:type="dxa"/>
          </w:tcPr>
          <w:p w:rsidR="00AF11AE" w:rsidRPr="00AF11AE" w:rsidRDefault="00AF11AE" w:rsidP="00473DF7">
            <w:pPr>
              <w:rPr>
                <w:sz w:val="20"/>
                <w:szCs w:val="20"/>
              </w:rPr>
            </w:pPr>
            <w:r w:rsidRPr="00AF11AE">
              <w:rPr>
                <w:rStyle w:val="SCCLsocChar"/>
                <w:sz w:val="20"/>
                <w:szCs w:val="20"/>
                <w:lang w:val="en-CA"/>
              </w:rPr>
              <w:t>Eleanor R. Clitheroe v. Hydro One Inc.</w:t>
            </w:r>
            <w:r w:rsidRPr="00AF11AE">
              <w:rPr>
                <w:sz w:val="20"/>
                <w:szCs w:val="20"/>
              </w:rPr>
              <w:t xml:space="preserve"> (Ont.) (Civil) (By Leave)</w:t>
            </w:r>
          </w:p>
          <w:p w:rsidR="00AF11AE" w:rsidRPr="00AF11AE" w:rsidRDefault="00AF11AE" w:rsidP="00473DF7">
            <w:pPr>
              <w:rPr>
                <w:sz w:val="20"/>
                <w:szCs w:val="20"/>
              </w:rPr>
            </w:pPr>
          </w:p>
        </w:tc>
      </w:tr>
      <w:tr w:rsidR="00AF11AE" w:rsidRPr="00AF11AE" w:rsidTr="00473DF7">
        <w:trPr>
          <w:cantSplit/>
        </w:trPr>
        <w:tc>
          <w:tcPr>
            <w:tcW w:w="1458" w:type="dxa"/>
          </w:tcPr>
          <w:p w:rsidR="00AF11AE" w:rsidRPr="00AF11AE" w:rsidRDefault="00AF11AE" w:rsidP="00473DF7">
            <w:pPr>
              <w:rPr>
                <w:sz w:val="20"/>
                <w:szCs w:val="20"/>
              </w:rPr>
            </w:pPr>
            <w:r w:rsidRPr="00AF11AE">
              <w:rPr>
                <w:sz w:val="20"/>
                <w:szCs w:val="20"/>
              </w:rPr>
              <w:t>Coram :</w:t>
            </w:r>
          </w:p>
        </w:tc>
        <w:tc>
          <w:tcPr>
            <w:tcW w:w="8118" w:type="dxa"/>
          </w:tcPr>
          <w:p w:rsidR="00AF11AE" w:rsidRPr="00AF11AE" w:rsidRDefault="00AF11AE" w:rsidP="00473DF7">
            <w:pPr>
              <w:rPr>
                <w:sz w:val="20"/>
                <w:szCs w:val="20"/>
              </w:rPr>
            </w:pPr>
            <w:r w:rsidRPr="00AF11AE">
              <w:rPr>
                <w:rStyle w:val="SCCCoramChar"/>
                <w:sz w:val="20"/>
                <w:szCs w:val="20"/>
                <w:lang w:val="en-CA"/>
              </w:rPr>
              <w:t>Binnie, Fish and Rothstein JJ.</w:t>
            </w:r>
          </w:p>
          <w:p w:rsidR="00AF11AE" w:rsidRPr="00AF11AE" w:rsidRDefault="00AF11AE" w:rsidP="00473DF7">
            <w:pPr>
              <w:rPr>
                <w:sz w:val="20"/>
                <w:szCs w:val="20"/>
                <w:u w:val="single"/>
              </w:rPr>
            </w:pPr>
          </w:p>
        </w:tc>
      </w:tr>
      <w:tr w:rsidR="00AF11AE" w:rsidRPr="00850008" w:rsidTr="00473DF7">
        <w:trPr>
          <w:cantSplit/>
        </w:trPr>
        <w:tc>
          <w:tcPr>
            <w:tcW w:w="9576" w:type="dxa"/>
            <w:gridSpan w:val="2"/>
          </w:tcPr>
          <w:p w:rsidR="00AF11AE" w:rsidRPr="00AF11AE" w:rsidRDefault="00AF11AE" w:rsidP="00473DF7">
            <w:pPr>
              <w:pStyle w:val="SCCShortJudgment"/>
              <w:rPr>
                <w:szCs w:val="20"/>
              </w:rPr>
            </w:pPr>
            <w:r w:rsidRPr="00AF11AE">
              <w:rPr>
                <w:szCs w:val="20"/>
              </w:rPr>
              <w:t>The application for leave to appeal from the judgment of the Court of Appeal for Ontario, Number C50727, 2010 ONCA 458, dated June 15, 2010, is dismissed with costs.</w:t>
            </w:r>
          </w:p>
          <w:p w:rsidR="00AF11AE" w:rsidRPr="00AF11AE" w:rsidRDefault="00AF11AE" w:rsidP="00473DF7">
            <w:pPr>
              <w:pStyle w:val="SCCShortJudgment"/>
              <w:ind w:firstLine="0"/>
              <w:rPr>
                <w:szCs w:val="20"/>
              </w:rPr>
            </w:pPr>
          </w:p>
          <w:p w:rsidR="00AF11AE" w:rsidRPr="00AF11AE" w:rsidRDefault="00AF11AE" w:rsidP="00AF11AE">
            <w:pPr>
              <w:pStyle w:val="SCCShortJudgment"/>
              <w:rPr>
                <w:szCs w:val="20"/>
                <w:lang w:val="fr-CA"/>
              </w:rPr>
            </w:pPr>
            <w:r w:rsidRPr="00AF11AE">
              <w:rPr>
                <w:szCs w:val="20"/>
                <w:lang w:val="fr-CA"/>
              </w:rPr>
              <w:t>La demande d’autorisation d’appel de l’arrêt de la Cour d’appel de l’Ontario, numéro C50727, 2010 ONCA 458, daté du 15 juin 2010, est rejetée avec dépens.</w:t>
            </w:r>
          </w:p>
        </w:tc>
      </w:tr>
    </w:tbl>
    <w:p w:rsidR="0026524B" w:rsidRDefault="0026524B" w:rsidP="0026524B">
      <w:pPr>
        <w:rPr>
          <w:sz w:val="20"/>
          <w:szCs w:val="20"/>
          <w:lang w:val="fr-CA"/>
        </w:rPr>
      </w:pPr>
    </w:p>
    <w:p w:rsidR="0026524B" w:rsidRPr="00E01ABF" w:rsidRDefault="0026524B" w:rsidP="0026524B">
      <w:pPr>
        <w:rPr>
          <w:sz w:val="20"/>
          <w:szCs w:val="20"/>
          <w:u w:val="single"/>
        </w:rPr>
      </w:pPr>
      <w:r w:rsidRPr="00E01ABF">
        <w:rPr>
          <w:sz w:val="20"/>
          <w:szCs w:val="20"/>
          <w:u w:val="single"/>
        </w:rPr>
        <w:t>CASE SUMMARY</w:t>
      </w:r>
    </w:p>
    <w:p w:rsidR="0026524B" w:rsidRDefault="0026524B" w:rsidP="0026524B">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D77551" w:rsidRPr="00316127" w:rsidTr="00D77551">
        <w:tc>
          <w:tcPr>
            <w:tcW w:w="5000" w:type="pct"/>
            <w:gridSpan w:val="3"/>
          </w:tcPr>
          <w:p w:rsidR="00D77551" w:rsidRDefault="00D77551" w:rsidP="00D77551">
            <w:pPr>
              <w:jc w:val="both"/>
              <w:rPr>
                <w:rFonts w:eastAsia="Calibri"/>
                <w:sz w:val="20"/>
              </w:rPr>
            </w:pPr>
            <w:r w:rsidRPr="00316127">
              <w:rPr>
                <w:rFonts w:eastAsia="Calibri"/>
                <w:i/>
                <w:sz w:val="20"/>
              </w:rPr>
              <w:t>Charter of Rights</w:t>
            </w:r>
            <w:r w:rsidRPr="00316127">
              <w:rPr>
                <w:rFonts w:eastAsia="Calibri"/>
                <w:sz w:val="20"/>
              </w:rPr>
              <w:t xml:space="preserve"> – Right to liberty - Fundamental justice – Legislation – Interpretation – Crown law – Government contracts - Whether the lower courts were correct in applying the standard principle of legislative interpretation, namely ascertaining the intention of the legislature - Whether the lower courts erred in failing to apply a different standard of interpretation where express rights are expropriated retroactively by legislation aimed at a single individual- Whether section 12 of the legislation is contrary to the liberty interest in Section 7 of the </w:t>
            </w:r>
            <w:r w:rsidRPr="00316127">
              <w:rPr>
                <w:rFonts w:eastAsia="Calibri"/>
                <w:i/>
                <w:sz w:val="20"/>
              </w:rPr>
              <w:t>Charter</w:t>
            </w:r>
            <w:r w:rsidRPr="00316127">
              <w:rPr>
                <w:rFonts w:eastAsia="Calibri"/>
                <w:sz w:val="20"/>
              </w:rPr>
              <w:t xml:space="preserve"> -</w:t>
            </w:r>
            <w:r w:rsidRPr="00316127">
              <w:rPr>
                <w:rFonts w:eastAsia="Calibri"/>
                <w:i/>
                <w:sz w:val="20"/>
              </w:rPr>
              <w:t xml:space="preserve"> Hydro One Inc. Directors and Officers Act, </w:t>
            </w:r>
            <w:r w:rsidRPr="00316127">
              <w:rPr>
                <w:rFonts w:eastAsia="Calibri"/>
                <w:sz w:val="20"/>
              </w:rPr>
              <w:t>2002, S.O. 2002 c. 3, s. 12 (the “</w:t>
            </w:r>
            <w:r w:rsidRPr="00316127">
              <w:rPr>
                <w:rFonts w:eastAsia="Calibri"/>
                <w:i/>
                <w:sz w:val="20"/>
              </w:rPr>
              <w:t>Act</w:t>
            </w:r>
            <w:r w:rsidRPr="00316127">
              <w:rPr>
                <w:rFonts w:eastAsia="Calibri"/>
                <w:sz w:val="20"/>
              </w:rPr>
              <w:t>”).</w:t>
            </w:r>
          </w:p>
          <w:p w:rsidR="005617B9" w:rsidRPr="00316127" w:rsidRDefault="005617B9" w:rsidP="00D77551">
            <w:pPr>
              <w:jc w:val="both"/>
              <w:rPr>
                <w:rFonts w:eastAsia="Calibri"/>
                <w:sz w:val="20"/>
              </w:rPr>
            </w:pPr>
          </w:p>
        </w:tc>
      </w:tr>
      <w:tr w:rsidR="00D77551" w:rsidRPr="00316127" w:rsidTr="00D77551">
        <w:tc>
          <w:tcPr>
            <w:tcW w:w="5000" w:type="pct"/>
            <w:gridSpan w:val="3"/>
          </w:tcPr>
          <w:p w:rsidR="00D77551" w:rsidRPr="00316127" w:rsidRDefault="00D77551" w:rsidP="00D77551">
            <w:pPr>
              <w:jc w:val="both"/>
              <w:rPr>
                <w:rFonts w:eastAsia="Calibri"/>
                <w:sz w:val="20"/>
              </w:rPr>
            </w:pPr>
            <w:r w:rsidRPr="00316127">
              <w:rPr>
                <w:rFonts w:eastAsia="Calibri"/>
                <w:sz w:val="20"/>
              </w:rPr>
              <w:t xml:space="preserve">The Applicant had a long and successful career, working first in business, then accepting positions with the Ontario Government, with Ontario Hydro, and with Hydro One Inc.  With each change of employer, her pension entitlements were transferred into the plan with the new employer. In 2002, the Ontario legislature passed the </w:t>
            </w:r>
            <w:r w:rsidRPr="00316127">
              <w:rPr>
                <w:rFonts w:eastAsia="Calibri"/>
                <w:i/>
                <w:sz w:val="20"/>
              </w:rPr>
              <w:t>Act</w:t>
            </w:r>
            <w:r w:rsidRPr="00316127">
              <w:rPr>
                <w:rFonts w:eastAsia="Calibri"/>
                <w:sz w:val="20"/>
              </w:rPr>
              <w:t xml:space="preserve">, which terminated her position as a director and the Chief Executive Officer of Hydro One Inc. and purported to eliminate a significant portion of her contractual rights to pension benefits from Hydro One Inc. The Applicant brought an action against Hydro One Inc. on the basis that the </w:t>
            </w:r>
            <w:r w:rsidRPr="00316127">
              <w:rPr>
                <w:rFonts w:eastAsia="Calibri"/>
                <w:i/>
                <w:sz w:val="20"/>
              </w:rPr>
              <w:t>Act</w:t>
            </w:r>
            <w:r w:rsidRPr="00316127">
              <w:rPr>
                <w:rFonts w:eastAsia="Calibri"/>
                <w:sz w:val="20"/>
              </w:rPr>
              <w:t xml:space="preserve"> was not clear, unequivocal and unambiguous in its terms with respect to retroactively divesting her of her vested pension rights. She also challenged the constitutionality of s. 12 of the </w:t>
            </w:r>
            <w:r w:rsidRPr="00316127">
              <w:rPr>
                <w:rFonts w:eastAsia="Calibri"/>
                <w:i/>
                <w:sz w:val="20"/>
              </w:rPr>
              <w:t>Act</w:t>
            </w:r>
            <w:r w:rsidRPr="00316127">
              <w:rPr>
                <w:rFonts w:eastAsia="Calibri"/>
                <w:sz w:val="20"/>
              </w:rPr>
              <w:t xml:space="preserve">, claiming that it infringed her liberty rights under s. 7 of the </w:t>
            </w:r>
            <w:r w:rsidRPr="00316127">
              <w:rPr>
                <w:rFonts w:eastAsia="Calibri"/>
                <w:i/>
                <w:sz w:val="20"/>
              </w:rPr>
              <w:t>Canadian Charter of Rights and Freedoms</w:t>
            </w:r>
            <w:r w:rsidRPr="00316127">
              <w:rPr>
                <w:rFonts w:eastAsia="Calibri"/>
                <w:sz w:val="20"/>
              </w:rPr>
              <w:t>.</w:t>
            </w:r>
          </w:p>
          <w:p w:rsidR="00D77551" w:rsidRPr="00316127" w:rsidRDefault="00D77551" w:rsidP="00D77551">
            <w:pPr>
              <w:jc w:val="both"/>
              <w:rPr>
                <w:rFonts w:eastAsia="Calibri"/>
                <w:sz w:val="20"/>
              </w:rPr>
            </w:pPr>
          </w:p>
          <w:p w:rsidR="00D77551" w:rsidRDefault="00D77551" w:rsidP="00D77551">
            <w:pPr>
              <w:jc w:val="both"/>
              <w:rPr>
                <w:rFonts w:eastAsia="Calibri"/>
                <w:sz w:val="20"/>
              </w:rPr>
            </w:pPr>
            <w:r w:rsidRPr="00316127">
              <w:rPr>
                <w:rFonts w:eastAsia="Calibri"/>
                <w:sz w:val="20"/>
              </w:rPr>
              <w:t xml:space="preserve">Hydro One Inc, countered that the </w:t>
            </w:r>
            <w:r w:rsidRPr="00316127">
              <w:rPr>
                <w:rFonts w:eastAsia="Calibri"/>
                <w:i/>
                <w:sz w:val="20"/>
              </w:rPr>
              <w:t>Act</w:t>
            </w:r>
            <w:r w:rsidRPr="00316127">
              <w:rPr>
                <w:rFonts w:eastAsia="Calibri"/>
                <w:sz w:val="20"/>
              </w:rPr>
              <w:t xml:space="preserve"> was clear, unequivocal and unambiguous in its intent to retroactively change and limit the Applicant’s pension entitlement. The Ontario Government intervened to support the constitutionality of the legislation, arguing that the Applicant’s contractual pension rights are purely economic rights that are not protected by s. 7 of the </w:t>
            </w:r>
            <w:r w:rsidRPr="00316127">
              <w:rPr>
                <w:rFonts w:eastAsia="Calibri"/>
                <w:i/>
                <w:sz w:val="20"/>
              </w:rPr>
              <w:t>Charter</w:t>
            </w:r>
            <w:r w:rsidRPr="00316127">
              <w:rPr>
                <w:rFonts w:eastAsia="Calibri"/>
                <w:sz w:val="20"/>
              </w:rPr>
              <w:t>.</w:t>
            </w:r>
          </w:p>
          <w:p w:rsidR="00D77551" w:rsidRPr="00316127" w:rsidRDefault="00D77551" w:rsidP="00D77551">
            <w:pPr>
              <w:jc w:val="both"/>
              <w:rPr>
                <w:rFonts w:eastAsia="Calibri"/>
                <w:sz w:val="20"/>
              </w:rPr>
            </w:pPr>
          </w:p>
        </w:tc>
      </w:tr>
      <w:tr w:rsidR="00D77551" w:rsidRPr="00316127" w:rsidTr="00D77551">
        <w:tc>
          <w:tcPr>
            <w:tcW w:w="2427" w:type="pct"/>
          </w:tcPr>
          <w:p w:rsidR="00D77551" w:rsidRPr="00316127" w:rsidRDefault="00D77551" w:rsidP="00D77551">
            <w:pPr>
              <w:jc w:val="both"/>
              <w:rPr>
                <w:rFonts w:eastAsia="Calibri"/>
                <w:sz w:val="20"/>
              </w:rPr>
            </w:pPr>
            <w:r w:rsidRPr="00316127">
              <w:rPr>
                <w:rFonts w:eastAsia="Calibri"/>
                <w:sz w:val="20"/>
              </w:rPr>
              <w:t>June 26, 2009</w:t>
            </w:r>
          </w:p>
          <w:p w:rsidR="00D77551" w:rsidRPr="00316127" w:rsidRDefault="00D77551" w:rsidP="00D77551">
            <w:pPr>
              <w:jc w:val="both"/>
              <w:rPr>
                <w:rFonts w:eastAsia="Calibri"/>
                <w:sz w:val="20"/>
              </w:rPr>
            </w:pPr>
            <w:r w:rsidRPr="00316127">
              <w:rPr>
                <w:rFonts w:eastAsia="Calibri"/>
                <w:sz w:val="20"/>
              </w:rPr>
              <w:t>Ontario Superior Court of Justice</w:t>
            </w:r>
          </w:p>
          <w:p w:rsidR="00D77551" w:rsidRPr="00316127" w:rsidRDefault="00D77551" w:rsidP="00D77551">
            <w:pPr>
              <w:jc w:val="both"/>
              <w:rPr>
                <w:rFonts w:eastAsia="Calibri"/>
                <w:sz w:val="20"/>
              </w:rPr>
            </w:pPr>
            <w:r w:rsidRPr="00316127">
              <w:rPr>
                <w:rFonts w:eastAsia="Calibri"/>
                <w:sz w:val="20"/>
              </w:rPr>
              <w:t>(Mesbur J.)</w:t>
            </w:r>
          </w:p>
          <w:p w:rsidR="00D77551" w:rsidRPr="00316127" w:rsidRDefault="00D77551" w:rsidP="00D77551">
            <w:pPr>
              <w:jc w:val="both"/>
              <w:rPr>
                <w:rFonts w:eastAsia="Calibri"/>
                <w:sz w:val="20"/>
              </w:rPr>
            </w:pPr>
            <w:r w:rsidRPr="00316127">
              <w:rPr>
                <w:rFonts w:eastAsia="Calibri"/>
                <w:sz w:val="20"/>
              </w:rPr>
              <w:t>2009 CanLII 33029</w:t>
            </w:r>
          </w:p>
          <w:p w:rsidR="00D77551" w:rsidRPr="00316127" w:rsidRDefault="00D77551" w:rsidP="00D77551">
            <w:pPr>
              <w:jc w:val="both"/>
              <w:rPr>
                <w:rFonts w:eastAsia="Calibri"/>
                <w:sz w:val="20"/>
              </w:rPr>
            </w:pPr>
          </w:p>
        </w:tc>
        <w:tc>
          <w:tcPr>
            <w:tcW w:w="243" w:type="pct"/>
          </w:tcPr>
          <w:p w:rsidR="00D77551" w:rsidRPr="00316127" w:rsidRDefault="00D77551" w:rsidP="00D77551">
            <w:pPr>
              <w:jc w:val="both"/>
              <w:rPr>
                <w:rFonts w:eastAsia="Calibri"/>
                <w:sz w:val="20"/>
              </w:rPr>
            </w:pPr>
          </w:p>
        </w:tc>
        <w:tc>
          <w:tcPr>
            <w:tcW w:w="2330" w:type="pct"/>
          </w:tcPr>
          <w:p w:rsidR="00D77551" w:rsidRPr="00316127" w:rsidRDefault="00D77551" w:rsidP="00D77551">
            <w:pPr>
              <w:jc w:val="both"/>
              <w:rPr>
                <w:rFonts w:eastAsia="Calibri"/>
                <w:sz w:val="20"/>
              </w:rPr>
            </w:pPr>
            <w:r w:rsidRPr="00316127">
              <w:rPr>
                <w:rFonts w:eastAsia="Calibri"/>
                <w:sz w:val="20"/>
              </w:rPr>
              <w:t>Applicant’s action dismissed</w:t>
            </w:r>
          </w:p>
          <w:p w:rsidR="00D77551" w:rsidRPr="00316127" w:rsidRDefault="00D77551" w:rsidP="00D77551">
            <w:pPr>
              <w:jc w:val="both"/>
              <w:rPr>
                <w:rFonts w:eastAsia="Calibri"/>
                <w:sz w:val="20"/>
              </w:rPr>
            </w:pPr>
          </w:p>
        </w:tc>
      </w:tr>
      <w:tr w:rsidR="00D77551" w:rsidRPr="00316127" w:rsidTr="00D77551">
        <w:tc>
          <w:tcPr>
            <w:tcW w:w="2427" w:type="pct"/>
          </w:tcPr>
          <w:p w:rsidR="00D77551" w:rsidRPr="00316127" w:rsidRDefault="00D77551" w:rsidP="00D77551">
            <w:pPr>
              <w:jc w:val="both"/>
              <w:rPr>
                <w:rFonts w:eastAsia="Calibri"/>
                <w:sz w:val="20"/>
              </w:rPr>
            </w:pPr>
            <w:r w:rsidRPr="00316127">
              <w:rPr>
                <w:rFonts w:eastAsia="Calibri"/>
                <w:sz w:val="20"/>
              </w:rPr>
              <w:t>June 15, 2010</w:t>
            </w:r>
          </w:p>
          <w:p w:rsidR="00D77551" w:rsidRPr="00316127" w:rsidRDefault="00D77551" w:rsidP="00D77551">
            <w:pPr>
              <w:jc w:val="both"/>
              <w:rPr>
                <w:rFonts w:eastAsia="Calibri"/>
                <w:sz w:val="20"/>
              </w:rPr>
            </w:pPr>
            <w:r w:rsidRPr="00316127">
              <w:rPr>
                <w:rFonts w:eastAsia="Calibri"/>
                <w:sz w:val="20"/>
              </w:rPr>
              <w:t>Court of Appeal for Ontario</w:t>
            </w:r>
          </w:p>
          <w:p w:rsidR="00D77551" w:rsidRPr="00316127" w:rsidRDefault="00D77551" w:rsidP="00D77551">
            <w:pPr>
              <w:jc w:val="both"/>
              <w:rPr>
                <w:rFonts w:eastAsia="Calibri"/>
                <w:sz w:val="20"/>
              </w:rPr>
            </w:pPr>
            <w:r w:rsidRPr="00316127">
              <w:rPr>
                <w:rFonts w:eastAsia="Calibri"/>
                <w:sz w:val="20"/>
              </w:rPr>
              <w:t>(Doherty, Cronk and  Watt JJ.A.)</w:t>
            </w:r>
          </w:p>
          <w:p w:rsidR="00D77551" w:rsidRPr="00316127" w:rsidRDefault="00D77551" w:rsidP="00D77551">
            <w:pPr>
              <w:jc w:val="both"/>
              <w:rPr>
                <w:rFonts w:eastAsia="Calibri"/>
                <w:sz w:val="20"/>
              </w:rPr>
            </w:pPr>
            <w:r w:rsidRPr="00316127">
              <w:rPr>
                <w:rFonts w:eastAsia="Calibri"/>
                <w:sz w:val="20"/>
              </w:rPr>
              <w:t>2010 ONCA 458</w:t>
            </w:r>
          </w:p>
          <w:p w:rsidR="00D77551" w:rsidRPr="00316127" w:rsidRDefault="00D77551" w:rsidP="00D77551">
            <w:pPr>
              <w:jc w:val="both"/>
              <w:rPr>
                <w:rFonts w:eastAsia="Calibri"/>
                <w:sz w:val="20"/>
              </w:rPr>
            </w:pPr>
          </w:p>
        </w:tc>
        <w:tc>
          <w:tcPr>
            <w:tcW w:w="243" w:type="pct"/>
          </w:tcPr>
          <w:p w:rsidR="00D77551" w:rsidRPr="00316127" w:rsidRDefault="00D77551" w:rsidP="00D77551">
            <w:pPr>
              <w:jc w:val="both"/>
              <w:rPr>
                <w:rFonts w:eastAsia="Calibri"/>
                <w:sz w:val="20"/>
              </w:rPr>
            </w:pPr>
          </w:p>
        </w:tc>
        <w:tc>
          <w:tcPr>
            <w:tcW w:w="2330" w:type="pct"/>
          </w:tcPr>
          <w:p w:rsidR="00D77551" w:rsidRPr="00316127" w:rsidRDefault="00D77551" w:rsidP="00D77551">
            <w:pPr>
              <w:jc w:val="both"/>
              <w:rPr>
                <w:rFonts w:eastAsia="Calibri"/>
                <w:sz w:val="20"/>
              </w:rPr>
            </w:pPr>
            <w:r w:rsidRPr="00316127">
              <w:rPr>
                <w:rFonts w:eastAsia="Calibri"/>
                <w:sz w:val="20"/>
              </w:rPr>
              <w:t>Appeal dismissed</w:t>
            </w:r>
          </w:p>
          <w:p w:rsidR="00D77551" w:rsidRPr="00316127" w:rsidRDefault="00D77551" w:rsidP="00D77551">
            <w:pPr>
              <w:jc w:val="both"/>
              <w:rPr>
                <w:rFonts w:eastAsia="Calibri"/>
                <w:sz w:val="20"/>
              </w:rPr>
            </w:pPr>
          </w:p>
        </w:tc>
      </w:tr>
    </w:tbl>
    <w:p w:rsidR="00AF11AE" w:rsidRDefault="00AF11AE"/>
    <w:tbl>
      <w:tblPr>
        <w:tblW w:w="4952" w:type="pct"/>
        <w:tblLayout w:type="fixed"/>
        <w:tblCellMar>
          <w:left w:w="0" w:type="dxa"/>
          <w:bottom w:w="99" w:type="dxa"/>
          <w:right w:w="0" w:type="dxa"/>
        </w:tblCellMar>
        <w:tblLook w:val="04A0"/>
      </w:tblPr>
      <w:tblGrid>
        <w:gridCol w:w="4624"/>
        <w:gridCol w:w="463"/>
        <w:gridCol w:w="4440"/>
      </w:tblGrid>
      <w:tr w:rsidR="00D77551" w:rsidRPr="00316127" w:rsidTr="00AF11AE">
        <w:trPr>
          <w:cantSplit/>
        </w:trPr>
        <w:tc>
          <w:tcPr>
            <w:tcW w:w="2427" w:type="pct"/>
          </w:tcPr>
          <w:p w:rsidR="00D77551" w:rsidRPr="00316127" w:rsidRDefault="00D77551" w:rsidP="00D77551">
            <w:pPr>
              <w:jc w:val="both"/>
              <w:rPr>
                <w:rFonts w:eastAsia="Calibri"/>
                <w:sz w:val="20"/>
              </w:rPr>
            </w:pPr>
            <w:r w:rsidRPr="00316127">
              <w:rPr>
                <w:rFonts w:eastAsia="Calibri"/>
                <w:sz w:val="20"/>
              </w:rPr>
              <w:lastRenderedPageBreak/>
              <w:t>September 9, 2010</w:t>
            </w:r>
          </w:p>
          <w:p w:rsidR="00D77551" w:rsidRPr="00316127" w:rsidRDefault="00D77551" w:rsidP="00D77551">
            <w:pPr>
              <w:jc w:val="both"/>
              <w:rPr>
                <w:rFonts w:eastAsia="Calibri"/>
                <w:sz w:val="20"/>
              </w:rPr>
            </w:pPr>
            <w:r w:rsidRPr="00316127">
              <w:rPr>
                <w:rFonts w:eastAsia="Calibri"/>
                <w:sz w:val="20"/>
              </w:rPr>
              <w:t>Supreme Court of Canada</w:t>
            </w:r>
          </w:p>
        </w:tc>
        <w:tc>
          <w:tcPr>
            <w:tcW w:w="243" w:type="pct"/>
          </w:tcPr>
          <w:p w:rsidR="00D77551" w:rsidRPr="00316127" w:rsidRDefault="00D77551" w:rsidP="00D77551">
            <w:pPr>
              <w:jc w:val="both"/>
              <w:rPr>
                <w:rFonts w:eastAsia="Calibri"/>
                <w:sz w:val="20"/>
              </w:rPr>
            </w:pPr>
          </w:p>
        </w:tc>
        <w:tc>
          <w:tcPr>
            <w:tcW w:w="2330" w:type="pct"/>
          </w:tcPr>
          <w:p w:rsidR="00D77551" w:rsidRPr="00316127" w:rsidRDefault="00D77551" w:rsidP="00D77551">
            <w:pPr>
              <w:jc w:val="both"/>
              <w:rPr>
                <w:rFonts w:eastAsia="Calibri"/>
                <w:sz w:val="20"/>
              </w:rPr>
            </w:pPr>
            <w:r w:rsidRPr="00316127">
              <w:rPr>
                <w:rFonts w:eastAsia="Calibri"/>
                <w:sz w:val="20"/>
              </w:rPr>
              <w:t>Application for leave to appeal filed</w:t>
            </w:r>
          </w:p>
          <w:p w:rsidR="00D77551" w:rsidRPr="00316127" w:rsidRDefault="00D77551" w:rsidP="00D77551">
            <w:pPr>
              <w:jc w:val="both"/>
              <w:rPr>
                <w:rFonts w:eastAsia="Calibri"/>
                <w:sz w:val="20"/>
              </w:rPr>
            </w:pPr>
          </w:p>
        </w:tc>
      </w:tr>
    </w:tbl>
    <w:p w:rsidR="00AF11AE" w:rsidRPr="00FA4947" w:rsidRDefault="00AF11AE" w:rsidP="0026524B">
      <w:pPr>
        <w:rPr>
          <w:sz w:val="20"/>
          <w:szCs w:val="20"/>
        </w:rPr>
      </w:pPr>
    </w:p>
    <w:p w:rsidR="00AF11AE" w:rsidRPr="003A39D2" w:rsidRDefault="00D56013" w:rsidP="0026524B">
      <w:pPr>
        <w:rPr>
          <w:sz w:val="20"/>
          <w:szCs w:val="20"/>
          <w:lang w:val="fr-CA"/>
        </w:rPr>
      </w:pPr>
      <w:r w:rsidRPr="00D56013">
        <w:rPr>
          <w:sz w:val="20"/>
          <w:szCs w:val="20"/>
          <w:lang w:val="fr-CA"/>
        </w:rPr>
        <w:pict>
          <v:rect id="_x0000_i1076" style="width:2in;height:1pt" o:hrpct="0" o:hralign="center" o:hrstd="t" o:hrnoshade="t" o:hr="t" fillcolor="black [3213]" stroked="f"/>
        </w:pict>
      </w:r>
    </w:p>
    <w:p w:rsidR="00AF11AE" w:rsidRPr="00E01ABF" w:rsidRDefault="00AF11AE" w:rsidP="0026524B">
      <w:pPr>
        <w:rPr>
          <w:sz w:val="20"/>
          <w:szCs w:val="20"/>
        </w:rPr>
      </w:pPr>
    </w:p>
    <w:p w:rsidR="0026524B" w:rsidRPr="00E01ABF" w:rsidRDefault="0026524B" w:rsidP="0026524B">
      <w:pPr>
        <w:rPr>
          <w:sz w:val="20"/>
          <w:szCs w:val="20"/>
          <w:u w:val="single"/>
        </w:rPr>
      </w:pPr>
      <w:r w:rsidRPr="00E01ABF">
        <w:rPr>
          <w:sz w:val="20"/>
          <w:szCs w:val="20"/>
          <w:u w:val="single"/>
        </w:rPr>
        <w:t>RÉSUMÉ DE L’AFFAIRE</w:t>
      </w:r>
    </w:p>
    <w:p w:rsidR="0026524B" w:rsidRDefault="0026524B" w:rsidP="0026524B">
      <w:pPr>
        <w:rPr>
          <w:sz w:val="20"/>
          <w:szCs w:val="20"/>
        </w:rPr>
      </w:pPr>
    </w:p>
    <w:tbl>
      <w:tblPr>
        <w:tblW w:w="4952" w:type="pct"/>
        <w:tblInd w:w="2" w:type="dxa"/>
        <w:tblLayout w:type="fixed"/>
        <w:tblCellMar>
          <w:left w:w="0" w:type="dxa"/>
          <w:bottom w:w="99" w:type="dxa"/>
          <w:right w:w="0" w:type="dxa"/>
        </w:tblCellMar>
        <w:tblLook w:val="00A0"/>
      </w:tblPr>
      <w:tblGrid>
        <w:gridCol w:w="4624"/>
        <w:gridCol w:w="463"/>
        <w:gridCol w:w="4440"/>
      </w:tblGrid>
      <w:tr w:rsidR="00D77551" w:rsidRPr="00850008" w:rsidTr="00D77551">
        <w:tc>
          <w:tcPr>
            <w:tcW w:w="5000" w:type="pct"/>
            <w:gridSpan w:val="3"/>
          </w:tcPr>
          <w:p w:rsidR="00D77551" w:rsidRDefault="00D77551" w:rsidP="00D77551">
            <w:pPr>
              <w:jc w:val="both"/>
              <w:rPr>
                <w:rFonts w:eastAsia="Calibri"/>
                <w:sz w:val="20"/>
                <w:lang w:val="fr-CA"/>
              </w:rPr>
            </w:pPr>
            <w:r w:rsidRPr="001B0500">
              <w:rPr>
                <w:rFonts w:eastAsia="Calibri"/>
                <w:i/>
                <w:iCs/>
                <w:sz w:val="20"/>
                <w:lang w:val="fr-CA"/>
              </w:rPr>
              <w:t>Charte des droits</w:t>
            </w:r>
            <w:r w:rsidRPr="001B0500">
              <w:rPr>
                <w:rFonts w:eastAsia="Calibri"/>
                <w:sz w:val="20"/>
                <w:lang w:val="fr-CA"/>
              </w:rPr>
              <w:t xml:space="preserve"> – Droit à la liberté – Justice fondamentale – Législation – Interprétation – Droit de la Couronne – Marchés publics – Les juridictions inférieures ont-elles eu raison d’appliquer le principe reconnu d’interprétation des lois, à savoir déterminer l’intention du législateur? – Les juridictions inférieures ont-elles eu tort de ne pas avoir appliqué une norme d’interprétation différente dans un cas où des droits exprès sont rétroactivement expropriés par une loi qui vise une seule personne? – L’article 12 de la loi est-il contraire au droit à la liberté prévu à l’article 7 de la </w:t>
            </w:r>
            <w:r w:rsidRPr="001B0500">
              <w:rPr>
                <w:rFonts w:eastAsia="Calibri"/>
                <w:i/>
                <w:iCs/>
                <w:sz w:val="20"/>
                <w:lang w:val="fr-CA"/>
              </w:rPr>
              <w:t>Charte</w:t>
            </w:r>
            <w:r w:rsidRPr="001B0500">
              <w:rPr>
                <w:rFonts w:eastAsia="Calibri"/>
                <w:sz w:val="20"/>
                <w:lang w:val="fr-CA"/>
              </w:rPr>
              <w:t>? –</w:t>
            </w:r>
            <w:r w:rsidRPr="001B0500">
              <w:rPr>
                <w:rFonts w:eastAsia="Calibri"/>
                <w:i/>
                <w:iCs/>
                <w:sz w:val="20"/>
                <w:lang w:val="fr-CA"/>
              </w:rPr>
              <w:t xml:space="preserve"> Loi de 2002 sur les Administrateurs et les dirigeants de Hydro One Inc.</w:t>
            </w:r>
            <w:r w:rsidRPr="001B0500">
              <w:rPr>
                <w:rFonts w:eastAsia="Calibri"/>
                <w:sz w:val="20"/>
                <w:lang w:val="fr-CA"/>
              </w:rPr>
              <w:t>, L.O. 2002 ch. 3, art. 12 (la « </w:t>
            </w:r>
            <w:r w:rsidRPr="001B0500">
              <w:rPr>
                <w:rFonts w:eastAsia="Calibri"/>
                <w:i/>
                <w:iCs/>
                <w:sz w:val="20"/>
                <w:lang w:val="fr-CA"/>
              </w:rPr>
              <w:t>Loi</w:t>
            </w:r>
            <w:r w:rsidRPr="001B0500">
              <w:rPr>
                <w:rFonts w:eastAsia="Calibri"/>
                <w:sz w:val="20"/>
                <w:lang w:val="fr-CA"/>
              </w:rPr>
              <w:t> »).</w:t>
            </w:r>
          </w:p>
          <w:p w:rsidR="00D77551" w:rsidRPr="001B0500" w:rsidRDefault="00D77551" w:rsidP="00D77551">
            <w:pPr>
              <w:jc w:val="both"/>
              <w:rPr>
                <w:rFonts w:eastAsia="Calibri"/>
                <w:sz w:val="20"/>
                <w:lang w:val="fr-CA"/>
              </w:rPr>
            </w:pPr>
          </w:p>
        </w:tc>
      </w:tr>
      <w:tr w:rsidR="00D77551" w:rsidRPr="00850008" w:rsidTr="00D77551">
        <w:tc>
          <w:tcPr>
            <w:tcW w:w="5000" w:type="pct"/>
            <w:gridSpan w:val="3"/>
          </w:tcPr>
          <w:p w:rsidR="00D77551" w:rsidRPr="001B0500" w:rsidRDefault="00D77551" w:rsidP="00D77551">
            <w:pPr>
              <w:jc w:val="both"/>
              <w:rPr>
                <w:rFonts w:eastAsia="Calibri"/>
                <w:sz w:val="20"/>
                <w:lang w:val="fr-CA"/>
              </w:rPr>
            </w:pPr>
            <w:r w:rsidRPr="001B0500">
              <w:rPr>
                <w:rFonts w:eastAsia="Calibri"/>
                <w:sz w:val="20"/>
                <w:lang w:val="fr-CA"/>
              </w:rPr>
              <w:t xml:space="preserve">La demanderesse a eu une longue carrière couronnée de succès, travaillant d’abord en entreprise, puis dans des postes au gouvernement de l’Ontario, à Ontario Hydro et à Hydro One Inc. À chaque fois qu’elle changeait d’employeur, ses droits à pension étaient transférés au régime de son nouvel employeur. En 2002, la législature de l’Ontario a adopté la </w:t>
            </w:r>
            <w:r w:rsidRPr="001B0500">
              <w:rPr>
                <w:rFonts w:eastAsia="Calibri"/>
                <w:i/>
                <w:iCs/>
                <w:sz w:val="20"/>
                <w:lang w:val="fr-CA"/>
              </w:rPr>
              <w:t>Loi</w:t>
            </w:r>
            <w:r w:rsidRPr="001B0500">
              <w:rPr>
                <w:rFonts w:eastAsia="Calibri"/>
                <w:sz w:val="20"/>
                <w:lang w:val="fr-CA"/>
              </w:rPr>
              <w:t xml:space="preserve">, qui mettait fin à son mandat d’administrateur et de président et chef de la direction de Hydro One Inc. et qui était censée éliminer une partie importante de ses droits contractuels à des prestations de retraite de Hydro One Inc. La demanderesse a intenté une action contre Hydro One Inc., alléguant que les dispositions de la </w:t>
            </w:r>
            <w:r w:rsidRPr="001B0500">
              <w:rPr>
                <w:rFonts w:eastAsia="Calibri"/>
                <w:i/>
                <w:iCs/>
                <w:sz w:val="20"/>
                <w:lang w:val="fr-CA"/>
              </w:rPr>
              <w:t>Loi</w:t>
            </w:r>
            <w:r w:rsidRPr="001B0500">
              <w:rPr>
                <w:rFonts w:eastAsia="Calibri"/>
                <w:sz w:val="20"/>
                <w:lang w:val="fr-CA"/>
              </w:rPr>
              <w:t xml:space="preserve"> qui étaient censées la priver rétroactivement de ses droits acquis à pension n’étaient pas claires, non équivoques et non ambiguës. Elle a également contesté la constitutionnalité de l’art. 12 de la </w:t>
            </w:r>
            <w:r w:rsidRPr="001B0500">
              <w:rPr>
                <w:rFonts w:eastAsia="Calibri"/>
                <w:i/>
                <w:iCs/>
                <w:sz w:val="20"/>
                <w:lang w:val="fr-CA"/>
              </w:rPr>
              <w:t>Loi</w:t>
            </w:r>
            <w:r w:rsidRPr="001B0500">
              <w:rPr>
                <w:rFonts w:eastAsia="Calibri"/>
                <w:sz w:val="20"/>
                <w:lang w:val="fr-CA"/>
              </w:rPr>
              <w:t xml:space="preserve">, alléguant qu’il violait ses droits à la liberté aux termes de l’art. 7 de la </w:t>
            </w:r>
            <w:r w:rsidRPr="001B0500">
              <w:rPr>
                <w:rFonts w:eastAsia="Calibri"/>
                <w:i/>
                <w:iCs/>
                <w:sz w:val="20"/>
                <w:lang w:val="fr-CA"/>
              </w:rPr>
              <w:t>Charte canadienne des droits et libertés</w:t>
            </w:r>
            <w:r w:rsidRPr="001B0500">
              <w:rPr>
                <w:rFonts w:eastAsia="Calibri"/>
                <w:sz w:val="20"/>
                <w:lang w:val="fr-CA"/>
              </w:rPr>
              <w:t>.</w:t>
            </w:r>
          </w:p>
          <w:p w:rsidR="00D77551" w:rsidRPr="001B0500" w:rsidRDefault="00D77551" w:rsidP="00D77551">
            <w:pPr>
              <w:jc w:val="both"/>
              <w:rPr>
                <w:rFonts w:eastAsia="Calibri"/>
                <w:sz w:val="20"/>
                <w:lang w:val="fr-CA"/>
              </w:rPr>
            </w:pPr>
          </w:p>
          <w:p w:rsidR="00D77551" w:rsidRPr="001B0500" w:rsidRDefault="00D77551" w:rsidP="00D77551">
            <w:pPr>
              <w:jc w:val="both"/>
              <w:rPr>
                <w:rFonts w:eastAsia="Calibri"/>
                <w:sz w:val="20"/>
                <w:lang w:val="fr-CA"/>
              </w:rPr>
            </w:pPr>
            <w:r w:rsidRPr="001B0500">
              <w:rPr>
                <w:rFonts w:eastAsia="Calibri"/>
                <w:sz w:val="20"/>
                <w:lang w:val="fr-CA"/>
              </w:rPr>
              <w:t xml:space="preserve">Hydro One Inc. a répliqué que le sens de la </w:t>
            </w:r>
            <w:r w:rsidRPr="001B0500">
              <w:rPr>
                <w:rFonts w:eastAsia="Calibri"/>
                <w:i/>
                <w:iCs/>
                <w:sz w:val="20"/>
                <w:lang w:val="fr-CA"/>
              </w:rPr>
              <w:t>Loi</w:t>
            </w:r>
            <w:r w:rsidRPr="001B0500">
              <w:rPr>
                <w:rFonts w:eastAsia="Calibri"/>
                <w:sz w:val="20"/>
                <w:lang w:val="fr-CA"/>
              </w:rPr>
              <w:t xml:space="preserve">, à savoir modifier et limiter rétroactivement le droit à pension de la demanderesse, était clair, non équivoque et non ambigu. Le gouvernement de l’Ontario est intervenu pour appuyer la constitutionnalité de la loi, plaidant que les droits contractuels à pension de la demanderesse étaient des droits purement économiques qui n’étaient pas protégés par l’art. 7 de la </w:t>
            </w:r>
            <w:r w:rsidRPr="001B0500">
              <w:rPr>
                <w:rFonts w:eastAsia="Calibri"/>
                <w:i/>
                <w:iCs/>
                <w:sz w:val="20"/>
                <w:lang w:val="fr-CA"/>
              </w:rPr>
              <w:t>Charte</w:t>
            </w:r>
            <w:r w:rsidRPr="001B0500">
              <w:rPr>
                <w:rFonts w:eastAsia="Calibri"/>
                <w:sz w:val="20"/>
                <w:lang w:val="fr-CA"/>
              </w:rPr>
              <w:t>.</w:t>
            </w:r>
          </w:p>
          <w:p w:rsidR="00D77551" w:rsidRPr="001B0500" w:rsidRDefault="00D77551" w:rsidP="00D77551">
            <w:pPr>
              <w:jc w:val="both"/>
              <w:rPr>
                <w:rFonts w:eastAsia="Calibri"/>
                <w:sz w:val="20"/>
                <w:lang w:val="fr-CA"/>
              </w:rPr>
            </w:pPr>
          </w:p>
        </w:tc>
      </w:tr>
      <w:tr w:rsidR="00D77551" w:rsidRPr="001B0500" w:rsidTr="00D77551">
        <w:tc>
          <w:tcPr>
            <w:tcW w:w="2427" w:type="pct"/>
          </w:tcPr>
          <w:p w:rsidR="00D77551" w:rsidRPr="001B0500" w:rsidRDefault="00D77551" w:rsidP="00D77551">
            <w:pPr>
              <w:jc w:val="both"/>
              <w:rPr>
                <w:rFonts w:eastAsia="Calibri"/>
                <w:sz w:val="20"/>
                <w:lang w:val="fr-CA"/>
              </w:rPr>
            </w:pPr>
            <w:r w:rsidRPr="001B0500">
              <w:rPr>
                <w:rFonts w:eastAsia="Calibri"/>
                <w:sz w:val="20"/>
                <w:lang w:val="fr-CA"/>
              </w:rPr>
              <w:t>26 juin 2009</w:t>
            </w:r>
          </w:p>
          <w:p w:rsidR="00D77551" w:rsidRPr="001B0500" w:rsidRDefault="00D77551" w:rsidP="00D77551">
            <w:pPr>
              <w:jc w:val="both"/>
              <w:rPr>
                <w:rFonts w:eastAsia="Calibri"/>
                <w:sz w:val="20"/>
                <w:lang w:val="fr-CA"/>
              </w:rPr>
            </w:pPr>
            <w:r w:rsidRPr="001B0500">
              <w:rPr>
                <w:rFonts w:eastAsia="Calibri"/>
                <w:sz w:val="20"/>
                <w:lang w:val="fr-CA"/>
              </w:rPr>
              <w:t>Cour supérieure de justice de l’Ontario</w:t>
            </w:r>
          </w:p>
          <w:p w:rsidR="00D77551" w:rsidRPr="001B0500" w:rsidRDefault="00D77551" w:rsidP="00D77551">
            <w:pPr>
              <w:jc w:val="both"/>
              <w:rPr>
                <w:rFonts w:eastAsia="Calibri"/>
                <w:sz w:val="20"/>
                <w:lang w:val="fr-CA"/>
              </w:rPr>
            </w:pPr>
            <w:r w:rsidRPr="001B0500">
              <w:rPr>
                <w:rFonts w:eastAsia="Calibri"/>
                <w:sz w:val="20"/>
                <w:lang w:val="fr-CA"/>
              </w:rPr>
              <w:t>(Juge Mesbur)</w:t>
            </w:r>
          </w:p>
          <w:p w:rsidR="00D77551" w:rsidRPr="001B0500" w:rsidRDefault="00D77551" w:rsidP="00D77551">
            <w:pPr>
              <w:jc w:val="both"/>
              <w:rPr>
                <w:rFonts w:eastAsia="Calibri"/>
                <w:sz w:val="20"/>
                <w:lang w:val="fr-CA"/>
              </w:rPr>
            </w:pPr>
            <w:r w:rsidRPr="001B0500">
              <w:rPr>
                <w:rFonts w:eastAsia="Calibri"/>
                <w:sz w:val="20"/>
                <w:lang w:val="fr-CA"/>
              </w:rPr>
              <w:t>2009 CanLII 33029</w:t>
            </w:r>
          </w:p>
          <w:p w:rsidR="00D77551" w:rsidRPr="001B0500" w:rsidRDefault="00D77551" w:rsidP="00D77551">
            <w:pPr>
              <w:jc w:val="both"/>
              <w:rPr>
                <w:rFonts w:eastAsia="Calibri"/>
                <w:sz w:val="20"/>
                <w:lang w:val="fr-CA"/>
              </w:rPr>
            </w:pPr>
          </w:p>
        </w:tc>
        <w:tc>
          <w:tcPr>
            <w:tcW w:w="243" w:type="pct"/>
          </w:tcPr>
          <w:p w:rsidR="00D77551" w:rsidRPr="001B0500" w:rsidRDefault="00D77551" w:rsidP="00D77551">
            <w:pPr>
              <w:jc w:val="both"/>
              <w:rPr>
                <w:rFonts w:eastAsia="Calibri"/>
                <w:sz w:val="20"/>
                <w:lang w:val="fr-CA"/>
              </w:rPr>
            </w:pPr>
          </w:p>
        </w:tc>
        <w:tc>
          <w:tcPr>
            <w:tcW w:w="2330" w:type="pct"/>
          </w:tcPr>
          <w:p w:rsidR="00D77551" w:rsidRPr="001B0500" w:rsidRDefault="00D77551" w:rsidP="00D77551">
            <w:pPr>
              <w:jc w:val="both"/>
              <w:rPr>
                <w:rFonts w:eastAsia="Calibri"/>
                <w:sz w:val="20"/>
                <w:lang w:val="fr-CA"/>
              </w:rPr>
            </w:pPr>
            <w:r w:rsidRPr="001B0500">
              <w:rPr>
                <w:rFonts w:eastAsia="Calibri"/>
                <w:sz w:val="20"/>
                <w:lang w:val="fr-CA"/>
              </w:rPr>
              <w:t>Action de la demanderesse, rejetée</w:t>
            </w:r>
          </w:p>
          <w:p w:rsidR="00D77551" w:rsidRPr="001B0500" w:rsidRDefault="00D77551" w:rsidP="00D77551">
            <w:pPr>
              <w:jc w:val="both"/>
              <w:rPr>
                <w:rFonts w:eastAsia="Calibri"/>
                <w:sz w:val="20"/>
                <w:lang w:val="fr-CA"/>
              </w:rPr>
            </w:pPr>
          </w:p>
        </w:tc>
      </w:tr>
      <w:tr w:rsidR="00D77551" w:rsidRPr="001B0500" w:rsidTr="00D77551">
        <w:tc>
          <w:tcPr>
            <w:tcW w:w="2427" w:type="pct"/>
          </w:tcPr>
          <w:p w:rsidR="00D77551" w:rsidRPr="001B0500" w:rsidRDefault="00D77551" w:rsidP="00D77551">
            <w:pPr>
              <w:jc w:val="both"/>
              <w:rPr>
                <w:rFonts w:eastAsia="Calibri"/>
                <w:sz w:val="20"/>
                <w:lang w:val="fr-CA"/>
              </w:rPr>
            </w:pPr>
            <w:r w:rsidRPr="001B0500">
              <w:rPr>
                <w:rFonts w:eastAsia="Calibri"/>
                <w:sz w:val="20"/>
                <w:lang w:val="fr-CA"/>
              </w:rPr>
              <w:t>15 juin 2010</w:t>
            </w:r>
          </w:p>
          <w:p w:rsidR="00D77551" w:rsidRPr="001B0500" w:rsidRDefault="00D77551" w:rsidP="00D77551">
            <w:pPr>
              <w:jc w:val="both"/>
              <w:rPr>
                <w:rFonts w:eastAsia="Calibri"/>
                <w:sz w:val="20"/>
                <w:lang w:val="fr-CA"/>
              </w:rPr>
            </w:pPr>
            <w:r w:rsidRPr="001B0500">
              <w:rPr>
                <w:rFonts w:eastAsia="Calibri"/>
                <w:sz w:val="20"/>
                <w:lang w:val="fr-CA"/>
              </w:rPr>
              <w:t>Cour d’appel de l’Ontario</w:t>
            </w:r>
          </w:p>
          <w:p w:rsidR="00D77551" w:rsidRPr="001B0500" w:rsidRDefault="00D77551" w:rsidP="00D77551">
            <w:pPr>
              <w:jc w:val="both"/>
              <w:rPr>
                <w:rFonts w:eastAsia="Calibri"/>
                <w:sz w:val="20"/>
                <w:lang w:val="fr-CA"/>
              </w:rPr>
            </w:pPr>
            <w:r w:rsidRPr="001B0500">
              <w:rPr>
                <w:rFonts w:eastAsia="Calibri"/>
                <w:sz w:val="20"/>
                <w:lang w:val="fr-CA"/>
              </w:rPr>
              <w:t>(Juges Doherty, Cronk et  Watt)</w:t>
            </w:r>
          </w:p>
          <w:p w:rsidR="00D77551" w:rsidRPr="001B0500" w:rsidRDefault="00D77551" w:rsidP="00D77551">
            <w:pPr>
              <w:jc w:val="both"/>
              <w:rPr>
                <w:rFonts w:eastAsia="Calibri"/>
                <w:sz w:val="20"/>
                <w:lang w:val="fr-CA"/>
              </w:rPr>
            </w:pPr>
            <w:r w:rsidRPr="001B0500">
              <w:rPr>
                <w:rFonts w:eastAsia="Calibri"/>
                <w:sz w:val="20"/>
                <w:lang w:val="fr-CA"/>
              </w:rPr>
              <w:t>2010 ONCA 458</w:t>
            </w:r>
          </w:p>
          <w:p w:rsidR="00D77551" w:rsidRPr="001B0500" w:rsidRDefault="00D77551" w:rsidP="00D77551">
            <w:pPr>
              <w:jc w:val="both"/>
              <w:rPr>
                <w:rFonts w:eastAsia="Calibri"/>
                <w:sz w:val="20"/>
                <w:lang w:val="fr-CA"/>
              </w:rPr>
            </w:pPr>
          </w:p>
        </w:tc>
        <w:tc>
          <w:tcPr>
            <w:tcW w:w="243" w:type="pct"/>
          </w:tcPr>
          <w:p w:rsidR="00D77551" w:rsidRPr="001B0500" w:rsidRDefault="00D77551" w:rsidP="00D77551">
            <w:pPr>
              <w:jc w:val="both"/>
              <w:rPr>
                <w:rFonts w:eastAsia="Calibri"/>
                <w:sz w:val="20"/>
                <w:lang w:val="fr-CA"/>
              </w:rPr>
            </w:pPr>
          </w:p>
        </w:tc>
        <w:tc>
          <w:tcPr>
            <w:tcW w:w="2330" w:type="pct"/>
          </w:tcPr>
          <w:p w:rsidR="00D77551" w:rsidRPr="001B0500" w:rsidRDefault="00D77551" w:rsidP="00D77551">
            <w:pPr>
              <w:jc w:val="both"/>
              <w:rPr>
                <w:rFonts w:eastAsia="Calibri"/>
                <w:sz w:val="20"/>
                <w:lang w:val="fr-CA"/>
              </w:rPr>
            </w:pPr>
            <w:r w:rsidRPr="001B0500">
              <w:rPr>
                <w:rFonts w:eastAsia="Calibri"/>
                <w:sz w:val="20"/>
                <w:lang w:val="fr-CA"/>
              </w:rPr>
              <w:t>Appel rejeté</w:t>
            </w:r>
          </w:p>
          <w:p w:rsidR="00D77551" w:rsidRPr="001B0500" w:rsidRDefault="00D77551" w:rsidP="00D77551">
            <w:pPr>
              <w:jc w:val="both"/>
              <w:rPr>
                <w:rFonts w:eastAsia="Calibri"/>
                <w:sz w:val="20"/>
                <w:lang w:val="fr-CA"/>
              </w:rPr>
            </w:pPr>
          </w:p>
        </w:tc>
      </w:tr>
      <w:tr w:rsidR="00D77551" w:rsidRPr="001B0500" w:rsidTr="00D77551">
        <w:tc>
          <w:tcPr>
            <w:tcW w:w="2427" w:type="pct"/>
          </w:tcPr>
          <w:p w:rsidR="00D77551" w:rsidRPr="001B0500" w:rsidRDefault="00D77551" w:rsidP="00D77551">
            <w:pPr>
              <w:jc w:val="both"/>
              <w:rPr>
                <w:rFonts w:eastAsia="Calibri"/>
                <w:sz w:val="20"/>
                <w:lang w:val="fr-CA"/>
              </w:rPr>
            </w:pPr>
            <w:r w:rsidRPr="001B0500">
              <w:rPr>
                <w:rFonts w:eastAsia="Calibri"/>
                <w:sz w:val="20"/>
                <w:lang w:val="fr-CA"/>
              </w:rPr>
              <w:t>9 septembre 2010</w:t>
            </w:r>
          </w:p>
          <w:p w:rsidR="00D77551" w:rsidRPr="001B0500" w:rsidRDefault="00D77551" w:rsidP="00D77551">
            <w:pPr>
              <w:jc w:val="both"/>
              <w:rPr>
                <w:rFonts w:eastAsia="Calibri"/>
                <w:sz w:val="20"/>
                <w:lang w:val="fr-CA"/>
              </w:rPr>
            </w:pPr>
            <w:r w:rsidRPr="001B0500">
              <w:rPr>
                <w:rFonts w:eastAsia="Calibri"/>
                <w:sz w:val="20"/>
                <w:lang w:val="fr-CA"/>
              </w:rPr>
              <w:t>Cour suprême du Canada</w:t>
            </w:r>
          </w:p>
        </w:tc>
        <w:tc>
          <w:tcPr>
            <w:tcW w:w="243" w:type="pct"/>
          </w:tcPr>
          <w:p w:rsidR="00D77551" w:rsidRPr="001B0500" w:rsidRDefault="00D77551" w:rsidP="00D77551">
            <w:pPr>
              <w:jc w:val="both"/>
              <w:rPr>
                <w:rFonts w:eastAsia="Calibri"/>
                <w:sz w:val="20"/>
                <w:lang w:val="fr-CA"/>
              </w:rPr>
            </w:pPr>
          </w:p>
        </w:tc>
        <w:tc>
          <w:tcPr>
            <w:tcW w:w="2330" w:type="pct"/>
          </w:tcPr>
          <w:p w:rsidR="00D77551" w:rsidRPr="001B0500" w:rsidRDefault="00D77551" w:rsidP="00D77551">
            <w:pPr>
              <w:jc w:val="both"/>
              <w:rPr>
                <w:rFonts w:eastAsia="Calibri"/>
                <w:sz w:val="20"/>
                <w:lang w:val="fr-CA"/>
              </w:rPr>
            </w:pPr>
            <w:r w:rsidRPr="001B0500">
              <w:rPr>
                <w:rFonts w:eastAsia="Calibri"/>
                <w:sz w:val="20"/>
                <w:lang w:val="fr-CA"/>
              </w:rPr>
              <w:t>Demande d’autorisation d’appel, déposée</w:t>
            </w:r>
          </w:p>
          <w:p w:rsidR="00D77551" w:rsidRPr="001B0500" w:rsidRDefault="00D77551" w:rsidP="00D77551">
            <w:pPr>
              <w:jc w:val="both"/>
              <w:rPr>
                <w:rFonts w:eastAsia="Calibri"/>
                <w:sz w:val="20"/>
                <w:lang w:val="fr-CA"/>
              </w:rPr>
            </w:pPr>
          </w:p>
        </w:tc>
      </w:tr>
    </w:tbl>
    <w:p w:rsidR="0026524B" w:rsidRPr="00E01ABF" w:rsidRDefault="0026524B" w:rsidP="0026524B">
      <w:pPr>
        <w:rPr>
          <w:sz w:val="20"/>
          <w:szCs w:val="20"/>
        </w:rPr>
      </w:pPr>
    </w:p>
    <w:p w:rsidR="0026524B" w:rsidRDefault="00D56013" w:rsidP="0026524B">
      <w:pPr>
        <w:rPr>
          <w:sz w:val="20"/>
          <w:szCs w:val="20"/>
          <w:lang w:val="fr-CA"/>
        </w:rPr>
      </w:pPr>
      <w:r w:rsidRPr="00D56013">
        <w:rPr>
          <w:sz w:val="20"/>
          <w:szCs w:val="20"/>
          <w:lang w:val="fr-CA"/>
        </w:rPr>
        <w:pict>
          <v:rect id="_x0000_i1077" style="width:2in;height:1pt" o:hrpct="0" o:hralign="center" o:hrstd="t" o:hrnoshade="t" o:hr="t" fillcolor="black [3213]" stroked="f"/>
        </w:pict>
      </w:r>
    </w:p>
    <w:p w:rsidR="000E4952" w:rsidRDefault="000E4952">
      <w:pPr>
        <w:rPr>
          <w:sz w:val="20"/>
          <w:szCs w:val="20"/>
        </w:rPr>
      </w:pPr>
      <w:r>
        <w:rPr>
          <w:sz w:val="20"/>
          <w:szCs w:val="20"/>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AF11AE" w:rsidRPr="00AF11AE" w:rsidTr="000E4952">
        <w:trPr>
          <w:cantSplit/>
        </w:trPr>
        <w:tc>
          <w:tcPr>
            <w:tcW w:w="1458" w:type="dxa"/>
          </w:tcPr>
          <w:p w:rsidR="00AF11AE" w:rsidRPr="00AF11AE" w:rsidRDefault="00AF11AE" w:rsidP="00473DF7">
            <w:pPr>
              <w:rPr>
                <w:sz w:val="20"/>
                <w:szCs w:val="20"/>
              </w:rPr>
            </w:pPr>
            <w:r w:rsidRPr="00AF11AE">
              <w:rPr>
                <w:rStyle w:val="SCCFileNumberChar"/>
                <w:sz w:val="20"/>
                <w:szCs w:val="20"/>
              </w:rPr>
              <w:lastRenderedPageBreak/>
              <w:t>33835</w:t>
            </w:r>
          </w:p>
          <w:p w:rsidR="00AF11AE" w:rsidRPr="00AF11AE" w:rsidRDefault="00AF11AE" w:rsidP="00473DF7">
            <w:pPr>
              <w:rPr>
                <w:b/>
                <w:sz w:val="20"/>
                <w:szCs w:val="20"/>
                <w:lang w:val="fr-CA"/>
              </w:rPr>
            </w:pPr>
          </w:p>
        </w:tc>
        <w:tc>
          <w:tcPr>
            <w:tcW w:w="8118" w:type="dxa"/>
          </w:tcPr>
          <w:p w:rsidR="00AF11AE" w:rsidRPr="00AF11AE" w:rsidRDefault="00AF11AE" w:rsidP="00473DF7">
            <w:pPr>
              <w:rPr>
                <w:sz w:val="20"/>
                <w:szCs w:val="20"/>
              </w:rPr>
            </w:pPr>
            <w:r w:rsidRPr="0064487C">
              <w:rPr>
                <w:rStyle w:val="SCCLsocChar"/>
                <w:sz w:val="20"/>
                <w:szCs w:val="20"/>
              </w:rPr>
              <w:t>Carmelo Cerrelli v. Microsoft Corporation</w:t>
            </w:r>
            <w:r w:rsidRPr="0064487C">
              <w:rPr>
                <w:sz w:val="20"/>
                <w:szCs w:val="20"/>
                <w:lang w:val="fr-CA"/>
              </w:rPr>
              <w:t xml:space="preserve"> (F</w:t>
            </w:r>
            <w:r w:rsidR="00F537A0" w:rsidRPr="0064487C">
              <w:rPr>
                <w:sz w:val="20"/>
                <w:szCs w:val="20"/>
                <w:lang w:val="fr-CA"/>
              </w:rPr>
              <w:t>.</w:t>
            </w:r>
            <w:r w:rsidRPr="0064487C">
              <w:rPr>
                <w:sz w:val="20"/>
                <w:szCs w:val="20"/>
                <w:lang w:val="fr-CA"/>
              </w:rPr>
              <w:t>C</w:t>
            </w:r>
            <w:r w:rsidR="00F537A0" w:rsidRPr="0064487C">
              <w:rPr>
                <w:sz w:val="20"/>
                <w:szCs w:val="20"/>
                <w:lang w:val="fr-CA"/>
              </w:rPr>
              <w:t>.</w:t>
            </w:r>
            <w:r w:rsidRPr="0064487C">
              <w:rPr>
                <w:sz w:val="20"/>
                <w:szCs w:val="20"/>
                <w:lang w:val="fr-CA"/>
              </w:rPr>
              <w:t xml:space="preserve">) </w:t>
            </w:r>
            <w:r w:rsidRPr="00AF11AE">
              <w:rPr>
                <w:sz w:val="20"/>
                <w:szCs w:val="20"/>
              </w:rPr>
              <w:t>(Civil) (By Leave)</w:t>
            </w:r>
          </w:p>
          <w:p w:rsidR="00AF11AE" w:rsidRPr="00AF11AE" w:rsidRDefault="00AF11AE" w:rsidP="00473DF7">
            <w:pPr>
              <w:rPr>
                <w:sz w:val="20"/>
                <w:szCs w:val="20"/>
              </w:rPr>
            </w:pPr>
          </w:p>
        </w:tc>
      </w:tr>
      <w:tr w:rsidR="00AF11AE" w:rsidRPr="00AF11AE" w:rsidTr="00AF11AE">
        <w:tc>
          <w:tcPr>
            <w:tcW w:w="1458" w:type="dxa"/>
          </w:tcPr>
          <w:p w:rsidR="00AF11AE" w:rsidRPr="00AF11AE" w:rsidRDefault="00AF11AE" w:rsidP="00473DF7">
            <w:pPr>
              <w:rPr>
                <w:sz w:val="20"/>
                <w:szCs w:val="20"/>
              </w:rPr>
            </w:pPr>
            <w:r w:rsidRPr="00AF11AE">
              <w:rPr>
                <w:sz w:val="20"/>
                <w:szCs w:val="20"/>
              </w:rPr>
              <w:t>Coram :</w:t>
            </w:r>
          </w:p>
        </w:tc>
        <w:tc>
          <w:tcPr>
            <w:tcW w:w="8118" w:type="dxa"/>
          </w:tcPr>
          <w:p w:rsidR="00AF11AE" w:rsidRPr="00AF11AE" w:rsidRDefault="00AF11AE" w:rsidP="00473DF7">
            <w:pPr>
              <w:rPr>
                <w:sz w:val="20"/>
                <w:szCs w:val="20"/>
              </w:rPr>
            </w:pPr>
            <w:r w:rsidRPr="00AF11AE">
              <w:rPr>
                <w:rStyle w:val="SCCCoramChar"/>
                <w:sz w:val="20"/>
                <w:szCs w:val="20"/>
                <w:lang w:val="en-CA"/>
              </w:rPr>
              <w:t>McLachlin C.J. and Abella and Cromwell JJ.</w:t>
            </w:r>
          </w:p>
          <w:p w:rsidR="00AF11AE" w:rsidRPr="00AF11AE" w:rsidRDefault="00AF11AE" w:rsidP="00473DF7">
            <w:pPr>
              <w:rPr>
                <w:sz w:val="20"/>
                <w:szCs w:val="20"/>
                <w:u w:val="single"/>
              </w:rPr>
            </w:pPr>
          </w:p>
        </w:tc>
      </w:tr>
      <w:tr w:rsidR="00AF11AE" w:rsidRPr="00850008" w:rsidTr="00AF11AE">
        <w:tc>
          <w:tcPr>
            <w:tcW w:w="9576" w:type="dxa"/>
            <w:gridSpan w:val="2"/>
          </w:tcPr>
          <w:p w:rsidR="00AF11AE" w:rsidRPr="00AF11AE" w:rsidRDefault="00AF11AE" w:rsidP="00473DF7">
            <w:pPr>
              <w:pStyle w:val="SCCShortJudgment"/>
              <w:rPr>
                <w:szCs w:val="20"/>
              </w:rPr>
            </w:pPr>
            <w:r w:rsidRPr="00AF11AE">
              <w:rPr>
                <w:szCs w:val="20"/>
              </w:rPr>
              <w:t>The application for leave to appeal from the judgment of the Federal Court of Appeal, Number A-627-08, 2010 FCA 151, dated June 10, 2010, is dismissed with costs.</w:t>
            </w:r>
          </w:p>
          <w:p w:rsidR="00AF11AE" w:rsidRPr="00AF11AE" w:rsidRDefault="00AF11AE" w:rsidP="00473DF7">
            <w:pPr>
              <w:pStyle w:val="SCCShortJudgment"/>
              <w:ind w:firstLine="0"/>
              <w:rPr>
                <w:szCs w:val="20"/>
              </w:rPr>
            </w:pPr>
          </w:p>
          <w:p w:rsidR="00AF11AE" w:rsidRPr="00AF11AE" w:rsidRDefault="00AF11AE" w:rsidP="00473DF7">
            <w:pPr>
              <w:pStyle w:val="SCCShortJudgment"/>
              <w:rPr>
                <w:szCs w:val="20"/>
                <w:lang w:val="fr-CA"/>
              </w:rPr>
            </w:pPr>
            <w:r w:rsidRPr="00AF11AE">
              <w:rPr>
                <w:szCs w:val="20"/>
                <w:lang w:val="fr-CA"/>
              </w:rPr>
              <w:t>La demande d’autorisation d’appel de l’arrêt de la Cour d’appel fédérale, numéro A-627-08, 2010 CAF 151, daté du 10 juin 2010, est rejetée avec dépens.</w:t>
            </w:r>
          </w:p>
          <w:p w:rsidR="00AF11AE" w:rsidRPr="00AF11AE" w:rsidRDefault="00AF11AE" w:rsidP="00473DF7">
            <w:pPr>
              <w:rPr>
                <w:sz w:val="20"/>
                <w:szCs w:val="20"/>
                <w:lang w:val="fr-CA"/>
              </w:rPr>
            </w:pPr>
          </w:p>
        </w:tc>
      </w:tr>
    </w:tbl>
    <w:p w:rsidR="0026524B" w:rsidRPr="00E01ABF" w:rsidRDefault="0026524B" w:rsidP="0026524B">
      <w:pPr>
        <w:rPr>
          <w:sz w:val="20"/>
          <w:szCs w:val="20"/>
          <w:u w:val="single"/>
        </w:rPr>
      </w:pPr>
      <w:r w:rsidRPr="00E01ABF">
        <w:rPr>
          <w:sz w:val="20"/>
          <w:szCs w:val="20"/>
          <w:u w:val="single"/>
        </w:rPr>
        <w:t>CASE SUMMARY</w:t>
      </w:r>
    </w:p>
    <w:p w:rsidR="0026524B" w:rsidRDefault="0026524B" w:rsidP="0026524B">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7676BF" w:rsidRPr="00316127" w:rsidTr="007676BF">
        <w:tc>
          <w:tcPr>
            <w:tcW w:w="5000" w:type="pct"/>
            <w:gridSpan w:val="3"/>
          </w:tcPr>
          <w:p w:rsidR="007676BF" w:rsidRPr="00316127" w:rsidRDefault="007676BF" w:rsidP="005617B9">
            <w:pPr>
              <w:jc w:val="both"/>
              <w:rPr>
                <w:sz w:val="20"/>
              </w:rPr>
            </w:pPr>
            <w:r w:rsidRPr="00316127">
              <w:rPr>
                <w:sz w:val="20"/>
              </w:rPr>
              <w:t>Charter of Rights – Right to liberty – Contempt of Court – Sentencing – Applicant pleading guilty to contempt of court and ordered to pay two fines of $50,000 within 120 days or be imprisoned for 60 days – Applicant alleging inability to pay – Whether Federal Court erred in issuing sentence – Whether  Federal Court of Appeal erred in dismissing appeal.</w:t>
            </w:r>
          </w:p>
          <w:p w:rsidR="007676BF" w:rsidRPr="00316127" w:rsidRDefault="007676BF" w:rsidP="005617B9">
            <w:pPr>
              <w:jc w:val="both"/>
              <w:rPr>
                <w:sz w:val="20"/>
              </w:rPr>
            </w:pPr>
          </w:p>
        </w:tc>
      </w:tr>
      <w:tr w:rsidR="007676BF" w:rsidRPr="00316127" w:rsidTr="007676BF">
        <w:tc>
          <w:tcPr>
            <w:tcW w:w="5000" w:type="pct"/>
            <w:gridSpan w:val="3"/>
          </w:tcPr>
          <w:p w:rsidR="007676BF" w:rsidRPr="00316127" w:rsidRDefault="007676BF" w:rsidP="005617B9">
            <w:pPr>
              <w:jc w:val="both"/>
              <w:rPr>
                <w:sz w:val="20"/>
              </w:rPr>
            </w:pPr>
            <w:r w:rsidRPr="00316127">
              <w:rPr>
                <w:sz w:val="20"/>
              </w:rPr>
              <w:t>In 2006, the Federal Court issued a permanent injunction against the applicant, Mr. Cerrelli, forbidding him from selling counterfeit copies of computer programs bearing the trade-mark Microsoft. Mr. Cerrelli was ordered to pay $500,000 (jointly with corporate defendants) in statutory damages, $100,000 in punitive damages, $1,410,000 in costs, plus the Canadian equivalent of US $175,714.23.</w:t>
            </w:r>
          </w:p>
          <w:p w:rsidR="007676BF" w:rsidRPr="00316127" w:rsidRDefault="007676BF" w:rsidP="005617B9">
            <w:pPr>
              <w:jc w:val="both"/>
              <w:rPr>
                <w:sz w:val="20"/>
              </w:rPr>
            </w:pPr>
          </w:p>
          <w:p w:rsidR="007676BF" w:rsidRPr="00316127" w:rsidRDefault="007676BF" w:rsidP="005617B9">
            <w:pPr>
              <w:jc w:val="both"/>
              <w:rPr>
                <w:sz w:val="20"/>
              </w:rPr>
            </w:pPr>
            <w:r w:rsidRPr="00316127">
              <w:rPr>
                <w:sz w:val="20"/>
              </w:rPr>
              <w:t xml:space="preserve">In 2007, the Federal Court issued two initiating contempt orders against Mr. Cerrelli for two breaches of the injunction arising at two different dates out of different acts. Mr. Cerrelli plead guilty. Beaudry J. ordered Mr. Cerrelli to pay fines of $50,000 for each instance of contempt within 120 days. In the event that he did not pay, Mr. Cerrelli was to be imprisoned for 30 days per unpaid fine, for a total of 60 days. </w:t>
            </w:r>
          </w:p>
          <w:p w:rsidR="007676BF" w:rsidRPr="00316127" w:rsidRDefault="007676BF" w:rsidP="005617B9">
            <w:pPr>
              <w:jc w:val="both"/>
              <w:rPr>
                <w:sz w:val="20"/>
              </w:rPr>
            </w:pPr>
          </w:p>
          <w:p w:rsidR="007676BF" w:rsidRPr="00316127" w:rsidRDefault="007676BF" w:rsidP="005617B9">
            <w:pPr>
              <w:jc w:val="both"/>
              <w:rPr>
                <w:sz w:val="20"/>
              </w:rPr>
            </w:pPr>
            <w:r w:rsidRPr="00316127">
              <w:rPr>
                <w:sz w:val="20"/>
              </w:rPr>
              <w:t xml:space="preserve">On appeal, Mr. Cerrelli argued that Beaudry J. exercised his sentencing discretion in a vacuum, did not consider relevant facts – including his financial circumstances – determined the sentence in the absence of poof of </w:t>
            </w:r>
            <w:r w:rsidRPr="00316127">
              <w:rPr>
                <w:i/>
                <w:sz w:val="20"/>
              </w:rPr>
              <w:t>mens rea</w:t>
            </w:r>
            <w:r w:rsidRPr="00316127">
              <w:rPr>
                <w:sz w:val="20"/>
              </w:rPr>
              <w:t xml:space="preserve">, misinterpreted and misapplied the law and jurisprudence, and issued a sentence that violates s. 7 of the Canadian </w:t>
            </w:r>
            <w:r w:rsidRPr="00316127">
              <w:rPr>
                <w:i/>
                <w:sz w:val="20"/>
              </w:rPr>
              <w:t>Charter</w:t>
            </w:r>
            <w:r w:rsidRPr="00316127">
              <w:rPr>
                <w:sz w:val="20"/>
              </w:rPr>
              <w:t>. The Federal Court of Appeal dismissed the appeal on the ground that Mr. Cerrelli had not shown the sentence to be demonstrably unfit.</w:t>
            </w:r>
          </w:p>
          <w:p w:rsidR="007676BF" w:rsidRPr="00316127" w:rsidRDefault="007676BF" w:rsidP="005617B9">
            <w:pPr>
              <w:jc w:val="both"/>
              <w:rPr>
                <w:sz w:val="20"/>
              </w:rPr>
            </w:pPr>
          </w:p>
        </w:tc>
      </w:tr>
      <w:tr w:rsidR="007676BF" w:rsidRPr="00316127" w:rsidTr="007676BF">
        <w:tc>
          <w:tcPr>
            <w:tcW w:w="2427" w:type="pct"/>
          </w:tcPr>
          <w:p w:rsidR="007676BF" w:rsidRPr="00316127" w:rsidRDefault="007676BF" w:rsidP="007676BF">
            <w:pPr>
              <w:rPr>
                <w:sz w:val="20"/>
              </w:rPr>
            </w:pPr>
            <w:r w:rsidRPr="00316127">
              <w:rPr>
                <w:sz w:val="20"/>
              </w:rPr>
              <w:t>November 26, 2008</w:t>
            </w:r>
          </w:p>
          <w:p w:rsidR="007676BF" w:rsidRPr="00316127" w:rsidRDefault="007676BF" w:rsidP="007676BF">
            <w:pPr>
              <w:rPr>
                <w:sz w:val="20"/>
              </w:rPr>
            </w:pPr>
            <w:r w:rsidRPr="00316127">
              <w:rPr>
                <w:sz w:val="20"/>
              </w:rPr>
              <w:t>Federal Court</w:t>
            </w:r>
          </w:p>
          <w:p w:rsidR="007676BF" w:rsidRPr="00316127" w:rsidRDefault="007676BF" w:rsidP="007676BF">
            <w:pPr>
              <w:rPr>
                <w:sz w:val="20"/>
              </w:rPr>
            </w:pPr>
            <w:r w:rsidRPr="00316127">
              <w:rPr>
                <w:sz w:val="20"/>
              </w:rPr>
              <w:t>(Beaudry J.)</w:t>
            </w:r>
          </w:p>
          <w:p w:rsidR="007676BF" w:rsidRPr="00316127" w:rsidRDefault="007676BF" w:rsidP="007676BF">
            <w:pPr>
              <w:rPr>
                <w:sz w:val="20"/>
              </w:rPr>
            </w:pPr>
          </w:p>
        </w:tc>
        <w:tc>
          <w:tcPr>
            <w:tcW w:w="243" w:type="pct"/>
          </w:tcPr>
          <w:p w:rsidR="007676BF" w:rsidRPr="00316127" w:rsidRDefault="007676BF" w:rsidP="007676BF">
            <w:pPr>
              <w:rPr>
                <w:sz w:val="20"/>
              </w:rPr>
            </w:pPr>
          </w:p>
        </w:tc>
        <w:tc>
          <w:tcPr>
            <w:tcW w:w="2330" w:type="pct"/>
          </w:tcPr>
          <w:p w:rsidR="007676BF" w:rsidRPr="00316127" w:rsidRDefault="007676BF" w:rsidP="007676BF">
            <w:pPr>
              <w:rPr>
                <w:sz w:val="20"/>
              </w:rPr>
            </w:pPr>
            <w:r w:rsidRPr="00316127">
              <w:rPr>
                <w:sz w:val="20"/>
              </w:rPr>
              <w:t>Contempt order issued</w:t>
            </w:r>
          </w:p>
          <w:p w:rsidR="007676BF" w:rsidRPr="00316127" w:rsidRDefault="007676BF" w:rsidP="007676BF">
            <w:pPr>
              <w:rPr>
                <w:sz w:val="20"/>
              </w:rPr>
            </w:pPr>
          </w:p>
        </w:tc>
      </w:tr>
      <w:tr w:rsidR="007676BF" w:rsidRPr="00316127" w:rsidTr="007676BF">
        <w:tc>
          <w:tcPr>
            <w:tcW w:w="2427" w:type="pct"/>
          </w:tcPr>
          <w:p w:rsidR="007676BF" w:rsidRPr="00316127" w:rsidRDefault="007676BF" w:rsidP="007676BF">
            <w:pPr>
              <w:rPr>
                <w:sz w:val="20"/>
              </w:rPr>
            </w:pPr>
            <w:r w:rsidRPr="00316127">
              <w:rPr>
                <w:sz w:val="20"/>
              </w:rPr>
              <w:t>June 10, 2010</w:t>
            </w:r>
          </w:p>
          <w:p w:rsidR="007676BF" w:rsidRPr="00316127" w:rsidRDefault="007676BF" w:rsidP="007676BF">
            <w:pPr>
              <w:rPr>
                <w:sz w:val="20"/>
              </w:rPr>
            </w:pPr>
            <w:r w:rsidRPr="00316127">
              <w:rPr>
                <w:sz w:val="20"/>
              </w:rPr>
              <w:t>Federal Court of Appeal</w:t>
            </w:r>
          </w:p>
          <w:p w:rsidR="007676BF" w:rsidRPr="00316127" w:rsidRDefault="007676BF" w:rsidP="007676BF">
            <w:pPr>
              <w:rPr>
                <w:sz w:val="20"/>
              </w:rPr>
            </w:pPr>
            <w:r w:rsidRPr="00316127">
              <w:rPr>
                <w:sz w:val="20"/>
              </w:rPr>
              <w:t>(Létourneau, Noël and Trudel JJ.A.)</w:t>
            </w:r>
          </w:p>
          <w:p w:rsidR="007676BF" w:rsidRPr="00316127" w:rsidRDefault="007676BF" w:rsidP="007676BF">
            <w:pPr>
              <w:rPr>
                <w:sz w:val="20"/>
              </w:rPr>
            </w:pPr>
            <w:r w:rsidRPr="00316127">
              <w:rPr>
                <w:sz w:val="20"/>
              </w:rPr>
              <w:t>2010 FCA 151</w:t>
            </w:r>
          </w:p>
          <w:p w:rsidR="007676BF" w:rsidRPr="00316127" w:rsidRDefault="007676BF" w:rsidP="007676BF">
            <w:pPr>
              <w:rPr>
                <w:sz w:val="20"/>
              </w:rPr>
            </w:pPr>
          </w:p>
        </w:tc>
        <w:tc>
          <w:tcPr>
            <w:tcW w:w="243" w:type="pct"/>
          </w:tcPr>
          <w:p w:rsidR="007676BF" w:rsidRPr="00316127" w:rsidRDefault="007676BF" w:rsidP="007676BF">
            <w:pPr>
              <w:rPr>
                <w:sz w:val="20"/>
              </w:rPr>
            </w:pPr>
          </w:p>
        </w:tc>
        <w:tc>
          <w:tcPr>
            <w:tcW w:w="2330" w:type="pct"/>
          </w:tcPr>
          <w:p w:rsidR="007676BF" w:rsidRPr="00316127" w:rsidRDefault="007676BF" w:rsidP="007676BF">
            <w:pPr>
              <w:rPr>
                <w:sz w:val="20"/>
              </w:rPr>
            </w:pPr>
            <w:r w:rsidRPr="00316127">
              <w:rPr>
                <w:sz w:val="20"/>
              </w:rPr>
              <w:t>Appeal dismissed</w:t>
            </w:r>
          </w:p>
          <w:p w:rsidR="007676BF" w:rsidRPr="00316127" w:rsidRDefault="007676BF" w:rsidP="007676BF">
            <w:pPr>
              <w:rPr>
                <w:sz w:val="20"/>
              </w:rPr>
            </w:pPr>
          </w:p>
        </w:tc>
      </w:tr>
      <w:tr w:rsidR="007676BF" w:rsidRPr="00316127" w:rsidTr="007676BF">
        <w:tc>
          <w:tcPr>
            <w:tcW w:w="2427" w:type="pct"/>
          </w:tcPr>
          <w:p w:rsidR="007676BF" w:rsidRPr="00316127" w:rsidRDefault="007676BF" w:rsidP="007676BF">
            <w:pPr>
              <w:rPr>
                <w:sz w:val="20"/>
              </w:rPr>
            </w:pPr>
            <w:r w:rsidRPr="00316127">
              <w:rPr>
                <w:sz w:val="20"/>
              </w:rPr>
              <w:t>September 8, 2010</w:t>
            </w:r>
          </w:p>
          <w:p w:rsidR="007676BF" w:rsidRPr="00316127" w:rsidRDefault="007676BF" w:rsidP="007676BF">
            <w:pPr>
              <w:rPr>
                <w:sz w:val="20"/>
              </w:rPr>
            </w:pPr>
            <w:r w:rsidRPr="00316127">
              <w:rPr>
                <w:sz w:val="20"/>
              </w:rPr>
              <w:t>Supreme Court of Canada</w:t>
            </w:r>
          </w:p>
        </w:tc>
        <w:tc>
          <w:tcPr>
            <w:tcW w:w="243" w:type="pct"/>
          </w:tcPr>
          <w:p w:rsidR="007676BF" w:rsidRPr="00316127" w:rsidRDefault="007676BF" w:rsidP="007676BF">
            <w:pPr>
              <w:rPr>
                <w:sz w:val="20"/>
              </w:rPr>
            </w:pPr>
          </w:p>
        </w:tc>
        <w:tc>
          <w:tcPr>
            <w:tcW w:w="2330" w:type="pct"/>
          </w:tcPr>
          <w:p w:rsidR="007676BF" w:rsidRPr="00316127" w:rsidRDefault="007676BF" w:rsidP="007676BF">
            <w:pPr>
              <w:rPr>
                <w:sz w:val="20"/>
              </w:rPr>
            </w:pPr>
            <w:r w:rsidRPr="00316127">
              <w:rPr>
                <w:sz w:val="20"/>
              </w:rPr>
              <w:t>Application for leave to appeal filed</w:t>
            </w:r>
          </w:p>
          <w:p w:rsidR="007676BF" w:rsidRPr="00316127" w:rsidRDefault="007676BF" w:rsidP="007676BF">
            <w:pPr>
              <w:rPr>
                <w:sz w:val="20"/>
              </w:rPr>
            </w:pPr>
          </w:p>
        </w:tc>
      </w:tr>
    </w:tbl>
    <w:p w:rsidR="0026524B" w:rsidRPr="00E01ABF" w:rsidRDefault="0026524B" w:rsidP="0026524B">
      <w:pPr>
        <w:rPr>
          <w:sz w:val="20"/>
          <w:szCs w:val="20"/>
        </w:rPr>
      </w:pPr>
    </w:p>
    <w:p w:rsidR="0026524B" w:rsidRDefault="00D56013" w:rsidP="0026524B">
      <w:pPr>
        <w:rPr>
          <w:sz w:val="20"/>
          <w:szCs w:val="20"/>
          <w:lang w:val="fr-CA"/>
        </w:rPr>
      </w:pPr>
      <w:r w:rsidRPr="00D56013">
        <w:rPr>
          <w:sz w:val="20"/>
          <w:szCs w:val="20"/>
          <w:lang w:val="fr-CA"/>
        </w:rPr>
        <w:pict>
          <v:rect id="_x0000_i1078" style="width:2in;height:1pt" o:hrpct="0" o:hralign="center" o:hrstd="t" o:hrnoshade="t" o:hr="t" fillcolor="black [3213]" stroked="f"/>
        </w:pict>
      </w:r>
    </w:p>
    <w:p w:rsidR="00AF11AE" w:rsidRPr="00E01ABF" w:rsidRDefault="00AF11AE" w:rsidP="0026524B">
      <w:pPr>
        <w:rPr>
          <w:sz w:val="20"/>
          <w:szCs w:val="20"/>
        </w:rPr>
      </w:pPr>
    </w:p>
    <w:p w:rsidR="0026524B" w:rsidRPr="00E01ABF" w:rsidRDefault="0026524B" w:rsidP="0026524B">
      <w:pPr>
        <w:rPr>
          <w:sz w:val="20"/>
          <w:szCs w:val="20"/>
          <w:u w:val="single"/>
        </w:rPr>
      </w:pPr>
      <w:r w:rsidRPr="00E01ABF">
        <w:rPr>
          <w:sz w:val="20"/>
          <w:szCs w:val="20"/>
          <w:u w:val="single"/>
        </w:rPr>
        <w:t>RÉSUMÉ DE L’AFFAIRE</w:t>
      </w:r>
    </w:p>
    <w:p w:rsidR="0026524B" w:rsidRDefault="0026524B" w:rsidP="0026524B">
      <w:pPr>
        <w:rPr>
          <w:sz w:val="20"/>
          <w:szCs w:val="20"/>
        </w:rPr>
      </w:pPr>
    </w:p>
    <w:tbl>
      <w:tblPr>
        <w:tblW w:w="4952" w:type="pct"/>
        <w:tblInd w:w="2" w:type="dxa"/>
        <w:tblLayout w:type="fixed"/>
        <w:tblCellMar>
          <w:left w:w="0" w:type="dxa"/>
          <w:bottom w:w="99" w:type="dxa"/>
          <w:right w:w="0" w:type="dxa"/>
        </w:tblCellMar>
        <w:tblLook w:val="00A0"/>
      </w:tblPr>
      <w:tblGrid>
        <w:gridCol w:w="4624"/>
        <w:gridCol w:w="463"/>
        <w:gridCol w:w="4440"/>
      </w:tblGrid>
      <w:tr w:rsidR="007676BF" w:rsidRPr="00CD7923" w:rsidTr="007676BF">
        <w:tc>
          <w:tcPr>
            <w:tcW w:w="5000" w:type="pct"/>
            <w:gridSpan w:val="3"/>
          </w:tcPr>
          <w:p w:rsidR="007676BF" w:rsidRPr="00316127" w:rsidRDefault="007676BF" w:rsidP="007676BF">
            <w:pPr>
              <w:jc w:val="both"/>
              <w:rPr>
                <w:rFonts w:eastAsia="Calibri"/>
                <w:sz w:val="20"/>
                <w:lang w:val="fr-CA"/>
              </w:rPr>
            </w:pPr>
            <w:r w:rsidRPr="00316127">
              <w:rPr>
                <w:rFonts w:eastAsia="Calibri"/>
                <w:sz w:val="20"/>
                <w:lang w:val="fr-CA"/>
              </w:rPr>
              <w:t xml:space="preserve">Charte des droits – Droit à la liberté – Outrage au tribunal – Détermination de la peine – Le demandeur plaide </w:t>
            </w:r>
            <w:r w:rsidRPr="00316127">
              <w:rPr>
                <w:rFonts w:eastAsia="Calibri"/>
                <w:sz w:val="20"/>
                <w:lang w:val="fr-CA"/>
              </w:rPr>
              <w:lastRenderedPageBreak/>
              <w:t>coupable d’outrage au tribunal et est condamné à payer deux amendes de 50 000 $ dans les 120 jours ou à purger une peine d’emprisonnement de 60 jours – Le demandeur allègue son incapacité à payer – La Cour fédérale a-t-elle eu tort d’imposer la peine? – La Cour d’appel fédérale a-t-elle eu tort de rejeter l’appel?</w:t>
            </w:r>
          </w:p>
          <w:p w:rsidR="007676BF" w:rsidRPr="00316127" w:rsidRDefault="007676BF" w:rsidP="007676BF">
            <w:pPr>
              <w:jc w:val="both"/>
              <w:rPr>
                <w:rFonts w:eastAsia="Calibri"/>
                <w:sz w:val="20"/>
                <w:lang w:val="fr-CA"/>
              </w:rPr>
            </w:pPr>
          </w:p>
        </w:tc>
      </w:tr>
      <w:tr w:rsidR="007676BF" w:rsidRPr="00850008" w:rsidTr="007676BF">
        <w:tc>
          <w:tcPr>
            <w:tcW w:w="5000" w:type="pct"/>
            <w:gridSpan w:val="3"/>
          </w:tcPr>
          <w:p w:rsidR="007676BF" w:rsidRPr="00316127" w:rsidRDefault="007676BF" w:rsidP="007676BF">
            <w:pPr>
              <w:jc w:val="both"/>
              <w:rPr>
                <w:rFonts w:eastAsia="Calibri"/>
                <w:sz w:val="20"/>
                <w:lang w:val="fr-CA"/>
              </w:rPr>
            </w:pPr>
            <w:r w:rsidRPr="00316127">
              <w:rPr>
                <w:rFonts w:eastAsia="Calibri"/>
                <w:sz w:val="20"/>
                <w:lang w:val="fr-CA"/>
              </w:rPr>
              <w:lastRenderedPageBreak/>
              <w:t>En 2006, la Cour fédérale a délivré une injonction permanente contre le demandeur, M. Cerrelli, lui interdisant de vendre des copies contrefaites de logiciels portant la marque de commerce Microsoft. Monsieur Cerrelli a été condamné à payer 500 000 $ (solidairement avec les sociétés défenderesses) en dommages-intérêts préétablis, 100 000 $ en dommages-intérêts punitifs, 1 410 000 $ en dépens, ainsi que l’équivalent en dollars canadiens de 175 714,23 $US.</w:t>
            </w:r>
          </w:p>
          <w:p w:rsidR="007676BF" w:rsidRPr="00316127" w:rsidRDefault="007676BF" w:rsidP="007676BF">
            <w:pPr>
              <w:jc w:val="both"/>
              <w:rPr>
                <w:rFonts w:eastAsia="Calibri"/>
                <w:sz w:val="20"/>
                <w:lang w:val="fr-CA"/>
              </w:rPr>
            </w:pPr>
          </w:p>
          <w:p w:rsidR="007676BF" w:rsidRPr="00316127" w:rsidRDefault="007676BF" w:rsidP="007676BF">
            <w:pPr>
              <w:jc w:val="both"/>
              <w:rPr>
                <w:rFonts w:eastAsia="Calibri"/>
                <w:sz w:val="20"/>
                <w:lang w:val="fr-CA"/>
              </w:rPr>
            </w:pPr>
            <w:r w:rsidRPr="00316127">
              <w:rPr>
                <w:rFonts w:eastAsia="Calibri"/>
                <w:sz w:val="20"/>
                <w:lang w:val="fr-CA"/>
              </w:rPr>
              <w:t xml:space="preserve">En 2007, la Cour fédérale a rendu des ordonnances introductives pour outrage au tribunal contre M. Cerrelli pour deux violations de l’injonction découlant d’actes différents survenus à deux dates différentes. Monsieur Cerrelli a plaidé coupable. Le juge Beaudry a condamné M. Cerrelli à payer des amendes de 50 000 $ pour chaque cas d’outrage dans un délai de 120 jours. À défaut de payer, M. Cerrelli devait purger une peine d’emprisonnement de 30 jours par amende impayée, pour un total de 60 jours. </w:t>
            </w:r>
          </w:p>
          <w:p w:rsidR="007676BF" w:rsidRPr="00316127" w:rsidRDefault="007676BF" w:rsidP="007676BF">
            <w:pPr>
              <w:jc w:val="both"/>
              <w:rPr>
                <w:rFonts w:eastAsia="Calibri"/>
                <w:sz w:val="20"/>
                <w:lang w:val="fr-CA"/>
              </w:rPr>
            </w:pPr>
          </w:p>
          <w:p w:rsidR="007676BF" w:rsidRPr="00316127" w:rsidRDefault="007676BF" w:rsidP="007676BF">
            <w:pPr>
              <w:jc w:val="both"/>
              <w:rPr>
                <w:rFonts w:eastAsia="Calibri"/>
                <w:sz w:val="20"/>
                <w:lang w:val="fr-CA"/>
              </w:rPr>
            </w:pPr>
            <w:r w:rsidRPr="00316127">
              <w:rPr>
                <w:rFonts w:eastAsia="Calibri"/>
                <w:sz w:val="20"/>
                <w:lang w:val="fr-CA"/>
              </w:rPr>
              <w:t xml:space="preserve">En appel, M. Cerrelli a plaidé que le juge Beaudry avait exercé dans l’abstrait son pouvoir discrétionnaire en matière de peine, qu’il n’avait pas tenu compte des faits pertinents, notamment sa situation financière, qu’il avait infligé la peine en l’absence de preuve sur la </w:t>
            </w:r>
            <w:r w:rsidRPr="00316127">
              <w:rPr>
                <w:rFonts w:eastAsia="Calibri"/>
                <w:i/>
                <w:iCs/>
                <w:sz w:val="20"/>
                <w:lang w:val="fr-CA"/>
              </w:rPr>
              <w:t>mens rea</w:t>
            </w:r>
            <w:r w:rsidRPr="00316127">
              <w:rPr>
                <w:rFonts w:eastAsia="Calibri"/>
                <w:sz w:val="20"/>
                <w:lang w:val="fr-CA"/>
              </w:rPr>
              <w:t xml:space="preserve">, qu’il avait mal interprété et mal appliqué les dispositions législatives et la jurisprudence et qu’il avait prononcé une peine qui viole l’art. 7 de la </w:t>
            </w:r>
            <w:r w:rsidRPr="00316127">
              <w:rPr>
                <w:rFonts w:eastAsia="Calibri"/>
                <w:i/>
                <w:iCs/>
                <w:sz w:val="20"/>
                <w:lang w:val="fr-CA"/>
              </w:rPr>
              <w:t>Charte</w:t>
            </w:r>
            <w:r w:rsidRPr="00316127">
              <w:rPr>
                <w:rFonts w:eastAsia="Calibri"/>
                <w:sz w:val="20"/>
                <w:lang w:val="fr-CA"/>
              </w:rPr>
              <w:t xml:space="preserve"> canadienne. La Cour d’appel fédérale a rejeté l’appel au motif que M. Cerrelli n’avait pas établi que la peine n’était manifestement pas indiquée.</w:t>
            </w:r>
          </w:p>
          <w:p w:rsidR="007676BF" w:rsidRPr="00316127" w:rsidRDefault="007676BF" w:rsidP="007676BF">
            <w:pPr>
              <w:jc w:val="both"/>
              <w:rPr>
                <w:rFonts w:eastAsia="Calibri"/>
                <w:sz w:val="20"/>
                <w:lang w:val="fr-CA"/>
              </w:rPr>
            </w:pPr>
          </w:p>
        </w:tc>
      </w:tr>
      <w:tr w:rsidR="007676BF" w:rsidRPr="00316127" w:rsidTr="007676BF">
        <w:tc>
          <w:tcPr>
            <w:tcW w:w="2427" w:type="pct"/>
          </w:tcPr>
          <w:p w:rsidR="007676BF" w:rsidRPr="00316127" w:rsidRDefault="007676BF" w:rsidP="007676BF">
            <w:pPr>
              <w:jc w:val="both"/>
              <w:rPr>
                <w:rFonts w:eastAsia="Calibri"/>
                <w:sz w:val="20"/>
                <w:lang w:val="fr-CA"/>
              </w:rPr>
            </w:pPr>
            <w:r w:rsidRPr="00316127">
              <w:rPr>
                <w:rFonts w:eastAsia="Calibri"/>
                <w:sz w:val="20"/>
                <w:lang w:val="fr-CA"/>
              </w:rPr>
              <w:t>26 novembre 2008</w:t>
            </w:r>
          </w:p>
          <w:p w:rsidR="007676BF" w:rsidRPr="00316127" w:rsidRDefault="007676BF" w:rsidP="007676BF">
            <w:pPr>
              <w:jc w:val="both"/>
              <w:rPr>
                <w:rFonts w:eastAsia="Calibri"/>
                <w:sz w:val="20"/>
                <w:lang w:val="fr-CA"/>
              </w:rPr>
            </w:pPr>
            <w:r w:rsidRPr="00316127">
              <w:rPr>
                <w:rFonts w:eastAsia="Calibri"/>
                <w:sz w:val="20"/>
                <w:lang w:val="fr-CA"/>
              </w:rPr>
              <w:t>Cour fédérale</w:t>
            </w:r>
          </w:p>
          <w:p w:rsidR="007676BF" w:rsidRPr="00316127" w:rsidRDefault="007676BF" w:rsidP="007676BF">
            <w:pPr>
              <w:jc w:val="both"/>
              <w:rPr>
                <w:rFonts w:eastAsia="Calibri"/>
                <w:sz w:val="20"/>
                <w:lang w:val="fr-CA"/>
              </w:rPr>
            </w:pPr>
            <w:r w:rsidRPr="00316127">
              <w:rPr>
                <w:rFonts w:eastAsia="Calibri"/>
                <w:sz w:val="20"/>
                <w:lang w:val="fr-CA"/>
              </w:rPr>
              <w:t>(Juge Beaudry)</w:t>
            </w:r>
          </w:p>
          <w:p w:rsidR="007676BF" w:rsidRPr="00316127" w:rsidRDefault="007676BF" w:rsidP="007676BF">
            <w:pPr>
              <w:jc w:val="both"/>
              <w:rPr>
                <w:rFonts w:eastAsia="Calibri"/>
                <w:sz w:val="20"/>
                <w:lang w:val="fr-CA"/>
              </w:rPr>
            </w:pPr>
          </w:p>
        </w:tc>
        <w:tc>
          <w:tcPr>
            <w:tcW w:w="243" w:type="pct"/>
          </w:tcPr>
          <w:p w:rsidR="007676BF" w:rsidRPr="00316127" w:rsidRDefault="007676BF" w:rsidP="007676BF">
            <w:pPr>
              <w:jc w:val="both"/>
              <w:rPr>
                <w:rFonts w:eastAsia="Calibri"/>
                <w:sz w:val="20"/>
                <w:lang w:val="fr-CA"/>
              </w:rPr>
            </w:pPr>
          </w:p>
        </w:tc>
        <w:tc>
          <w:tcPr>
            <w:tcW w:w="2330" w:type="pct"/>
          </w:tcPr>
          <w:p w:rsidR="007676BF" w:rsidRPr="00316127" w:rsidRDefault="007676BF" w:rsidP="007676BF">
            <w:pPr>
              <w:jc w:val="both"/>
              <w:rPr>
                <w:rFonts w:eastAsia="Calibri"/>
                <w:sz w:val="20"/>
                <w:lang w:val="fr-CA"/>
              </w:rPr>
            </w:pPr>
            <w:r w:rsidRPr="00316127">
              <w:rPr>
                <w:rFonts w:eastAsia="Calibri"/>
                <w:sz w:val="20"/>
                <w:lang w:val="fr-CA"/>
              </w:rPr>
              <w:t>Ordonnance pour outrage prononcée</w:t>
            </w:r>
          </w:p>
          <w:p w:rsidR="007676BF" w:rsidRPr="00316127" w:rsidRDefault="007676BF" w:rsidP="007676BF">
            <w:pPr>
              <w:jc w:val="both"/>
              <w:rPr>
                <w:rFonts w:eastAsia="Calibri"/>
                <w:sz w:val="20"/>
                <w:lang w:val="fr-CA"/>
              </w:rPr>
            </w:pPr>
          </w:p>
        </w:tc>
      </w:tr>
      <w:tr w:rsidR="007676BF" w:rsidRPr="00316127" w:rsidTr="007676BF">
        <w:tc>
          <w:tcPr>
            <w:tcW w:w="2427" w:type="pct"/>
          </w:tcPr>
          <w:p w:rsidR="007676BF" w:rsidRPr="00316127" w:rsidRDefault="007676BF" w:rsidP="007676BF">
            <w:pPr>
              <w:jc w:val="both"/>
              <w:rPr>
                <w:rFonts w:eastAsia="Calibri"/>
                <w:sz w:val="20"/>
                <w:lang w:val="fr-CA"/>
              </w:rPr>
            </w:pPr>
            <w:r w:rsidRPr="00316127">
              <w:rPr>
                <w:rFonts w:eastAsia="Calibri"/>
                <w:sz w:val="20"/>
                <w:lang w:val="fr-CA"/>
              </w:rPr>
              <w:t>10 juin 2010</w:t>
            </w:r>
          </w:p>
          <w:p w:rsidR="007676BF" w:rsidRPr="00316127" w:rsidRDefault="007676BF" w:rsidP="007676BF">
            <w:pPr>
              <w:jc w:val="both"/>
              <w:rPr>
                <w:rFonts w:eastAsia="Calibri"/>
                <w:sz w:val="20"/>
                <w:lang w:val="fr-CA"/>
              </w:rPr>
            </w:pPr>
            <w:r w:rsidRPr="00316127">
              <w:rPr>
                <w:rFonts w:eastAsia="Calibri"/>
                <w:sz w:val="20"/>
                <w:lang w:val="fr-CA"/>
              </w:rPr>
              <w:t>Cour d’appel fédérale</w:t>
            </w:r>
          </w:p>
          <w:p w:rsidR="007676BF" w:rsidRPr="00316127" w:rsidRDefault="007676BF" w:rsidP="007676BF">
            <w:pPr>
              <w:jc w:val="both"/>
              <w:rPr>
                <w:rFonts w:eastAsia="Calibri"/>
                <w:sz w:val="20"/>
                <w:lang w:val="fr-CA"/>
              </w:rPr>
            </w:pPr>
            <w:r w:rsidRPr="00316127">
              <w:rPr>
                <w:rFonts w:eastAsia="Calibri"/>
                <w:sz w:val="20"/>
                <w:lang w:val="fr-CA"/>
              </w:rPr>
              <w:t>(Juges Létourneau, Noël et Trudel)</w:t>
            </w:r>
          </w:p>
          <w:p w:rsidR="007676BF" w:rsidRPr="00316127" w:rsidRDefault="007676BF" w:rsidP="007676BF">
            <w:pPr>
              <w:jc w:val="both"/>
              <w:rPr>
                <w:rFonts w:eastAsia="Calibri"/>
                <w:sz w:val="20"/>
                <w:lang w:val="fr-CA"/>
              </w:rPr>
            </w:pPr>
            <w:r w:rsidRPr="00316127">
              <w:rPr>
                <w:rFonts w:eastAsia="Calibri"/>
                <w:sz w:val="20"/>
                <w:lang w:val="fr-CA"/>
              </w:rPr>
              <w:t>2010 FCA 151</w:t>
            </w:r>
          </w:p>
          <w:p w:rsidR="007676BF" w:rsidRPr="00316127" w:rsidRDefault="007676BF" w:rsidP="007676BF">
            <w:pPr>
              <w:jc w:val="both"/>
              <w:rPr>
                <w:rFonts w:eastAsia="Calibri"/>
                <w:sz w:val="20"/>
                <w:lang w:val="fr-CA"/>
              </w:rPr>
            </w:pPr>
          </w:p>
        </w:tc>
        <w:tc>
          <w:tcPr>
            <w:tcW w:w="243" w:type="pct"/>
          </w:tcPr>
          <w:p w:rsidR="007676BF" w:rsidRPr="00316127" w:rsidRDefault="007676BF" w:rsidP="007676BF">
            <w:pPr>
              <w:jc w:val="both"/>
              <w:rPr>
                <w:rFonts w:eastAsia="Calibri"/>
                <w:sz w:val="20"/>
                <w:lang w:val="fr-CA"/>
              </w:rPr>
            </w:pPr>
          </w:p>
        </w:tc>
        <w:tc>
          <w:tcPr>
            <w:tcW w:w="2330" w:type="pct"/>
          </w:tcPr>
          <w:p w:rsidR="007676BF" w:rsidRPr="00316127" w:rsidRDefault="007676BF" w:rsidP="007676BF">
            <w:pPr>
              <w:jc w:val="both"/>
              <w:rPr>
                <w:rFonts w:eastAsia="Calibri"/>
                <w:sz w:val="20"/>
                <w:lang w:val="fr-CA"/>
              </w:rPr>
            </w:pPr>
            <w:r w:rsidRPr="00316127">
              <w:rPr>
                <w:rFonts w:eastAsia="Calibri"/>
                <w:sz w:val="20"/>
                <w:lang w:val="fr-CA"/>
              </w:rPr>
              <w:t>Appel rejeté</w:t>
            </w:r>
          </w:p>
          <w:p w:rsidR="007676BF" w:rsidRPr="00316127" w:rsidRDefault="007676BF" w:rsidP="007676BF">
            <w:pPr>
              <w:jc w:val="both"/>
              <w:rPr>
                <w:rFonts w:eastAsia="Calibri"/>
                <w:sz w:val="20"/>
                <w:lang w:val="fr-CA"/>
              </w:rPr>
            </w:pPr>
          </w:p>
        </w:tc>
      </w:tr>
      <w:tr w:rsidR="007676BF" w:rsidRPr="00316127" w:rsidTr="007676BF">
        <w:tc>
          <w:tcPr>
            <w:tcW w:w="2427" w:type="pct"/>
          </w:tcPr>
          <w:p w:rsidR="007676BF" w:rsidRPr="00316127" w:rsidRDefault="007676BF" w:rsidP="007676BF">
            <w:pPr>
              <w:jc w:val="both"/>
              <w:rPr>
                <w:rFonts w:eastAsia="Calibri"/>
                <w:sz w:val="20"/>
                <w:lang w:val="fr-CA"/>
              </w:rPr>
            </w:pPr>
            <w:r w:rsidRPr="00316127">
              <w:rPr>
                <w:rFonts w:eastAsia="Calibri"/>
                <w:sz w:val="20"/>
                <w:lang w:val="fr-CA"/>
              </w:rPr>
              <w:t>8 septembre 2010</w:t>
            </w:r>
          </w:p>
          <w:p w:rsidR="007676BF" w:rsidRPr="00316127" w:rsidRDefault="007676BF" w:rsidP="007676BF">
            <w:pPr>
              <w:jc w:val="both"/>
              <w:rPr>
                <w:rFonts w:eastAsia="Calibri"/>
                <w:sz w:val="20"/>
                <w:lang w:val="fr-CA"/>
              </w:rPr>
            </w:pPr>
            <w:r w:rsidRPr="00316127">
              <w:rPr>
                <w:rFonts w:eastAsia="Calibri"/>
                <w:sz w:val="20"/>
                <w:lang w:val="fr-CA"/>
              </w:rPr>
              <w:t>Cour suprême du Canada</w:t>
            </w:r>
          </w:p>
        </w:tc>
        <w:tc>
          <w:tcPr>
            <w:tcW w:w="243" w:type="pct"/>
          </w:tcPr>
          <w:p w:rsidR="007676BF" w:rsidRPr="00316127" w:rsidRDefault="007676BF" w:rsidP="007676BF">
            <w:pPr>
              <w:jc w:val="both"/>
              <w:rPr>
                <w:rFonts w:eastAsia="Calibri"/>
                <w:sz w:val="20"/>
                <w:lang w:val="fr-CA"/>
              </w:rPr>
            </w:pPr>
          </w:p>
        </w:tc>
        <w:tc>
          <w:tcPr>
            <w:tcW w:w="2330" w:type="pct"/>
          </w:tcPr>
          <w:p w:rsidR="007676BF" w:rsidRPr="00316127" w:rsidRDefault="007676BF" w:rsidP="007676BF">
            <w:pPr>
              <w:jc w:val="both"/>
              <w:rPr>
                <w:rFonts w:eastAsia="Calibri"/>
                <w:sz w:val="20"/>
                <w:lang w:val="fr-CA"/>
              </w:rPr>
            </w:pPr>
            <w:r w:rsidRPr="00316127">
              <w:rPr>
                <w:rFonts w:eastAsia="Calibri"/>
                <w:sz w:val="20"/>
                <w:lang w:val="fr-CA"/>
              </w:rPr>
              <w:t>Demande d’autorisation d’appel déposée</w:t>
            </w:r>
          </w:p>
          <w:p w:rsidR="007676BF" w:rsidRPr="00316127" w:rsidRDefault="007676BF" w:rsidP="007676BF">
            <w:pPr>
              <w:jc w:val="both"/>
              <w:rPr>
                <w:rFonts w:eastAsia="Calibri"/>
                <w:sz w:val="20"/>
                <w:lang w:val="fr-CA"/>
              </w:rPr>
            </w:pPr>
          </w:p>
        </w:tc>
      </w:tr>
    </w:tbl>
    <w:p w:rsidR="0026524B" w:rsidRPr="00E01ABF" w:rsidRDefault="0026524B" w:rsidP="0026524B">
      <w:pPr>
        <w:rPr>
          <w:sz w:val="20"/>
          <w:szCs w:val="20"/>
        </w:rPr>
      </w:pPr>
    </w:p>
    <w:p w:rsidR="0026524B" w:rsidRDefault="00D56013" w:rsidP="0026524B">
      <w:pPr>
        <w:rPr>
          <w:sz w:val="20"/>
          <w:szCs w:val="20"/>
          <w:lang w:val="fr-CA"/>
        </w:rPr>
      </w:pPr>
      <w:r w:rsidRPr="00D56013">
        <w:rPr>
          <w:sz w:val="20"/>
          <w:szCs w:val="20"/>
          <w:lang w:val="fr-CA"/>
        </w:rPr>
        <w:pict>
          <v:rect id="_x0000_i1079" style="width:2in;height:1pt" o:hrpct="0" o:hralign="center" o:hrstd="t" o:hrnoshade="t" o:hr="t" fillcolor="black [3213]" stroked="f"/>
        </w:pict>
      </w:r>
    </w:p>
    <w:p w:rsidR="0026524B" w:rsidRDefault="0026524B" w:rsidP="008D292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AF11AE" w:rsidRPr="00AF11AE" w:rsidTr="00473DF7">
        <w:trPr>
          <w:cantSplit/>
        </w:trPr>
        <w:tc>
          <w:tcPr>
            <w:tcW w:w="1458" w:type="dxa"/>
          </w:tcPr>
          <w:p w:rsidR="00AF11AE" w:rsidRPr="00AF11AE" w:rsidRDefault="00AF11AE" w:rsidP="00473DF7">
            <w:pPr>
              <w:rPr>
                <w:sz w:val="20"/>
                <w:szCs w:val="20"/>
              </w:rPr>
            </w:pPr>
            <w:r w:rsidRPr="00AF11AE">
              <w:rPr>
                <w:rStyle w:val="SCCFileNumberChar"/>
                <w:sz w:val="20"/>
                <w:szCs w:val="20"/>
              </w:rPr>
              <w:t>33836</w:t>
            </w:r>
          </w:p>
          <w:p w:rsidR="00AF11AE" w:rsidRPr="00AF11AE" w:rsidRDefault="00AF11AE" w:rsidP="00473DF7">
            <w:pPr>
              <w:rPr>
                <w:b/>
                <w:sz w:val="20"/>
                <w:szCs w:val="20"/>
                <w:lang w:val="fr-CA"/>
              </w:rPr>
            </w:pPr>
          </w:p>
        </w:tc>
        <w:tc>
          <w:tcPr>
            <w:tcW w:w="8118" w:type="dxa"/>
          </w:tcPr>
          <w:p w:rsidR="00AF11AE" w:rsidRPr="00AF11AE" w:rsidRDefault="00AF11AE" w:rsidP="00473DF7">
            <w:pPr>
              <w:rPr>
                <w:sz w:val="20"/>
                <w:szCs w:val="20"/>
              </w:rPr>
            </w:pPr>
            <w:r w:rsidRPr="00AF11AE">
              <w:rPr>
                <w:rStyle w:val="SCCLsocChar"/>
                <w:sz w:val="20"/>
                <w:szCs w:val="20"/>
                <w:lang w:val="en-CA"/>
              </w:rPr>
              <w:t>Ronnie Grunwald v. Her Majesty the Queen</w:t>
            </w:r>
            <w:r w:rsidRPr="00AF11AE">
              <w:rPr>
                <w:sz w:val="20"/>
                <w:szCs w:val="20"/>
              </w:rPr>
              <w:t xml:space="preserve"> (B.C.) (Criminal) (By Leave)</w:t>
            </w:r>
          </w:p>
          <w:p w:rsidR="00AF11AE" w:rsidRPr="00AF11AE" w:rsidRDefault="00AF11AE" w:rsidP="00473DF7">
            <w:pPr>
              <w:rPr>
                <w:sz w:val="20"/>
                <w:szCs w:val="20"/>
              </w:rPr>
            </w:pPr>
          </w:p>
        </w:tc>
      </w:tr>
      <w:tr w:rsidR="00AF11AE" w:rsidRPr="00AF11AE" w:rsidTr="00473DF7">
        <w:trPr>
          <w:cantSplit/>
        </w:trPr>
        <w:tc>
          <w:tcPr>
            <w:tcW w:w="1458" w:type="dxa"/>
          </w:tcPr>
          <w:p w:rsidR="00AF11AE" w:rsidRPr="00AF11AE" w:rsidRDefault="00AF11AE" w:rsidP="00473DF7">
            <w:pPr>
              <w:rPr>
                <w:sz w:val="20"/>
                <w:szCs w:val="20"/>
              </w:rPr>
            </w:pPr>
            <w:r w:rsidRPr="00AF11AE">
              <w:rPr>
                <w:sz w:val="20"/>
                <w:szCs w:val="20"/>
              </w:rPr>
              <w:t>Coram :</w:t>
            </w:r>
          </w:p>
        </w:tc>
        <w:tc>
          <w:tcPr>
            <w:tcW w:w="8118" w:type="dxa"/>
          </w:tcPr>
          <w:p w:rsidR="00AF11AE" w:rsidRPr="00AF11AE" w:rsidRDefault="00AF11AE" w:rsidP="00473DF7">
            <w:pPr>
              <w:rPr>
                <w:sz w:val="20"/>
                <w:szCs w:val="20"/>
              </w:rPr>
            </w:pPr>
            <w:r w:rsidRPr="00AF11AE">
              <w:rPr>
                <w:rStyle w:val="SCCCoramChar"/>
                <w:sz w:val="20"/>
                <w:szCs w:val="20"/>
                <w:lang w:val="en-CA"/>
              </w:rPr>
              <w:t>Binnie, Fish and Rothstein JJ.</w:t>
            </w:r>
          </w:p>
          <w:p w:rsidR="00AF11AE" w:rsidRPr="00AF11AE" w:rsidRDefault="00AF11AE" w:rsidP="00473DF7">
            <w:pPr>
              <w:rPr>
                <w:sz w:val="20"/>
                <w:szCs w:val="20"/>
                <w:u w:val="single"/>
              </w:rPr>
            </w:pPr>
          </w:p>
        </w:tc>
      </w:tr>
      <w:tr w:rsidR="00AF11AE" w:rsidRPr="00850008" w:rsidTr="00473DF7">
        <w:trPr>
          <w:cantSplit/>
        </w:trPr>
        <w:tc>
          <w:tcPr>
            <w:tcW w:w="9576" w:type="dxa"/>
            <w:gridSpan w:val="2"/>
          </w:tcPr>
          <w:p w:rsidR="00AF11AE" w:rsidRPr="00AF11AE" w:rsidRDefault="00AF11AE" w:rsidP="00473DF7">
            <w:pPr>
              <w:pStyle w:val="SCCShortJudgment"/>
              <w:rPr>
                <w:szCs w:val="20"/>
              </w:rPr>
            </w:pPr>
            <w:r w:rsidRPr="00AF11AE">
              <w:rPr>
                <w:szCs w:val="20"/>
              </w:rPr>
              <w:t>The application for leave to appeal from the judgment of the Court of Appeal for British Columbia (Vancouver), Number CA036594, 2010 BCCA 288, dated June 10, 2010, is dismissed without costs.</w:t>
            </w:r>
          </w:p>
          <w:p w:rsidR="00AF11AE" w:rsidRPr="00AF11AE" w:rsidRDefault="00AF11AE" w:rsidP="00473DF7">
            <w:pPr>
              <w:pStyle w:val="SCCShortJudgment"/>
              <w:ind w:firstLine="0"/>
              <w:rPr>
                <w:szCs w:val="20"/>
              </w:rPr>
            </w:pPr>
          </w:p>
          <w:p w:rsidR="00AF11AE" w:rsidRPr="00AF11AE" w:rsidRDefault="00AF11AE" w:rsidP="00473DF7">
            <w:pPr>
              <w:pStyle w:val="SCCShortJudgment"/>
              <w:rPr>
                <w:szCs w:val="20"/>
                <w:lang w:val="fr-CA"/>
              </w:rPr>
            </w:pPr>
            <w:r w:rsidRPr="00AF11AE">
              <w:rPr>
                <w:szCs w:val="20"/>
                <w:lang w:val="fr-CA"/>
              </w:rPr>
              <w:t>La demande d’autorisation d’appel de l’arrêt de la Cour d’appel de la Colombie-Britannique (Vancouver), numéro CA036594, 2010 BCCA 288, daté du 10 juin 2010, est rejetée sans dépens.</w:t>
            </w:r>
          </w:p>
          <w:p w:rsidR="00AF11AE" w:rsidRPr="00AF11AE" w:rsidRDefault="00AF11AE" w:rsidP="00473DF7">
            <w:pPr>
              <w:rPr>
                <w:sz w:val="20"/>
                <w:szCs w:val="20"/>
                <w:lang w:val="fr-CA"/>
              </w:rPr>
            </w:pPr>
          </w:p>
        </w:tc>
      </w:tr>
    </w:tbl>
    <w:p w:rsidR="0026524B" w:rsidRPr="00E01ABF" w:rsidRDefault="0026524B" w:rsidP="0026524B">
      <w:pPr>
        <w:rPr>
          <w:sz w:val="20"/>
          <w:szCs w:val="20"/>
          <w:u w:val="single"/>
        </w:rPr>
      </w:pPr>
      <w:r w:rsidRPr="00E01ABF">
        <w:rPr>
          <w:sz w:val="20"/>
          <w:szCs w:val="20"/>
          <w:u w:val="single"/>
        </w:rPr>
        <w:t>CASE SUMMARY</w:t>
      </w:r>
    </w:p>
    <w:p w:rsidR="0026524B" w:rsidRDefault="0026524B" w:rsidP="0026524B">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7676BF" w:rsidRPr="00316127" w:rsidTr="007676BF">
        <w:tc>
          <w:tcPr>
            <w:tcW w:w="5000" w:type="pct"/>
            <w:gridSpan w:val="3"/>
          </w:tcPr>
          <w:p w:rsidR="007676BF" w:rsidRDefault="007676BF" w:rsidP="007676BF">
            <w:pPr>
              <w:jc w:val="both"/>
              <w:rPr>
                <w:rFonts w:eastAsia="Calibri"/>
                <w:sz w:val="20"/>
              </w:rPr>
            </w:pPr>
            <w:r w:rsidRPr="00316127">
              <w:rPr>
                <w:rFonts w:eastAsia="Calibri"/>
                <w:sz w:val="20"/>
              </w:rPr>
              <w:t xml:space="preserve">Charter of Rights – Constitutional Law – Criminal Law – Arbitrary Detention – Search and Seizure – Fundamental Justice – Right to make full answer and defence – Whether applicant’s s.9 </w:t>
            </w:r>
            <w:r w:rsidRPr="00316127">
              <w:rPr>
                <w:rFonts w:eastAsia="Calibri"/>
                <w:i/>
                <w:sz w:val="20"/>
              </w:rPr>
              <w:t>Charter rights</w:t>
            </w:r>
            <w:r w:rsidRPr="00316127">
              <w:rPr>
                <w:rFonts w:eastAsia="Calibri"/>
                <w:sz w:val="20"/>
              </w:rPr>
              <w:t xml:space="preserve"> were contravened during </w:t>
            </w:r>
            <w:r w:rsidRPr="00316127">
              <w:rPr>
                <w:rFonts w:eastAsia="Calibri"/>
                <w:sz w:val="20"/>
              </w:rPr>
              <w:lastRenderedPageBreak/>
              <w:t xml:space="preserve">detention – Whether denial of further cross-examination of a police witness during a re-opened </w:t>
            </w:r>
            <w:r w:rsidRPr="00316127">
              <w:rPr>
                <w:rFonts w:eastAsia="Calibri"/>
                <w:i/>
                <w:sz w:val="20"/>
              </w:rPr>
              <w:t xml:space="preserve">voir dire </w:t>
            </w:r>
            <w:r w:rsidRPr="00316127">
              <w:rPr>
                <w:rFonts w:eastAsia="Calibri"/>
                <w:sz w:val="20"/>
              </w:rPr>
              <w:t>violated right to make full answer and defence.</w:t>
            </w:r>
          </w:p>
          <w:p w:rsidR="007676BF" w:rsidRPr="00316127" w:rsidRDefault="007676BF" w:rsidP="007676BF">
            <w:pPr>
              <w:jc w:val="both"/>
              <w:rPr>
                <w:rFonts w:eastAsia="Calibri"/>
                <w:sz w:val="20"/>
              </w:rPr>
            </w:pPr>
          </w:p>
        </w:tc>
      </w:tr>
      <w:tr w:rsidR="007676BF" w:rsidRPr="00316127" w:rsidTr="007676BF">
        <w:tc>
          <w:tcPr>
            <w:tcW w:w="5000" w:type="pct"/>
            <w:gridSpan w:val="3"/>
          </w:tcPr>
          <w:p w:rsidR="007676BF" w:rsidRPr="00316127" w:rsidRDefault="007676BF" w:rsidP="007676BF">
            <w:pPr>
              <w:jc w:val="both"/>
              <w:rPr>
                <w:rFonts w:eastAsia="Calibri"/>
                <w:sz w:val="20"/>
              </w:rPr>
            </w:pPr>
            <w:r w:rsidRPr="00316127">
              <w:rPr>
                <w:rFonts w:eastAsia="Calibri"/>
                <w:sz w:val="20"/>
              </w:rPr>
              <w:lastRenderedPageBreak/>
              <w:t>Two officers conducting a night time, motor vehicle check stop, stopped the applicant in his pickup truck to look for motor vehicle infractions.  While one officer conducted a radio check of his drivers licence, the second officer walked around the truck to check the insurance decal on the rear licence plate.  He smelled marihuana. After confirming that the decal was current, he shone a flashlight through the tinted windows of a canopy covering the truck bed.  He saw garbage bags and a Ziploc bag of marihuana inside one garbage bag.   The applicant was arrested, the truck searched, photographs were taken, and 42 pounds of marihuana were seized.</w:t>
            </w:r>
          </w:p>
          <w:p w:rsidR="007676BF" w:rsidRPr="00316127" w:rsidRDefault="007676BF" w:rsidP="007676BF">
            <w:pPr>
              <w:jc w:val="both"/>
              <w:rPr>
                <w:rFonts w:eastAsia="Calibri"/>
                <w:sz w:val="20"/>
              </w:rPr>
            </w:pPr>
          </w:p>
          <w:p w:rsidR="007676BF" w:rsidRPr="00316127" w:rsidRDefault="007676BF" w:rsidP="007676BF">
            <w:pPr>
              <w:jc w:val="both"/>
              <w:rPr>
                <w:rFonts w:eastAsia="Calibri"/>
                <w:sz w:val="20"/>
              </w:rPr>
            </w:pPr>
            <w:r w:rsidRPr="00316127">
              <w:rPr>
                <w:rFonts w:eastAsia="Calibri"/>
                <w:sz w:val="20"/>
              </w:rPr>
              <w:t xml:space="preserve">Defence counsel asked the Crown to preserve the garbage bags and marihuana.  At the preliminary inquiry, the officer who discovered the marihuana testified that the bags and marihuana had been destroyed.  Later, at a </w:t>
            </w:r>
            <w:r w:rsidRPr="00316127">
              <w:rPr>
                <w:rFonts w:eastAsia="Calibri"/>
                <w:i/>
                <w:sz w:val="20"/>
              </w:rPr>
              <w:t>voir dire</w:t>
            </w:r>
            <w:r w:rsidRPr="00316127">
              <w:rPr>
                <w:rFonts w:eastAsia="Calibri"/>
                <w:sz w:val="20"/>
              </w:rPr>
              <w:t xml:space="preserve"> into whether the search and seizure was lawful, the officer was cross-examined based on the photographs taken at the search. The trial judge held that the search violated s. 8 of the </w:t>
            </w:r>
            <w:r w:rsidRPr="00316127">
              <w:rPr>
                <w:rFonts w:eastAsia="Calibri"/>
                <w:i/>
                <w:sz w:val="20"/>
              </w:rPr>
              <w:t>Charter</w:t>
            </w:r>
            <w:r w:rsidRPr="00316127">
              <w:rPr>
                <w:rFonts w:eastAsia="Calibri"/>
                <w:sz w:val="20"/>
              </w:rPr>
              <w:t xml:space="preserve"> but the evidence was admissible pursuant to s. 24(2).  On a subsequent </w:t>
            </w:r>
            <w:r w:rsidRPr="00316127">
              <w:rPr>
                <w:rFonts w:eastAsia="Calibri"/>
                <w:i/>
                <w:sz w:val="20"/>
              </w:rPr>
              <w:t>voir dire</w:t>
            </w:r>
            <w:r w:rsidRPr="00316127">
              <w:rPr>
                <w:rFonts w:eastAsia="Calibri"/>
                <w:sz w:val="20"/>
              </w:rPr>
              <w:t xml:space="preserve"> on a motion to stay proceedings for abuse of process, the officer disclosed that the garbage bags had been discovered and Crown counsel disclosed that that the marihuana also was still in existence.  The defence declined an offer from the trial judge to stay proceedings and start a new trial.  The first </w:t>
            </w:r>
            <w:r w:rsidRPr="00316127">
              <w:rPr>
                <w:rFonts w:eastAsia="Calibri"/>
                <w:i/>
                <w:sz w:val="20"/>
              </w:rPr>
              <w:t>voir dire</w:t>
            </w:r>
            <w:r w:rsidRPr="00316127">
              <w:rPr>
                <w:rFonts w:eastAsia="Calibri"/>
                <w:sz w:val="20"/>
              </w:rPr>
              <w:t xml:space="preserve"> was re-heard but defence counsel was not allowed to recall the police officers for further cross-examination.</w:t>
            </w:r>
          </w:p>
          <w:p w:rsidR="007676BF" w:rsidRPr="00316127" w:rsidRDefault="007676BF" w:rsidP="007676BF">
            <w:pPr>
              <w:jc w:val="both"/>
              <w:rPr>
                <w:rFonts w:eastAsia="Calibri"/>
                <w:sz w:val="20"/>
              </w:rPr>
            </w:pPr>
          </w:p>
        </w:tc>
      </w:tr>
      <w:tr w:rsidR="007676BF" w:rsidRPr="00316127" w:rsidTr="007676BF">
        <w:tc>
          <w:tcPr>
            <w:tcW w:w="2427" w:type="pct"/>
          </w:tcPr>
          <w:p w:rsidR="007676BF" w:rsidRPr="00316127" w:rsidRDefault="007676BF" w:rsidP="007676BF">
            <w:pPr>
              <w:jc w:val="both"/>
              <w:rPr>
                <w:rFonts w:eastAsia="Calibri"/>
                <w:sz w:val="20"/>
              </w:rPr>
            </w:pPr>
            <w:r w:rsidRPr="00316127">
              <w:rPr>
                <w:rFonts w:eastAsia="Calibri"/>
                <w:sz w:val="20"/>
              </w:rPr>
              <w:t>April 17, 2008</w:t>
            </w:r>
          </w:p>
          <w:p w:rsidR="007676BF" w:rsidRPr="00316127" w:rsidRDefault="007676BF" w:rsidP="007676BF">
            <w:pPr>
              <w:jc w:val="both"/>
              <w:rPr>
                <w:rFonts w:eastAsia="Calibri"/>
                <w:sz w:val="20"/>
              </w:rPr>
            </w:pPr>
            <w:r w:rsidRPr="00316127">
              <w:rPr>
                <w:rFonts w:eastAsia="Calibri"/>
                <w:sz w:val="20"/>
              </w:rPr>
              <w:t>Supreme Court of British Columbia</w:t>
            </w:r>
          </w:p>
          <w:p w:rsidR="007676BF" w:rsidRPr="00316127" w:rsidRDefault="007676BF" w:rsidP="007676BF">
            <w:pPr>
              <w:jc w:val="both"/>
              <w:rPr>
                <w:rFonts w:eastAsia="Calibri"/>
                <w:sz w:val="20"/>
              </w:rPr>
            </w:pPr>
            <w:r w:rsidRPr="00316127">
              <w:rPr>
                <w:rFonts w:eastAsia="Calibri"/>
                <w:sz w:val="20"/>
              </w:rPr>
              <w:t xml:space="preserve">(Joyce J.) </w:t>
            </w:r>
          </w:p>
          <w:p w:rsidR="007676BF" w:rsidRPr="00316127" w:rsidRDefault="007676BF" w:rsidP="007676BF">
            <w:pPr>
              <w:jc w:val="both"/>
              <w:rPr>
                <w:rFonts w:eastAsia="Calibri"/>
                <w:sz w:val="20"/>
              </w:rPr>
            </w:pPr>
            <w:r w:rsidRPr="00316127">
              <w:rPr>
                <w:rFonts w:eastAsia="Calibri"/>
                <w:sz w:val="20"/>
              </w:rPr>
              <w:t>2008 BCSC 1738</w:t>
            </w:r>
          </w:p>
          <w:p w:rsidR="007676BF" w:rsidRPr="00316127" w:rsidRDefault="007676BF" w:rsidP="007676BF">
            <w:pPr>
              <w:jc w:val="both"/>
              <w:rPr>
                <w:rFonts w:eastAsia="Calibri"/>
                <w:sz w:val="20"/>
              </w:rPr>
            </w:pPr>
          </w:p>
        </w:tc>
        <w:tc>
          <w:tcPr>
            <w:tcW w:w="243" w:type="pct"/>
          </w:tcPr>
          <w:p w:rsidR="007676BF" w:rsidRPr="00316127" w:rsidRDefault="007676BF" w:rsidP="007676BF">
            <w:pPr>
              <w:jc w:val="both"/>
              <w:rPr>
                <w:rFonts w:eastAsia="Calibri"/>
                <w:sz w:val="20"/>
              </w:rPr>
            </w:pPr>
          </w:p>
        </w:tc>
        <w:tc>
          <w:tcPr>
            <w:tcW w:w="2330" w:type="pct"/>
          </w:tcPr>
          <w:p w:rsidR="007676BF" w:rsidRPr="00316127" w:rsidRDefault="007676BF" w:rsidP="007676BF">
            <w:pPr>
              <w:jc w:val="both"/>
              <w:rPr>
                <w:rFonts w:eastAsia="Calibri"/>
                <w:sz w:val="20"/>
              </w:rPr>
            </w:pPr>
            <w:r w:rsidRPr="00316127">
              <w:rPr>
                <w:rFonts w:eastAsia="Calibri"/>
                <w:sz w:val="20"/>
              </w:rPr>
              <w:t>Conviction for possession of marihuana for purposes of trafficking</w:t>
            </w:r>
          </w:p>
          <w:p w:rsidR="007676BF" w:rsidRPr="00316127" w:rsidRDefault="007676BF" w:rsidP="007676BF">
            <w:pPr>
              <w:jc w:val="both"/>
              <w:rPr>
                <w:rFonts w:eastAsia="Calibri"/>
                <w:sz w:val="20"/>
              </w:rPr>
            </w:pPr>
          </w:p>
        </w:tc>
      </w:tr>
      <w:tr w:rsidR="007676BF" w:rsidRPr="00316127" w:rsidTr="007676BF">
        <w:tc>
          <w:tcPr>
            <w:tcW w:w="2427" w:type="pct"/>
          </w:tcPr>
          <w:p w:rsidR="007676BF" w:rsidRPr="00316127" w:rsidRDefault="007676BF" w:rsidP="007676BF">
            <w:pPr>
              <w:jc w:val="both"/>
              <w:rPr>
                <w:rFonts w:eastAsia="Calibri"/>
                <w:sz w:val="20"/>
              </w:rPr>
            </w:pPr>
            <w:r w:rsidRPr="00316127">
              <w:rPr>
                <w:rFonts w:eastAsia="Calibri"/>
                <w:sz w:val="20"/>
              </w:rPr>
              <w:t>June 10, 2010</w:t>
            </w:r>
          </w:p>
          <w:p w:rsidR="007676BF" w:rsidRPr="00316127" w:rsidRDefault="007676BF" w:rsidP="007676BF">
            <w:pPr>
              <w:jc w:val="both"/>
              <w:rPr>
                <w:rFonts w:eastAsia="Calibri"/>
                <w:sz w:val="20"/>
              </w:rPr>
            </w:pPr>
            <w:r w:rsidRPr="00316127">
              <w:rPr>
                <w:rFonts w:eastAsia="Calibri"/>
                <w:sz w:val="20"/>
              </w:rPr>
              <w:t xml:space="preserve">Court of Appeal for British Columbia </w:t>
            </w:r>
          </w:p>
          <w:p w:rsidR="007676BF" w:rsidRPr="00316127" w:rsidRDefault="007676BF" w:rsidP="007676BF">
            <w:pPr>
              <w:jc w:val="both"/>
              <w:rPr>
                <w:rFonts w:eastAsia="Calibri"/>
                <w:sz w:val="20"/>
              </w:rPr>
            </w:pPr>
            <w:r w:rsidRPr="00316127">
              <w:rPr>
                <w:rFonts w:eastAsia="Calibri"/>
                <w:sz w:val="20"/>
              </w:rPr>
              <w:t>(Vancouver)</w:t>
            </w:r>
          </w:p>
          <w:p w:rsidR="007676BF" w:rsidRPr="00316127" w:rsidRDefault="007676BF" w:rsidP="007676BF">
            <w:pPr>
              <w:jc w:val="both"/>
              <w:rPr>
                <w:rFonts w:eastAsia="Calibri"/>
                <w:sz w:val="20"/>
              </w:rPr>
            </w:pPr>
            <w:r w:rsidRPr="00316127">
              <w:rPr>
                <w:rFonts w:eastAsia="Calibri"/>
                <w:sz w:val="20"/>
              </w:rPr>
              <w:t>(Donald, Frankel, Bennett JJ.A.)</w:t>
            </w:r>
          </w:p>
          <w:p w:rsidR="007676BF" w:rsidRPr="00316127" w:rsidRDefault="007676BF" w:rsidP="007676BF">
            <w:pPr>
              <w:jc w:val="both"/>
              <w:rPr>
                <w:rFonts w:eastAsia="Calibri"/>
                <w:sz w:val="20"/>
              </w:rPr>
            </w:pPr>
            <w:r w:rsidRPr="00316127">
              <w:rPr>
                <w:rFonts w:eastAsia="Calibri"/>
                <w:sz w:val="20"/>
              </w:rPr>
              <w:t>2010 BCCA 288</w:t>
            </w:r>
          </w:p>
          <w:p w:rsidR="007676BF" w:rsidRPr="00316127" w:rsidRDefault="007676BF" w:rsidP="007676BF">
            <w:pPr>
              <w:jc w:val="both"/>
              <w:rPr>
                <w:rFonts w:eastAsia="Calibri"/>
                <w:sz w:val="20"/>
              </w:rPr>
            </w:pPr>
            <w:r w:rsidRPr="00316127">
              <w:rPr>
                <w:rFonts w:eastAsia="Calibri"/>
                <w:sz w:val="20"/>
              </w:rPr>
              <w:t>CA036594</w:t>
            </w:r>
          </w:p>
          <w:p w:rsidR="007676BF" w:rsidRPr="00316127" w:rsidRDefault="007676BF" w:rsidP="007676BF">
            <w:pPr>
              <w:jc w:val="both"/>
              <w:rPr>
                <w:rFonts w:eastAsia="Calibri"/>
                <w:sz w:val="20"/>
              </w:rPr>
            </w:pPr>
          </w:p>
        </w:tc>
        <w:tc>
          <w:tcPr>
            <w:tcW w:w="243" w:type="pct"/>
          </w:tcPr>
          <w:p w:rsidR="007676BF" w:rsidRPr="00316127" w:rsidRDefault="007676BF" w:rsidP="007676BF">
            <w:pPr>
              <w:jc w:val="both"/>
              <w:rPr>
                <w:rFonts w:eastAsia="Calibri"/>
                <w:sz w:val="20"/>
              </w:rPr>
            </w:pPr>
          </w:p>
        </w:tc>
        <w:tc>
          <w:tcPr>
            <w:tcW w:w="2330" w:type="pct"/>
          </w:tcPr>
          <w:p w:rsidR="007676BF" w:rsidRPr="00316127" w:rsidRDefault="007676BF" w:rsidP="007676BF">
            <w:pPr>
              <w:jc w:val="both"/>
              <w:rPr>
                <w:rFonts w:eastAsia="Calibri"/>
                <w:sz w:val="20"/>
              </w:rPr>
            </w:pPr>
            <w:r w:rsidRPr="00316127">
              <w:rPr>
                <w:rFonts w:eastAsia="Calibri"/>
                <w:sz w:val="20"/>
              </w:rPr>
              <w:t>Appeal from conviction dismissed</w:t>
            </w:r>
          </w:p>
          <w:p w:rsidR="007676BF" w:rsidRPr="00316127" w:rsidRDefault="007676BF" w:rsidP="007676BF">
            <w:pPr>
              <w:jc w:val="both"/>
              <w:rPr>
                <w:rFonts w:eastAsia="Calibri"/>
                <w:sz w:val="20"/>
              </w:rPr>
            </w:pPr>
          </w:p>
        </w:tc>
      </w:tr>
      <w:tr w:rsidR="007676BF" w:rsidRPr="00316127" w:rsidTr="007676BF">
        <w:tc>
          <w:tcPr>
            <w:tcW w:w="2427" w:type="pct"/>
          </w:tcPr>
          <w:p w:rsidR="007676BF" w:rsidRPr="00316127" w:rsidRDefault="007676BF" w:rsidP="007676BF">
            <w:pPr>
              <w:jc w:val="both"/>
              <w:rPr>
                <w:rFonts w:eastAsia="Calibri"/>
                <w:sz w:val="20"/>
              </w:rPr>
            </w:pPr>
            <w:r w:rsidRPr="00316127">
              <w:rPr>
                <w:rFonts w:eastAsia="Calibri"/>
                <w:sz w:val="20"/>
              </w:rPr>
              <w:t>September 9, 2010</w:t>
            </w:r>
          </w:p>
          <w:p w:rsidR="007676BF" w:rsidRPr="00316127" w:rsidRDefault="007676BF" w:rsidP="007676BF">
            <w:pPr>
              <w:jc w:val="both"/>
              <w:rPr>
                <w:rFonts w:eastAsia="Calibri"/>
                <w:sz w:val="20"/>
              </w:rPr>
            </w:pPr>
            <w:r w:rsidRPr="00316127">
              <w:rPr>
                <w:rFonts w:eastAsia="Calibri"/>
                <w:sz w:val="20"/>
              </w:rPr>
              <w:t>Supreme Court of Canada</w:t>
            </w:r>
          </w:p>
        </w:tc>
        <w:tc>
          <w:tcPr>
            <w:tcW w:w="243" w:type="pct"/>
          </w:tcPr>
          <w:p w:rsidR="007676BF" w:rsidRPr="00316127" w:rsidRDefault="007676BF" w:rsidP="007676BF">
            <w:pPr>
              <w:jc w:val="both"/>
              <w:rPr>
                <w:rFonts w:eastAsia="Calibri"/>
                <w:sz w:val="20"/>
              </w:rPr>
            </w:pPr>
          </w:p>
        </w:tc>
        <w:tc>
          <w:tcPr>
            <w:tcW w:w="2330" w:type="pct"/>
          </w:tcPr>
          <w:p w:rsidR="007676BF" w:rsidRPr="00316127" w:rsidRDefault="007676BF" w:rsidP="007676BF">
            <w:pPr>
              <w:jc w:val="both"/>
              <w:rPr>
                <w:rFonts w:eastAsia="Calibri"/>
                <w:sz w:val="20"/>
              </w:rPr>
            </w:pPr>
            <w:r w:rsidRPr="00316127">
              <w:rPr>
                <w:rFonts w:eastAsia="Calibri"/>
                <w:sz w:val="20"/>
              </w:rPr>
              <w:t>Application for leave to appeal filed</w:t>
            </w:r>
          </w:p>
          <w:p w:rsidR="007676BF" w:rsidRPr="00316127" w:rsidRDefault="007676BF" w:rsidP="007676BF">
            <w:pPr>
              <w:jc w:val="both"/>
              <w:rPr>
                <w:rFonts w:eastAsia="Calibri"/>
                <w:sz w:val="20"/>
              </w:rPr>
            </w:pPr>
          </w:p>
        </w:tc>
      </w:tr>
    </w:tbl>
    <w:p w:rsidR="0026524B" w:rsidRPr="00E01ABF" w:rsidRDefault="0026524B" w:rsidP="0026524B">
      <w:pPr>
        <w:rPr>
          <w:sz w:val="20"/>
          <w:szCs w:val="20"/>
        </w:rPr>
      </w:pPr>
    </w:p>
    <w:p w:rsidR="0026524B" w:rsidRDefault="00D56013" w:rsidP="0026524B">
      <w:pPr>
        <w:rPr>
          <w:sz w:val="20"/>
          <w:szCs w:val="20"/>
          <w:lang w:val="fr-CA"/>
        </w:rPr>
      </w:pPr>
      <w:r w:rsidRPr="00D56013">
        <w:rPr>
          <w:sz w:val="20"/>
          <w:szCs w:val="20"/>
          <w:lang w:val="fr-CA"/>
        </w:rPr>
        <w:pict>
          <v:rect id="_x0000_i1080" style="width:2in;height:1pt" o:hrpct="0" o:hralign="center" o:hrstd="t" o:hrnoshade="t" o:hr="t" fillcolor="black [3213]" stroked="f"/>
        </w:pict>
      </w:r>
    </w:p>
    <w:p w:rsidR="00AF11AE" w:rsidRPr="00E01ABF" w:rsidRDefault="00AF11AE" w:rsidP="0026524B">
      <w:pPr>
        <w:rPr>
          <w:sz w:val="20"/>
          <w:szCs w:val="20"/>
        </w:rPr>
      </w:pPr>
    </w:p>
    <w:p w:rsidR="0026524B" w:rsidRPr="00E01ABF" w:rsidRDefault="0026524B" w:rsidP="0026524B">
      <w:pPr>
        <w:rPr>
          <w:sz w:val="20"/>
          <w:szCs w:val="20"/>
          <w:u w:val="single"/>
        </w:rPr>
      </w:pPr>
      <w:r w:rsidRPr="00E01ABF">
        <w:rPr>
          <w:sz w:val="20"/>
          <w:szCs w:val="20"/>
          <w:u w:val="single"/>
        </w:rPr>
        <w:t>RÉSUMÉ DE L’AFFAIRE</w:t>
      </w:r>
    </w:p>
    <w:p w:rsidR="0026524B" w:rsidRDefault="0026524B" w:rsidP="0026524B">
      <w:pPr>
        <w:rPr>
          <w:sz w:val="20"/>
          <w:szCs w:val="20"/>
        </w:rPr>
      </w:pPr>
    </w:p>
    <w:tbl>
      <w:tblPr>
        <w:tblW w:w="4952" w:type="pct"/>
        <w:tblInd w:w="2" w:type="dxa"/>
        <w:tblLayout w:type="fixed"/>
        <w:tblCellMar>
          <w:left w:w="0" w:type="dxa"/>
          <w:bottom w:w="99" w:type="dxa"/>
          <w:right w:w="0" w:type="dxa"/>
        </w:tblCellMar>
        <w:tblLook w:val="00A0"/>
      </w:tblPr>
      <w:tblGrid>
        <w:gridCol w:w="4624"/>
        <w:gridCol w:w="463"/>
        <w:gridCol w:w="4440"/>
      </w:tblGrid>
      <w:tr w:rsidR="007676BF" w:rsidRPr="00850008" w:rsidTr="007676BF">
        <w:tc>
          <w:tcPr>
            <w:tcW w:w="5000" w:type="pct"/>
            <w:gridSpan w:val="3"/>
          </w:tcPr>
          <w:p w:rsidR="007676BF" w:rsidRDefault="007676BF" w:rsidP="007676BF">
            <w:pPr>
              <w:jc w:val="both"/>
              <w:rPr>
                <w:rFonts w:eastAsia="Calibri"/>
                <w:sz w:val="20"/>
                <w:lang w:val="fr-CA"/>
              </w:rPr>
            </w:pPr>
            <w:r w:rsidRPr="00316127">
              <w:rPr>
                <w:rFonts w:eastAsia="Calibri"/>
                <w:sz w:val="20"/>
                <w:lang w:val="fr-CA"/>
              </w:rPr>
              <w:t xml:space="preserve">Charte des droits – Droit constitutionnel – Droit criminel – Détention arbitraire – Fouilles et perquisitions – Justice fondamentale – Droit de présenter une défense pleine et entière – Y a-t-il eu atteinte aux droits du demandeur garantis par l’art. 9 de la </w:t>
            </w:r>
            <w:r w:rsidRPr="00316127">
              <w:rPr>
                <w:rFonts w:eastAsia="Calibri"/>
                <w:i/>
                <w:iCs/>
                <w:sz w:val="20"/>
                <w:lang w:val="fr-CA"/>
              </w:rPr>
              <w:t>Charte</w:t>
            </w:r>
            <w:r w:rsidRPr="00316127">
              <w:rPr>
                <w:rFonts w:eastAsia="Calibri"/>
                <w:sz w:val="20"/>
                <w:lang w:val="fr-CA"/>
              </w:rPr>
              <w:t xml:space="preserve"> pendant la détention? – Le refus de permettre le contre-interrogatoire d’un policier témoin pendant la reprise d’un voir-dire violait-il le droit de présenter une défense pleine et entière?</w:t>
            </w:r>
          </w:p>
          <w:p w:rsidR="007676BF" w:rsidRPr="00316127" w:rsidRDefault="007676BF" w:rsidP="007676BF">
            <w:pPr>
              <w:jc w:val="both"/>
              <w:rPr>
                <w:rFonts w:eastAsia="Calibri"/>
                <w:sz w:val="20"/>
                <w:lang w:val="fr-CA"/>
              </w:rPr>
            </w:pPr>
          </w:p>
        </w:tc>
      </w:tr>
      <w:tr w:rsidR="007676BF" w:rsidRPr="00850008" w:rsidTr="007676BF">
        <w:tc>
          <w:tcPr>
            <w:tcW w:w="5000" w:type="pct"/>
            <w:gridSpan w:val="3"/>
          </w:tcPr>
          <w:p w:rsidR="007676BF" w:rsidRDefault="007676BF" w:rsidP="007676BF">
            <w:pPr>
              <w:jc w:val="both"/>
              <w:rPr>
                <w:rFonts w:eastAsia="Calibri"/>
                <w:sz w:val="20"/>
                <w:lang w:val="fr-CA"/>
              </w:rPr>
            </w:pPr>
            <w:r w:rsidRPr="00316127">
              <w:rPr>
                <w:rFonts w:eastAsia="Calibri"/>
                <w:sz w:val="20"/>
                <w:lang w:val="fr-CA"/>
              </w:rPr>
              <w:t>Deux policiers qui faisaient un barrage routier de nuit ont intercepté le demandeur dans sa camionnette pour voir s’il n’avait pas commis d’infraction au code de la route. Pendant qu’un policier faisait une vérification radio de son permis de conduire, le deuxième policier a fait le tour de la camionnette pour vérifier la vignette d’assurance sur la plaque d’immatriculation arrière. Il a senti de la marihuana. Après avoir confirmé que la vignette était à jour, il a dirigé la lumière de sa lampe de poche à travers les glaces teintées d’une boîte couvrant la caisse de la camionnette.  Il y a aperçu des sacs à ordures et un sac Ziploc renfermant de la marihuana à l’intérieur d’un des sacs à ordures. Le demandeur a été arrêté, la camionnette a été fouillée, des photographies ont été prises et 42 livres de marihuana ont été saisies.</w:t>
            </w:r>
          </w:p>
          <w:p w:rsidR="007676BF" w:rsidRPr="00316127" w:rsidRDefault="007676BF" w:rsidP="007676BF">
            <w:pPr>
              <w:jc w:val="both"/>
              <w:rPr>
                <w:rFonts w:eastAsia="Calibri"/>
                <w:sz w:val="20"/>
                <w:lang w:val="fr-CA"/>
              </w:rPr>
            </w:pPr>
            <w:r w:rsidRPr="00316127">
              <w:rPr>
                <w:rFonts w:eastAsia="Calibri"/>
                <w:sz w:val="20"/>
                <w:lang w:val="fr-CA"/>
              </w:rPr>
              <w:lastRenderedPageBreak/>
              <w:t xml:space="preserve">L’avocat de la défense a demandé au ministère public de conserver les sacs à ordures et la marihuana. À l’enquête préliminaire, le policier qui a découvert la marijuana a affirmé dans son témoignage que les sacs et la marihuana avaient été détruits. Plus tard, au cours d’un voir-dire sur la question de savoir si la fouille et la saisie étaient légales, le policier a été contre-interrogé relativement aux photographies prises pendant la fouille. Le juge du procès a statué que la fouille violait l’art. 8 de la </w:t>
            </w:r>
            <w:r w:rsidRPr="00316127">
              <w:rPr>
                <w:rFonts w:eastAsia="Calibri"/>
                <w:i/>
                <w:iCs/>
                <w:sz w:val="20"/>
                <w:lang w:val="fr-CA"/>
              </w:rPr>
              <w:t>Charte</w:t>
            </w:r>
            <w:r w:rsidRPr="00316127">
              <w:rPr>
                <w:rFonts w:eastAsia="Calibri"/>
                <w:sz w:val="20"/>
                <w:lang w:val="fr-CA"/>
              </w:rPr>
              <w:t>, mais que la preuve était admissible en application du par. 24(2). Au cours d’un voir-dire subséquent sur une requête en arrêt des procédures pour abus de procédure, le policier a révélé que les sacs à ordures avaient été découverts et l’avocat de la Couronne a révélé que la marihuana existait encore également. La défense a refusé l’offre du juge du procès d’arrêter les procédures et de commencer un nouveau procès. Le premier voir-dire a été instruit de nouveau, mais l’avocat de la défense n’a pas été autorisé à rappeler les policiers à la barre pour un autre contre-interrogatoire.</w:t>
            </w:r>
          </w:p>
          <w:p w:rsidR="007676BF" w:rsidRPr="00316127" w:rsidRDefault="007676BF" w:rsidP="007676BF">
            <w:pPr>
              <w:jc w:val="both"/>
              <w:rPr>
                <w:rFonts w:eastAsia="Calibri"/>
                <w:sz w:val="20"/>
                <w:lang w:val="fr-CA"/>
              </w:rPr>
            </w:pPr>
          </w:p>
        </w:tc>
      </w:tr>
      <w:tr w:rsidR="007676BF" w:rsidRPr="00850008" w:rsidTr="007676BF">
        <w:tc>
          <w:tcPr>
            <w:tcW w:w="2427" w:type="pct"/>
          </w:tcPr>
          <w:p w:rsidR="007676BF" w:rsidRPr="00316127" w:rsidRDefault="007676BF" w:rsidP="007676BF">
            <w:pPr>
              <w:jc w:val="both"/>
              <w:rPr>
                <w:rFonts w:eastAsia="Calibri"/>
                <w:sz w:val="20"/>
                <w:lang w:val="fr-CA"/>
              </w:rPr>
            </w:pPr>
            <w:r w:rsidRPr="00316127">
              <w:rPr>
                <w:rFonts w:eastAsia="Calibri"/>
                <w:sz w:val="20"/>
                <w:lang w:val="fr-CA"/>
              </w:rPr>
              <w:lastRenderedPageBreak/>
              <w:t>17 avril 2008</w:t>
            </w:r>
          </w:p>
          <w:p w:rsidR="007676BF" w:rsidRPr="00316127" w:rsidRDefault="007676BF" w:rsidP="007676BF">
            <w:pPr>
              <w:jc w:val="both"/>
              <w:rPr>
                <w:rFonts w:eastAsia="Calibri"/>
                <w:sz w:val="20"/>
                <w:lang w:val="fr-CA"/>
              </w:rPr>
            </w:pPr>
            <w:r w:rsidRPr="00316127">
              <w:rPr>
                <w:rFonts w:eastAsia="Calibri"/>
                <w:sz w:val="20"/>
                <w:lang w:val="fr-CA"/>
              </w:rPr>
              <w:t>Cour suprême de la Colombie-Britannique</w:t>
            </w:r>
          </w:p>
          <w:p w:rsidR="007676BF" w:rsidRPr="00316127" w:rsidRDefault="007676BF" w:rsidP="007676BF">
            <w:pPr>
              <w:jc w:val="both"/>
              <w:rPr>
                <w:rFonts w:eastAsia="Calibri"/>
                <w:sz w:val="20"/>
                <w:lang w:val="fr-CA"/>
              </w:rPr>
            </w:pPr>
            <w:r w:rsidRPr="00316127">
              <w:rPr>
                <w:rFonts w:eastAsia="Calibri"/>
                <w:sz w:val="20"/>
                <w:lang w:val="fr-CA"/>
              </w:rPr>
              <w:t xml:space="preserve">(Juge Joyce) </w:t>
            </w:r>
          </w:p>
          <w:p w:rsidR="007676BF" w:rsidRPr="00316127" w:rsidRDefault="007676BF" w:rsidP="007676BF">
            <w:pPr>
              <w:jc w:val="both"/>
              <w:rPr>
                <w:rFonts w:eastAsia="Calibri"/>
                <w:sz w:val="20"/>
                <w:lang w:val="fr-CA"/>
              </w:rPr>
            </w:pPr>
            <w:r w:rsidRPr="00316127">
              <w:rPr>
                <w:rFonts w:eastAsia="Calibri"/>
                <w:sz w:val="20"/>
                <w:lang w:val="fr-CA"/>
              </w:rPr>
              <w:t>2008 BCSC 1738</w:t>
            </w:r>
          </w:p>
          <w:p w:rsidR="007676BF" w:rsidRPr="00316127" w:rsidRDefault="007676BF" w:rsidP="007676BF">
            <w:pPr>
              <w:jc w:val="both"/>
              <w:rPr>
                <w:rFonts w:eastAsia="Calibri"/>
                <w:sz w:val="20"/>
                <w:lang w:val="fr-CA"/>
              </w:rPr>
            </w:pPr>
          </w:p>
        </w:tc>
        <w:tc>
          <w:tcPr>
            <w:tcW w:w="243" w:type="pct"/>
          </w:tcPr>
          <w:p w:rsidR="007676BF" w:rsidRPr="00316127" w:rsidRDefault="007676BF" w:rsidP="007676BF">
            <w:pPr>
              <w:jc w:val="both"/>
              <w:rPr>
                <w:rFonts w:eastAsia="Calibri"/>
                <w:sz w:val="20"/>
                <w:lang w:val="fr-CA"/>
              </w:rPr>
            </w:pPr>
          </w:p>
        </w:tc>
        <w:tc>
          <w:tcPr>
            <w:tcW w:w="2330" w:type="pct"/>
          </w:tcPr>
          <w:p w:rsidR="007676BF" w:rsidRPr="00316127" w:rsidRDefault="007676BF" w:rsidP="007676BF">
            <w:pPr>
              <w:jc w:val="both"/>
              <w:rPr>
                <w:rFonts w:eastAsia="Calibri"/>
                <w:sz w:val="20"/>
                <w:lang w:val="fr-CA"/>
              </w:rPr>
            </w:pPr>
            <w:r w:rsidRPr="00316127">
              <w:rPr>
                <w:rFonts w:eastAsia="Calibri"/>
                <w:sz w:val="20"/>
                <w:lang w:val="fr-CA"/>
              </w:rPr>
              <w:t>Déclaration de culpabilité pour possession de marihuana en vue d’en faire du trafic</w:t>
            </w:r>
          </w:p>
          <w:p w:rsidR="007676BF" w:rsidRPr="00316127" w:rsidRDefault="007676BF" w:rsidP="007676BF">
            <w:pPr>
              <w:jc w:val="both"/>
              <w:rPr>
                <w:rFonts w:eastAsia="Calibri"/>
                <w:sz w:val="20"/>
                <w:lang w:val="fr-CA"/>
              </w:rPr>
            </w:pPr>
          </w:p>
        </w:tc>
      </w:tr>
      <w:tr w:rsidR="007676BF" w:rsidRPr="00850008" w:rsidTr="007676BF">
        <w:tc>
          <w:tcPr>
            <w:tcW w:w="2427" w:type="pct"/>
          </w:tcPr>
          <w:p w:rsidR="007676BF" w:rsidRPr="00316127" w:rsidRDefault="007676BF" w:rsidP="007676BF">
            <w:pPr>
              <w:jc w:val="both"/>
              <w:rPr>
                <w:rFonts w:eastAsia="Calibri"/>
                <w:sz w:val="20"/>
                <w:lang w:val="fr-CA"/>
              </w:rPr>
            </w:pPr>
            <w:r w:rsidRPr="00316127">
              <w:rPr>
                <w:rFonts w:eastAsia="Calibri"/>
                <w:sz w:val="20"/>
                <w:lang w:val="fr-CA"/>
              </w:rPr>
              <w:t>10 juin 2010</w:t>
            </w:r>
          </w:p>
          <w:p w:rsidR="007676BF" w:rsidRPr="00316127" w:rsidRDefault="007676BF" w:rsidP="007676BF">
            <w:pPr>
              <w:jc w:val="both"/>
              <w:rPr>
                <w:rFonts w:eastAsia="Calibri"/>
                <w:sz w:val="20"/>
                <w:lang w:val="fr-CA"/>
              </w:rPr>
            </w:pPr>
            <w:r w:rsidRPr="00316127">
              <w:rPr>
                <w:rFonts w:eastAsia="Calibri"/>
                <w:sz w:val="20"/>
                <w:lang w:val="fr-CA"/>
              </w:rPr>
              <w:t>Cour d’appel de la Colombie-Britannique</w:t>
            </w:r>
          </w:p>
          <w:p w:rsidR="007676BF" w:rsidRPr="00316127" w:rsidRDefault="007676BF" w:rsidP="007676BF">
            <w:pPr>
              <w:jc w:val="both"/>
              <w:rPr>
                <w:rFonts w:eastAsia="Calibri"/>
                <w:sz w:val="20"/>
                <w:lang w:val="fr-CA"/>
              </w:rPr>
            </w:pPr>
            <w:r w:rsidRPr="00316127">
              <w:rPr>
                <w:rFonts w:eastAsia="Calibri"/>
                <w:sz w:val="20"/>
                <w:lang w:val="fr-CA"/>
              </w:rPr>
              <w:t>(Vancouver)</w:t>
            </w:r>
          </w:p>
          <w:p w:rsidR="007676BF" w:rsidRPr="00316127" w:rsidRDefault="007676BF" w:rsidP="007676BF">
            <w:pPr>
              <w:jc w:val="both"/>
              <w:rPr>
                <w:rFonts w:eastAsia="Calibri"/>
                <w:sz w:val="20"/>
                <w:lang w:val="fr-CA"/>
              </w:rPr>
            </w:pPr>
            <w:r w:rsidRPr="00316127">
              <w:rPr>
                <w:rFonts w:eastAsia="Calibri"/>
                <w:sz w:val="20"/>
                <w:lang w:val="fr-CA"/>
              </w:rPr>
              <w:t>(Juges Donald, Frankel et Bennett)</w:t>
            </w:r>
          </w:p>
          <w:p w:rsidR="007676BF" w:rsidRPr="00316127" w:rsidRDefault="007676BF" w:rsidP="007676BF">
            <w:pPr>
              <w:jc w:val="both"/>
              <w:rPr>
                <w:rFonts w:eastAsia="Calibri"/>
                <w:sz w:val="20"/>
                <w:lang w:val="fr-CA"/>
              </w:rPr>
            </w:pPr>
            <w:r w:rsidRPr="00316127">
              <w:rPr>
                <w:rFonts w:eastAsia="Calibri"/>
                <w:sz w:val="20"/>
                <w:lang w:val="fr-CA"/>
              </w:rPr>
              <w:t>2010 BCCA 288</w:t>
            </w:r>
          </w:p>
          <w:p w:rsidR="007676BF" w:rsidRPr="00316127" w:rsidRDefault="007676BF" w:rsidP="007676BF">
            <w:pPr>
              <w:jc w:val="both"/>
              <w:rPr>
                <w:rFonts w:eastAsia="Calibri"/>
                <w:sz w:val="20"/>
                <w:lang w:val="fr-CA"/>
              </w:rPr>
            </w:pPr>
            <w:r w:rsidRPr="00316127">
              <w:rPr>
                <w:rFonts w:eastAsia="Calibri"/>
                <w:sz w:val="20"/>
                <w:lang w:val="fr-CA"/>
              </w:rPr>
              <w:t>CA036594</w:t>
            </w:r>
          </w:p>
          <w:p w:rsidR="007676BF" w:rsidRPr="00316127" w:rsidRDefault="007676BF" w:rsidP="007676BF">
            <w:pPr>
              <w:jc w:val="both"/>
              <w:rPr>
                <w:rFonts w:eastAsia="Calibri"/>
                <w:sz w:val="20"/>
                <w:lang w:val="fr-CA"/>
              </w:rPr>
            </w:pPr>
          </w:p>
        </w:tc>
        <w:tc>
          <w:tcPr>
            <w:tcW w:w="243" w:type="pct"/>
          </w:tcPr>
          <w:p w:rsidR="007676BF" w:rsidRPr="00316127" w:rsidRDefault="007676BF" w:rsidP="007676BF">
            <w:pPr>
              <w:jc w:val="both"/>
              <w:rPr>
                <w:rFonts w:eastAsia="Calibri"/>
                <w:sz w:val="20"/>
                <w:lang w:val="fr-CA"/>
              </w:rPr>
            </w:pPr>
          </w:p>
        </w:tc>
        <w:tc>
          <w:tcPr>
            <w:tcW w:w="2330" w:type="pct"/>
          </w:tcPr>
          <w:p w:rsidR="007676BF" w:rsidRPr="00316127" w:rsidRDefault="007676BF" w:rsidP="007676BF">
            <w:pPr>
              <w:jc w:val="both"/>
              <w:rPr>
                <w:rFonts w:eastAsia="Calibri"/>
                <w:sz w:val="20"/>
                <w:lang w:val="fr-CA"/>
              </w:rPr>
            </w:pPr>
            <w:r w:rsidRPr="00316127">
              <w:rPr>
                <w:rFonts w:eastAsia="Calibri"/>
                <w:sz w:val="20"/>
                <w:lang w:val="fr-CA"/>
              </w:rPr>
              <w:t>Appel de la déclaration de culpabilité, rejeté</w:t>
            </w:r>
          </w:p>
          <w:p w:rsidR="007676BF" w:rsidRPr="00316127" w:rsidRDefault="007676BF" w:rsidP="007676BF">
            <w:pPr>
              <w:jc w:val="both"/>
              <w:rPr>
                <w:rFonts w:eastAsia="Calibri"/>
                <w:sz w:val="20"/>
                <w:lang w:val="fr-CA"/>
              </w:rPr>
            </w:pPr>
          </w:p>
        </w:tc>
      </w:tr>
      <w:tr w:rsidR="007676BF" w:rsidRPr="00316127" w:rsidTr="007676BF">
        <w:tc>
          <w:tcPr>
            <w:tcW w:w="2427" w:type="pct"/>
          </w:tcPr>
          <w:p w:rsidR="007676BF" w:rsidRPr="00316127" w:rsidRDefault="007676BF" w:rsidP="007676BF">
            <w:pPr>
              <w:jc w:val="both"/>
              <w:rPr>
                <w:rFonts w:eastAsia="Calibri"/>
                <w:sz w:val="20"/>
                <w:lang w:val="fr-CA"/>
              </w:rPr>
            </w:pPr>
            <w:r w:rsidRPr="00316127">
              <w:rPr>
                <w:rFonts w:eastAsia="Calibri"/>
                <w:sz w:val="20"/>
                <w:lang w:val="fr-CA"/>
              </w:rPr>
              <w:t>9 septembre 2010</w:t>
            </w:r>
          </w:p>
          <w:p w:rsidR="007676BF" w:rsidRPr="00316127" w:rsidRDefault="007676BF" w:rsidP="007676BF">
            <w:pPr>
              <w:jc w:val="both"/>
              <w:rPr>
                <w:rFonts w:eastAsia="Calibri"/>
                <w:sz w:val="20"/>
                <w:lang w:val="fr-CA"/>
              </w:rPr>
            </w:pPr>
            <w:r w:rsidRPr="00316127">
              <w:rPr>
                <w:rFonts w:eastAsia="Calibri"/>
                <w:sz w:val="20"/>
                <w:lang w:val="fr-CA"/>
              </w:rPr>
              <w:t>Cour suprême du Canada</w:t>
            </w:r>
          </w:p>
        </w:tc>
        <w:tc>
          <w:tcPr>
            <w:tcW w:w="243" w:type="pct"/>
          </w:tcPr>
          <w:p w:rsidR="007676BF" w:rsidRPr="00316127" w:rsidRDefault="007676BF" w:rsidP="007676BF">
            <w:pPr>
              <w:jc w:val="both"/>
              <w:rPr>
                <w:rFonts w:eastAsia="Calibri"/>
                <w:sz w:val="20"/>
                <w:lang w:val="fr-CA"/>
              </w:rPr>
            </w:pPr>
          </w:p>
        </w:tc>
        <w:tc>
          <w:tcPr>
            <w:tcW w:w="2330" w:type="pct"/>
          </w:tcPr>
          <w:p w:rsidR="007676BF" w:rsidRPr="00316127" w:rsidRDefault="007676BF" w:rsidP="007676BF">
            <w:pPr>
              <w:jc w:val="both"/>
              <w:rPr>
                <w:rFonts w:eastAsia="Calibri"/>
                <w:sz w:val="20"/>
                <w:lang w:val="fr-CA"/>
              </w:rPr>
            </w:pPr>
            <w:r w:rsidRPr="00316127">
              <w:rPr>
                <w:rFonts w:eastAsia="Calibri"/>
                <w:sz w:val="20"/>
                <w:lang w:val="fr-CA"/>
              </w:rPr>
              <w:t>Demande d’autorisation d’appel, déposée</w:t>
            </w:r>
          </w:p>
          <w:p w:rsidR="007676BF" w:rsidRPr="00316127" w:rsidRDefault="007676BF" w:rsidP="007676BF">
            <w:pPr>
              <w:jc w:val="both"/>
              <w:rPr>
                <w:rFonts w:eastAsia="Calibri"/>
                <w:sz w:val="20"/>
                <w:lang w:val="fr-CA"/>
              </w:rPr>
            </w:pPr>
          </w:p>
        </w:tc>
      </w:tr>
    </w:tbl>
    <w:p w:rsidR="00AF11AE" w:rsidRDefault="00AF11AE" w:rsidP="0026524B">
      <w:pPr>
        <w:rPr>
          <w:sz w:val="20"/>
          <w:szCs w:val="20"/>
          <w:lang w:val="fr-CA"/>
        </w:rPr>
      </w:pPr>
    </w:p>
    <w:p w:rsidR="0026524B" w:rsidRDefault="00D56013" w:rsidP="0026524B">
      <w:pPr>
        <w:rPr>
          <w:sz w:val="20"/>
          <w:szCs w:val="20"/>
          <w:lang w:val="fr-CA"/>
        </w:rPr>
      </w:pPr>
      <w:r w:rsidRPr="00D56013">
        <w:rPr>
          <w:sz w:val="20"/>
          <w:szCs w:val="20"/>
          <w:lang w:val="fr-CA"/>
        </w:rPr>
        <w:pict>
          <v:rect id="_x0000_i1081" style="width:2in;height:1pt" o:hrpct="0" o:hralign="center" o:hrstd="t" o:hrnoshade="t" o:hr="t" fillcolor="black [3213]" stroked="f"/>
        </w:pict>
      </w:r>
    </w:p>
    <w:p w:rsidR="0026524B" w:rsidRDefault="0026524B" w:rsidP="008D292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AF11AE" w:rsidRPr="00AF11AE" w:rsidTr="00473DF7">
        <w:trPr>
          <w:cantSplit/>
        </w:trPr>
        <w:tc>
          <w:tcPr>
            <w:tcW w:w="1458" w:type="dxa"/>
          </w:tcPr>
          <w:p w:rsidR="00AF11AE" w:rsidRPr="00AF11AE" w:rsidRDefault="00AF11AE" w:rsidP="00473DF7">
            <w:pPr>
              <w:rPr>
                <w:sz w:val="20"/>
                <w:szCs w:val="20"/>
              </w:rPr>
            </w:pPr>
            <w:r w:rsidRPr="00AF11AE">
              <w:rPr>
                <w:rStyle w:val="SCCFileNumberChar"/>
                <w:sz w:val="20"/>
                <w:szCs w:val="20"/>
              </w:rPr>
              <w:t>33844</w:t>
            </w:r>
          </w:p>
          <w:p w:rsidR="00AF11AE" w:rsidRPr="00AF11AE" w:rsidRDefault="00AF11AE" w:rsidP="00473DF7">
            <w:pPr>
              <w:rPr>
                <w:b/>
                <w:sz w:val="20"/>
                <w:szCs w:val="20"/>
                <w:lang w:val="fr-CA"/>
              </w:rPr>
            </w:pPr>
          </w:p>
        </w:tc>
        <w:tc>
          <w:tcPr>
            <w:tcW w:w="8118" w:type="dxa"/>
          </w:tcPr>
          <w:p w:rsidR="00AF11AE" w:rsidRPr="00AF11AE" w:rsidRDefault="00AF11AE" w:rsidP="00473DF7">
            <w:pPr>
              <w:rPr>
                <w:sz w:val="20"/>
                <w:szCs w:val="20"/>
              </w:rPr>
            </w:pPr>
            <w:r w:rsidRPr="00AF11AE">
              <w:rPr>
                <w:rStyle w:val="SCCLsocChar"/>
                <w:sz w:val="20"/>
                <w:szCs w:val="20"/>
                <w:lang w:val="en-CA"/>
              </w:rPr>
              <w:t>T.L. v. Her Majesty the Queen</w:t>
            </w:r>
            <w:r w:rsidRPr="00AF11AE">
              <w:rPr>
                <w:sz w:val="20"/>
                <w:szCs w:val="20"/>
              </w:rPr>
              <w:t xml:space="preserve"> (Ont.) (Criminal) (By Leave)</w:t>
            </w:r>
          </w:p>
          <w:p w:rsidR="00AF11AE" w:rsidRPr="00AF11AE" w:rsidRDefault="00AF11AE" w:rsidP="00473DF7">
            <w:pPr>
              <w:rPr>
                <w:sz w:val="20"/>
                <w:szCs w:val="20"/>
              </w:rPr>
            </w:pPr>
          </w:p>
        </w:tc>
      </w:tr>
      <w:tr w:rsidR="00AF11AE" w:rsidRPr="00AF11AE" w:rsidTr="00473DF7">
        <w:trPr>
          <w:cantSplit/>
        </w:trPr>
        <w:tc>
          <w:tcPr>
            <w:tcW w:w="1458" w:type="dxa"/>
          </w:tcPr>
          <w:p w:rsidR="00AF11AE" w:rsidRPr="00AF11AE" w:rsidRDefault="00AF11AE" w:rsidP="00473DF7">
            <w:pPr>
              <w:rPr>
                <w:sz w:val="20"/>
                <w:szCs w:val="20"/>
              </w:rPr>
            </w:pPr>
            <w:r w:rsidRPr="00AF11AE">
              <w:rPr>
                <w:sz w:val="20"/>
                <w:szCs w:val="20"/>
              </w:rPr>
              <w:t>Coram :</w:t>
            </w:r>
          </w:p>
        </w:tc>
        <w:tc>
          <w:tcPr>
            <w:tcW w:w="8118" w:type="dxa"/>
          </w:tcPr>
          <w:p w:rsidR="00AF11AE" w:rsidRPr="00AF11AE" w:rsidRDefault="00AF11AE" w:rsidP="00473DF7">
            <w:pPr>
              <w:rPr>
                <w:sz w:val="20"/>
                <w:szCs w:val="20"/>
              </w:rPr>
            </w:pPr>
            <w:r w:rsidRPr="00AF11AE">
              <w:rPr>
                <w:rStyle w:val="SCCCoramChar"/>
                <w:sz w:val="20"/>
                <w:szCs w:val="20"/>
                <w:lang w:val="en-CA"/>
              </w:rPr>
              <w:t>Binnie, Fish and Rothstein JJ.</w:t>
            </w:r>
          </w:p>
          <w:p w:rsidR="00AF11AE" w:rsidRPr="00AF11AE" w:rsidRDefault="00AF11AE" w:rsidP="00473DF7">
            <w:pPr>
              <w:rPr>
                <w:sz w:val="20"/>
                <w:szCs w:val="20"/>
                <w:u w:val="single"/>
              </w:rPr>
            </w:pPr>
          </w:p>
        </w:tc>
      </w:tr>
      <w:tr w:rsidR="00AF11AE" w:rsidRPr="00850008" w:rsidTr="00473DF7">
        <w:trPr>
          <w:cantSplit/>
        </w:trPr>
        <w:tc>
          <w:tcPr>
            <w:tcW w:w="9576" w:type="dxa"/>
            <w:gridSpan w:val="2"/>
          </w:tcPr>
          <w:p w:rsidR="00AF11AE" w:rsidRPr="00AF11AE" w:rsidRDefault="00AF11AE" w:rsidP="00473DF7">
            <w:pPr>
              <w:pStyle w:val="SCCShortJudgment"/>
              <w:rPr>
                <w:szCs w:val="20"/>
              </w:rPr>
            </w:pPr>
            <w:r w:rsidRPr="00AF11AE">
              <w:rPr>
                <w:szCs w:val="20"/>
              </w:rPr>
              <w:t>The application for leave to appeal from the judgment of the Court of Appeal for Ontario, Number C49178, 2010 ONCA 538, dated July 27, 2010, is dismissed without costs.</w:t>
            </w:r>
          </w:p>
          <w:p w:rsidR="00AF11AE" w:rsidRPr="00AF11AE" w:rsidRDefault="00AF11AE" w:rsidP="00473DF7">
            <w:pPr>
              <w:pStyle w:val="SCCShortJudgment"/>
              <w:ind w:firstLine="0"/>
              <w:rPr>
                <w:szCs w:val="20"/>
              </w:rPr>
            </w:pPr>
          </w:p>
          <w:p w:rsidR="00AF11AE" w:rsidRPr="00AF11AE" w:rsidRDefault="00AF11AE" w:rsidP="00AF11AE">
            <w:pPr>
              <w:pStyle w:val="SCCShortJudgment"/>
              <w:rPr>
                <w:szCs w:val="20"/>
                <w:lang w:val="fr-CA"/>
              </w:rPr>
            </w:pPr>
            <w:r w:rsidRPr="00AF11AE">
              <w:rPr>
                <w:szCs w:val="20"/>
                <w:lang w:val="fr-CA"/>
              </w:rPr>
              <w:t xml:space="preserve">La demande d’autorisation d’appel de l’arrêt de la Cour d’appel de l’Ontario, numéro C49178, 2010 ONCA 538, daté du 27 juillet 2010, est rejetée sans dépens. </w:t>
            </w:r>
          </w:p>
        </w:tc>
      </w:tr>
    </w:tbl>
    <w:p w:rsidR="0026524B" w:rsidRDefault="0026524B" w:rsidP="0026524B">
      <w:pPr>
        <w:rPr>
          <w:sz w:val="20"/>
          <w:szCs w:val="20"/>
          <w:lang w:val="fr-CA"/>
        </w:rPr>
      </w:pPr>
    </w:p>
    <w:p w:rsidR="0026524B" w:rsidRPr="00E01ABF" w:rsidRDefault="0026524B" w:rsidP="0026524B">
      <w:pPr>
        <w:rPr>
          <w:sz w:val="20"/>
          <w:szCs w:val="20"/>
          <w:u w:val="single"/>
        </w:rPr>
      </w:pPr>
      <w:r w:rsidRPr="00E01ABF">
        <w:rPr>
          <w:sz w:val="20"/>
          <w:szCs w:val="20"/>
          <w:u w:val="single"/>
        </w:rPr>
        <w:t>CASE SUMMARY</w:t>
      </w:r>
    </w:p>
    <w:p w:rsidR="0026524B" w:rsidRDefault="0026524B" w:rsidP="0026524B">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E01C5C" w:rsidRPr="00316127" w:rsidTr="00EF43C9">
        <w:tc>
          <w:tcPr>
            <w:tcW w:w="5000" w:type="pct"/>
            <w:gridSpan w:val="3"/>
          </w:tcPr>
          <w:p w:rsidR="00E01C5C" w:rsidRPr="00316127" w:rsidRDefault="00E01C5C" w:rsidP="00EF43C9">
            <w:pPr>
              <w:jc w:val="both"/>
              <w:rPr>
                <w:rFonts w:eastAsia="Calibri"/>
                <w:smallCaps/>
                <w:sz w:val="20"/>
              </w:rPr>
            </w:pPr>
            <w:r w:rsidRPr="00316127">
              <w:rPr>
                <w:rFonts w:eastAsia="Calibri"/>
                <w:smallCaps/>
                <w:sz w:val="20"/>
              </w:rPr>
              <w:t>(Publication ban in case) (Publication ban on party)</w:t>
            </w:r>
          </w:p>
          <w:p w:rsidR="00E01C5C" w:rsidRPr="00316127" w:rsidRDefault="00E01C5C" w:rsidP="00EF43C9">
            <w:pPr>
              <w:jc w:val="both"/>
              <w:rPr>
                <w:rFonts w:eastAsia="Calibri"/>
                <w:sz w:val="20"/>
              </w:rPr>
            </w:pPr>
          </w:p>
          <w:p w:rsidR="00E01C5C" w:rsidRPr="00316127" w:rsidRDefault="00E01C5C" w:rsidP="00EF43C9">
            <w:pPr>
              <w:jc w:val="both"/>
              <w:rPr>
                <w:rFonts w:eastAsia="Calibri"/>
                <w:sz w:val="20"/>
              </w:rPr>
            </w:pPr>
            <w:r w:rsidRPr="00316127">
              <w:rPr>
                <w:rFonts w:eastAsia="Calibri"/>
                <w:sz w:val="20"/>
              </w:rPr>
              <w:t>Criminal Law – Offence – Defences – Sexual assault – Honest but mistaken belief in consent – Whether Court of Appeal has improperly restricted the defence of honest but mistaken belief in consent and thus impermissibly expanded the definition of sexual assault.</w:t>
            </w:r>
          </w:p>
        </w:tc>
      </w:tr>
      <w:tr w:rsidR="00E01C5C" w:rsidRPr="00316127" w:rsidTr="00EF43C9">
        <w:tc>
          <w:tcPr>
            <w:tcW w:w="5000" w:type="pct"/>
            <w:gridSpan w:val="3"/>
          </w:tcPr>
          <w:p w:rsidR="00E01C5C" w:rsidRPr="00316127" w:rsidRDefault="00E01C5C" w:rsidP="00EF43C9">
            <w:pPr>
              <w:jc w:val="both"/>
              <w:rPr>
                <w:rFonts w:eastAsia="Calibri"/>
                <w:sz w:val="20"/>
              </w:rPr>
            </w:pPr>
          </w:p>
          <w:p w:rsidR="00E01C5C" w:rsidRPr="00316127" w:rsidRDefault="00E01C5C" w:rsidP="00EF43C9">
            <w:pPr>
              <w:jc w:val="both"/>
              <w:rPr>
                <w:rFonts w:eastAsia="Calibri"/>
                <w:sz w:val="20"/>
              </w:rPr>
            </w:pPr>
            <w:r w:rsidRPr="00316127">
              <w:rPr>
                <w:rFonts w:eastAsia="Calibri"/>
                <w:sz w:val="20"/>
              </w:rPr>
              <w:t xml:space="preserve">The applicant, part owner of a restaurant-bar, was convicted of a sexual assault committed against SP, a employee working as a bartender.  SP testified that while she was standing behind the bar, the applicant came up behind her and that he put his arm around her waist for three to four seconds while he uttered a statement of sexual desire. The applicant admitted this conduct.  The restaurant and bar encouraged a “party atmosphere” and encouraged staff to </w:t>
            </w:r>
            <w:r w:rsidRPr="00316127">
              <w:rPr>
                <w:rFonts w:eastAsia="Calibri"/>
                <w:sz w:val="20"/>
              </w:rPr>
              <w:lastRenderedPageBreak/>
              <w:t>dress and behave provocatively.  The trial judge described testimony from the applicant that SP and another female employee previously had sandwiched him while SP squeezed his butt as a “red herring” and he rejected the applicant’s testimony that he and SP previously had exchanged a romantic kiss at the back of the restaurant.  He rejected a claim of honest but mistaken belief in consent.</w:t>
            </w:r>
          </w:p>
        </w:tc>
      </w:tr>
      <w:tr w:rsidR="00E01C5C" w:rsidRPr="00316127" w:rsidTr="00EF43C9">
        <w:tc>
          <w:tcPr>
            <w:tcW w:w="5000" w:type="pct"/>
            <w:gridSpan w:val="3"/>
          </w:tcPr>
          <w:p w:rsidR="00E01C5C" w:rsidRPr="00316127" w:rsidRDefault="00E01C5C" w:rsidP="00EF43C9">
            <w:pPr>
              <w:jc w:val="both"/>
              <w:rPr>
                <w:rFonts w:eastAsia="Calibri"/>
                <w:sz w:val="20"/>
              </w:rPr>
            </w:pPr>
          </w:p>
        </w:tc>
      </w:tr>
      <w:tr w:rsidR="00E01C5C" w:rsidRPr="00316127" w:rsidTr="00EF43C9">
        <w:tc>
          <w:tcPr>
            <w:tcW w:w="2427" w:type="pct"/>
          </w:tcPr>
          <w:p w:rsidR="00E01C5C" w:rsidRPr="00316127" w:rsidRDefault="00E01C5C" w:rsidP="00EF43C9">
            <w:pPr>
              <w:jc w:val="both"/>
              <w:rPr>
                <w:rFonts w:eastAsia="Calibri"/>
                <w:sz w:val="20"/>
              </w:rPr>
            </w:pPr>
            <w:r w:rsidRPr="00316127">
              <w:rPr>
                <w:rFonts w:eastAsia="Calibri"/>
                <w:sz w:val="20"/>
              </w:rPr>
              <w:t>May 14, 2008</w:t>
            </w:r>
          </w:p>
          <w:p w:rsidR="00E01C5C" w:rsidRPr="00316127" w:rsidRDefault="00E01C5C" w:rsidP="00EF43C9">
            <w:pPr>
              <w:jc w:val="both"/>
              <w:rPr>
                <w:rFonts w:eastAsia="Calibri"/>
                <w:sz w:val="20"/>
              </w:rPr>
            </w:pPr>
            <w:r w:rsidRPr="00316127">
              <w:rPr>
                <w:rFonts w:eastAsia="Calibri"/>
                <w:sz w:val="20"/>
              </w:rPr>
              <w:t>Ontario Superior Court of Justice</w:t>
            </w:r>
          </w:p>
          <w:p w:rsidR="00E01C5C" w:rsidRPr="00316127" w:rsidRDefault="00E01C5C" w:rsidP="00EF43C9">
            <w:pPr>
              <w:jc w:val="both"/>
              <w:rPr>
                <w:rFonts w:eastAsia="Calibri"/>
                <w:sz w:val="20"/>
              </w:rPr>
            </w:pPr>
            <w:r w:rsidRPr="00316127">
              <w:rPr>
                <w:rFonts w:eastAsia="Calibri"/>
                <w:sz w:val="20"/>
              </w:rPr>
              <w:t>(Howden J.)</w:t>
            </w:r>
          </w:p>
          <w:p w:rsidR="00E01C5C" w:rsidRPr="00316127" w:rsidRDefault="00E01C5C" w:rsidP="00EF43C9">
            <w:pPr>
              <w:jc w:val="both"/>
              <w:rPr>
                <w:rFonts w:eastAsia="Calibri"/>
                <w:sz w:val="20"/>
              </w:rPr>
            </w:pPr>
          </w:p>
        </w:tc>
        <w:tc>
          <w:tcPr>
            <w:tcW w:w="243" w:type="pct"/>
          </w:tcPr>
          <w:p w:rsidR="00E01C5C" w:rsidRPr="00316127" w:rsidRDefault="00E01C5C" w:rsidP="00EF43C9">
            <w:pPr>
              <w:jc w:val="both"/>
              <w:rPr>
                <w:rFonts w:eastAsia="Calibri"/>
                <w:sz w:val="20"/>
              </w:rPr>
            </w:pPr>
          </w:p>
        </w:tc>
        <w:tc>
          <w:tcPr>
            <w:tcW w:w="2330" w:type="pct"/>
          </w:tcPr>
          <w:p w:rsidR="00E01C5C" w:rsidRPr="00316127" w:rsidRDefault="00E01C5C" w:rsidP="00EF43C9">
            <w:pPr>
              <w:jc w:val="both"/>
              <w:rPr>
                <w:rFonts w:eastAsia="Calibri"/>
                <w:sz w:val="20"/>
              </w:rPr>
            </w:pPr>
            <w:r w:rsidRPr="00316127">
              <w:rPr>
                <w:rFonts w:eastAsia="Calibri"/>
                <w:sz w:val="20"/>
              </w:rPr>
              <w:t>Conviction for sexual assault of SP; convictions for sexual assault of FD and threatening FD; other charges dismissed</w:t>
            </w:r>
          </w:p>
        </w:tc>
      </w:tr>
      <w:tr w:rsidR="00E01C5C" w:rsidRPr="00316127" w:rsidTr="00EF43C9">
        <w:tc>
          <w:tcPr>
            <w:tcW w:w="2427" w:type="pct"/>
          </w:tcPr>
          <w:p w:rsidR="00E01C5C" w:rsidRPr="00316127" w:rsidRDefault="00E01C5C" w:rsidP="00EF43C9">
            <w:pPr>
              <w:jc w:val="both"/>
              <w:rPr>
                <w:rFonts w:eastAsia="Calibri"/>
                <w:sz w:val="20"/>
              </w:rPr>
            </w:pPr>
            <w:r w:rsidRPr="00316127">
              <w:rPr>
                <w:rFonts w:eastAsia="Calibri"/>
                <w:sz w:val="20"/>
              </w:rPr>
              <w:t>July 27, 2010</w:t>
            </w:r>
          </w:p>
          <w:p w:rsidR="00E01C5C" w:rsidRPr="00316127" w:rsidRDefault="00E01C5C" w:rsidP="00EF43C9">
            <w:pPr>
              <w:jc w:val="both"/>
              <w:rPr>
                <w:rFonts w:eastAsia="Calibri"/>
                <w:sz w:val="20"/>
              </w:rPr>
            </w:pPr>
            <w:r w:rsidRPr="00316127">
              <w:rPr>
                <w:rFonts w:eastAsia="Calibri"/>
                <w:sz w:val="20"/>
              </w:rPr>
              <w:t>Court of Appeal for Ontario</w:t>
            </w:r>
          </w:p>
          <w:p w:rsidR="00E01C5C" w:rsidRPr="00316127" w:rsidRDefault="00E01C5C" w:rsidP="00EF43C9">
            <w:pPr>
              <w:jc w:val="both"/>
              <w:rPr>
                <w:rFonts w:eastAsia="Calibri"/>
                <w:sz w:val="20"/>
              </w:rPr>
            </w:pPr>
            <w:r w:rsidRPr="00316127">
              <w:rPr>
                <w:rFonts w:eastAsia="Calibri"/>
                <w:sz w:val="20"/>
              </w:rPr>
              <w:t>(Doherty, Armstrong, Watt JJ. A.)</w:t>
            </w:r>
          </w:p>
          <w:p w:rsidR="00E01C5C" w:rsidRPr="00316127" w:rsidRDefault="00E01C5C" w:rsidP="00EF43C9">
            <w:pPr>
              <w:jc w:val="both"/>
              <w:rPr>
                <w:rFonts w:eastAsia="Calibri"/>
                <w:sz w:val="20"/>
              </w:rPr>
            </w:pPr>
            <w:r w:rsidRPr="00316127">
              <w:rPr>
                <w:rFonts w:eastAsia="Calibri"/>
                <w:sz w:val="20"/>
              </w:rPr>
              <w:t>2010 ONCA 538</w:t>
            </w:r>
          </w:p>
          <w:p w:rsidR="00E01C5C" w:rsidRPr="00316127" w:rsidRDefault="00E01C5C" w:rsidP="00EF43C9">
            <w:pPr>
              <w:jc w:val="both"/>
              <w:rPr>
                <w:rFonts w:eastAsia="Calibri"/>
                <w:sz w:val="20"/>
              </w:rPr>
            </w:pPr>
            <w:r w:rsidRPr="00316127">
              <w:rPr>
                <w:rFonts w:eastAsia="Calibri"/>
                <w:sz w:val="20"/>
              </w:rPr>
              <w:t>Docket: C49178</w:t>
            </w:r>
          </w:p>
          <w:p w:rsidR="00E01C5C" w:rsidRPr="00316127" w:rsidRDefault="00E01C5C" w:rsidP="00EF43C9">
            <w:pPr>
              <w:jc w:val="both"/>
              <w:rPr>
                <w:rFonts w:eastAsia="Calibri"/>
                <w:sz w:val="20"/>
              </w:rPr>
            </w:pPr>
          </w:p>
        </w:tc>
        <w:tc>
          <w:tcPr>
            <w:tcW w:w="243" w:type="pct"/>
          </w:tcPr>
          <w:p w:rsidR="00E01C5C" w:rsidRPr="00316127" w:rsidRDefault="00E01C5C" w:rsidP="00EF43C9">
            <w:pPr>
              <w:jc w:val="both"/>
              <w:rPr>
                <w:rFonts w:eastAsia="Calibri"/>
                <w:sz w:val="20"/>
              </w:rPr>
            </w:pPr>
          </w:p>
        </w:tc>
        <w:tc>
          <w:tcPr>
            <w:tcW w:w="2330" w:type="pct"/>
          </w:tcPr>
          <w:p w:rsidR="00E01C5C" w:rsidRPr="00316127" w:rsidRDefault="00E01C5C" w:rsidP="00EF43C9">
            <w:pPr>
              <w:jc w:val="both"/>
              <w:rPr>
                <w:rFonts w:eastAsia="Calibri"/>
                <w:sz w:val="20"/>
              </w:rPr>
            </w:pPr>
            <w:r w:rsidRPr="00316127">
              <w:rPr>
                <w:rFonts w:eastAsia="Calibri"/>
                <w:sz w:val="20"/>
              </w:rPr>
              <w:t xml:space="preserve">Appeal from conviction for sexual assault against S.P. dismissed; Convictions in relation to FD set aside and new trial ordered </w:t>
            </w:r>
          </w:p>
        </w:tc>
      </w:tr>
      <w:tr w:rsidR="00E01C5C" w:rsidRPr="00316127" w:rsidTr="00EF43C9">
        <w:tc>
          <w:tcPr>
            <w:tcW w:w="2427" w:type="pct"/>
          </w:tcPr>
          <w:p w:rsidR="00E01C5C" w:rsidRPr="00316127" w:rsidRDefault="00E01C5C" w:rsidP="00EF43C9">
            <w:pPr>
              <w:jc w:val="both"/>
              <w:rPr>
                <w:rFonts w:eastAsia="Calibri"/>
                <w:sz w:val="20"/>
              </w:rPr>
            </w:pPr>
            <w:r w:rsidRPr="00316127">
              <w:rPr>
                <w:rFonts w:eastAsia="Calibri"/>
                <w:sz w:val="20"/>
              </w:rPr>
              <w:t>September 14, 2010</w:t>
            </w:r>
          </w:p>
          <w:p w:rsidR="00E01C5C" w:rsidRPr="00316127" w:rsidRDefault="00E01C5C" w:rsidP="00EF43C9">
            <w:pPr>
              <w:jc w:val="both"/>
              <w:rPr>
                <w:rFonts w:eastAsia="Calibri"/>
                <w:sz w:val="20"/>
              </w:rPr>
            </w:pPr>
            <w:r w:rsidRPr="00316127">
              <w:rPr>
                <w:rFonts w:eastAsia="Calibri"/>
                <w:sz w:val="20"/>
              </w:rPr>
              <w:t>Supreme Court of Canada</w:t>
            </w:r>
          </w:p>
        </w:tc>
        <w:tc>
          <w:tcPr>
            <w:tcW w:w="243" w:type="pct"/>
          </w:tcPr>
          <w:p w:rsidR="00E01C5C" w:rsidRPr="00316127" w:rsidRDefault="00E01C5C" w:rsidP="00EF43C9">
            <w:pPr>
              <w:jc w:val="both"/>
              <w:rPr>
                <w:rFonts w:eastAsia="Calibri"/>
                <w:sz w:val="20"/>
              </w:rPr>
            </w:pPr>
          </w:p>
        </w:tc>
        <w:tc>
          <w:tcPr>
            <w:tcW w:w="2330" w:type="pct"/>
          </w:tcPr>
          <w:p w:rsidR="00E01C5C" w:rsidRPr="00316127" w:rsidRDefault="00E01C5C" w:rsidP="00EF43C9">
            <w:pPr>
              <w:jc w:val="both"/>
              <w:rPr>
                <w:rFonts w:eastAsia="Calibri"/>
                <w:sz w:val="20"/>
              </w:rPr>
            </w:pPr>
            <w:r w:rsidRPr="00316127">
              <w:rPr>
                <w:rFonts w:eastAsia="Calibri"/>
                <w:sz w:val="20"/>
              </w:rPr>
              <w:t>Application for leave to appeal filed</w:t>
            </w:r>
          </w:p>
          <w:p w:rsidR="00E01C5C" w:rsidRPr="00316127" w:rsidRDefault="00E01C5C" w:rsidP="00EF43C9">
            <w:pPr>
              <w:jc w:val="both"/>
              <w:rPr>
                <w:rFonts w:eastAsia="Calibri"/>
                <w:sz w:val="20"/>
              </w:rPr>
            </w:pPr>
          </w:p>
        </w:tc>
      </w:tr>
    </w:tbl>
    <w:p w:rsidR="0026524B" w:rsidRPr="00E01ABF" w:rsidRDefault="0026524B" w:rsidP="0026524B">
      <w:pPr>
        <w:rPr>
          <w:sz w:val="20"/>
          <w:szCs w:val="20"/>
        </w:rPr>
      </w:pPr>
    </w:p>
    <w:p w:rsidR="0026524B" w:rsidRDefault="00D56013" w:rsidP="0026524B">
      <w:pPr>
        <w:rPr>
          <w:sz w:val="20"/>
          <w:szCs w:val="20"/>
          <w:lang w:val="fr-CA"/>
        </w:rPr>
      </w:pPr>
      <w:r w:rsidRPr="00D56013">
        <w:rPr>
          <w:sz w:val="20"/>
          <w:szCs w:val="20"/>
          <w:lang w:val="fr-CA"/>
        </w:rPr>
        <w:pict>
          <v:rect id="_x0000_i1082" style="width:2in;height:1pt" o:hrpct="0" o:hralign="center" o:hrstd="t" o:hrnoshade="t" o:hr="t" fillcolor="black [3213]" stroked="f"/>
        </w:pict>
      </w:r>
    </w:p>
    <w:p w:rsidR="00AF11AE" w:rsidRPr="00E01ABF" w:rsidRDefault="00AF11AE" w:rsidP="0026524B">
      <w:pPr>
        <w:rPr>
          <w:sz w:val="20"/>
          <w:szCs w:val="20"/>
        </w:rPr>
      </w:pPr>
    </w:p>
    <w:p w:rsidR="0026524B" w:rsidRPr="00E01ABF" w:rsidRDefault="0026524B" w:rsidP="0026524B">
      <w:pPr>
        <w:rPr>
          <w:sz w:val="20"/>
          <w:szCs w:val="20"/>
          <w:u w:val="single"/>
        </w:rPr>
      </w:pPr>
      <w:r w:rsidRPr="00E01ABF">
        <w:rPr>
          <w:sz w:val="20"/>
          <w:szCs w:val="20"/>
          <w:u w:val="single"/>
        </w:rPr>
        <w:t>RÉSUMÉ DE L’AFFAIRE</w:t>
      </w:r>
    </w:p>
    <w:p w:rsidR="0026524B" w:rsidRDefault="0026524B" w:rsidP="0026524B">
      <w:pPr>
        <w:rPr>
          <w:sz w:val="20"/>
          <w:szCs w:val="20"/>
        </w:rPr>
      </w:pPr>
    </w:p>
    <w:tbl>
      <w:tblPr>
        <w:tblW w:w="4952" w:type="pct"/>
        <w:tblInd w:w="2" w:type="dxa"/>
        <w:tblLayout w:type="fixed"/>
        <w:tblCellMar>
          <w:left w:w="0" w:type="dxa"/>
          <w:bottom w:w="99" w:type="dxa"/>
          <w:right w:w="0" w:type="dxa"/>
        </w:tblCellMar>
        <w:tblLook w:val="00A0"/>
      </w:tblPr>
      <w:tblGrid>
        <w:gridCol w:w="4624"/>
        <w:gridCol w:w="463"/>
        <w:gridCol w:w="4440"/>
      </w:tblGrid>
      <w:tr w:rsidR="00E01C5C" w:rsidRPr="00850008" w:rsidTr="00EF43C9">
        <w:tc>
          <w:tcPr>
            <w:tcW w:w="5000" w:type="pct"/>
            <w:gridSpan w:val="3"/>
          </w:tcPr>
          <w:p w:rsidR="00E01C5C" w:rsidRPr="00316127" w:rsidRDefault="00E01C5C" w:rsidP="00EF43C9">
            <w:pPr>
              <w:jc w:val="both"/>
              <w:rPr>
                <w:rFonts w:eastAsia="Calibri"/>
                <w:smallCaps/>
                <w:sz w:val="20"/>
                <w:lang w:val="fr-CA"/>
              </w:rPr>
            </w:pPr>
            <w:r w:rsidRPr="00316127">
              <w:rPr>
                <w:rFonts w:eastAsia="Calibri"/>
                <w:smallCaps/>
                <w:sz w:val="20"/>
                <w:lang w:val="fr-CA"/>
              </w:rPr>
              <w:t>(Ordonnance de non-publication dans le dossier) (Ordonnance de non-publication visant une partie)</w:t>
            </w:r>
          </w:p>
          <w:p w:rsidR="00E01C5C" w:rsidRPr="00316127" w:rsidRDefault="00E01C5C" w:rsidP="00EF43C9">
            <w:pPr>
              <w:jc w:val="both"/>
              <w:rPr>
                <w:rFonts w:eastAsia="Calibri"/>
                <w:sz w:val="20"/>
                <w:lang w:val="fr-CA"/>
              </w:rPr>
            </w:pPr>
          </w:p>
          <w:p w:rsidR="00E01C5C" w:rsidRPr="00316127" w:rsidRDefault="00E01C5C" w:rsidP="00EF43C9">
            <w:pPr>
              <w:jc w:val="both"/>
              <w:rPr>
                <w:rFonts w:eastAsia="Calibri"/>
                <w:sz w:val="20"/>
                <w:lang w:val="fr-CA"/>
              </w:rPr>
            </w:pPr>
            <w:r w:rsidRPr="00316127">
              <w:rPr>
                <w:rFonts w:eastAsia="Calibri"/>
                <w:sz w:val="20"/>
                <w:lang w:val="fr-CA"/>
              </w:rPr>
              <w:t>Droit criminel – Infraction – Moyens de défense – Agression sexuelle – Croyance sincère mais erronée au consentement – La Cour d’appel a-t-elle indûment limité le moyen de défense de la croyance sincère mais erronée au consentement et donc élargi de façon inadmissible la définition d’agression sexuelle?</w:t>
            </w:r>
          </w:p>
        </w:tc>
      </w:tr>
      <w:tr w:rsidR="00E01C5C" w:rsidRPr="00850008" w:rsidTr="00EF43C9">
        <w:tc>
          <w:tcPr>
            <w:tcW w:w="5000" w:type="pct"/>
            <w:gridSpan w:val="3"/>
          </w:tcPr>
          <w:p w:rsidR="00E01C5C" w:rsidRPr="00316127" w:rsidRDefault="00E01C5C" w:rsidP="00EF43C9">
            <w:pPr>
              <w:jc w:val="both"/>
              <w:rPr>
                <w:rFonts w:eastAsia="Calibri"/>
                <w:sz w:val="20"/>
                <w:lang w:val="fr-CA"/>
              </w:rPr>
            </w:pPr>
          </w:p>
          <w:p w:rsidR="00E01C5C" w:rsidRPr="00316127" w:rsidRDefault="00E01C5C" w:rsidP="00EF43C9">
            <w:pPr>
              <w:jc w:val="both"/>
              <w:rPr>
                <w:rFonts w:eastAsia="Calibri"/>
                <w:sz w:val="20"/>
                <w:lang w:val="fr-CA"/>
              </w:rPr>
            </w:pPr>
            <w:r w:rsidRPr="00316127">
              <w:rPr>
                <w:rFonts w:eastAsia="Calibri"/>
                <w:sz w:val="20"/>
                <w:lang w:val="fr-CA"/>
              </w:rPr>
              <w:t>Le demandeur, propriétaire à temps partiel d’un resto-bar, a été déclaré coupable d’agression sexuelle commise contre SP, une employée qui travaillait comme barmaid. Dans son témoignage, SP a affirmé que pendant qu’elle se tenait debout derrière le bar, le demandeur s’est approché derrière elle et l’a prise par la taille pendant trois ou quatre secondes en lui disant qu’il la désirait sexuellement. Le demandeur a admis ce comportement. Le restaurant et le bar encourageaient une [</w:t>
            </w:r>
            <w:r w:rsidRPr="00316127">
              <w:rPr>
                <w:rFonts w:eastAsia="Calibri"/>
                <w:smallCaps/>
                <w:sz w:val="20"/>
                <w:lang w:val="fr-CA"/>
              </w:rPr>
              <w:t>traduction</w:t>
            </w:r>
            <w:r w:rsidRPr="00316127">
              <w:rPr>
                <w:rFonts w:eastAsia="Calibri"/>
                <w:sz w:val="20"/>
                <w:lang w:val="fr-CA"/>
              </w:rPr>
              <w:t>] « ambiance de fête » et encourageaient le personnel à s’habiller et à se comporter de façon provocante. Le juge du procès a qualifié de [</w:t>
            </w:r>
            <w:r w:rsidRPr="00316127">
              <w:rPr>
                <w:rFonts w:eastAsia="Calibri"/>
                <w:smallCaps/>
                <w:sz w:val="20"/>
                <w:lang w:val="fr-CA"/>
              </w:rPr>
              <w:t>traduction</w:t>
            </w:r>
            <w:r w:rsidRPr="00316127">
              <w:rPr>
                <w:rFonts w:eastAsia="Calibri"/>
                <w:sz w:val="20"/>
                <w:lang w:val="fr-CA"/>
              </w:rPr>
              <w:t>] « poudre aux yeux » le témoignage du demandeur selon lequel SP et une autre employée l’auraient pris en sandwich entre elles pendant que SP lui prenait les fesses et il a rejeté le témoignage selon lequel lui et SP auraient échangé un baiser langoureux à l’arrière du restaurant.  Il a rejeté l’allégation de croyance sincère mais erronée au consentement.</w:t>
            </w:r>
          </w:p>
        </w:tc>
      </w:tr>
      <w:tr w:rsidR="00E01C5C" w:rsidRPr="00850008" w:rsidTr="00EF43C9">
        <w:tc>
          <w:tcPr>
            <w:tcW w:w="5000" w:type="pct"/>
            <w:gridSpan w:val="3"/>
          </w:tcPr>
          <w:p w:rsidR="00E01C5C" w:rsidRPr="00316127" w:rsidRDefault="00E01C5C" w:rsidP="00EF43C9">
            <w:pPr>
              <w:jc w:val="both"/>
              <w:rPr>
                <w:rFonts w:eastAsia="Calibri"/>
                <w:sz w:val="20"/>
                <w:lang w:val="fr-CA"/>
              </w:rPr>
            </w:pPr>
          </w:p>
        </w:tc>
      </w:tr>
      <w:tr w:rsidR="00E01C5C" w:rsidRPr="00850008" w:rsidTr="00EF43C9">
        <w:tc>
          <w:tcPr>
            <w:tcW w:w="2427" w:type="pct"/>
          </w:tcPr>
          <w:p w:rsidR="00E01C5C" w:rsidRPr="00316127" w:rsidRDefault="00E01C5C" w:rsidP="00EF43C9">
            <w:pPr>
              <w:jc w:val="both"/>
              <w:rPr>
                <w:rFonts w:eastAsia="Calibri"/>
                <w:sz w:val="20"/>
                <w:lang w:val="fr-CA"/>
              </w:rPr>
            </w:pPr>
            <w:r w:rsidRPr="00316127">
              <w:rPr>
                <w:rFonts w:eastAsia="Calibri"/>
                <w:sz w:val="20"/>
                <w:lang w:val="fr-CA"/>
              </w:rPr>
              <w:t>14 mai 2008</w:t>
            </w:r>
          </w:p>
          <w:p w:rsidR="00E01C5C" w:rsidRPr="00316127" w:rsidRDefault="00E01C5C" w:rsidP="00EF43C9">
            <w:pPr>
              <w:jc w:val="both"/>
              <w:rPr>
                <w:rFonts w:eastAsia="Calibri"/>
                <w:sz w:val="20"/>
                <w:lang w:val="fr-CA"/>
              </w:rPr>
            </w:pPr>
            <w:r w:rsidRPr="00316127">
              <w:rPr>
                <w:rFonts w:eastAsia="Calibri"/>
                <w:sz w:val="20"/>
                <w:lang w:val="fr-CA"/>
              </w:rPr>
              <w:t>Cour supérieure de justice de l’Ontario</w:t>
            </w:r>
          </w:p>
          <w:p w:rsidR="00E01C5C" w:rsidRPr="00316127" w:rsidRDefault="00E01C5C" w:rsidP="00EF43C9">
            <w:pPr>
              <w:jc w:val="both"/>
              <w:rPr>
                <w:rFonts w:eastAsia="Calibri"/>
                <w:sz w:val="20"/>
                <w:lang w:val="fr-CA"/>
              </w:rPr>
            </w:pPr>
            <w:r w:rsidRPr="00316127">
              <w:rPr>
                <w:rFonts w:eastAsia="Calibri"/>
                <w:sz w:val="20"/>
                <w:lang w:val="fr-CA"/>
              </w:rPr>
              <w:t>(Juge Howden)</w:t>
            </w:r>
          </w:p>
          <w:p w:rsidR="00E01C5C" w:rsidRPr="00316127" w:rsidRDefault="00E01C5C" w:rsidP="00EF43C9">
            <w:pPr>
              <w:jc w:val="both"/>
              <w:rPr>
                <w:rFonts w:eastAsia="Calibri"/>
                <w:sz w:val="20"/>
                <w:lang w:val="fr-CA"/>
              </w:rPr>
            </w:pPr>
          </w:p>
        </w:tc>
        <w:tc>
          <w:tcPr>
            <w:tcW w:w="243" w:type="pct"/>
          </w:tcPr>
          <w:p w:rsidR="00E01C5C" w:rsidRPr="00316127" w:rsidRDefault="00E01C5C" w:rsidP="00EF43C9">
            <w:pPr>
              <w:jc w:val="both"/>
              <w:rPr>
                <w:rFonts w:eastAsia="Calibri"/>
                <w:sz w:val="20"/>
                <w:lang w:val="fr-CA"/>
              </w:rPr>
            </w:pPr>
          </w:p>
        </w:tc>
        <w:tc>
          <w:tcPr>
            <w:tcW w:w="2330" w:type="pct"/>
          </w:tcPr>
          <w:p w:rsidR="00E01C5C" w:rsidRPr="00316127" w:rsidRDefault="00E01C5C" w:rsidP="00EF43C9">
            <w:pPr>
              <w:jc w:val="both"/>
              <w:rPr>
                <w:rFonts w:eastAsia="Calibri"/>
                <w:sz w:val="20"/>
                <w:lang w:val="fr-CA"/>
              </w:rPr>
            </w:pPr>
            <w:r w:rsidRPr="00316127">
              <w:rPr>
                <w:rFonts w:eastAsia="Calibri"/>
                <w:sz w:val="20"/>
                <w:lang w:val="fr-CA"/>
              </w:rPr>
              <w:t>Déclaration de culpabilité d’agression sexuelle contre SP; déclarations de culpabilité d’agression sexuelle et de menaces contre FD; autres accusations rejetées</w:t>
            </w:r>
          </w:p>
        </w:tc>
      </w:tr>
      <w:tr w:rsidR="00E01C5C" w:rsidRPr="00850008" w:rsidTr="00EF43C9">
        <w:tc>
          <w:tcPr>
            <w:tcW w:w="2427" w:type="pct"/>
          </w:tcPr>
          <w:p w:rsidR="00E01C5C" w:rsidRPr="00316127" w:rsidRDefault="00E01C5C" w:rsidP="00EF43C9">
            <w:pPr>
              <w:jc w:val="both"/>
              <w:rPr>
                <w:rFonts w:eastAsia="Calibri"/>
                <w:sz w:val="20"/>
                <w:lang w:val="fr-CA"/>
              </w:rPr>
            </w:pPr>
            <w:r w:rsidRPr="00316127">
              <w:rPr>
                <w:rFonts w:eastAsia="Calibri"/>
                <w:sz w:val="20"/>
                <w:lang w:val="fr-CA"/>
              </w:rPr>
              <w:t>27 juillet 2010</w:t>
            </w:r>
          </w:p>
          <w:p w:rsidR="00E01C5C" w:rsidRPr="00316127" w:rsidRDefault="00E01C5C" w:rsidP="00EF43C9">
            <w:pPr>
              <w:jc w:val="both"/>
              <w:rPr>
                <w:rFonts w:eastAsia="Calibri"/>
                <w:sz w:val="20"/>
                <w:lang w:val="fr-CA"/>
              </w:rPr>
            </w:pPr>
            <w:r w:rsidRPr="00316127">
              <w:rPr>
                <w:rFonts w:eastAsia="Calibri"/>
                <w:sz w:val="20"/>
                <w:lang w:val="fr-CA"/>
              </w:rPr>
              <w:t>Cour d’appel de l’Ontario</w:t>
            </w:r>
          </w:p>
          <w:p w:rsidR="00E01C5C" w:rsidRPr="00316127" w:rsidRDefault="00E01C5C" w:rsidP="00EF43C9">
            <w:pPr>
              <w:jc w:val="both"/>
              <w:rPr>
                <w:rFonts w:eastAsia="Calibri"/>
                <w:sz w:val="20"/>
                <w:lang w:val="fr-CA"/>
              </w:rPr>
            </w:pPr>
            <w:r w:rsidRPr="00316127">
              <w:rPr>
                <w:rFonts w:eastAsia="Calibri"/>
                <w:sz w:val="20"/>
                <w:lang w:val="fr-CA"/>
              </w:rPr>
              <w:t>(Juges Doherty, Armstrong et Watt)</w:t>
            </w:r>
          </w:p>
          <w:p w:rsidR="00E01C5C" w:rsidRPr="00316127" w:rsidRDefault="00E01C5C" w:rsidP="00EF43C9">
            <w:pPr>
              <w:jc w:val="both"/>
              <w:rPr>
                <w:rFonts w:eastAsia="Calibri"/>
                <w:sz w:val="20"/>
                <w:lang w:val="fr-CA"/>
              </w:rPr>
            </w:pPr>
            <w:r w:rsidRPr="00316127">
              <w:rPr>
                <w:rFonts w:eastAsia="Calibri"/>
                <w:sz w:val="20"/>
                <w:lang w:val="fr-CA"/>
              </w:rPr>
              <w:t>2010 ONCA 538</w:t>
            </w:r>
          </w:p>
          <w:p w:rsidR="00E01C5C" w:rsidRPr="00316127" w:rsidRDefault="00E01C5C" w:rsidP="00BC3DBB">
            <w:pPr>
              <w:jc w:val="both"/>
              <w:rPr>
                <w:rFonts w:eastAsia="Calibri"/>
                <w:sz w:val="20"/>
                <w:lang w:val="fr-CA"/>
              </w:rPr>
            </w:pPr>
            <w:r w:rsidRPr="00316127">
              <w:rPr>
                <w:rFonts w:eastAsia="Calibri"/>
                <w:sz w:val="20"/>
                <w:lang w:val="fr-CA"/>
              </w:rPr>
              <w:t>Registre : C49178</w:t>
            </w:r>
          </w:p>
        </w:tc>
        <w:tc>
          <w:tcPr>
            <w:tcW w:w="243" w:type="pct"/>
          </w:tcPr>
          <w:p w:rsidR="00E01C5C" w:rsidRPr="00316127" w:rsidRDefault="00E01C5C" w:rsidP="00EF43C9">
            <w:pPr>
              <w:jc w:val="both"/>
              <w:rPr>
                <w:rFonts w:eastAsia="Calibri"/>
                <w:sz w:val="20"/>
                <w:lang w:val="fr-CA"/>
              </w:rPr>
            </w:pPr>
          </w:p>
        </w:tc>
        <w:tc>
          <w:tcPr>
            <w:tcW w:w="2330" w:type="pct"/>
          </w:tcPr>
          <w:p w:rsidR="00E01C5C" w:rsidRPr="00316127" w:rsidRDefault="00E01C5C" w:rsidP="00EF43C9">
            <w:pPr>
              <w:jc w:val="both"/>
              <w:rPr>
                <w:rFonts w:eastAsia="Calibri"/>
                <w:sz w:val="20"/>
                <w:lang w:val="fr-CA"/>
              </w:rPr>
            </w:pPr>
            <w:r w:rsidRPr="00316127">
              <w:rPr>
                <w:rFonts w:eastAsia="Calibri"/>
                <w:sz w:val="20"/>
                <w:lang w:val="fr-CA"/>
              </w:rPr>
              <w:t xml:space="preserve">Appel de la déclaration de culpabilité d’agression sexuelle contre SP, rejeté; déclarations de culpabilité en rapport avec FD, annulées et nouveau procès ordonné </w:t>
            </w:r>
          </w:p>
        </w:tc>
      </w:tr>
    </w:tbl>
    <w:p w:rsidR="00BC3DBB" w:rsidRPr="0064487C" w:rsidRDefault="00BC3DBB">
      <w:pPr>
        <w:rPr>
          <w:lang w:val="fr-CA"/>
        </w:rPr>
      </w:pPr>
    </w:p>
    <w:tbl>
      <w:tblPr>
        <w:tblW w:w="4952" w:type="pct"/>
        <w:tblInd w:w="2" w:type="dxa"/>
        <w:tblLayout w:type="fixed"/>
        <w:tblCellMar>
          <w:left w:w="0" w:type="dxa"/>
          <w:bottom w:w="99" w:type="dxa"/>
          <w:right w:w="0" w:type="dxa"/>
        </w:tblCellMar>
        <w:tblLook w:val="00A0"/>
      </w:tblPr>
      <w:tblGrid>
        <w:gridCol w:w="4624"/>
        <w:gridCol w:w="463"/>
        <w:gridCol w:w="4440"/>
      </w:tblGrid>
      <w:tr w:rsidR="00E01C5C" w:rsidRPr="00316127" w:rsidTr="00BC3DBB">
        <w:trPr>
          <w:cantSplit/>
        </w:trPr>
        <w:tc>
          <w:tcPr>
            <w:tcW w:w="2427" w:type="pct"/>
          </w:tcPr>
          <w:p w:rsidR="00E01C5C" w:rsidRPr="00316127" w:rsidRDefault="00E01C5C" w:rsidP="00EF43C9">
            <w:pPr>
              <w:jc w:val="both"/>
              <w:rPr>
                <w:rFonts w:eastAsia="Calibri"/>
                <w:sz w:val="20"/>
                <w:lang w:val="fr-CA"/>
              </w:rPr>
            </w:pPr>
            <w:r w:rsidRPr="00316127">
              <w:rPr>
                <w:rFonts w:eastAsia="Calibri"/>
                <w:sz w:val="20"/>
                <w:lang w:val="fr-CA"/>
              </w:rPr>
              <w:lastRenderedPageBreak/>
              <w:t>14 septembre 2010</w:t>
            </w:r>
          </w:p>
          <w:p w:rsidR="00E01C5C" w:rsidRPr="00316127" w:rsidRDefault="00E01C5C" w:rsidP="00EF43C9">
            <w:pPr>
              <w:jc w:val="both"/>
              <w:rPr>
                <w:rFonts w:eastAsia="Calibri"/>
                <w:sz w:val="20"/>
                <w:lang w:val="fr-CA"/>
              </w:rPr>
            </w:pPr>
            <w:r w:rsidRPr="00316127">
              <w:rPr>
                <w:rFonts w:eastAsia="Calibri"/>
                <w:sz w:val="20"/>
                <w:lang w:val="fr-CA"/>
              </w:rPr>
              <w:t>Cour suprême du Canada</w:t>
            </w:r>
          </w:p>
        </w:tc>
        <w:tc>
          <w:tcPr>
            <w:tcW w:w="243" w:type="pct"/>
          </w:tcPr>
          <w:p w:rsidR="00E01C5C" w:rsidRPr="00316127" w:rsidRDefault="00E01C5C" w:rsidP="00EF43C9">
            <w:pPr>
              <w:jc w:val="both"/>
              <w:rPr>
                <w:rFonts w:eastAsia="Calibri"/>
                <w:sz w:val="20"/>
                <w:lang w:val="fr-CA"/>
              </w:rPr>
            </w:pPr>
          </w:p>
        </w:tc>
        <w:tc>
          <w:tcPr>
            <w:tcW w:w="2330" w:type="pct"/>
          </w:tcPr>
          <w:p w:rsidR="00E01C5C" w:rsidRPr="00316127" w:rsidRDefault="00E01C5C" w:rsidP="00EF43C9">
            <w:pPr>
              <w:jc w:val="both"/>
              <w:rPr>
                <w:rFonts w:eastAsia="Calibri"/>
                <w:sz w:val="20"/>
                <w:lang w:val="fr-CA"/>
              </w:rPr>
            </w:pPr>
            <w:r w:rsidRPr="00316127">
              <w:rPr>
                <w:rFonts w:eastAsia="Calibri"/>
                <w:sz w:val="20"/>
                <w:lang w:val="fr-CA"/>
              </w:rPr>
              <w:t>Demande d’autorisation d’appel, déposée</w:t>
            </w:r>
          </w:p>
          <w:p w:rsidR="00E01C5C" w:rsidRPr="00316127" w:rsidRDefault="00E01C5C" w:rsidP="00EF43C9">
            <w:pPr>
              <w:jc w:val="both"/>
              <w:rPr>
                <w:rFonts w:eastAsia="Calibri"/>
                <w:sz w:val="20"/>
                <w:lang w:val="fr-CA"/>
              </w:rPr>
            </w:pPr>
          </w:p>
        </w:tc>
      </w:tr>
    </w:tbl>
    <w:p w:rsidR="0026524B" w:rsidRPr="00E01ABF" w:rsidRDefault="0026524B" w:rsidP="0026524B">
      <w:pPr>
        <w:rPr>
          <w:sz w:val="20"/>
          <w:szCs w:val="20"/>
        </w:rPr>
      </w:pPr>
    </w:p>
    <w:p w:rsidR="0026524B" w:rsidRDefault="00D56013" w:rsidP="0026524B">
      <w:pPr>
        <w:rPr>
          <w:sz w:val="20"/>
          <w:szCs w:val="20"/>
          <w:lang w:val="fr-CA"/>
        </w:rPr>
      </w:pPr>
      <w:r w:rsidRPr="00D56013">
        <w:rPr>
          <w:sz w:val="20"/>
          <w:szCs w:val="20"/>
          <w:lang w:val="fr-CA"/>
        </w:rPr>
        <w:pict>
          <v:rect id="_x0000_i1083" style="width:2in;height:1pt" o:hrpct="0" o:hralign="center" o:hrstd="t" o:hrnoshade="t" o:hr="t" fillcolor="black [3213]" stroked="f"/>
        </w:pict>
      </w:r>
    </w:p>
    <w:p w:rsidR="0026524B" w:rsidRDefault="0026524B" w:rsidP="008D292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AF11AE" w:rsidRPr="00BC3DBB" w:rsidTr="00473DF7">
        <w:trPr>
          <w:cantSplit/>
        </w:trPr>
        <w:tc>
          <w:tcPr>
            <w:tcW w:w="1458" w:type="dxa"/>
          </w:tcPr>
          <w:p w:rsidR="00AF11AE" w:rsidRPr="00AF11AE" w:rsidRDefault="00AF11AE" w:rsidP="00473DF7">
            <w:pPr>
              <w:rPr>
                <w:sz w:val="20"/>
                <w:szCs w:val="20"/>
              </w:rPr>
            </w:pPr>
            <w:r w:rsidRPr="00AF11AE">
              <w:rPr>
                <w:rStyle w:val="SCCFileNumberChar"/>
                <w:sz w:val="20"/>
                <w:szCs w:val="20"/>
              </w:rPr>
              <w:t>33869</w:t>
            </w:r>
          </w:p>
          <w:p w:rsidR="00AF11AE" w:rsidRPr="00AF11AE" w:rsidRDefault="00AF11AE" w:rsidP="00473DF7">
            <w:pPr>
              <w:rPr>
                <w:b/>
                <w:sz w:val="20"/>
                <w:szCs w:val="20"/>
                <w:lang w:val="fr-CA"/>
              </w:rPr>
            </w:pPr>
          </w:p>
        </w:tc>
        <w:tc>
          <w:tcPr>
            <w:tcW w:w="8118" w:type="dxa"/>
          </w:tcPr>
          <w:p w:rsidR="00AF11AE" w:rsidRPr="00BC3DBB" w:rsidRDefault="00AF11AE" w:rsidP="00BC3DBB">
            <w:pPr>
              <w:jc w:val="both"/>
              <w:rPr>
                <w:sz w:val="20"/>
                <w:szCs w:val="20"/>
                <w:lang w:val="fr-CA"/>
              </w:rPr>
            </w:pPr>
            <w:r w:rsidRPr="00AF11AE">
              <w:rPr>
                <w:rStyle w:val="SCCLsocChar"/>
                <w:sz w:val="20"/>
                <w:szCs w:val="20"/>
              </w:rPr>
              <w:t>Roger Touchette c. Les frères des écoles chrétiennes d'Ottawa inc., Roman Catholic Episcopal Corporation of Ottawa</w:t>
            </w:r>
            <w:r w:rsidR="00BC3DBB">
              <w:rPr>
                <w:rStyle w:val="SCCLsocChar"/>
                <w:sz w:val="20"/>
                <w:szCs w:val="20"/>
              </w:rPr>
              <w:t xml:space="preserve"> et</w:t>
            </w:r>
            <w:r w:rsidRPr="00AF11AE">
              <w:rPr>
                <w:rStyle w:val="SCCLsocChar"/>
                <w:sz w:val="20"/>
                <w:szCs w:val="20"/>
              </w:rPr>
              <w:t xml:space="preserve"> Sa Majesté la Reine du chef de l'Ontario</w:t>
            </w:r>
            <w:r w:rsidRPr="00AF11AE">
              <w:rPr>
                <w:sz w:val="20"/>
                <w:szCs w:val="20"/>
                <w:lang w:val="fr-CA"/>
              </w:rPr>
              <w:t xml:space="preserve"> (Ont.) </w:t>
            </w:r>
            <w:r w:rsidRPr="00BC3DBB">
              <w:rPr>
                <w:sz w:val="20"/>
                <w:szCs w:val="20"/>
                <w:lang w:val="fr-CA"/>
              </w:rPr>
              <w:t>(Civile) (Autorisation)</w:t>
            </w:r>
          </w:p>
          <w:p w:rsidR="00AF11AE" w:rsidRPr="00BC3DBB" w:rsidRDefault="00AF11AE" w:rsidP="00473DF7">
            <w:pPr>
              <w:rPr>
                <w:sz w:val="20"/>
                <w:szCs w:val="20"/>
                <w:lang w:val="fr-CA"/>
              </w:rPr>
            </w:pPr>
          </w:p>
        </w:tc>
      </w:tr>
      <w:tr w:rsidR="00AF11AE" w:rsidRPr="00850008" w:rsidTr="00473DF7">
        <w:trPr>
          <w:cantSplit/>
        </w:trPr>
        <w:tc>
          <w:tcPr>
            <w:tcW w:w="1458" w:type="dxa"/>
          </w:tcPr>
          <w:p w:rsidR="00AF11AE" w:rsidRPr="00AF11AE" w:rsidRDefault="00AF11AE" w:rsidP="00473DF7">
            <w:pPr>
              <w:rPr>
                <w:sz w:val="20"/>
                <w:szCs w:val="20"/>
              </w:rPr>
            </w:pPr>
            <w:r w:rsidRPr="00AF11AE">
              <w:rPr>
                <w:sz w:val="20"/>
                <w:szCs w:val="20"/>
              </w:rPr>
              <w:t>Coram :</w:t>
            </w:r>
          </w:p>
        </w:tc>
        <w:tc>
          <w:tcPr>
            <w:tcW w:w="8118" w:type="dxa"/>
          </w:tcPr>
          <w:p w:rsidR="00AF11AE" w:rsidRPr="00AF11AE" w:rsidRDefault="00AF11AE" w:rsidP="00473DF7">
            <w:pPr>
              <w:rPr>
                <w:sz w:val="20"/>
                <w:szCs w:val="20"/>
                <w:lang w:val="fr-CA"/>
              </w:rPr>
            </w:pPr>
            <w:r w:rsidRPr="00AF11AE">
              <w:rPr>
                <w:rStyle w:val="SCCCoramChar"/>
                <w:sz w:val="20"/>
                <w:szCs w:val="20"/>
              </w:rPr>
              <w:t>La juge en chef McLachlin et les juges Abella et Cromwell</w:t>
            </w:r>
          </w:p>
          <w:p w:rsidR="00AF11AE" w:rsidRPr="00AF11AE" w:rsidRDefault="00AF11AE" w:rsidP="00473DF7">
            <w:pPr>
              <w:rPr>
                <w:sz w:val="20"/>
                <w:szCs w:val="20"/>
                <w:u w:val="single"/>
                <w:lang w:val="fr-CA"/>
              </w:rPr>
            </w:pPr>
          </w:p>
        </w:tc>
      </w:tr>
      <w:tr w:rsidR="00AF11AE" w:rsidRPr="00AF11AE" w:rsidTr="00473DF7">
        <w:trPr>
          <w:cantSplit/>
        </w:trPr>
        <w:tc>
          <w:tcPr>
            <w:tcW w:w="9576" w:type="dxa"/>
            <w:gridSpan w:val="2"/>
          </w:tcPr>
          <w:p w:rsidR="00AF11AE" w:rsidRPr="00AF11AE" w:rsidRDefault="00AF11AE" w:rsidP="00473DF7">
            <w:pPr>
              <w:pStyle w:val="SCCShortJudgment"/>
              <w:rPr>
                <w:szCs w:val="20"/>
                <w:lang w:val="fr-CA"/>
              </w:rPr>
            </w:pPr>
            <w:r w:rsidRPr="00AF11AE">
              <w:rPr>
                <w:szCs w:val="20"/>
                <w:lang w:val="fr-CA"/>
              </w:rPr>
              <w:t>La requête en prorogation du délai de signification et de dépôt de la demande d’autorisation d’appel est accordée. La demande d’autorisation d’appel de l’arrêt de la Cour d’appel de l’Ontario, numéro M37998, daté du 22 janvier 2010, est rejetée avec dépens.</w:t>
            </w:r>
          </w:p>
          <w:p w:rsidR="00AF11AE" w:rsidRPr="00AF11AE" w:rsidRDefault="00AF11AE" w:rsidP="00473DF7">
            <w:pPr>
              <w:pStyle w:val="SCCShortJudgment"/>
              <w:ind w:firstLine="0"/>
              <w:rPr>
                <w:szCs w:val="20"/>
                <w:lang w:val="fr-CA"/>
              </w:rPr>
            </w:pPr>
          </w:p>
          <w:p w:rsidR="00AF11AE" w:rsidRPr="00AF11AE" w:rsidRDefault="00AF11AE" w:rsidP="00AF11AE">
            <w:pPr>
              <w:pStyle w:val="SCCShortJudgment"/>
              <w:rPr>
                <w:szCs w:val="20"/>
              </w:rPr>
            </w:pPr>
            <w:r w:rsidRPr="00AF11AE">
              <w:rPr>
                <w:szCs w:val="20"/>
              </w:rPr>
              <w:t>The motion for an extension of time to serve and file the application for leave to appeal is granted. The application for leave to appeal from the judgment of the Court of Appeal for Ontario, Number M37998, dated January 22, 2010, is dismissed with costs.</w:t>
            </w:r>
          </w:p>
        </w:tc>
      </w:tr>
    </w:tbl>
    <w:p w:rsidR="0026524B" w:rsidRPr="00AF11AE" w:rsidRDefault="0026524B" w:rsidP="0026524B">
      <w:pPr>
        <w:rPr>
          <w:sz w:val="20"/>
          <w:szCs w:val="20"/>
        </w:rPr>
      </w:pPr>
    </w:p>
    <w:p w:rsidR="0026524B" w:rsidRPr="00E01ABF" w:rsidRDefault="0026524B" w:rsidP="0026524B">
      <w:pPr>
        <w:rPr>
          <w:sz w:val="20"/>
          <w:szCs w:val="20"/>
          <w:u w:val="single"/>
        </w:rPr>
      </w:pPr>
      <w:r w:rsidRPr="00E01ABF">
        <w:rPr>
          <w:sz w:val="20"/>
          <w:szCs w:val="20"/>
          <w:u w:val="single"/>
        </w:rPr>
        <w:t>CASE SUMMARY</w:t>
      </w:r>
    </w:p>
    <w:p w:rsidR="0026524B" w:rsidRDefault="0026524B" w:rsidP="0026524B">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E01C5C" w:rsidRPr="00316127" w:rsidTr="00EF43C9">
        <w:tc>
          <w:tcPr>
            <w:tcW w:w="5000" w:type="pct"/>
            <w:gridSpan w:val="3"/>
          </w:tcPr>
          <w:p w:rsidR="00E01C5C" w:rsidRDefault="00E01C5C" w:rsidP="00EF43C9">
            <w:pPr>
              <w:jc w:val="both"/>
              <w:rPr>
                <w:rFonts w:eastAsia="Calibri"/>
                <w:sz w:val="20"/>
              </w:rPr>
            </w:pPr>
            <w:r w:rsidRPr="00316127">
              <w:rPr>
                <w:rFonts w:eastAsia="Calibri"/>
                <w:sz w:val="20"/>
              </w:rPr>
              <w:t>Civil procedure – Pre</w:t>
            </w:r>
            <w:r w:rsidRPr="00316127">
              <w:rPr>
                <w:rFonts w:eastAsia="Calibri"/>
                <w:sz w:val="20"/>
              </w:rPr>
              <w:noBreakHyphen/>
              <w:t xml:space="preserve">trial procedure – Judgments and orders – Contracts – Remedies – Whether courts below erred in law in interpreting parties’ intention when they accepted agreement of February 1, 1999 – Whether courts below made error of mixed law and fact in interpreting agreement and </w:t>
            </w:r>
            <w:r w:rsidRPr="00316127">
              <w:rPr>
                <w:rFonts w:eastAsia="Calibri"/>
                <w:i/>
                <w:sz w:val="20"/>
              </w:rPr>
              <w:t>contra proferentum</w:t>
            </w:r>
            <w:r w:rsidRPr="00316127">
              <w:rPr>
                <w:rFonts w:eastAsia="Calibri"/>
                <w:sz w:val="20"/>
              </w:rPr>
              <w:t xml:space="preserve"> doctrine.</w:t>
            </w:r>
          </w:p>
          <w:p w:rsidR="00F838C3" w:rsidRPr="00316127" w:rsidRDefault="00F838C3" w:rsidP="00EF43C9">
            <w:pPr>
              <w:jc w:val="both"/>
              <w:rPr>
                <w:rFonts w:eastAsia="Calibri"/>
                <w:sz w:val="20"/>
              </w:rPr>
            </w:pPr>
          </w:p>
        </w:tc>
      </w:tr>
      <w:tr w:rsidR="00E01C5C" w:rsidRPr="00316127" w:rsidTr="00EF43C9">
        <w:tc>
          <w:tcPr>
            <w:tcW w:w="5000" w:type="pct"/>
            <w:gridSpan w:val="3"/>
          </w:tcPr>
          <w:p w:rsidR="00E01C5C" w:rsidRPr="00316127" w:rsidRDefault="00E01C5C" w:rsidP="00EF43C9">
            <w:pPr>
              <w:jc w:val="both"/>
              <w:rPr>
                <w:rFonts w:eastAsia="Calibri"/>
                <w:sz w:val="20"/>
              </w:rPr>
            </w:pPr>
            <w:r w:rsidRPr="00316127">
              <w:rPr>
                <w:rFonts w:eastAsia="Calibri"/>
                <w:sz w:val="20"/>
              </w:rPr>
              <w:t>Mr. Touchette was abused as a child at the St. Joseph’s Training School.  He took part in a program to reach an out</w:t>
            </w:r>
            <w:r w:rsidRPr="00316127">
              <w:rPr>
                <w:rFonts w:eastAsia="Calibri"/>
                <w:sz w:val="20"/>
              </w:rPr>
              <w:noBreakHyphen/>
              <w:t>of</w:t>
            </w:r>
            <w:r w:rsidRPr="00316127">
              <w:rPr>
                <w:rFonts w:eastAsia="Calibri"/>
                <w:sz w:val="20"/>
              </w:rPr>
              <w:noBreakHyphen/>
              <w:t>court settlement in proceedings brought against the Respondents.  In exchange for certain benefits, he signed a full and final release in 1992, which was confirmed by the Court of Appeal in 1998.  In 1999, he brought an action against the Respondents based on the same conduct that had given rise to the former claim.  The motions judge dismissed the action.  The Respondents nonetheless agreed to assist Mr. Touchette, without being under any obligation to do so, and the parties signed an agreement that was appended to the order.  A motion subsequently came before Maranger J. concerning the interpretation of that agreement; the issue was whether the Respondents had agreed to assist Mr. Touchette financially by paying for a two</w:t>
            </w:r>
            <w:r w:rsidRPr="00316127">
              <w:rPr>
                <w:rFonts w:eastAsia="Calibri"/>
                <w:sz w:val="20"/>
              </w:rPr>
              <w:noBreakHyphen/>
              <w:t>year fashion designer program or for an additional three</w:t>
            </w:r>
            <w:r w:rsidRPr="00316127">
              <w:rPr>
                <w:rFonts w:eastAsia="Calibri"/>
                <w:sz w:val="20"/>
              </w:rPr>
              <w:noBreakHyphen/>
              <w:t>year couturier program.</w:t>
            </w:r>
          </w:p>
        </w:tc>
      </w:tr>
      <w:tr w:rsidR="00E01C5C" w:rsidRPr="00316127" w:rsidTr="00EF43C9">
        <w:tc>
          <w:tcPr>
            <w:tcW w:w="5000" w:type="pct"/>
            <w:gridSpan w:val="3"/>
          </w:tcPr>
          <w:p w:rsidR="00E01C5C" w:rsidRPr="00316127" w:rsidRDefault="00E01C5C" w:rsidP="00EF43C9">
            <w:pPr>
              <w:jc w:val="both"/>
              <w:rPr>
                <w:rFonts w:eastAsia="Calibri"/>
                <w:sz w:val="20"/>
              </w:rPr>
            </w:pPr>
          </w:p>
        </w:tc>
      </w:tr>
      <w:tr w:rsidR="00E01C5C" w:rsidRPr="00316127" w:rsidTr="00EF43C9">
        <w:tc>
          <w:tcPr>
            <w:tcW w:w="2427" w:type="pct"/>
          </w:tcPr>
          <w:p w:rsidR="00E01C5C" w:rsidRPr="00316127" w:rsidRDefault="00E01C5C" w:rsidP="00EF43C9">
            <w:pPr>
              <w:jc w:val="both"/>
              <w:rPr>
                <w:rFonts w:eastAsia="Calibri"/>
                <w:sz w:val="20"/>
              </w:rPr>
            </w:pPr>
            <w:r w:rsidRPr="00316127">
              <w:rPr>
                <w:rFonts w:eastAsia="Calibri"/>
                <w:sz w:val="20"/>
              </w:rPr>
              <w:t>July 27, 2009</w:t>
            </w:r>
          </w:p>
          <w:p w:rsidR="00E01C5C" w:rsidRPr="00316127" w:rsidRDefault="00E01C5C" w:rsidP="00EF43C9">
            <w:pPr>
              <w:jc w:val="both"/>
              <w:rPr>
                <w:rFonts w:eastAsia="Calibri"/>
                <w:sz w:val="20"/>
              </w:rPr>
            </w:pPr>
            <w:r w:rsidRPr="00316127">
              <w:rPr>
                <w:rFonts w:eastAsia="Calibri"/>
                <w:sz w:val="20"/>
              </w:rPr>
              <w:t>Ontario Superior Court of Justice</w:t>
            </w:r>
          </w:p>
          <w:p w:rsidR="00E01C5C" w:rsidRPr="00316127" w:rsidRDefault="00E01C5C" w:rsidP="00EF43C9">
            <w:pPr>
              <w:jc w:val="both"/>
              <w:rPr>
                <w:rFonts w:eastAsia="Calibri"/>
                <w:sz w:val="20"/>
              </w:rPr>
            </w:pPr>
            <w:r w:rsidRPr="00316127">
              <w:rPr>
                <w:rFonts w:eastAsia="Calibri"/>
                <w:sz w:val="20"/>
              </w:rPr>
              <w:t>(Pardu, Wilson and Swinton JJ.)</w:t>
            </w:r>
          </w:p>
          <w:p w:rsidR="00E01C5C" w:rsidRPr="00316127" w:rsidRDefault="00E01C5C" w:rsidP="00EF43C9">
            <w:pPr>
              <w:jc w:val="both"/>
              <w:rPr>
                <w:rFonts w:eastAsia="Calibri"/>
                <w:sz w:val="20"/>
              </w:rPr>
            </w:pPr>
          </w:p>
        </w:tc>
        <w:tc>
          <w:tcPr>
            <w:tcW w:w="243" w:type="pct"/>
          </w:tcPr>
          <w:p w:rsidR="00E01C5C" w:rsidRPr="00316127" w:rsidRDefault="00E01C5C" w:rsidP="00EF43C9">
            <w:pPr>
              <w:jc w:val="both"/>
              <w:rPr>
                <w:rFonts w:eastAsia="Calibri"/>
                <w:sz w:val="20"/>
              </w:rPr>
            </w:pPr>
          </w:p>
        </w:tc>
        <w:tc>
          <w:tcPr>
            <w:tcW w:w="2330" w:type="pct"/>
          </w:tcPr>
          <w:p w:rsidR="00E01C5C" w:rsidRPr="00316127" w:rsidRDefault="00E01C5C" w:rsidP="00EF43C9">
            <w:pPr>
              <w:jc w:val="both"/>
              <w:rPr>
                <w:rFonts w:eastAsia="Calibri"/>
                <w:sz w:val="20"/>
              </w:rPr>
            </w:pPr>
            <w:r w:rsidRPr="00316127">
              <w:rPr>
                <w:rFonts w:eastAsia="Calibri"/>
                <w:sz w:val="20"/>
              </w:rPr>
              <w:t>Appeal from order by Maranger J. finding that there was no agreement with Respondents requiring Respondents to pay tuition fees and costs associated with three years of full</w:t>
            </w:r>
            <w:r w:rsidRPr="00316127">
              <w:rPr>
                <w:rFonts w:eastAsia="Calibri"/>
                <w:sz w:val="20"/>
              </w:rPr>
              <w:noBreakHyphen/>
              <w:t>time studies dismissed</w:t>
            </w:r>
          </w:p>
          <w:p w:rsidR="00E01C5C" w:rsidRPr="00316127" w:rsidRDefault="00E01C5C" w:rsidP="00EF43C9">
            <w:pPr>
              <w:jc w:val="both"/>
              <w:rPr>
                <w:rFonts w:eastAsia="Calibri"/>
                <w:sz w:val="20"/>
              </w:rPr>
            </w:pPr>
          </w:p>
        </w:tc>
      </w:tr>
      <w:tr w:rsidR="00E01C5C" w:rsidRPr="00316127" w:rsidTr="00EF43C9">
        <w:tc>
          <w:tcPr>
            <w:tcW w:w="2427" w:type="pct"/>
          </w:tcPr>
          <w:p w:rsidR="00E01C5C" w:rsidRPr="00316127" w:rsidRDefault="00E01C5C" w:rsidP="00EF43C9">
            <w:pPr>
              <w:jc w:val="both"/>
              <w:rPr>
                <w:rFonts w:eastAsia="Calibri"/>
                <w:sz w:val="20"/>
              </w:rPr>
            </w:pPr>
            <w:r w:rsidRPr="00316127">
              <w:rPr>
                <w:rFonts w:eastAsia="Calibri"/>
                <w:sz w:val="20"/>
              </w:rPr>
              <w:t>January 22, 2010</w:t>
            </w:r>
          </w:p>
          <w:p w:rsidR="00E01C5C" w:rsidRPr="00316127" w:rsidRDefault="00E01C5C" w:rsidP="00EF43C9">
            <w:pPr>
              <w:jc w:val="both"/>
              <w:rPr>
                <w:rFonts w:eastAsia="Calibri"/>
                <w:sz w:val="20"/>
              </w:rPr>
            </w:pPr>
            <w:r w:rsidRPr="00316127">
              <w:rPr>
                <w:rFonts w:eastAsia="Calibri"/>
                <w:sz w:val="20"/>
              </w:rPr>
              <w:t>Ontario Court of Appeal</w:t>
            </w:r>
          </w:p>
          <w:p w:rsidR="00E01C5C" w:rsidRPr="00316127" w:rsidRDefault="00E01C5C" w:rsidP="00EF43C9">
            <w:pPr>
              <w:jc w:val="both"/>
              <w:rPr>
                <w:rFonts w:eastAsia="Calibri"/>
                <w:sz w:val="20"/>
              </w:rPr>
            </w:pPr>
            <w:r w:rsidRPr="00316127">
              <w:rPr>
                <w:rFonts w:eastAsia="Calibri"/>
                <w:sz w:val="20"/>
              </w:rPr>
              <w:t>(Weiler, Blair and Sharpe JJ.A.)</w:t>
            </w:r>
          </w:p>
          <w:p w:rsidR="00E01C5C" w:rsidRPr="00316127" w:rsidRDefault="00E01C5C" w:rsidP="00EF43C9">
            <w:pPr>
              <w:jc w:val="both"/>
              <w:rPr>
                <w:rFonts w:eastAsia="Calibri"/>
                <w:sz w:val="20"/>
              </w:rPr>
            </w:pPr>
          </w:p>
        </w:tc>
        <w:tc>
          <w:tcPr>
            <w:tcW w:w="243" w:type="pct"/>
          </w:tcPr>
          <w:p w:rsidR="00E01C5C" w:rsidRPr="00316127" w:rsidRDefault="00E01C5C" w:rsidP="00EF43C9">
            <w:pPr>
              <w:jc w:val="both"/>
              <w:rPr>
                <w:rFonts w:eastAsia="Calibri"/>
                <w:sz w:val="20"/>
              </w:rPr>
            </w:pPr>
          </w:p>
        </w:tc>
        <w:tc>
          <w:tcPr>
            <w:tcW w:w="2330" w:type="pct"/>
          </w:tcPr>
          <w:p w:rsidR="00E01C5C" w:rsidRPr="00316127" w:rsidRDefault="00E01C5C" w:rsidP="00EF43C9">
            <w:pPr>
              <w:jc w:val="both"/>
              <w:rPr>
                <w:rFonts w:eastAsia="Calibri"/>
                <w:sz w:val="20"/>
              </w:rPr>
            </w:pPr>
            <w:r w:rsidRPr="00316127">
              <w:rPr>
                <w:rFonts w:eastAsia="Calibri"/>
                <w:sz w:val="20"/>
              </w:rPr>
              <w:t>Motion for leave to appeal dismissed</w:t>
            </w:r>
          </w:p>
          <w:p w:rsidR="00E01C5C" w:rsidRPr="00316127" w:rsidRDefault="00E01C5C" w:rsidP="00EF43C9">
            <w:pPr>
              <w:jc w:val="both"/>
              <w:rPr>
                <w:rFonts w:eastAsia="Calibri"/>
                <w:sz w:val="20"/>
              </w:rPr>
            </w:pPr>
          </w:p>
        </w:tc>
      </w:tr>
      <w:tr w:rsidR="00E01C5C" w:rsidRPr="00316127" w:rsidTr="00EF43C9">
        <w:tc>
          <w:tcPr>
            <w:tcW w:w="2427" w:type="pct"/>
          </w:tcPr>
          <w:p w:rsidR="00E01C5C" w:rsidRPr="00316127" w:rsidRDefault="00E01C5C" w:rsidP="00EF43C9">
            <w:pPr>
              <w:jc w:val="both"/>
              <w:rPr>
                <w:rFonts w:eastAsia="Calibri"/>
                <w:sz w:val="20"/>
              </w:rPr>
            </w:pPr>
            <w:r w:rsidRPr="00316127">
              <w:rPr>
                <w:rFonts w:eastAsia="Calibri"/>
                <w:sz w:val="20"/>
              </w:rPr>
              <w:t>September 28, 2010</w:t>
            </w:r>
          </w:p>
          <w:p w:rsidR="00E01C5C" w:rsidRPr="00316127" w:rsidRDefault="00E01C5C" w:rsidP="00EF43C9">
            <w:pPr>
              <w:jc w:val="both"/>
              <w:rPr>
                <w:rFonts w:eastAsia="Calibri"/>
                <w:sz w:val="20"/>
              </w:rPr>
            </w:pPr>
            <w:r w:rsidRPr="00316127">
              <w:rPr>
                <w:rFonts w:eastAsia="Calibri"/>
                <w:sz w:val="20"/>
              </w:rPr>
              <w:t>Supreme Court of Canada</w:t>
            </w:r>
          </w:p>
        </w:tc>
        <w:tc>
          <w:tcPr>
            <w:tcW w:w="243" w:type="pct"/>
          </w:tcPr>
          <w:p w:rsidR="00E01C5C" w:rsidRPr="00316127" w:rsidRDefault="00E01C5C" w:rsidP="00EF43C9">
            <w:pPr>
              <w:jc w:val="both"/>
              <w:rPr>
                <w:rFonts w:eastAsia="Calibri"/>
                <w:sz w:val="20"/>
              </w:rPr>
            </w:pPr>
          </w:p>
        </w:tc>
        <w:tc>
          <w:tcPr>
            <w:tcW w:w="2330" w:type="pct"/>
          </w:tcPr>
          <w:p w:rsidR="00E01C5C" w:rsidRPr="00316127" w:rsidRDefault="00E01C5C" w:rsidP="00EF43C9">
            <w:pPr>
              <w:jc w:val="both"/>
              <w:rPr>
                <w:rFonts w:eastAsia="Calibri"/>
                <w:sz w:val="20"/>
              </w:rPr>
            </w:pPr>
            <w:r w:rsidRPr="00316127">
              <w:rPr>
                <w:rFonts w:eastAsia="Calibri"/>
                <w:sz w:val="20"/>
              </w:rPr>
              <w:t>Application for leave to appeal and motion to extend time filed</w:t>
            </w:r>
          </w:p>
        </w:tc>
      </w:tr>
    </w:tbl>
    <w:p w:rsidR="0026524B" w:rsidRPr="00E01ABF" w:rsidRDefault="0026524B" w:rsidP="0026524B">
      <w:pPr>
        <w:rPr>
          <w:sz w:val="20"/>
          <w:szCs w:val="20"/>
        </w:rPr>
      </w:pPr>
    </w:p>
    <w:p w:rsidR="0026524B" w:rsidRDefault="00D56013" w:rsidP="0026524B">
      <w:pPr>
        <w:rPr>
          <w:sz w:val="20"/>
          <w:szCs w:val="20"/>
          <w:lang w:val="fr-CA"/>
        </w:rPr>
      </w:pPr>
      <w:r w:rsidRPr="00D56013">
        <w:rPr>
          <w:sz w:val="20"/>
          <w:szCs w:val="20"/>
          <w:lang w:val="fr-CA"/>
        </w:rPr>
        <w:pict>
          <v:rect id="_x0000_i1084" style="width:2in;height:1pt" o:hrpct="0" o:hralign="center" o:hrstd="t" o:hrnoshade="t" o:hr="t" fillcolor="black [3213]" stroked="f"/>
        </w:pict>
      </w:r>
    </w:p>
    <w:p w:rsidR="00BC3DBB" w:rsidRDefault="00BC3DBB">
      <w:pPr>
        <w:rPr>
          <w:sz w:val="20"/>
          <w:szCs w:val="20"/>
        </w:rPr>
      </w:pPr>
      <w:r>
        <w:rPr>
          <w:sz w:val="20"/>
          <w:szCs w:val="20"/>
        </w:rPr>
        <w:br w:type="page"/>
      </w:r>
    </w:p>
    <w:p w:rsidR="0026524B" w:rsidRPr="00E01ABF" w:rsidRDefault="0026524B" w:rsidP="0026524B">
      <w:pPr>
        <w:rPr>
          <w:sz w:val="20"/>
          <w:szCs w:val="20"/>
          <w:u w:val="single"/>
        </w:rPr>
      </w:pPr>
      <w:r w:rsidRPr="00E01ABF">
        <w:rPr>
          <w:sz w:val="20"/>
          <w:szCs w:val="20"/>
          <w:u w:val="single"/>
        </w:rPr>
        <w:lastRenderedPageBreak/>
        <w:t>RÉSUMÉ DE L’AFFAIRE</w:t>
      </w:r>
    </w:p>
    <w:p w:rsidR="0026524B" w:rsidRDefault="0026524B" w:rsidP="0026524B">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8442EC" w:rsidRPr="00850008" w:rsidTr="00EF43C9">
        <w:tc>
          <w:tcPr>
            <w:tcW w:w="5000" w:type="pct"/>
            <w:gridSpan w:val="3"/>
          </w:tcPr>
          <w:p w:rsidR="00F838C3" w:rsidRPr="00316127" w:rsidRDefault="008442EC" w:rsidP="00AF11AE">
            <w:pPr>
              <w:jc w:val="both"/>
              <w:rPr>
                <w:rFonts w:eastAsia="Calibri"/>
                <w:sz w:val="20"/>
                <w:lang w:val="fr-CA"/>
              </w:rPr>
            </w:pPr>
            <w:r w:rsidRPr="00316127">
              <w:rPr>
                <w:rFonts w:eastAsia="Calibri"/>
                <w:sz w:val="20"/>
                <w:lang w:val="fr-CA"/>
              </w:rPr>
              <w:t>Procédure civile – Procédure préalable au procès – Jugements et ordonnances -  Contrats –Recours Est-ce que les tribunaux inférieurs ont erré en droit en interprétant l’intention des parties lors de l’acceptation de l’entente du 1</w:t>
            </w:r>
            <w:r w:rsidRPr="00316127">
              <w:rPr>
                <w:rFonts w:eastAsia="Calibri"/>
                <w:sz w:val="20"/>
                <w:vertAlign w:val="superscript"/>
                <w:lang w:val="fr-CA"/>
              </w:rPr>
              <w:t>er</w:t>
            </w:r>
            <w:r w:rsidRPr="00316127">
              <w:rPr>
                <w:rFonts w:eastAsia="Calibri"/>
                <w:sz w:val="20"/>
                <w:lang w:val="fr-CA"/>
              </w:rPr>
              <w:t xml:space="preserve"> février, 1999? – Est-ce que les tribunaux inférieurs ont commis une erreur mixte de droit et de fait concernant l’interprétation de l’entente et la doctrine du </w:t>
            </w:r>
            <w:r w:rsidRPr="00316127">
              <w:rPr>
                <w:rFonts w:eastAsia="Calibri"/>
                <w:i/>
                <w:sz w:val="20"/>
                <w:lang w:val="fr-CA"/>
              </w:rPr>
              <w:t>contra proferentum</w:t>
            </w:r>
            <w:r w:rsidRPr="00316127">
              <w:rPr>
                <w:rFonts w:eastAsia="Calibri"/>
                <w:sz w:val="20"/>
                <w:lang w:val="fr-CA"/>
              </w:rPr>
              <w:t>?</w:t>
            </w:r>
          </w:p>
        </w:tc>
      </w:tr>
      <w:tr w:rsidR="008442EC" w:rsidRPr="00850008" w:rsidTr="00EF43C9">
        <w:tc>
          <w:tcPr>
            <w:tcW w:w="5000" w:type="pct"/>
            <w:gridSpan w:val="3"/>
          </w:tcPr>
          <w:p w:rsidR="008442EC" w:rsidRPr="00316127" w:rsidRDefault="008442EC" w:rsidP="00EF43C9">
            <w:pPr>
              <w:jc w:val="both"/>
              <w:rPr>
                <w:rFonts w:eastAsia="Calibri"/>
                <w:sz w:val="20"/>
                <w:lang w:val="fr-CA"/>
              </w:rPr>
            </w:pPr>
            <w:r w:rsidRPr="00316127">
              <w:rPr>
                <w:rFonts w:eastAsia="Calibri"/>
                <w:sz w:val="20"/>
                <w:lang w:val="fr-CA"/>
              </w:rPr>
              <w:t>M. Touchette, a été victime d’abus pendant son enfance à l’École de réforme St. Joseph. Il a participé à un programme de règlement à l’amiable d’une poursuite contre les intimés, et en échange de certains bénéfices, a signé une quittance finale et complète en 1992., quittance confirmée par la Cour d’appel en 1998. En 1999, M. Touchette a intenté une poursuite contre les intimés, fondée sur le même comportement qui a donné lieu à l’ancienne réclamation. Le juge de motion a rejeté cette action. Néanmoins, les intimés ont accepté d’aider M. Touchette, sans en avoir eu l’obligation, et les parties ont signé une entente qui a été annexée à l’ordonnance, entente qui a donné lieu à une motion subséquente devant Maranger J. quant à son interprétation: à savoir si les intimés avaient accepté d’aider financièrement M. Touchette en payant un cours de Dessinateur de mode, soit un programme d’une durée de (2) ans, ou, pour le programme additionnel, celui de Couturier, d’une durée de 3 ans.</w:t>
            </w:r>
          </w:p>
        </w:tc>
      </w:tr>
      <w:tr w:rsidR="008442EC" w:rsidRPr="00850008" w:rsidTr="00EF43C9">
        <w:tc>
          <w:tcPr>
            <w:tcW w:w="5000" w:type="pct"/>
            <w:gridSpan w:val="3"/>
          </w:tcPr>
          <w:p w:rsidR="008442EC" w:rsidRPr="00316127" w:rsidRDefault="008442EC" w:rsidP="00EF43C9">
            <w:pPr>
              <w:jc w:val="both"/>
              <w:rPr>
                <w:rFonts w:eastAsia="Calibri"/>
                <w:sz w:val="20"/>
                <w:lang w:val="fr-CA"/>
              </w:rPr>
            </w:pPr>
          </w:p>
        </w:tc>
      </w:tr>
      <w:tr w:rsidR="008442EC" w:rsidRPr="00850008" w:rsidTr="00EF43C9">
        <w:tc>
          <w:tcPr>
            <w:tcW w:w="2427" w:type="pct"/>
          </w:tcPr>
          <w:p w:rsidR="008442EC" w:rsidRPr="00316127" w:rsidRDefault="008442EC" w:rsidP="00EF43C9">
            <w:pPr>
              <w:jc w:val="both"/>
              <w:rPr>
                <w:rFonts w:eastAsia="Calibri"/>
                <w:sz w:val="20"/>
                <w:lang w:val="fr-CA"/>
              </w:rPr>
            </w:pPr>
            <w:r w:rsidRPr="00316127">
              <w:rPr>
                <w:rFonts w:eastAsia="Calibri"/>
                <w:sz w:val="20"/>
                <w:lang w:val="fr-CA"/>
              </w:rPr>
              <w:t>Le 27 juillet 2009</w:t>
            </w:r>
          </w:p>
          <w:p w:rsidR="008442EC" w:rsidRPr="00316127" w:rsidRDefault="008442EC" w:rsidP="00EF43C9">
            <w:pPr>
              <w:jc w:val="both"/>
              <w:rPr>
                <w:rFonts w:eastAsia="Calibri"/>
                <w:sz w:val="20"/>
                <w:lang w:val="fr-CA"/>
              </w:rPr>
            </w:pPr>
            <w:r w:rsidRPr="00316127">
              <w:rPr>
                <w:rFonts w:eastAsia="Calibri"/>
                <w:sz w:val="20"/>
                <w:lang w:val="fr-CA"/>
              </w:rPr>
              <w:t>Cour supérieure de justice de l’Ontario</w:t>
            </w:r>
          </w:p>
          <w:p w:rsidR="008442EC" w:rsidRPr="00316127" w:rsidRDefault="008442EC" w:rsidP="00EF43C9">
            <w:pPr>
              <w:jc w:val="both"/>
              <w:rPr>
                <w:rFonts w:eastAsia="Calibri"/>
                <w:sz w:val="20"/>
                <w:lang w:val="fr-FR"/>
              </w:rPr>
            </w:pPr>
            <w:r w:rsidRPr="00316127">
              <w:rPr>
                <w:rFonts w:eastAsia="Calibri"/>
                <w:sz w:val="20"/>
                <w:lang w:val="fr-FR"/>
              </w:rPr>
              <w:t>(Les juges Pardu, Wilson et Swinton.)</w:t>
            </w:r>
          </w:p>
          <w:p w:rsidR="008442EC" w:rsidRPr="00316127" w:rsidRDefault="008442EC" w:rsidP="00EF43C9">
            <w:pPr>
              <w:jc w:val="both"/>
              <w:rPr>
                <w:rFonts w:eastAsia="Calibri"/>
                <w:sz w:val="20"/>
                <w:lang w:val="fr-FR"/>
              </w:rPr>
            </w:pPr>
          </w:p>
        </w:tc>
        <w:tc>
          <w:tcPr>
            <w:tcW w:w="243" w:type="pct"/>
          </w:tcPr>
          <w:p w:rsidR="008442EC" w:rsidRPr="00316127" w:rsidRDefault="008442EC" w:rsidP="00EF43C9">
            <w:pPr>
              <w:jc w:val="both"/>
              <w:rPr>
                <w:rFonts w:eastAsia="Calibri"/>
                <w:sz w:val="20"/>
                <w:lang w:val="fr-FR"/>
              </w:rPr>
            </w:pPr>
          </w:p>
        </w:tc>
        <w:tc>
          <w:tcPr>
            <w:tcW w:w="2330" w:type="pct"/>
          </w:tcPr>
          <w:p w:rsidR="008442EC" w:rsidRPr="00316127" w:rsidRDefault="008442EC" w:rsidP="00EF43C9">
            <w:pPr>
              <w:jc w:val="both"/>
              <w:rPr>
                <w:rFonts w:eastAsia="Calibri"/>
                <w:sz w:val="20"/>
                <w:lang w:val="fr-CA"/>
              </w:rPr>
            </w:pPr>
            <w:r w:rsidRPr="00316127">
              <w:rPr>
                <w:rFonts w:eastAsia="Calibri"/>
                <w:sz w:val="20"/>
                <w:lang w:val="fr-CA"/>
              </w:rPr>
              <w:t>Appel d’une ordonnance de Maranger J, rejetant existence d’entente avec intimés les obligeant de payer frais de scolarité et coûts associés à 3 ans d’études à temps plein : rejeté</w:t>
            </w:r>
          </w:p>
          <w:p w:rsidR="008442EC" w:rsidRPr="00316127" w:rsidRDefault="008442EC" w:rsidP="00EF43C9">
            <w:pPr>
              <w:jc w:val="both"/>
              <w:rPr>
                <w:rFonts w:eastAsia="Calibri"/>
                <w:sz w:val="20"/>
                <w:lang w:val="fr-CA"/>
              </w:rPr>
            </w:pPr>
          </w:p>
        </w:tc>
      </w:tr>
      <w:tr w:rsidR="008442EC" w:rsidRPr="00850008" w:rsidTr="00EF43C9">
        <w:tc>
          <w:tcPr>
            <w:tcW w:w="2427" w:type="pct"/>
          </w:tcPr>
          <w:p w:rsidR="008442EC" w:rsidRPr="00316127" w:rsidRDefault="008442EC" w:rsidP="00EF43C9">
            <w:pPr>
              <w:jc w:val="both"/>
              <w:rPr>
                <w:rFonts w:eastAsia="Calibri"/>
                <w:sz w:val="20"/>
                <w:lang w:val="fr-CA"/>
              </w:rPr>
            </w:pPr>
            <w:r w:rsidRPr="00316127">
              <w:rPr>
                <w:rFonts w:eastAsia="Calibri"/>
                <w:sz w:val="20"/>
                <w:lang w:val="fr-CA"/>
              </w:rPr>
              <w:t>Le 22 janvier 2010</w:t>
            </w:r>
          </w:p>
          <w:p w:rsidR="008442EC" w:rsidRPr="00316127" w:rsidRDefault="008442EC" w:rsidP="00EF43C9">
            <w:pPr>
              <w:jc w:val="both"/>
              <w:rPr>
                <w:rFonts w:eastAsia="Calibri"/>
                <w:sz w:val="20"/>
                <w:lang w:val="fr-CA"/>
              </w:rPr>
            </w:pPr>
            <w:r w:rsidRPr="00316127">
              <w:rPr>
                <w:rFonts w:eastAsia="Calibri"/>
                <w:sz w:val="20"/>
                <w:lang w:val="fr-CA"/>
              </w:rPr>
              <w:t>Cour d’appel de l’Ontario</w:t>
            </w:r>
          </w:p>
          <w:p w:rsidR="008442EC" w:rsidRPr="00316127" w:rsidRDefault="008442EC" w:rsidP="00EF43C9">
            <w:pPr>
              <w:jc w:val="both"/>
              <w:rPr>
                <w:rFonts w:eastAsia="Calibri"/>
                <w:sz w:val="20"/>
                <w:lang w:val="fr-FR"/>
              </w:rPr>
            </w:pPr>
            <w:r w:rsidRPr="00316127">
              <w:rPr>
                <w:rFonts w:eastAsia="Calibri"/>
                <w:sz w:val="20"/>
                <w:lang w:val="fr-FR"/>
              </w:rPr>
              <w:t>(Les juges Weiler, Blair et Sharpe)</w:t>
            </w:r>
          </w:p>
          <w:p w:rsidR="008442EC" w:rsidRPr="00316127" w:rsidRDefault="008442EC" w:rsidP="00EF43C9">
            <w:pPr>
              <w:jc w:val="both"/>
              <w:rPr>
                <w:rFonts w:eastAsia="Calibri"/>
                <w:sz w:val="20"/>
                <w:lang w:val="fr-FR"/>
              </w:rPr>
            </w:pPr>
          </w:p>
        </w:tc>
        <w:tc>
          <w:tcPr>
            <w:tcW w:w="243" w:type="pct"/>
          </w:tcPr>
          <w:p w:rsidR="008442EC" w:rsidRPr="00316127" w:rsidRDefault="008442EC" w:rsidP="00EF43C9">
            <w:pPr>
              <w:jc w:val="both"/>
              <w:rPr>
                <w:rFonts w:eastAsia="Calibri"/>
                <w:sz w:val="20"/>
                <w:lang w:val="fr-FR"/>
              </w:rPr>
            </w:pPr>
          </w:p>
        </w:tc>
        <w:tc>
          <w:tcPr>
            <w:tcW w:w="2330" w:type="pct"/>
          </w:tcPr>
          <w:p w:rsidR="008442EC" w:rsidRPr="00316127" w:rsidRDefault="008442EC" w:rsidP="00EF43C9">
            <w:pPr>
              <w:jc w:val="both"/>
              <w:rPr>
                <w:rFonts w:eastAsia="Calibri"/>
                <w:sz w:val="20"/>
                <w:lang w:val="fr-CA"/>
              </w:rPr>
            </w:pPr>
            <w:r w:rsidRPr="00316127">
              <w:rPr>
                <w:rFonts w:eastAsia="Calibri"/>
                <w:sz w:val="20"/>
                <w:lang w:val="fr-CA"/>
              </w:rPr>
              <w:t>Motion en autorisation d’interjeter appel rejetée</w:t>
            </w:r>
          </w:p>
          <w:p w:rsidR="008442EC" w:rsidRPr="00316127" w:rsidRDefault="008442EC" w:rsidP="00EF43C9">
            <w:pPr>
              <w:jc w:val="both"/>
              <w:rPr>
                <w:rFonts w:eastAsia="Calibri"/>
                <w:sz w:val="20"/>
                <w:lang w:val="fr-CA"/>
              </w:rPr>
            </w:pPr>
          </w:p>
        </w:tc>
      </w:tr>
      <w:tr w:rsidR="008442EC" w:rsidRPr="00CD7923" w:rsidTr="00EF43C9">
        <w:tc>
          <w:tcPr>
            <w:tcW w:w="2427" w:type="pct"/>
          </w:tcPr>
          <w:p w:rsidR="008442EC" w:rsidRPr="00316127" w:rsidRDefault="008442EC" w:rsidP="00EF43C9">
            <w:pPr>
              <w:jc w:val="both"/>
              <w:rPr>
                <w:rFonts w:eastAsia="Calibri"/>
                <w:sz w:val="20"/>
                <w:lang w:val="fr-CA"/>
              </w:rPr>
            </w:pPr>
            <w:r w:rsidRPr="00316127">
              <w:rPr>
                <w:rFonts w:eastAsia="Calibri"/>
                <w:sz w:val="20"/>
                <w:lang w:val="fr-CA"/>
              </w:rPr>
              <w:t>Le 28 septembre 2010</w:t>
            </w:r>
          </w:p>
          <w:p w:rsidR="008442EC" w:rsidRPr="00316127" w:rsidRDefault="008442EC" w:rsidP="00EF43C9">
            <w:pPr>
              <w:jc w:val="both"/>
              <w:rPr>
                <w:rFonts w:eastAsia="Calibri"/>
                <w:sz w:val="20"/>
                <w:lang w:val="fr-FR"/>
              </w:rPr>
            </w:pPr>
            <w:r w:rsidRPr="00316127">
              <w:rPr>
                <w:rFonts w:eastAsia="Calibri"/>
                <w:sz w:val="20"/>
                <w:lang w:val="fr-CA"/>
              </w:rPr>
              <w:t>Cour suprême du Canada</w:t>
            </w:r>
          </w:p>
        </w:tc>
        <w:tc>
          <w:tcPr>
            <w:tcW w:w="243" w:type="pct"/>
          </w:tcPr>
          <w:p w:rsidR="008442EC" w:rsidRPr="00316127" w:rsidRDefault="008442EC" w:rsidP="00EF43C9">
            <w:pPr>
              <w:jc w:val="both"/>
              <w:rPr>
                <w:rFonts w:eastAsia="Calibri"/>
                <w:sz w:val="20"/>
                <w:lang w:val="fr-FR"/>
              </w:rPr>
            </w:pPr>
          </w:p>
        </w:tc>
        <w:tc>
          <w:tcPr>
            <w:tcW w:w="2330" w:type="pct"/>
          </w:tcPr>
          <w:p w:rsidR="008442EC" w:rsidRPr="00316127" w:rsidRDefault="008442EC" w:rsidP="00EF43C9">
            <w:pPr>
              <w:jc w:val="both"/>
              <w:rPr>
                <w:rFonts w:eastAsia="Calibri"/>
                <w:sz w:val="20"/>
                <w:lang w:val="fr-CA"/>
              </w:rPr>
            </w:pPr>
            <w:r w:rsidRPr="00316127">
              <w:rPr>
                <w:rFonts w:eastAsia="Calibri"/>
                <w:sz w:val="20"/>
                <w:lang w:val="fr-CA"/>
              </w:rPr>
              <w:t>Demande d'autorisation d'appel  et requête en prorogation de délai déposées</w:t>
            </w:r>
          </w:p>
        </w:tc>
      </w:tr>
    </w:tbl>
    <w:p w:rsidR="0026524B" w:rsidRPr="008442EC" w:rsidRDefault="0026524B" w:rsidP="0026524B">
      <w:pPr>
        <w:rPr>
          <w:sz w:val="20"/>
          <w:szCs w:val="20"/>
          <w:lang w:val="fr-CA"/>
        </w:rPr>
      </w:pPr>
    </w:p>
    <w:p w:rsidR="0026524B" w:rsidRDefault="00D56013" w:rsidP="0026524B">
      <w:pPr>
        <w:rPr>
          <w:sz w:val="20"/>
          <w:szCs w:val="20"/>
          <w:lang w:val="fr-CA"/>
        </w:rPr>
      </w:pPr>
      <w:r w:rsidRPr="00D56013">
        <w:rPr>
          <w:sz w:val="20"/>
          <w:szCs w:val="20"/>
          <w:lang w:val="fr-CA"/>
        </w:rPr>
        <w:pict>
          <v:rect id="_x0000_i1085" style="width:2in;height:1pt" o:hrpct="0" o:hralign="center" o:hrstd="t" o:hrnoshade="t" o:hr="t" fillcolor="black [3213]" stroked="f"/>
        </w:pict>
      </w:r>
    </w:p>
    <w:p w:rsidR="0026524B" w:rsidRDefault="0026524B" w:rsidP="008D292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AF11AE" w:rsidRPr="00AF11AE" w:rsidTr="00473DF7">
        <w:trPr>
          <w:cantSplit/>
        </w:trPr>
        <w:tc>
          <w:tcPr>
            <w:tcW w:w="1458" w:type="dxa"/>
          </w:tcPr>
          <w:p w:rsidR="00AF11AE" w:rsidRPr="00AF11AE" w:rsidRDefault="00AF11AE" w:rsidP="00473DF7">
            <w:pPr>
              <w:rPr>
                <w:sz w:val="20"/>
                <w:szCs w:val="20"/>
              </w:rPr>
            </w:pPr>
            <w:r w:rsidRPr="00AF11AE">
              <w:rPr>
                <w:rStyle w:val="SCCFileNumberChar"/>
                <w:sz w:val="20"/>
                <w:szCs w:val="20"/>
              </w:rPr>
              <w:t>33883</w:t>
            </w:r>
          </w:p>
          <w:p w:rsidR="00AF11AE" w:rsidRPr="00AF11AE" w:rsidRDefault="00AF11AE" w:rsidP="00473DF7">
            <w:pPr>
              <w:rPr>
                <w:b/>
                <w:sz w:val="20"/>
                <w:szCs w:val="20"/>
                <w:lang w:val="fr-CA"/>
              </w:rPr>
            </w:pPr>
          </w:p>
        </w:tc>
        <w:tc>
          <w:tcPr>
            <w:tcW w:w="8118" w:type="dxa"/>
          </w:tcPr>
          <w:p w:rsidR="00AF11AE" w:rsidRPr="00AF11AE" w:rsidRDefault="00AF11AE" w:rsidP="00240C90">
            <w:pPr>
              <w:jc w:val="both"/>
              <w:rPr>
                <w:sz w:val="20"/>
                <w:szCs w:val="20"/>
              </w:rPr>
            </w:pPr>
            <w:r w:rsidRPr="00AF11AE">
              <w:rPr>
                <w:rStyle w:val="SCCLsocChar"/>
                <w:sz w:val="20"/>
                <w:szCs w:val="20"/>
                <w:lang w:val="en-CA"/>
              </w:rPr>
              <w:t>Maxim Power Corporation v. Alberta Utilities Commission</w:t>
            </w:r>
            <w:r w:rsidR="00240C90">
              <w:rPr>
                <w:rStyle w:val="SCCLsocChar"/>
                <w:sz w:val="20"/>
                <w:szCs w:val="20"/>
                <w:lang w:val="en-CA"/>
              </w:rPr>
              <w:t xml:space="preserve"> and</w:t>
            </w:r>
            <w:r w:rsidRPr="00AF11AE">
              <w:rPr>
                <w:rStyle w:val="SCCLsocChar"/>
                <w:sz w:val="20"/>
                <w:szCs w:val="20"/>
                <w:lang w:val="en-CA"/>
              </w:rPr>
              <w:t xml:space="preserve"> Enmax Shepard Inc.</w:t>
            </w:r>
            <w:r w:rsidRPr="00AF11AE">
              <w:rPr>
                <w:sz w:val="20"/>
                <w:szCs w:val="20"/>
              </w:rPr>
              <w:t xml:space="preserve"> (Alta.) (Civil) (By Leave)</w:t>
            </w:r>
          </w:p>
          <w:p w:rsidR="00AF11AE" w:rsidRPr="00AF11AE" w:rsidRDefault="00AF11AE" w:rsidP="00473DF7">
            <w:pPr>
              <w:rPr>
                <w:sz w:val="20"/>
                <w:szCs w:val="20"/>
              </w:rPr>
            </w:pPr>
          </w:p>
        </w:tc>
      </w:tr>
      <w:tr w:rsidR="00AF11AE" w:rsidRPr="00AF11AE" w:rsidTr="00473DF7">
        <w:trPr>
          <w:cantSplit/>
        </w:trPr>
        <w:tc>
          <w:tcPr>
            <w:tcW w:w="1458" w:type="dxa"/>
          </w:tcPr>
          <w:p w:rsidR="00AF11AE" w:rsidRPr="00AF11AE" w:rsidRDefault="00AF11AE" w:rsidP="00473DF7">
            <w:pPr>
              <w:rPr>
                <w:sz w:val="20"/>
                <w:szCs w:val="20"/>
              </w:rPr>
            </w:pPr>
            <w:r w:rsidRPr="00AF11AE">
              <w:rPr>
                <w:sz w:val="20"/>
                <w:szCs w:val="20"/>
              </w:rPr>
              <w:t>Coram :</w:t>
            </w:r>
          </w:p>
        </w:tc>
        <w:tc>
          <w:tcPr>
            <w:tcW w:w="8118" w:type="dxa"/>
          </w:tcPr>
          <w:p w:rsidR="00AF11AE" w:rsidRPr="00AF11AE" w:rsidRDefault="00AF11AE" w:rsidP="00473DF7">
            <w:pPr>
              <w:rPr>
                <w:sz w:val="20"/>
                <w:szCs w:val="20"/>
              </w:rPr>
            </w:pPr>
            <w:r w:rsidRPr="00AF11AE">
              <w:rPr>
                <w:rStyle w:val="SCCCoramChar"/>
                <w:sz w:val="20"/>
                <w:szCs w:val="20"/>
                <w:lang w:val="en-CA"/>
              </w:rPr>
              <w:t>McLachlin C.J. and Abella and Cromwell JJ.</w:t>
            </w:r>
          </w:p>
          <w:p w:rsidR="00AF11AE" w:rsidRPr="00AF11AE" w:rsidRDefault="00AF11AE" w:rsidP="00473DF7">
            <w:pPr>
              <w:rPr>
                <w:sz w:val="20"/>
                <w:szCs w:val="20"/>
                <w:u w:val="single"/>
              </w:rPr>
            </w:pPr>
          </w:p>
        </w:tc>
      </w:tr>
      <w:tr w:rsidR="00AF11AE" w:rsidRPr="00850008" w:rsidTr="00473DF7">
        <w:trPr>
          <w:cantSplit/>
        </w:trPr>
        <w:tc>
          <w:tcPr>
            <w:tcW w:w="9576" w:type="dxa"/>
            <w:gridSpan w:val="2"/>
          </w:tcPr>
          <w:p w:rsidR="00AF11AE" w:rsidRPr="00AF11AE" w:rsidRDefault="00AF11AE" w:rsidP="00473DF7">
            <w:pPr>
              <w:pStyle w:val="SCCShortJudgment"/>
              <w:rPr>
                <w:szCs w:val="20"/>
              </w:rPr>
            </w:pPr>
            <w:r w:rsidRPr="00AF11AE">
              <w:rPr>
                <w:szCs w:val="20"/>
              </w:rPr>
              <w:t>The application for leave to appeal from the judgment of the Court of Appeal of Alberta (Calgary), Number 1001-0021-AC, 2010 ABCA 213, dated July 5, 2010, is dismissed with costs to the respondent Enmax Shepard Inc.</w:t>
            </w:r>
          </w:p>
          <w:p w:rsidR="00AF11AE" w:rsidRPr="00AF11AE" w:rsidRDefault="00AF11AE" w:rsidP="00473DF7">
            <w:pPr>
              <w:pStyle w:val="SCCShortJudgment"/>
              <w:ind w:firstLine="0"/>
              <w:rPr>
                <w:szCs w:val="20"/>
              </w:rPr>
            </w:pPr>
          </w:p>
          <w:p w:rsidR="00AF11AE" w:rsidRPr="00AF11AE" w:rsidRDefault="00AF11AE" w:rsidP="00F670F0">
            <w:pPr>
              <w:pStyle w:val="SCCShortJudgment"/>
              <w:rPr>
                <w:szCs w:val="20"/>
                <w:lang w:val="fr-CA"/>
              </w:rPr>
            </w:pPr>
            <w:r w:rsidRPr="00AF11AE">
              <w:rPr>
                <w:szCs w:val="20"/>
                <w:lang w:val="fr-CA"/>
              </w:rPr>
              <w:t>La demande d’autorisation d’appel de l’arrêt de la Cour d’appel de l’Alberta (Calgary), numéro 1001-0021-AC, 2010 ABCA 213, daté du 5 juillet 2010, est rejetée avec dépens en faveur de l’intimée Enmax Shepard Inc.</w:t>
            </w:r>
          </w:p>
        </w:tc>
      </w:tr>
    </w:tbl>
    <w:p w:rsidR="0026524B" w:rsidRDefault="0026524B" w:rsidP="0026524B">
      <w:pPr>
        <w:rPr>
          <w:sz w:val="20"/>
          <w:szCs w:val="20"/>
          <w:lang w:val="fr-CA"/>
        </w:rPr>
      </w:pPr>
    </w:p>
    <w:p w:rsidR="0026524B" w:rsidRPr="00E01ABF" w:rsidRDefault="0026524B" w:rsidP="0026524B">
      <w:pPr>
        <w:rPr>
          <w:sz w:val="20"/>
          <w:szCs w:val="20"/>
          <w:u w:val="single"/>
        </w:rPr>
      </w:pPr>
      <w:r w:rsidRPr="00E01ABF">
        <w:rPr>
          <w:sz w:val="20"/>
          <w:szCs w:val="20"/>
          <w:u w:val="single"/>
        </w:rPr>
        <w:t>CASE SUMMARY</w:t>
      </w:r>
    </w:p>
    <w:p w:rsidR="0026524B" w:rsidRDefault="0026524B" w:rsidP="0026524B">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8442EC" w:rsidRPr="00316127" w:rsidTr="00EF43C9">
        <w:tc>
          <w:tcPr>
            <w:tcW w:w="5000" w:type="pct"/>
            <w:gridSpan w:val="3"/>
          </w:tcPr>
          <w:p w:rsidR="008442EC" w:rsidRPr="00316127" w:rsidRDefault="008442EC" w:rsidP="00EF43C9">
            <w:pPr>
              <w:jc w:val="both"/>
              <w:rPr>
                <w:rFonts w:eastAsia="Calibri"/>
                <w:sz w:val="20"/>
              </w:rPr>
            </w:pPr>
            <w:r w:rsidRPr="00316127">
              <w:rPr>
                <w:rFonts w:eastAsia="Calibri"/>
                <w:sz w:val="20"/>
              </w:rPr>
              <w:t xml:space="preserve">Administrative law – Tribunals – Jurisdiction – Statutes – Interpretation – </w:t>
            </w:r>
            <w:r w:rsidRPr="00316127">
              <w:rPr>
                <w:rFonts w:eastAsia="Calibri"/>
                <w:i/>
                <w:sz w:val="20"/>
              </w:rPr>
              <w:t>Electric Utilities Act</w:t>
            </w:r>
            <w:r w:rsidRPr="00316127">
              <w:rPr>
                <w:rFonts w:eastAsia="Calibri"/>
                <w:sz w:val="20"/>
              </w:rPr>
              <w:t xml:space="preserve">, S.A. 2003, c. E-5.1 – How is the jurisdiction of administrative tribunals to be determined – Is there an overriding principle of statutory interpretation which says that all tribunals must act in discrete compartments and accordingly must not rule on or entertain issues addressed by another tribunal – Is there a principle of statutory interpretation which requires Canadian courts to imply a preclusive clause so as to foreclose administrative tribunals from considering matters otherwise expressly within their jurisdiction for fear that conflicting decisions might be issued as between two tribunals, and to promote regulatory efficiency – Can mandatory express statutory purposes and schemes be ignored so as to preclude a </w:t>
            </w:r>
            <w:r w:rsidRPr="00316127">
              <w:rPr>
                <w:rFonts w:eastAsia="Calibri"/>
                <w:sz w:val="20"/>
              </w:rPr>
              <w:lastRenderedPageBreak/>
              <w:t xml:space="preserve">tribunal from exercising its core jurisdictional function where there is no preclusive clause restricting that jurisdiction, thereby denying standing to and excluding the right of interested parties to have their concerns considered by an expert tribunal otherwise fully competent and empowered to hear and rule on such concerns – Is there a principle of statutory interpretation which would allow a court to elevate statements in </w:t>
            </w:r>
            <w:r w:rsidRPr="00316127">
              <w:rPr>
                <w:rFonts w:eastAsia="Calibri"/>
                <w:i/>
                <w:sz w:val="20"/>
              </w:rPr>
              <w:t>Hansard</w:t>
            </w:r>
            <w:r w:rsidRPr="00316127">
              <w:rPr>
                <w:rFonts w:eastAsia="Calibri"/>
                <w:sz w:val="20"/>
              </w:rPr>
              <w:t xml:space="preserve"> (whether provincial or federal) to such a level as to override express statutory grants of authority and express statements of statutory purpose?</w:t>
            </w:r>
          </w:p>
        </w:tc>
      </w:tr>
      <w:tr w:rsidR="008442EC" w:rsidRPr="00316127" w:rsidTr="00EF43C9">
        <w:tc>
          <w:tcPr>
            <w:tcW w:w="5000" w:type="pct"/>
            <w:gridSpan w:val="3"/>
          </w:tcPr>
          <w:p w:rsidR="008442EC" w:rsidRPr="00316127" w:rsidRDefault="008442EC" w:rsidP="00EF43C9">
            <w:pPr>
              <w:jc w:val="both"/>
              <w:rPr>
                <w:rFonts w:eastAsia="Calibri"/>
                <w:sz w:val="20"/>
              </w:rPr>
            </w:pPr>
          </w:p>
          <w:p w:rsidR="008442EC" w:rsidRPr="00316127" w:rsidRDefault="008442EC" w:rsidP="00EF43C9">
            <w:pPr>
              <w:jc w:val="both"/>
              <w:rPr>
                <w:rFonts w:eastAsia="Calibri"/>
                <w:sz w:val="20"/>
              </w:rPr>
            </w:pPr>
            <w:r w:rsidRPr="00316127">
              <w:rPr>
                <w:rFonts w:eastAsia="Calibri"/>
                <w:sz w:val="20"/>
              </w:rPr>
              <w:t xml:space="preserve">ENMAX Shepard Inc. is a municipally-owned utility; Maxim Power Corp. is privately-owned. ENMAX sought the Commission’s approval to build a power plant. Maxim and others applied for standing in the hearing arguing that they would be affected by the decision because the electricity market in Alberta might be distorted by approval of the plant. Before the Commission could approve the plant, the Minister’s authorization was required under s. 95 of the </w:t>
            </w:r>
            <w:r w:rsidRPr="00316127">
              <w:rPr>
                <w:rFonts w:eastAsia="Calibri"/>
                <w:i/>
                <w:sz w:val="20"/>
              </w:rPr>
              <w:t>Electric Utilities Act</w:t>
            </w:r>
            <w:r w:rsidRPr="00316127">
              <w:rPr>
                <w:rFonts w:eastAsia="Calibri"/>
                <w:sz w:val="20"/>
              </w:rPr>
              <w:t>, S.A. 2003, c. E-5.1, which prohibits a municipally-owned utility from holding an interest in a generating unit without Ministerial authorization. ENMAX applied to the Minister under s. 95 and the Court of Appeal was advised that the Minister was expected to grant the authorization. Maxim applied to the Commission in an effort to prevent approval of ENMAX’s proposal.</w:t>
            </w:r>
          </w:p>
          <w:p w:rsidR="008442EC" w:rsidRPr="00316127" w:rsidRDefault="008442EC" w:rsidP="00EF43C9">
            <w:pPr>
              <w:jc w:val="both"/>
              <w:rPr>
                <w:rFonts w:eastAsia="Calibri"/>
                <w:sz w:val="20"/>
              </w:rPr>
            </w:pPr>
          </w:p>
          <w:p w:rsidR="008442EC" w:rsidRPr="00316127" w:rsidRDefault="008442EC" w:rsidP="00EF43C9">
            <w:pPr>
              <w:jc w:val="both"/>
              <w:rPr>
                <w:rFonts w:eastAsia="Calibri"/>
                <w:sz w:val="20"/>
              </w:rPr>
            </w:pPr>
            <w:r w:rsidRPr="00316127">
              <w:rPr>
                <w:rFonts w:eastAsia="Calibri"/>
                <w:sz w:val="20"/>
              </w:rPr>
              <w:t>The Commission held that it did not have jurisdiction to consider the issues brought forward and denied Maxim standing in the hearing since its only interest concerned those issues. Maxim sought and was granted leave to appeal to the Court of Appeal, but the Court of Appeal found that the Commission had correctly assessed its jurisdiction and dismissed the appeal.</w:t>
            </w:r>
          </w:p>
          <w:p w:rsidR="008442EC" w:rsidRPr="00316127" w:rsidRDefault="008442EC" w:rsidP="00EF43C9">
            <w:pPr>
              <w:jc w:val="both"/>
              <w:rPr>
                <w:rFonts w:eastAsia="Calibri"/>
                <w:sz w:val="20"/>
              </w:rPr>
            </w:pPr>
          </w:p>
        </w:tc>
      </w:tr>
      <w:tr w:rsidR="008442EC" w:rsidRPr="00316127" w:rsidTr="00EF43C9">
        <w:tc>
          <w:tcPr>
            <w:tcW w:w="2427" w:type="pct"/>
          </w:tcPr>
          <w:p w:rsidR="008442EC" w:rsidRPr="00316127" w:rsidRDefault="008442EC" w:rsidP="00EF43C9">
            <w:pPr>
              <w:jc w:val="both"/>
              <w:rPr>
                <w:rFonts w:eastAsia="Calibri"/>
                <w:sz w:val="20"/>
              </w:rPr>
            </w:pPr>
            <w:r w:rsidRPr="00316127">
              <w:rPr>
                <w:rFonts w:eastAsia="Calibri"/>
                <w:sz w:val="20"/>
              </w:rPr>
              <w:t>January 18, 2010</w:t>
            </w:r>
          </w:p>
          <w:p w:rsidR="008442EC" w:rsidRPr="00316127" w:rsidRDefault="008442EC" w:rsidP="00EF43C9">
            <w:pPr>
              <w:jc w:val="both"/>
              <w:rPr>
                <w:rFonts w:eastAsia="Calibri"/>
                <w:sz w:val="20"/>
              </w:rPr>
            </w:pPr>
            <w:r w:rsidRPr="00316127">
              <w:rPr>
                <w:rFonts w:eastAsia="Calibri"/>
                <w:sz w:val="20"/>
              </w:rPr>
              <w:t>Alberta Energy and Utilities Board</w:t>
            </w:r>
          </w:p>
          <w:p w:rsidR="008442EC" w:rsidRDefault="008442EC" w:rsidP="00EF43C9">
            <w:pPr>
              <w:jc w:val="both"/>
              <w:rPr>
                <w:rFonts w:eastAsia="Calibri"/>
                <w:sz w:val="20"/>
              </w:rPr>
            </w:pPr>
            <w:r>
              <w:rPr>
                <w:rFonts w:eastAsia="Calibri"/>
                <w:sz w:val="20"/>
              </w:rPr>
              <w:t>(McGee J.)</w:t>
            </w:r>
          </w:p>
          <w:p w:rsidR="008442EC" w:rsidRPr="00316127" w:rsidRDefault="008442EC" w:rsidP="00EF43C9">
            <w:pPr>
              <w:jc w:val="both"/>
              <w:rPr>
                <w:rFonts w:eastAsia="Calibri"/>
                <w:sz w:val="20"/>
              </w:rPr>
            </w:pPr>
          </w:p>
        </w:tc>
        <w:tc>
          <w:tcPr>
            <w:tcW w:w="243" w:type="pct"/>
          </w:tcPr>
          <w:p w:rsidR="008442EC" w:rsidRPr="00316127" w:rsidRDefault="008442EC" w:rsidP="00EF43C9">
            <w:pPr>
              <w:jc w:val="both"/>
              <w:rPr>
                <w:rFonts w:eastAsia="Calibri"/>
                <w:sz w:val="20"/>
              </w:rPr>
            </w:pPr>
          </w:p>
        </w:tc>
        <w:tc>
          <w:tcPr>
            <w:tcW w:w="2330" w:type="pct"/>
          </w:tcPr>
          <w:p w:rsidR="008442EC" w:rsidRPr="00316127" w:rsidRDefault="008442EC" w:rsidP="00EF43C9">
            <w:pPr>
              <w:jc w:val="both"/>
              <w:rPr>
                <w:rFonts w:eastAsia="Calibri"/>
                <w:sz w:val="20"/>
              </w:rPr>
            </w:pPr>
            <w:r w:rsidRPr="00316127">
              <w:rPr>
                <w:rFonts w:eastAsia="Calibri"/>
                <w:sz w:val="20"/>
              </w:rPr>
              <w:t>Matrix denied standing in proceeding</w:t>
            </w:r>
          </w:p>
          <w:p w:rsidR="008442EC" w:rsidRPr="00316127" w:rsidRDefault="008442EC" w:rsidP="00EF43C9">
            <w:pPr>
              <w:jc w:val="both"/>
              <w:rPr>
                <w:rFonts w:eastAsia="Calibri"/>
                <w:sz w:val="20"/>
              </w:rPr>
            </w:pPr>
          </w:p>
        </w:tc>
      </w:tr>
      <w:tr w:rsidR="008442EC" w:rsidRPr="00316127" w:rsidTr="00EF43C9">
        <w:tc>
          <w:tcPr>
            <w:tcW w:w="2427" w:type="pct"/>
          </w:tcPr>
          <w:p w:rsidR="008442EC" w:rsidRPr="00316127" w:rsidRDefault="008442EC" w:rsidP="00EF43C9">
            <w:pPr>
              <w:jc w:val="both"/>
              <w:rPr>
                <w:rFonts w:eastAsia="Calibri"/>
                <w:sz w:val="20"/>
              </w:rPr>
            </w:pPr>
            <w:r w:rsidRPr="00316127">
              <w:rPr>
                <w:rFonts w:eastAsia="Calibri"/>
                <w:sz w:val="20"/>
              </w:rPr>
              <w:t>July 5, 2010</w:t>
            </w:r>
          </w:p>
          <w:p w:rsidR="008442EC" w:rsidRPr="00316127" w:rsidRDefault="008442EC" w:rsidP="00EF43C9">
            <w:pPr>
              <w:jc w:val="both"/>
              <w:rPr>
                <w:rFonts w:eastAsia="Calibri"/>
                <w:sz w:val="20"/>
              </w:rPr>
            </w:pPr>
            <w:r w:rsidRPr="00316127">
              <w:rPr>
                <w:rFonts w:eastAsia="Calibri"/>
                <w:sz w:val="20"/>
              </w:rPr>
              <w:t>Court of Appeal of Alberta (Calgary)</w:t>
            </w:r>
          </w:p>
          <w:p w:rsidR="008442EC" w:rsidRPr="00316127" w:rsidRDefault="008442EC" w:rsidP="00EF43C9">
            <w:pPr>
              <w:jc w:val="both"/>
              <w:rPr>
                <w:rFonts w:eastAsia="Calibri"/>
                <w:sz w:val="20"/>
              </w:rPr>
            </w:pPr>
            <w:r w:rsidRPr="00316127">
              <w:rPr>
                <w:rFonts w:eastAsia="Calibri"/>
                <w:sz w:val="20"/>
              </w:rPr>
              <w:t>(Côté, Hunt, Ritter JJ.A.)</w:t>
            </w:r>
          </w:p>
          <w:p w:rsidR="008442EC" w:rsidRDefault="008442EC" w:rsidP="00EF43C9">
            <w:pPr>
              <w:jc w:val="both"/>
              <w:rPr>
                <w:rFonts w:eastAsia="Calibri"/>
                <w:sz w:val="20"/>
              </w:rPr>
            </w:pPr>
            <w:r w:rsidRPr="00316127">
              <w:rPr>
                <w:rFonts w:eastAsia="Calibri"/>
                <w:sz w:val="20"/>
              </w:rPr>
              <w:t>Neutral citation: 2010 ABCA 213</w:t>
            </w:r>
          </w:p>
          <w:p w:rsidR="008442EC" w:rsidRPr="00316127" w:rsidRDefault="008442EC" w:rsidP="00EF43C9">
            <w:pPr>
              <w:jc w:val="both"/>
              <w:rPr>
                <w:rFonts w:eastAsia="Calibri"/>
                <w:sz w:val="20"/>
              </w:rPr>
            </w:pPr>
          </w:p>
        </w:tc>
        <w:tc>
          <w:tcPr>
            <w:tcW w:w="243" w:type="pct"/>
          </w:tcPr>
          <w:p w:rsidR="008442EC" w:rsidRPr="00316127" w:rsidRDefault="008442EC" w:rsidP="00EF43C9">
            <w:pPr>
              <w:jc w:val="both"/>
              <w:rPr>
                <w:rFonts w:eastAsia="Calibri"/>
                <w:sz w:val="20"/>
              </w:rPr>
            </w:pPr>
          </w:p>
        </w:tc>
        <w:tc>
          <w:tcPr>
            <w:tcW w:w="2330" w:type="pct"/>
          </w:tcPr>
          <w:p w:rsidR="008442EC" w:rsidRPr="00316127" w:rsidRDefault="008442EC" w:rsidP="00EF43C9">
            <w:pPr>
              <w:jc w:val="both"/>
              <w:rPr>
                <w:rFonts w:eastAsia="Calibri"/>
                <w:sz w:val="20"/>
              </w:rPr>
            </w:pPr>
            <w:r w:rsidRPr="00316127">
              <w:rPr>
                <w:rFonts w:eastAsia="Calibri"/>
                <w:sz w:val="20"/>
              </w:rPr>
              <w:t>Appeal dismissed</w:t>
            </w:r>
          </w:p>
          <w:p w:rsidR="008442EC" w:rsidRPr="00316127" w:rsidRDefault="008442EC" w:rsidP="00EF43C9">
            <w:pPr>
              <w:jc w:val="both"/>
              <w:rPr>
                <w:rFonts w:eastAsia="Calibri"/>
                <w:sz w:val="20"/>
              </w:rPr>
            </w:pPr>
          </w:p>
        </w:tc>
      </w:tr>
      <w:tr w:rsidR="008442EC" w:rsidRPr="00316127" w:rsidTr="00EF43C9">
        <w:tc>
          <w:tcPr>
            <w:tcW w:w="2427" w:type="pct"/>
          </w:tcPr>
          <w:p w:rsidR="008442EC" w:rsidRPr="00316127" w:rsidRDefault="008442EC" w:rsidP="00EF43C9">
            <w:pPr>
              <w:jc w:val="both"/>
              <w:rPr>
                <w:rFonts w:eastAsia="Calibri"/>
                <w:sz w:val="20"/>
              </w:rPr>
            </w:pPr>
            <w:r w:rsidRPr="00316127">
              <w:rPr>
                <w:rFonts w:eastAsia="Calibri"/>
                <w:sz w:val="20"/>
              </w:rPr>
              <w:t>September 29, 2010</w:t>
            </w:r>
          </w:p>
          <w:p w:rsidR="008442EC" w:rsidRPr="00316127" w:rsidRDefault="008442EC" w:rsidP="00EF43C9">
            <w:pPr>
              <w:jc w:val="both"/>
              <w:rPr>
                <w:rFonts w:eastAsia="Calibri"/>
                <w:sz w:val="20"/>
              </w:rPr>
            </w:pPr>
            <w:r w:rsidRPr="00316127">
              <w:rPr>
                <w:rFonts w:eastAsia="Calibri"/>
                <w:sz w:val="20"/>
              </w:rPr>
              <w:t>Supreme Court of Canada</w:t>
            </w:r>
          </w:p>
        </w:tc>
        <w:tc>
          <w:tcPr>
            <w:tcW w:w="243" w:type="pct"/>
          </w:tcPr>
          <w:p w:rsidR="008442EC" w:rsidRPr="00316127" w:rsidRDefault="008442EC" w:rsidP="00EF43C9">
            <w:pPr>
              <w:jc w:val="both"/>
              <w:rPr>
                <w:rFonts w:eastAsia="Calibri"/>
                <w:sz w:val="20"/>
              </w:rPr>
            </w:pPr>
          </w:p>
        </w:tc>
        <w:tc>
          <w:tcPr>
            <w:tcW w:w="2330" w:type="pct"/>
          </w:tcPr>
          <w:p w:rsidR="008442EC" w:rsidRPr="00316127" w:rsidRDefault="008442EC" w:rsidP="00EF43C9">
            <w:pPr>
              <w:jc w:val="both"/>
              <w:rPr>
                <w:rFonts w:eastAsia="Calibri"/>
                <w:sz w:val="20"/>
              </w:rPr>
            </w:pPr>
            <w:r w:rsidRPr="00316127">
              <w:rPr>
                <w:rFonts w:eastAsia="Calibri"/>
                <w:sz w:val="20"/>
              </w:rPr>
              <w:t>Application for leave to appeal filed</w:t>
            </w:r>
          </w:p>
          <w:p w:rsidR="008442EC" w:rsidRPr="00316127" w:rsidRDefault="008442EC" w:rsidP="00EF43C9">
            <w:pPr>
              <w:jc w:val="both"/>
              <w:rPr>
                <w:rFonts w:eastAsia="Calibri"/>
                <w:sz w:val="20"/>
              </w:rPr>
            </w:pPr>
          </w:p>
        </w:tc>
      </w:tr>
    </w:tbl>
    <w:p w:rsidR="0026524B" w:rsidRPr="00E01ABF" w:rsidRDefault="0026524B" w:rsidP="0026524B">
      <w:pPr>
        <w:rPr>
          <w:sz w:val="20"/>
          <w:szCs w:val="20"/>
        </w:rPr>
      </w:pPr>
    </w:p>
    <w:p w:rsidR="0026524B" w:rsidRDefault="00D56013" w:rsidP="0026524B">
      <w:pPr>
        <w:rPr>
          <w:sz w:val="20"/>
          <w:szCs w:val="20"/>
          <w:lang w:val="fr-CA"/>
        </w:rPr>
      </w:pPr>
      <w:r w:rsidRPr="00D56013">
        <w:rPr>
          <w:sz w:val="20"/>
          <w:szCs w:val="20"/>
          <w:lang w:val="fr-CA"/>
        </w:rPr>
        <w:pict>
          <v:rect id="_x0000_i1086" style="width:2in;height:1pt" o:hrpct="0" o:hralign="center" o:hrstd="t" o:hrnoshade="t" o:hr="t" fillcolor="black [3213]" stroked="f"/>
        </w:pict>
      </w:r>
    </w:p>
    <w:p w:rsidR="00F670F0" w:rsidRPr="00E01ABF" w:rsidRDefault="00F670F0" w:rsidP="0026524B">
      <w:pPr>
        <w:rPr>
          <w:sz w:val="20"/>
          <w:szCs w:val="20"/>
        </w:rPr>
      </w:pPr>
    </w:p>
    <w:p w:rsidR="0026524B" w:rsidRPr="00E01ABF" w:rsidRDefault="0026524B" w:rsidP="0026524B">
      <w:pPr>
        <w:rPr>
          <w:sz w:val="20"/>
          <w:szCs w:val="20"/>
          <w:u w:val="single"/>
        </w:rPr>
      </w:pPr>
      <w:r w:rsidRPr="00E01ABF">
        <w:rPr>
          <w:sz w:val="20"/>
          <w:szCs w:val="20"/>
          <w:u w:val="single"/>
        </w:rPr>
        <w:t>RÉSUMÉ DE L’AFFAIRE</w:t>
      </w:r>
    </w:p>
    <w:p w:rsidR="0026524B" w:rsidRDefault="0026524B" w:rsidP="0026524B">
      <w:pPr>
        <w:rPr>
          <w:sz w:val="20"/>
          <w:szCs w:val="20"/>
        </w:rPr>
      </w:pPr>
    </w:p>
    <w:tbl>
      <w:tblPr>
        <w:tblW w:w="4952" w:type="pct"/>
        <w:tblLayout w:type="fixed"/>
        <w:tblCellMar>
          <w:left w:w="0" w:type="dxa"/>
          <w:bottom w:w="99" w:type="dxa"/>
          <w:right w:w="0" w:type="dxa"/>
        </w:tblCellMar>
        <w:tblLook w:val="00A0"/>
      </w:tblPr>
      <w:tblGrid>
        <w:gridCol w:w="9527"/>
      </w:tblGrid>
      <w:tr w:rsidR="008442EC" w:rsidRPr="00850008" w:rsidTr="008442EC">
        <w:tc>
          <w:tcPr>
            <w:tcW w:w="5000" w:type="pct"/>
          </w:tcPr>
          <w:p w:rsidR="008442EC" w:rsidRPr="00316127" w:rsidRDefault="008442EC" w:rsidP="008442EC">
            <w:pPr>
              <w:jc w:val="both"/>
              <w:rPr>
                <w:sz w:val="20"/>
                <w:lang w:val="fr-CA"/>
              </w:rPr>
            </w:pPr>
            <w:r w:rsidRPr="00316127">
              <w:rPr>
                <w:sz w:val="20"/>
                <w:lang w:val="fr-CA"/>
              </w:rPr>
              <w:t xml:space="preserve">Droit administratif – Tribunaux administratifs – Compétence – Lois – Interprétation – </w:t>
            </w:r>
            <w:r w:rsidRPr="00316127">
              <w:rPr>
                <w:i/>
                <w:iCs/>
                <w:sz w:val="20"/>
                <w:lang w:val="fr-CA"/>
              </w:rPr>
              <w:t>Electric Utilities Act</w:t>
            </w:r>
            <w:r w:rsidRPr="00316127">
              <w:rPr>
                <w:sz w:val="20"/>
                <w:lang w:val="fr-CA"/>
              </w:rPr>
              <w:t>, S.A. 2003, ch. E-5.1 – Comment doit-on déterminer la compétence des tribunaux administratifs? – Y a-t-il un principe absolu d’interprétation des lois qui prévoit que tous les tribunaux administratifs doivent agir dans des sphères distinctes, si bien qu’ils ne doivent pas statuer ou se pencher sur des questions traitées par un autre tribunal? – Y a-t-il un principe d’interprétation des lois qui oblige les cours canadiennes à considérer comme implicite l’existence d’une clause privative qui aurait pour effet d’empêcher les tribunaux administratifs de considérer des questions qui, par ailleurs, relèveraient expressément de leur compétence pour éviter que des décisions conflictuelles soient rendues par deux tribunaux administratifs et pour promouvoir l’efficacité de la réglementation? – Peut-on faire abstraction de l’objet et de l’esprit exprès de la loi pour empêcher un tribunal administratif d’exercer sa fonction de base, sur le plan de la compétence, en l’absence de clause privative qui limiterait cette compétence, privant ainsi les parties intéressés de leur droit de comparaître et les privant du droit de soumettre leurs préoccupations à un tribunal spécialisé qui est par ailleurs pleinement compétent et habilité pour connaître de ces préoccupations et statuer à leur égard? – Y a-t-il un principe d’interprétation des lois qui permettrait à une cour de conférer aux comptes rendus des débats (du législateur provincial ou fédéral) une importance telle qu’ils l’emporteraient sur les habilitations expresses de la loi et sur les déclarations expresses des objets de la loi?</w:t>
            </w:r>
          </w:p>
        </w:tc>
      </w:tr>
    </w:tbl>
    <w:p w:rsidR="00240C90" w:rsidRPr="0064487C" w:rsidRDefault="00240C90">
      <w:pPr>
        <w:rPr>
          <w:lang w:val="fr-CA"/>
        </w:rPr>
      </w:pPr>
    </w:p>
    <w:tbl>
      <w:tblPr>
        <w:tblW w:w="4952" w:type="pct"/>
        <w:tblLayout w:type="fixed"/>
        <w:tblCellMar>
          <w:left w:w="0" w:type="dxa"/>
          <w:bottom w:w="99" w:type="dxa"/>
          <w:right w:w="0" w:type="dxa"/>
        </w:tblCellMar>
        <w:tblLook w:val="00A0"/>
      </w:tblPr>
      <w:tblGrid>
        <w:gridCol w:w="4624"/>
        <w:gridCol w:w="463"/>
        <w:gridCol w:w="4440"/>
      </w:tblGrid>
      <w:tr w:rsidR="008442EC" w:rsidRPr="00850008" w:rsidTr="008442EC">
        <w:tc>
          <w:tcPr>
            <w:tcW w:w="5000" w:type="pct"/>
            <w:gridSpan w:val="3"/>
          </w:tcPr>
          <w:p w:rsidR="008442EC" w:rsidRPr="00316127" w:rsidRDefault="008442EC" w:rsidP="008442EC">
            <w:pPr>
              <w:jc w:val="both"/>
              <w:rPr>
                <w:sz w:val="20"/>
                <w:lang w:val="fr-CA"/>
              </w:rPr>
            </w:pPr>
            <w:r w:rsidRPr="00316127">
              <w:rPr>
                <w:sz w:val="20"/>
                <w:lang w:val="fr-CA"/>
              </w:rPr>
              <w:lastRenderedPageBreak/>
              <w:t xml:space="preserve">ENMAX Shepard Inc. est un service public municipal; Maxim Power Corp. est une entreprise privée. ENMAX a demandé l’autorisation de la Commission pour la construction d’une centrale électrique. Maxim et d’autres ont demandé le droit de comparaître à l’audience, plaidant qu’ils seraient touchés par la décision parce que le marché de l’électricité en Alberta risquait d’être faussé par l’autorisation de la centrale. Avant que la Commission puisse autoriser la centrale, l’autorisation du ministre devait être obtenue en vertu de l’art. 95 de la </w:t>
            </w:r>
            <w:r w:rsidRPr="00316127">
              <w:rPr>
                <w:i/>
                <w:iCs/>
                <w:sz w:val="20"/>
                <w:lang w:val="fr-CA"/>
              </w:rPr>
              <w:t>Electric Utilities Act</w:t>
            </w:r>
            <w:r w:rsidRPr="00316127">
              <w:rPr>
                <w:sz w:val="20"/>
                <w:lang w:val="fr-CA"/>
              </w:rPr>
              <w:t>, S.A. 2003, c. E-5.1, qui interdit à un service public municipal de détenir une participation dans un groupe électrogène sans l’autorisation du ministre. ENMAX a présenté une demande au ministre en vertu de l’art. 95 et la Cour d’appel a été informée que l’on s’attendait à ce que le ministre accorde l’autorisation. Maxim a présenté une demande à la Commission pour tenter d’empêcher l’autorisation de la proposition d’ENMAX.</w:t>
            </w:r>
          </w:p>
          <w:p w:rsidR="008442EC" w:rsidRPr="00316127" w:rsidRDefault="008442EC" w:rsidP="008442EC">
            <w:pPr>
              <w:jc w:val="both"/>
              <w:rPr>
                <w:sz w:val="20"/>
                <w:lang w:val="fr-CA"/>
              </w:rPr>
            </w:pPr>
          </w:p>
          <w:p w:rsidR="008442EC" w:rsidRPr="00316127" w:rsidRDefault="008442EC" w:rsidP="008442EC">
            <w:pPr>
              <w:jc w:val="both"/>
              <w:rPr>
                <w:sz w:val="20"/>
                <w:lang w:val="fr-CA"/>
              </w:rPr>
            </w:pPr>
            <w:r w:rsidRPr="00316127">
              <w:rPr>
                <w:sz w:val="20"/>
                <w:lang w:val="fr-CA"/>
              </w:rPr>
              <w:t>La Commission a statué qu’elle n’avait pas compétence pour considérer les questions soumises et a refusé à Maxim le droit de comparaître à l’audience, puisque son seul intérêt concernait ces questions. Maxim a demandé et obtenu l’autorisation d’appel à la Cour d’appel, mais la Cour d’appel a conclu que la Commission avait bien apprécié sa compétence et a rejeté l’appel.</w:t>
            </w:r>
          </w:p>
          <w:p w:rsidR="008442EC" w:rsidRPr="00316127" w:rsidRDefault="008442EC" w:rsidP="00EF43C9">
            <w:pPr>
              <w:rPr>
                <w:sz w:val="20"/>
                <w:lang w:val="fr-CA"/>
              </w:rPr>
            </w:pPr>
          </w:p>
        </w:tc>
      </w:tr>
      <w:tr w:rsidR="008442EC" w:rsidRPr="00850008" w:rsidTr="008442EC">
        <w:tc>
          <w:tcPr>
            <w:tcW w:w="2427" w:type="pct"/>
          </w:tcPr>
          <w:p w:rsidR="008442EC" w:rsidRPr="00316127" w:rsidRDefault="008442EC" w:rsidP="00EF43C9">
            <w:pPr>
              <w:rPr>
                <w:sz w:val="20"/>
              </w:rPr>
            </w:pPr>
            <w:r w:rsidRPr="00316127">
              <w:rPr>
                <w:sz w:val="20"/>
              </w:rPr>
              <w:t>18 janvier 2010</w:t>
            </w:r>
          </w:p>
          <w:p w:rsidR="008442EC" w:rsidRPr="00316127" w:rsidRDefault="008442EC" w:rsidP="00EF43C9">
            <w:pPr>
              <w:rPr>
                <w:sz w:val="20"/>
              </w:rPr>
            </w:pPr>
            <w:r w:rsidRPr="00316127">
              <w:rPr>
                <w:sz w:val="20"/>
              </w:rPr>
              <w:t>Alberta Energy and Utilities Board</w:t>
            </w:r>
          </w:p>
          <w:p w:rsidR="008442EC" w:rsidRDefault="008442EC" w:rsidP="00EF43C9">
            <w:pPr>
              <w:rPr>
                <w:sz w:val="20"/>
                <w:lang w:val="fr-CA"/>
              </w:rPr>
            </w:pPr>
            <w:r w:rsidRPr="00316127">
              <w:rPr>
                <w:sz w:val="20"/>
                <w:lang w:val="fr-CA"/>
              </w:rPr>
              <w:t>(Juge McGee)</w:t>
            </w:r>
          </w:p>
          <w:p w:rsidR="008442EC" w:rsidRPr="00316127" w:rsidRDefault="008442EC" w:rsidP="00EF43C9">
            <w:pPr>
              <w:rPr>
                <w:sz w:val="20"/>
                <w:lang w:val="fr-CA"/>
              </w:rPr>
            </w:pPr>
          </w:p>
        </w:tc>
        <w:tc>
          <w:tcPr>
            <w:tcW w:w="243" w:type="pct"/>
          </w:tcPr>
          <w:p w:rsidR="008442EC" w:rsidRPr="00316127" w:rsidRDefault="008442EC" w:rsidP="00EF43C9">
            <w:pPr>
              <w:rPr>
                <w:sz w:val="20"/>
                <w:lang w:val="fr-CA"/>
              </w:rPr>
            </w:pPr>
          </w:p>
        </w:tc>
        <w:tc>
          <w:tcPr>
            <w:tcW w:w="2330" w:type="pct"/>
          </w:tcPr>
          <w:p w:rsidR="008442EC" w:rsidRPr="00316127" w:rsidRDefault="008442EC" w:rsidP="00EF43C9">
            <w:pPr>
              <w:rPr>
                <w:sz w:val="20"/>
                <w:lang w:val="fr-CA"/>
              </w:rPr>
            </w:pPr>
            <w:r w:rsidRPr="00316127">
              <w:rPr>
                <w:sz w:val="20"/>
                <w:lang w:val="fr-CA"/>
              </w:rPr>
              <w:t>Matrix se voit refuser le droit de comparaître dans l’instance</w:t>
            </w:r>
          </w:p>
          <w:p w:rsidR="008442EC" w:rsidRPr="00316127" w:rsidRDefault="008442EC" w:rsidP="00EF43C9">
            <w:pPr>
              <w:rPr>
                <w:sz w:val="20"/>
                <w:lang w:val="fr-CA"/>
              </w:rPr>
            </w:pPr>
          </w:p>
        </w:tc>
      </w:tr>
      <w:tr w:rsidR="008442EC" w:rsidRPr="00316127" w:rsidTr="008442EC">
        <w:tc>
          <w:tcPr>
            <w:tcW w:w="2427" w:type="pct"/>
          </w:tcPr>
          <w:p w:rsidR="008442EC" w:rsidRPr="00316127" w:rsidRDefault="008442EC" w:rsidP="00EF43C9">
            <w:pPr>
              <w:rPr>
                <w:sz w:val="20"/>
                <w:lang w:val="fr-CA"/>
              </w:rPr>
            </w:pPr>
            <w:r w:rsidRPr="00316127">
              <w:rPr>
                <w:sz w:val="20"/>
                <w:lang w:val="fr-CA"/>
              </w:rPr>
              <w:t>5 juillet 2010</w:t>
            </w:r>
          </w:p>
          <w:p w:rsidR="008442EC" w:rsidRPr="00316127" w:rsidRDefault="008442EC" w:rsidP="00EF43C9">
            <w:pPr>
              <w:rPr>
                <w:sz w:val="20"/>
                <w:lang w:val="fr-CA"/>
              </w:rPr>
            </w:pPr>
            <w:r w:rsidRPr="00316127">
              <w:rPr>
                <w:sz w:val="20"/>
                <w:lang w:val="fr-CA"/>
              </w:rPr>
              <w:t>Cour d’appel de l’Alberta (Calgary)</w:t>
            </w:r>
          </w:p>
          <w:p w:rsidR="008442EC" w:rsidRPr="00316127" w:rsidRDefault="008442EC" w:rsidP="00EF43C9">
            <w:pPr>
              <w:rPr>
                <w:sz w:val="20"/>
                <w:lang w:val="fr-CA"/>
              </w:rPr>
            </w:pPr>
            <w:r w:rsidRPr="00316127">
              <w:rPr>
                <w:sz w:val="20"/>
                <w:lang w:val="fr-CA"/>
              </w:rPr>
              <w:t>(Juges Côté, Hunt et Ritter)</w:t>
            </w:r>
          </w:p>
          <w:p w:rsidR="008442EC" w:rsidRPr="00316127" w:rsidRDefault="008442EC" w:rsidP="00EF43C9">
            <w:pPr>
              <w:rPr>
                <w:sz w:val="20"/>
                <w:lang w:val="fr-CA"/>
              </w:rPr>
            </w:pPr>
            <w:r w:rsidRPr="00316127">
              <w:rPr>
                <w:sz w:val="20"/>
                <w:lang w:val="fr-CA"/>
              </w:rPr>
              <w:t>Référence neutre : 2010 ABCA 213</w:t>
            </w:r>
          </w:p>
          <w:p w:rsidR="008442EC" w:rsidRPr="00316127" w:rsidRDefault="008442EC" w:rsidP="00EF43C9">
            <w:pPr>
              <w:rPr>
                <w:sz w:val="20"/>
                <w:lang w:val="fr-CA"/>
              </w:rPr>
            </w:pPr>
          </w:p>
        </w:tc>
        <w:tc>
          <w:tcPr>
            <w:tcW w:w="243" w:type="pct"/>
          </w:tcPr>
          <w:p w:rsidR="008442EC" w:rsidRPr="00316127" w:rsidRDefault="008442EC" w:rsidP="00EF43C9">
            <w:pPr>
              <w:rPr>
                <w:sz w:val="20"/>
                <w:lang w:val="fr-CA"/>
              </w:rPr>
            </w:pPr>
          </w:p>
        </w:tc>
        <w:tc>
          <w:tcPr>
            <w:tcW w:w="2330" w:type="pct"/>
          </w:tcPr>
          <w:p w:rsidR="008442EC" w:rsidRPr="00316127" w:rsidRDefault="008442EC" w:rsidP="00EF43C9">
            <w:pPr>
              <w:rPr>
                <w:sz w:val="20"/>
                <w:lang w:val="fr-CA"/>
              </w:rPr>
            </w:pPr>
            <w:r w:rsidRPr="00316127">
              <w:rPr>
                <w:sz w:val="20"/>
                <w:lang w:val="fr-CA"/>
              </w:rPr>
              <w:t>Appel rejeté</w:t>
            </w:r>
          </w:p>
          <w:p w:rsidR="008442EC" w:rsidRPr="00316127" w:rsidRDefault="008442EC" w:rsidP="00EF43C9">
            <w:pPr>
              <w:rPr>
                <w:sz w:val="20"/>
                <w:lang w:val="fr-CA"/>
              </w:rPr>
            </w:pPr>
          </w:p>
        </w:tc>
      </w:tr>
      <w:tr w:rsidR="008442EC" w:rsidRPr="00316127" w:rsidTr="008442EC">
        <w:tc>
          <w:tcPr>
            <w:tcW w:w="2427" w:type="pct"/>
          </w:tcPr>
          <w:p w:rsidR="008442EC" w:rsidRPr="00316127" w:rsidRDefault="008442EC" w:rsidP="00EF43C9">
            <w:pPr>
              <w:rPr>
                <w:sz w:val="20"/>
                <w:lang w:val="fr-CA"/>
              </w:rPr>
            </w:pPr>
            <w:r w:rsidRPr="00316127">
              <w:rPr>
                <w:sz w:val="20"/>
                <w:lang w:val="fr-CA"/>
              </w:rPr>
              <w:t>29 septembre 2010</w:t>
            </w:r>
          </w:p>
          <w:p w:rsidR="008442EC" w:rsidRPr="00316127" w:rsidRDefault="008442EC" w:rsidP="00EF43C9">
            <w:pPr>
              <w:rPr>
                <w:sz w:val="20"/>
                <w:lang w:val="fr-CA"/>
              </w:rPr>
            </w:pPr>
            <w:r w:rsidRPr="00316127">
              <w:rPr>
                <w:sz w:val="20"/>
                <w:lang w:val="fr-CA"/>
              </w:rPr>
              <w:t>Cour suprême du Canada</w:t>
            </w:r>
          </w:p>
        </w:tc>
        <w:tc>
          <w:tcPr>
            <w:tcW w:w="243" w:type="pct"/>
          </w:tcPr>
          <w:p w:rsidR="008442EC" w:rsidRPr="00316127" w:rsidRDefault="008442EC" w:rsidP="00EF43C9">
            <w:pPr>
              <w:rPr>
                <w:sz w:val="20"/>
                <w:lang w:val="fr-CA"/>
              </w:rPr>
            </w:pPr>
          </w:p>
        </w:tc>
        <w:tc>
          <w:tcPr>
            <w:tcW w:w="2330" w:type="pct"/>
          </w:tcPr>
          <w:p w:rsidR="008442EC" w:rsidRPr="00316127" w:rsidRDefault="008442EC" w:rsidP="00EF43C9">
            <w:pPr>
              <w:rPr>
                <w:sz w:val="20"/>
                <w:lang w:val="fr-CA"/>
              </w:rPr>
            </w:pPr>
            <w:r w:rsidRPr="00316127">
              <w:rPr>
                <w:sz w:val="20"/>
                <w:lang w:val="fr-CA"/>
              </w:rPr>
              <w:t>Demande d’autorisation d’appel, déposée</w:t>
            </w:r>
          </w:p>
          <w:p w:rsidR="008442EC" w:rsidRPr="00316127" w:rsidRDefault="008442EC" w:rsidP="00EF43C9">
            <w:pPr>
              <w:rPr>
                <w:sz w:val="20"/>
                <w:lang w:val="fr-CA"/>
              </w:rPr>
            </w:pPr>
          </w:p>
        </w:tc>
      </w:tr>
    </w:tbl>
    <w:p w:rsidR="0026524B" w:rsidRPr="00E01ABF" w:rsidRDefault="0026524B" w:rsidP="0026524B">
      <w:pPr>
        <w:rPr>
          <w:sz w:val="20"/>
          <w:szCs w:val="20"/>
        </w:rPr>
      </w:pPr>
    </w:p>
    <w:p w:rsidR="0026524B" w:rsidRDefault="00D56013" w:rsidP="0026524B">
      <w:pPr>
        <w:rPr>
          <w:sz w:val="20"/>
          <w:szCs w:val="20"/>
          <w:lang w:val="fr-CA"/>
        </w:rPr>
      </w:pPr>
      <w:r w:rsidRPr="00D56013">
        <w:rPr>
          <w:sz w:val="20"/>
          <w:szCs w:val="20"/>
          <w:lang w:val="fr-CA"/>
        </w:rPr>
        <w:pict>
          <v:rect id="_x0000_i1087" style="width:2in;height:1pt" o:hrpct="0" o:hralign="center" o:hrstd="t" o:hrnoshade="t" o:hr="t" fillcolor="black [3213]" stroked="f"/>
        </w:pict>
      </w:r>
    </w:p>
    <w:p w:rsidR="0026524B" w:rsidRDefault="0026524B" w:rsidP="008D292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F670F0" w:rsidRPr="00850008" w:rsidTr="00473DF7">
        <w:trPr>
          <w:cantSplit/>
        </w:trPr>
        <w:tc>
          <w:tcPr>
            <w:tcW w:w="1458" w:type="dxa"/>
          </w:tcPr>
          <w:p w:rsidR="00F670F0" w:rsidRPr="00F670F0" w:rsidRDefault="00F670F0" w:rsidP="00473DF7">
            <w:pPr>
              <w:rPr>
                <w:sz w:val="20"/>
                <w:szCs w:val="20"/>
              </w:rPr>
            </w:pPr>
            <w:r w:rsidRPr="00F670F0">
              <w:rPr>
                <w:rStyle w:val="SCCFileNumberChar"/>
                <w:sz w:val="20"/>
                <w:szCs w:val="20"/>
              </w:rPr>
              <w:t>33903</w:t>
            </w:r>
          </w:p>
          <w:p w:rsidR="00F670F0" w:rsidRPr="00F670F0" w:rsidRDefault="00F670F0" w:rsidP="00473DF7">
            <w:pPr>
              <w:rPr>
                <w:b/>
                <w:sz w:val="20"/>
                <w:szCs w:val="20"/>
                <w:lang w:val="fr-CA"/>
              </w:rPr>
            </w:pPr>
          </w:p>
        </w:tc>
        <w:tc>
          <w:tcPr>
            <w:tcW w:w="8118" w:type="dxa"/>
          </w:tcPr>
          <w:p w:rsidR="00F670F0" w:rsidRPr="00F670F0" w:rsidRDefault="00F670F0" w:rsidP="00F670F0">
            <w:pPr>
              <w:jc w:val="both"/>
              <w:rPr>
                <w:sz w:val="20"/>
                <w:szCs w:val="20"/>
                <w:lang w:val="fr-CA"/>
              </w:rPr>
            </w:pPr>
            <w:r w:rsidRPr="00F670F0">
              <w:rPr>
                <w:rStyle w:val="SCCLsocChar"/>
                <w:sz w:val="20"/>
                <w:szCs w:val="20"/>
              </w:rPr>
              <w:t>Fédération des producteurs acéricoles du Québec c. Henri Bourgoin, Régie des marchés agricoles et alimentaires du Québec</w:t>
            </w:r>
            <w:r w:rsidR="00240C90">
              <w:rPr>
                <w:rStyle w:val="SCCLsocChar"/>
                <w:sz w:val="20"/>
                <w:szCs w:val="20"/>
              </w:rPr>
              <w:t xml:space="preserve"> et</w:t>
            </w:r>
            <w:r w:rsidRPr="00F670F0">
              <w:rPr>
                <w:rStyle w:val="SCCLsocChar"/>
                <w:sz w:val="20"/>
                <w:szCs w:val="20"/>
              </w:rPr>
              <w:t xml:space="preserve"> Procureur général du Québec</w:t>
            </w:r>
            <w:r w:rsidRPr="00F670F0">
              <w:rPr>
                <w:sz w:val="20"/>
                <w:szCs w:val="20"/>
                <w:lang w:val="fr-CA"/>
              </w:rPr>
              <w:t xml:space="preserve"> (Qc) (Civile) (Autorisation)</w:t>
            </w:r>
          </w:p>
          <w:p w:rsidR="00F670F0" w:rsidRPr="00F670F0" w:rsidRDefault="00F670F0" w:rsidP="00473DF7">
            <w:pPr>
              <w:rPr>
                <w:sz w:val="20"/>
                <w:szCs w:val="20"/>
                <w:lang w:val="fr-CA"/>
              </w:rPr>
            </w:pPr>
          </w:p>
        </w:tc>
      </w:tr>
      <w:tr w:rsidR="00F670F0" w:rsidRPr="00850008" w:rsidTr="00473DF7">
        <w:trPr>
          <w:cantSplit/>
        </w:trPr>
        <w:tc>
          <w:tcPr>
            <w:tcW w:w="1458" w:type="dxa"/>
          </w:tcPr>
          <w:p w:rsidR="00F670F0" w:rsidRPr="00F670F0" w:rsidRDefault="00F670F0" w:rsidP="00473DF7">
            <w:pPr>
              <w:rPr>
                <w:sz w:val="20"/>
                <w:szCs w:val="20"/>
              </w:rPr>
            </w:pPr>
            <w:r w:rsidRPr="00F670F0">
              <w:rPr>
                <w:sz w:val="20"/>
                <w:szCs w:val="20"/>
              </w:rPr>
              <w:t>Coram :</w:t>
            </w:r>
          </w:p>
        </w:tc>
        <w:tc>
          <w:tcPr>
            <w:tcW w:w="8118" w:type="dxa"/>
          </w:tcPr>
          <w:p w:rsidR="00F670F0" w:rsidRPr="00F670F0" w:rsidRDefault="00F670F0" w:rsidP="00473DF7">
            <w:pPr>
              <w:rPr>
                <w:sz w:val="20"/>
                <w:szCs w:val="20"/>
                <w:lang w:val="fr-CA"/>
              </w:rPr>
            </w:pPr>
            <w:r w:rsidRPr="00F670F0">
              <w:rPr>
                <w:rStyle w:val="SCCCoramChar"/>
                <w:sz w:val="20"/>
                <w:szCs w:val="20"/>
              </w:rPr>
              <w:t>Les juges LeBel, Deschamps et Charron</w:t>
            </w:r>
          </w:p>
          <w:p w:rsidR="00F670F0" w:rsidRPr="00F670F0" w:rsidRDefault="00F670F0" w:rsidP="00473DF7">
            <w:pPr>
              <w:rPr>
                <w:sz w:val="20"/>
                <w:szCs w:val="20"/>
                <w:u w:val="single"/>
                <w:lang w:val="fr-CA"/>
              </w:rPr>
            </w:pPr>
          </w:p>
        </w:tc>
      </w:tr>
      <w:tr w:rsidR="00F670F0" w:rsidRPr="00F670F0" w:rsidTr="00473DF7">
        <w:trPr>
          <w:cantSplit/>
        </w:trPr>
        <w:tc>
          <w:tcPr>
            <w:tcW w:w="9576" w:type="dxa"/>
            <w:gridSpan w:val="2"/>
          </w:tcPr>
          <w:p w:rsidR="00F670F0" w:rsidRPr="00F670F0" w:rsidRDefault="00F670F0" w:rsidP="00473DF7">
            <w:pPr>
              <w:pStyle w:val="SCCShortJudgment"/>
              <w:rPr>
                <w:szCs w:val="20"/>
                <w:lang w:val="fr-CA"/>
              </w:rPr>
            </w:pPr>
            <w:r w:rsidRPr="00F670F0">
              <w:rPr>
                <w:szCs w:val="20"/>
                <w:lang w:val="fr-CA"/>
              </w:rPr>
              <w:t>La requête visant à accélérer la procédure de la demande d’autorisation d’appel est accordée sans dépens. La requête pour permission d’intervenir de l’Union des producteurs agricoles est rejetée sans dépens. La demande d’autorisation d’appel de l’arrêt de la Cour d’appel du Québec (Québec), numéro 200-09-006527-086, 2010 QCCA 1593, daté du 12 octobre 2010, est rejetée avec dépens en faveur de l’intimé Henri Bourgoin.</w:t>
            </w:r>
          </w:p>
          <w:p w:rsidR="00F670F0" w:rsidRPr="00F670F0" w:rsidRDefault="00F670F0" w:rsidP="00473DF7">
            <w:pPr>
              <w:pStyle w:val="SCCShortJudgment"/>
              <w:ind w:firstLine="0"/>
              <w:rPr>
                <w:szCs w:val="20"/>
                <w:lang w:val="fr-CA"/>
              </w:rPr>
            </w:pPr>
          </w:p>
          <w:p w:rsidR="00F670F0" w:rsidRPr="00F670F0" w:rsidRDefault="00F670F0" w:rsidP="00F670F0">
            <w:pPr>
              <w:pStyle w:val="SCCShortJudgment"/>
              <w:rPr>
                <w:szCs w:val="20"/>
              </w:rPr>
            </w:pPr>
            <w:r w:rsidRPr="00F670F0">
              <w:rPr>
                <w:szCs w:val="20"/>
              </w:rPr>
              <w:t>The motion to expedite the application for leave to appeal is granted without costs. The motion for leave to intervene of Union des producteurs agricoles is dismissed without costs. The application for leave to appeal from the judgment of the Court of Appeal of Quebec (Québec), Number 200-09-006527-086, 2010 QCCA 1593, dated October 12, 2010, is dismissed with costs to the respondent Henri Bourgoin.</w:t>
            </w:r>
          </w:p>
        </w:tc>
      </w:tr>
    </w:tbl>
    <w:p w:rsidR="0026524B" w:rsidRPr="00F670F0" w:rsidRDefault="0026524B" w:rsidP="0026524B">
      <w:pPr>
        <w:rPr>
          <w:sz w:val="20"/>
          <w:szCs w:val="20"/>
        </w:rPr>
      </w:pPr>
    </w:p>
    <w:p w:rsidR="0026524B" w:rsidRPr="00E01ABF" w:rsidRDefault="0026524B" w:rsidP="0026524B">
      <w:pPr>
        <w:rPr>
          <w:sz w:val="20"/>
          <w:szCs w:val="20"/>
          <w:u w:val="single"/>
        </w:rPr>
      </w:pPr>
      <w:r w:rsidRPr="00E01ABF">
        <w:rPr>
          <w:sz w:val="20"/>
          <w:szCs w:val="20"/>
          <w:u w:val="single"/>
        </w:rPr>
        <w:t>CASE SUMMARY</w:t>
      </w:r>
    </w:p>
    <w:p w:rsidR="0026524B" w:rsidRDefault="0026524B" w:rsidP="0026524B">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8442EC" w:rsidRPr="005577B1" w:rsidTr="00EF43C9">
        <w:tc>
          <w:tcPr>
            <w:tcW w:w="5000" w:type="pct"/>
            <w:gridSpan w:val="3"/>
          </w:tcPr>
          <w:p w:rsidR="008442EC" w:rsidRDefault="008442EC" w:rsidP="00EF43C9">
            <w:pPr>
              <w:jc w:val="both"/>
              <w:rPr>
                <w:rFonts w:eastAsia="Calibri"/>
                <w:sz w:val="20"/>
              </w:rPr>
            </w:pPr>
            <w:r w:rsidRPr="005577B1">
              <w:rPr>
                <w:rFonts w:eastAsia="Calibri"/>
                <w:sz w:val="20"/>
              </w:rPr>
              <w:t xml:space="preserve">Administrative law – Powers of regulatory agency – “Liquidated damages” included in agreement prescribed after failure to reach agreement and failure of arbitration – Quebec producers selling maple syrup to New Brunswick purchaser in breach of Quebec marketing legislation – Quebec regulatory agency ordering purchaser to pay more than $1 million in damages – Whether Régie des marchés agricoles has power to order payment of damages under </w:t>
            </w:r>
            <w:r w:rsidRPr="005577B1">
              <w:rPr>
                <w:rFonts w:eastAsia="Calibri"/>
                <w:sz w:val="20"/>
              </w:rPr>
              <w:lastRenderedPageBreak/>
              <w:t xml:space="preserve">prescribed marketing agreement – Whether Court of Appeal’s judgment inconsistent with statutory provision equating effect of prescribed agreement to that of homologated agreement – Whether Court of Appeal erred in declaring that liquidated damages clauses applicable to producers invalid – Whether Court of Appeal applied inappropriate standard of review – </w:t>
            </w:r>
            <w:r w:rsidRPr="005577B1">
              <w:rPr>
                <w:rFonts w:eastAsia="Calibri"/>
                <w:i/>
                <w:sz w:val="20"/>
              </w:rPr>
              <w:t>Act respecting the marketing of agricultural, food and fish products</w:t>
            </w:r>
            <w:r w:rsidRPr="005577B1">
              <w:rPr>
                <w:rFonts w:eastAsia="Calibri"/>
                <w:sz w:val="20"/>
              </w:rPr>
              <w:t>, R.S.Q., c. M-35.1, ss</w:t>
            </w:r>
            <w:r w:rsidRPr="005577B1">
              <w:rPr>
                <w:rFonts w:eastAsia="Calibri"/>
                <w:color w:val="000000"/>
                <w:sz w:val="20"/>
              </w:rPr>
              <w:t>.</w:t>
            </w:r>
            <w:r w:rsidRPr="005577B1">
              <w:rPr>
                <w:rFonts w:eastAsia="Calibri"/>
                <w:sz w:val="20"/>
              </w:rPr>
              <w:t xml:space="preserve"> 43, 112 to 118 – </w:t>
            </w:r>
            <w:r w:rsidRPr="005577B1">
              <w:rPr>
                <w:rFonts w:eastAsia="Calibri"/>
                <w:i/>
                <w:sz w:val="20"/>
              </w:rPr>
              <w:t>Civil Code of Québec</w:t>
            </w:r>
            <w:r w:rsidRPr="005577B1">
              <w:rPr>
                <w:rFonts w:eastAsia="Calibri"/>
                <w:sz w:val="20"/>
              </w:rPr>
              <w:t>, S.Q. 1991, c. 64, art. 1622.</w:t>
            </w:r>
          </w:p>
          <w:p w:rsidR="00F838C3" w:rsidRPr="005577B1" w:rsidRDefault="00F838C3" w:rsidP="00EF43C9">
            <w:pPr>
              <w:jc w:val="both"/>
              <w:rPr>
                <w:rFonts w:eastAsia="Calibri"/>
                <w:sz w:val="20"/>
              </w:rPr>
            </w:pPr>
          </w:p>
        </w:tc>
      </w:tr>
      <w:tr w:rsidR="008442EC" w:rsidRPr="005577B1" w:rsidTr="00EF43C9">
        <w:tc>
          <w:tcPr>
            <w:tcW w:w="5000" w:type="pct"/>
            <w:gridSpan w:val="3"/>
          </w:tcPr>
          <w:p w:rsidR="008442EC" w:rsidRPr="005577B1" w:rsidRDefault="008442EC" w:rsidP="00EF43C9">
            <w:pPr>
              <w:jc w:val="both"/>
              <w:rPr>
                <w:rFonts w:eastAsia="Calibri"/>
                <w:sz w:val="20"/>
              </w:rPr>
            </w:pPr>
            <w:r w:rsidRPr="005577B1">
              <w:rPr>
                <w:rFonts w:eastAsia="Calibri"/>
                <w:sz w:val="20"/>
              </w:rPr>
              <w:lastRenderedPageBreak/>
              <w:t>Between 2002 and 2005, the respondent Bourgoin, who lives in New Brunswick, purchased 834,782 pounds of maple syrup directly from nine Quebec producers, in breach of Quebec’s marketing legislation.  After receiving a complaint from the applicant Fédération, the Régie des marchés agricoles ordered the purchaser to pay the Fédération $1.20 per pound in total “liquidated damages”.</w:t>
            </w:r>
          </w:p>
          <w:p w:rsidR="008442EC" w:rsidRPr="005577B1" w:rsidRDefault="008442EC" w:rsidP="00EF43C9">
            <w:pPr>
              <w:jc w:val="both"/>
              <w:rPr>
                <w:rFonts w:eastAsia="Calibri"/>
                <w:sz w:val="20"/>
              </w:rPr>
            </w:pPr>
          </w:p>
        </w:tc>
      </w:tr>
      <w:tr w:rsidR="008442EC" w:rsidRPr="005577B1" w:rsidTr="00EF43C9">
        <w:tc>
          <w:tcPr>
            <w:tcW w:w="2427" w:type="pct"/>
          </w:tcPr>
          <w:p w:rsidR="008442EC" w:rsidRPr="005577B1" w:rsidRDefault="008442EC" w:rsidP="00EF43C9">
            <w:pPr>
              <w:jc w:val="both"/>
              <w:rPr>
                <w:rFonts w:eastAsia="Calibri"/>
                <w:sz w:val="20"/>
              </w:rPr>
            </w:pPr>
            <w:r w:rsidRPr="005577B1">
              <w:rPr>
                <w:rFonts w:eastAsia="Calibri"/>
                <w:sz w:val="20"/>
              </w:rPr>
              <w:t>November 6, 2008</w:t>
            </w:r>
          </w:p>
          <w:p w:rsidR="008442EC" w:rsidRPr="005577B1" w:rsidRDefault="008442EC" w:rsidP="00EF43C9">
            <w:pPr>
              <w:jc w:val="both"/>
              <w:rPr>
                <w:rFonts w:eastAsia="Calibri"/>
                <w:sz w:val="20"/>
              </w:rPr>
            </w:pPr>
            <w:r w:rsidRPr="005577B1">
              <w:rPr>
                <w:rFonts w:eastAsia="Calibri"/>
                <w:sz w:val="20"/>
              </w:rPr>
              <w:t>Quebec Superior Court</w:t>
            </w:r>
          </w:p>
          <w:p w:rsidR="008442EC" w:rsidRPr="005577B1" w:rsidRDefault="008442EC" w:rsidP="00EF43C9">
            <w:pPr>
              <w:jc w:val="both"/>
              <w:rPr>
                <w:rFonts w:eastAsia="Calibri"/>
                <w:sz w:val="20"/>
              </w:rPr>
            </w:pPr>
            <w:r w:rsidRPr="005577B1">
              <w:rPr>
                <w:rFonts w:eastAsia="Calibri"/>
                <w:sz w:val="20"/>
              </w:rPr>
              <w:t>(Caron J.)</w:t>
            </w:r>
          </w:p>
          <w:p w:rsidR="008442EC" w:rsidRPr="005577B1" w:rsidRDefault="008442EC" w:rsidP="00EF43C9">
            <w:pPr>
              <w:jc w:val="both"/>
              <w:rPr>
                <w:rFonts w:eastAsia="Calibri"/>
                <w:sz w:val="20"/>
              </w:rPr>
            </w:pPr>
            <w:r w:rsidRPr="005577B1">
              <w:rPr>
                <w:rFonts w:eastAsia="Calibri"/>
                <w:sz w:val="20"/>
              </w:rPr>
              <w:t>Neutral citation: 2008 QCCS 5348</w:t>
            </w:r>
          </w:p>
          <w:p w:rsidR="008442EC" w:rsidRPr="005577B1" w:rsidRDefault="008442EC" w:rsidP="00EF43C9">
            <w:pPr>
              <w:jc w:val="both"/>
              <w:rPr>
                <w:rFonts w:eastAsia="Calibri"/>
                <w:sz w:val="20"/>
              </w:rPr>
            </w:pPr>
          </w:p>
        </w:tc>
        <w:tc>
          <w:tcPr>
            <w:tcW w:w="243" w:type="pct"/>
          </w:tcPr>
          <w:p w:rsidR="008442EC" w:rsidRPr="005577B1" w:rsidRDefault="008442EC" w:rsidP="00EF43C9">
            <w:pPr>
              <w:jc w:val="both"/>
              <w:rPr>
                <w:rFonts w:eastAsia="Calibri"/>
                <w:sz w:val="20"/>
              </w:rPr>
            </w:pPr>
          </w:p>
        </w:tc>
        <w:tc>
          <w:tcPr>
            <w:tcW w:w="2330" w:type="pct"/>
          </w:tcPr>
          <w:p w:rsidR="008442EC" w:rsidRPr="005577B1" w:rsidRDefault="008442EC" w:rsidP="00EF43C9">
            <w:pPr>
              <w:jc w:val="both"/>
              <w:rPr>
                <w:rFonts w:eastAsia="Calibri"/>
                <w:sz w:val="20"/>
              </w:rPr>
            </w:pPr>
            <w:r w:rsidRPr="005577B1">
              <w:rPr>
                <w:rFonts w:eastAsia="Calibri"/>
                <w:sz w:val="20"/>
              </w:rPr>
              <w:t>Application of respondent Bourgoin for judicial review of decision of Régie de mise en marché des produits agricoles dismissed</w:t>
            </w:r>
          </w:p>
          <w:p w:rsidR="008442EC" w:rsidRPr="005577B1" w:rsidRDefault="008442EC" w:rsidP="00EF43C9">
            <w:pPr>
              <w:jc w:val="both"/>
              <w:rPr>
                <w:rFonts w:eastAsia="Calibri"/>
                <w:sz w:val="20"/>
              </w:rPr>
            </w:pPr>
          </w:p>
        </w:tc>
      </w:tr>
      <w:tr w:rsidR="008442EC" w:rsidRPr="005577B1" w:rsidTr="00EF43C9">
        <w:tc>
          <w:tcPr>
            <w:tcW w:w="2427" w:type="pct"/>
          </w:tcPr>
          <w:p w:rsidR="008442EC" w:rsidRPr="005577B1" w:rsidRDefault="008442EC" w:rsidP="00EF43C9">
            <w:pPr>
              <w:jc w:val="both"/>
              <w:rPr>
                <w:rFonts w:eastAsia="Calibri"/>
                <w:sz w:val="20"/>
              </w:rPr>
            </w:pPr>
            <w:r w:rsidRPr="005577B1">
              <w:rPr>
                <w:rFonts w:eastAsia="Calibri"/>
                <w:sz w:val="20"/>
              </w:rPr>
              <w:t>October 12, 2010</w:t>
            </w:r>
          </w:p>
          <w:p w:rsidR="008442EC" w:rsidRPr="005577B1" w:rsidRDefault="008442EC" w:rsidP="00EF43C9">
            <w:pPr>
              <w:jc w:val="both"/>
              <w:rPr>
                <w:rFonts w:eastAsia="Calibri"/>
                <w:sz w:val="20"/>
              </w:rPr>
            </w:pPr>
            <w:r w:rsidRPr="005577B1">
              <w:rPr>
                <w:rFonts w:eastAsia="Calibri"/>
                <w:sz w:val="20"/>
              </w:rPr>
              <w:t>Quebec Court of Appeal (Québec)</w:t>
            </w:r>
          </w:p>
          <w:p w:rsidR="008442EC" w:rsidRPr="005577B1" w:rsidRDefault="008442EC" w:rsidP="00EF43C9">
            <w:pPr>
              <w:jc w:val="both"/>
              <w:rPr>
                <w:rFonts w:eastAsia="Calibri"/>
                <w:sz w:val="20"/>
              </w:rPr>
            </w:pPr>
            <w:r w:rsidRPr="005577B1">
              <w:rPr>
                <w:rFonts w:eastAsia="Calibri"/>
                <w:sz w:val="20"/>
              </w:rPr>
              <w:t>(Morin, Vézina and Bouchard JJ.A.)</w:t>
            </w:r>
          </w:p>
          <w:p w:rsidR="008442EC" w:rsidRPr="005577B1" w:rsidRDefault="008442EC" w:rsidP="00EF43C9">
            <w:pPr>
              <w:jc w:val="both"/>
              <w:rPr>
                <w:rFonts w:eastAsia="Calibri"/>
                <w:sz w:val="20"/>
              </w:rPr>
            </w:pPr>
            <w:r w:rsidRPr="005577B1">
              <w:rPr>
                <w:rFonts w:eastAsia="Calibri"/>
                <w:sz w:val="20"/>
              </w:rPr>
              <w:t>Neutral citation: 2010 QCCA 1593</w:t>
            </w:r>
          </w:p>
          <w:p w:rsidR="008442EC" w:rsidRPr="005577B1" w:rsidRDefault="008442EC" w:rsidP="00EF43C9">
            <w:pPr>
              <w:jc w:val="both"/>
              <w:rPr>
                <w:rFonts w:eastAsia="Calibri"/>
                <w:sz w:val="20"/>
              </w:rPr>
            </w:pPr>
          </w:p>
        </w:tc>
        <w:tc>
          <w:tcPr>
            <w:tcW w:w="243" w:type="pct"/>
          </w:tcPr>
          <w:p w:rsidR="008442EC" w:rsidRPr="005577B1" w:rsidRDefault="008442EC" w:rsidP="00EF43C9">
            <w:pPr>
              <w:jc w:val="both"/>
              <w:rPr>
                <w:rFonts w:eastAsia="Calibri"/>
                <w:sz w:val="20"/>
              </w:rPr>
            </w:pPr>
          </w:p>
        </w:tc>
        <w:tc>
          <w:tcPr>
            <w:tcW w:w="2330" w:type="pct"/>
          </w:tcPr>
          <w:p w:rsidR="008442EC" w:rsidRPr="005577B1" w:rsidRDefault="008442EC" w:rsidP="00EF43C9">
            <w:pPr>
              <w:jc w:val="both"/>
              <w:rPr>
                <w:rFonts w:eastAsia="Calibri"/>
                <w:sz w:val="20"/>
              </w:rPr>
            </w:pPr>
            <w:r w:rsidRPr="005577B1">
              <w:rPr>
                <w:rFonts w:eastAsia="Calibri"/>
                <w:sz w:val="20"/>
              </w:rPr>
              <w:t>Appeal allowed; Régie’s order for “liquidated damages” annulled</w:t>
            </w:r>
          </w:p>
        </w:tc>
      </w:tr>
      <w:tr w:rsidR="008442EC" w:rsidRPr="005577B1" w:rsidTr="00EF43C9">
        <w:tc>
          <w:tcPr>
            <w:tcW w:w="2427" w:type="pct"/>
          </w:tcPr>
          <w:p w:rsidR="008442EC" w:rsidRPr="005577B1" w:rsidRDefault="008442EC" w:rsidP="00EF43C9">
            <w:pPr>
              <w:jc w:val="both"/>
              <w:rPr>
                <w:rFonts w:eastAsia="Calibri"/>
                <w:sz w:val="20"/>
              </w:rPr>
            </w:pPr>
            <w:r w:rsidRPr="005577B1">
              <w:rPr>
                <w:rFonts w:eastAsia="Calibri"/>
                <w:sz w:val="20"/>
              </w:rPr>
              <w:t>October 12, 2010</w:t>
            </w:r>
          </w:p>
          <w:p w:rsidR="008442EC" w:rsidRPr="005577B1" w:rsidRDefault="008442EC" w:rsidP="00EF43C9">
            <w:pPr>
              <w:jc w:val="both"/>
              <w:rPr>
                <w:rFonts w:eastAsia="Calibri"/>
                <w:sz w:val="20"/>
              </w:rPr>
            </w:pPr>
            <w:r w:rsidRPr="005577B1">
              <w:rPr>
                <w:rFonts w:eastAsia="Calibri"/>
                <w:sz w:val="20"/>
              </w:rPr>
              <w:t>Supreme Court of Canada</w:t>
            </w:r>
          </w:p>
        </w:tc>
        <w:tc>
          <w:tcPr>
            <w:tcW w:w="243" w:type="pct"/>
          </w:tcPr>
          <w:p w:rsidR="008442EC" w:rsidRPr="005577B1" w:rsidRDefault="008442EC" w:rsidP="00EF43C9">
            <w:pPr>
              <w:jc w:val="both"/>
              <w:rPr>
                <w:rFonts w:eastAsia="Calibri"/>
                <w:sz w:val="20"/>
              </w:rPr>
            </w:pPr>
          </w:p>
        </w:tc>
        <w:tc>
          <w:tcPr>
            <w:tcW w:w="2330" w:type="pct"/>
          </w:tcPr>
          <w:p w:rsidR="008442EC" w:rsidRPr="005577B1" w:rsidRDefault="008442EC" w:rsidP="00EF43C9">
            <w:pPr>
              <w:jc w:val="both"/>
              <w:rPr>
                <w:rFonts w:eastAsia="Calibri"/>
                <w:sz w:val="20"/>
              </w:rPr>
            </w:pPr>
            <w:r w:rsidRPr="005577B1">
              <w:rPr>
                <w:rFonts w:eastAsia="Calibri"/>
                <w:sz w:val="20"/>
              </w:rPr>
              <w:t>Application for leave to appeal and motion to expedite application filed</w:t>
            </w:r>
          </w:p>
        </w:tc>
      </w:tr>
    </w:tbl>
    <w:p w:rsidR="0026524B" w:rsidRPr="00E01ABF" w:rsidRDefault="0026524B" w:rsidP="0026524B">
      <w:pPr>
        <w:rPr>
          <w:sz w:val="20"/>
          <w:szCs w:val="20"/>
        </w:rPr>
      </w:pPr>
    </w:p>
    <w:p w:rsidR="0026524B" w:rsidRDefault="00D56013" w:rsidP="0026524B">
      <w:pPr>
        <w:rPr>
          <w:sz w:val="20"/>
          <w:szCs w:val="20"/>
          <w:lang w:val="fr-CA"/>
        </w:rPr>
      </w:pPr>
      <w:r w:rsidRPr="00D56013">
        <w:rPr>
          <w:sz w:val="20"/>
          <w:szCs w:val="20"/>
          <w:lang w:val="fr-CA"/>
        </w:rPr>
        <w:pict>
          <v:rect id="_x0000_i1088" style="width:2in;height:1pt" o:hrpct="0" o:hralign="center" o:hrstd="t" o:hrnoshade="t" o:hr="t" fillcolor="black [3213]" stroked="f"/>
        </w:pict>
      </w:r>
    </w:p>
    <w:p w:rsidR="00F670F0" w:rsidRPr="00E01ABF" w:rsidRDefault="00F670F0" w:rsidP="0026524B">
      <w:pPr>
        <w:rPr>
          <w:sz w:val="20"/>
          <w:szCs w:val="20"/>
        </w:rPr>
      </w:pPr>
    </w:p>
    <w:p w:rsidR="0026524B" w:rsidRPr="00E01ABF" w:rsidRDefault="0026524B" w:rsidP="0026524B">
      <w:pPr>
        <w:rPr>
          <w:sz w:val="20"/>
          <w:szCs w:val="20"/>
          <w:u w:val="single"/>
        </w:rPr>
      </w:pPr>
      <w:r w:rsidRPr="00E01ABF">
        <w:rPr>
          <w:sz w:val="20"/>
          <w:szCs w:val="20"/>
          <w:u w:val="single"/>
        </w:rPr>
        <w:t>RÉSUMÉ DE L’AFFAIRE</w:t>
      </w:r>
    </w:p>
    <w:p w:rsidR="0026524B" w:rsidRDefault="0026524B" w:rsidP="0026524B">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8442EC" w:rsidRPr="00850008" w:rsidTr="00EF43C9">
        <w:tc>
          <w:tcPr>
            <w:tcW w:w="5000" w:type="pct"/>
            <w:gridSpan w:val="3"/>
          </w:tcPr>
          <w:p w:rsidR="008442EC" w:rsidRDefault="008442EC" w:rsidP="00EF43C9">
            <w:pPr>
              <w:jc w:val="both"/>
              <w:rPr>
                <w:rFonts w:eastAsia="Calibri"/>
                <w:sz w:val="20"/>
                <w:lang w:val="fr-CA"/>
              </w:rPr>
            </w:pPr>
            <w:r w:rsidRPr="005577B1">
              <w:rPr>
                <w:rFonts w:eastAsia="Calibri"/>
                <w:sz w:val="20"/>
                <w:lang w:val="fr-CA"/>
              </w:rPr>
              <w:t xml:space="preserve">Droit administratif – Pouvoirs de l’organisme régulateur – « Dommages liquidés » inclus dans la convention imposée par décret à défaut d’entente et après échec de l’arbitrage - Vente de sirop d’érable par des producteurs du Québec à un acheteur du Nouveau-Brunswick en contravention aux règles de mise en marché prévues par la loi québécoise – Condamnation de l’acheteur à plus d’un M $ en dommages-intérêts par l’organisme régulateur québécois - La Régie des marchés agricoles a-t-elle le pouvoir d’imposer des dommages-intérêts  dans le cadre d’une convention de mise en marché décrétée? – La Cour d’appel a-t-elle rendu un jugement contraire à la disposition législative assimilant l’effet d’une convention décrétée à celui d’une convention homologuée? – La Cour d’appel a-t-elle adjugé sans droit en invalidant les clauses de dommages liquidés visant les producteurs? – La Cour d’appel a-t-elle choisi une norme de contrôle inappropriée? – </w:t>
            </w:r>
            <w:r w:rsidRPr="005577B1">
              <w:rPr>
                <w:rFonts w:eastAsia="Calibri"/>
                <w:i/>
                <w:sz w:val="20"/>
                <w:lang w:val="fr-CA"/>
              </w:rPr>
              <w:t>Loi sur la mise en marché des produits agricoles, alimentaires et de la pêche</w:t>
            </w:r>
            <w:r w:rsidRPr="005577B1">
              <w:rPr>
                <w:rFonts w:eastAsia="Calibri"/>
                <w:sz w:val="20"/>
                <w:lang w:val="fr-CA"/>
              </w:rPr>
              <w:t xml:space="preserve">, L.R.Q. ch. M-35.1, </w:t>
            </w:r>
            <w:r w:rsidRPr="005577B1">
              <w:rPr>
                <w:rFonts w:eastAsia="Calibri"/>
                <w:color w:val="000000"/>
                <w:sz w:val="20"/>
                <w:lang w:val="fr-CA"/>
              </w:rPr>
              <w:t>art.</w:t>
            </w:r>
            <w:r w:rsidRPr="005577B1">
              <w:rPr>
                <w:rFonts w:eastAsia="Calibri"/>
                <w:sz w:val="20"/>
                <w:lang w:val="fr-CA"/>
              </w:rPr>
              <w:t xml:space="preserve"> 43, 112 à 118 – </w:t>
            </w:r>
            <w:r w:rsidRPr="005577B1">
              <w:rPr>
                <w:rFonts w:eastAsia="Calibri"/>
                <w:i/>
                <w:sz w:val="20"/>
                <w:lang w:val="fr-CA"/>
              </w:rPr>
              <w:t>Code civil du Québec</w:t>
            </w:r>
            <w:r w:rsidRPr="005577B1">
              <w:rPr>
                <w:rFonts w:eastAsia="Calibri"/>
                <w:sz w:val="20"/>
                <w:lang w:val="fr-CA"/>
              </w:rPr>
              <w:t>, L.Q. 1991, ch. 64, art. 1622.</w:t>
            </w:r>
          </w:p>
          <w:p w:rsidR="005617B9" w:rsidRPr="005577B1" w:rsidRDefault="005617B9" w:rsidP="00EF43C9">
            <w:pPr>
              <w:jc w:val="both"/>
              <w:rPr>
                <w:rFonts w:eastAsia="Calibri"/>
                <w:sz w:val="20"/>
                <w:lang w:val="fr-CA"/>
              </w:rPr>
            </w:pPr>
          </w:p>
        </w:tc>
      </w:tr>
      <w:tr w:rsidR="008442EC" w:rsidRPr="00850008" w:rsidTr="00EF43C9">
        <w:tc>
          <w:tcPr>
            <w:tcW w:w="5000" w:type="pct"/>
            <w:gridSpan w:val="3"/>
          </w:tcPr>
          <w:p w:rsidR="008442EC" w:rsidRPr="005577B1" w:rsidRDefault="008442EC" w:rsidP="00EF43C9">
            <w:pPr>
              <w:jc w:val="both"/>
              <w:rPr>
                <w:rFonts w:eastAsia="Calibri"/>
                <w:sz w:val="20"/>
                <w:lang w:val="fr-CA"/>
              </w:rPr>
            </w:pPr>
            <w:r w:rsidRPr="005577B1">
              <w:rPr>
                <w:rFonts w:eastAsia="Calibri"/>
                <w:sz w:val="20"/>
                <w:lang w:val="fr-CA"/>
              </w:rPr>
              <w:t>Entre 2002 et 2005, l’intimé Bourgoin, qui réside au Nouveau-Brunswick, a acheté 834 782 livres de sirop d’érable directement de neuf producteurs québécois, en contravention au régime législatif provincial de mise en marché. À la suite d’une plainte de la Fédération demanderesse, la Régie des marchés agricoles impose à l’acheteur des « dommages liquidés » totaux de 1,20$ par livre, payables à la Fédération.</w:t>
            </w:r>
          </w:p>
          <w:p w:rsidR="008442EC" w:rsidRPr="005577B1" w:rsidRDefault="008442EC" w:rsidP="00EF43C9">
            <w:pPr>
              <w:jc w:val="both"/>
              <w:rPr>
                <w:rFonts w:eastAsia="Calibri"/>
                <w:sz w:val="20"/>
                <w:lang w:val="fr-CA"/>
              </w:rPr>
            </w:pPr>
          </w:p>
        </w:tc>
      </w:tr>
      <w:tr w:rsidR="008442EC" w:rsidRPr="00850008" w:rsidTr="00EF43C9">
        <w:tc>
          <w:tcPr>
            <w:tcW w:w="2427" w:type="pct"/>
          </w:tcPr>
          <w:p w:rsidR="008442EC" w:rsidRPr="005577B1" w:rsidRDefault="008442EC" w:rsidP="00EF43C9">
            <w:pPr>
              <w:jc w:val="both"/>
              <w:rPr>
                <w:rFonts w:eastAsia="Calibri"/>
                <w:sz w:val="20"/>
                <w:lang w:val="fr-CA"/>
              </w:rPr>
            </w:pPr>
            <w:r w:rsidRPr="005577B1">
              <w:rPr>
                <w:rFonts w:eastAsia="Calibri"/>
                <w:sz w:val="20"/>
                <w:lang w:val="fr-CA"/>
              </w:rPr>
              <w:t>Le 6 novembre 2008</w:t>
            </w:r>
          </w:p>
          <w:p w:rsidR="008442EC" w:rsidRPr="005577B1" w:rsidRDefault="008442EC" w:rsidP="00EF43C9">
            <w:pPr>
              <w:jc w:val="both"/>
              <w:rPr>
                <w:rFonts w:eastAsia="Calibri"/>
                <w:sz w:val="20"/>
                <w:lang w:val="fr-CA"/>
              </w:rPr>
            </w:pPr>
            <w:r w:rsidRPr="005577B1">
              <w:rPr>
                <w:rFonts w:eastAsia="Calibri"/>
                <w:sz w:val="20"/>
                <w:lang w:val="fr-CA"/>
              </w:rPr>
              <w:t>Cour supérieure du Québec</w:t>
            </w:r>
          </w:p>
          <w:p w:rsidR="008442EC" w:rsidRPr="005577B1" w:rsidRDefault="008442EC" w:rsidP="00EF43C9">
            <w:pPr>
              <w:jc w:val="both"/>
              <w:rPr>
                <w:rFonts w:eastAsia="Calibri"/>
                <w:sz w:val="20"/>
                <w:lang w:val="fr-CA"/>
              </w:rPr>
            </w:pPr>
            <w:r w:rsidRPr="005577B1">
              <w:rPr>
                <w:rFonts w:eastAsia="Calibri"/>
                <w:sz w:val="20"/>
                <w:lang w:val="fr-CA"/>
              </w:rPr>
              <w:t>(Le juge Caron)</w:t>
            </w:r>
          </w:p>
          <w:p w:rsidR="008442EC" w:rsidRPr="005577B1" w:rsidRDefault="008442EC" w:rsidP="00F514EA">
            <w:pPr>
              <w:jc w:val="both"/>
              <w:rPr>
                <w:rFonts w:eastAsia="Calibri"/>
                <w:sz w:val="20"/>
                <w:lang w:val="fr-CA"/>
              </w:rPr>
            </w:pPr>
            <w:r w:rsidRPr="005577B1">
              <w:rPr>
                <w:rFonts w:eastAsia="Calibri"/>
                <w:sz w:val="20"/>
                <w:lang w:val="fr-CA"/>
              </w:rPr>
              <w:t>Référence neutre : 2008 QCCS 5348</w:t>
            </w:r>
          </w:p>
        </w:tc>
        <w:tc>
          <w:tcPr>
            <w:tcW w:w="243" w:type="pct"/>
          </w:tcPr>
          <w:p w:rsidR="008442EC" w:rsidRPr="005577B1" w:rsidRDefault="008442EC" w:rsidP="00EF43C9">
            <w:pPr>
              <w:jc w:val="both"/>
              <w:rPr>
                <w:rFonts w:eastAsia="Calibri"/>
                <w:sz w:val="20"/>
                <w:lang w:val="fr-FR"/>
              </w:rPr>
            </w:pPr>
          </w:p>
        </w:tc>
        <w:tc>
          <w:tcPr>
            <w:tcW w:w="2330" w:type="pct"/>
          </w:tcPr>
          <w:p w:rsidR="008442EC" w:rsidRPr="005577B1" w:rsidRDefault="008442EC" w:rsidP="00EF43C9">
            <w:pPr>
              <w:jc w:val="both"/>
              <w:rPr>
                <w:rFonts w:eastAsia="Calibri"/>
                <w:sz w:val="20"/>
                <w:lang w:val="fr-CA"/>
              </w:rPr>
            </w:pPr>
            <w:r w:rsidRPr="005577B1">
              <w:rPr>
                <w:rFonts w:eastAsia="Calibri"/>
                <w:sz w:val="20"/>
                <w:lang w:val="fr-CA"/>
              </w:rPr>
              <w:t>Rejet de la demande de l’intimé Bourgoin en révision judiciaire de la décision de la Régie de mise en marché des produits agricoles.</w:t>
            </w:r>
          </w:p>
          <w:p w:rsidR="008442EC" w:rsidRPr="005577B1" w:rsidRDefault="008442EC" w:rsidP="00EF43C9">
            <w:pPr>
              <w:jc w:val="both"/>
              <w:rPr>
                <w:rFonts w:eastAsia="Calibri"/>
                <w:sz w:val="20"/>
                <w:lang w:val="fr-CA"/>
              </w:rPr>
            </w:pPr>
          </w:p>
        </w:tc>
      </w:tr>
    </w:tbl>
    <w:p w:rsidR="00F514EA" w:rsidRPr="0064487C" w:rsidRDefault="00F514EA">
      <w:pPr>
        <w:rPr>
          <w:lang w:val="fr-CA"/>
        </w:rPr>
      </w:pPr>
    </w:p>
    <w:tbl>
      <w:tblPr>
        <w:tblW w:w="4952" w:type="pct"/>
        <w:tblLayout w:type="fixed"/>
        <w:tblCellMar>
          <w:left w:w="0" w:type="dxa"/>
          <w:bottom w:w="99" w:type="dxa"/>
          <w:right w:w="0" w:type="dxa"/>
        </w:tblCellMar>
        <w:tblLook w:val="04A0"/>
      </w:tblPr>
      <w:tblGrid>
        <w:gridCol w:w="4624"/>
        <w:gridCol w:w="463"/>
        <w:gridCol w:w="4440"/>
      </w:tblGrid>
      <w:tr w:rsidR="008442EC" w:rsidRPr="00850008" w:rsidTr="00F514EA">
        <w:trPr>
          <w:cantSplit/>
        </w:trPr>
        <w:tc>
          <w:tcPr>
            <w:tcW w:w="2427" w:type="pct"/>
          </w:tcPr>
          <w:p w:rsidR="008442EC" w:rsidRPr="005577B1" w:rsidRDefault="008442EC" w:rsidP="00EF43C9">
            <w:pPr>
              <w:jc w:val="both"/>
              <w:rPr>
                <w:rFonts w:eastAsia="Calibri"/>
                <w:sz w:val="20"/>
                <w:lang w:val="fr-CA"/>
              </w:rPr>
            </w:pPr>
            <w:r w:rsidRPr="005577B1">
              <w:rPr>
                <w:rFonts w:eastAsia="Calibri"/>
                <w:sz w:val="20"/>
                <w:lang w:val="fr-CA"/>
              </w:rPr>
              <w:lastRenderedPageBreak/>
              <w:t>Le 12 octobre 2010</w:t>
            </w:r>
          </w:p>
          <w:p w:rsidR="008442EC" w:rsidRPr="005577B1" w:rsidRDefault="008442EC" w:rsidP="00EF43C9">
            <w:pPr>
              <w:jc w:val="both"/>
              <w:rPr>
                <w:rFonts w:eastAsia="Calibri"/>
                <w:sz w:val="20"/>
                <w:lang w:val="fr-CA"/>
              </w:rPr>
            </w:pPr>
            <w:r w:rsidRPr="005577B1">
              <w:rPr>
                <w:rFonts w:eastAsia="Calibri"/>
                <w:sz w:val="20"/>
                <w:lang w:val="fr-CA"/>
              </w:rPr>
              <w:t>Cour d’appel du Québec (Québec)</w:t>
            </w:r>
          </w:p>
          <w:p w:rsidR="008442EC" w:rsidRPr="005577B1" w:rsidRDefault="008442EC" w:rsidP="00EF43C9">
            <w:pPr>
              <w:jc w:val="both"/>
              <w:rPr>
                <w:rFonts w:eastAsia="Calibri"/>
                <w:sz w:val="20"/>
                <w:lang w:val="fr-CA"/>
              </w:rPr>
            </w:pPr>
            <w:r w:rsidRPr="005577B1">
              <w:rPr>
                <w:rFonts w:eastAsia="Calibri"/>
                <w:sz w:val="20"/>
                <w:lang w:val="fr-CA"/>
              </w:rPr>
              <w:t>(Les juges Morin, Vézina et Bouchard)</w:t>
            </w:r>
          </w:p>
          <w:p w:rsidR="008442EC" w:rsidRPr="005577B1" w:rsidRDefault="008442EC" w:rsidP="00EF43C9">
            <w:pPr>
              <w:jc w:val="both"/>
              <w:rPr>
                <w:rFonts w:eastAsia="Calibri"/>
                <w:sz w:val="20"/>
                <w:lang w:val="fr-CA"/>
              </w:rPr>
            </w:pPr>
            <w:r w:rsidRPr="005577B1">
              <w:rPr>
                <w:rFonts w:eastAsia="Calibri"/>
                <w:sz w:val="20"/>
                <w:lang w:val="fr-CA"/>
              </w:rPr>
              <w:t>Référence neutre : 2010 QCCA 1593</w:t>
            </w:r>
          </w:p>
          <w:p w:rsidR="008442EC" w:rsidRPr="005577B1" w:rsidRDefault="008442EC" w:rsidP="00EF43C9">
            <w:pPr>
              <w:jc w:val="both"/>
              <w:rPr>
                <w:rFonts w:eastAsia="Calibri"/>
                <w:sz w:val="20"/>
                <w:lang w:val="fr-FR"/>
              </w:rPr>
            </w:pPr>
          </w:p>
        </w:tc>
        <w:tc>
          <w:tcPr>
            <w:tcW w:w="243" w:type="pct"/>
          </w:tcPr>
          <w:p w:rsidR="008442EC" w:rsidRPr="005577B1" w:rsidRDefault="008442EC" w:rsidP="00EF43C9">
            <w:pPr>
              <w:jc w:val="both"/>
              <w:rPr>
                <w:rFonts w:eastAsia="Calibri"/>
                <w:sz w:val="20"/>
                <w:lang w:val="fr-FR"/>
              </w:rPr>
            </w:pPr>
          </w:p>
        </w:tc>
        <w:tc>
          <w:tcPr>
            <w:tcW w:w="2330" w:type="pct"/>
          </w:tcPr>
          <w:p w:rsidR="008442EC" w:rsidRPr="005577B1" w:rsidRDefault="008442EC" w:rsidP="00EF43C9">
            <w:pPr>
              <w:jc w:val="both"/>
              <w:rPr>
                <w:rFonts w:eastAsia="Calibri"/>
                <w:sz w:val="20"/>
                <w:lang w:val="fr-CA"/>
              </w:rPr>
            </w:pPr>
            <w:r w:rsidRPr="005577B1">
              <w:rPr>
                <w:rFonts w:eastAsia="Calibri"/>
                <w:sz w:val="20"/>
                <w:lang w:val="fr-CA"/>
              </w:rPr>
              <w:t>Appel accueilli; ordonnance de « dommages liquidés » de la Régie annulée.</w:t>
            </w:r>
          </w:p>
        </w:tc>
      </w:tr>
      <w:tr w:rsidR="008442EC" w:rsidRPr="00850008" w:rsidTr="00F670F0">
        <w:trPr>
          <w:cantSplit/>
        </w:trPr>
        <w:tc>
          <w:tcPr>
            <w:tcW w:w="2427" w:type="pct"/>
          </w:tcPr>
          <w:p w:rsidR="008442EC" w:rsidRPr="005577B1" w:rsidRDefault="008442EC" w:rsidP="00EF43C9">
            <w:pPr>
              <w:jc w:val="both"/>
              <w:rPr>
                <w:rFonts w:eastAsia="Calibri"/>
                <w:sz w:val="20"/>
                <w:lang w:val="fr-CA"/>
              </w:rPr>
            </w:pPr>
            <w:r w:rsidRPr="005577B1">
              <w:rPr>
                <w:rFonts w:eastAsia="Calibri"/>
                <w:sz w:val="20"/>
                <w:lang w:val="fr-CA"/>
              </w:rPr>
              <w:t>Le 12 octobre 2010</w:t>
            </w:r>
          </w:p>
          <w:p w:rsidR="008442EC" w:rsidRPr="005577B1" w:rsidRDefault="008442EC" w:rsidP="00EF43C9">
            <w:pPr>
              <w:jc w:val="both"/>
              <w:rPr>
                <w:rFonts w:eastAsia="Calibri"/>
                <w:sz w:val="20"/>
                <w:lang w:val="fr-FR"/>
              </w:rPr>
            </w:pPr>
            <w:r w:rsidRPr="005577B1">
              <w:rPr>
                <w:rFonts w:eastAsia="Calibri"/>
                <w:sz w:val="20"/>
                <w:lang w:val="fr-CA"/>
              </w:rPr>
              <w:t>Cour suprême du Canada</w:t>
            </w:r>
          </w:p>
        </w:tc>
        <w:tc>
          <w:tcPr>
            <w:tcW w:w="243" w:type="pct"/>
          </w:tcPr>
          <w:p w:rsidR="008442EC" w:rsidRPr="005577B1" w:rsidRDefault="008442EC" w:rsidP="00EF43C9">
            <w:pPr>
              <w:jc w:val="both"/>
              <w:rPr>
                <w:rFonts w:eastAsia="Calibri"/>
                <w:sz w:val="20"/>
                <w:lang w:val="fr-FR"/>
              </w:rPr>
            </w:pPr>
          </w:p>
        </w:tc>
        <w:tc>
          <w:tcPr>
            <w:tcW w:w="2330" w:type="pct"/>
          </w:tcPr>
          <w:p w:rsidR="008442EC" w:rsidRPr="005577B1" w:rsidRDefault="008442EC" w:rsidP="00EF43C9">
            <w:pPr>
              <w:jc w:val="both"/>
              <w:rPr>
                <w:rFonts w:eastAsia="Calibri"/>
                <w:sz w:val="20"/>
                <w:lang w:val="fr-CA"/>
              </w:rPr>
            </w:pPr>
            <w:r w:rsidRPr="005577B1">
              <w:rPr>
                <w:rFonts w:eastAsia="Calibri"/>
                <w:sz w:val="20"/>
                <w:lang w:val="fr-CA"/>
              </w:rPr>
              <w:t>Dépôt de la demande d'autorisation d'appel et de la requête pour en accélérer le traitement.</w:t>
            </w:r>
          </w:p>
        </w:tc>
      </w:tr>
    </w:tbl>
    <w:p w:rsidR="0026524B" w:rsidRPr="008442EC" w:rsidRDefault="0026524B" w:rsidP="0026524B">
      <w:pPr>
        <w:rPr>
          <w:sz w:val="20"/>
          <w:szCs w:val="20"/>
          <w:lang w:val="fr-CA"/>
        </w:rPr>
      </w:pPr>
    </w:p>
    <w:p w:rsidR="0026524B" w:rsidRDefault="00D56013" w:rsidP="0026524B">
      <w:pPr>
        <w:rPr>
          <w:sz w:val="20"/>
          <w:szCs w:val="20"/>
          <w:lang w:val="fr-CA"/>
        </w:rPr>
      </w:pPr>
      <w:r w:rsidRPr="00D56013">
        <w:rPr>
          <w:sz w:val="20"/>
          <w:szCs w:val="20"/>
          <w:lang w:val="fr-CA"/>
        </w:rPr>
        <w:pict>
          <v:rect id="_x0000_i1089" style="width:2in;height:1pt" o:hrpct="0" o:hralign="center" o:hrstd="t" o:hrnoshade="t" o:hr="t" fillcolor="black [3213]" stroked="f"/>
        </w:pict>
      </w:r>
    </w:p>
    <w:p w:rsidR="0026524B" w:rsidRDefault="0026524B" w:rsidP="008D292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F670F0" w:rsidRPr="00F670F0" w:rsidTr="00473DF7">
        <w:trPr>
          <w:cantSplit/>
        </w:trPr>
        <w:tc>
          <w:tcPr>
            <w:tcW w:w="1458" w:type="dxa"/>
          </w:tcPr>
          <w:p w:rsidR="00F670F0" w:rsidRPr="00F670F0" w:rsidRDefault="00F670F0" w:rsidP="00473DF7">
            <w:pPr>
              <w:rPr>
                <w:sz w:val="20"/>
                <w:szCs w:val="20"/>
              </w:rPr>
            </w:pPr>
            <w:r w:rsidRPr="00F670F0">
              <w:rPr>
                <w:rStyle w:val="SCCFileNumberChar"/>
                <w:sz w:val="20"/>
                <w:szCs w:val="20"/>
              </w:rPr>
              <w:t>33930</w:t>
            </w:r>
          </w:p>
          <w:p w:rsidR="00F670F0" w:rsidRPr="00F670F0" w:rsidRDefault="00F670F0" w:rsidP="00473DF7">
            <w:pPr>
              <w:rPr>
                <w:b/>
                <w:sz w:val="20"/>
                <w:szCs w:val="20"/>
                <w:lang w:val="fr-CA"/>
              </w:rPr>
            </w:pPr>
          </w:p>
        </w:tc>
        <w:tc>
          <w:tcPr>
            <w:tcW w:w="8118" w:type="dxa"/>
          </w:tcPr>
          <w:p w:rsidR="00F670F0" w:rsidRPr="00F670F0" w:rsidRDefault="00F670F0" w:rsidP="00473DF7">
            <w:pPr>
              <w:rPr>
                <w:sz w:val="20"/>
                <w:szCs w:val="20"/>
              </w:rPr>
            </w:pPr>
            <w:r w:rsidRPr="00F670F0">
              <w:rPr>
                <w:rStyle w:val="SCCLsocChar"/>
                <w:sz w:val="20"/>
                <w:szCs w:val="20"/>
                <w:lang w:val="en-CA"/>
              </w:rPr>
              <w:t>Her Majesty the Queen v. E.M.W.</w:t>
            </w:r>
            <w:r w:rsidRPr="00F670F0">
              <w:rPr>
                <w:sz w:val="20"/>
                <w:szCs w:val="20"/>
              </w:rPr>
              <w:t xml:space="preserve"> (N.S.) (Criminal) (As of Right)</w:t>
            </w:r>
          </w:p>
          <w:p w:rsidR="00F670F0" w:rsidRPr="00F670F0" w:rsidRDefault="00F670F0" w:rsidP="00473DF7">
            <w:pPr>
              <w:rPr>
                <w:sz w:val="20"/>
                <w:szCs w:val="20"/>
              </w:rPr>
            </w:pPr>
          </w:p>
        </w:tc>
      </w:tr>
      <w:tr w:rsidR="00F670F0" w:rsidRPr="00F670F0" w:rsidTr="00473DF7">
        <w:trPr>
          <w:cantSplit/>
        </w:trPr>
        <w:tc>
          <w:tcPr>
            <w:tcW w:w="1458" w:type="dxa"/>
          </w:tcPr>
          <w:p w:rsidR="00F670F0" w:rsidRPr="00F670F0" w:rsidRDefault="00F670F0" w:rsidP="00473DF7">
            <w:pPr>
              <w:rPr>
                <w:sz w:val="20"/>
                <w:szCs w:val="20"/>
              </w:rPr>
            </w:pPr>
            <w:r w:rsidRPr="00F670F0">
              <w:rPr>
                <w:sz w:val="20"/>
                <w:szCs w:val="20"/>
              </w:rPr>
              <w:t>Coram :</w:t>
            </w:r>
          </w:p>
        </w:tc>
        <w:tc>
          <w:tcPr>
            <w:tcW w:w="8118" w:type="dxa"/>
          </w:tcPr>
          <w:p w:rsidR="00F670F0" w:rsidRPr="00F670F0" w:rsidRDefault="00F670F0" w:rsidP="00473DF7">
            <w:pPr>
              <w:rPr>
                <w:sz w:val="20"/>
                <w:szCs w:val="20"/>
              </w:rPr>
            </w:pPr>
            <w:r w:rsidRPr="00F670F0">
              <w:rPr>
                <w:rStyle w:val="SCCCoramChar"/>
                <w:sz w:val="20"/>
                <w:szCs w:val="20"/>
                <w:lang w:val="en-CA"/>
              </w:rPr>
              <w:t>Binnie, Fish and Rothstein JJ.</w:t>
            </w:r>
          </w:p>
          <w:p w:rsidR="00F670F0" w:rsidRPr="00F670F0" w:rsidRDefault="00F670F0" w:rsidP="00473DF7">
            <w:pPr>
              <w:rPr>
                <w:sz w:val="20"/>
                <w:szCs w:val="20"/>
                <w:u w:val="single"/>
              </w:rPr>
            </w:pPr>
          </w:p>
        </w:tc>
      </w:tr>
      <w:tr w:rsidR="00F670F0" w:rsidRPr="00850008" w:rsidTr="00473DF7">
        <w:trPr>
          <w:cantSplit/>
        </w:trPr>
        <w:tc>
          <w:tcPr>
            <w:tcW w:w="9576" w:type="dxa"/>
            <w:gridSpan w:val="2"/>
          </w:tcPr>
          <w:p w:rsidR="00F670F0" w:rsidRPr="00F670F0" w:rsidRDefault="00F670F0" w:rsidP="00473DF7">
            <w:pPr>
              <w:pStyle w:val="SCCShortJudgment"/>
              <w:rPr>
                <w:szCs w:val="20"/>
              </w:rPr>
            </w:pPr>
            <w:r w:rsidRPr="00F670F0">
              <w:rPr>
                <w:szCs w:val="20"/>
              </w:rPr>
              <w:t>The motion to expedite the application for leave to appeal is granted. The application for leave to appeal from the judgment of the Nova Scotia Court of Appeal, Number CAC 321590, 2010 NSCA 73, dated October 8, 2010, is dismissed as unnecessary, without costs. The issues raised in the application for leave to appeal are already before the Court by way of appeal as of right on behalf of Her Majesty the Queen. Her Majesty the Queen is granted 30 days from the date of issue of this order denying leave to appeal to file her factum on appeal.</w:t>
            </w:r>
          </w:p>
          <w:p w:rsidR="00F670F0" w:rsidRPr="00F670F0" w:rsidRDefault="00F670F0" w:rsidP="00473DF7">
            <w:pPr>
              <w:pStyle w:val="SCCShortJudgment"/>
              <w:ind w:firstLine="0"/>
              <w:rPr>
                <w:szCs w:val="20"/>
              </w:rPr>
            </w:pPr>
          </w:p>
          <w:p w:rsidR="00F670F0" w:rsidRPr="00F670F0" w:rsidRDefault="00F670F0" w:rsidP="00F514EA">
            <w:pPr>
              <w:pStyle w:val="SCCShortJudgment"/>
              <w:rPr>
                <w:szCs w:val="20"/>
                <w:lang w:val="fr-CA"/>
              </w:rPr>
            </w:pPr>
            <w:r w:rsidRPr="00F670F0">
              <w:rPr>
                <w:szCs w:val="20"/>
                <w:lang w:val="fr-CA"/>
              </w:rPr>
              <w:t>La requête visant le traitement accéléré de la demande d’autorisation d’appel est accordée.  La demande d’autorisation d’appel de l’arrêt de la Cour d’appel de la Nouvelle-Écosse, numéro CAC 321590, 2010 NSCA 73, daté du 8 octobre 2010, est rejetée sans dépens, au motif qu’elle est inutile. La Cour est déjà saisie, par l’appel de plein droit formé au nom de Sa Majesté la Reine, des questions soulevées dans la demande d’autorisation d’appel. Sa Majesté dispose d’une période de 30 jours à compter de la date de délivrance de la présente ordonnance rejetant la demande d’autorisation d’appel pour déposer son mémoire d’appel.</w:t>
            </w:r>
          </w:p>
        </w:tc>
      </w:tr>
    </w:tbl>
    <w:p w:rsidR="00F670F0" w:rsidRPr="00F670F0" w:rsidRDefault="00F670F0" w:rsidP="008442EC">
      <w:pPr>
        <w:rPr>
          <w:sz w:val="20"/>
          <w:szCs w:val="20"/>
          <w:lang w:val="fr-CA"/>
        </w:rPr>
      </w:pPr>
    </w:p>
    <w:p w:rsidR="008442EC" w:rsidRPr="00E01ABF" w:rsidRDefault="008442EC" w:rsidP="008442EC">
      <w:pPr>
        <w:rPr>
          <w:sz w:val="20"/>
          <w:szCs w:val="20"/>
          <w:u w:val="single"/>
        </w:rPr>
      </w:pPr>
      <w:r w:rsidRPr="00E01ABF">
        <w:rPr>
          <w:sz w:val="20"/>
          <w:szCs w:val="20"/>
          <w:u w:val="single"/>
        </w:rPr>
        <w:t>CASE SUMMARY</w:t>
      </w:r>
    </w:p>
    <w:p w:rsidR="008442EC" w:rsidRDefault="008442EC" w:rsidP="008442E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6A6D7D" w:rsidRPr="001B0500" w:rsidTr="00EF43C9">
        <w:tc>
          <w:tcPr>
            <w:tcW w:w="5000" w:type="pct"/>
            <w:gridSpan w:val="3"/>
          </w:tcPr>
          <w:p w:rsidR="006A6D7D" w:rsidRPr="001B0500" w:rsidRDefault="006A6D7D" w:rsidP="00EF43C9">
            <w:pPr>
              <w:jc w:val="both"/>
              <w:rPr>
                <w:rFonts w:eastAsia="Calibri"/>
                <w:smallCaps/>
                <w:sz w:val="20"/>
              </w:rPr>
            </w:pPr>
            <w:r w:rsidRPr="001B0500">
              <w:rPr>
                <w:rFonts w:eastAsia="Calibri"/>
                <w:smallCaps/>
                <w:sz w:val="20"/>
              </w:rPr>
              <w:t>(Publication ban on party)</w:t>
            </w:r>
          </w:p>
          <w:p w:rsidR="006A6D7D" w:rsidRPr="001B0500" w:rsidRDefault="006A6D7D" w:rsidP="00EF43C9">
            <w:pPr>
              <w:jc w:val="both"/>
              <w:rPr>
                <w:rFonts w:eastAsia="Calibri"/>
                <w:sz w:val="20"/>
              </w:rPr>
            </w:pPr>
          </w:p>
        </w:tc>
      </w:tr>
      <w:tr w:rsidR="006A6D7D" w:rsidRPr="001B0500" w:rsidTr="00EF43C9">
        <w:tc>
          <w:tcPr>
            <w:tcW w:w="5000" w:type="pct"/>
            <w:gridSpan w:val="3"/>
          </w:tcPr>
          <w:p w:rsidR="006A6D7D" w:rsidRDefault="006A6D7D" w:rsidP="00EF43C9">
            <w:pPr>
              <w:jc w:val="both"/>
              <w:rPr>
                <w:rFonts w:eastAsia="Calibri"/>
                <w:sz w:val="20"/>
              </w:rPr>
            </w:pPr>
            <w:r w:rsidRPr="001B0500">
              <w:rPr>
                <w:rFonts w:eastAsia="Calibri"/>
                <w:sz w:val="20"/>
              </w:rPr>
              <w:t xml:space="preserve">Criminal law – Trial – Evidence – Admissibility – Application of </w:t>
            </w:r>
            <w:r w:rsidRPr="001B0500">
              <w:rPr>
                <w:rFonts w:eastAsia="Calibri"/>
                <w:i/>
                <w:sz w:val="20"/>
              </w:rPr>
              <w:t>R. v. W.(D.)</w:t>
            </w:r>
            <w:r w:rsidRPr="001B0500">
              <w:rPr>
                <w:rFonts w:eastAsia="Calibri"/>
                <w:sz w:val="20"/>
              </w:rPr>
              <w:t>, [1991] 1 S.C.R. 742 – Appeals – Supreme Court of Canada – Appeals as of right – Dissent on question of law – Miscarriage of justice – Whether application for leave to appeal necessary – Whether the majority of the Court of appeal erred in holding that a miscarriage of justice occurred because the conduct of the trial and the manner in which the evidence was admitted was unfairly prejudicial to the respondent.</w:t>
            </w:r>
          </w:p>
          <w:p w:rsidR="005617B9" w:rsidRPr="001B0500" w:rsidRDefault="005617B9" w:rsidP="00EF43C9">
            <w:pPr>
              <w:jc w:val="both"/>
              <w:rPr>
                <w:rFonts w:eastAsia="Calibri"/>
                <w:sz w:val="20"/>
              </w:rPr>
            </w:pPr>
          </w:p>
        </w:tc>
      </w:tr>
      <w:tr w:rsidR="006A6D7D" w:rsidRPr="001B0500" w:rsidTr="00EF43C9">
        <w:tc>
          <w:tcPr>
            <w:tcW w:w="5000" w:type="pct"/>
            <w:gridSpan w:val="3"/>
          </w:tcPr>
          <w:p w:rsidR="006A6D7D" w:rsidRPr="001B0500" w:rsidRDefault="006A6D7D" w:rsidP="00EF43C9">
            <w:pPr>
              <w:jc w:val="both"/>
              <w:rPr>
                <w:rFonts w:eastAsia="Calibri"/>
                <w:sz w:val="20"/>
              </w:rPr>
            </w:pPr>
            <w:r w:rsidRPr="001B0500">
              <w:rPr>
                <w:rFonts w:eastAsia="Calibri"/>
                <w:sz w:val="20"/>
              </w:rPr>
              <w:t xml:space="preserve">The respondent E.M.W. was convicted of sexually assaulting his daughter and he was sentenced to two years’ imprisonment.  He appealed his conviction on two grounds.  First, he argued that the trial judge erred in evaluating the credibility, reliability and sufficiency of his testimony.  Second, he argued that the trial judge erred in his application of the standard of the Crown’s burden of proof, particularly in relation to the evaluation of his testimony and other evidence.  Applying s. 686(1)(a)(iii) of the </w:t>
            </w:r>
            <w:r w:rsidRPr="001B0500">
              <w:rPr>
                <w:rFonts w:eastAsia="Calibri"/>
                <w:i/>
                <w:sz w:val="20"/>
              </w:rPr>
              <w:t>Criminal Code</w:t>
            </w:r>
            <w:r w:rsidRPr="001B0500">
              <w:rPr>
                <w:rFonts w:eastAsia="Calibri"/>
                <w:sz w:val="20"/>
              </w:rPr>
              <w:t xml:space="preserve">, the majority of the Court of Appeal allowed the appeal, quashed the conviction and ordered a new trial.  In the majority’s view, the conduct of the trial and the manner in which the evidence was elicited was unfairly prejudicial to the respondent and amounted to a miscarriage of justice.  Fichaud J.A., dissenting, would have dismissed the appeal.  He found that the issues of inadmissibility of evidence and miscarriage of justice were not raised by the respondent and were therefore not before the court. He did, however, address the grounds of appeal formulated by the respondent.  He found that the trial judge made no error in his articulation or application of the </w:t>
            </w:r>
            <w:r w:rsidRPr="001B0500">
              <w:rPr>
                <w:rFonts w:eastAsia="Calibri"/>
                <w:i/>
                <w:sz w:val="20"/>
              </w:rPr>
              <w:t>R. v. W.(D.)</w:t>
            </w:r>
            <w:r w:rsidRPr="001B0500">
              <w:rPr>
                <w:rFonts w:eastAsia="Calibri"/>
                <w:sz w:val="20"/>
              </w:rPr>
              <w:t xml:space="preserve"> principles or in his assessment of the evidence, its reliability or the witnesses’ credibility.  In his view, the trial displayed “a fizzled defence theory, not a miscarriage of justice”.</w:t>
            </w:r>
          </w:p>
          <w:p w:rsidR="006A6D7D" w:rsidRPr="001B0500" w:rsidRDefault="006A6D7D" w:rsidP="00EF43C9">
            <w:pPr>
              <w:jc w:val="both"/>
              <w:rPr>
                <w:rFonts w:eastAsia="Calibri"/>
                <w:sz w:val="20"/>
              </w:rPr>
            </w:pPr>
          </w:p>
        </w:tc>
      </w:tr>
      <w:tr w:rsidR="006A6D7D" w:rsidRPr="001B0500" w:rsidTr="00EF43C9">
        <w:tc>
          <w:tcPr>
            <w:tcW w:w="2427" w:type="pct"/>
          </w:tcPr>
          <w:p w:rsidR="006A6D7D" w:rsidRPr="001B0500" w:rsidRDefault="006A6D7D" w:rsidP="006A6D7D">
            <w:pPr>
              <w:jc w:val="both"/>
              <w:rPr>
                <w:rFonts w:eastAsia="Calibri"/>
                <w:sz w:val="20"/>
              </w:rPr>
            </w:pPr>
            <w:r w:rsidRPr="001B0500">
              <w:rPr>
                <w:rFonts w:eastAsia="Calibri"/>
                <w:sz w:val="20"/>
              </w:rPr>
              <w:lastRenderedPageBreak/>
              <w:t>July 13, 2009</w:t>
            </w:r>
          </w:p>
          <w:p w:rsidR="006A6D7D" w:rsidRPr="001B0500" w:rsidRDefault="006A6D7D" w:rsidP="006A6D7D">
            <w:pPr>
              <w:jc w:val="both"/>
              <w:rPr>
                <w:rFonts w:eastAsia="Calibri"/>
                <w:sz w:val="20"/>
              </w:rPr>
            </w:pPr>
            <w:r w:rsidRPr="001B0500">
              <w:rPr>
                <w:rFonts w:eastAsia="Calibri"/>
                <w:sz w:val="20"/>
              </w:rPr>
              <w:t>Provincial Court of Nova Scotia</w:t>
            </w:r>
          </w:p>
          <w:p w:rsidR="006A6D7D" w:rsidRPr="001B0500" w:rsidRDefault="006A6D7D" w:rsidP="006A6D7D">
            <w:pPr>
              <w:jc w:val="both"/>
              <w:rPr>
                <w:rFonts w:eastAsia="Calibri"/>
                <w:sz w:val="20"/>
              </w:rPr>
            </w:pPr>
            <w:r w:rsidRPr="001B0500">
              <w:rPr>
                <w:rFonts w:eastAsia="Calibri"/>
                <w:sz w:val="20"/>
              </w:rPr>
              <w:t>(Campbell J.)</w:t>
            </w:r>
          </w:p>
          <w:p w:rsidR="006A6D7D" w:rsidRPr="001B0500" w:rsidRDefault="006A6D7D" w:rsidP="0034248B">
            <w:pPr>
              <w:jc w:val="both"/>
              <w:rPr>
                <w:rFonts w:eastAsia="Calibri"/>
                <w:sz w:val="20"/>
              </w:rPr>
            </w:pPr>
            <w:r w:rsidRPr="001B0500">
              <w:rPr>
                <w:rFonts w:eastAsia="Calibri"/>
                <w:sz w:val="20"/>
              </w:rPr>
              <w:t>2009 NSPC 33</w:t>
            </w:r>
          </w:p>
        </w:tc>
        <w:tc>
          <w:tcPr>
            <w:tcW w:w="243" w:type="pct"/>
          </w:tcPr>
          <w:p w:rsidR="006A6D7D" w:rsidRDefault="006A6D7D" w:rsidP="00EF43C9">
            <w:pPr>
              <w:jc w:val="both"/>
              <w:rPr>
                <w:rFonts w:eastAsia="Calibri"/>
                <w:sz w:val="20"/>
              </w:rPr>
            </w:pPr>
          </w:p>
          <w:p w:rsidR="0034248B" w:rsidRDefault="0034248B" w:rsidP="00EF43C9">
            <w:pPr>
              <w:jc w:val="both"/>
              <w:rPr>
                <w:rFonts w:eastAsia="Calibri"/>
                <w:sz w:val="20"/>
              </w:rPr>
            </w:pPr>
          </w:p>
          <w:p w:rsidR="0034248B" w:rsidRDefault="0034248B" w:rsidP="00EF43C9">
            <w:pPr>
              <w:jc w:val="both"/>
              <w:rPr>
                <w:rFonts w:eastAsia="Calibri"/>
                <w:sz w:val="20"/>
              </w:rPr>
            </w:pPr>
          </w:p>
          <w:p w:rsidR="0034248B" w:rsidRDefault="0034248B" w:rsidP="00EF43C9">
            <w:pPr>
              <w:jc w:val="both"/>
              <w:rPr>
                <w:rFonts w:eastAsia="Calibri"/>
                <w:sz w:val="20"/>
              </w:rPr>
            </w:pPr>
          </w:p>
          <w:p w:rsidR="0034248B" w:rsidRPr="001B0500" w:rsidRDefault="0034248B" w:rsidP="00EF43C9">
            <w:pPr>
              <w:jc w:val="both"/>
              <w:rPr>
                <w:rFonts w:eastAsia="Calibri"/>
                <w:sz w:val="20"/>
              </w:rPr>
            </w:pPr>
          </w:p>
        </w:tc>
        <w:tc>
          <w:tcPr>
            <w:tcW w:w="2330" w:type="pct"/>
          </w:tcPr>
          <w:p w:rsidR="006A6D7D" w:rsidRPr="001B0500" w:rsidRDefault="006A6D7D" w:rsidP="006A6D7D">
            <w:pPr>
              <w:jc w:val="both"/>
              <w:rPr>
                <w:rFonts w:eastAsia="Calibri"/>
                <w:sz w:val="20"/>
              </w:rPr>
            </w:pPr>
            <w:r w:rsidRPr="001B0500">
              <w:rPr>
                <w:rFonts w:eastAsia="Calibri"/>
                <w:sz w:val="20"/>
              </w:rPr>
              <w:t>Respondent convicted of sexual assault</w:t>
            </w:r>
          </w:p>
          <w:p w:rsidR="006A6D7D" w:rsidRPr="001B0500" w:rsidRDefault="006A6D7D" w:rsidP="00EF43C9">
            <w:pPr>
              <w:jc w:val="both"/>
              <w:rPr>
                <w:rFonts w:eastAsia="Calibri"/>
                <w:sz w:val="20"/>
              </w:rPr>
            </w:pPr>
          </w:p>
        </w:tc>
      </w:tr>
      <w:tr w:rsidR="006A6D7D" w:rsidRPr="001B0500" w:rsidTr="00EF43C9">
        <w:tc>
          <w:tcPr>
            <w:tcW w:w="2427" w:type="pct"/>
          </w:tcPr>
          <w:p w:rsidR="006A6D7D" w:rsidRPr="001B0500" w:rsidRDefault="006A6D7D" w:rsidP="006A6D7D">
            <w:pPr>
              <w:jc w:val="both"/>
              <w:rPr>
                <w:rFonts w:eastAsia="Calibri"/>
                <w:sz w:val="20"/>
              </w:rPr>
            </w:pPr>
            <w:r w:rsidRPr="001B0500">
              <w:rPr>
                <w:rFonts w:eastAsia="Calibri"/>
                <w:sz w:val="20"/>
              </w:rPr>
              <w:t>October 8, 2010</w:t>
            </w:r>
          </w:p>
          <w:p w:rsidR="006A6D7D" w:rsidRPr="001B0500" w:rsidRDefault="006A6D7D" w:rsidP="006A6D7D">
            <w:pPr>
              <w:jc w:val="both"/>
              <w:rPr>
                <w:rFonts w:eastAsia="Calibri"/>
                <w:sz w:val="20"/>
              </w:rPr>
            </w:pPr>
            <w:r w:rsidRPr="001B0500">
              <w:rPr>
                <w:rFonts w:eastAsia="Calibri"/>
                <w:sz w:val="20"/>
              </w:rPr>
              <w:t>Nova Scotia Court of Appeal</w:t>
            </w:r>
          </w:p>
          <w:p w:rsidR="006A6D7D" w:rsidRPr="001B0500" w:rsidRDefault="006A6D7D" w:rsidP="006A6D7D">
            <w:pPr>
              <w:jc w:val="both"/>
              <w:rPr>
                <w:rFonts w:eastAsia="Calibri"/>
                <w:sz w:val="20"/>
              </w:rPr>
            </w:pPr>
            <w:r w:rsidRPr="001B0500">
              <w:rPr>
                <w:rFonts w:eastAsia="Calibri"/>
                <w:sz w:val="20"/>
              </w:rPr>
              <w:t>(Fichaud [dissenting], Beveridge and Farrar JJ.A.)</w:t>
            </w:r>
          </w:p>
          <w:p w:rsidR="006A6D7D" w:rsidRPr="001B0500" w:rsidRDefault="006A6D7D" w:rsidP="0034248B">
            <w:pPr>
              <w:jc w:val="both"/>
              <w:rPr>
                <w:rFonts w:eastAsia="Calibri"/>
                <w:sz w:val="20"/>
              </w:rPr>
            </w:pPr>
            <w:r w:rsidRPr="001B0500">
              <w:rPr>
                <w:rFonts w:eastAsia="Calibri"/>
                <w:sz w:val="20"/>
              </w:rPr>
              <w:t>2010 NSCA 73</w:t>
            </w:r>
          </w:p>
        </w:tc>
        <w:tc>
          <w:tcPr>
            <w:tcW w:w="243" w:type="pct"/>
          </w:tcPr>
          <w:p w:rsidR="006A6D7D" w:rsidRDefault="006A6D7D" w:rsidP="00EF43C9">
            <w:pPr>
              <w:jc w:val="both"/>
              <w:rPr>
                <w:rFonts w:eastAsia="Calibri"/>
                <w:sz w:val="20"/>
              </w:rPr>
            </w:pPr>
          </w:p>
          <w:p w:rsidR="0034248B" w:rsidRDefault="0034248B" w:rsidP="00EF43C9">
            <w:pPr>
              <w:jc w:val="both"/>
              <w:rPr>
                <w:rFonts w:eastAsia="Calibri"/>
                <w:sz w:val="20"/>
              </w:rPr>
            </w:pPr>
          </w:p>
          <w:p w:rsidR="0034248B" w:rsidRDefault="0034248B" w:rsidP="00EF43C9">
            <w:pPr>
              <w:jc w:val="both"/>
              <w:rPr>
                <w:rFonts w:eastAsia="Calibri"/>
                <w:sz w:val="20"/>
              </w:rPr>
            </w:pPr>
          </w:p>
          <w:p w:rsidR="0034248B" w:rsidRDefault="0034248B" w:rsidP="00EF43C9">
            <w:pPr>
              <w:jc w:val="both"/>
              <w:rPr>
                <w:rFonts w:eastAsia="Calibri"/>
                <w:sz w:val="20"/>
              </w:rPr>
            </w:pPr>
          </w:p>
          <w:p w:rsidR="0034248B" w:rsidRPr="001B0500" w:rsidRDefault="0034248B" w:rsidP="00EF43C9">
            <w:pPr>
              <w:jc w:val="both"/>
              <w:rPr>
                <w:rFonts w:eastAsia="Calibri"/>
                <w:sz w:val="20"/>
              </w:rPr>
            </w:pPr>
          </w:p>
        </w:tc>
        <w:tc>
          <w:tcPr>
            <w:tcW w:w="2330" w:type="pct"/>
          </w:tcPr>
          <w:p w:rsidR="006A6D7D" w:rsidRPr="001B0500" w:rsidRDefault="006A6D7D" w:rsidP="006A6D7D">
            <w:pPr>
              <w:jc w:val="both"/>
              <w:rPr>
                <w:rFonts w:eastAsia="Calibri"/>
                <w:sz w:val="20"/>
              </w:rPr>
            </w:pPr>
            <w:r w:rsidRPr="001B0500">
              <w:rPr>
                <w:rFonts w:eastAsia="Calibri"/>
                <w:sz w:val="20"/>
              </w:rPr>
              <w:t>Appeal allowed and new trial ordered</w:t>
            </w:r>
          </w:p>
          <w:p w:rsidR="006A6D7D" w:rsidRPr="001B0500" w:rsidRDefault="006A6D7D" w:rsidP="00EF43C9">
            <w:pPr>
              <w:jc w:val="both"/>
              <w:rPr>
                <w:rFonts w:eastAsia="Calibri"/>
                <w:sz w:val="20"/>
              </w:rPr>
            </w:pPr>
          </w:p>
        </w:tc>
      </w:tr>
      <w:tr w:rsidR="006A6D7D" w:rsidRPr="001B0500" w:rsidTr="00EF43C9">
        <w:tc>
          <w:tcPr>
            <w:tcW w:w="2427" w:type="pct"/>
          </w:tcPr>
          <w:p w:rsidR="006A6D7D" w:rsidRPr="001B0500" w:rsidRDefault="006A6D7D" w:rsidP="006A6D7D">
            <w:pPr>
              <w:jc w:val="both"/>
              <w:rPr>
                <w:rFonts w:eastAsia="Calibri"/>
                <w:sz w:val="20"/>
              </w:rPr>
            </w:pPr>
            <w:r w:rsidRPr="001B0500">
              <w:rPr>
                <w:rFonts w:eastAsia="Calibri"/>
                <w:sz w:val="20"/>
              </w:rPr>
              <w:t>November 1, 2010</w:t>
            </w:r>
          </w:p>
          <w:p w:rsidR="006A6D7D" w:rsidRPr="001B0500" w:rsidRDefault="006A6D7D" w:rsidP="0034248B">
            <w:pPr>
              <w:jc w:val="both"/>
              <w:rPr>
                <w:rFonts w:eastAsia="Calibri"/>
                <w:sz w:val="20"/>
              </w:rPr>
            </w:pPr>
            <w:r w:rsidRPr="001B0500">
              <w:rPr>
                <w:rFonts w:eastAsia="Calibri"/>
                <w:sz w:val="20"/>
              </w:rPr>
              <w:t>Supreme Court of Canada</w:t>
            </w:r>
          </w:p>
        </w:tc>
        <w:tc>
          <w:tcPr>
            <w:tcW w:w="243" w:type="pct"/>
          </w:tcPr>
          <w:p w:rsidR="006A6D7D" w:rsidRDefault="006A6D7D" w:rsidP="00EF43C9">
            <w:pPr>
              <w:jc w:val="both"/>
              <w:rPr>
                <w:rFonts w:eastAsia="Calibri"/>
                <w:sz w:val="20"/>
              </w:rPr>
            </w:pPr>
          </w:p>
          <w:p w:rsidR="0034248B" w:rsidRDefault="0034248B" w:rsidP="00EF43C9">
            <w:pPr>
              <w:jc w:val="both"/>
              <w:rPr>
                <w:rFonts w:eastAsia="Calibri"/>
                <w:sz w:val="20"/>
              </w:rPr>
            </w:pPr>
          </w:p>
          <w:p w:rsidR="0034248B" w:rsidRPr="001B0500" w:rsidRDefault="0034248B" w:rsidP="00EF43C9">
            <w:pPr>
              <w:jc w:val="both"/>
              <w:rPr>
                <w:rFonts w:eastAsia="Calibri"/>
                <w:sz w:val="20"/>
              </w:rPr>
            </w:pPr>
          </w:p>
        </w:tc>
        <w:tc>
          <w:tcPr>
            <w:tcW w:w="2330" w:type="pct"/>
          </w:tcPr>
          <w:p w:rsidR="006A6D7D" w:rsidRPr="001B0500" w:rsidRDefault="006A6D7D" w:rsidP="006A6D7D">
            <w:pPr>
              <w:jc w:val="both"/>
              <w:rPr>
                <w:rFonts w:eastAsia="Calibri"/>
                <w:sz w:val="20"/>
              </w:rPr>
            </w:pPr>
            <w:r w:rsidRPr="001B0500">
              <w:rPr>
                <w:rFonts w:eastAsia="Calibri"/>
                <w:sz w:val="20"/>
              </w:rPr>
              <w:t>Notice of appeal as of right filed</w:t>
            </w:r>
          </w:p>
          <w:p w:rsidR="006A6D7D" w:rsidRPr="001B0500" w:rsidRDefault="006A6D7D" w:rsidP="00EF43C9">
            <w:pPr>
              <w:jc w:val="both"/>
              <w:rPr>
                <w:rFonts w:eastAsia="Calibri"/>
                <w:sz w:val="20"/>
              </w:rPr>
            </w:pPr>
          </w:p>
        </w:tc>
      </w:tr>
      <w:tr w:rsidR="006A6D7D" w:rsidRPr="001B0500" w:rsidTr="00EF43C9">
        <w:tc>
          <w:tcPr>
            <w:tcW w:w="2427" w:type="pct"/>
          </w:tcPr>
          <w:p w:rsidR="006A6D7D" w:rsidRPr="001B0500" w:rsidRDefault="006A6D7D" w:rsidP="006A6D7D">
            <w:pPr>
              <w:jc w:val="both"/>
              <w:rPr>
                <w:rFonts w:eastAsia="Calibri"/>
                <w:sz w:val="20"/>
              </w:rPr>
            </w:pPr>
            <w:r w:rsidRPr="001B0500">
              <w:rPr>
                <w:rFonts w:eastAsia="Calibri"/>
                <w:sz w:val="20"/>
              </w:rPr>
              <w:t>November 17, 2010</w:t>
            </w:r>
          </w:p>
          <w:p w:rsidR="006A6D7D" w:rsidRPr="001B0500" w:rsidRDefault="006A6D7D" w:rsidP="00F670F0">
            <w:pPr>
              <w:jc w:val="both"/>
              <w:rPr>
                <w:rFonts w:eastAsia="Calibri"/>
                <w:sz w:val="20"/>
              </w:rPr>
            </w:pPr>
            <w:r w:rsidRPr="001B0500">
              <w:rPr>
                <w:rFonts w:eastAsia="Calibri"/>
                <w:sz w:val="20"/>
              </w:rPr>
              <w:t>Supreme Court of Canada</w:t>
            </w:r>
          </w:p>
        </w:tc>
        <w:tc>
          <w:tcPr>
            <w:tcW w:w="243" w:type="pct"/>
          </w:tcPr>
          <w:p w:rsidR="006A6D7D" w:rsidRPr="001B0500" w:rsidRDefault="006A6D7D" w:rsidP="00EF43C9">
            <w:pPr>
              <w:jc w:val="both"/>
              <w:rPr>
                <w:rFonts w:eastAsia="Calibri"/>
                <w:sz w:val="20"/>
              </w:rPr>
            </w:pPr>
          </w:p>
        </w:tc>
        <w:tc>
          <w:tcPr>
            <w:tcW w:w="2330" w:type="pct"/>
          </w:tcPr>
          <w:p w:rsidR="006A6D7D" w:rsidRPr="001B0500" w:rsidRDefault="006A6D7D" w:rsidP="00EF43C9">
            <w:pPr>
              <w:jc w:val="both"/>
              <w:rPr>
                <w:rFonts w:eastAsia="Calibri"/>
                <w:sz w:val="20"/>
              </w:rPr>
            </w:pPr>
            <w:r w:rsidRPr="001B0500">
              <w:rPr>
                <w:rFonts w:eastAsia="Calibri"/>
                <w:sz w:val="20"/>
              </w:rPr>
              <w:t>Motion to expedite application for leave to appeal and application for leave to appeal filed</w:t>
            </w:r>
          </w:p>
        </w:tc>
      </w:tr>
    </w:tbl>
    <w:p w:rsidR="008442EC" w:rsidRPr="00E01ABF" w:rsidRDefault="008442EC" w:rsidP="008442EC">
      <w:pPr>
        <w:rPr>
          <w:sz w:val="20"/>
          <w:szCs w:val="20"/>
        </w:rPr>
      </w:pPr>
    </w:p>
    <w:p w:rsidR="008442EC" w:rsidRDefault="00D56013" w:rsidP="008442EC">
      <w:pPr>
        <w:rPr>
          <w:sz w:val="20"/>
          <w:szCs w:val="20"/>
          <w:lang w:val="fr-CA"/>
        </w:rPr>
      </w:pPr>
      <w:r w:rsidRPr="00D56013">
        <w:rPr>
          <w:sz w:val="20"/>
          <w:szCs w:val="20"/>
          <w:lang w:val="fr-CA"/>
        </w:rPr>
        <w:pict>
          <v:rect id="_x0000_i1090" style="width:2in;height:1pt" o:hrpct="0" o:hralign="center" o:hrstd="t" o:hrnoshade="t" o:hr="t" fillcolor="black [3213]" stroked="f"/>
        </w:pict>
      </w:r>
    </w:p>
    <w:p w:rsidR="00F670F0" w:rsidRDefault="00F670F0">
      <w:pPr>
        <w:rPr>
          <w:sz w:val="20"/>
          <w:szCs w:val="20"/>
        </w:rPr>
      </w:pPr>
    </w:p>
    <w:p w:rsidR="008442EC" w:rsidRPr="00E01ABF" w:rsidRDefault="008442EC" w:rsidP="008442EC">
      <w:pPr>
        <w:rPr>
          <w:sz w:val="20"/>
          <w:szCs w:val="20"/>
          <w:u w:val="single"/>
        </w:rPr>
      </w:pPr>
      <w:r w:rsidRPr="00E01ABF">
        <w:rPr>
          <w:sz w:val="20"/>
          <w:szCs w:val="20"/>
          <w:u w:val="single"/>
        </w:rPr>
        <w:t>RÉSUMÉ DE L’AFFAIRE</w:t>
      </w:r>
    </w:p>
    <w:p w:rsidR="008442EC" w:rsidRDefault="008442EC" w:rsidP="008442EC">
      <w:pPr>
        <w:rPr>
          <w:sz w:val="20"/>
          <w:szCs w:val="20"/>
        </w:rPr>
      </w:pPr>
    </w:p>
    <w:tbl>
      <w:tblPr>
        <w:tblW w:w="4952" w:type="pct"/>
        <w:tblInd w:w="2" w:type="dxa"/>
        <w:tblLayout w:type="fixed"/>
        <w:tblCellMar>
          <w:left w:w="0" w:type="dxa"/>
          <w:bottom w:w="99" w:type="dxa"/>
          <w:right w:w="0" w:type="dxa"/>
        </w:tblCellMar>
        <w:tblLook w:val="00A0"/>
      </w:tblPr>
      <w:tblGrid>
        <w:gridCol w:w="4624"/>
        <w:gridCol w:w="463"/>
        <w:gridCol w:w="4440"/>
      </w:tblGrid>
      <w:tr w:rsidR="006A6D7D" w:rsidRPr="00850008" w:rsidTr="00EF43C9">
        <w:tc>
          <w:tcPr>
            <w:tcW w:w="5000" w:type="pct"/>
            <w:gridSpan w:val="3"/>
          </w:tcPr>
          <w:p w:rsidR="006A6D7D" w:rsidRPr="00433D05" w:rsidRDefault="006A6D7D" w:rsidP="00EF43C9">
            <w:pPr>
              <w:pStyle w:val="SCCBanSummary"/>
              <w:rPr>
                <w:sz w:val="20"/>
                <w:szCs w:val="20"/>
                <w:lang w:val="fr-CA"/>
              </w:rPr>
            </w:pPr>
            <w:r w:rsidRPr="00433D05">
              <w:rPr>
                <w:sz w:val="20"/>
                <w:szCs w:val="20"/>
                <w:lang w:val="fr-CA"/>
              </w:rPr>
              <w:t>(Ordonnance de non-publication visant une partie)</w:t>
            </w:r>
          </w:p>
          <w:p w:rsidR="006A6D7D" w:rsidRPr="00433D05" w:rsidRDefault="006A6D7D" w:rsidP="00EF43C9">
            <w:pPr>
              <w:rPr>
                <w:sz w:val="20"/>
                <w:lang w:val="fr-CA"/>
              </w:rPr>
            </w:pPr>
          </w:p>
        </w:tc>
      </w:tr>
      <w:tr w:rsidR="006A6D7D" w:rsidRPr="00850008" w:rsidTr="00EF43C9">
        <w:tc>
          <w:tcPr>
            <w:tcW w:w="5000" w:type="pct"/>
            <w:gridSpan w:val="3"/>
          </w:tcPr>
          <w:p w:rsidR="006A6D7D" w:rsidRPr="00433D05" w:rsidRDefault="006A6D7D" w:rsidP="008510D3">
            <w:pPr>
              <w:jc w:val="both"/>
              <w:rPr>
                <w:sz w:val="20"/>
                <w:lang w:val="fr-CA"/>
              </w:rPr>
            </w:pPr>
            <w:r w:rsidRPr="00433D05">
              <w:rPr>
                <w:sz w:val="20"/>
                <w:lang w:val="fr-CA"/>
              </w:rPr>
              <w:t xml:space="preserve">Droit criminel – Procès – Preuve – Admissibilité – Application de </w:t>
            </w:r>
            <w:r w:rsidRPr="00433D05">
              <w:rPr>
                <w:i/>
                <w:iCs/>
                <w:sz w:val="20"/>
                <w:lang w:val="fr-CA"/>
              </w:rPr>
              <w:t>R. c. W.(D.)</w:t>
            </w:r>
            <w:r w:rsidRPr="00433D05">
              <w:rPr>
                <w:sz w:val="20"/>
                <w:lang w:val="fr-CA"/>
              </w:rPr>
              <w:t>, [1991] 1 R.C.S. 742 – Appels – Cour suprême du Canada – Appels de plein droit – Dissidence sur une question de droit – Erreur judiciaire – Une demande d’autorisation d’appel est-elle nécessaire? – Les juges majoritaires de la Cour d’appel ont-ils eu tort de conclure qu’une erreur judiciaire avait eu lieu parce que l’instruction du procès et la manière dont la preuve avait été admise étaient injustement préjudiciables pour l’intimé?</w:t>
            </w:r>
          </w:p>
        </w:tc>
      </w:tr>
      <w:tr w:rsidR="006A6D7D" w:rsidRPr="00850008" w:rsidTr="00EF43C9">
        <w:tc>
          <w:tcPr>
            <w:tcW w:w="5000" w:type="pct"/>
            <w:gridSpan w:val="3"/>
          </w:tcPr>
          <w:p w:rsidR="006A6D7D" w:rsidRPr="00433D05" w:rsidRDefault="006A6D7D" w:rsidP="00EF43C9">
            <w:pPr>
              <w:rPr>
                <w:sz w:val="20"/>
                <w:lang w:val="fr-CA"/>
              </w:rPr>
            </w:pPr>
          </w:p>
          <w:p w:rsidR="006A6D7D" w:rsidRPr="00433D05" w:rsidRDefault="006A6D7D" w:rsidP="008510D3">
            <w:pPr>
              <w:jc w:val="both"/>
              <w:rPr>
                <w:sz w:val="20"/>
                <w:lang w:val="fr-CA"/>
              </w:rPr>
            </w:pPr>
            <w:r w:rsidRPr="00433D05">
              <w:rPr>
                <w:sz w:val="20"/>
                <w:lang w:val="fr-CA"/>
              </w:rPr>
              <w:t xml:space="preserve">L’intimé E.M.W. a été déclaré coupable d’avoir agressé sexuellement sa fille et il a été condamné à une peine d’emprisonnement de deux ans. Il a interjeté appel de la déclaration de culpabilité en invoquant deux motifs.  Premièrement, il a plaidé que le juge du procès avait commis une erreur dans l’évaluation de la crédibilité, de la fiabilité et de la suffisance de son témoignage.  Deuxièmement, il a plaidé que le juge du procès s’était trompé dans son application de la norme en matière de charge de la preuve du ministère public, particulièrement en rapport avec l’évaluation de son témoignage et d’autres éléments de preuve.  Appliquant le sous-al. 686(1)a)(iii) du </w:t>
            </w:r>
            <w:r w:rsidRPr="00433D05">
              <w:rPr>
                <w:i/>
                <w:iCs/>
                <w:sz w:val="20"/>
                <w:lang w:val="fr-CA"/>
              </w:rPr>
              <w:t>Code criminel</w:t>
            </w:r>
            <w:r w:rsidRPr="00433D05">
              <w:rPr>
                <w:sz w:val="20"/>
                <w:lang w:val="fr-CA"/>
              </w:rPr>
              <w:t xml:space="preserve">, les juges majoritaires de la Cour d’appel ont accueilli l’appel, annulé la déclaration de culpabilité et ordonné un nouveau procès.  De l’avis des juges majoritaires, l’instruction du procès et la manière dont la preuve avait été obtenue étaient injustement préjudiciables pour l’intimé et équivalaient à une erreur judiciaire.  Le juge Fichaud, dissident, aurait rejeté l’appel.  Il a conclu que l’intimé n’avait pas soulevé les questions d’inadmissibilité de la preuve et de l’erreur judiciaire, si bien que la cour n’en était pas saisie.  Toutefois, il a traité les motifs d’appel invoqués par l’intimé. Il a conclu que le juge du procès n’avait commis aucune erreur dans sa formulation ou son application des principes de l’arrêt </w:t>
            </w:r>
            <w:r w:rsidRPr="00433D05">
              <w:rPr>
                <w:i/>
                <w:iCs/>
                <w:sz w:val="20"/>
                <w:lang w:val="fr-CA"/>
              </w:rPr>
              <w:t>R. c. W.(D.)</w:t>
            </w:r>
            <w:r w:rsidRPr="00433D05">
              <w:rPr>
                <w:sz w:val="20"/>
                <w:lang w:val="fr-CA"/>
              </w:rPr>
              <w:t xml:space="preserve"> ou dans son évaluation de la preuve, sa fiabilité ou la crédibilité des témoins. À son avis, le procès avait été marqué par [</w:t>
            </w:r>
            <w:r w:rsidRPr="00433D05">
              <w:rPr>
                <w:smallCaps/>
                <w:sz w:val="20"/>
                <w:lang w:val="fr-CA"/>
              </w:rPr>
              <w:t>traduction</w:t>
            </w:r>
            <w:r w:rsidRPr="00433D05">
              <w:rPr>
                <w:sz w:val="20"/>
                <w:lang w:val="fr-CA"/>
              </w:rPr>
              <w:t>] « une thèse de la défense qui a fini en queue de poisson, et non par une erreur judiciaire ».</w:t>
            </w:r>
          </w:p>
          <w:p w:rsidR="006A6D7D" w:rsidRPr="00433D05" w:rsidRDefault="006A6D7D" w:rsidP="00EF43C9">
            <w:pPr>
              <w:rPr>
                <w:sz w:val="20"/>
                <w:lang w:val="fr-CA"/>
              </w:rPr>
            </w:pPr>
          </w:p>
        </w:tc>
      </w:tr>
      <w:tr w:rsidR="008510D3" w:rsidRPr="00850008" w:rsidTr="00EF43C9">
        <w:tc>
          <w:tcPr>
            <w:tcW w:w="2427" w:type="pct"/>
          </w:tcPr>
          <w:p w:rsidR="008510D3" w:rsidRPr="00433D05" w:rsidRDefault="008510D3" w:rsidP="008510D3">
            <w:pPr>
              <w:rPr>
                <w:sz w:val="20"/>
                <w:lang w:val="fr-CA"/>
              </w:rPr>
            </w:pPr>
            <w:r w:rsidRPr="00433D05">
              <w:rPr>
                <w:sz w:val="20"/>
                <w:lang w:val="fr-CA"/>
              </w:rPr>
              <w:t>13 juillet 2009</w:t>
            </w:r>
          </w:p>
          <w:p w:rsidR="008510D3" w:rsidRPr="00433D05" w:rsidRDefault="008510D3" w:rsidP="008510D3">
            <w:pPr>
              <w:rPr>
                <w:sz w:val="20"/>
                <w:lang w:val="fr-CA"/>
              </w:rPr>
            </w:pPr>
            <w:r w:rsidRPr="00433D05">
              <w:rPr>
                <w:sz w:val="20"/>
                <w:lang w:val="fr-CA"/>
              </w:rPr>
              <w:t>Cour provinciale de la Nouvelle-Écosse</w:t>
            </w:r>
          </w:p>
          <w:p w:rsidR="008510D3" w:rsidRPr="00433D05" w:rsidRDefault="008510D3" w:rsidP="008510D3">
            <w:pPr>
              <w:rPr>
                <w:sz w:val="20"/>
                <w:lang w:val="fr-CA"/>
              </w:rPr>
            </w:pPr>
            <w:r w:rsidRPr="00433D05">
              <w:rPr>
                <w:sz w:val="20"/>
                <w:lang w:val="fr-CA"/>
              </w:rPr>
              <w:t>(Juge Campbell)</w:t>
            </w:r>
          </w:p>
          <w:p w:rsidR="008510D3" w:rsidRPr="00433D05" w:rsidRDefault="008510D3" w:rsidP="008510D3">
            <w:pPr>
              <w:rPr>
                <w:sz w:val="20"/>
                <w:lang w:val="fr-CA"/>
              </w:rPr>
            </w:pPr>
            <w:r w:rsidRPr="00433D05">
              <w:rPr>
                <w:sz w:val="20"/>
                <w:lang w:val="fr-CA"/>
              </w:rPr>
              <w:t>2009 NSPC 33</w:t>
            </w:r>
          </w:p>
        </w:tc>
        <w:tc>
          <w:tcPr>
            <w:tcW w:w="243" w:type="pct"/>
          </w:tcPr>
          <w:p w:rsidR="008510D3" w:rsidRDefault="008510D3" w:rsidP="00EF43C9">
            <w:pPr>
              <w:rPr>
                <w:sz w:val="20"/>
                <w:lang w:val="fr-CA"/>
              </w:rPr>
            </w:pPr>
          </w:p>
          <w:p w:rsidR="0034248B" w:rsidRDefault="0034248B" w:rsidP="00EF43C9">
            <w:pPr>
              <w:rPr>
                <w:sz w:val="20"/>
                <w:lang w:val="fr-CA"/>
              </w:rPr>
            </w:pPr>
          </w:p>
          <w:p w:rsidR="0034248B" w:rsidRDefault="0034248B" w:rsidP="00EF43C9">
            <w:pPr>
              <w:rPr>
                <w:sz w:val="20"/>
                <w:lang w:val="fr-CA"/>
              </w:rPr>
            </w:pPr>
          </w:p>
          <w:p w:rsidR="0034248B" w:rsidRPr="00433D05" w:rsidRDefault="0034248B" w:rsidP="00EF43C9">
            <w:pPr>
              <w:rPr>
                <w:sz w:val="20"/>
                <w:lang w:val="fr-CA"/>
              </w:rPr>
            </w:pPr>
          </w:p>
        </w:tc>
        <w:tc>
          <w:tcPr>
            <w:tcW w:w="2330" w:type="pct"/>
          </w:tcPr>
          <w:p w:rsidR="008510D3" w:rsidRPr="00433D05" w:rsidRDefault="008510D3" w:rsidP="00EF43C9">
            <w:pPr>
              <w:rPr>
                <w:sz w:val="20"/>
                <w:lang w:val="fr-CA"/>
              </w:rPr>
            </w:pPr>
            <w:r w:rsidRPr="00433D05">
              <w:rPr>
                <w:sz w:val="20"/>
                <w:lang w:val="fr-CA"/>
              </w:rPr>
              <w:t>Intimé déclaré coupable d’agression sexuelle</w:t>
            </w:r>
          </w:p>
        </w:tc>
      </w:tr>
    </w:tbl>
    <w:p w:rsidR="00F514EA" w:rsidRPr="00F514EA" w:rsidRDefault="00F514EA">
      <w:pPr>
        <w:rPr>
          <w:lang w:val="fr-CA"/>
        </w:rPr>
      </w:pPr>
    </w:p>
    <w:tbl>
      <w:tblPr>
        <w:tblW w:w="4952" w:type="pct"/>
        <w:tblInd w:w="2" w:type="dxa"/>
        <w:tblLayout w:type="fixed"/>
        <w:tblCellMar>
          <w:left w:w="0" w:type="dxa"/>
          <w:bottom w:w="99" w:type="dxa"/>
          <w:right w:w="0" w:type="dxa"/>
        </w:tblCellMar>
        <w:tblLook w:val="00A0"/>
      </w:tblPr>
      <w:tblGrid>
        <w:gridCol w:w="4624"/>
        <w:gridCol w:w="463"/>
        <w:gridCol w:w="4440"/>
      </w:tblGrid>
      <w:tr w:rsidR="008510D3" w:rsidRPr="00850008" w:rsidTr="00F514EA">
        <w:trPr>
          <w:cantSplit/>
        </w:trPr>
        <w:tc>
          <w:tcPr>
            <w:tcW w:w="2427" w:type="pct"/>
          </w:tcPr>
          <w:p w:rsidR="008510D3" w:rsidRPr="00433D05" w:rsidRDefault="008510D3" w:rsidP="008510D3">
            <w:pPr>
              <w:rPr>
                <w:sz w:val="20"/>
                <w:lang w:val="fr-CA"/>
              </w:rPr>
            </w:pPr>
            <w:r w:rsidRPr="00433D05">
              <w:rPr>
                <w:sz w:val="20"/>
                <w:lang w:val="fr-CA"/>
              </w:rPr>
              <w:lastRenderedPageBreak/>
              <w:t>8 octobre 2010</w:t>
            </w:r>
          </w:p>
          <w:p w:rsidR="008510D3" w:rsidRPr="00433D05" w:rsidRDefault="008510D3" w:rsidP="008510D3">
            <w:pPr>
              <w:rPr>
                <w:sz w:val="20"/>
                <w:lang w:val="fr-CA"/>
              </w:rPr>
            </w:pPr>
            <w:r w:rsidRPr="00433D05">
              <w:rPr>
                <w:sz w:val="20"/>
                <w:lang w:val="fr-CA"/>
              </w:rPr>
              <w:t>Cour d’appel de la Nouvelle-Écosse</w:t>
            </w:r>
          </w:p>
          <w:p w:rsidR="008510D3" w:rsidRPr="00433D05" w:rsidRDefault="008510D3" w:rsidP="008510D3">
            <w:pPr>
              <w:rPr>
                <w:sz w:val="20"/>
                <w:lang w:val="fr-CA"/>
              </w:rPr>
            </w:pPr>
            <w:r w:rsidRPr="00433D05">
              <w:rPr>
                <w:sz w:val="20"/>
                <w:lang w:val="fr-CA"/>
              </w:rPr>
              <w:t>(Juges Fichaud [dissident], Beveridge et Farrar)</w:t>
            </w:r>
          </w:p>
          <w:p w:rsidR="008510D3" w:rsidRPr="00433D05" w:rsidRDefault="008510D3" w:rsidP="0034248B">
            <w:pPr>
              <w:rPr>
                <w:sz w:val="20"/>
                <w:lang w:val="fr-CA"/>
              </w:rPr>
            </w:pPr>
            <w:r w:rsidRPr="00433D05">
              <w:rPr>
                <w:sz w:val="20"/>
                <w:lang w:val="fr-CA"/>
              </w:rPr>
              <w:t>2010 NSCA 73</w:t>
            </w:r>
          </w:p>
        </w:tc>
        <w:tc>
          <w:tcPr>
            <w:tcW w:w="243" w:type="pct"/>
          </w:tcPr>
          <w:p w:rsidR="008510D3" w:rsidRDefault="008510D3" w:rsidP="00EF43C9">
            <w:pPr>
              <w:rPr>
                <w:sz w:val="20"/>
                <w:lang w:val="fr-CA"/>
              </w:rPr>
            </w:pPr>
          </w:p>
          <w:p w:rsidR="0034248B" w:rsidRDefault="0034248B" w:rsidP="00EF43C9">
            <w:pPr>
              <w:rPr>
                <w:sz w:val="20"/>
                <w:lang w:val="fr-CA"/>
              </w:rPr>
            </w:pPr>
          </w:p>
          <w:p w:rsidR="0034248B" w:rsidRDefault="0034248B" w:rsidP="00EF43C9">
            <w:pPr>
              <w:rPr>
                <w:sz w:val="20"/>
                <w:lang w:val="fr-CA"/>
              </w:rPr>
            </w:pPr>
          </w:p>
          <w:p w:rsidR="0034248B" w:rsidRDefault="0034248B" w:rsidP="00EF43C9">
            <w:pPr>
              <w:rPr>
                <w:sz w:val="20"/>
                <w:lang w:val="fr-CA"/>
              </w:rPr>
            </w:pPr>
          </w:p>
          <w:p w:rsidR="0034248B" w:rsidRPr="00433D05" w:rsidRDefault="0034248B" w:rsidP="00EF43C9">
            <w:pPr>
              <w:rPr>
                <w:sz w:val="20"/>
                <w:lang w:val="fr-CA"/>
              </w:rPr>
            </w:pPr>
          </w:p>
        </w:tc>
        <w:tc>
          <w:tcPr>
            <w:tcW w:w="2330" w:type="pct"/>
          </w:tcPr>
          <w:p w:rsidR="008510D3" w:rsidRPr="00433D05" w:rsidRDefault="008510D3" w:rsidP="008510D3">
            <w:pPr>
              <w:rPr>
                <w:sz w:val="20"/>
                <w:lang w:val="fr-CA"/>
              </w:rPr>
            </w:pPr>
            <w:r w:rsidRPr="00433D05">
              <w:rPr>
                <w:sz w:val="20"/>
                <w:lang w:val="fr-CA"/>
              </w:rPr>
              <w:t>Appel accueilli et nouveau procès ordonné</w:t>
            </w:r>
          </w:p>
          <w:p w:rsidR="008510D3" w:rsidRPr="00433D05" w:rsidRDefault="008510D3" w:rsidP="008510D3">
            <w:pPr>
              <w:rPr>
                <w:sz w:val="20"/>
                <w:lang w:val="fr-CA"/>
              </w:rPr>
            </w:pPr>
          </w:p>
          <w:p w:rsidR="008510D3" w:rsidRPr="00433D05" w:rsidRDefault="008510D3" w:rsidP="00EF43C9">
            <w:pPr>
              <w:rPr>
                <w:sz w:val="20"/>
                <w:lang w:val="fr-CA"/>
              </w:rPr>
            </w:pPr>
          </w:p>
        </w:tc>
      </w:tr>
      <w:tr w:rsidR="008510D3" w:rsidRPr="00850008" w:rsidTr="00F670F0">
        <w:trPr>
          <w:cantSplit/>
        </w:trPr>
        <w:tc>
          <w:tcPr>
            <w:tcW w:w="2427" w:type="pct"/>
          </w:tcPr>
          <w:p w:rsidR="008510D3" w:rsidRPr="00433D05" w:rsidRDefault="008510D3" w:rsidP="008510D3">
            <w:pPr>
              <w:rPr>
                <w:sz w:val="20"/>
                <w:lang w:val="fr-CA"/>
              </w:rPr>
            </w:pPr>
            <w:r w:rsidRPr="00433D05">
              <w:rPr>
                <w:sz w:val="20"/>
                <w:lang w:val="fr-CA"/>
              </w:rPr>
              <w:t>1</w:t>
            </w:r>
            <w:r w:rsidRPr="00433D05">
              <w:rPr>
                <w:sz w:val="20"/>
                <w:vertAlign w:val="superscript"/>
                <w:lang w:val="fr-CA"/>
              </w:rPr>
              <w:t>er</w:t>
            </w:r>
            <w:r w:rsidRPr="00433D05">
              <w:rPr>
                <w:sz w:val="20"/>
                <w:lang w:val="fr-CA"/>
              </w:rPr>
              <w:t xml:space="preserve"> novembre 2010</w:t>
            </w:r>
          </w:p>
          <w:p w:rsidR="008510D3" w:rsidRPr="00433D05" w:rsidRDefault="008510D3" w:rsidP="0034248B">
            <w:pPr>
              <w:rPr>
                <w:sz w:val="20"/>
                <w:lang w:val="fr-CA"/>
              </w:rPr>
            </w:pPr>
            <w:r w:rsidRPr="00433D05">
              <w:rPr>
                <w:sz w:val="20"/>
                <w:lang w:val="fr-CA"/>
              </w:rPr>
              <w:t>Cour suprême du Canada</w:t>
            </w:r>
          </w:p>
        </w:tc>
        <w:tc>
          <w:tcPr>
            <w:tcW w:w="243" w:type="pct"/>
          </w:tcPr>
          <w:p w:rsidR="008510D3" w:rsidRDefault="008510D3" w:rsidP="00EF43C9">
            <w:pPr>
              <w:rPr>
                <w:sz w:val="20"/>
                <w:lang w:val="fr-CA"/>
              </w:rPr>
            </w:pPr>
          </w:p>
          <w:p w:rsidR="0034248B" w:rsidRDefault="0034248B" w:rsidP="00EF43C9">
            <w:pPr>
              <w:rPr>
                <w:sz w:val="20"/>
                <w:lang w:val="fr-CA"/>
              </w:rPr>
            </w:pPr>
          </w:p>
          <w:p w:rsidR="0034248B" w:rsidRPr="00433D05" w:rsidRDefault="0034248B" w:rsidP="00EF43C9">
            <w:pPr>
              <w:rPr>
                <w:sz w:val="20"/>
                <w:lang w:val="fr-CA"/>
              </w:rPr>
            </w:pPr>
          </w:p>
        </w:tc>
        <w:tc>
          <w:tcPr>
            <w:tcW w:w="2330" w:type="pct"/>
          </w:tcPr>
          <w:p w:rsidR="008510D3" w:rsidRPr="00433D05" w:rsidRDefault="008510D3" w:rsidP="008510D3">
            <w:pPr>
              <w:rPr>
                <w:sz w:val="20"/>
                <w:lang w:val="fr-CA"/>
              </w:rPr>
            </w:pPr>
            <w:r w:rsidRPr="00433D05">
              <w:rPr>
                <w:sz w:val="20"/>
                <w:lang w:val="fr-CA"/>
              </w:rPr>
              <w:t>Avis d’appel de plein droit déposé</w:t>
            </w:r>
          </w:p>
          <w:p w:rsidR="008510D3" w:rsidRPr="00433D05" w:rsidRDefault="008510D3" w:rsidP="00EF43C9">
            <w:pPr>
              <w:rPr>
                <w:sz w:val="20"/>
                <w:lang w:val="fr-CA"/>
              </w:rPr>
            </w:pPr>
          </w:p>
        </w:tc>
      </w:tr>
      <w:tr w:rsidR="008510D3" w:rsidRPr="00850008" w:rsidTr="00F670F0">
        <w:trPr>
          <w:cantSplit/>
        </w:trPr>
        <w:tc>
          <w:tcPr>
            <w:tcW w:w="2427" w:type="pct"/>
          </w:tcPr>
          <w:p w:rsidR="008510D3" w:rsidRPr="00433D05" w:rsidRDefault="008510D3" w:rsidP="008510D3">
            <w:pPr>
              <w:rPr>
                <w:sz w:val="20"/>
                <w:lang w:val="fr-CA"/>
              </w:rPr>
            </w:pPr>
            <w:r w:rsidRPr="00433D05">
              <w:rPr>
                <w:sz w:val="20"/>
                <w:lang w:val="fr-CA"/>
              </w:rPr>
              <w:t>17 novembre 2010</w:t>
            </w:r>
          </w:p>
          <w:p w:rsidR="008510D3" w:rsidRPr="00433D05" w:rsidRDefault="008510D3" w:rsidP="008510D3">
            <w:pPr>
              <w:rPr>
                <w:sz w:val="20"/>
                <w:lang w:val="fr-CA"/>
              </w:rPr>
            </w:pPr>
            <w:r w:rsidRPr="00433D05">
              <w:rPr>
                <w:sz w:val="20"/>
                <w:lang w:val="fr-CA"/>
              </w:rPr>
              <w:t>Cour suprême du Canada</w:t>
            </w:r>
          </w:p>
          <w:p w:rsidR="008510D3" w:rsidRPr="00433D05" w:rsidRDefault="008510D3" w:rsidP="00EF43C9">
            <w:pPr>
              <w:rPr>
                <w:sz w:val="20"/>
                <w:lang w:val="fr-CA"/>
              </w:rPr>
            </w:pPr>
          </w:p>
        </w:tc>
        <w:tc>
          <w:tcPr>
            <w:tcW w:w="243" w:type="pct"/>
          </w:tcPr>
          <w:p w:rsidR="008510D3" w:rsidRPr="00433D05" w:rsidRDefault="008510D3" w:rsidP="00EF43C9">
            <w:pPr>
              <w:rPr>
                <w:sz w:val="20"/>
                <w:lang w:val="fr-CA"/>
              </w:rPr>
            </w:pPr>
          </w:p>
        </w:tc>
        <w:tc>
          <w:tcPr>
            <w:tcW w:w="2330" w:type="pct"/>
          </w:tcPr>
          <w:p w:rsidR="008510D3" w:rsidRPr="00433D05" w:rsidRDefault="008510D3" w:rsidP="00EF43C9">
            <w:pPr>
              <w:rPr>
                <w:sz w:val="20"/>
                <w:lang w:val="fr-CA"/>
              </w:rPr>
            </w:pPr>
            <w:r w:rsidRPr="00433D05">
              <w:rPr>
                <w:sz w:val="20"/>
                <w:lang w:val="fr-CA"/>
              </w:rPr>
              <w:t>Requête visant à accélérer la procédure de demande d’autorisation d’appel et demande d’autorisation d’appel, déposées</w:t>
            </w:r>
          </w:p>
        </w:tc>
      </w:tr>
    </w:tbl>
    <w:p w:rsidR="008442EC" w:rsidRPr="006A6D7D" w:rsidRDefault="008442EC" w:rsidP="008442EC">
      <w:pPr>
        <w:rPr>
          <w:sz w:val="20"/>
          <w:szCs w:val="20"/>
          <w:lang w:val="fr-CA"/>
        </w:rPr>
      </w:pPr>
    </w:p>
    <w:p w:rsidR="008442EC" w:rsidRDefault="00D56013" w:rsidP="008442EC">
      <w:pPr>
        <w:rPr>
          <w:sz w:val="20"/>
          <w:szCs w:val="20"/>
          <w:lang w:val="fr-CA"/>
        </w:rPr>
      </w:pPr>
      <w:r w:rsidRPr="00D56013">
        <w:rPr>
          <w:sz w:val="20"/>
          <w:szCs w:val="20"/>
          <w:lang w:val="fr-CA"/>
        </w:rPr>
        <w:pict>
          <v:rect id="_x0000_i1091" style="width:2in;height:1pt" o:hrpct="0" o:hralign="center" o:hrstd="t" o:hrnoshade="t" o:hr="t" fillcolor="black [3213]" stroked="f"/>
        </w:pict>
      </w:r>
    </w:p>
    <w:p w:rsidR="008442EC" w:rsidRPr="00E01ABF" w:rsidRDefault="008442EC" w:rsidP="008442EC">
      <w:pPr>
        <w:rPr>
          <w:sz w:val="20"/>
          <w:szCs w:val="20"/>
        </w:rPr>
      </w:pPr>
    </w:p>
    <w:p w:rsidR="008D292F" w:rsidRPr="00C50A5C" w:rsidRDefault="008D292F" w:rsidP="008D292F">
      <w:pPr>
        <w:rPr>
          <w:sz w:val="20"/>
          <w:szCs w:val="20"/>
        </w:rPr>
      </w:pPr>
    </w:p>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26"/>
          <w:headerReference w:type="default" r:id="rId27"/>
          <w:footerReference w:type="even" r:id="rId28"/>
          <w:footerReference w:type="default" r:id="rId29"/>
          <w:headerReference w:type="first" r:id="rId30"/>
          <w:footerReference w:type="first" r:id="rId31"/>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890FEB" w:rsidRPr="00C50A5C" w:rsidRDefault="00890FEB" w:rsidP="00890FEB">
      <w:pPr>
        <w:tabs>
          <w:tab w:val="left" w:pos="-1440"/>
          <w:tab w:val="left" w:pos="-720"/>
        </w:tabs>
        <w:spacing w:line="-19" w:lineRule="auto"/>
        <w:jc w:val="both"/>
        <w:rPr>
          <w:sz w:val="20"/>
          <w:szCs w:val="20"/>
        </w:rPr>
      </w:pPr>
    </w:p>
    <w:p w:rsidR="00936E85" w:rsidRPr="00936E85" w:rsidRDefault="00936E85" w:rsidP="00936E85">
      <w:pPr>
        <w:tabs>
          <w:tab w:val="left" w:pos="-1440"/>
          <w:tab w:val="left" w:pos="-720"/>
        </w:tabs>
        <w:jc w:val="both"/>
        <w:rPr>
          <w:rFonts w:cs="Times New Roman"/>
          <w:sz w:val="20"/>
          <w:szCs w:val="20"/>
        </w:rPr>
      </w:pPr>
      <w:r w:rsidRPr="00936E85">
        <w:rPr>
          <w:rFonts w:cs="Times New Roman"/>
          <w:sz w:val="20"/>
          <w:szCs w:val="20"/>
        </w:rPr>
        <w:t>10.12.2010</w:t>
      </w:r>
    </w:p>
    <w:p w:rsidR="00936E85" w:rsidRPr="00936E85" w:rsidRDefault="00936E85" w:rsidP="00936E85">
      <w:pPr>
        <w:tabs>
          <w:tab w:val="left" w:pos="-1440"/>
          <w:tab w:val="left" w:pos="-720"/>
        </w:tabs>
        <w:jc w:val="both"/>
        <w:rPr>
          <w:rFonts w:cs="Times New Roman"/>
          <w:sz w:val="20"/>
          <w:szCs w:val="20"/>
        </w:rPr>
      </w:pPr>
    </w:p>
    <w:p w:rsidR="00936E85" w:rsidRPr="00936E85" w:rsidRDefault="00936E85" w:rsidP="00936E85">
      <w:pPr>
        <w:tabs>
          <w:tab w:val="left" w:pos="-1440"/>
          <w:tab w:val="left" w:pos="-720"/>
        </w:tabs>
        <w:jc w:val="both"/>
        <w:rPr>
          <w:rFonts w:cs="Times New Roman"/>
          <w:sz w:val="20"/>
          <w:szCs w:val="20"/>
        </w:rPr>
      </w:pPr>
      <w:r w:rsidRPr="00936E85">
        <w:rPr>
          <w:rFonts w:cs="Times New Roman"/>
          <w:sz w:val="20"/>
          <w:szCs w:val="20"/>
        </w:rPr>
        <w:t xml:space="preserve">Before / Devant :   </w:t>
      </w:r>
      <w:r w:rsidRPr="00936E85">
        <w:rPr>
          <w:rFonts w:cs="Times New Roman"/>
          <w:sz w:val="20"/>
          <w:szCs w:val="20"/>
          <w:lang w:val="fr-CA"/>
        </w:rPr>
        <w:t>THE REGISTRAR / LE REGISTRAIRE</w:t>
      </w:r>
    </w:p>
    <w:p w:rsidR="00936E85" w:rsidRPr="00936E85" w:rsidRDefault="00936E85" w:rsidP="00936E85">
      <w:pPr>
        <w:tabs>
          <w:tab w:val="left" w:pos="-1440"/>
          <w:tab w:val="left" w:pos="-720"/>
        </w:tabs>
        <w:jc w:val="both"/>
        <w:rPr>
          <w:rFonts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936E85" w:rsidRPr="00850008" w:rsidTr="00D77551">
        <w:tc>
          <w:tcPr>
            <w:tcW w:w="4338" w:type="dxa"/>
          </w:tcPr>
          <w:p w:rsidR="00936E85" w:rsidRPr="00936E85" w:rsidRDefault="00D56013" w:rsidP="00D77551">
            <w:pPr>
              <w:tabs>
                <w:tab w:val="left" w:pos="-1440"/>
                <w:tab w:val="left" w:pos="-720"/>
              </w:tabs>
              <w:jc w:val="both"/>
              <w:rPr>
                <w:rFonts w:cs="Times New Roman"/>
                <w:sz w:val="20"/>
                <w:szCs w:val="20"/>
              </w:rPr>
            </w:pPr>
            <w:r w:rsidRPr="00936E85">
              <w:rPr>
                <w:rFonts w:cs="Times New Roman"/>
                <w:sz w:val="20"/>
                <w:szCs w:val="20"/>
              </w:rPr>
              <w:fldChar w:fldCharType="begin"/>
            </w:r>
            <w:r w:rsidR="00936E85" w:rsidRPr="00936E85">
              <w:rPr>
                <w:rFonts w:cs="Times New Roman"/>
                <w:sz w:val="20"/>
                <w:szCs w:val="20"/>
              </w:rPr>
              <w:instrText xml:space="preserve"> SEQ CHAPTER \h \r 1</w:instrText>
            </w:r>
            <w:r w:rsidRPr="00936E85">
              <w:rPr>
                <w:rFonts w:cs="Times New Roman"/>
                <w:sz w:val="20"/>
                <w:szCs w:val="20"/>
              </w:rPr>
              <w:fldChar w:fldCharType="end"/>
            </w:r>
            <w:r w:rsidR="00936E85" w:rsidRPr="00936E85">
              <w:rPr>
                <w:rFonts w:cs="Times New Roman"/>
                <w:b/>
                <w:bCs/>
                <w:sz w:val="20"/>
                <w:szCs w:val="20"/>
              </w:rPr>
              <w:t>Motion to release exhibits</w:t>
            </w:r>
          </w:p>
        </w:tc>
        <w:tc>
          <w:tcPr>
            <w:tcW w:w="1170" w:type="dxa"/>
          </w:tcPr>
          <w:p w:rsidR="00936E85" w:rsidRPr="00936E85" w:rsidRDefault="00936E85" w:rsidP="00D77551">
            <w:pPr>
              <w:tabs>
                <w:tab w:val="left" w:pos="-1440"/>
                <w:tab w:val="left" w:pos="-720"/>
              </w:tabs>
              <w:jc w:val="both"/>
              <w:rPr>
                <w:rFonts w:cs="Times New Roman"/>
                <w:sz w:val="20"/>
                <w:szCs w:val="20"/>
              </w:rPr>
            </w:pPr>
          </w:p>
          <w:p w:rsidR="00936E85" w:rsidRPr="00936E85" w:rsidRDefault="00936E85" w:rsidP="00D77551">
            <w:pPr>
              <w:tabs>
                <w:tab w:val="left" w:pos="-1440"/>
                <w:tab w:val="left" w:pos="-720"/>
              </w:tabs>
              <w:jc w:val="both"/>
              <w:rPr>
                <w:rFonts w:cs="Times New Roman"/>
                <w:sz w:val="20"/>
                <w:szCs w:val="20"/>
              </w:rPr>
            </w:pPr>
          </w:p>
        </w:tc>
        <w:tc>
          <w:tcPr>
            <w:tcW w:w="4327" w:type="dxa"/>
          </w:tcPr>
          <w:p w:rsidR="00936E85" w:rsidRPr="00936E85" w:rsidRDefault="00D56013" w:rsidP="00D77551">
            <w:pPr>
              <w:tabs>
                <w:tab w:val="left" w:pos="-1440"/>
                <w:tab w:val="left" w:pos="-720"/>
              </w:tabs>
              <w:jc w:val="both"/>
              <w:rPr>
                <w:rFonts w:cs="Times New Roman"/>
                <w:sz w:val="20"/>
                <w:szCs w:val="20"/>
                <w:lang w:val="fr-CA"/>
              </w:rPr>
            </w:pPr>
            <w:r w:rsidRPr="00936E85">
              <w:rPr>
                <w:rFonts w:cs="Times New Roman"/>
                <w:sz w:val="20"/>
                <w:szCs w:val="20"/>
              </w:rPr>
              <w:fldChar w:fldCharType="begin"/>
            </w:r>
            <w:r w:rsidR="00936E85" w:rsidRPr="00936E85">
              <w:rPr>
                <w:rFonts w:cs="Times New Roman"/>
                <w:sz w:val="20"/>
                <w:szCs w:val="20"/>
                <w:lang w:val="fr-CA"/>
              </w:rPr>
              <w:instrText xml:space="preserve"> SEQ CHAPTER \h \r 1</w:instrText>
            </w:r>
            <w:r w:rsidRPr="00936E85">
              <w:rPr>
                <w:rFonts w:cs="Times New Roman"/>
                <w:sz w:val="20"/>
                <w:szCs w:val="20"/>
              </w:rPr>
              <w:fldChar w:fldCharType="end"/>
            </w:r>
            <w:r w:rsidR="00936E85" w:rsidRPr="00936E85">
              <w:rPr>
                <w:rFonts w:cs="Times New Roman"/>
                <w:b/>
                <w:bCs/>
                <w:sz w:val="20"/>
                <w:szCs w:val="20"/>
                <w:lang w:val="fr-CA"/>
              </w:rPr>
              <w:t>Requête visant la remise de pièces</w:t>
            </w:r>
          </w:p>
        </w:tc>
      </w:tr>
      <w:tr w:rsidR="00936E85" w:rsidRPr="00936E85" w:rsidTr="00D77551">
        <w:tc>
          <w:tcPr>
            <w:tcW w:w="4338" w:type="dxa"/>
          </w:tcPr>
          <w:p w:rsidR="00936E85" w:rsidRPr="00936E85" w:rsidRDefault="00936E85" w:rsidP="00D77551">
            <w:pPr>
              <w:tabs>
                <w:tab w:val="left" w:pos="-1440"/>
                <w:tab w:val="left" w:pos="-720"/>
              </w:tabs>
              <w:jc w:val="both"/>
              <w:rPr>
                <w:rFonts w:cs="Times New Roman"/>
                <w:sz w:val="20"/>
                <w:szCs w:val="20"/>
              </w:rPr>
            </w:pPr>
            <w:r w:rsidRPr="00936E85">
              <w:rPr>
                <w:rFonts w:cs="Times New Roman"/>
                <w:sz w:val="20"/>
                <w:szCs w:val="20"/>
              </w:rPr>
              <w:t>Leighton Hay</w:t>
            </w:r>
          </w:p>
          <w:p w:rsidR="00936E85" w:rsidRPr="00936E85" w:rsidRDefault="00936E85" w:rsidP="00D77551">
            <w:pPr>
              <w:tabs>
                <w:tab w:val="left" w:pos="-1440"/>
                <w:tab w:val="left" w:pos="-720"/>
              </w:tabs>
              <w:jc w:val="both"/>
              <w:rPr>
                <w:rFonts w:cs="Times New Roman"/>
                <w:sz w:val="20"/>
                <w:szCs w:val="20"/>
              </w:rPr>
            </w:pPr>
          </w:p>
          <w:p w:rsidR="00936E85" w:rsidRPr="00936E85" w:rsidRDefault="00936E85" w:rsidP="00D77551">
            <w:pPr>
              <w:tabs>
                <w:tab w:val="left" w:pos="-1440"/>
                <w:tab w:val="left" w:pos="-720"/>
              </w:tabs>
              <w:jc w:val="both"/>
              <w:rPr>
                <w:rFonts w:cs="Times New Roman"/>
                <w:sz w:val="20"/>
                <w:szCs w:val="20"/>
              </w:rPr>
            </w:pPr>
            <w:r w:rsidRPr="00936E85">
              <w:rPr>
                <w:rFonts w:cs="Times New Roman"/>
                <w:sz w:val="20"/>
                <w:szCs w:val="20"/>
              </w:rPr>
              <w:tab/>
              <w:t>v. (33536)</w:t>
            </w:r>
          </w:p>
          <w:p w:rsidR="00936E85" w:rsidRPr="00936E85" w:rsidRDefault="00936E85" w:rsidP="00D77551">
            <w:pPr>
              <w:tabs>
                <w:tab w:val="left" w:pos="-1440"/>
                <w:tab w:val="left" w:pos="-720"/>
              </w:tabs>
              <w:jc w:val="both"/>
              <w:rPr>
                <w:rFonts w:cs="Times New Roman"/>
                <w:sz w:val="20"/>
                <w:szCs w:val="20"/>
              </w:rPr>
            </w:pPr>
          </w:p>
          <w:p w:rsidR="00936E85" w:rsidRPr="00936E85" w:rsidRDefault="00936E85" w:rsidP="00D77551">
            <w:pPr>
              <w:tabs>
                <w:tab w:val="left" w:pos="-1440"/>
                <w:tab w:val="left" w:pos="-720"/>
              </w:tabs>
              <w:jc w:val="both"/>
              <w:rPr>
                <w:rFonts w:cs="Times New Roman"/>
                <w:sz w:val="20"/>
                <w:szCs w:val="20"/>
              </w:rPr>
            </w:pPr>
            <w:r w:rsidRPr="00936E85">
              <w:rPr>
                <w:rFonts w:cs="Times New Roman"/>
                <w:sz w:val="20"/>
                <w:szCs w:val="20"/>
              </w:rPr>
              <w:t>Her Majesty the Queen (Crim.) (Ont.)</w:t>
            </w:r>
          </w:p>
        </w:tc>
        <w:tc>
          <w:tcPr>
            <w:tcW w:w="1170" w:type="dxa"/>
          </w:tcPr>
          <w:p w:rsidR="00936E85" w:rsidRPr="00936E85" w:rsidRDefault="00936E85" w:rsidP="00D77551">
            <w:pPr>
              <w:tabs>
                <w:tab w:val="left" w:pos="-1440"/>
                <w:tab w:val="left" w:pos="-720"/>
              </w:tabs>
              <w:jc w:val="both"/>
              <w:rPr>
                <w:rFonts w:cs="Times New Roman"/>
                <w:sz w:val="20"/>
                <w:szCs w:val="20"/>
              </w:rPr>
            </w:pPr>
          </w:p>
        </w:tc>
        <w:tc>
          <w:tcPr>
            <w:tcW w:w="4327" w:type="dxa"/>
          </w:tcPr>
          <w:p w:rsidR="00936E85" w:rsidRPr="00936E85" w:rsidRDefault="00936E85" w:rsidP="00D77551">
            <w:pPr>
              <w:tabs>
                <w:tab w:val="left" w:pos="-1440"/>
                <w:tab w:val="left" w:pos="-720"/>
              </w:tabs>
              <w:jc w:val="both"/>
              <w:rPr>
                <w:rFonts w:cs="Times New Roman"/>
                <w:sz w:val="20"/>
                <w:szCs w:val="20"/>
              </w:rPr>
            </w:pPr>
          </w:p>
        </w:tc>
      </w:tr>
    </w:tbl>
    <w:p w:rsidR="00936E85" w:rsidRPr="00936E85" w:rsidRDefault="00936E85" w:rsidP="00936E85">
      <w:pPr>
        <w:tabs>
          <w:tab w:val="left" w:pos="-1440"/>
          <w:tab w:val="left" w:pos="-720"/>
        </w:tabs>
        <w:jc w:val="both"/>
        <w:rPr>
          <w:rFonts w:cs="Times New Roman"/>
          <w:b/>
          <w:sz w:val="20"/>
          <w:szCs w:val="20"/>
        </w:rPr>
      </w:pPr>
    </w:p>
    <w:p w:rsidR="00936E85" w:rsidRPr="00936E85" w:rsidRDefault="00936E85" w:rsidP="00936E85">
      <w:pPr>
        <w:widowControl w:val="0"/>
        <w:rPr>
          <w:rFonts w:cs="Times New Roman"/>
          <w:b/>
          <w:sz w:val="20"/>
          <w:szCs w:val="20"/>
        </w:rPr>
      </w:pPr>
      <w:r w:rsidRPr="00936E85">
        <w:rPr>
          <w:rFonts w:cs="Times New Roman"/>
          <w:b/>
          <w:sz w:val="20"/>
          <w:szCs w:val="20"/>
        </w:rPr>
        <w:t>UPON APPLICATION</w:t>
      </w:r>
      <w:r w:rsidRPr="00936E85">
        <w:rPr>
          <w:rFonts w:cs="Times New Roman"/>
          <w:sz w:val="20"/>
          <w:szCs w:val="20"/>
        </w:rPr>
        <w:t xml:space="preserve"> by counsel on behalf of the Applicant for the release of certain exhibits to the Centre of Forensic Sciences for scientific testing;</w:t>
      </w:r>
      <w:r w:rsidRPr="00936E85">
        <w:rPr>
          <w:rFonts w:cs="Times New Roman"/>
          <w:b/>
          <w:sz w:val="20"/>
          <w:szCs w:val="20"/>
        </w:rPr>
        <w:t xml:space="preserve"> </w:t>
      </w:r>
    </w:p>
    <w:p w:rsidR="00936E85" w:rsidRPr="00936E85" w:rsidRDefault="00936E85" w:rsidP="00936E85">
      <w:pPr>
        <w:widowControl w:val="0"/>
        <w:jc w:val="both"/>
        <w:rPr>
          <w:rFonts w:cs="Times New Roman"/>
          <w:b/>
          <w:sz w:val="20"/>
          <w:szCs w:val="20"/>
        </w:rPr>
      </w:pPr>
    </w:p>
    <w:p w:rsidR="00936E85" w:rsidRPr="00936E85" w:rsidRDefault="00936E85" w:rsidP="00936E85">
      <w:pPr>
        <w:widowControl w:val="0"/>
        <w:jc w:val="both"/>
        <w:rPr>
          <w:rFonts w:cs="Times New Roman"/>
          <w:b/>
          <w:sz w:val="20"/>
          <w:szCs w:val="20"/>
        </w:rPr>
      </w:pPr>
      <w:r w:rsidRPr="00936E85">
        <w:rPr>
          <w:rFonts w:cs="Times New Roman"/>
          <w:b/>
          <w:sz w:val="20"/>
          <w:szCs w:val="20"/>
        </w:rPr>
        <w:t xml:space="preserve">IT IS HEREBY ORDERED THAT: </w:t>
      </w:r>
    </w:p>
    <w:p w:rsidR="00936E85" w:rsidRPr="00936E85" w:rsidRDefault="00936E85" w:rsidP="00936E85">
      <w:pPr>
        <w:widowControl w:val="0"/>
        <w:jc w:val="both"/>
        <w:rPr>
          <w:rFonts w:cs="Times New Roman"/>
          <w:sz w:val="20"/>
          <w:szCs w:val="20"/>
        </w:rPr>
      </w:pPr>
    </w:p>
    <w:p w:rsidR="00936E85" w:rsidRPr="00936E85" w:rsidRDefault="00936E85" w:rsidP="00936E85">
      <w:pPr>
        <w:widowControl w:val="0"/>
        <w:ind w:left="720" w:hanging="720"/>
        <w:jc w:val="both"/>
        <w:rPr>
          <w:rFonts w:cs="Times New Roman"/>
          <w:sz w:val="20"/>
          <w:szCs w:val="20"/>
        </w:rPr>
      </w:pPr>
      <w:r w:rsidRPr="00936E85">
        <w:rPr>
          <w:rFonts w:cs="Times New Roman"/>
          <w:sz w:val="20"/>
          <w:szCs w:val="20"/>
        </w:rPr>
        <w:t>1.</w:t>
      </w:r>
      <w:r w:rsidRPr="00936E85">
        <w:rPr>
          <w:rFonts w:cs="Times New Roman"/>
          <w:sz w:val="20"/>
          <w:szCs w:val="20"/>
        </w:rPr>
        <w:tab/>
        <w:t xml:space="preserve">Trial exhibits 49 (a page from a newspaper containing hairs) and 52 (a razor with hairs attached to it) will be released to the Centre of Forensic Sciences in Toronto for scientific examination pursuant to ss. 695(1) and 683(1)(a) of the </w:t>
      </w:r>
      <w:r w:rsidRPr="00936E85">
        <w:rPr>
          <w:rFonts w:cs="Times New Roman"/>
          <w:i/>
          <w:sz w:val="20"/>
          <w:szCs w:val="20"/>
        </w:rPr>
        <w:t>Criminal Code of Canada</w:t>
      </w:r>
      <w:r w:rsidRPr="00936E85">
        <w:rPr>
          <w:rFonts w:cs="Times New Roman"/>
          <w:sz w:val="20"/>
          <w:szCs w:val="20"/>
        </w:rPr>
        <w:t>.</w:t>
      </w:r>
    </w:p>
    <w:p w:rsidR="00936E85" w:rsidRPr="00936E85" w:rsidRDefault="00936E85" w:rsidP="00936E85">
      <w:pPr>
        <w:widowControl w:val="0"/>
        <w:jc w:val="both"/>
        <w:rPr>
          <w:rFonts w:cs="Times New Roman"/>
          <w:sz w:val="20"/>
          <w:szCs w:val="20"/>
        </w:rPr>
      </w:pPr>
    </w:p>
    <w:p w:rsidR="00936E85" w:rsidRPr="00936E85" w:rsidRDefault="00936E85" w:rsidP="00936E85">
      <w:pPr>
        <w:widowControl w:val="0"/>
        <w:ind w:left="720" w:hanging="720"/>
        <w:jc w:val="both"/>
        <w:rPr>
          <w:rFonts w:cs="Times New Roman"/>
          <w:sz w:val="20"/>
          <w:szCs w:val="20"/>
        </w:rPr>
      </w:pPr>
      <w:r w:rsidRPr="00936E85">
        <w:rPr>
          <w:rFonts w:cs="Times New Roman"/>
          <w:sz w:val="20"/>
          <w:szCs w:val="20"/>
        </w:rPr>
        <w:t>2.</w:t>
      </w:r>
      <w:r w:rsidRPr="00936E85">
        <w:rPr>
          <w:rFonts w:cs="Times New Roman"/>
          <w:sz w:val="20"/>
          <w:szCs w:val="20"/>
        </w:rPr>
        <w:tab/>
        <w:t xml:space="preserve">The testing will be conducted according to the </w:t>
      </w:r>
      <w:r w:rsidRPr="00936E85">
        <w:rPr>
          <w:rFonts w:cs="Times New Roman"/>
          <w:i/>
          <w:sz w:val="20"/>
          <w:szCs w:val="20"/>
        </w:rPr>
        <w:t xml:space="preserve">Protocol for Testing of Hairs </w:t>
      </w:r>
      <w:r w:rsidRPr="00936E85">
        <w:rPr>
          <w:rFonts w:cs="Times New Roman"/>
          <w:sz w:val="20"/>
          <w:szCs w:val="20"/>
        </w:rPr>
        <w:t xml:space="preserve">("the </w:t>
      </w:r>
      <w:r w:rsidRPr="00936E85">
        <w:rPr>
          <w:rFonts w:cs="Times New Roman"/>
          <w:i/>
          <w:sz w:val="20"/>
          <w:szCs w:val="20"/>
        </w:rPr>
        <w:t>Protocol</w:t>
      </w:r>
      <w:r w:rsidRPr="00936E85">
        <w:rPr>
          <w:rFonts w:cs="Times New Roman"/>
          <w:sz w:val="20"/>
          <w:szCs w:val="20"/>
        </w:rPr>
        <w:t>") dated December 1, 2010, attached to this order.</w:t>
      </w:r>
    </w:p>
    <w:p w:rsidR="00936E85" w:rsidRPr="00936E85" w:rsidRDefault="00936E85" w:rsidP="00936E85">
      <w:pPr>
        <w:widowControl w:val="0"/>
        <w:jc w:val="both"/>
        <w:rPr>
          <w:rFonts w:cs="Times New Roman"/>
          <w:sz w:val="20"/>
          <w:szCs w:val="20"/>
        </w:rPr>
      </w:pPr>
    </w:p>
    <w:p w:rsidR="00936E85" w:rsidRPr="00936E85" w:rsidRDefault="00936E85" w:rsidP="00936E85">
      <w:pPr>
        <w:widowControl w:val="0"/>
        <w:ind w:left="720" w:hanging="720"/>
        <w:jc w:val="both"/>
        <w:rPr>
          <w:rFonts w:cs="Times New Roman"/>
          <w:sz w:val="20"/>
          <w:szCs w:val="20"/>
        </w:rPr>
      </w:pPr>
      <w:r w:rsidRPr="00936E85">
        <w:rPr>
          <w:rFonts w:cs="Times New Roman"/>
          <w:sz w:val="20"/>
          <w:szCs w:val="20"/>
        </w:rPr>
        <w:t>3.</w:t>
      </w:r>
      <w:r w:rsidRPr="00936E85">
        <w:rPr>
          <w:rFonts w:cs="Times New Roman"/>
          <w:sz w:val="20"/>
          <w:szCs w:val="20"/>
        </w:rPr>
        <w:tab/>
        <w:t xml:space="preserve">The exhibits will be picked up, retained, handled, examined, and thereafter returned to the Superior Court of Justice in accordance with the </w:t>
      </w:r>
      <w:r w:rsidRPr="00936E85">
        <w:rPr>
          <w:rFonts w:cs="Times New Roman"/>
          <w:i/>
          <w:sz w:val="20"/>
          <w:szCs w:val="20"/>
        </w:rPr>
        <w:t>Protocol</w:t>
      </w:r>
      <w:r w:rsidRPr="00936E85">
        <w:rPr>
          <w:rFonts w:cs="Times New Roman"/>
          <w:sz w:val="20"/>
          <w:szCs w:val="20"/>
        </w:rPr>
        <w:t>.</w:t>
      </w:r>
    </w:p>
    <w:p w:rsidR="00936E85" w:rsidRPr="00936E85" w:rsidRDefault="00936E85" w:rsidP="00936E85">
      <w:pPr>
        <w:widowControl w:val="0"/>
        <w:jc w:val="both"/>
        <w:rPr>
          <w:rFonts w:cs="Times New Roman"/>
          <w:sz w:val="20"/>
          <w:szCs w:val="20"/>
        </w:rPr>
      </w:pPr>
    </w:p>
    <w:p w:rsidR="00936E85" w:rsidRPr="00936E85" w:rsidRDefault="00936E85" w:rsidP="00936E85">
      <w:pPr>
        <w:widowControl w:val="0"/>
        <w:ind w:left="720" w:hanging="720"/>
        <w:jc w:val="both"/>
        <w:rPr>
          <w:rFonts w:cs="Times New Roman"/>
          <w:sz w:val="20"/>
          <w:szCs w:val="20"/>
        </w:rPr>
      </w:pPr>
      <w:r w:rsidRPr="00936E85">
        <w:rPr>
          <w:rFonts w:cs="Times New Roman"/>
          <w:sz w:val="20"/>
          <w:szCs w:val="20"/>
        </w:rPr>
        <w:t>4.</w:t>
      </w:r>
      <w:r w:rsidRPr="00936E85">
        <w:rPr>
          <w:rFonts w:cs="Times New Roman"/>
          <w:sz w:val="20"/>
          <w:szCs w:val="20"/>
        </w:rPr>
        <w:tab/>
        <w:t xml:space="preserve">A report on the results of the testing will be prepared in accordance with the </w:t>
      </w:r>
      <w:r w:rsidRPr="00936E85">
        <w:rPr>
          <w:rFonts w:cs="Times New Roman"/>
          <w:i/>
          <w:sz w:val="20"/>
          <w:szCs w:val="20"/>
        </w:rPr>
        <w:t xml:space="preserve">Protocol </w:t>
      </w:r>
      <w:r w:rsidRPr="00936E85">
        <w:rPr>
          <w:rFonts w:cs="Times New Roman"/>
          <w:sz w:val="20"/>
          <w:szCs w:val="20"/>
        </w:rPr>
        <w:t>and that report, along with any and all notes, raw data, photographs, literature or other documents used in the preparation of the report, will be forwarded to counsel for the Applicant.  Thereafter, in accordance with the undertaking provided by counsel for the Applicant, counsel for the Applicant will provide forthwith a copy of all reports and all accompanying materials that were provided to them by the Centre of Forensic Sciences to counsel for the Respondent.</w:t>
      </w:r>
    </w:p>
    <w:p w:rsidR="00936E85" w:rsidRPr="00936E85" w:rsidRDefault="00936E85" w:rsidP="00936E85">
      <w:pPr>
        <w:widowControl w:val="0"/>
        <w:jc w:val="both"/>
        <w:rPr>
          <w:rFonts w:cs="Times New Roman"/>
          <w:sz w:val="20"/>
          <w:szCs w:val="20"/>
        </w:rPr>
      </w:pPr>
    </w:p>
    <w:p w:rsidR="00936E85" w:rsidRPr="00936E85" w:rsidRDefault="00936E85" w:rsidP="00936E85">
      <w:pPr>
        <w:widowControl w:val="0"/>
        <w:ind w:left="720" w:hanging="720"/>
        <w:jc w:val="both"/>
        <w:rPr>
          <w:rFonts w:cs="Times New Roman"/>
          <w:sz w:val="20"/>
          <w:szCs w:val="20"/>
        </w:rPr>
      </w:pPr>
      <w:r w:rsidRPr="00936E85">
        <w:rPr>
          <w:rFonts w:cs="Times New Roman"/>
          <w:sz w:val="20"/>
          <w:szCs w:val="20"/>
        </w:rPr>
        <w:t>5.</w:t>
      </w:r>
      <w:r w:rsidRPr="00936E85">
        <w:rPr>
          <w:rFonts w:cs="Times New Roman"/>
          <w:sz w:val="20"/>
          <w:szCs w:val="20"/>
        </w:rPr>
        <w:tab/>
        <w:t>Any fresh evidence application that is to be brought as a result of the scientific testing must be filed by the Applicant within 60 days of the receipt of the final report from the Centre of Forensic Sciences.</w:t>
      </w:r>
    </w:p>
    <w:p w:rsidR="00936E85" w:rsidRPr="00936E85" w:rsidRDefault="00936E85" w:rsidP="00936E85">
      <w:pPr>
        <w:widowControl w:val="0"/>
        <w:rPr>
          <w:rFonts w:cs="Times New Roman"/>
          <w:b/>
          <w:sz w:val="20"/>
          <w:szCs w:val="20"/>
        </w:rPr>
      </w:pPr>
    </w:p>
    <w:p w:rsidR="00936E85" w:rsidRPr="00936E85" w:rsidRDefault="00936E85" w:rsidP="00936E85">
      <w:pPr>
        <w:widowControl w:val="0"/>
        <w:rPr>
          <w:rFonts w:cs="Times New Roman"/>
          <w:b/>
          <w:sz w:val="20"/>
          <w:szCs w:val="20"/>
        </w:rPr>
      </w:pPr>
    </w:p>
    <w:p w:rsidR="00936E85" w:rsidRPr="00936E85" w:rsidRDefault="00936E85" w:rsidP="00936E85">
      <w:pPr>
        <w:widowControl w:val="0"/>
        <w:rPr>
          <w:rFonts w:cs="Times New Roman"/>
          <w:b/>
          <w:sz w:val="20"/>
          <w:szCs w:val="20"/>
        </w:rPr>
      </w:pPr>
    </w:p>
    <w:p w:rsidR="00936E85" w:rsidRPr="00936E85" w:rsidRDefault="00936E85" w:rsidP="00936E85">
      <w:pPr>
        <w:widowControl w:val="0"/>
        <w:rPr>
          <w:rFonts w:cs="Times New Roman"/>
          <w:b/>
          <w:sz w:val="20"/>
          <w:szCs w:val="20"/>
          <w:lang w:val="fr-FR"/>
        </w:rPr>
      </w:pPr>
      <w:r w:rsidRPr="00936E85">
        <w:rPr>
          <w:rFonts w:cs="Times New Roman"/>
          <w:b/>
          <w:sz w:val="20"/>
          <w:szCs w:val="20"/>
          <w:lang w:val="fr-FR"/>
        </w:rPr>
        <w:t xml:space="preserve">À LA SUITE DE LA REQUÊTE </w:t>
      </w:r>
      <w:r w:rsidRPr="00936E85">
        <w:rPr>
          <w:rFonts w:cs="Times New Roman"/>
          <w:sz w:val="20"/>
          <w:szCs w:val="20"/>
          <w:lang w:val="fr-FR"/>
        </w:rPr>
        <w:t>présentée par les avocats du demandeur visant la production de certaines pièces et leur remise pour analyse scientifique au Centre des sciences judiciaires;</w:t>
      </w:r>
      <w:r w:rsidRPr="00936E85">
        <w:rPr>
          <w:rFonts w:cs="Times New Roman"/>
          <w:b/>
          <w:sz w:val="20"/>
          <w:szCs w:val="20"/>
          <w:lang w:val="fr-FR"/>
        </w:rPr>
        <w:t xml:space="preserve"> </w:t>
      </w:r>
    </w:p>
    <w:p w:rsidR="00936E85" w:rsidRPr="00936E85" w:rsidRDefault="00936E85" w:rsidP="00936E85">
      <w:pPr>
        <w:widowControl w:val="0"/>
        <w:jc w:val="both"/>
        <w:rPr>
          <w:rFonts w:cs="Times New Roman"/>
          <w:sz w:val="20"/>
          <w:szCs w:val="20"/>
          <w:lang w:val="fr-FR"/>
        </w:rPr>
      </w:pPr>
    </w:p>
    <w:p w:rsidR="00936E85" w:rsidRPr="00936E85" w:rsidRDefault="00936E85" w:rsidP="00936E85">
      <w:pPr>
        <w:widowControl w:val="0"/>
        <w:jc w:val="both"/>
        <w:rPr>
          <w:rFonts w:cs="Times New Roman"/>
          <w:b/>
          <w:sz w:val="20"/>
          <w:szCs w:val="20"/>
          <w:lang w:val="fr-FR"/>
        </w:rPr>
      </w:pPr>
      <w:r w:rsidRPr="00936E85">
        <w:rPr>
          <w:rFonts w:cs="Times New Roman"/>
          <w:b/>
          <w:sz w:val="20"/>
          <w:szCs w:val="20"/>
          <w:lang w:val="fr-FR"/>
        </w:rPr>
        <w:t>IL EST ORDONNÉ CE QUI SUIT :</w:t>
      </w:r>
    </w:p>
    <w:p w:rsidR="00936E85" w:rsidRPr="00936E85" w:rsidRDefault="00936E85" w:rsidP="00936E85">
      <w:pPr>
        <w:widowControl w:val="0"/>
        <w:jc w:val="both"/>
        <w:rPr>
          <w:rFonts w:cs="Times New Roman"/>
          <w:sz w:val="20"/>
          <w:szCs w:val="20"/>
          <w:lang w:val="fr-FR"/>
        </w:rPr>
      </w:pPr>
      <w:r w:rsidRPr="00936E85">
        <w:rPr>
          <w:rFonts w:cs="Times New Roman"/>
          <w:b/>
          <w:sz w:val="20"/>
          <w:szCs w:val="20"/>
          <w:lang w:val="fr-FR"/>
        </w:rPr>
        <w:t xml:space="preserve"> </w:t>
      </w:r>
    </w:p>
    <w:p w:rsidR="00936E85" w:rsidRPr="00936E85" w:rsidRDefault="00936E85" w:rsidP="00936E85">
      <w:pPr>
        <w:widowControl w:val="0"/>
        <w:ind w:left="720" w:hanging="720"/>
        <w:jc w:val="both"/>
        <w:rPr>
          <w:rFonts w:cs="Times New Roman"/>
          <w:sz w:val="20"/>
          <w:szCs w:val="20"/>
          <w:lang w:val="fr-CA"/>
        </w:rPr>
      </w:pPr>
      <w:r w:rsidRPr="00936E85">
        <w:rPr>
          <w:rFonts w:cs="Times New Roman"/>
          <w:sz w:val="20"/>
          <w:szCs w:val="20"/>
          <w:lang w:val="fr-FR"/>
        </w:rPr>
        <w:t>1.</w:t>
      </w:r>
      <w:r w:rsidRPr="00936E85">
        <w:rPr>
          <w:rFonts w:cs="Times New Roman"/>
          <w:sz w:val="20"/>
          <w:szCs w:val="20"/>
          <w:lang w:val="fr-FR"/>
        </w:rPr>
        <w:tab/>
      </w:r>
      <w:r w:rsidRPr="00936E85">
        <w:rPr>
          <w:rFonts w:cs="Times New Roman"/>
          <w:sz w:val="20"/>
          <w:szCs w:val="20"/>
          <w:lang w:val="fr-CA"/>
        </w:rPr>
        <w:t>Les pièces 49 (une page de journal contenant des poils ou cheveux) et 52 (un rasoir présentant des poils ou cheveux), déposées au procès, seront remises au Centre des sciences judiciaires, à Toronto, pour analyse scientifique en vertu du par. 695(1) et de l’al. 683(1)</w:t>
      </w:r>
      <w:r w:rsidRPr="00936E85">
        <w:rPr>
          <w:rFonts w:cs="Times New Roman"/>
          <w:i/>
          <w:sz w:val="20"/>
          <w:szCs w:val="20"/>
          <w:lang w:val="fr-CA"/>
        </w:rPr>
        <w:t>a</w:t>
      </w:r>
      <w:r w:rsidRPr="00936E85">
        <w:rPr>
          <w:rFonts w:cs="Times New Roman"/>
          <w:sz w:val="20"/>
          <w:szCs w:val="20"/>
          <w:lang w:val="fr-CA"/>
        </w:rPr>
        <w:t xml:space="preserve">) du </w:t>
      </w:r>
      <w:r w:rsidRPr="00936E85">
        <w:rPr>
          <w:rFonts w:cs="Times New Roman"/>
          <w:i/>
          <w:sz w:val="20"/>
          <w:szCs w:val="20"/>
          <w:lang w:val="fr-CA"/>
        </w:rPr>
        <w:t>Code criminel</w:t>
      </w:r>
      <w:r w:rsidRPr="00936E85">
        <w:rPr>
          <w:rFonts w:cs="Times New Roman"/>
          <w:sz w:val="20"/>
          <w:szCs w:val="20"/>
          <w:lang w:val="fr-CA"/>
        </w:rPr>
        <w:t xml:space="preserve"> du Canada. </w:t>
      </w:r>
    </w:p>
    <w:p w:rsidR="00936E85" w:rsidRPr="00936E85" w:rsidRDefault="00936E85" w:rsidP="00936E85">
      <w:pPr>
        <w:widowControl w:val="0"/>
        <w:jc w:val="both"/>
        <w:rPr>
          <w:rFonts w:cs="Times New Roman"/>
          <w:sz w:val="20"/>
          <w:szCs w:val="20"/>
          <w:lang w:val="fr-CA"/>
        </w:rPr>
      </w:pPr>
    </w:p>
    <w:p w:rsidR="00936E85" w:rsidRPr="00936E85" w:rsidRDefault="00936E85" w:rsidP="00936E85">
      <w:pPr>
        <w:widowControl w:val="0"/>
        <w:ind w:left="720" w:hanging="720"/>
        <w:jc w:val="both"/>
        <w:rPr>
          <w:rFonts w:cs="Times New Roman"/>
          <w:sz w:val="20"/>
          <w:szCs w:val="20"/>
          <w:lang w:val="fr-CA"/>
        </w:rPr>
      </w:pPr>
      <w:r w:rsidRPr="00936E85">
        <w:rPr>
          <w:rFonts w:cs="Times New Roman"/>
          <w:sz w:val="20"/>
          <w:szCs w:val="20"/>
          <w:lang w:val="fr-CA"/>
        </w:rPr>
        <w:t>2.</w:t>
      </w:r>
      <w:r w:rsidRPr="00936E85">
        <w:rPr>
          <w:rFonts w:cs="Times New Roman"/>
          <w:sz w:val="20"/>
          <w:szCs w:val="20"/>
          <w:lang w:val="fr-CA"/>
        </w:rPr>
        <w:tab/>
        <w:t xml:space="preserve">L’analyse sera effectuée conformément au </w:t>
      </w:r>
      <w:r w:rsidRPr="00936E85">
        <w:rPr>
          <w:rFonts w:cs="Times New Roman"/>
          <w:i/>
          <w:sz w:val="20"/>
          <w:szCs w:val="20"/>
          <w:lang w:val="fr-CA"/>
        </w:rPr>
        <w:t xml:space="preserve">Protocol for Testing of Hairs </w:t>
      </w:r>
      <w:r w:rsidRPr="00936E85">
        <w:rPr>
          <w:rFonts w:cs="Times New Roman"/>
          <w:sz w:val="20"/>
          <w:szCs w:val="20"/>
          <w:lang w:val="fr-CA"/>
        </w:rPr>
        <w:t>(le « protocole »), en date du 1</w:t>
      </w:r>
      <w:r w:rsidRPr="00936E85">
        <w:rPr>
          <w:rFonts w:cs="Times New Roman"/>
          <w:sz w:val="20"/>
          <w:szCs w:val="20"/>
          <w:vertAlign w:val="superscript"/>
          <w:lang w:val="fr-CA"/>
        </w:rPr>
        <w:t>er</w:t>
      </w:r>
      <w:r w:rsidRPr="00936E85">
        <w:rPr>
          <w:rFonts w:cs="Times New Roman"/>
          <w:sz w:val="20"/>
          <w:szCs w:val="20"/>
          <w:lang w:val="fr-CA"/>
        </w:rPr>
        <w:t xml:space="preserve"> décembre 2010, ci-joint.</w:t>
      </w:r>
    </w:p>
    <w:p w:rsidR="00936E85" w:rsidRPr="00936E85" w:rsidRDefault="00936E85" w:rsidP="00936E85">
      <w:pPr>
        <w:widowControl w:val="0"/>
        <w:jc w:val="both"/>
        <w:rPr>
          <w:rFonts w:cs="Times New Roman"/>
          <w:sz w:val="20"/>
          <w:szCs w:val="20"/>
          <w:lang w:val="fr-CA"/>
        </w:rPr>
      </w:pPr>
    </w:p>
    <w:p w:rsidR="00936E85" w:rsidRPr="00936E85" w:rsidRDefault="00936E85" w:rsidP="00936E85">
      <w:pPr>
        <w:widowControl w:val="0"/>
        <w:ind w:left="720" w:hanging="720"/>
        <w:jc w:val="both"/>
        <w:rPr>
          <w:rFonts w:cs="Times New Roman"/>
          <w:sz w:val="20"/>
          <w:szCs w:val="20"/>
          <w:lang w:val="fr-FR"/>
        </w:rPr>
      </w:pPr>
      <w:r w:rsidRPr="00936E85">
        <w:rPr>
          <w:rFonts w:cs="Times New Roman"/>
          <w:sz w:val="20"/>
          <w:szCs w:val="20"/>
          <w:lang w:val="fr-CA"/>
        </w:rPr>
        <w:t>3.</w:t>
      </w:r>
      <w:r w:rsidRPr="00936E85">
        <w:rPr>
          <w:rFonts w:cs="Times New Roman"/>
          <w:sz w:val="20"/>
          <w:szCs w:val="20"/>
          <w:lang w:val="fr-CA"/>
        </w:rPr>
        <w:tab/>
        <w:t xml:space="preserve">Les pièces seront prises, conservées, manipulées, analysées et remises ensuite à la Cour supérieure de justice conformément au protocole. </w:t>
      </w:r>
    </w:p>
    <w:p w:rsidR="00936E85" w:rsidRPr="00936E85" w:rsidRDefault="00936E85" w:rsidP="00936E85">
      <w:pPr>
        <w:rPr>
          <w:rFonts w:cs="Times New Roman"/>
          <w:sz w:val="20"/>
          <w:szCs w:val="20"/>
          <w:lang w:val="fr-FR"/>
        </w:rPr>
      </w:pPr>
      <w:r w:rsidRPr="00936E85">
        <w:rPr>
          <w:rFonts w:cs="Times New Roman"/>
          <w:sz w:val="20"/>
          <w:szCs w:val="20"/>
          <w:lang w:val="fr-FR"/>
        </w:rPr>
        <w:br w:type="page"/>
      </w:r>
    </w:p>
    <w:p w:rsidR="00936E85" w:rsidRPr="00936E85" w:rsidRDefault="00936E85" w:rsidP="00936E85">
      <w:pPr>
        <w:widowControl w:val="0"/>
        <w:jc w:val="both"/>
        <w:rPr>
          <w:rFonts w:cs="Times New Roman"/>
          <w:sz w:val="20"/>
          <w:szCs w:val="20"/>
          <w:lang w:val="fr-FR"/>
        </w:rPr>
      </w:pPr>
    </w:p>
    <w:p w:rsidR="00936E85" w:rsidRPr="00936E85" w:rsidRDefault="00936E85" w:rsidP="00936E85">
      <w:pPr>
        <w:widowControl w:val="0"/>
        <w:ind w:left="720" w:hanging="720"/>
        <w:jc w:val="both"/>
        <w:rPr>
          <w:rFonts w:cs="Times New Roman"/>
          <w:sz w:val="20"/>
          <w:szCs w:val="20"/>
          <w:lang w:val="fr-FR"/>
        </w:rPr>
      </w:pPr>
      <w:r w:rsidRPr="00936E85">
        <w:rPr>
          <w:rFonts w:cs="Times New Roman"/>
          <w:sz w:val="20"/>
          <w:szCs w:val="20"/>
          <w:lang w:val="fr-CA"/>
        </w:rPr>
        <w:t>4.</w:t>
      </w:r>
      <w:r w:rsidRPr="00936E85">
        <w:rPr>
          <w:rFonts w:cs="Times New Roman"/>
          <w:sz w:val="20"/>
          <w:szCs w:val="20"/>
          <w:lang w:val="fr-CA"/>
        </w:rPr>
        <w:tab/>
        <w:t>Un rapport faisant état des résultats de l’analyse sera établi conformément au protocole. Le rapport et l’ensemble des notes, des données brutes, des photographies, de la documentation et des autres documents ayant servi à la rédaction du rapport seront transmis aux avocats du demandeur.  Ces derniers fourniront ensuite sans délai aux avocats de l’intimée, comme ils se sont engagés à le faire, une copie de tous les rapports et des pièces jointes que leur aura transmis le Centre des sciences judiciaires.</w:t>
      </w:r>
    </w:p>
    <w:p w:rsidR="00936E85" w:rsidRPr="00936E85" w:rsidRDefault="00936E85" w:rsidP="00936E85">
      <w:pPr>
        <w:widowControl w:val="0"/>
        <w:jc w:val="both"/>
        <w:rPr>
          <w:rFonts w:cs="Times New Roman"/>
          <w:sz w:val="20"/>
          <w:szCs w:val="20"/>
          <w:lang w:val="fr-FR"/>
        </w:rPr>
      </w:pPr>
    </w:p>
    <w:p w:rsidR="00936E85" w:rsidRPr="00936E85" w:rsidRDefault="00936E85" w:rsidP="00936E85">
      <w:pPr>
        <w:widowControl w:val="0"/>
        <w:ind w:left="720" w:hanging="720"/>
        <w:jc w:val="both"/>
        <w:rPr>
          <w:rFonts w:cs="Times New Roman"/>
          <w:sz w:val="20"/>
          <w:szCs w:val="20"/>
          <w:lang w:val="fr-FR"/>
        </w:rPr>
      </w:pPr>
      <w:r w:rsidRPr="00936E85">
        <w:rPr>
          <w:rFonts w:cs="Times New Roman"/>
          <w:sz w:val="20"/>
          <w:szCs w:val="20"/>
          <w:lang w:val="fr-CA"/>
        </w:rPr>
        <w:t>5.</w:t>
      </w:r>
      <w:r w:rsidRPr="00936E85">
        <w:rPr>
          <w:rFonts w:cs="Times New Roman"/>
          <w:sz w:val="20"/>
          <w:szCs w:val="20"/>
          <w:lang w:val="fr-CA"/>
        </w:rPr>
        <w:tab/>
        <w:t>Toute demande visant à produire de nouveaux éléments de preuve issus de l’analyse scientifique doit être déposée, le cas échéant, par le demandeur dans les 60 jours de la réception du rapport final transmis par le Centre des sciences judiciaires.</w:t>
      </w:r>
    </w:p>
    <w:p w:rsidR="00936E85" w:rsidRPr="00936E85" w:rsidRDefault="00936E85" w:rsidP="00936E85">
      <w:pPr>
        <w:tabs>
          <w:tab w:val="left" w:pos="-1440"/>
          <w:tab w:val="left" w:pos="-720"/>
        </w:tabs>
        <w:jc w:val="both"/>
        <w:rPr>
          <w:rFonts w:cs="Times New Roman"/>
          <w:sz w:val="20"/>
          <w:szCs w:val="20"/>
          <w:lang w:val="fr-FR"/>
        </w:rPr>
      </w:pPr>
    </w:p>
    <w:p w:rsidR="00936E85" w:rsidRPr="00936E85" w:rsidRDefault="00936E85" w:rsidP="00936E85">
      <w:pPr>
        <w:tabs>
          <w:tab w:val="left" w:pos="-1440"/>
          <w:tab w:val="left" w:pos="-720"/>
        </w:tabs>
        <w:spacing w:line="-19" w:lineRule="auto"/>
        <w:jc w:val="both"/>
        <w:rPr>
          <w:rFonts w:cs="Times New Roman"/>
          <w:sz w:val="20"/>
          <w:szCs w:val="20"/>
          <w:lang w:val="fr-CA"/>
        </w:rPr>
      </w:pPr>
    </w:p>
    <w:p w:rsidR="00936E85" w:rsidRPr="00936E85" w:rsidRDefault="00D56013" w:rsidP="00936E85">
      <w:pPr>
        <w:tabs>
          <w:tab w:val="left" w:pos="-1440"/>
          <w:tab w:val="left" w:pos="-720"/>
        </w:tabs>
        <w:jc w:val="both"/>
        <w:rPr>
          <w:rFonts w:cs="Times New Roman"/>
          <w:sz w:val="20"/>
          <w:szCs w:val="20"/>
        </w:rPr>
      </w:pPr>
      <w:r w:rsidRPr="00D56013">
        <w:rPr>
          <w:rFonts w:cs="Times New Roman"/>
          <w:sz w:val="20"/>
          <w:szCs w:val="20"/>
          <w:lang w:val="fr-CA"/>
        </w:rPr>
        <w:pict>
          <v:rect id="_x0000_i1094" style="width:2in;height:1pt" o:hrpct="0" o:hralign="center" o:hrstd="t" o:hrnoshade="t" o:hr="t" fillcolor="black [3213]" stroked="f"/>
        </w:pict>
      </w:r>
    </w:p>
    <w:p w:rsidR="00936E85" w:rsidRPr="00936E85" w:rsidRDefault="00936E85" w:rsidP="00936E85">
      <w:pPr>
        <w:tabs>
          <w:tab w:val="left" w:pos="-1440"/>
          <w:tab w:val="left" w:pos="-720"/>
        </w:tabs>
        <w:jc w:val="both"/>
        <w:rPr>
          <w:rFonts w:cs="Times New Roman"/>
          <w:sz w:val="20"/>
          <w:szCs w:val="20"/>
        </w:rPr>
      </w:pPr>
    </w:p>
    <w:p w:rsidR="00936E85" w:rsidRPr="00936E85" w:rsidRDefault="00936E85" w:rsidP="00936E85">
      <w:pPr>
        <w:tabs>
          <w:tab w:val="left" w:pos="-1440"/>
          <w:tab w:val="left" w:pos="-720"/>
        </w:tabs>
        <w:jc w:val="both"/>
        <w:rPr>
          <w:rFonts w:cs="Times New Roman"/>
          <w:sz w:val="20"/>
          <w:szCs w:val="20"/>
        </w:rPr>
      </w:pPr>
      <w:r w:rsidRPr="00936E85">
        <w:rPr>
          <w:rFonts w:cs="Times New Roman"/>
          <w:sz w:val="20"/>
          <w:szCs w:val="20"/>
        </w:rPr>
        <w:t>10.12.2010</w:t>
      </w:r>
    </w:p>
    <w:p w:rsidR="00936E85" w:rsidRPr="00936E85" w:rsidRDefault="00936E85" w:rsidP="00936E85">
      <w:pPr>
        <w:tabs>
          <w:tab w:val="left" w:pos="-1440"/>
          <w:tab w:val="left" w:pos="-720"/>
        </w:tabs>
        <w:jc w:val="both"/>
        <w:rPr>
          <w:rFonts w:cs="Times New Roman"/>
          <w:sz w:val="20"/>
          <w:szCs w:val="20"/>
        </w:rPr>
      </w:pPr>
    </w:p>
    <w:p w:rsidR="00936E85" w:rsidRPr="00936E85" w:rsidRDefault="00936E85" w:rsidP="00936E85">
      <w:pPr>
        <w:jc w:val="both"/>
        <w:rPr>
          <w:rFonts w:cs="Times New Roman"/>
          <w:sz w:val="20"/>
          <w:szCs w:val="20"/>
          <w:lang w:val="fr-CA"/>
        </w:rPr>
      </w:pPr>
      <w:r w:rsidRPr="00936E85">
        <w:rPr>
          <w:rFonts w:cs="Times New Roman"/>
          <w:sz w:val="20"/>
          <w:szCs w:val="20"/>
          <w:lang w:val="fr-CA"/>
        </w:rPr>
        <w:t>Before / Devant:   CROMWELL J. / LE JUGE CROMWELL</w:t>
      </w:r>
    </w:p>
    <w:p w:rsidR="00936E85" w:rsidRPr="00936E85" w:rsidRDefault="00936E85" w:rsidP="00936E85">
      <w:pPr>
        <w:jc w:val="both"/>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936E85" w:rsidRPr="00850008" w:rsidTr="00D77551">
        <w:trPr>
          <w:trHeight w:val="151"/>
        </w:trPr>
        <w:tc>
          <w:tcPr>
            <w:tcW w:w="4338" w:type="dxa"/>
          </w:tcPr>
          <w:p w:rsidR="00936E85" w:rsidRPr="00936E85" w:rsidRDefault="00D56013" w:rsidP="00D77551">
            <w:pPr>
              <w:tabs>
                <w:tab w:val="left" w:pos="-1440"/>
                <w:tab w:val="left" w:pos="-720"/>
              </w:tabs>
              <w:jc w:val="both"/>
              <w:rPr>
                <w:rFonts w:cs="Times New Roman"/>
                <w:sz w:val="20"/>
                <w:szCs w:val="20"/>
              </w:rPr>
            </w:pPr>
            <w:r w:rsidRPr="00936E85">
              <w:rPr>
                <w:rFonts w:cs="Times New Roman"/>
                <w:sz w:val="20"/>
                <w:szCs w:val="20"/>
              </w:rPr>
              <w:fldChar w:fldCharType="begin"/>
            </w:r>
            <w:r w:rsidR="00936E85" w:rsidRPr="00936E85">
              <w:rPr>
                <w:rFonts w:cs="Times New Roman"/>
                <w:sz w:val="20"/>
                <w:szCs w:val="20"/>
              </w:rPr>
              <w:instrText xml:space="preserve"> SEQ CHAPTER \h \r 1</w:instrText>
            </w:r>
            <w:r w:rsidRPr="00936E85">
              <w:rPr>
                <w:rFonts w:cs="Times New Roman"/>
                <w:sz w:val="20"/>
                <w:szCs w:val="20"/>
              </w:rPr>
              <w:fldChar w:fldCharType="end"/>
            </w:r>
            <w:r w:rsidR="00936E85" w:rsidRPr="00936E85">
              <w:rPr>
                <w:rFonts w:cs="Times New Roman"/>
                <w:b/>
                <w:bCs/>
                <w:sz w:val="20"/>
                <w:szCs w:val="20"/>
              </w:rPr>
              <w:t>Motion to reproduce printouts of exhibit 2 from the sealed supplementary appeal books from the Court below for the purpose of preparing the respondent’s record</w:t>
            </w:r>
          </w:p>
        </w:tc>
        <w:tc>
          <w:tcPr>
            <w:tcW w:w="1170" w:type="dxa"/>
          </w:tcPr>
          <w:p w:rsidR="00936E85" w:rsidRPr="00936E85" w:rsidRDefault="00936E85" w:rsidP="00D77551">
            <w:pPr>
              <w:jc w:val="both"/>
              <w:rPr>
                <w:rFonts w:cs="Times New Roman"/>
                <w:sz w:val="20"/>
                <w:szCs w:val="20"/>
              </w:rPr>
            </w:pPr>
          </w:p>
          <w:p w:rsidR="00936E85" w:rsidRPr="00936E85" w:rsidRDefault="00936E85" w:rsidP="00D77551">
            <w:pPr>
              <w:jc w:val="both"/>
              <w:rPr>
                <w:rFonts w:cs="Times New Roman"/>
                <w:sz w:val="20"/>
                <w:szCs w:val="20"/>
              </w:rPr>
            </w:pPr>
          </w:p>
          <w:p w:rsidR="00936E85" w:rsidRPr="00936E85" w:rsidRDefault="00936E85" w:rsidP="00D77551">
            <w:pPr>
              <w:jc w:val="both"/>
              <w:rPr>
                <w:rFonts w:cs="Times New Roman"/>
                <w:sz w:val="20"/>
                <w:szCs w:val="20"/>
              </w:rPr>
            </w:pPr>
          </w:p>
          <w:p w:rsidR="00936E85" w:rsidRDefault="00936E85" w:rsidP="00D77551">
            <w:pPr>
              <w:jc w:val="both"/>
              <w:rPr>
                <w:rFonts w:cs="Times New Roman"/>
                <w:sz w:val="20"/>
                <w:szCs w:val="20"/>
              </w:rPr>
            </w:pPr>
          </w:p>
          <w:p w:rsidR="00936E85" w:rsidRPr="00936E85" w:rsidRDefault="00936E85" w:rsidP="00D77551">
            <w:pPr>
              <w:jc w:val="both"/>
              <w:rPr>
                <w:rFonts w:cs="Times New Roman"/>
                <w:sz w:val="20"/>
                <w:szCs w:val="20"/>
              </w:rPr>
            </w:pPr>
          </w:p>
        </w:tc>
        <w:tc>
          <w:tcPr>
            <w:tcW w:w="4327" w:type="dxa"/>
          </w:tcPr>
          <w:p w:rsidR="00936E85" w:rsidRPr="00936E85" w:rsidRDefault="00D56013" w:rsidP="00D77551">
            <w:pPr>
              <w:jc w:val="both"/>
              <w:rPr>
                <w:rFonts w:cs="Times New Roman"/>
                <w:b/>
                <w:sz w:val="20"/>
                <w:szCs w:val="20"/>
                <w:lang w:val="fr-CA"/>
              </w:rPr>
            </w:pPr>
            <w:r w:rsidRPr="00936E85">
              <w:rPr>
                <w:rFonts w:cs="Times New Roman"/>
                <w:b/>
                <w:sz w:val="20"/>
                <w:szCs w:val="20"/>
              </w:rPr>
              <w:fldChar w:fldCharType="begin"/>
            </w:r>
            <w:r w:rsidR="00936E85" w:rsidRPr="00936E85">
              <w:rPr>
                <w:rFonts w:cs="Times New Roman"/>
                <w:b/>
                <w:sz w:val="20"/>
                <w:szCs w:val="20"/>
                <w:lang w:val="fr-CA"/>
              </w:rPr>
              <w:instrText xml:space="preserve"> SEQ CHAPTER \h \r 1</w:instrText>
            </w:r>
            <w:r w:rsidRPr="00936E85">
              <w:rPr>
                <w:rFonts w:cs="Times New Roman"/>
                <w:b/>
                <w:sz w:val="20"/>
                <w:szCs w:val="20"/>
              </w:rPr>
              <w:fldChar w:fldCharType="end"/>
            </w:r>
            <w:r w:rsidRPr="00936E85">
              <w:rPr>
                <w:rFonts w:cs="Times New Roman"/>
                <w:b/>
                <w:sz w:val="20"/>
                <w:szCs w:val="20"/>
              </w:rPr>
              <w:fldChar w:fldCharType="begin"/>
            </w:r>
            <w:r w:rsidR="00936E85" w:rsidRPr="00936E85">
              <w:rPr>
                <w:rFonts w:cs="Times New Roman"/>
                <w:b/>
                <w:sz w:val="20"/>
                <w:szCs w:val="20"/>
                <w:lang w:val="fr-CA"/>
              </w:rPr>
              <w:instrText xml:space="preserve"> SEQ CHAPTER \h \r 1</w:instrText>
            </w:r>
            <w:r w:rsidRPr="00936E85">
              <w:rPr>
                <w:rFonts w:cs="Times New Roman"/>
                <w:b/>
                <w:sz w:val="20"/>
                <w:szCs w:val="20"/>
              </w:rPr>
              <w:fldChar w:fldCharType="end"/>
            </w:r>
            <w:r w:rsidR="00936E85" w:rsidRPr="00936E85">
              <w:rPr>
                <w:rFonts w:cs="Times New Roman"/>
                <w:b/>
                <w:bCs/>
                <w:sz w:val="20"/>
                <w:szCs w:val="20"/>
                <w:lang w:val="fr-CA"/>
              </w:rPr>
              <w:t>Requête en vue de reproduire, pour la préparation du dossier de l’intimée, les imprimés de la pièce 2 dans les dossiers d’appel supplémentaires de la juridiction inférieure mis sous scellés</w:t>
            </w:r>
          </w:p>
        </w:tc>
      </w:tr>
      <w:tr w:rsidR="00936E85" w:rsidRPr="00936E85" w:rsidTr="00D77551">
        <w:trPr>
          <w:trHeight w:val="150"/>
        </w:trPr>
        <w:tc>
          <w:tcPr>
            <w:tcW w:w="4338" w:type="dxa"/>
          </w:tcPr>
          <w:p w:rsidR="00936E85" w:rsidRPr="00936E85" w:rsidRDefault="00936E85" w:rsidP="00D77551">
            <w:pPr>
              <w:tabs>
                <w:tab w:val="left" w:pos="-1440"/>
                <w:tab w:val="left" w:pos="-720"/>
              </w:tabs>
              <w:jc w:val="both"/>
              <w:rPr>
                <w:rFonts w:cs="Times New Roman"/>
                <w:sz w:val="20"/>
                <w:szCs w:val="20"/>
              </w:rPr>
            </w:pPr>
            <w:r w:rsidRPr="00936E85">
              <w:rPr>
                <w:rFonts w:cs="Times New Roman"/>
                <w:sz w:val="20"/>
                <w:szCs w:val="20"/>
              </w:rPr>
              <w:t>Robert Katigbak</w:t>
            </w:r>
          </w:p>
          <w:p w:rsidR="00936E85" w:rsidRPr="00936E85" w:rsidRDefault="00936E85" w:rsidP="00D77551">
            <w:pPr>
              <w:tabs>
                <w:tab w:val="left" w:pos="-1440"/>
                <w:tab w:val="left" w:pos="-720"/>
              </w:tabs>
              <w:jc w:val="both"/>
              <w:rPr>
                <w:rFonts w:cs="Times New Roman"/>
                <w:sz w:val="20"/>
                <w:szCs w:val="20"/>
              </w:rPr>
            </w:pPr>
          </w:p>
          <w:p w:rsidR="00936E85" w:rsidRPr="00936E85" w:rsidRDefault="00936E85" w:rsidP="00D77551">
            <w:pPr>
              <w:tabs>
                <w:tab w:val="left" w:pos="-1440"/>
                <w:tab w:val="left" w:pos="-720"/>
              </w:tabs>
              <w:jc w:val="both"/>
              <w:rPr>
                <w:rFonts w:cs="Times New Roman"/>
                <w:sz w:val="20"/>
                <w:szCs w:val="20"/>
              </w:rPr>
            </w:pPr>
            <w:r w:rsidRPr="00936E85">
              <w:rPr>
                <w:rFonts w:cs="Times New Roman"/>
                <w:sz w:val="20"/>
                <w:szCs w:val="20"/>
              </w:rPr>
              <w:tab/>
              <w:t>v. (33762)</w:t>
            </w:r>
          </w:p>
          <w:p w:rsidR="00936E85" w:rsidRPr="00936E85" w:rsidRDefault="00936E85" w:rsidP="00D77551">
            <w:pPr>
              <w:tabs>
                <w:tab w:val="left" w:pos="-1440"/>
                <w:tab w:val="left" w:pos="-720"/>
              </w:tabs>
              <w:jc w:val="both"/>
              <w:rPr>
                <w:rFonts w:cs="Times New Roman"/>
                <w:sz w:val="20"/>
                <w:szCs w:val="20"/>
              </w:rPr>
            </w:pPr>
          </w:p>
          <w:p w:rsidR="00936E85" w:rsidRPr="00936E85" w:rsidRDefault="00936E85" w:rsidP="00D77551">
            <w:pPr>
              <w:tabs>
                <w:tab w:val="left" w:pos="-1440"/>
                <w:tab w:val="left" w:pos="-720"/>
              </w:tabs>
              <w:jc w:val="both"/>
              <w:rPr>
                <w:rFonts w:cs="Times New Roman"/>
                <w:sz w:val="20"/>
                <w:szCs w:val="20"/>
              </w:rPr>
            </w:pPr>
            <w:r w:rsidRPr="00936E85">
              <w:rPr>
                <w:rFonts w:cs="Times New Roman"/>
                <w:sz w:val="20"/>
                <w:szCs w:val="20"/>
              </w:rPr>
              <w:t>Her Majesty the Queen (Crim.) (Ont.)</w:t>
            </w:r>
          </w:p>
        </w:tc>
        <w:tc>
          <w:tcPr>
            <w:tcW w:w="1170" w:type="dxa"/>
          </w:tcPr>
          <w:p w:rsidR="00936E85" w:rsidRPr="00936E85" w:rsidRDefault="00936E85" w:rsidP="00D77551">
            <w:pPr>
              <w:jc w:val="both"/>
              <w:rPr>
                <w:rFonts w:cs="Times New Roman"/>
                <w:sz w:val="20"/>
                <w:szCs w:val="20"/>
              </w:rPr>
            </w:pPr>
          </w:p>
        </w:tc>
        <w:tc>
          <w:tcPr>
            <w:tcW w:w="4327" w:type="dxa"/>
          </w:tcPr>
          <w:p w:rsidR="00936E85" w:rsidRPr="00936E85" w:rsidRDefault="00936E85" w:rsidP="00D77551">
            <w:pPr>
              <w:jc w:val="both"/>
              <w:rPr>
                <w:rFonts w:cs="Times New Roman"/>
                <w:sz w:val="20"/>
                <w:szCs w:val="20"/>
              </w:rPr>
            </w:pPr>
          </w:p>
        </w:tc>
      </w:tr>
    </w:tbl>
    <w:p w:rsidR="00936E85" w:rsidRPr="00936E85" w:rsidRDefault="00936E85" w:rsidP="00936E85">
      <w:pPr>
        <w:tabs>
          <w:tab w:val="left" w:pos="-1440"/>
          <w:tab w:val="left" w:pos="-720"/>
        </w:tabs>
        <w:jc w:val="both"/>
        <w:rPr>
          <w:rFonts w:cs="Times New Roman"/>
          <w:sz w:val="20"/>
          <w:szCs w:val="20"/>
        </w:rPr>
      </w:pPr>
    </w:p>
    <w:p w:rsidR="00936E85" w:rsidRPr="00936E85" w:rsidRDefault="00936E85" w:rsidP="00936E85">
      <w:pPr>
        <w:tabs>
          <w:tab w:val="left" w:pos="-1440"/>
          <w:tab w:val="left" w:pos="-720"/>
        </w:tabs>
        <w:jc w:val="both"/>
        <w:rPr>
          <w:rFonts w:cs="Times New Roman"/>
          <w:sz w:val="20"/>
          <w:szCs w:val="20"/>
        </w:rPr>
      </w:pPr>
      <w:r w:rsidRPr="00936E85">
        <w:rPr>
          <w:rFonts w:cs="Times New Roman"/>
          <w:b/>
          <w:sz w:val="20"/>
          <w:szCs w:val="20"/>
        </w:rPr>
        <w:t>GRANTED / ACCORDÉE</w:t>
      </w:r>
    </w:p>
    <w:p w:rsidR="00936E85" w:rsidRPr="00936E85" w:rsidRDefault="00936E85" w:rsidP="00936E85">
      <w:pPr>
        <w:tabs>
          <w:tab w:val="left" w:pos="-1440"/>
          <w:tab w:val="left" w:pos="-720"/>
        </w:tabs>
        <w:jc w:val="both"/>
        <w:rPr>
          <w:rFonts w:cs="Times New Roman"/>
          <w:sz w:val="20"/>
          <w:szCs w:val="20"/>
        </w:rPr>
      </w:pPr>
    </w:p>
    <w:p w:rsidR="00936E85" w:rsidRPr="00936E85" w:rsidRDefault="00936E85" w:rsidP="00936E85">
      <w:pPr>
        <w:tabs>
          <w:tab w:val="left" w:pos="-1440"/>
          <w:tab w:val="left" w:pos="-720"/>
        </w:tabs>
        <w:spacing w:line="-19" w:lineRule="auto"/>
        <w:jc w:val="both"/>
        <w:rPr>
          <w:rFonts w:cs="Times New Roman"/>
          <w:sz w:val="20"/>
          <w:szCs w:val="20"/>
        </w:rPr>
      </w:pPr>
    </w:p>
    <w:p w:rsidR="00936E85" w:rsidRPr="00936E85" w:rsidRDefault="00D56013" w:rsidP="00936E85">
      <w:pPr>
        <w:tabs>
          <w:tab w:val="left" w:pos="-1440"/>
          <w:tab w:val="left" w:pos="-720"/>
        </w:tabs>
        <w:jc w:val="both"/>
        <w:rPr>
          <w:rFonts w:cs="Times New Roman"/>
          <w:sz w:val="20"/>
          <w:szCs w:val="20"/>
        </w:rPr>
      </w:pPr>
      <w:r w:rsidRPr="00D56013">
        <w:rPr>
          <w:rFonts w:cs="Times New Roman"/>
          <w:sz w:val="20"/>
          <w:szCs w:val="20"/>
          <w:lang w:val="fr-CA"/>
        </w:rPr>
        <w:pict>
          <v:rect id="_x0000_i1095" style="width:2in;height:1pt" o:hrpct="0" o:hralign="center" o:hrstd="t" o:hrnoshade="t" o:hr="t" fillcolor="black [3213]" stroked="f"/>
        </w:pict>
      </w:r>
    </w:p>
    <w:p w:rsidR="00936E85" w:rsidRPr="00936E85" w:rsidRDefault="00936E85" w:rsidP="00936E85">
      <w:pPr>
        <w:tabs>
          <w:tab w:val="left" w:pos="-1440"/>
          <w:tab w:val="left" w:pos="-720"/>
        </w:tabs>
        <w:jc w:val="both"/>
        <w:rPr>
          <w:rFonts w:cs="Times New Roman"/>
          <w:sz w:val="20"/>
          <w:szCs w:val="20"/>
        </w:rPr>
      </w:pPr>
    </w:p>
    <w:p w:rsidR="00936E85" w:rsidRPr="00936E85" w:rsidRDefault="00936E85" w:rsidP="00936E85">
      <w:pPr>
        <w:tabs>
          <w:tab w:val="left" w:pos="-1440"/>
          <w:tab w:val="left" w:pos="-720"/>
        </w:tabs>
        <w:jc w:val="both"/>
        <w:rPr>
          <w:rFonts w:cs="Times New Roman"/>
          <w:sz w:val="20"/>
          <w:szCs w:val="20"/>
        </w:rPr>
      </w:pPr>
      <w:r w:rsidRPr="00936E85">
        <w:rPr>
          <w:rFonts w:cs="Times New Roman"/>
          <w:sz w:val="20"/>
          <w:szCs w:val="20"/>
        </w:rPr>
        <w:t>14.12.2010</w:t>
      </w:r>
    </w:p>
    <w:p w:rsidR="00936E85" w:rsidRPr="00936E85" w:rsidRDefault="00936E85" w:rsidP="00936E85">
      <w:pPr>
        <w:tabs>
          <w:tab w:val="left" w:pos="-1440"/>
          <w:tab w:val="left" w:pos="-720"/>
        </w:tabs>
        <w:jc w:val="both"/>
        <w:rPr>
          <w:rFonts w:cs="Times New Roman"/>
          <w:sz w:val="20"/>
          <w:szCs w:val="20"/>
        </w:rPr>
      </w:pPr>
    </w:p>
    <w:p w:rsidR="00936E85" w:rsidRPr="00936E85" w:rsidRDefault="00936E85" w:rsidP="00936E85">
      <w:pPr>
        <w:tabs>
          <w:tab w:val="left" w:pos="-1440"/>
          <w:tab w:val="left" w:pos="-720"/>
        </w:tabs>
        <w:jc w:val="both"/>
        <w:rPr>
          <w:rFonts w:cs="Times New Roman"/>
          <w:sz w:val="20"/>
          <w:szCs w:val="20"/>
        </w:rPr>
      </w:pPr>
      <w:r w:rsidRPr="00936E85">
        <w:rPr>
          <w:rFonts w:cs="Times New Roman"/>
          <w:sz w:val="20"/>
          <w:szCs w:val="20"/>
        </w:rPr>
        <w:t>Before / Devant :   THE REGISTRAR / LE REGISTRAIRE</w:t>
      </w:r>
    </w:p>
    <w:p w:rsidR="00936E85" w:rsidRPr="00936E85" w:rsidRDefault="00936E85" w:rsidP="00936E85">
      <w:pPr>
        <w:tabs>
          <w:tab w:val="left" w:pos="-1440"/>
          <w:tab w:val="left" w:pos="-720"/>
        </w:tabs>
        <w:jc w:val="both"/>
        <w:rPr>
          <w:rFonts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936E85" w:rsidRPr="00850008" w:rsidTr="00D77551">
        <w:tc>
          <w:tcPr>
            <w:tcW w:w="4338" w:type="dxa"/>
          </w:tcPr>
          <w:p w:rsidR="00936E85" w:rsidRPr="00936E85" w:rsidRDefault="00D56013" w:rsidP="00D77551">
            <w:pPr>
              <w:jc w:val="both"/>
              <w:rPr>
                <w:rFonts w:cs="Times New Roman"/>
                <w:sz w:val="20"/>
                <w:szCs w:val="20"/>
              </w:rPr>
            </w:pPr>
            <w:r w:rsidRPr="00936E85">
              <w:rPr>
                <w:rFonts w:cs="Times New Roman"/>
                <w:sz w:val="20"/>
                <w:szCs w:val="20"/>
              </w:rPr>
              <w:fldChar w:fldCharType="begin"/>
            </w:r>
            <w:r w:rsidR="00936E85" w:rsidRPr="00936E85">
              <w:rPr>
                <w:rFonts w:cs="Times New Roman"/>
                <w:sz w:val="20"/>
                <w:szCs w:val="20"/>
              </w:rPr>
              <w:instrText xml:space="preserve"> SEQ CHAPTER \h \r 1</w:instrText>
            </w:r>
            <w:r w:rsidRPr="00936E85">
              <w:rPr>
                <w:rFonts w:cs="Times New Roman"/>
                <w:sz w:val="20"/>
                <w:szCs w:val="20"/>
              </w:rPr>
              <w:fldChar w:fldCharType="end"/>
            </w:r>
            <w:r w:rsidRPr="00936E85">
              <w:rPr>
                <w:rFonts w:cs="Times New Roman"/>
                <w:sz w:val="20"/>
                <w:szCs w:val="20"/>
              </w:rPr>
              <w:fldChar w:fldCharType="begin"/>
            </w:r>
            <w:r w:rsidR="00936E85" w:rsidRPr="00936E85">
              <w:rPr>
                <w:rFonts w:cs="Times New Roman"/>
                <w:sz w:val="20"/>
                <w:szCs w:val="20"/>
              </w:rPr>
              <w:instrText xml:space="preserve"> SEQ CHAPTER \h \r 1</w:instrText>
            </w:r>
            <w:r w:rsidRPr="00936E85">
              <w:rPr>
                <w:rFonts w:cs="Times New Roman"/>
                <w:sz w:val="20"/>
                <w:szCs w:val="20"/>
              </w:rPr>
              <w:fldChar w:fldCharType="end"/>
            </w:r>
            <w:r w:rsidR="00936E85" w:rsidRPr="00936E85">
              <w:rPr>
                <w:rFonts w:cs="Times New Roman"/>
                <w:b/>
                <w:bCs/>
                <w:sz w:val="20"/>
                <w:szCs w:val="20"/>
              </w:rPr>
              <w:t>Motion to extend the time to serve and file the appellant’s factum and book of authorities to November 25, 2010, and record to November 29, 2010</w:t>
            </w:r>
          </w:p>
          <w:p w:rsidR="00936E85" w:rsidRPr="00936E85" w:rsidRDefault="00936E85" w:rsidP="00D77551">
            <w:pPr>
              <w:tabs>
                <w:tab w:val="left" w:pos="-1440"/>
                <w:tab w:val="left" w:pos="-720"/>
              </w:tabs>
              <w:jc w:val="both"/>
              <w:rPr>
                <w:rFonts w:cs="Times New Roman"/>
                <w:b/>
                <w:sz w:val="20"/>
                <w:szCs w:val="20"/>
              </w:rPr>
            </w:pPr>
          </w:p>
        </w:tc>
        <w:tc>
          <w:tcPr>
            <w:tcW w:w="1170" w:type="dxa"/>
          </w:tcPr>
          <w:p w:rsidR="00936E85" w:rsidRPr="00936E85" w:rsidRDefault="00936E85" w:rsidP="00D77551">
            <w:pPr>
              <w:tabs>
                <w:tab w:val="left" w:pos="-1440"/>
                <w:tab w:val="left" w:pos="-720"/>
              </w:tabs>
              <w:jc w:val="both"/>
              <w:rPr>
                <w:rFonts w:cs="Times New Roman"/>
                <w:sz w:val="20"/>
                <w:szCs w:val="20"/>
              </w:rPr>
            </w:pPr>
          </w:p>
          <w:p w:rsidR="00936E85" w:rsidRPr="00936E85" w:rsidRDefault="00936E85" w:rsidP="00D77551">
            <w:pPr>
              <w:tabs>
                <w:tab w:val="left" w:pos="-1440"/>
                <w:tab w:val="left" w:pos="-720"/>
              </w:tabs>
              <w:jc w:val="both"/>
              <w:rPr>
                <w:rFonts w:cs="Times New Roman"/>
                <w:sz w:val="20"/>
                <w:szCs w:val="20"/>
              </w:rPr>
            </w:pPr>
          </w:p>
          <w:p w:rsidR="00936E85" w:rsidRPr="00936E85" w:rsidRDefault="00936E85" w:rsidP="00D77551">
            <w:pPr>
              <w:tabs>
                <w:tab w:val="left" w:pos="-1440"/>
                <w:tab w:val="left" w:pos="-720"/>
              </w:tabs>
              <w:jc w:val="both"/>
              <w:rPr>
                <w:rFonts w:cs="Times New Roman"/>
                <w:sz w:val="20"/>
                <w:szCs w:val="20"/>
              </w:rPr>
            </w:pPr>
          </w:p>
          <w:p w:rsidR="00936E85" w:rsidRPr="00936E85" w:rsidRDefault="00936E85" w:rsidP="00D77551">
            <w:pPr>
              <w:tabs>
                <w:tab w:val="left" w:pos="-1440"/>
                <w:tab w:val="left" w:pos="-720"/>
              </w:tabs>
              <w:jc w:val="both"/>
              <w:rPr>
                <w:rFonts w:cs="Times New Roman"/>
                <w:sz w:val="20"/>
                <w:szCs w:val="20"/>
              </w:rPr>
            </w:pPr>
          </w:p>
        </w:tc>
        <w:tc>
          <w:tcPr>
            <w:tcW w:w="4327" w:type="dxa"/>
          </w:tcPr>
          <w:p w:rsidR="00936E85" w:rsidRPr="00936E85" w:rsidRDefault="00D56013" w:rsidP="00D77551">
            <w:pPr>
              <w:jc w:val="both"/>
              <w:rPr>
                <w:rFonts w:cs="Times New Roman"/>
                <w:sz w:val="20"/>
                <w:szCs w:val="20"/>
                <w:lang w:val="fr-CA"/>
              </w:rPr>
            </w:pPr>
            <w:r w:rsidRPr="00936E85">
              <w:rPr>
                <w:rFonts w:cs="Times New Roman"/>
                <w:sz w:val="20"/>
                <w:szCs w:val="20"/>
              </w:rPr>
              <w:fldChar w:fldCharType="begin"/>
            </w:r>
            <w:r w:rsidR="00936E85" w:rsidRPr="00936E85">
              <w:rPr>
                <w:rFonts w:cs="Times New Roman"/>
                <w:sz w:val="20"/>
                <w:szCs w:val="20"/>
                <w:lang w:val="fr-CA"/>
              </w:rPr>
              <w:instrText xml:space="preserve"> SEQ CHAPTER \h \r 1</w:instrText>
            </w:r>
            <w:r w:rsidRPr="00936E85">
              <w:rPr>
                <w:rFonts w:cs="Times New Roman"/>
                <w:sz w:val="20"/>
                <w:szCs w:val="20"/>
              </w:rPr>
              <w:fldChar w:fldCharType="end"/>
            </w:r>
            <w:r w:rsidR="00936E85" w:rsidRPr="00936E85">
              <w:rPr>
                <w:rFonts w:cs="Times New Roman"/>
                <w:b/>
                <w:bCs/>
                <w:sz w:val="20"/>
                <w:szCs w:val="20"/>
                <w:lang w:val="fr-CA"/>
              </w:rPr>
              <w:t>Requête en prorogation de délai de signification et de dépôt du mémoire et du recueil de sources de l’appelante jusqu’au 25 novembre 2010 et du dossier jusqu’au 29 novembre 2010</w:t>
            </w:r>
          </w:p>
          <w:p w:rsidR="00936E85" w:rsidRPr="00936E85" w:rsidRDefault="00D56013" w:rsidP="00D77551">
            <w:pPr>
              <w:tabs>
                <w:tab w:val="left" w:pos="-1440"/>
                <w:tab w:val="left" w:pos="-720"/>
              </w:tabs>
              <w:jc w:val="both"/>
              <w:rPr>
                <w:rFonts w:cs="Times New Roman"/>
                <w:sz w:val="20"/>
                <w:szCs w:val="20"/>
                <w:lang w:val="fr-CA"/>
              </w:rPr>
            </w:pPr>
            <w:r w:rsidRPr="00936E85">
              <w:rPr>
                <w:rFonts w:cs="Times New Roman"/>
                <w:sz w:val="20"/>
                <w:szCs w:val="20"/>
              </w:rPr>
              <w:fldChar w:fldCharType="begin"/>
            </w:r>
            <w:r w:rsidR="00936E85" w:rsidRPr="00936E85">
              <w:rPr>
                <w:rFonts w:cs="Times New Roman"/>
                <w:sz w:val="20"/>
                <w:szCs w:val="20"/>
                <w:lang w:val="fr-CA"/>
              </w:rPr>
              <w:instrText xml:space="preserve"> SEQ CHAPTER \h \r 1</w:instrText>
            </w:r>
            <w:r w:rsidRPr="00936E85">
              <w:rPr>
                <w:rFonts w:cs="Times New Roman"/>
                <w:sz w:val="20"/>
                <w:szCs w:val="20"/>
              </w:rPr>
              <w:fldChar w:fldCharType="end"/>
            </w:r>
            <w:r w:rsidRPr="00936E85">
              <w:rPr>
                <w:rFonts w:cs="Times New Roman"/>
                <w:sz w:val="20"/>
                <w:szCs w:val="20"/>
              </w:rPr>
              <w:fldChar w:fldCharType="begin"/>
            </w:r>
            <w:r w:rsidR="00936E85" w:rsidRPr="00936E85">
              <w:rPr>
                <w:rFonts w:cs="Times New Roman"/>
                <w:sz w:val="20"/>
                <w:szCs w:val="20"/>
                <w:lang w:val="fr-CA"/>
              </w:rPr>
              <w:instrText xml:space="preserve"> SEQ CHAPTER \h \r 1</w:instrText>
            </w:r>
            <w:r w:rsidRPr="00936E85">
              <w:rPr>
                <w:rFonts w:cs="Times New Roman"/>
                <w:sz w:val="20"/>
                <w:szCs w:val="20"/>
              </w:rPr>
              <w:fldChar w:fldCharType="end"/>
            </w:r>
          </w:p>
        </w:tc>
      </w:tr>
      <w:tr w:rsidR="00936E85" w:rsidRPr="00936E85" w:rsidTr="00D77551">
        <w:tc>
          <w:tcPr>
            <w:tcW w:w="4338" w:type="dxa"/>
          </w:tcPr>
          <w:p w:rsidR="00936E85" w:rsidRPr="00936E85" w:rsidRDefault="00936E85" w:rsidP="00D77551">
            <w:pPr>
              <w:tabs>
                <w:tab w:val="left" w:pos="-1440"/>
                <w:tab w:val="left" w:pos="-720"/>
              </w:tabs>
              <w:jc w:val="both"/>
              <w:rPr>
                <w:rFonts w:cs="Times New Roman"/>
                <w:sz w:val="20"/>
                <w:szCs w:val="20"/>
              </w:rPr>
            </w:pPr>
            <w:r w:rsidRPr="00936E85">
              <w:rPr>
                <w:rFonts w:cs="Times New Roman"/>
                <w:sz w:val="20"/>
                <w:szCs w:val="20"/>
              </w:rPr>
              <w:t>Her Majesty the Queen</w:t>
            </w:r>
          </w:p>
          <w:p w:rsidR="00936E85" w:rsidRPr="00936E85" w:rsidRDefault="00936E85" w:rsidP="00D77551">
            <w:pPr>
              <w:tabs>
                <w:tab w:val="left" w:pos="-1440"/>
                <w:tab w:val="left" w:pos="-720"/>
              </w:tabs>
              <w:jc w:val="both"/>
              <w:rPr>
                <w:rFonts w:cs="Times New Roman"/>
                <w:sz w:val="20"/>
                <w:szCs w:val="20"/>
              </w:rPr>
            </w:pPr>
          </w:p>
          <w:p w:rsidR="00936E85" w:rsidRPr="00936E85" w:rsidRDefault="00936E85" w:rsidP="00D77551">
            <w:pPr>
              <w:tabs>
                <w:tab w:val="left" w:pos="-1440"/>
                <w:tab w:val="left" w:pos="-720"/>
              </w:tabs>
              <w:jc w:val="both"/>
              <w:rPr>
                <w:rFonts w:cs="Times New Roman"/>
                <w:sz w:val="20"/>
                <w:szCs w:val="20"/>
              </w:rPr>
            </w:pPr>
            <w:r w:rsidRPr="00936E85">
              <w:rPr>
                <w:rFonts w:cs="Times New Roman"/>
                <w:sz w:val="20"/>
                <w:szCs w:val="20"/>
              </w:rPr>
              <w:tab/>
              <w:t>v. (33817)</w:t>
            </w:r>
          </w:p>
          <w:p w:rsidR="00936E85" w:rsidRPr="00936E85" w:rsidRDefault="00936E85" w:rsidP="00D77551">
            <w:pPr>
              <w:tabs>
                <w:tab w:val="left" w:pos="-1440"/>
                <w:tab w:val="left" w:pos="-720"/>
              </w:tabs>
              <w:jc w:val="both"/>
              <w:rPr>
                <w:rFonts w:cs="Times New Roman"/>
                <w:sz w:val="20"/>
                <w:szCs w:val="20"/>
              </w:rPr>
            </w:pPr>
          </w:p>
          <w:p w:rsidR="00936E85" w:rsidRPr="00936E85" w:rsidRDefault="00936E85" w:rsidP="00D77551">
            <w:pPr>
              <w:tabs>
                <w:tab w:val="left" w:pos="-1440"/>
                <w:tab w:val="left" w:pos="-720"/>
              </w:tabs>
              <w:jc w:val="both"/>
              <w:rPr>
                <w:rFonts w:cs="Times New Roman"/>
                <w:sz w:val="20"/>
                <w:szCs w:val="20"/>
              </w:rPr>
            </w:pPr>
            <w:r w:rsidRPr="00936E85">
              <w:rPr>
                <w:rFonts w:cs="Times New Roman"/>
                <w:sz w:val="20"/>
                <w:szCs w:val="20"/>
              </w:rPr>
              <w:t>Marty David O’Brien (Crim.) (N.S.)</w:t>
            </w:r>
          </w:p>
        </w:tc>
        <w:tc>
          <w:tcPr>
            <w:tcW w:w="1170" w:type="dxa"/>
          </w:tcPr>
          <w:p w:rsidR="00936E85" w:rsidRPr="00936E85" w:rsidRDefault="00936E85" w:rsidP="00D77551">
            <w:pPr>
              <w:tabs>
                <w:tab w:val="left" w:pos="-1440"/>
                <w:tab w:val="left" w:pos="-720"/>
              </w:tabs>
              <w:jc w:val="both"/>
              <w:rPr>
                <w:rFonts w:cs="Times New Roman"/>
                <w:sz w:val="20"/>
                <w:szCs w:val="20"/>
              </w:rPr>
            </w:pPr>
          </w:p>
        </w:tc>
        <w:tc>
          <w:tcPr>
            <w:tcW w:w="4327" w:type="dxa"/>
          </w:tcPr>
          <w:p w:rsidR="00936E85" w:rsidRPr="00936E85" w:rsidRDefault="00936E85" w:rsidP="00D77551">
            <w:pPr>
              <w:tabs>
                <w:tab w:val="left" w:pos="-1440"/>
                <w:tab w:val="left" w:pos="-720"/>
              </w:tabs>
              <w:jc w:val="both"/>
              <w:rPr>
                <w:rFonts w:cs="Times New Roman"/>
                <w:sz w:val="20"/>
                <w:szCs w:val="20"/>
              </w:rPr>
            </w:pPr>
          </w:p>
        </w:tc>
      </w:tr>
    </w:tbl>
    <w:p w:rsidR="00936E85" w:rsidRPr="00936E85" w:rsidRDefault="00936E85" w:rsidP="00936E85">
      <w:pPr>
        <w:tabs>
          <w:tab w:val="left" w:pos="-1440"/>
          <w:tab w:val="left" w:pos="-720"/>
        </w:tabs>
        <w:jc w:val="both"/>
        <w:rPr>
          <w:rFonts w:cs="Times New Roman"/>
          <w:sz w:val="20"/>
          <w:szCs w:val="20"/>
        </w:rPr>
      </w:pPr>
    </w:p>
    <w:p w:rsidR="00936E85" w:rsidRPr="00936E85" w:rsidRDefault="00936E85" w:rsidP="00936E85">
      <w:pPr>
        <w:tabs>
          <w:tab w:val="left" w:pos="-1440"/>
          <w:tab w:val="left" w:pos="-720"/>
        </w:tabs>
        <w:jc w:val="both"/>
        <w:rPr>
          <w:rFonts w:cs="Times New Roman"/>
          <w:b/>
          <w:sz w:val="20"/>
          <w:szCs w:val="20"/>
          <w:lang w:val="fr-CA"/>
        </w:rPr>
      </w:pPr>
      <w:r w:rsidRPr="00936E85">
        <w:rPr>
          <w:rFonts w:cs="Times New Roman"/>
          <w:b/>
          <w:sz w:val="20"/>
          <w:szCs w:val="20"/>
          <w:lang w:val="fr-CA"/>
        </w:rPr>
        <w:t>GRANTED / ACCORDÉE</w:t>
      </w:r>
    </w:p>
    <w:p w:rsidR="00936E85" w:rsidRPr="00936E85" w:rsidRDefault="00936E85" w:rsidP="00936E85">
      <w:pPr>
        <w:tabs>
          <w:tab w:val="left" w:pos="-1440"/>
          <w:tab w:val="left" w:pos="-720"/>
        </w:tabs>
        <w:jc w:val="both"/>
        <w:rPr>
          <w:rFonts w:cs="Times New Roman"/>
          <w:sz w:val="20"/>
          <w:szCs w:val="20"/>
          <w:lang w:val="fr-CA"/>
        </w:rPr>
      </w:pPr>
    </w:p>
    <w:p w:rsidR="00936E85" w:rsidRPr="00936E85" w:rsidRDefault="00D56013" w:rsidP="00936E85">
      <w:pPr>
        <w:tabs>
          <w:tab w:val="left" w:pos="-1440"/>
          <w:tab w:val="left" w:pos="-720"/>
        </w:tabs>
        <w:jc w:val="both"/>
        <w:rPr>
          <w:rFonts w:cs="Times New Roman"/>
          <w:sz w:val="20"/>
          <w:szCs w:val="20"/>
          <w:lang w:val="fr-CA"/>
        </w:rPr>
      </w:pPr>
      <w:r w:rsidRPr="00D56013">
        <w:rPr>
          <w:rFonts w:cs="Times New Roman"/>
          <w:sz w:val="20"/>
          <w:szCs w:val="20"/>
          <w:lang w:val="fr-CA"/>
        </w:rPr>
        <w:pict>
          <v:rect id="_x0000_i1096" style="width:2in;height:1pt" o:hrpct="0" o:hralign="center" o:hrstd="t" o:hrnoshade="t" o:hr="t" fillcolor="black [3213]" stroked="f"/>
        </w:pict>
      </w:r>
    </w:p>
    <w:p w:rsidR="00936E85" w:rsidRPr="00936E85" w:rsidRDefault="00936E85" w:rsidP="00936E85">
      <w:pPr>
        <w:tabs>
          <w:tab w:val="left" w:pos="-1440"/>
          <w:tab w:val="left" w:pos="-720"/>
        </w:tabs>
        <w:jc w:val="both"/>
        <w:rPr>
          <w:rFonts w:cs="Times New Roman"/>
          <w:sz w:val="20"/>
          <w:szCs w:val="20"/>
          <w:lang w:val="fr-CA"/>
        </w:rPr>
      </w:pPr>
    </w:p>
    <w:p w:rsidR="00936E85" w:rsidRPr="00936E85" w:rsidRDefault="00936E85" w:rsidP="00936E85">
      <w:pPr>
        <w:rPr>
          <w:rFonts w:cs="Times New Roman"/>
          <w:sz w:val="20"/>
          <w:szCs w:val="20"/>
          <w:lang w:val="fr-CA"/>
        </w:rPr>
      </w:pPr>
      <w:r w:rsidRPr="00936E85">
        <w:rPr>
          <w:rFonts w:cs="Times New Roman"/>
          <w:sz w:val="20"/>
          <w:szCs w:val="20"/>
          <w:lang w:val="fr-CA"/>
        </w:rPr>
        <w:br w:type="page"/>
      </w:r>
    </w:p>
    <w:p w:rsidR="00936E85" w:rsidRPr="00936E85" w:rsidRDefault="00936E85" w:rsidP="00936E85">
      <w:pPr>
        <w:tabs>
          <w:tab w:val="left" w:pos="-1440"/>
          <w:tab w:val="left" w:pos="-720"/>
        </w:tabs>
        <w:jc w:val="both"/>
        <w:rPr>
          <w:rFonts w:cs="Times New Roman"/>
          <w:sz w:val="20"/>
          <w:szCs w:val="20"/>
          <w:lang w:val="fr-CA"/>
        </w:rPr>
      </w:pPr>
      <w:r w:rsidRPr="00936E85">
        <w:rPr>
          <w:rFonts w:cs="Times New Roman"/>
          <w:sz w:val="20"/>
          <w:szCs w:val="20"/>
          <w:lang w:val="fr-CA"/>
        </w:rPr>
        <w:lastRenderedPageBreak/>
        <w:t>14.12.2010</w:t>
      </w:r>
    </w:p>
    <w:p w:rsidR="00936E85" w:rsidRPr="00936E85" w:rsidRDefault="00936E85" w:rsidP="00936E85">
      <w:pPr>
        <w:tabs>
          <w:tab w:val="left" w:pos="-1440"/>
          <w:tab w:val="left" w:pos="-720"/>
        </w:tabs>
        <w:jc w:val="both"/>
        <w:rPr>
          <w:rFonts w:cs="Times New Roman"/>
          <w:sz w:val="20"/>
          <w:szCs w:val="20"/>
          <w:lang w:val="fr-CA"/>
        </w:rPr>
      </w:pPr>
    </w:p>
    <w:p w:rsidR="00936E85" w:rsidRPr="00936E85" w:rsidRDefault="00936E85" w:rsidP="00936E85">
      <w:pPr>
        <w:tabs>
          <w:tab w:val="left" w:pos="-1440"/>
          <w:tab w:val="left" w:pos="-720"/>
        </w:tabs>
        <w:jc w:val="both"/>
        <w:rPr>
          <w:rFonts w:cs="Times New Roman"/>
          <w:sz w:val="20"/>
          <w:szCs w:val="20"/>
          <w:lang w:val="fr-CA"/>
        </w:rPr>
      </w:pPr>
      <w:r w:rsidRPr="00936E85">
        <w:rPr>
          <w:rFonts w:cs="Times New Roman"/>
          <w:sz w:val="20"/>
          <w:szCs w:val="20"/>
          <w:lang w:val="fr-CA"/>
        </w:rPr>
        <w:t>Before / Devant :   CROMWELL J. / LE JUGE CROMWELL</w:t>
      </w:r>
    </w:p>
    <w:p w:rsidR="00936E85" w:rsidRPr="00936E85" w:rsidRDefault="00936E85" w:rsidP="00936E85">
      <w:pPr>
        <w:tabs>
          <w:tab w:val="left" w:pos="-1440"/>
          <w:tab w:val="left" w:pos="-720"/>
        </w:tabs>
        <w:jc w:val="both"/>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936E85" w:rsidRPr="00850008" w:rsidTr="00D77551">
        <w:tc>
          <w:tcPr>
            <w:tcW w:w="4338" w:type="dxa"/>
          </w:tcPr>
          <w:p w:rsidR="00936E85" w:rsidRPr="00936E85" w:rsidRDefault="00D56013" w:rsidP="00D77551">
            <w:pPr>
              <w:tabs>
                <w:tab w:val="left" w:pos="-1440"/>
                <w:tab w:val="left" w:pos="-720"/>
              </w:tabs>
              <w:jc w:val="both"/>
              <w:rPr>
                <w:rFonts w:cs="Times New Roman"/>
                <w:b/>
                <w:sz w:val="20"/>
                <w:szCs w:val="20"/>
              </w:rPr>
            </w:pPr>
            <w:r w:rsidRPr="00936E85">
              <w:rPr>
                <w:rFonts w:cs="Times New Roman"/>
                <w:sz w:val="20"/>
                <w:szCs w:val="20"/>
              </w:rPr>
              <w:fldChar w:fldCharType="begin"/>
            </w:r>
            <w:r w:rsidR="00936E85" w:rsidRPr="00936E85">
              <w:rPr>
                <w:rFonts w:cs="Times New Roman"/>
                <w:sz w:val="20"/>
                <w:szCs w:val="20"/>
              </w:rPr>
              <w:instrText xml:space="preserve"> SEQ CHAPTER \h \r 1</w:instrText>
            </w:r>
            <w:r w:rsidRPr="00936E85">
              <w:rPr>
                <w:rFonts w:cs="Times New Roman"/>
                <w:sz w:val="20"/>
                <w:szCs w:val="20"/>
              </w:rPr>
              <w:fldChar w:fldCharType="end"/>
            </w:r>
            <w:r w:rsidRPr="00936E85">
              <w:rPr>
                <w:rFonts w:cs="Times New Roman"/>
                <w:sz w:val="20"/>
                <w:szCs w:val="20"/>
              </w:rPr>
              <w:fldChar w:fldCharType="begin"/>
            </w:r>
            <w:r w:rsidR="00936E85" w:rsidRPr="00936E85">
              <w:rPr>
                <w:rFonts w:cs="Times New Roman"/>
                <w:sz w:val="20"/>
                <w:szCs w:val="20"/>
              </w:rPr>
              <w:instrText xml:space="preserve"> SEQ CHAPTER \h \r 1</w:instrText>
            </w:r>
            <w:r w:rsidRPr="00936E85">
              <w:rPr>
                <w:rFonts w:cs="Times New Roman"/>
                <w:sz w:val="20"/>
                <w:szCs w:val="20"/>
              </w:rPr>
              <w:fldChar w:fldCharType="end"/>
            </w:r>
            <w:r w:rsidR="00936E85" w:rsidRPr="00936E85">
              <w:rPr>
                <w:rFonts w:cs="Times New Roman"/>
                <w:b/>
                <w:bCs/>
                <w:sz w:val="20"/>
                <w:szCs w:val="20"/>
              </w:rPr>
              <w:t>Motion to extend the time to serve the notice of appeal to November 17, 2010</w:t>
            </w:r>
          </w:p>
        </w:tc>
        <w:tc>
          <w:tcPr>
            <w:tcW w:w="1170" w:type="dxa"/>
          </w:tcPr>
          <w:p w:rsidR="00936E85" w:rsidRPr="00936E85" w:rsidRDefault="00936E85" w:rsidP="00D77551">
            <w:pPr>
              <w:tabs>
                <w:tab w:val="left" w:pos="-1440"/>
                <w:tab w:val="left" w:pos="-720"/>
              </w:tabs>
              <w:jc w:val="both"/>
              <w:rPr>
                <w:rFonts w:cs="Times New Roman"/>
                <w:sz w:val="20"/>
                <w:szCs w:val="20"/>
              </w:rPr>
            </w:pPr>
          </w:p>
          <w:p w:rsidR="00936E85" w:rsidRPr="00936E85" w:rsidRDefault="00936E85" w:rsidP="00D77551">
            <w:pPr>
              <w:tabs>
                <w:tab w:val="left" w:pos="-1440"/>
                <w:tab w:val="left" w:pos="-720"/>
              </w:tabs>
              <w:jc w:val="both"/>
              <w:rPr>
                <w:rFonts w:cs="Times New Roman"/>
                <w:sz w:val="20"/>
                <w:szCs w:val="20"/>
              </w:rPr>
            </w:pPr>
          </w:p>
          <w:p w:rsidR="00936E85" w:rsidRPr="00936E85" w:rsidRDefault="00936E85" w:rsidP="00D77551">
            <w:pPr>
              <w:tabs>
                <w:tab w:val="left" w:pos="-1440"/>
                <w:tab w:val="left" w:pos="-720"/>
              </w:tabs>
              <w:jc w:val="both"/>
              <w:rPr>
                <w:rFonts w:cs="Times New Roman"/>
                <w:sz w:val="20"/>
                <w:szCs w:val="20"/>
              </w:rPr>
            </w:pPr>
          </w:p>
        </w:tc>
        <w:tc>
          <w:tcPr>
            <w:tcW w:w="4327" w:type="dxa"/>
          </w:tcPr>
          <w:p w:rsidR="00936E85" w:rsidRPr="00936E85" w:rsidRDefault="00D56013" w:rsidP="00D77551">
            <w:pPr>
              <w:tabs>
                <w:tab w:val="left" w:pos="-1440"/>
                <w:tab w:val="left" w:pos="-720"/>
              </w:tabs>
              <w:jc w:val="both"/>
              <w:rPr>
                <w:rFonts w:cs="Times New Roman"/>
                <w:b/>
                <w:sz w:val="20"/>
                <w:szCs w:val="20"/>
                <w:lang w:val="fr-CA"/>
              </w:rPr>
            </w:pPr>
            <w:r w:rsidRPr="00936E85">
              <w:rPr>
                <w:rFonts w:cs="Times New Roman"/>
                <w:sz w:val="20"/>
                <w:szCs w:val="20"/>
              </w:rPr>
              <w:fldChar w:fldCharType="begin"/>
            </w:r>
            <w:r w:rsidR="00936E85" w:rsidRPr="00936E85">
              <w:rPr>
                <w:rFonts w:cs="Times New Roman"/>
                <w:sz w:val="20"/>
                <w:szCs w:val="20"/>
                <w:lang w:val="fr-CA"/>
              </w:rPr>
              <w:instrText xml:space="preserve"> SEQ CHAPTER \h \r 1</w:instrText>
            </w:r>
            <w:r w:rsidRPr="00936E85">
              <w:rPr>
                <w:rFonts w:cs="Times New Roman"/>
                <w:sz w:val="20"/>
                <w:szCs w:val="20"/>
              </w:rPr>
              <w:fldChar w:fldCharType="end"/>
            </w:r>
            <w:r w:rsidRPr="00936E85">
              <w:rPr>
                <w:rFonts w:cs="Times New Roman"/>
                <w:sz w:val="20"/>
                <w:szCs w:val="20"/>
              </w:rPr>
              <w:fldChar w:fldCharType="begin"/>
            </w:r>
            <w:r w:rsidR="00936E85" w:rsidRPr="00936E85">
              <w:rPr>
                <w:rFonts w:cs="Times New Roman"/>
                <w:sz w:val="20"/>
                <w:szCs w:val="20"/>
                <w:lang w:val="fr-CA"/>
              </w:rPr>
              <w:instrText xml:space="preserve"> SEQ CHAPTER \h \r 1</w:instrText>
            </w:r>
            <w:r w:rsidRPr="00936E85">
              <w:rPr>
                <w:rFonts w:cs="Times New Roman"/>
                <w:sz w:val="20"/>
                <w:szCs w:val="20"/>
              </w:rPr>
              <w:fldChar w:fldCharType="end"/>
            </w:r>
            <w:r w:rsidR="00936E85" w:rsidRPr="00936E85">
              <w:rPr>
                <w:rFonts w:cs="Times New Roman"/>
                <w:b/>
                <w:bCs/>
                <w:sz w:val="20"/>
                <w:szCs w:val="20"/>
                <w:lang w:val="fr-CA"/>
              </w:rPr>
              <w:t>Requête en prorogation du délai de signification de l’avis d’appel  jusqu’au 17 novembre 2010</w:t>
            </w:r>
            <w:r w:rsidRPr="00936E85">
              <w:rPr>
                <w:rFonts w:cs="Times New Roman"/>
                <w:b/>
                <w:sz w:val="20"/>
                <w:szCs w:val="20"/>
              </w:rPr>
              <w:fldChar w:fldCharType="begin"/>
            </w:r>
            <w:r w:rsidR="00936E85" w:rsidRPr="00936E85">
              <w:rPr>
                <w:rFonts w:cs="Times New Roman"/>
                <w:b/>
                <w:sz w:val="20"/>
                <w:szCs w:val="20"/>
                <w:lang w:val="fr-CA"/>
              </w:rPr>
              <w:instrText xml:space="preserve"> SEQ CHAPTER \h \r 1</w:instrText>
            </w:r>
            <w:r w:rsidRPr="00936E85">
              <w:rPr>
                <w:rFonts w:cs="Times New Roman"/>
                <w:b/>
                <w:sz w:val="20"/>
                <w:szCs w:val="20"/>
              </w:rPr>
              <w:fldChar w:fldCharType="end"/>
            </w:r>
          </w:p>
        </w:tc>
      </w:tr>
      <w:tr w:rsidR="00936E85" w:rsidRPr="00936E85" w:rsidTr="00D77551">
        <w:tc>
          <w:tcPr>
            <w:tcW w:w="4338" w:type="dxa"/>
          </w:tcPr>
          <w:p w:rsidR="00936E85" w:rsidRPr="00936E85" w:rsidRDefault="00936E85" w:rsidP="00D77551">
            <w:pPr>
              <w:tabs>
                <w:tab w:val="left" w:pos="-1440"/>
                <w:tab w:val="left" w:pos="-720"/>
              </w:tabs>
              <w:jc w:val="both"/>
              <w:rPr>
                <w:rFonts w:cs="Times New Roman"/>
                <w:sz w:val="20"/>
                <w:szCs w:val="20"/>
              </w:rPr>
            </w:pPr>
            <w:r w:rsidRPr="00936E85">
              <w:rPr>
                <w:rFonts w:cs="Times New Roman"/>
                <w:sz w:val="20"/>
                <w:szCs w:val="20"/>
              </w:rPr>
              <w:t>F.S.D.</w:t>
            </w:r>
          </w:p>
          <w:p w:rsidR="00936E85" w:rsidRPr="00936E85" w:rsidRDefault="00936E85" w:rsidP="00D77551">
            <w:pPr>
              <w:tabs>
                <w:tab w:val="left" w:pos="-1440"/>
                <w:tab w:val="left" w:pos="-720"/>
              </w:tabs>
              <w:jc w:val="both"/>
              <w:rPr>
                <w:rFonts w:cs="Times New Roman"/>
                <w:sz w:val="20"/>
                <w:szCs w:val="20"/>
              </w:rPr>
            </w:pPr>
          </w:p>
          <w:p w:rsidR="00936E85" w:rsidRPr="00936E85" w:rsidRDefault="00936E85" w:rsidP="00D77551">
            <w:pPr>
              <w:tabs>
                <w:tab w:val="left" w:pos="-1440"/>
                <w:tab w:val="left" w:pos="-720"/>
              </w:tabs>
              <w:jc w:val="both"/>
              <w:rPr>
                <w:rFonts w:cs="Times New Roman"/>
                <w:sz w:val="20"/>
                <w:szCs w:val="20"/>
              </w:rPr>
            </w:pPr>
            <w:r w:rsidRPr="00936E85">
              <w:rPr>
                <w:rFonts w:cs="Times New Roman"/>
                <w:sz w:val="20"/>
                <w:szCs w:val="20"/>
              </w:rPr>
              <w:tab/>
              <w:t>v. (33952)</w:t>
            </w:r>
          </w:p>
          <w:p w:rsidR="00936E85" w:rsidRPr="00936E85" w:rsidRDefault="00936E85" w:rsidP="00D77551">
            <w:pPr>
              <w:tabs>
                <w:tab w:val="left" w:pos="-1440"/>
                <w:tab w:val="left" w:pos="-720"/>
              </w:tabs>
              <w:jc w:val="both"/>
              <w:rPr>
                <w:rFonts w:cs="Times New Roman"/>
                <w:sz w:val="20"/>
                <w:szCs w:val="20"/>
              </w:rPr>
            </w:pPr>
          </w:p>
          <w:p w:rsidR="00936E85" w:rsidRPr="00936E85" w:rsidRDefault="00936E85" w:rsidP="00D77551">
            <w:pPr>
              <w:tabs>
                <w:tab w:val="left" w:pos="-1440"/>
                <w:tab w:val="left" w:pos="-720"/>
              </w:tabs>
              <w:jc w:val="both"/>
              <w:rPr>
                <w:rFonts w:cs="Times New Roman"/>
                <w:sz w:val="20"/>
                <w:szCs w:val="20"/>
              </w:rPr>
            </w:pPr>
            <w:r w:rsidRPr="00936E85">
              <w:rPr>
                <w:rFonts w:cs="Times New Roman"/>
                <w:sz w:val="20"/>
                <w:szCs w:val="20"/>
              </w:rPr>
              <w:t>Her Majesty the Queen (Crim.) (B.C.)</w:t>
            </w:r>
          </w:p>
        </w:tc>
        <w:tc>
          <w:tcPr>
            <w:tcW w:w="1170" w:type="dxa"/>
          </w:tcPr>
          <w:p w:rsidR="00936E85" w:rsidRPr="00936E85" w:rsidRDefault="00936E85" w:rsidP="00D77551">
            <w:pPr>
              <w:tabs>
                <w:tab w:val="left" w:pos="-1440"/>
                <w:tab w:val="left" w:pos="-720"/>
              </w:tabs>
              <w:jc w:val="both"/>
              <w:rPr>
                <w:rFonts w:cs="Times New Roman"/>
                <w:sz w:val="20"/>
                <w:szCs w:val="20"/>
              </w:rPr>
            </w:pPr>
          </w:p>
        </w:tc>
        <w:tc>
          <w:tcPr>
            <w:tcW w:w="4327" w:type="dxa"/>
          </w:tcPr>
          <w:p w:rsidR="00936E85" w:rsidRPr="00936E85" w:rsidRDefault="00936E85" w:rsidP="00D77551">
            <w:pPr>
              <w:tabs>
                <w:tab w:val="left" w:pos="-1440"/>
                <w:tab w:val="left" w:pos="-720"/>
              </w:tabs>
              <w:jc w:val="both"/>
              <w:rPr>
                <w:rFonts w:cs="Times New Roman"/>
                <w:sz w:val="20"/>
                <w:szCs w:val="20"/>
              </w:rPr>
            </w:pPr>
          </w:p>
        </w:tc>
      </w:tr>
    </w:tbl>
    <w:p w:rsidR="00936E85" w:rsidRPr="00936E85" w:rsidRDefault="00936E85" w:rsidP="00936E85">
      <w:pPr>
        <w:tabs>
          <w:tab w:val="left" w:pos="-1440"/>
          <w:tab w:val="left" w:pos="-720"/>
        </w:tabs>
        <w:jc w:val="both"/>
        <w:rPr>
          <w:rFonts w:cs="Times New Roman"/>
          <w:sz w:val="20"/>
          <w:szCs w:val="20"/>
        </w:rPr>
      </w:pPr>
    </w:p>
    <w:p w:rsidR="00936E85" w:rsidRPr="00936E85" w:rsidRDefault="00936E85" w:rsidP="00936E85">
      <w:pPr>
        <w:tabs>
          <w:tab w:val="left" w:pos="-1440"/>
          <w:tab w:val="left" w:pos="-720"/>
        </w:tabs>
        <w:jc w:val="both"/>
        <w:rPr>
          <w:rFonts w:cs="Times New Roman"/>
          <w:b/>
          <w:sz w:val="20"/>
          <w:szCs w:val="20"/>
        </w:rPr>
      </w:pPr>
      <w:r w:rsidRPr="00936E85">
        <w:rPr>
          <w:rFonts w:cs="Times New Roman"/>
          <w:b/>
          <w:sz w:val="20"/>
          <w:szCs w:val="20"/>
        </w:rPr>
        <w:t>GRANTED / ACCORDÉE</w:t>
      </w:r>
    </w:p>
    <w:p w:rsidR="00936E85" w:rsidRPr="00936E85" w:rsidRDefault="00936E85" w:rsidP="00936E85">
      <w:pPr>
        <w:tabs>
          <w:tab w:val="left" w:pos="-1440"/>
          <w:tab w:val="left" w:pos="-720"/>
        </w:tabs>
        <w:jc w:val="both"/>
        <w:rPr>
          <w:rFonts w:cs="Times New Roman"/>
          <w:sz w:val="20"/>
          <w:szCs w:val="20"/>
        </w:rPr>
      </w:pPr>
    </w:p>
    <w:p w:rsidR="00936E85" w:rsidRPr="00936E85" w:rsidRDefault="00D56013" w:rsidP="00936E85">
      <w:pPr>
        <w:tabs>
          <w:tab w:val="left" w:pos="-1440"/>
          <w:tab w:val="left" w:pos="-720"/>
        </w:tabs>
        <w:jc w:val="both"/>
        <w:rPr>
          <w:rFonts w:cs="Times New Roman"/>
          <w:sz w:val="20"/>
          <w:szCs w:val="20"/>
        </w:rPr>
      </w:pPr>
      <w:r w:rsidRPr="00D56013">
        <w:rPr>
          <w:rFonts w:cs="Times New Roman"/>
          <w:sz w:val="20"/>
          <w:szCs w:val="20"/>
          <w:lang w:val="fr-CA"/>
        </w:rPr>
        <w:pict>
          <v:rect id="_x0000_i1097" style="width:2in;height:1pt" o:hrpct="0" o:hralign="center" o:hrstd="t" o:hrnoshade="t" o:hr="t" fillcolor="black [3213]" stroked="f"/>
        </w:pict>
      </w:r>
    </w:p>
    <w:p w:rsidR="00936E85" w:rsidRPr="00936E85" w:rsidRDefault="00936E85" w:rsidP="00936E85">
      <w:pPr>
        <w:tabs>
          <w:tab w:val="left" w:pos="-1440"/>
          <w:tab w:val="left" w:pos="-720"/>
        </w:tabs>
        <w:jc w:val="both"/>
        <w:rPr>
          <w:rFonts w:cs="Times New Roman"/>
          <w:sz w:val="20"/>
          <w:szCs w:val="20"/>
        </w:rPr>
      </w:pPr>
    </w:p>
    <w:p w:rsidR="00936E85" w:rsidRPr="00936E85" w:rsidRDefault="00936E85" w:rsidP="00936E85">
      <w:pPr>
        <w:tabs>
          <w:tab w:val="left" w:pos="-1440"/>
          <w:tab w:val="left" w:pos="-720"/>
        </w:tabs>
        <w:jc w:val="both"/>
        <w:rPr>
          <w:rFonts w:cs="Times New Roman"/>
          <w:sz w:val="20"/>
          <w:szCs w:val="20"/>
          <w:lang w:val="fr-CA"/>
        </w:rPr>
      </w:pPr>
      <w:r w:rsidRPr="00936E85">
        <w:rPr>
          <w:rFonts w:cs="Times New Roman"/>
          <w:sz w:val="20"/>
          <w:szCs w:val="20"/>
          <w:lang w:val="fr-CA"/>
        </w:rPr>
        <w:t>14.12.2010</w:t>
      </w:r>
    </w:p>
    <w:p w:rsidR="00936E85" w:rsidRPr="00936E85" w:rsidRDefault="00936E85" w:rsidP="00936E85">
      <w:pPr>
        <w:tabs>
          <w:tab w:val="left" w:pos="-1440"/>
          <w:tab w:val="left" w:pos="-720"/>
        </w:tabs>
        <w:jc w:val="both"/>
        <w:rPr>
          <w:rFonts w:cs="Times New Roman"/>
          <w:sz w:val="20"/>
          <w:szCs w:val="20"/>
          <w:lang w:val="fr-CA"/>
        </w:rPr>
      </w:pPr>
    </w:p>
    <w:p w:rsidR="00936E85" w:rsidRPr="00936E85" w:rsidRDefault="00936E85" w:rsidP="00936E85">
      <w:pPr>
        <w:tabs>
          <w:tab w:val="left" w:pos="-1440"/>
          <w:tab w:val="left" w:pos="-720"/>
        </w:tabs>
        <w:jc w:val="both"/>
        <w:rPr>
          <w:rFonts w:cs="Times New Roman"/>
          <w:sz w:val="20"/>
          <w:szCs w:val="20"/>
          <w:lang w:val="fr-CA"/>
        </w:rPr>
      </w:pPr>
      <w:r w:rsidRPr="00936E85">
        <w:rPr>
          <w:rFonts w:cs="Times New Roman"/>
          <w:sz w:val="20"/>
          <w:szCs w:val="20"/>
          <w:lang w:val="fr-CA"/>
        </w:rPr>
        <w:t xml:space="preserve">Before / Devant :   </w:t>
      </w:r>
      <w:r w:rsidRPr="00936E85">
        <w:rPr>
          <w:rFonts w:cs="Times New Roman"/>
          <w:sz w:val="20"/>
          <w:szCs w:val="20"/>
        </w:rPr>
        <w:t>THE REGISTRAR / LE REGISTRAIRE</w:t>
      </w:r>
      <w:r w:rsidRPr="00936E85">
        <w:rPr>
          <w:rFonts w:cs="Times New Roman"/>
          <w:sz w:val="20"/>
          <w:szCs w:val="20"/>
          <w:lang w:val="fr-CA"/>
        </w:rPr>
        <w:t xml:space="preserve"> </w:t>
      </w:r>
    </w:p>
    <w:p w:rsidR="00936E85" w:rsidRPr="00936E85" w:rsidRDefault="00936E85" w:rsidP="00936E85">
      <w:pPr>
        <w:tabs>
          <w:tab w:val="left" w:pos="-1440"/>
          <w:tab w:val="left" w:pos="-720"/>
        </w:tabs>
        <w:jc w:val="both"/>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936E85" w:rsidRPr="00850008" w:rsidTr="00D77551">
        <w:tc>
          <w:tcPr>
            <w:tcW w:w="4338" w:type="dxa"/>
          </w:tcPr>
          <w:p w:rsidR="00936E85" w:rsidRPr="00936E85" w:rsidRDefault="00D56013" w:rsidP="00D77551">
            <w:pPr>
              <w:tabs>
                <w:tab w:val="left" w:pos="-1440"/>
                <w:tab w:val="left" w:pos="-720"/>
              </w:tabs>
              <w:jc w:val="both"/>
              <w:rPr>
                <w:rFonts w:cs="Times New Roman"/>
                <w:b/>
                <w:sz w:val="20"/>
                <w:szCs w:val="20"/>
              </w:rPr>
            </w:pPr>
            <w:r w:rsidRPr="00936E85">
              <w:rPr>
                <w:rFonts w:cs="Times New Roman"/>
                <w:sz w:val="20"/>
                <w:szCs w:val="20"/>
              </w:rPr>
              <w:fldChar w:fldCharType="begin"/>
            </w:r>
            <w:r w:rsidR="00936E85" w:rsidRPr="00936E85">
              <w:rPr>
                <w:rFonts w:cs="Times New Roman"/>
                <w:sz w:val="20"/>
                <w:szCs w:val="20"/>
              </w:rPr>
              <w:instrText xml:space="preserve"> SEQ CHAPTER \h \r 1</w:instrText>
            </w:r>
            <w:r w:rsidRPr="00936E85">
              <w:rPr>
                <w:rFonts w:cs="Times New Roman"/>
                <w:sz w:val="20"/>
                <w:szCs w:val="20"/>
              </w:rPr>
              <w:fldChar w:fldCharType="end"/>
            </w:r>
            <w:r w:rsidR="00936E85" w:rsidRPr="00936E85">
              <w:rPr>
                <w:rFonts w:cs="Times New Roman"/>
                <w:b/>
                <w:bCs/>
                <w:sz w:val="20"/>
                <w:szCs w:val="20"/>
              </w:rPr>
              <w:t>Motion to extend the time to serve and file the appellant’s record, factum and book of authorities to December 3, 2010</w:t>
            </w:r>
          </w:p>
        </w:tc>
        <w:tc>
          <w:tcPr>
            <w:tcW w:w="1170" w:type="dxa"/>
          </w:tcPr>
          <w:p w:rsidR="00936E85" w:rsidRPr="00936E85" w:rsidRDefault="00936E85" w:rsidP="00D77551">
            <w:pPr>
              <w:tabs>
                <w:tab w:val="left" w:pos="-1440"/>
                <w:tab w:val="left" w:pos="-720"/>
              </w:tabs>
              <w:jc w:val="both"/>
              <w:rPr>
                <w:rFonts w:cs="Times New Roman"/>
                <w:sz w:val="20"/>
                <w:szCs w:val="20"/>
              </w:rPr>
            </w:pPr>
          </w:p>
          <w:p w:rsidR="00936E85" w:rsidRPr="00936E85" w:rsidRDefault="00936E85" w:rsidP="00D77551">
            <w:pPr>
              <w:tabs>
                <w:tab w:val="left" w:pos="-1440"/>
                <w:tab w:val="left" w:pos="-720"/>
              </w:tabs>
              <w:jc w:val="both"/>
              <w:rPr>
                <w:rFonts w:cs="Times New Roman"/>
                <w:sz w:val="20"/>
                <w:szCs w:val="20"/>
              </w:rPr>
            </w:pPr>
          </w:p>
          <w:p w:rsidR="00936E85" w:rsidRDefault="00936E85" w:rsidP="00D77551">
            <w:pPr>
              <w:tabs>
                <w:tab w:val="left" w:pos="-1440"/>
                <w:tab w:val="left" w:pos="-720"/>
              </w:tabs>
              <w:jc w:val="both"/>
              <w:rPr>
                <w:rFonts w:cs="Times New Roman"/>
                <w:sz w:val="20"/>
                <w:szCs w:val="20"/>
              </w:rPr>
            </w:pPr>
          </w:p>
          <w:p w:rsidR="00936E85" w:rsidRPr="00936E85" w:rsidRDefault="00936E85" w:rsidP="00D77551">
            <w:pPr>
              <w:tabs>
                <w:tab w:val="left" w:pos="-1440"/>
                <w:tab w:val="left" w:pos="-720"/>
              </w:tabs>
              <w:jc w:val="both"/>
              <w:rPr>
                <w:rFonts w:cs="Times New Roman"/>
                <w:sz w:val="20"/>
                <w:szCs w:val="20"/>
              </w:rPr>
            </w:pPr>
          </w:p>
        </w:tc>
        <w:tc>
          <w:tcPr>
            <w:tcW w:w="4327" w:type="dxa"/>
          </w:tcPr>
          <w:p w:rsidR="00936E85" w:rsidRPr="00936E85" w:rsidRDefault="00D56013" w:rsidP="00D77551">
            <w:pPr>
              <w:jc w:val="both"/>
              <w:rPr>
                <w:rFonts w:cs="Times New Roman"/>
                <w:b/>
                <w:sz w:val="20"/>
                <w:szCs w:val="20"/>
                <w:lang w:val="fr-CA"/>
              </w:rPr>
            </w:pPr>
            <w:r w:rsidRPr="00936E85">
              <w:rPr>
                <w:rFonts w:cs="Times New Roman"/>
                <w:sz w:val="20"/>
                <w:szCs w:val="20"/>
              </w:rPr>
              <w:fldChar w:fldCharType="begin"/>
            </w:r>
            <w:r w:rsidR="00936E85" w:rsidRPr="00936E85">
              <w:rPr>
                <w:rFonts w:cs="Times New Roman"/>
                <w:sz w:val="20"/>
                <w:szCs w:val="20"/>
                <w:lang w:val="fr-CA"/>
              </w:rPr>
              <w:instrText xml:space="preserve"> SEQ CHAPTER \h \r 1</w:instrText>
            </w:r>
            <w:r w:rsidRPr="00936E85">
              <w:rPr>
                <w:rFonts w:cs="Times New Roman"/>
                <w:sz w:val="20"/>
                <w:szCs w:val="20"/>
              </w:rPr>
              <w:fldChar w:fldCharType="end"/>
            </w:r>
            <w:r w:rsidR="00936E85" w:rsidRPr="00936E85">
              <w:rPr>
                <w:rFonts w:cs="Times New Roman"/>
                <w:b/>
                <w:bCs/>
                <w:sz w:val="20"/>
                <w:szCs w:val="20"/>
                <w:lang w:val="fr-CA"/>
              </w:rPr>
              <w:t>Requête en prorogation du délai de signification et de dépôt des dossier, mémoire et recueil de sources de l’appelante jusqu’au 3 décembre 2010</w:t>
            </w:r>
            <w:r w:rsidR="00936E85" w:rsidRPr="00936E85">
              <w:rPr>
                <w:rFonts w:cs="Times New Roman"/>
                <w:sz w:val="20"/>
                <w:szCs w:val="20"/>
                <w:lang w:val="fr-CA"/>
              </w:rPr>
              <w:t xml:space="preserve"> </w:t>
            </w:r>
            <w:r w:rsidRPr="00936E85">
              <w:rPr>
                <w:rFonts w:cs="Times New Roman"/>
                <w:sz w:val="20"/>
                <w:szCs w:val="20"/>
              </w:rPr>
              <w:fldChar w:fldCharType="begin"/>
            </w:r>
            <w:r w:rsidR="00936E85" w:rsidRPr="00936E85">
              <w:rPr>
                <w:rFonts w:cs="Times New Roman"/>
                <w:sz w:val="20"/>
                <w:szCs w:val="20"/>
                <w:lang w:val="fr-CA"/>
              </w:rPr>
              <w:instrText xml:space="preserve"> SEQ CHAPTER \h \r 1</w:instrText>
            </w:r>
            <w:r w:rsidRPr="00936E85">
              <w:rPr>
                <w:rFonts w:cs="Times New Roman"/>
                <w:sz w:val="20"/>
                <w:szCs w:val="20"/>
              </w:rPr>
              <w:fldChar w:fldCharType="end"/>
            </w:r>
            <w:r w:rsidRPr="00936E85">
              <w:rPr>
                <w:rFonts w:cs="Times New Roman"/>
                <w:b/>
                <w:sz w:val="20"/>
                <w:szCs w:val="20"/>
              </w:rPr>
              <w:fldChar w:fldCharType="begin"/>
            </w:r>
            <w:r w:rsidR="00936E85" w:rsidRPr="00936E85">
              <w:rPr>
                <w:rFonts w:cs="Times New Roman"/>
                <w:b/>
                <w:sz w:val="20"/>
                <w:szCs w:val="20"/>
                <w:lang w:val="fr-CA"/>
              </w:rPr>
              <w:instrText xml:space="preserve"> SEQ CHAPTER \h \r 1</w:instrText>
            </w:r>
            <w:r w:rsidRPr="00936E85">
              <w:rPr>
                <w:rFonts w:cs="Times New Roman"/>
                <w:b/>
                <w:sz w:val="20"/>
                <w:szCs w:val="20"/>
              </w:rPr>
              <w:fldChar w:fldCharType="end"/>
            </w:r>
          </w:p>
        </w:tc>
      </w:tr>
      <w:tr w:rsidR="00936E85" w:rsidRPr="00936E85" w:rsidTr="00D77551">
        <w:tc>
          <w:tcPr>
            <w:tcW w:w="4338" w:type="dxa"/>
          </w:tcPr>
          <w:p w:rsidR="00936E85" w:rsidRPr="00936E85" w:rsidRDefault="00936E85" w:rsidP="00D77551">
            <w:pPr>
              <w:tabs>
                <w:tab w:val="left" w:pos="-1440"/>
                <w:tab w:val="left" w:pos="-720"/>
              </w:tabs>
              <w:jc w:val="both"/>
              <w:rPr>
                <w:rFonts w:cs="Times New Roman"/>
                <w:sz w:val="20"/>
                <w:szCs w:val="20"/>
              </w:rPr>
            </w:pPr>
            <w:r w:rsidRPr="00936E85">
              <w:rPr>
                <w:rFonts w:cs="Times New Roman"/>
                <w:sz w:val="20"/>
                <w:szCs w:val="20"/>
              </w:rPr>
              <w:t>Her Majesty the Queen</w:t>
            </w:r>
          </w:p>
          <w:p w:rsidR="00936E85" w:rsidRPr="00936E85" w:rsidRDefault="00936E85" w:rsidP="00D77551">
            <w:pPr>
              <w:tabs>
                <w:tab w:val="left" w:pos="-1440"/>
                <w:tab w:val="left" w:pos="-720"/>
              </w:tabs>
              <w:jc w:val="both"/>
              <w:rPr>
                <w:rFonts w:cs="Times New Roman"/>
                <w:sz w:val="20"/>
                <w:szCs w:val="20"/>
              </w:rPr>
            </w:pPr>
          </w:p>
          <w:p w:rsidR="00936E85" w:rsidRPr="00936E85" w:rsidRDefault="00936E85" w:rsidP="00D77551">
            <w:pPr>
              <w:tabs>
                <w:tab w:val="left" w:pos="-1440"/>
                <w:tab w:val="left" w:pos="-720"/>
              </w:tabs>
              <w:jc w:val="both"/>
              <w:rPr>
                <w:rFonts w:cs="Times New Roman"/>
                <w:sz w:val="20"/>
                <w:szCs w:val="20"/>
              </w:rPr>
            </w:pPr>
            <w:r w:rsidRPr="00936E85">
              <w:rPr>
                <w:rFonts w:cs="Times New Roman"/>
                <w:sz w:val="20"/>
                <w:szCs w:val="20"/>
              </w:rPr>
              <w:tab/>
              <w:t>v. (33841)</w:t>
            </w:r>
          </w:p>
          <w:p w:rsidR="00936E85" w:rsidRPr="00936E85" w:rsidRDefault="00936E85" w:rsidP="00D77551">
            <w:pPr>
              <w:tabs>
                <w:tab w:val="left" w:pos="-1440"/>
                <w:tab w:val="left" w:pos="-720"/>
              </w:tabs>
              <w:jc w:val="both"/>
              <w:rPr>
                <w:rFonts w:cs="Times New Roman"/>
                <w:sz w:val="20"/>
                <w:szCs w:val="20"/>
              </w:rPr>
            </w:pPr>
          </w:p>
          <w:p w:rsidR="00936E85" w:rsidRPr="00936E85" w:rsidRDefault="00936E85" w:rsidP="00D77551">
            <w:pPr>
              <w:tabs>
                <w:tab w:val="left" w:pos="-1440"/>
                <w:tab w:val="left" w:pos="-720"/>
              </w:tabs>
              <w:jc w:val="both"/>
              <w:rPr>
                <w:rFonts w:cs="Times New Roman"/>
                <w:sz w:val="20"/>
                <w:szCs w:val="20"/>
              </w:rPr>
            </w:pPr>
            <w:r w:rsidRPr="00936E85">
              <w:rPr>
                <w:rFonts w:cs="Times New Roman"/>
                <w:sz w:val="20"/>
                <w:szCs w:val="20"/>
              </w:rPr>
              <w:t>V.Y. (Crim.) (Ont.)</w:t>
            </w:r>
          </w:p>
        </w:tc>
        <w:tc>
          <w:tcPr>
            <w:tcW w:w="1170" w:type="dxa"/>
          </w:tcPr>
          <w:p w:rsidR="00936E85" w:rsidRPr="00936E85" w:rsidRDefault="00936E85" w:rsidP="00D77551">
            <w:pPr>
              <w:tabs>
                <w:tab w:val="left" w:pos="-1440"/>
                <w:tab w:val="left" w:pos="-720"/>
              </w:tabs>
              <w:jc w:val="both"/>
              <w:rPr>
                <w:rFonts w:cs="Times New Roman"/>
                <w:sz w:val="20"/>
                <w:szCs w:val="20"/>
              </w:rPr>
            </w:pPr>
          </w:p>
        </w:tc>
        <w:tc>
          <w:tcPr>
            <w:tcW w:w="4327" w:type="dxa"/>
          </w:tcPr>
          <w:p w:rsidR="00936E85" w:rsidRPr="00936E85" w:rsidRDefault="00936E85" w:rsidP="00D77551">
            <w:pPr>
              <w:tabs>
                <w:tab w:val="left" w:pos="-1440"/>
                <w:tab w:val="left" w:pos="-720"/>
              </w:tabs>
              <w:jc w:val="both"/>
              <w:rPr>
                <w:rFonts w:cs="Times New Roman"/>
                <w:sz w:val="20"/>
                <w:szCs w:val="20"/>
              </w:rPr>
            </w:pPr>
          </w:p>
        </w:tc>
      </w:tr>
    </w:tbl>
    <w:p w:rsidR="00936E85" w:rsidRPr="00936E85" w:rsidRDefault="00936E85" w:rsidP="00936E85">
      <w:pPr>
        <w:tabs>
          <w:tab w:val="left" w:pos="-1440"/>
          <w:tab w:val="left" w:pos="-720"/>
        </w:tabs>
        <w:jc w:val="both"/>
        <w:rPr>
          <w:rFonts w:cs="Times New Roman"/>
          <w:sz w:val="20"/>
          <w:szCs w:val="20"/>
        </w:rPr>
      </w:pPr>
    </w:p>
    <w:p w:rsidR="00936E85" w:rsidRPr="00936E85" w:rsidRDefault="00936E85" w:rsidP="00936E85">
      <w:pPr>
        <w:tabs>
          <w:tab w:val="left" w:pos="-1440"/>
          <w:tab w:val="left" w:pos="-720"/>
        </w:tabs>
        <w:jc w:val="both"/>
        <w:rPr>
          <w:rFonts w:cs="Times New Roman"/>
          <w:b/>
          <w:sz w:val="20"/>
          <w:szCs w:val="20"/>
        </w:rPr>
      </w:pPr>
      <w:r w:rsidRPr="00936E85">
        <w:rPr>
          <w:rFonts w:cs="Times New Roman"/>
          <w:b/>
          <w:sz w:val="20"/>
          <w:szCs w:val="20"/>
        </w:rPr>
        <w:t>GRANTED / ACCORDÉE</w:t>
      </w:r>
    </w:p>
    <w:p w:rsidR="00936E85" w:rsidRPr="00936E85" w:rsidRDefault="00936E85" w:rsidP="00936E85">
      <w:pPr>
        <w:tabs>
          <w:tab w:val="left" w:pos="-1440"/>
          <w:tab w:val="left" w:pos="-720"/>
        </w:tabs>
        <w:jc w:val="both"/>
        <w:rPr>
          <w:rFonts w:cs="Times New Roman"/>
          <w:sz w:val="20"/>
          <w:szCs w:val="20"/>
        </w:rPr>
      </w:pPr>
    </w:p>
    <w:p w:rsidR="00936E85" w:rsidRPr="00936E85" w:rsidRDefault="00D56013" w:rsidP="00936E85">
      <w:pPr>
        <w:tabs>
          <w:tab w:val="left" w:pos="-1440"/>
          <w:tab w:val="left" w:pos="-720"/>
        </w:tabs>
        <w:jc w:val="both"/>
        <w:rPr>
          <w:rFonts w:cs="Times New Roman"/>
          <w:sz w:val="20"/>
          <w:szCs w:val="20"/>
        </w:rPr>
      </w:pPr>
      <w:r w:rsidRPr="00D56013">
        <w:rPr>
          <w:rFonts w:cs="Times New Roman"/>
          <w:sz w:val="20"/>
          <w:szCs w:val="20"/>
          <w:lang w:val="fr-CA"/>
        </w:rPr>
        <w:pict>
          <v:rect id="_x0000_i1098" style="width:2in;height:1pt" o:hrpct="0" o:hralign="center" o:hrstd="t" o:hrnoshade="t" o:hr="t" fillcolor="black [3213]" stroked="f"/>
        </w:pict>
      </w:r>
    </w:p>
    <w:p w:rsidR="00936E85" w:rsidRPr="00936E85" w:rsidRDefault="00936E85" w:rsidP="00936E85">
      <w:pPr>
        <w:tabs>
          <w:tab w:val="left" w:pos="-1440"/>
          <w:tab w:val="left" w:pos="-720"/>
        </w:tabs>
        <w:jc w:val="both"/>
        <w:rPr>
          <w:rFonts w:cs="Times New Roman"/>
          <w:sz w:val="20"/>
          <w:szCs w:val="20"/>
        </w:rPr>
      </w:pPr>
    </w:p>
    <w:p w:rsidR="00936E85" w:rsidRPr="00936E85" w:rsidRDefault="00936E85" w:rsidP="00936E85">
      <w:pPr>
        <w:tabs>
          <w:tab w:val="left" w:pos="-1440"/>
          <w:tab w:val="left" w:pos="-720"/>
        </w:tabs>
        <w:jc w:val="both"/>
        <w:rPr>
          <w:rFonts w:cs="Times New Roman"/>
          <w:sz w:val="20"/>
          <w:szCs w:val="20"/>
        </w:rPr>
      </w:pPr>
      <w:r w:rsidRPr="00936E85">
        <w:rPr>
          <w:rFonts w:cs="Times New Roman"/>
          <w:sz w:val="20"/>
          <w:szCs w:val="20"/>
        </w:rPr>
        <w:t>15.12.2010</w:t>
      </w:r>
    </w:p>
    <w:p w:rsidR="00936E85" w:rsidRPr="00936E85" w:rsidRDefault="00936E85" w:rsidP="00936E85">
      <w:pPr>
        <w:tabs>
          <w:tab w:val="left" w:pos="-1440"/>
          <w:tab w:val="left" w:pos="-720"/>
        </w:tabs>
        <w:jc w:val="both"/>
        <w:rPr>
          <w:rFonts w:cs="Times New Roman"/>
          <w:sz w:val="20"/>
          <w:szCs w:val="20"/>
        </w:rPr>
      </w:pPr>
    </w:p>
    <w:p w:rsidR="00936E85" w:rsidRPr="00936E85" w:rsidRDefault="00936E85" w:rsidP="00936E85">
      <w:pPr>
        <w:tabs>
          <w:tab w:val="left" w:pos="-1440"/>
          <w:tab w:val="left" w:pos="-720"/>
        </w:tabs>
        <w:jc w:val="both"/>
        <w:rPr>
          <w:rFonts w:cs="Times New Roman"/>
          <w:sz w:val="20"/>
          <w:szCs w:val="20"/>
        </w:rPr>
      </w:pPr>
      <w:r w:rsidRPr="00936E85">
        <w:rPr>
          <w:rFonts w:cs="Times New Roman"/>
          <w:sz w:val="20"/>
          <w:szCs w:val="20"/>
        </w:rPr>
        <w:t>Before / Devant :   CROMWELL J. / LE JUGE CROMWELL</w:t>
      </w:r>
    </w:p>
    <w:p w:rsidR="00936E85" w:rsidRPr="00936E85" w:rsidRDefault="00936E85" w:rsidP="00936E85">
      <w:pPr>
        <w:tabs>
          <w:tab w:val="left" w:pos="-1440"/>
          <w:tab w:val="left" w:pos="-720"/>
        </w:tabs>
        <w:jc w:val="both"/>
        <w:rPr>
          <w:rFonts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936E85" w:rsidRPr="00850008" w:rsidTr="00D77551">
        <w:tc>
          <w:tcPr>
            <w:tcW w:w="4338" w:type="dxa"/>
          </w:tcPr>
          <w:p w:rsidR="00936E85" w:rsidRPr="00936E85" w:rsidRDefault="00D56013" w:rsidP="00D77551">
            <w:pPr>
              <w:tabs>
                <w:tab w:val="left" w:pos="-1440"/>
                <w:tab w:val="left" w:pos="-720"/>
              </w:tabs>
              <w:jc w:val="both"/>
              <w:rPr>
                <w:rFonts w:cs="Times New Roman"/>
                <w:b/>
                <w:sz w:val="20"/>
                <w:szCs w:val="20"/>
              </w:rPr>
            </w:pPr>
            <w:r w:rsidRPr="00936E85">
              <w:rPr>
                <w:rFonts w:cs="Times New Roman"/>
                <w:sz w:val="20"/>
                <w:szCs w:val="20"/>
              </w:rPr>
              <w:fldChar w:fldCharType="begin"/>
            </w:r>
            <w:r w:rsidR="00936E85" w:rsidRPr="00936E85">
              <w:rPr>
                <w:rFonts w:cs="Times New Roman"/>
                <w:sz w:val="20"/>
                <w:szCs w:val="20"/>
              </w:rPr>
              <w:instrText xml:space="preserve"> SEQ CHAPTER \h \r 1</w:instrText>
            </w:r>
            <w:r w:rsidRPr="00936E85">
              <w:rPr>
                <w:rFonts w:cs="Times New Roman"/>
                <w:sz w:val="20"/>
                <w:szCs w:val="20"/>
              </w:rPr>
              <w:fldChar w:fldCharType="end"/>
            </w:r>
            <w:r w:rsidR="00936E85" w:rsidRPr="00936E85">
              <w:rPr>
                <w:rFonts w:cs="Times New Roman"/>
                <w:b/>
                <w:bCs/>
                <w:sz w:val="20"/>
                <w:szCs w:val="20"/>
              </w:rPr>
              <w:t>Motion to extend the time to serve and file the respondent’s record and factum and book of authorities to December 10, 2010, and to make oral argument at the hearing of the appeal</w:t>
            </w:r>
            <w:r w:rsidRPr="00936E85">
              <w:rPr>
                <w:rFonts w:cs="Times New Roman"/>
                <w:sz w:val="20"/>
                <w:szCs w:val="20"/>
              </w:rPr>
              <w:fldChar w:fldCharType="begin"/>
            </w:r>
            <w:r w:rsidR="00936E85" w:rsidRPr="00936E85">
              <w:rPr>
                <w:rFonts w:cs="Times New Roman"/>
                <w:sz w:val="20"/>
                <w:szCs w:val="20"/>
              </w:rPr>
              <w:instrText xml:space="preserve"> SEQ CHAPTER \h \r 1</w:instrText>
            </w:r>
            <w:r w:rsidRPr="00936E85">
              <w:rPr>
                <w:rFonts w:cs="Times New Roman"/>
                <w:sz w:val="20"/>
                <w:szCs w:val="20"/>
              </w:rPr>
              <w:fldChar w:fldCharType="end"/>
            </w:r>
            <w:r w:rsidRPr="00936E85">
              <w:rPr>
                <w:rFonts w:cs="Times New Roman"/>
                <w:sz w:val="20"/>
                <w:szCs w:val="20"/>
              </w:rPr>
              <w:fldChar w:fldCharType="begin"/>
            </w:r>
            <w:r w:rsidR="00936E85" w:rsidRPr="00936E85">
              <w:rPr>
                <w:rFonts w:cs="Times New Roman"/>
                <w:sz w:val="20"/>
                <w:szCs w:val="20"/>
              </w:rPr>
              <w:instrText xml:space="preserve"> SEQ CHAPTER \h \r 1</w:instrText>
            </w:r>
            <w:r w:rsidRPr="00936E85">
              <w:rPr>
                <w:rFonts w:cs="Times New Roman"/>
                <w:sz w:val="20"/>
                <w:szCs w:val="20"/>
              </w:rPr>
              <w:fldChar w:fldCharType="end"/>
            </w:r>
          </w:p>
        </w:tc>
        <w:tc>
          <w:tcPr>
            <w:tcW w:w="1170" w:type="dxa"/>
          </w:tcPr>
          <w:p w:rsidR="00936E85" w:rsidRPr="00936E85" w:rsidRDefault="00936E85" w:rsidP="00D77551">
            <w:pPr>
              <w:tabs>
                <w:tab w:val="left" w:pos="-1440"/>
                <w:tab w:val="left" w:pos="-720"/>
              </w:tabs>
              <w:jc w:val="both"/>
              <w:rPr>
                <w:rFonts w:cs="Times New Roman"/>
                <w:sz w:val="20"/>
                <w:szCs w:val="20"/>
              </w:rPr>
            </w:pPr>
          </w:p>
          <w:p w:rsidR="00936E85" w:rsidRPr="00936E85" w:rsidRDefault="00936E85" w:rsidP="00D77551">
            <w:pPr>
              <w:tabs>
                <w:tab w:val="left" w:pos="-1440"/>
                <w:tab w:val="left" w:pos="-720"/>
              </w:tabs>
              <w:jc w:val="both"/>
              <w:rPr>
                <w:rFonts w:cs="Times New Roman"/>
                <w:sz w:val="20"/>
                <w:szCs w:val="20"/>
              </w:rPr>
            </w:pPr>
          </w:p>
          <w:p w:rsidR="00936E85" w:rsidRPr="00936E85" w:rsidRDefault="00936E85" w:rsidP="00D77551">
            <w:pPr>
              <w:tabs>
                <w:tab w:val="left" w:pos="-1440"/>
                <w:tab w:val="left" w:pos="-720"/>
              </w:tabs>
              <w:jc w:val="both"/>
              <w:rPr>
                <w:rFonts w:cs="Times New Roman"/>
                <w:sz w:val="20"/>
                <w:szCs w:val="20"/>
              </w:rPr>
            </w:pPr>
          </w:p>
          <w:p w:rsidR="00936E85" w:rsidRPr="00936E85" w:rsidRDefault="00936E85" w:rsidP="00D77551">
            <w:pPr>
              <w:tabs>
                <w:tab w:val="left" w:pos="-1440"/>
                <w:tab w:val="left" w:pos="-720"/>
              </w:tabs>
              <w:jc w:val="both"/>
              <w:rPr>
                <w:rFonts w:cs="Times New Roman"/>
                <w:sz w:val="20"/>
                <w:szCs w:val="20"/>
              </w:rPr>
            </w:pPr>
          </w:p>
          <w:p w:rsidR="00936E85" w:rsidRPr="00936E85" w:rsidRDefault="00936E85" w:rsidP="00D77551">
            <w:pPr>
              <w:tabs>
                <w:tab w:val="left" w:pos="-1440"/>
                <w:tab w:val="left" w:pos="-720"/>
              </w:tabs>
              <w:jc w:val="both"/>
              <w:rPr>
                <w:rFonts w:cs="Times New Roman"/>
                <w:sz w:val="20"/>
                <w:szCs w:val="20"/>
              </w:rPr>
            </w:pPr>
          </w:p>
        </w:tc>
        <w:tc>
          <w:tcPr>
            <w:tcW w:w="4327" w:type="dxa"/>
          </w:tcPr>
          <w:p w:rsidR="00936E85" w:rsidRPr="00936E85" w:rsidRDefault="00D56013" w:rsidP="00D77551">
            <w:pPr>
              <w:tabs>
                <w:tab w:val="left" w:pos="-1440"/>
                <w:tab w:val="left" w:pos="-720"/>
              </w:tabs>
              <w:jc w:val="both"/>
              <w:rPr>
                <w:rFonts w:cs="Times New Roman"/>
                <w:sz w:val="20"/>
                <w:szCs w:val="20"/>
                <w:lang w:val="fr-CA"/>
              </w:rPr>
            </w:pPr>
            <w:r w:rsidRPr="00936E85">
              <w:rPr>
                <w:rFonts w:cs="Times New Roman"/>
                <w:sz w:val="20"/>
                <w:szCs w:val="20"/>
              </w:rPr>
              <w:fldChar w:fldCharType="begin"/>
            </w:r>
            <w:r w:rsidR="00936E85" w:rsidRPr="00936E85">
              <w:rPr>
                <w:rFonts w:cs="Times New Roman"/>
                <w:sz w:val="20"/>
                <w:szCs w:val="20"/>
                <w:lang w:val="fr-CA"/>
              </w:rPr>
              <w:instrText xml:space="preserve"> SEQ CHAPTER \h \r 1</w:instrText>
            </w:r>
            <w:r w:rsidRPr="00936E85">
              <w:rPr>
                <w:rFonts w:cs="Times New Roman"/>
                <w:sz w:val="20"/>
                <w:szCs w:val="20"/>
              </w:rPr>
              <w:fldChar w:fldCharType="end"/>
            </w:r>
            <w:r w:rsidR="00936E85" w:rsidRPr="00936E85">
              <w:rPr>
                <w:rFonts w:cs="Times New Roman"/>
                <w:b/>
                <w:bCs/>
                <w:sz w:val="20"/>
                <w:szCs w:val="20"/>
                <w:lang w:val="fr-CA"/>
              </w:rPr>
              <w:t>Requête en prorogation de délai de signification et de dépôt des dossier, mémoire et recueil de sources de l’intimée jusqu’au 10 décembre 2010 et en vue de présenter une plaidoirie orale lors de l’audition de l’appel</w:t>
            </w:r>
          </w:p>
        </w:tc>
      </w:tr>
      <w:tr w:rsidR="00936E85" w:rsidRPr="00936E85" w:rsidTr="00D77551">
        <w:tc>
          <w:tcPr>
            <w:tcW w:w="4338" w:type="dxa"/>
          </w:tcPr>
          <w:p w:rsidR="00936E85" w:rsidRPr="00936E85" w:rsidRDefault="00936E85" w:rsidP="00D77551">
            <w:pPr>
              <w:tabs>
                <w:tab w:val="left" w:pos="-1440"/>
                <w:tab w:val="left" w:pos="-720"/>
              </w:tabs>
              <w:jc w:val="both"/>
              <w:rPr>
                <w:rFonts w:cs="Times New Roman"/>
                <w:sz w:val="20"/>
                <w:szCs w:val="20"/>
              </w:rPr>
            </w:pPr>
            <w:r w:rsidRPr="00936E85">
              <w:rPr>
                <w:rFonts w:cs="Times New Roman"/>
                <w:sz w:val="20"/>
                <w:szCs w:val="20"/>
              </w:rPr>
              <w:t>J.A.</w:t>
            </w:r>
          </w:p>
          <w:p w:rsidR="00936E85" w:rsidRPr="00936E85" w:rsidRDefault="00936E85" w:rsidP="00D77551">
            <w:pPr>
              <w:tabs>
                <w:tab w:val="left" w:pos="-1440"/>
                <w:tab w:val="left" w:pos="-720"/>
              </w:tabs>
              <w:jc w:val="both"/>
              <w:rPr>
                <w:rFonts w:cs="Times New Roman"/>
                <w:sz w:val="20"/>
                <w:szCs w:val="20"/>
              </w:rPr>
            </w:pPr>
          </w:p>
          <w:p w:rsidR="00936E85" w:rsidRPr="00936E85" w:rsidRDefault="00936E85" w:rsidP="00D77551">
            <w:pPr>
              <w:tabs>
                <w:tab w:val="left" w:pos="-1440"/>
                <w:tab w:val="left" w:pos="-720"/>
              </w:tabs>
              <w:jc w:val="both"/>
              <w:rPr>
                <w:rFonts w:cs="Times New Roman"/>
                <w:sz w:val="20"/>
                <w:szCs w:val="20"/>
              </w:rPr>
            </w:pPr>
            <w:r w:rsidRPr="00936E85">
              <w:rPr>
                <w:rFonts w:cs="Times New Roman"/>
                <w:sz w:val="20"/>
                <w:szCs w:val="20"/>
              </w:rPr>
              <w:tab/>
              <w:t>v. (33782)</w:t>
            </w:r>
          </w:p>
          <w:p w:rsidR="00936E85" w:rsidRPr="00936E85" w:rsidRDefault="00936E85" w:rsidP="00D77551">
            <w:pPr>
              <w:tabs>
                <w:tab w:val="left" w:pos="-1440"/>
                <w:tab w:val="left" w:pos="-720"/>
              </w:tabs>
              <w:jc w:val="both"/>
              <w:rPr>
                <w:rFonts w:cs="Times New Roman"/>
                <w:sz w:val="20"/>
                <w:szCs w:val="20"/>
              </w:rPr>
            </w:pPr>
          </w:p>
          <w:p w:rsidR="00936E85" w:rsidRPr="00936E85" w:rsidRDefault="00936E85" w:rsidP="00D77551">
            <w:pPr>
              <w:tabs>
                <w:tab w:val="left" w:pos="-1440"/>
                <w:tab w:val="left" w:pos="-720"/>
              </w:tabs>
              <w:jc w:val="both"/>
              <w:rPr>
                <w:rFonts w:cs="Times New Roman"/>
                <w:sz w:val="20"/>
                <w:szCs w:val="20"/>
              </w:rPr>
            </w:pPr>
            <w:r w:rsidRPr="00936E85">
              <w:rPr>
                <w:rFonts w:cs="Times New Roman"/>
                <w:sz w:val="20"/>
                <w:szCs w:val="20"/>
              </w:rPr>
              <w:t>Her Majesty the Queen (Crim.) (Ont.)</w:t>
            </w:r>
          </w:p>
        </w:tc>
        <w:tc>
          <w:tcPr>
            <w:tcW w:w="1170" w:type="dxa"/>
          </w:tcPr>
          <w:p w:rsidR="00936E85" w:rsidRPr="00936E85" w:rsidRDefault="00936E85" w:rsidP="00D77551">
            <w:pPr>
              <w:tabs>
                <w:tab w:val="left" w:pos="-1440"/>
                <w:tab w:val="left" w:pos="-720"/>
              </w:tabs>
              <w:jc w:val="both"/>
              <w:rPr>
                <w:rFonts w:cs="Times New Roman"/>
                <w:sz w:val="20"/>
                <w:szCs w:val="20"/>
              </w:rPr>
            </w:pPr>
          </w:p>
        </w:tc>
        <w:tc>
          <w:tcPr>
            <w:tcW w:w="4327" w:type="dxa"/>
          </w:tcPr>
          <w:p w:rsidR="00936E85" w:rsidRPr="00936E85" w:rsidRDefault="00936E85" w:rsidP="00D77551">
            <w:pPr>
              <w:tabs>
                <w:tab w:val="left" w:pos="-1440"/>
                <w:tab w:val="left" w:pos="-720"/>
              </w:tabs>
              <w:jc w:val="both"/>
              <w:rPr>
                <w:rFonts w:cs="Times New Roman"/>
                <w:sz w:val="20"/>
                <w:szCs w:val="20"/>
              </w:rPr>
            </w:pPr>
          </w:p>
        </w:tc>
      </w:tr>
    </w:tbl>
    <w:p w:rsidR="00936E85" w:rsidRPr="00936E85" w:rsidRDefault="00936E85" w:rsidP="00936E85">
      <w:pPr>
        <w:tabs>
          <w:tab w:val="left" w:pos="-1440"/>
          <w:tab w:val="left" w:pos="-720"/>
        </w:tabs>
        <w:jc w:val="both"/>
        <w:rPr>
          <w:rFonts w:cs="Times New Roman"/>
          <w:sz w:val="20"/>
          <w:szCs w:val="20"/>
        </w:rPr>
      </w:pPr>
    </w:p>
    <w:p w:rsidR="00936E85" w:rsidRPr="00936E85" w:rsidRDefault="00936E85" w:rsidP="00936E85">
      <w:pPr>
        <w:tabs>
          <w:tab w:val="left" w:pos="-1440"/>
          <w:tab w:val="left" w:pos="-720"/>
        </w:tabs>
        <w:jc w:val="both"/>
        <w:rPr>
          <w:rFonts w:cs="Times New Roman"/>
          <w:b/>
          <w:sz w:val="20"/>
          <w:szCs w:val="20"/>
        </w:rPr>
      </w:pPr>
      <w:r w:rsidRPr="00936E85">
        <w:rPr>
          <w:rFonts w:cs="Times New Roman"/>
          <w:b/>
          <w:sz w:val="20"/>
          <w:szCs w:val="20"/>
        </w:rPr>
        <w:t>GRANTED / ACCORDÉE</w:t>
      </w:r>
    </w:p>
    <w:p w:rsidR="00936E85" w:rsidRPr="00936E85" w:rsidRDefault="00936E85" w:rsidP="00936E85">
      <w:pPr>
        <w:tabs>
          <w:tab w:val="left" w:pos="-1440"/>
          <w:tab w:val="left" w:pos="-720"/>
        </w:tabs>
        <w:jc w:val="both"/>
        <w:rPr>
          <w:rFonts w:cs="Times New Roman"/>
          <w:sz w:val="20"/>
          <w:szCs w:val="20"/>
        </w:rPr>
      </w:pPr>
    </w:p>
    <w:p w:rsidR="00936E85" w:rsidRPr="00936E85" w:rsidRDefault="00D56013" w:rsidP="00936E85">
      <w:pPr>
        <w:tabs>
          <w:tab w:val="left" w:pos="-1440"/>
          <w:tab w:val="left" w:pos="-720"/>
        </w:tabs>
        <w:jc w:val="both"/>
        <w:rPr>
          <w:rFonts w:cs="Times New Roman"/>
          <w:sz w:val="20"/>
          <w:szCs w:val="20"/>
        </w:rPr>
      </w:pPr>
      <w:r w:rsidRPr="00D56013">
        <w:rPr>
          <w:rFonts w:cs="Times New Roman"/>
          <w:sz w:val="20"/>
          <w:szCs w:val="20"/>
          <w:lang w:val="fr-CA"/>
        </w:rPr>
        <w:pict>
          <v:rect id="_x0000_i1099" style="width:2in;height:1pt" o:hrpct="0" o:hralign="center" o:hrstd="t" o:hrnoshade="t" o:hr="t" fillcolor="black [3213]" stroked="f"/>
        </w:pict>
      </w:r>
    </w:p>
    <w:p w:rsidR="00936E85" w:rsidRPr="00936E85" w:rsidRDefault="00936E85" w:rsidP="00936E85">
      <w:pPr>
        <w:rPr>
          <w:rFonts w:cs="Times New Roman"/>
          <w:sz w:val="20"/>
          <w:szCs w:val="20"/>
          <w:lang w:val="fr-CA"/>
        </w:rPr>
      </w:pPr>
      <w:r w:rsidRPr="00936E85">
        <w:rPr>
          <w:rFonts w:cs="Times New Roman"/>
          <w:sz w:val="20"/>
          <w:szCs w:val="20"/>
          <w:lang w:val="fr-CA"/>
        </w:rPr>
        <w:br w:type="page"/>
      </w:r>
    </w:p>
    <w:p w:rsidR="00936E85" w:rsidRPr="00936E85" w:rsidRDefault="00936E85" w:rsidP="00936E85">
      <w:pPr>
        <w:tabs>
          <w:tab w:val="left" w:pos="-1440"/>
          <w:tab w:val="left" w:pos="-720"/>
        </w:tabs>
        <w:jc w:val="both"/>
        <w:rPr>
          <w:rFonts w:cs="Times New Roman"/>
          <w:sz w:val="20"/>
          <w:szCs w:val="20"/>
          <w:lang w:val="fr-CA"/>
        </w:rPr>
      </w:pPr>
      <w:r w:rsidRPr="00936E85">
        <w:rPr>
          <w:rFonts w:cs="Times New Roman"/>
          <w:sz w:val="20"/>
          <w:szCs w:val="20"/>
          <w:lang w:val="fr-CA"/>
        </w:rPr>
        <w:lastRenderedPageBreak/>
        <w:t>15.12.2010</w:t>
      </w:r>
    </w:p>
    <w:p w:rsidR="00936E85" w:rsidRPr="00936E85" w:rsidRDefault="00936E85" w:rsidP="00936E85">
      <w:pPr>
        <w:tabs>
          <w:tab w:val="left" w:pos="-1440"/>
          <w:tab w:val="left" w:pos="-720"/>
        </w:tabs>
        <w:jc w:val="both"/>
        <w:rPr>
          <w:rFonts w:cs="Times New Roman"/>
          <w:sz w:val="20"/>
          <w:szCs w:val="20"/>
          <w:lang w:val="fr-CA"/>
        </w:rPr>
      </w:pPr>
    </w:p>
    <w:p w:rsidR="00936E85" w:rsidRPr="00936E85" w:rsidRDefault="00936E85" w:rsidP="00936E85">
      <w:pPr>
        <w:tabs>
          <w:tab w:val="left" w:pos="-1440"/>
          <w:tab w:val="left" w:pos="-720"/>
        </w:tabs>
        <w:jc w:val="both"/>
        <w:rPr>
          <w:rFonts w:cs="Times New Roman"/>
          <w:sz w:val="20"/>
          <w:szCs w:val="20"/>
          <w:lang w:val="fr-CA"/>
        </w:rPr>
      </w:pPr>
      <w:r w:rsidRPr="00936E85">
        <w:rPr>
          <w:rFonts w:cs="Times New Roman"/>
          <w:sz w:val="20"/>
          <w:szCs w:val="20"/>
          <w:lang w:val="fr-CA"/>
        </w:rPr>
        <w:t>Before / Devant :   CROMWELL J. / LE JUGE CROMWELL</w:t>
      </w:r>
    </w:p>
    <w:p w:rsidR="00936E85" w:rsidRPr="00936E85" w:rsidRDefault="00936E85" w:rsidP="00936E85">
      <w:pPr>
        <w:tabs>
          <w:tab w:val="left" w:pos="-1440"/>
          <w:tab w:val="left" w:pos="-720"/>
        </w:tabs>
        <w:jc w:val="both"/>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936E85" w:rsidRPr="00936E85" w:rsidTr="00D77551">
        <w:tc>
          <w:tcPr>
            <w:tcW w:w="4338" w:type="dxa"/>
            <w:gridSpan w:val="2"/>
          </w:tcPr>
          <w:p w:rsidR="00936E85" w:rsidRPr="00936E85" w:rsidRDefault="00936E85" w:rsidP="00D77551">
            <w:pPr>
              <w:rPr>
                <w:rFonts w:cs="Times New Roman"/>
                <w:b/>
                <w:sz w:val="20"/>
                <w:szCs w:val="20"/>
              </w:rPr>
            </w:pPr>
            <w:r w:rsidRPr="00936E85">
              <w:rPr>
                <w:rFonts w:cs="Times New Roman"/>
                <w:b/>
                <w:sz w:val="20"/>
                <w:szCs w:val="20"/>
              </w:rPr>
              <w:t>Motions for leave to intervene</w:t>
            </w:r>
            <w:r w:rsidRPr="00936E85">
              <w:rPr>
                <w:rFonts w:cs="Times New Roman"/>
                <w:sz w:val="20"/>
                <w:szCs w:val="20"/>
              </w:rPr>
              <w:t xml:space="preserve"> </w:t>
            </w:r>
            <w:r w:rsidR="00D56013" w:rsidRPr="00936E85">
              <w:rPr>
                <w:rFonts w:cs="Times New Roman"/>
                <w:sz w:val="20"/>
                <w:szCs w:val="20"/>
              </w:rPr>
              <w:fldChar w:fldCharType="begin"/>
            </w:r>
            <w:r w:rsidRPr="00936E85">
              <w:rPr>
                <w:rFonts w:cs="Times New Roman"/>
                <w:sz w:val="20"/>
                <w:szCs w:val="20"/>
              </w:rPr>
              <w:instrText xml:space="preserve"> SEQ CHAPTER \h \r 1</w:instrText>
            </w:r>
            <w:r w:rsidR="00D56013" w:rsidRPr="00936E85">
              <w:rPr>
                <w:rFonts w:cs="Times New Roman"/>
                <w:sz w:val="20"/>
                <w:szCs w:val="20"/>
              </w:rPr>
              <w:fldChar w:fldCharType="end"/>
            </w:r>
          </w:p>
        </w:tc>
        <w:tc>
          <w:tcPr>
            <w:tcW w:w="1170" w:type="dxa"/>
          </w:tcPr>
          <w:p w:rsidR="00936E85" w:rsidRPr="00936E85" w:rsidRDefault="00936E85" w:rsidP="00D77551">
            <w:pPr>
              <w:rPr>
                <w:rFonts w:cs="Times New Roman"/>
                <w:sz w:val="20"/>
                <w:szCs w:val="20"/>
              </w:rPr>
            </w:pPr>
          </w:p>
          <w:p w:rsidR="00936E85" w:rsidRPr="00936E85" w:rsidRDefault="00936E85" w:rsidP="00D77551">
            <w:pPr>
              <w:rPr>
                <w:rFonts w:cs="Times New Roman"/>
                <w:sz w:val="20"/>
                <w:szCs w:val="20"/>
              </w:rPr>
            </w:pPr>
          </w:p>
        </w:tc>
        <w:tc>
          <w:tcPr>
            <w:tcW w:w="4327" w:type="dxa"/>
          </w:tcPr>
          <w:p w:rsidR="00936E85" w:rsidRPr="00936E85" w:rsidRDefault="00936E85" w:rsidP="00D77551">
            <w:pPr>
              <w:rPr>
                <w:rFonts w:cs="Times New Roman"/>
                <w:b/>
                <w:sz w:val="20"/>
                <w:szCs w:val="20"/>
              </w:rPr>
            </w:pPr>
            <w:r w:rsidRPr="00936E85">
              <w:rPr>
                <w:rFonts w:cs="Times New Roman"/>
                <w:b/>
                <w:bCs/>
                <w:sz w:val="20"/>
                <w:szCs w:val="20"/>
                <w:lang w:val="fr-CA"/>
              </w:rPr>
              <w:t>Requêtes en autorisation d’intervenir</w:t>
            </w:r>
            <w:r w:rsidRPr="00936E85">
              <w:rPr>
                <w:rFonts w:cs="Times New Roman"/>
                <w:sz w:val="20"/>
                <w:szCs w:val="20"/>
              </w:rPr>
              <w:t xml:space="preserve"> </w:t>
            </w:r>
            <w:r w:rsidR="00D56013" w:rsidRPr="00936E85">
              <w:rPr>
                <w:rFonts w:cs="Times New Roman"/>
                <w:sz w:val="20"/>
                <w:szCs w:val="20"/>
              </w:rPr>
              <w:fldChar w:fldCharType="begin"/>
            </w:r>
            <w:r w:rsidRPr="00936E85">
              <w:rPr>
                <w:rFonts w:cs="Times New Roman"/>
                <w:sz w:val="20"/>
                <w:szCs w:val="20"/>
              </w:rPr>
              <w:instrText xml:space="preserve"> SEQ CHAPTER \h \r 1</w:instrText>
            </w:r>
            <w:r w:rsidR="00D56013" w:rsidRPr="00936E85">
              <w:rPr>
                <w:rFonts w:cs="Times New Roman"/>
                <w:sz w:val="20"/>
                <w:szCs w:val="20"/>
              </w:rPr>
              <w:fldChar w:fldCharType="end"/>
            </w:r>
          </w:p>
        </w:tc>
      </w:tr>
      <w:tr w:rsidR="00936E85" w:rsidRPr="00936E85" w:rsidTr="00D77551">
        <w:tc>
          <w:tcPr>
            <w:tcW w:w="1368" w:type="dxa"/>
          </w:tcPr>
          <w:p w:rsidR="00936E85" w:rsidRPr="00936E85" w:rsidRDefault="00936E85" w:rsidP="00D77551">
            <w:pPr>
              <w:rPr>
                <w:rFonts w:cs="Times New Roman"/>
                <w:sz w:val="20"/>
                <w:szCs w:val="20"/>
              </w:rPr>
            </w:pPr>
            <w:r w:rsidRPr="00936E85">
              <w:rPr>
                <w:rFonts w:cs="Times New Roman"/>
                <w:sz w:val="20"/>
                <w:szCs w:val="20"/>
              </w:rPr>
              <w:t>BY / PAR</w:t>
            </w:r>
          </w:p>
        </w:tc>
        <w:tc>
          <w:tcPr>
            <w:tcW w:w="2970" w:type="dxa"/>
          </w:tcPr>
          <w:p w:rsidR="00936E85" w:rsidRPr="00936E85" w:rsidRDefault="00936E85" w:rsidP="00D77551">
            <w:pPr>
              <w:rPr>
                <w:rFonts w:cs="Times New Roman"/>
                <w:sz w:val="20"/>
                <w:szCs w:val="20"/>
              </w:rPr>
            </w:pPr>
            <w:r w:rsidRPr="00936E85">
              <w:rPr>
                <w:rFonts w:cs="Times New Roman"/>
                <w:sz w:val="20"/>
                <w:szCs w:val="20"/>
              </w:rPr>
              <w:t>Attorney General of Ontario;</w:t>
            </w:r>
          </w:p>
        </w:tc>
        <w:tc>
          <w:tcPr>
            <w:tcW w:w="1170" w:type="dxa"/>
          </w:tcPr>
          <w:p w:rsidR="00936E85" w:rsidRPr="00936E85" w:rsidRDefault="00936E85" w:rsidP="00D77551">
            <w:pPr>
              <w:rPr>
                <w:rFonts w:cs="Times New Roman"/>
                <w:sz w:val="20"/>
                <w:szCs w:val="20"/>
              </w:rPr>
            </w:pPr>
          </w:p>
        </w:tc>
        <w:tc>
          <w:tcPr>
            <w:tcW w:w="4327" w:type="dxa"/>
          </w:tcPr>
          <w:p w:rsidR="00936E85" w:rsidRPr="00936E85" w:rsidRDefault="00936E85" w:rsidP="00D77551">
            <w:pPr>
              <w:rPr>
                <w:rFonts w:cs="Times New Roman"/>
                <w:sz w:val="20"/>
                <w:szCs w:val="20"/>
              </w:rPr>
            </w:pPr>
          </w:p>
        </w:tc>
      </w:tr>
      <w:tr w:rsidR="00936E85" w:rsidRPr="00936E85" w:rsidTr="00D77551">
        <w:tc>
          <w:tcPr>
            <w:tcW w:w="1368" w:type="dxa"/>
          </w:tcPr>
          <w:p w:rsidR="00936E85" w:rsidRPr="00936E85" w:rsidRDefault="00936E85" w:rsidP="00D77551">
            <w:pPr>
              <w:rPr>
                <w:rFonts w:cs="Times New Roman"/>
                <w:sz w:val="20"/>
                <w:szCs w:val="20"/>
              </w:rPr>
            </w:pPr>
          </w:p>
        </w:tc>
        <w:tc>
          <w:tcPr>
            <w:tcW w:w="2970" w:type="dxa"/>
          </w:tcPr>
          <w:p w:rsidR="00936E85" w:rsidRPr="00936E85" w:rsidRDefault="00936E85" w:rsidP="00D77551">
            <w:pPr>
              <w:rPr>
                <w:rFonts w:cs="Times New Roman"/>
                <w:sz w:val="20"/>
                <w:szCs w:val="20"/>
              </w:rPr>
            </w:pPr>
            <w:r w:rsidRPr="00936E85">
              <w:rPr>
                <w:rFonts w:cs="Times New Roman"/>
                <w:sz w:val="20"/>
                <w:szCs w:val="20"/>
              </w:rPr>
              <w:t>Metlakatla Band;</w:t>
            </w:r>
          </w:p>
        </w:tc>
        <w:tc>
          <w:tcPr>
            <w:tcW w:w="1170" w:type="dxa"/>
          </w:tcPr>
          <w:p w:rsidR="00936E85" w:rsidRPr="00936E85" w:rsidRDefault="00936E85" w:rsidP="00D77551">
            <w:pPr>
              <w:rPr>
                <w:rFonts w:cs="Times New Roman"/>
                <w:sz w:val="20"/>
                <w:szCs w:val="20"/>
              </w:rPr>
            </w:pPr>
          </w:p>
        </w:tc>
        <w:tc>
          <w:tcPr>
            <w:tcW w:w="4327" w:type="dxa"/>
          </w:tcPr>
          <w:p w:rsidR="00936E85" w:rsidRPr="00936E85" w:rsidRDefault="00936E85" w:rsidP="00D77551">
            <w:pPr>
              <w:rPr>
                <w:rFonts w:cs="Times New Roman"/>
                <w:sz w:val="20"/>
                <w:szCs w:val="20"/>
              </w:rPr>
            </w:pPr>
          </w:p>
        </w:tc>
      </w:tr>
      <w:tr w:rsidR="00936E85" w:rsidRPr="00936E85" w:rsidTr="00D77551">
        <w:tc>
          <w:tcPr>
            <w:tcW w:w="1368" w:type="dxa"/>
          </w:tcPr>
          <w:p w:rsidR="00936E85" w:rsidRPr="00936E85" w:rsidRDefault="00936E85" w:rsidP="00D77551">
            <w:pPr>
              <w:rPr>
                <w:rFonts w:cs="Times New Roman"/>
                <w:sz w:val="20"/>
                <w:szCs w:val="20"/>
              </w:rPr>
            </w:pPr>
          </w:p>
        </w:tc>
        <w:tc>
          <w:tcPr>
            <w:tcW w:w="2970" w:type="dxa"/>
          </w:tcPr>
          <w:p w:rsidR="00936E85" w:rsidRPr="00936E85" w:rsidRDefault="00936E85" w:rsidP="00D77551">
            <w:pPr>
              <w:rPr>
                <w:rFonts w:cs="Times New Roman"/>
                <w:sz w:val="20"/>
                <w:szCs w:val="20"/>
              </w:rPr>
            </w:pPr>
            <w:r w:rsidRPr="00936E85">
              <w:rPr>
                <w:rFonts w:cs="Times New Roman"/>
                <w:sz w:val="20"/>
                <w:szCs w:val="20"/>
              </w:rPr>
              <w:t>B.C. Wildlife Federation and B.C. Seafood Alliance;</w:t>
            </w:r>
          </w:p>
        </w:tc>
        <w:tc>
          <w:tcPr>
            <w:tcW w:w="1170" w:type="dxa"/>
          </w:tcPr>
          <w:p w:rsidR="00936E85" w:rsidRPr="00936E85" w:rsidRDefault="00936E85" w:rsidP="00D77551">
            <w:pPr>
              <w:rPr>
                <w:rFonts w:cs="Times New Roman"/>
                <w:sz w:val="20"/>
                <w:szCs w:val="20"/>
              </w:rPr>
            </w:pPr>
          </w:p>
        </w:tc>
        <w:tc>
          <w:tcPr>
            <w:tcW w:w="4327" w:type="dxa"/>
          </w:tcPr>
          <w:p w:rsidR="00936E85" w:rsidRPr="00936E85" w:rsidRDefault="00936E85" w:rsidP="00D77551">
            <w:pPr>
              <w:rPr>
                <w:rFonts w:cs="Times New Roman"/>
                <w:sz w:val="20"/>
                <w:szCs w:val="20"/>
              </w:rPr>
            </w:pPr>
          </w:p>
        </w:tc>
      </w:tr>
      <w:tr w:rsidR="00936E85" w:rsidRPr="00936E85" w:rsidTr="00D77551">
        <w:tc>
          <w:tcPr>
            <w:tcW w:w="1368" w:type="dxa"/>
          </w:tcPr>
          <w:p w:rsidR="00936E85" w:rsidRPr="00936E85" w:rsidRDefault="00936E85" w:rsidP="00D77551">
            <w:pPr>
              <w:rPr>
                <w:rFonts w:cs="Times New Roman"/>
                <w:sz w:val="20"/>
                <w:szCs w:val="20"/>
              </w:rPr>
            </w:pPr>
          </w:p>
        </w:tc>
        <w:tc>
          <w:tcPr>
            <w:tcW w:w="2970" w:type="dxa"/>
          </w:tcPr>
          <w:p w:rsidR="00936E85" w:rsidRPr="00936E85" w:rsidRDefault="00936E85" w:rsidP="00D77551">
            <w:pPr>
              <w:rPr>
                <w:rFonts w:cs="Times New Roman"/>
                <w:sz w:val="20"/>
                <w:szCs w:val="20"/>
              </w:rPr>
            </w:pPr>
            <w:r w:rsidRPr="00936E85">
              <w:rPr>
                <w:rFonts w:cs="Times New Roman"/>
                <w:sz w:val="20"/>
                <w:szCs w:val="20"/>
              </w:rPr>
              <w:t>Gitxaala Nation</w:t>
            </w:r>
          </w:p>
        </w:tc>
        <w:tc>
          <w:tcPr>
            <w:tcW w:w="1170" w:type="dxa"/>
          </w:tcPr>
          <w:p w:rsidR="00936E85" w:rsidRPr="00936E85" w:rsidRDefault="00936E85" w:rsidP="00D77551">
            <w:pPr>
              <w:rPr>
                <w:rFonts w:cs="Times New Roman"/>
                <w:sz w:val="20"/>
                <w:szCs w:val="20"/>
              </w:rPr>
            </w:pPr>
          </w:p>
        </w:tc>
        <w:tc>
          <w:tcPr>
            <w:tcW w:w="4327" w:type="dxa"/>
          </w:tcPr>
          <w:p w:rsidR="00936E85" w:rsidRPr="00936E85" w:rsidRDefault="00936E85" w:rsidP="00D77551">
            <w:pPr>
              <w:rPr>
                <w:rFonts w:cs="Times New Roman"/>
                <w:sz w:val="20"/>
                <w:szCs w:val="20"/>
              </w:rPr>
            </w:pPr>
          </w:p>
        </w:tc>
      </w:tr>
      <w:tr w:rsidR="00936E85" w:rsidRPr="00936E85" w:rsidTr="00D77551">
        <w:tc>
          <w:tcPr>
            <w:tcW w:w="1368" w:type="dxa"/>
          </w:tcPr>
          <w:p w:rsidR="00936E85" w:rsidRPr="00936E85" w:rsidRDefault="00936E85" w:rsidP="00D77551">
            <w:pPr>
              <w:rPr>
                <w:rFonts w:cs="Times New Roman"/>
                <w:sz w:val="20"/>
                <w:szCs w:val="20"/>
              </w:rPr>
            </w:pPr>
          </w:p>
        </w:tc>
        <w:tc>
          <w:tcPr>
            <w:tcW w:w="2970" w:type="dxa"/>
          </w:tcPr>
          <w:p w:rsidR="00936E85" w:rsidRPr="00936E85" w:rsidRDefault="00936E85" w:rsidP="00D77551">
            <w:pPr>
              <w:rPr>
                <w:rFonts w:cs="Times New Roman"/>
                <w:sz w:val="20"/>
                <w:szCs w:val="20"/>
              </w:rPr>
            </w:pPr>
          </w:p>
        </w:tc>
        <w:tc>
          <w:tcPr>
            <w:tcW w:w="1170" w:type="dxa"/>
          </w:tcPr>
          <w:p w:rsidR="00936E85" w:rsidRPr="00936E85" w:rsidRDefault="00936E85" w:rsidP="00D77551">
            <w:pPr>
              <w:rPr>
                <w:rFonts w:cs="Times New Roman"/>
                <w:sz w:val="20"/>
                <w:szCs w:val="20"/>
              </w:rPr>
            </w:pPr>
          </w:p>
        </w:tc>
        <w:tc>
          <w:tcPr>
            <w:tcW w:w="4327" w:type="dxa"/>
          </w:tcPr>
          <w:p w:rsidR="00936E85" w:rsidRPr="00936E85" w:rsidRDefault="00936E85" w:rsidP="00D77551">
            <w:pPr>
              <w:rPr>
                <w:rFonts w:cs="Times New Roman"/>
                <w:sz w:val="20"/>
                <w:szCs w:val="20"/>
              </w:rPr>
            </w:pPr>
          </w:p>
        </w:tc>
      </w:tr>
      <w:tr w:rsidR="00936E85" w:rsidRPr="00936E85" w:rsidTr="00D77551">
        <w:tc>
          <w:tcPr>
            <w:tcW w:w="1368" w:type="dxa"/>
          </w:tcPr>
          <w:p w:rsidR="00936E85" w:rsidRPr="00936E85" w:rsidRDefault="00936E85" w:rsidP="00D77551">
            <w:pPr>
              <w:rPr>
                <w:rFonts w:cs="Times New Roman"/>
                <w:sz w:val="20"/>
                <w:szCs w:val="20"/>
              </w:rPr>
            </w:pPr>
            <w:r w:rsidRPr="00936E85">
              <w:rPr>
                <w:rFonts w:cs="Times New Roman"/>
                <w:sz w:val="20"/>
                <w:szCs w:val="20"/>
              </w:rPr>
              <w:t>IN / DANS :</w:t>
            </w:r>
          </w:p>
        </w:tc>
        <w:tc>
          <w:tcPr>
            <w:tcW w:w="2970" w:type="dxa"/>
          </w:tcPr>
          <w:p w:rsidR="00936E85" w:rsidRPr="00936E85" w:rsidRDefault="00936E85" w:rsidP="00D77551">
            <w:pPr>
              <w:rPr>
                <w:rFonts w:cs="Times New Roman"/>
                <w:sz w:val="20"/>
                <w:szCs w:val="20"/>
              </w:rPr>
            </w:pPr>
            <w:r w:rsidRPr="00936E85">
              <w:rPr>
                <w:rFonts w:cs="Times New Roman"/>
                <w:sz w:val="20"/>
                <w:szCs w:val="20"/>
              </w:rPr>
              <w:t>Lax Kw’alaams Band, represented by Chief Councillor Garry Reece on his own behalf and on behalf of the members of the Lax Kw’alaams Indian Band et al.</w:t>
            </w:r>
          </w:p>
          <w:p w:rsidR="00936E85" w:rsidRPr="00936E85" w:rsidRDefault="00936E85" w:rsidP="00D77551">
            <w:pPr>
              <w:rPr>
                <w:rFonts w:cs="Times New Roman"/>
                <w:sz w:val="20"/>
                <w:szCs w:val="20"/>
              </w:rPr>
            </w:pPr>
          </w:p>
        </w:tc>
        <w:tc>
          <w:tcPr>
            <w:tcW w:w="1170" w:type="dxa"/>
          </w:tcPr>
          <w:p w:rsidR="00936E85" w:rsidRPr="00936E85" w:rsidRDefault="00936E85" w:rsidP="00D77551">
            <w:pPr>
              <w:rPr>
                <w:rFonts w:cs="Times New Roman"/>
                <w:sz w:val="20"/>
                <w:szCs w:val="20"/>
              </w:rPr>
            </w:pPr>
          </w:p>
        </w:tc>
        <w:tc>
          <w:tcPr>
            <w:tcW w:w="4327" w:type="dxa"/>
          </w:tcPr>
          <w:p w:rsidR="00936E85" w:rsidRPr="00936E85" w:rsidRDefault="00936E85" w:rsidP="00D77551">
            <w:pPr>
              <w:rPr>
                <w:rFonts w:cs="Times New Roman"/>
                <w:sz w:val="20"/>
                <w:szCs w:val="20"/>
              </w:rPr>
            </w:pPr>
          </w:p>
        </w:tc>
      </w:tr>
      <w:tr w:rsidR="00936E85" w:rsidRPr="00936E85" w:rsidTr="00D77551">
        <w:tc>
          <w:tcPr>
            <w:tcW w:w="1368" w:type="dxa"/>
          </w:tcPr>
          <w:p w:rsidR="00936E85" w:rsidRPr="00936E85" w:rsidRDefault="00936E85" w:rsidP="00D77551">
            <w:pPr>
              <w:rPr>
                <w:rFonts w:cs="Times New Roman"/>
                <w:sz w:val="20"/>
                <w:szCs w:val="20"/>
              </w:rPr>
            </w:pPr>
          </w:p>
        </w:tc>
        <w:tc>
          <w:tcPr>
            <w:tcW w:w="2970" w:type="dxa"/>
          </w:tcPr>
          <w:p w:rsidR="00936E85" w:rsidRPr="00936E85" w:rsidRDefault="00936E85" w:rsidP="00D77551">
            <w:pPr>
              <w:rPr>
                <w:rFonts w:cs="Times New Roman"/>
                <w:sz w:val="20"/>
                <w:szCs w:val="20"/>
              </w:rPr>
            </w:pPr>
            <w:r w:rsidRPr="00936E85">
              <w:rPr>
                <w:rFonts w:cs="Times New Roman"/>
                <w:sz w:val="20"/>
                <w:szCs w:val="20"/>
              </w:rPr>
              <w:tab/>
              <w:t>v. (33581)</w:t>
            </w:r>
          </w:p>
          <w:p w:rsidR="00936E85" w:rsidRPr="00936E85" w:rsidRDefault="00936E85" w:rsidP="00D77551">
            <w:pPr>
              <w:rPr>
                <w:rFonts w:cs="Times New Roman"/>
                <w:sz w:val="20"/>
                <w:szCs w:val="20"/>
              </w:rPr>
            </w:pPr>
          </w:p>
        </w:tc>
        <w:tc>
          <w:tcPr>
            <w:tcW w:w="1170" w:type="dxa"/>
          </w:tcPr>
          <w:p w:rsidR="00936E85" w:rsidRPr="00936E85" w:rsidRDefault="00936E85" w:rsidP="00D77551">
            <w:pPr>
              <w:rPr>
                <w:rFonts w:cs="Times New Roman"/>
                <w:sz w:val="20"/>
                <w:szCs w:val="20"/>
              </w:rPr>
            </w:pPr>
          </w:p>
        </w:tc>
        <w:tc>
          <w:tcPr>
            <w:tcW w:w="4327" w:type="dxa"/>
          </w:tcPr>
          <w:p w:rsidR="00936E85" w:rsidRPr="00936E85" w:rsidRDefault="00936E85" w:rsidP="00D77551">
            <w:pPr>
              <w:rPr>
                <w:rFonts w:cs="Times New Roman"/>
                <w:sz w:val="20"/>
                <w:szCs w:val="20"/>
              </w:rPr>
            </w:pPr>
          </w:p>
        </w:tc>
      </w:tr>
      <w:tr w:rsidR="00936E85" w:rsidRPr="00936E85" w:rsidTr="00D77551">
        <w:tc>
          <w:tcPr>
            <w:tcW w:w="1368" w:type="dxa"/>
          </w:tcPr>
          <w:p w:rsidR="00936E85" w:rsidRPr="00936E85" w:rsidRDefault="00936E85" w:rsidP="00D77551">
            <w:pPr>
              <w:rPr>
                <w:rFonts w:cs="Times New Roman"/>
                <w:sz w:val="20"/>
                <w:szCs w:val="20"/>
              </w:rPr>
            </w:pPr>
          </w:p>
        </w:tc>
        <w:tc>
          <w:tcPr>
            <w:tcW w:w="2970" w:type="dxa"/>
          </w:tcPr>
          <w:p w:rsidR="00936E85" w:rsidRPr="00936E85" w:rsidRDefault="00936E85" w:rsidP="00D77551">
            <w:pPr>
              <w:jc w:val="both"/>
              <w:rPr>
                <w:rFonts w:cs="Times New Roman"/>
                <w:sz w:val="20"/>
                <w:szCs w:val="20"/>
              </w:rPr>
            </w:pPr>
            <w:r w:rsidRPr="00936E85">
              <w:rPr>
                <w:rFonts w:cs="Times New Roman"/>
                <w:sz w:val="20"/>
                <w:szCs w:val="20"/>
              </w:rPr>
              <w:t>Attorney General of Canada et al</w:t>
            </w:r>
          </w:p>
          <w:p w:rsidR="00936E85" w:rsidRPr="00936E85" w:rsidRDefault="00936E85" w:rsidP="00D77551">
            <w:pPr>
              <w:jc w:val="both"/>
              <w:rPr>
                <w:rFonts w:cs="Times New Roman"/>
                <w:sz w:val="20"/>
                <w:szCs w:val="20"/>
              </w:rPr>
            </w:pPr>
            <w:r w:rsidRPr="00936E85">
              <w:rPr>
                <w:rFonts w:cs="Times New Roman"/>
                <w:sz w:val="20"/>
                <w:szCs w:val="20"/>
              </w:rPr>
              <w:t>(B.C.)</w:t>
            </w:r>
          </w:p>
        </w:tc>
        <w:tc>
          <w:tcPr>
            <w:tcW w:w="1170" w:type="dxa"/>
          </w:tcPr>
          <w:p w:rsidR="00936E85" w:rsidRPr="00936E85" w:rsidRDefault="00936E85" w:rsidP="00D77551">
            <w:pPr>
              <w:rPr>
                <w:rFonts w:cs="Times New Roman"/>
                <w:sz w:val="20"/>
                <w:szCs w:val="20"/>
              </w:rPr>
            </w:pPr>
          </w:p>
        </w:tc>
        <w:tc>
          <w:tcPr>
            <w:tcW w:w="4327" w:type="dxa"/>
          </w:tcPr>
          <w:p w:rsidR="00936E85" w:rsidRPr="00936E85" w:rsidRDefault="00936E85" w:rsidP="00D77551">
            <w:pPr>
              <w:rPr>
                <w:rFonts w:cs="Times New Roman"/>
                <w:sz w:val="20"/>
                <w:szCs w:val="20"/>
              </w:rPr>
            </w:pPr>
          </w:p>
        </w:tc>
      </w:tr>
    </w:tbl>
    <w:p w:rsidR="00936E85" w:rsidRPr="00936E85" w:rsidRDefault="00936E85" w:rsidP="00936E85">
      <w:pPr>
        <w:tabs>
          <w:tab w:val="left" w:pos="-1440"/>
          <w:tab w:val="left" w:pos="-720"/>
        </w:tabs>
        <w:jc w:val="both"/>
        <w:rPr>
          <w:rFonts w:cs="Times New Roman"/>
          <w:sz w:val="20"/>
          <w:szCs w:val="20"/>
        </w:rPr>
      </w:pPr>
    </w:p>
    <w:p w:rsidR="00936E85" w:rsidRPr="00936E85" w:rsidRDefault="00936E85" w:rsidP="00936E85">
      <w:pPr>
        <w:tabs>
          <w:tab w:val="left" w:pos="-1440"/>
          <w:tab w:val="left" w:pos="-720"/>
        </w:tabs>
        <w:jc w:val="both"/>
        <w:rPr>
          <w:rFonts w:cs="Times New Roman"/>
          <w:b/>
          <w:sz w:val="20"/>
          <w:szCs w:val="20"/>
        </w:rPr>
      </w:pPr>
      <w:r w:rsidRPr="00936E85">
        <w:rPr>
          <w:rFonts w:cs="Times New Roman"/>
          <w:b/>
          <w:sz w:val="20"/>
          <w:szCs w:val="20"/>
        </w:rPr>
        <w:t>GRANTED / ACCORDÉES</w:t>
      </w:r>
    </w:p>
    <w:p w:rsidR="00936E85" w:rsidRPr="00936E85" w:rsidRDefault="00936E85" w:rsidP="00936E85">
      <w:pPr>
        <w:tabs>
          <w:tab w:val="left" w:pos="-1440"/>
          <w:tab w:val="left" w:pos="-720"/>
        </w:tabs>
        <w:jc w:val="both"/>
        <w:rPr>
          <w:rFonts w:cs="Times New Roman"/>
          <w:sz w:val="20"/>
          <w:szCs w:val="20"/>
        </w:rPr>
      </w:pPr>
    </w:p>
    <w:p w:rsidR="00936E85" w:rsidRPr="00936E85" w:rsidRDefault="00936E85" w:rsidP="00936E85">
      <w:pPr>
        <w:spacing w:line="233" w:lineRule="auto"/>
        <w:jc w:val="both"/>
        <w:rPr>
          <w:rFonts w:cs="Times New Roman"/>
          <w:sz w:val="20"/>
          <w:szCs w:val="20"/>
        </w:rPr>
      </w:pPr>
      <w:r w:rsidRPr="00936E85">
        <w:rPr>
          <w:rFonts w:cs="Times New Roman"/>
          <w:b/>
          <w:bCs/>
          <w:sz w:val="20"/>
          <w:szCs w:val="20"/>
        </w:rPr>
        <w:t xml:space="preserve">UPON APPLICATIONS </w:t>
      </w:r>
      <w:r w:rsidRPr="00936E85">
        <w:rPr>
          <w:rFonts w:cs="Times New Roman"/>
          <w:sz w:val="20"/>
          <w:szCs w:val="20"/>
        </w:rPr>
        <w:t>by the Attorney General of Ontario, the Metlakatla Band, the B.C. Wildlife Federation and B.C. Seafood Alliance and the Gitxaala Nation for leave to intervene in the above appeal;</w:t>
      </w:r>
    </w:p>
    <w:p w:rsidR="00936E85" w:rsidRPr="00936E85" w:rsidRDefault="00936E85" w:rsidP="00936E85">
      <w:pPr>
        <w:spacing w:line="233" w:lineRule="auto"/>
        <w:jc w:val="both"/>
        <w:rPr>
          <w:rFonts w:cs="Times New Roman"/>
          <w:sz w:val="20"/>
          <w:szCs w:val="20"/>
        </w:rPr>
      </w:pPr>
    </w:p>
    <w:p w:rsidR="00936E85" w:rsidRPr="00936E85" w:rsidRDefault="00936E85" w:rsidP="00936E85">
      <w:pPr>
        <w:spacing w:line="233" w:lineRule="auto"/>
        <w:jc w:val="both"/>
        <w:rPr>
          <w:rFonts w:cs="Times New Roman"/>
          <w:sz w:val="20"/>
          <w:szCs w:val="20"/>
        </w:rPr>
      </w:pPr>
      <w:r w:rsidRPr="00936E85">
        <w:rPr>
          <w:rFonts w:cs="Times New Roman"/>
          <w:b/>
          <w:sz w:val="20"/>
          <w:szCs w:val="20"/>
        </w:rPr>
        <w:t>AND</w:t>
      </w:r>
      <w:r w:rsidRPr="00936E85">
        <w:rPr>
          <w:rFonts w:cs="Times New Roman"/>
          <w:sz w:val="20"/>
          <w:szCs w:val="20"/>
        </w:rPr>
        <w:t xml:space="preserve"> </w:t>
      </w:r>
      <w:r w:rsidRPr="00936E85">
        <w:rPr>
          <w:rFonts w:cs="Times New Roman"/>
          <w:b/>
          <w:bCs/>
          <w:sz w:val="20"/>
          <w:szCs w:val="20"/>
        </w:rPr>
        <w:t xml:space="preserve">UPON APPLICATION </w:t>
      </w:r>
      <w:r w:rsidRPr="00936E85">
        <w:rPr>
          <w:rFonts w:cs="Times New Roman"/>
          <w:sz w:val="20"/>
          <w:szCs w:val="20"/>
        </w:rPr>
        <w:t xml:space="preserve">by the Te'Mexw Treaty Association for </w:t>
      </w:r>
      <w:r w:rsidR="00D56013" w:rsidRPr="00936E85">
        <w:rPr>
          <w:rFonts w:cs="Times New Roman"/>
          <w:sz w:val="20"/>
          <w:szCs w:val="20"/>
        </w:rPr>
        <w:fldChar w:fldCharType="begin"/>
      </w:r>
      <w:r w:rsidRPr="00936E85">
        <w:rPr>
          <w:rFonts w:cs="Times New Roman"/>
          <w:sz w:val="20"/>
          <w:szCs w:val="20"/>
        </w:rPr>
        <w:instrText xml:space="preserve"> SEQ CHAPTER \h \r 1</w:instrText>
      </w:r>
      <w:r w:rsidR="00D56013" w:rsidRPr="00936E85">
        <w:rPr>
          <w:rFonts w:cs="Times New Roman"/>
          <w:sz w:val="20"/>
          <w:szCs w:val="20"/>
        </w:rPr>
        <w:fldChar w:fldCharType="end"/>
      </w:r>
      <w:r w:rsidRPr="00936E85">
        <w:rPr>
          <w:rFonts w:cs="Times New Roman"/>
          <w:sz w:val="20"/>
          <w:szCs w:val="20"/>
        </w:rPr>
        <w:t>an extension of time to apply for leave to intervene and for leave to intervene in the above appeal;</w:t>
      </w:r>
    </w:p>
    <w:p w:rsidR="00936E85" w:rsidRPr="00936E85" w:rsidRDefault="00936E85" w:rsidP="00936E85">
      <w:pPr>
        <w:spacing w:line="233" w:lineRule="auto"/>
        <w:jc w:val="both"/>
        <w:rPr>
          <w:rFonts w:cs="Times New Roman"/>
          <w:sz w:val="20"/>
          <w:szCs w:val="20"/>
        </w:rPr>
      </w:pPr>
    </w:p>
    <w:p w:rsidR="00936E85" w:rsidRPr="00936E85" w:rsidRDefault="00936E85" w:rsidP="00936E85">
      <w:pPr>
        <w:spacing w:line="233" w:lineRule="auto"/>
        <w:jc w:val="both"/>
        <w:rPr>
          <w:rFonts w:cs="Times New Roman"/>
          <w:sz w:val="20"/>
          <w:szCs w:val="20"/>
        </w:rPr>
      </w:pPr>
      <w:r w:rsidRPr="00936E85">
        <w:rPr>
          <w:rFonts w:cs="Times New Roman"/>
          <w:b/>
          <w:bCs/>
          <w:sz w:val="20"/>
          <w:szCs w:val="20"/>
        </w:rPr>
        <w:t>AND THE MATERIAL FILED</w:t>
      </w:r>
      <w:r w:rsidRPr="00936E85">
        <w:rPr>
          <w:rFonts w:cs="Times New Roman"/>
          <w:sz w:val="20"/>
          <w:szCs w:val="20"/>
        </w:rPr>
        <w:t xml:space="preserve"> having been read;</w:t>
      </w:r>
    </w:p>
    <w:p w:rsidR="00936E85" w:rsidRPr="00936E85" w:rsidRDefault="00936E85" w:rsidP="00936E85">
      <w:pPr>
        <w:spacing w:line="233" w:lineRule="auto"/>
        <w:jc w:val="both"/>
        <w:rPr>
          <w:rFonts w:cs="Times New Roman"/>
          <w:sz w:val="20"/>
          <w:szCs w:val="20"/>
        </w:rPr>
      </w:pPr>
    </w:p>
    <w:p w:rsidR="00936E85" w:rsidRPr="00936E85" w:rsidRDefault="00936E85" w:rsidP="00936E85">
      <w:pPr>
        <w:spacing w:line="233" w:lineRule="auto"/>
        <w:jc w:val="both"/>
        <w:rPr>
          <w:rFonts w:cs="Times New Roman"/>
          <w:sz w:val="20"/>
          <w:szCs w:val="20"/>
        </w:rPr>
      </w:pPr>
      <w:r w:rsidRPr="00936E85">
        <w:rPr>
          <w:rFonts w:cs="Times New Roman"/>
          <w:b/>
          <w:bCs/>
          <w:sz w:val="20"/>
          <w:szCs w:val="20"/>
        </w:rPr>
        <w:t>IT IS HEREBY ORDERED THAT:</w:t>
      </w:r>
    </w:p>
    <w:p w:rsidR="00936E85" w:rsidRPr="00936E85" w:rsidRDefault="00936E85" w:rsidP="00936E85">
      <w:pPr>
        <w:spacing w:line="233" w:lineRule="auto"/>
        <w:jc w:val="both"/>
        <w:rPr>
          <w:rFonts w:cs="Times New Roman"/>
          <w:sz w:val="20"/>
          <w:szCs w:val="20"/>
        </w:rPr>
      </w:pPr>
    </w:p>
    <w:p w:rsidR="00936E85" w:rsidRPr="00936E85" w:rsidRDefault="00936E85" w:rsidP="00936E85">
      <w:pPr>
        <w:spacing w:line="233" w:lineRule="auto"/>
        <w:jc w:val="both"/>
        <w:rPr>
          <w:rFonts w:cs="Times New Roman"/>
          <w:sz w:val="20"/>
          <w:szCs w:val="20"/>
        </w:rPr>
      </w:pPr>
      <w:r w:rsidRPr="00936E85">
        <w:rPr>
          <w:rFonts w:cs="Times New Roman"/>
          <w:sz w:val="20"/>
          <w:szCs w:val="20"/>
        </w:rPr>
        <w:t>The motions for leave to intervene of the Attorney General of Ontario, the Metlakatla Band, the B.C. Wildlife Federation and B.C. Seafood Alliance and the Gitxaala Nation are granted and the said four interveners shall be entitled to each serve and file a factum not to exceed 10 pages in length on or before February 1, 2011.</w:t>
      </w:r>
    </w:p>
    <w:p w:rsidR="00936E85" w:rsidRPr="00936E85" w:rsidRDefault="00936E85" w:rsidP="00936E85">
      <w:pPr>
        <w:spacing w:line="233" w:lineRule="auto"/>
        <w:jc w:val="both"/>
        <w:rPr>
          <w:rFonts w:cs="Times New Roman"/>
          <w:sz w:val="20"/>
          <w:szCs w:val="20"/>
        </w:rPr>
      </w:pPr>
    </w:p>
    <w:p w:rsidR="00936E85" w:rsidRPr="00936E85" w:rsidRDefault="00936E85" w:rsidP="00936E85">
      <w:pPr>
        <w:spacing w:line="233" w:lineRule="auto"/>
        <w:jc w:val="both"/>
        <w:rPr>
          <w:rFonts w:cs="Times New Roman"/>
          <w:sz w:val="20"/>
          <w:szCs w:val="20"/>
        </w:rPr>
      </w:pPr>
      <w:r w:rsidRPr="00936E85">
        <w:rPr>
          <w:rFonts w:cs="Times New Roman"/>
          <w:sz w:val="20"/>
          <w:szCs w:val="20"/>
        </w:rPr>
        <w:t>The motion for an extension of time to apply for leave to intervene and for leave to intervene of the Te'Mexw Treaty Association is granted and the said intervener shall be entitled to serve and file a factum not to exceed 10 pages in length on or before February 1, 2011.</w:t>
      </w:r>
    </w:p>
    <w:p w:rsidR="00936E85" w:rsidRPr="00936E85" w:rsidRDefault="00936E85" w:rsidP="00936E85">
      <w:pPr>
        <w:spacing w:line="233" w:lineRule="auto"/>
        <w:jc w:val="both"/>
        <w:rPr>
          <w:rFonts w:cs="Times New Roman"/>
          <w:sz w:val="20"/>
          <w:szCs w:val="20"/>
        </w:rPr>
      </w:pPr>
    </w:p>
    <w:p w:rsidR="00936E85" w:rsidRPr="00936E85" w:rsidRDefault="00936E85" w:rsidP="00936E85">
      <w:pPr>
        <w:spacing w:line="233" w:lineRule="auto"/>
        <w:jc w:val="both"/>
        <w:rPr>
          <w:rFonts w:cs="Times New Roman"/>
          <w:sz w:val="20"/>
          <w:szCs w:val="20"/>
        </w:rPr>
      </w:pPr>
      <w:r w:rsidRPr="00936E85">
        <w:rPr>
          <w:rFonts w:cs="Times New Roman"/>
          <w:sz w:val="20"/>
          <w:szCs w:val="20"/>
        </w:rPr>
        <w:t>The requests to present oral argument are deferred to a date following receipt and consideration of the written arguments of the parties and the interveners.</w:t>
      </w:r>
    </w:p>
    <w:p w:rsidR="00936E85" w:rsidRPr="00936E85" w:rsidRDefault="00936E85" w:rsidP="00936E85">
      <w:pPr>
        <w:spacing w:line="233" w:lineRule="auto"/>
        <w:jc w:val="both"/>
        <w:rPr>
          <w:rFonts w:cs="Times New Roman"/>
          <w:sz w:val="20"/>
          <w:szCs w:val="20"/>
        </w:rPr>
      </w:pPr>
    </w:p>
    <w:p w:rsidR="00936E85" w:rsidRPr="00936E85" w:rsidRDefault="00936E85" w:rsidP="00936E85">
      <w:pPr>
        <w:spacing w:line="233" w:lineRule="auto"/>
        <w:jc w:val="both"/>
        <w:rPr>
          <w:rFonts w:cs="Times New Roman"/>
          <w:sz w:val="20"/>
          <w:szCs w:val="20"/>
        </w:rPr>
      </w:pPr>
      <w:r w:rsidRPr="00936E85">
        <w:rPr>
          <w:rFonts w:cs="Times New Roman"/>
          <w:sz w:val="20"/>
          <w:szCs w:val="20"/>
        </w:rPr>
        <w:t>The interveners shall not be entitled to raise new issues or to adduce further evidence or otherwise to supplement the record of the parties.</w:t>
      </w:r>
    </w:p>
    <w:p w:rsidR="00936E85" w:rsidRPr="00936E85" w:rsidRDefault="00936E85" w:rsidP="00936E85">
      <w:pPr>
        <w:spacing w:line="233" w:lineRule="auto"/>
        <w:jc w:val="both"/>
        <w:rPr>
          <w:rFonts w:cs="Times New Roman"/>
          <w:sz w:val="20"/>
          <w:szCs w:val="20"/>
        </w:rPr>
      </w:pPr>
    </w:p>
    <w:p w:rsidR="00936E85" w:rsidRPr="00936E85" w:rsidRDefault="00936E85" w:rsidP="00936E85">
      <w:pPr>
        <w:spacing w:line="233" w:lineRule="auto"/>
        <w:jc w:val="both"/>
        <w:rPr>
          <w:rFonts w:cs="Times New Roman"/>
          <w:sz w:val="20"/>
          <w:szCs w:val="20"/>
        </w:rPr>
      </w:pPr>
      <w:r w:rsidRPr="00936E85">
        <w:rPr>
          <w:rFonts w:cs="Times New Roman"/>
          <w:sz w:val="20"/>
          <w:szCs w:val="20"/>
        </w:rPr>
        <w:t>Pursuant to Rule 59(1)(</w:t>
      </w:r>
      <w:r w:rsidRPr="00936E85">
        <w:rPr>
          <w:rFonts w:cs="Times New Roman"/>
          <w:i/>
          <w:iCs/>
          <w:sz w:val="20"/>
          <w:szCs w:val="20"/>
        </w:rPr>
        <w:t>a</w:t>
      </w:r>
      <w:r w:rsidRPr="00936E85">
        <w:rPr>
          <w:rFonts w:cs="Times New Roman"/>
          <w:sz w:val="20"/>
          <w:szCs w:val="20"/>
        </w:rPr>
        <w:t xml:space="preserve">) of the </w:t>
      </w:r>
      <w:r w:rsidRPr="00936E85">
        <w:rPr>
          <w:rFonts w:cs="Times New Roman"/>
          <w:i/>
          <w:iCs/>
          <w:sz w:val="20"/>
          <w:szCs w:val="20"/>
        </w:rPr>
        <w:t>Rules of the Supreme Court of Canada</w:t>
      </w:r>
      <w:r w:rsidRPr="00936E85">
        <w:rPr>
          <w:rFonts w:cs="Times New Roman"/>
          <w:sz w:val="20"/>
          <w:szCs w:val="20"/>
        </w:rPr>
        <w:t>, the interveners shall pay to the appellants and respondents any additional disbursements occasioned to the appellants and respondents by their intervention.</w:t>
      </w:r>
    </w:p>
    <w:p w:rsidR="00936E85" w:rsidRPr="00936E85" w:rsidRDefault="00936E85" w:rsidP="00936E85">
      <w:pPr>
        <w:tabs>
          <w:tab w:val="left" w:pos="-1440"/>
          <w:tab w:val="left" w:pos="-720"/>
        </w:tabs>
        <w:jc w:val="both"/>
        <w:rPr>
          <w:rFonts w:cs="Times New Roman"/>
          <w:sz w:val="20"/>
          <w:szCs w:val="20"/>
        </w:rPr>
      </w:pPr>
    </w:p>
    <w:p w:rsidR="00936E85" w:rsidRPr="00936E85" w:rsidRDefault="00936E85" w:rsidP="00936E85">
      <w:pPr>
        <w:tabs>
          <w:tab w:val="left" w:pos="-1440"/>
          <w:tab w:val="left" w:pos="-720"/>
        </w:tabs>
        <w:jc w:val="both"/>
        <w:rPr>
          <w:rFonts w:cs="Times New Roman"/>
          <w:sz w:val="20"/>
          <w:szCs w:val="20"/>
        </w:rPr>
      </w:pPr>
    </w:p>
    <w:p w:rsidR="00936E85" w:rsidRPr="00936E85" w:rsidRDefault="00936E85" w:rsidP="00936E85">
      <w:pPr>
        <w:tabs>
          <w:tab w:val="left" w:pos="-1440"/>
          <w:tab w:val="left" w:pos="-720"/>
        </w:tabs>
        <w:jc w:val="both"/>
        <w:rPr>
          <w:rFonts w:cs="Times New Roman"/>
          <w:sz w:val="20"/>
          <w:szCs w:val="20"/>
        </w:rPr>
      </w:pPr>
    </w:p>
    <w:p w:rsidR="00936E85" w:rsidRPr="00936E85" w:rsidRDefault="00936E85" w:rsidP="00936E85">
      <w:pPr>
        <w:spacing w:line="233" w:lineRule="auto"/>
        <w:jc w:val="both"/>
        <w:rPr>
          <w:rFonts w:cs="Times New Roman"/>
          <w:sz w:val="20"/>
          <w:szCs w:val="20"/>
          <w:lang w:val="fr-FR"/>
        </w:rPr>
      </w:pPr>
      <w:r w:rsidRPr="00936E85">
        <w:rPr>
          <w:rFonts w:cs="Times New Roman"/>
          <w:b/>
          <w:bCs/>
          <w:sz w:val="20"/>
          <w:szCs w:val="20"/>
          <w:lang w:val="fr-FR"/>
        </w:rPr>
        <w:lastRenderedPageBreak/>
        <w:t xml:space="preserve">À LA SUITE DES DEMANDES </w:t>
      </w:r>
      <w:r w:rsidRPr="00936E85">
        <w:rPr>
          <w:rFonts w:cs="Times New Roman"/>
          <w:bCs/>
          <w:sz w:val="20"/>
          <w:szCs w:val="20"/>
          <w:lang w:val="fr-FR"/>
        </w:rPr>
        <w:t>d’autorisation d’intervenir dans l’appel présentées par le procureur général de l’</w:t>
      </w:r>
      <w:r w:rsidRPr="00936E85">
        <w:rPr>
          <w:rFonts w:cs="Times New Roman"/>
          <w:sz w:val="20"/>
          <w:szCs w:val="20"/>
          <w:lang w:val="fr-FR"/>
        </w:rPr>
        <w:t>Ontario, par la bande de Metlakatla, par la B.C. Wildlife Federation et la B.C. Seafood Alliance et par la Nation Gitxaala;</w:t>
      </w:r>
    </w:p>
    <w:p w:rsidR="00936E85" w:rsidRPr="00936E85" w:rsidRDefault="00936E85" w:rsidP="00936E85">
      <w:pPr>
        <w:spacing w:line="233" w:lineRule="auto"/>
        <w:jc w:val="both"/>
        <w:rPr>
          <w:rFonts w:cs="Times New Roman"/>
          <w:sz w:val="20"/>
          <w:szCs w:val="20"/>
          <w:lang w:val="fr-FR"/>
        </w:rPr>
      </w:pPr>
    </w:p>
    <w:p w:rsidR="00936E85" w:rsidRPr="00936E85" w:rsidRDefault="00936E85" w:rsidP="00936E85">
      <w:pPr>
        <w:spacing w:line="233" w:lineRule="auto"/>
        <w:jc w:val="both"/>
        <w:rPr>
          <w:rFonts w:cs="Times New Roman"/>
          <w:sz w:val="20"/>
          <w:szCs w:val="20"/>
          <w:lang w:val="fr-FR"/>
        </w:rPr>
      </w:pPr>
      <w:r w:rsidRPr="00936E85">
        <w:rPr>
          <w:rFonts w:cs="Times New Roman"/>
          <w:b/>
          <w:sz w:val="20"/>
          <w:szCs w:val="20"/>
          <w:lang w:val="fr-FR"/>
        </w:rPr>
        <w:t xml:space="preserve">ET À LA SUITE DE LA DEMANDE </w:t>
      </w:r>
      <w:r w:rsidRPr="00936E85">
        <w:rPr>
          <w:rFonts w:cs="Times New Roman"/>
          <w:sz w:val="20"/>
          <w:szCs w:val="20"/>
          <w:lang w:val="fr-FR"/>
        </w:rPr>
        <w:t>présentée</w:t>
      </w:r>
      <w:r w:rsidRPr="00936E85">
        <w:rPr>
          <w:rFonts w:cs="Times New Roman"/>
          <w:b/>
          <w:sz w:val="20"/>
          <w:szCs w:val="20"/>
          <w:lang w:val="fr-FR"/>
        </w:rPr>
        <w:t xml:space="preserve"> </w:t>
      </w:r>
      <w:r w:rsidRPr="00936E85">
        <w:rPr>
          <w:rFonts w:cs="Times New Roman"/>
          <w:sz w:val="20"/>
          <w:szCs w:val="20"/>
          <w:lang w:val="fr-FR"/>
        </w:rPr>
        <w:t>par</w:t>
      </w:r>
      <w:r w:rsidRPr="00936E85">
        <w:rPr>
          <w:rFonts w:cs="Times New Roman"/>
          <w:b/>
          <w:sz w:val="20"/>
          <w:szCs w:val="20"/>
          <w:lang w:val="fr-FR"/>
        </w:rPr>
        <w:t xml:space="preserve"> </w:t>
      </w:r>
      <w:r w:rsidRPr="00936E85">
        <w:rPr>
          <w:rFonts w:cs="Times New Roman"/>
          <w:sz w:val="20"/>
          <w:szCs w:val="20"/>
          <w:lang w:val="fr-FR"/>
        </w:rPr>
        <w:t xml:space="preserve">l’Association du traité des Te'Mexw en vue d’obtenir une prorogation du délai pour demander l’autorisation d’intervenir </w:t>
      </w:r>
      <w:r w:rsidR="00D56013" w:rsidRPr="00936E85">
        <w:rPr>
          <w:rFonts w:cs="Times New Roman"/>
          <w:sz w:val="20"/>
          <w:szCs w:val="20"/>
        </w:rPr>
        <w:fldChar w:fldCharType="begin"/>
      </w:r>
      <w:r w:rsidRPr="00936E85">
        <w:rPr>
          <w:rFonts w:cs="Times New Roman"/>
          <w:sz w:val="20"/>
          <w:szCs w:val="20"/>
          <w:lang w:val="fr-FR"/>
        </w:rPr>
        <w:instrText xml:space="preserve"> SEQ CHAPTER \h \r 1</w:instrText>
      </w:r>
      <w:r w:rsidR="00D56013" w:rsidRPr="00936E85">
        <w:rPr>
          <w:rFonts w:cs="Times New Roman"/>
          <w:sz w:val="20"/>
          <w:szCs w:val="20"/>
        </w:rPr>
        <w:fldChar w:fldCharType="end"/>
      </w:r>
      <w:r w:rsidRPr="00936E85">
        <w:rPr>
          <w:rFonts w:cs="Times New Roman"/>
          <w:sz w:val="20"/>
          <w:szCs w:val="20"/>
          <w:lang w:val="fr-FR"/>
        </w:rPr>
        <w:t>et en vue d’intervenir dans l’appel;</w:t>
      </w:r>
    </w:p>
    <w:p w:rsidR="00936E85" w:rsidRPr="00936E85" w:rsidRDefault="00936E85" w:rsidP="00936E85">
      <w:pPr>
        <w:spacing w:line="233" w:lineRule="auto"/>
        <w:jc w:val="both"/>
        <w:rPr>
          <w:rFonts w:cs="Times New Roman"/>
          <w:sz w:val="20"/>
          <w:szCs w:val="20"/>
          <w:lang w:val="fr-FR"/>
        </w:rPr>
      </w:pPr>
    </w:p>
    <w:p w:rsidR="00936E85" w:rsidRPr="00936E85" w:rsidRDefault="00936E85" w:rsidP="00936E85">
      <w:pPr>
        <w:spacing w:line="233" w:lineRule="auto"/>
        <w:jc w:val="both"/>
        <w:rPr>
          <w:rFonts w:cs="Times New Roman"/>
          <w:sz w:val="20"/>
          <w:szCs w:val="20"/>
          <w:lang w:val="fr-FR"/>
        </w:rPr>
      </w:pPr>
      <w:r w:rsidRPr="00936E85">
        <w:rPr>
          <w:rFonts w:cs="Times New Roman"/>
          <w:b/>
          <w:bCs/>
          <w:sz w:val="20"/>
          <w:szCs w:val="20"/>
          <w:lang w:val="fr-FR"/>
        </w:rPr>
        <w:t xml:space="preserve">ET APRÈS EXAMEN </w:t>
      </w:r>
      <w:r w:rsidRPr="00936E85">
        <w:rPr>
          <w:rFonts w:cs="Times New Roman"/>
          <w:bCs/>
          <w:sz w:val="20"/>
          <w:szCs w:val="20"/>
          <w:lang w:val="fr-FR"/>
        </w:rPr>
        <w:t>des documents déposés</w:t>
      </w:r>
      <w:r w:rsidRPr="00936E85">
        <w:rPr>
          <w:rFonts w:cs="Times New Roman"/>
          <w:sz w:val="20"/>
          <w:szCs w:val="20"/>
          <w:lang w:val="fr-FR"/>
        </w:rPr>
        <w:t>;</w:t>
      </w:r>
    </w:p>
    <w:p w:rsidR="00936E85" w:rsidRPr="00936E85" w:rsidRDefault="00936E85" w:rsidP="00936E85">
      <w:pPr>
        <w:spacing w:line="233" w:lineRule="auto"/>
        <w:jc w:val="both"/>
        <w:rPr>
          <w:rFonts w:cs="Times New Roman"/>
          <w:sz w:val="20"/>
          <w:szCs w:val="20"/>
          <w:lang w:val="fr-FR"/>
        </w:rPr>
      </w:pPr>
    </w:p>
    <w:p w:rsidR="00936E85" w:rsidRPr="00936E85" w:rsidRDefault="00936E85" w:rsidP="00936E85">
      <w:pPr>
        <w:spacing w:line="233" w:lineRule="auto"/>
        <w:jc w:val="both"/>
        <w:rPr>
          <w:rFonts w:cs="Times New Roman"/>
          <w:sz w:val="20"/>
          <w:szCs w:val="20"/>
          <w:lang w:val="fr-FR"/>
        </w:rPr>
      </w:pPr>
      <w:r w:rsidRPr="00936E85">
        <w:rPr>
          <w:rFonts w:cs="Times New Roman"/>
          <w:b/>
          <w:bCs/>
          <w:sz w:val="20"/>
          <w:szCs w:val="20"/>
          <w:lang w:val="fr-FR"/>
        </w:rPr>
        <w:t>IL EST ORDONNÉ CE QUI SUIT :</w:t>
      </w:r>
    </w:p>
    <w:p w:rsidR="00936E85" w:rsidRPr="00936E85" w:rsidRDefault="00936E85" w:rsidP="00936E85">
      <w:pPr>
        <w:spacing w:line="233" w:lineRule="auto"/>
        <w:jc w:val="both"/>
        <w:rPr>
          <w:rFonts w:cs="Times New Roman"/>
          <w:sz w:val="20"/>
          <w:szCs w:val="20"/>
          <w:lang w:val="fr-FR"/>
        </w:rPr>
      </w:pPr>
    </w:p>
    <w:p w:rsidR="00936E85" w:rsidRPr="00936E85" w:rsidRDefault="00936E85" w:rsidP="00936E85">
      <w:pPr>
        <w:spacing w:line="233" w:lineRule="auto"/>
        <w:jc w:val="both"/>
        <w:rPr>
          <w:rFonts w:cs="Times New Roman"/>
          <w:sz w:val="20"/>
          <w:szCs w:val="20"/>
          <w:lang w:val="fr-FR"/>
        </w:rPr>
      </w:pPr>
      <w:r w:rsidRPr="00936E85">
        <w:rPr>
          <w:rFonts w:cs="Times New Roman"/>
          <w:sz w:val="20"/>
          <w:szCs w:val="20"/>
          <w:lang w:val="fr-FR"/>
        </w:rPr>
        <w:t>Les requêtes en autorisation d’intervenir du procureur général de l’Ontario, de la bande de Metlakatla, de la B.C. Wildlife Federation et la B.C. Seafood Alliance et de la Nation Gitxaala sont accueillies et chacun de ces quatre intervenants pourra signifier et déposer un mémoire d’au plus 10 pages au plus tard le 1</w:t>
      </w:r>
      <w:r w:rsidRPr="00936E85">
        <w:rPr>
          <w:rFonts w:cs="Times New Roman"/>
          <w:sz w:val="20"/>
          <w:szCs w:val="20"/>
          <w:vertAlign w:val="superscript"/>
          <w:lang w:val="fr-FR"/>
        </w:rPr>
        <w:t>er</w:t>
      </w:r>
      <w:r w:rsidRPr="00936E85">
        <w:rPr>
          <w:rFonts w:cs="Times New Roman"/>
          <w:sz w:val="20"/>
          <w:szCs w:val="20"/>
          <w:lang w:val="fr-FR"/>
        </w:rPr>
        <w:t xml:space="preserve"> février 2011. </w:t>
      </w:r>
    </w:p>
    <w:p w:rsidR="00936E85" w:rsidRPr="00936E85" w:rsidRDefault="00936E85" w:rsidP="00936E85">
      <w:pPr>
        <w:spacing w:line="233" w:lineRule="auto"/>
        <w:jc w:val="both"/>
        <w:rPr>
          <w:rFonts w:cs="Times New Roman"/>
          <w:sz w:val="20"/>
          <w:szCs w:val="20"/>
          <w:lang w:val="fr-FR"/>
        </w:rPr>
      </w:pPr>
    </w:p>
    <w:p w:rsidR="00936E85" w:rsidRPr="00936E85" w:rsidRDefault="00936E85" w:rsidP="00936E85">
      <w:pPr>
        <w:spacing w:line="233" w:lineRule="auto"/>
        <w:jc w:val="both"/>
        <w:rPr>
          <w:rFonts w:cs="Times New Roman"/>
          <w:sz w:val="20"/>
          <w:szCs w:val="20"/>
          <w:lang w:val="fr-CA"/>
        </w:rPr>
      </w:pPr>
      <w:r w:rsidRPr="00936E85">
        <w:rPr>
          <w:rFonts w:cs="Times New Roman"/>
          <w:sz w:val="20"/>
          <w:szCs w:val="20"/>
          <w:lang w:val="fr-FR"/>
        </w:rPr>
        <w:t>La requête de l’Association du traité des Te'Mexw en prorogation du délai pour demander l’autorisation d’intervenir et en autorisation d’intervenir est accueillie et cette intervenante pourra signifier et déposer un mémoire d’au plus 10 pages au plus tard le 1</w:t>
      </w:r>
      <w:r w:rsidRPr="00936E85">
        <w:rPr>
          <w:rFonts w:cs="Times New Roman"/>
          <w:sz w:val="20"/>
          <w:szCs w:val="20"/>
          <w:vertAlign w:val="superscript"/>
          <w:lang w:val="fr-FR"/>
        </w:rPr>
        <w:t>er</w:t>
      </w:r>
      <w:r w:rsidRPr="00936E85">
        <w:rPr>
          <w:rFonts w:cs="Times New Roman"/>
          <w:sz w:val="20"/>
          <w:szCs w:val="20"/>
          <w:lang w:val="fr-FR"/>
        </w:rPr>
        <w:t xml:space="preserve"> février 2011. </w:t>
      </w:r>
    </w:p>
    <w:p w:rsidR="00936E85" w:rsidRPr="00936E85" w:rsidRDefault="00936E85" w:rsidP="00936E85">
      <w:pPr>
        <w:spacing w:line="233" w:lineRule="auto"/>
        <w:jc w:val="both"/>
        <w:rPr>
          <w:rFonts w:cs="Times New Roman"/>
          <w:sz w:val="20"/>
          <w:szCs w:val="20"/>
          <w:lang w:val="fr-CA"/>
        </w:rPr>
      </w:pPr>
    </w:p>
    <w:p w:rsidR="00936E85" w:rsidRPr="00936E85" w:rsidRDefault="00936E85" w:rsidP="00936E85">
      <w:pPr>
        <w:spacing w:line="233" w:lineRule="auto"/>
        <w:jc w:val="both"/>
        <w:rPr>
          <w:rFonts w:cs="Times New Roman"/>
          <w:sz w:val="20"/>
          <w:szCs w:val="20"/>
          <w:lang w:val="fr-CA"/>
        </w:rPr>
      </w:pPr>
      <w:r w:rsidRPr="00936E85">
        <w:rPr>
          <w:rFonts w:cs="Times New Roman"/>
          <w:sz w:val="20"/>
          <w:szCs w:val="20"/>
          <w:lang w:val="fr-FR"/>
        </w:rPr>
        <w:t xml:space="preserve">La décision sur les demandes en vue de présenter une plaidoirie orale sera rendue après réception et examen des arguments écrits des parties et des intervenants. </w:t>
      </w:r>
    </w:p>
    <w:p w:rsidR="00936E85" w:rsidRPr="00936E85" w:rsidRDefault="00936E85" w:rsidP="00936E85">
      <w:pPr>
        <w:spacing w:line="233" w:lineRule="auto"/>
        <w:jc w:val="both"/>
        <w:rPr>
          <w:rFonts w:cs="Times New Roman"/>
          <w:sz w:val="20"/>
          <w:szCs w:val="20"/>
          <w:lang w:val="fr-CA"/>
        </w:rPr>
      </w:pPr>
    </w:p>
    <w:p w:rsidR="00936E85" w:rsidRPr="00936E85" w:rsidRDefault="00936E85" w:rsidP="00936E85">
      <w:pPr>
        <w:spacing w:line="233" w:lineRule="auto"/>
        <w:jc w:val="both"/>
        <w:rPr>
          <w:rFonts w:cs="Times New Roman"/>
          <w:sz w:val="20"/>
          <w:szCs w:val="20"/>
          <w:lang w:val="fr-CA"/>
        </w:rPr>
      </w:pPr>
      <w:r w:rsidRPr="00936E85">
        <w:rPr>
          <w:rFonts w:cs="Times New Roman"/>
          <w:sz w:val="20"/>
          <w:szCs w:val="20"/>
          <w:lang w:val="fr-FR"/>
        </w:rPr>
        <w:t xml:space="preserve">Les intervenants n’ont pas le droit de soulever de nouvelles questions, de produire d’autres éléments de preuve ni de compléter de quelque autre façon le dossier des parties. </w:t>
      </w:r>
    </w:p>
    <w:p w:rsidR="00936E85" w:rsidRPr="00936E85" w:rsidRDefault="00936E85" w:rsidP="00936E85">
      <w:pPr>
        <w:spacing w:line="233" w:lineRule="auto"/>
        <w:jc w:val="both"/>
        <w:rPr>
          <w:rFonts w:cs="Times New Roman"/>
          <w:sz w:val="20"/>
          <w:szCs w:val="20"/>
          <w:lang w:val="fr-CA"/>
        </w:rPr>
      </w:pPr>
    </w:p>
    <w:p w:rsidR="00936E85" w:rsidRPr="00936E85" w:rsidRDefault="00936E85" w:rsidP="00936E85">
      <w:pPr>
        <w:tabs>
          <w:tab w:val="left" w:pos="-1440"/>
          <w:tab w:val="left" w:pos="-720"/>
        </w:tabs>
        <w:jc w:val="both"/>
        <w:rPr>
          <w:rFonts w:cs="Times New Roman"/>
          <w:sz w:val="20"/>
          <w:szCs w:val="20"/>
          <w:lang w:val="fr-FR"/>
        </w:rPr>
      </w:pPr>
      <w:r w:rsidRPr="00936E85">
        <w:rPr>
          <w:rFonts w:cs="Times New Roman"/>
          <w:sz w:val="20"/>
          <w:szCs w:val="20"/>
          <w:lang w:val="fr-FR"/>
        </w:rPr>
        <w:t>Conformément à l’alinéa 59(1)</w:t>
      </w:r>
      <w:r w:rsidRPr="00936E85">
        <w:rPr>
          <w:rFonts w:cs="Times New Roman"/>
          <w:i/>
          <w:iCs/>
          <w:sz w:val="20"/>
          <w:szCs w:val="20"/>
          <w:lang w:val="fr-FR"/>
        </w:rPr>
        <w:t>a</w:t>
      </w:r>
      <w:r w:rsidRPr="00936E85">
        <w:rPr>
          <w:rFonts w:cs="Times New Roman"/>
          <w:sz w:val="20"/>
          <w:szCs w:val="20"/>
          <w:lang w:val="fr-FR"/>
        </w:rPr>
        <w:t xml:space="preserve">) des </w:t>
      </w:r>
      <w:r w:rsidRPr="00936E85">
        <w:rPr>
          <w:rFonts w:cs="Times New Roman"/>
          <w:i/>
          <w:sz w:val="20"/>
          <w:szCs w:val="20"/>
          <w:lang w:val="fr-FR"/>
        </w:rPr>
        <w:t xml:space="preserve">Règles de la Cour suprême du </w:t>
      </w:r>
      <w:r w:rsidRPr="00936E85">
        <w:rPr>
          <w:rFonts w:cs="Times New Roman"/>
          <w:i/>
          <w:iCs/>
          <w:sz w:val="20"/>
          <w:szCs w:val="20"/>
          <w:lang w:val="fr-FR"/>
        </w:rPr>
        <w:t>Canada</w:t>
      </w:r>
      <w:r w:rsidRPr="00936E85">
        <w:rPr>
          <w:rFonts w:cs="Times New Roman"/>
          <w:sz w:val="20"/>
          <w:szCs w:val="20"/>
          <w:lang w:val="fr-FR"/>
        </w:rPr>
        <w:t>, les intervenants paieront aux appelants et aux intimés tous débours supplémentaires résultant de leur intervention.</w:t>
      </w:r>
    </w:p>
    <w:p w:rsidR="00936E85" w:rsidRPr="00936E85" w:rsidRDefault="00936E85" w:rsidP="00936E85">
      <w:pPr>
        <w:tabs>
          <w:tab w:val="left" w:pos="-1440"/>
          <w:tab w:val="left" w:pos="-720"/>
        </w:tabs>
        <w:jc w:val="both"/>
        <w:rPr>
          <w:rFonts w:cs="Times New Roman"/>
          <w:sz w:val="20"/>
          <w:szCs w:val="20"/>
          <w:lang w:val="fr-CA"/>
        </w:rPr>
      </w:pPr>
    </w:p>
    <w:p w:rsidR="00936E85" w:rsidRPr="00936E85" w:rsidRDefault="00D56013" w:rsidP="00936E85">
      <w:pPr>
        <w:tabs>
          <w:tab w:val="left" w:pos="-1440"/>
          <w:tab w:val="left" w:pos="-720"/>
        </w:tabs>
        <w:jc w:val="both"/>
        <w:rPr>
          <w:rFonts w:cs="Times New Roman"/>
          <w:sz w:val="20"/>
          <w:szCs w:val="20"/>
          <w:lang w:val="fr-CA"/>
        </w:rPr>
      </w:pPr>
      <w:r w:rsidRPr="00D56013">
        <w:rPr>
          <w:rFonts w:cs="Times New Roman"/>
          <w:sz w:val="20"/>
          <w:szCs w:val="20"/>
          <w:lang w:val="fr-CA"/>
        </w:rPr>
        <w:pict>
          <v:rect id="_x0000_i1100" style="width:2in;height:1pt" o:hrpct="0" o:hralign="center" o:hrstd="t" o:hrnoshade="t" o:hr="t" fillcolor="black [3213]" stroked="f"/>
        </w:pict>
      </w:r>
    </w:p>
    <w:p w:rsidR="00936E85" w:rsidRPr="00936E85" w:rsidRDefault="00936E85" w:rsidP="00936E85">
      <w:pPr>
        <w:tabs>
          <w:tab w:val="left" w:pos="-1440"/>
          <w:tab w:val="left" w:pos="-720"/>
        </w:tabs>
        <w:jc w:val="both"/>
        <w:rPr>
          <w:rFonts w:cs="Times New Roman"/>
          <w:sz w:val="20"/>
          <w:szCs w:val="20"/>
          <w:lang w:val="fr-CA"/>
        </w:rPr>
      </w:pPr>
    </w:p>
    <w:p w:rsidR="00936E85" w:rsidRDefault="00936E85" w:rsidP="0010587F">
      <w:pPr>
        <w:tabs>
          <w:tab w:val="left" w:pos="-1440"/>
          <w:tab w:val="left" w:pos="-720"/>
        </w:tabs>
        <w:jc w:val="both"/>
        <w:rPr>
          <w:sz w:val="20"/>
          <w:szCs w:val="20"/>
        </w:rPr>
      </w:pPr>
    </w:p>
    <w:p w:rsidR="00936E85" w:rsidRDefault="00936E85" w:rsidP="0010587F">
      <w:pPr>
        <w:tabs>
          <w:tab w:val="left" w:pos="-1440"/>
          <w:tab w:val="left" w:pos="-720"/>
        </w:tabs>
        <w:jc w:val="both"/>
        <w:rPr>
          <w:sz w:val="20"/>
          <w:szCs w:val="20"/>
        </w:rPr>
      </w:pPr>
    </w:p>
    <w:p w:rsidR="0010587F" w:rsidRPr="003B3977" w:rsidRDefault="0010587F" w:rsidP="0010587F">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32"/>
          <w:headerReference w:type="default" r:id="rId33"/>
          <w:footerReference w:type="even" r:id="rId34"/>
          <w:footerReference w:type="default" r:id="rId35"/>
          <w:headerReference w:type="first" r:id="rId36"/>
          <w:footerReference w:type="first" r:id="rId37"/>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410"/>
        <w:gridCol w:w="720"/>
        <w:gridCol w:w="4350"/>
      </w:tblGrid>
      <w:tr w:rsidR="00732DB7" w:rsidRPr="00850008" w:rsidTr="0085476B">
        <w:trPr>
          <w:cantSplit/>
        </w:trPr>
        <w:tc>
          <w:tcPr>
            <w:tcW w:w="4410" w:type="dxa"/>
            <w:tcMar>
              <w:left w:w="0" w:type="dxa"/>
              <w:right w:w="0" w:type="dxa"/>
            </w:tcMar>
          </w:tcPr>
          <w:p w:rsidR="00C1697B" w:rsidRDefault="00732DB7" w:rsidP="00697C62">
            <w:pPr>
              <w:keepNext/>
              <w:keepLines/>
              <w:widowControl w:val="0"/>
              <w:jc w:val="both"/>
              <w:rPr>
                <w:b/>
                <w:szCs w:val="24"/>
              </w:rPr>
            </w:pPr>
            <w:r w:rsidRPr="00C1697B">
              <w:rPr>
                <w:b/>
                <w:szCs w:val="24"/>
              </w:rPr>
              <w:lastRenderedPageBreak/>
              <w:t>APPEALS HEARD SINCE LAST ISSUE AND DISPOSITION</w:t>
            </w:r>
          </w:p>
          <w:p w:rsidR="00732DB7" w:rsidRPr="00C1697B" w:rsidRDefault="00732DB7" w:rsidP="00C1697B">
            <w:pPr>
              <w:tabs>
                <w:tab w:val="left" w:pos="1116"/>
              </w:tabs>
              <w:rPr>
                <w:szCs w:val="24"/>
              </w:rPr>
            </w:pPr>
          </w:p>
        </w:tc>
        <w:tc>
          <w:tcPr>
            <w:tcW w:w="720" w:type="dxa"/>
            <w:tcMar>
              <w:left w:w="0" w:type="dxa"/>
              <w:right w:w="0" w:type="dxa"/>
            </w:tcMar>
          </w:tcPr>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tc>
        <w:tc>
          <w:tcPr>
            <w:tcW w:w="4350" w:type="dxa"/>
            <w:tcMar>
              <w:left w:w="0" w:type="dxa"/>
              <w:right w:w="0" w:type="dxa"/>
            </w:tcMar>
          </w:tcPr>
          <w:p w:rsidR="00732DB7" w:rsidRPr="00C1697B" w:rsidRDefault="00732DB7" w:rsidP="00697C62">
            <w:pPr>
              <w:keepNext/>
              <w:keepLines/>
              <w:widowControl w:val="0"/>
              <w:jc w:val="both"/>
              <w:rPr>
                <w:b/>
                <w:szCs w:val="24"/>
                <w:lang w:val="fr-CA"/>
              </w:rPr>
            </w:pPr>
            <w:r w:rsidRPr="00C1697B">
              <w:rPr>
                <w:b/>
                <w:szCs w:val="24"/>
                <w:lang w:val="fr-CA"/>
              </w:rPr>
              <w:t>APPELS ENTENDUS DEPUIS LA DERNIÈRE PARUTION ET RÉSULTAT</w:t>
            </w:r>
          </w:p>
        </w:tc>
      </w:tr>
    </w:tbl>
    <w:p w:rsidR="00732DB7" w:rsidRPr="00C50A5C" w:rsidRDefault="00732DB7" w:rsidP="00732DB7">
      <w:pPr>
        <w:widowControl w:val="0"/>
        <w:rPr>
          <w:sz w:val="20"/>
          <w:szCs w:val="20"/>
          <w:lang w:val="fr-CA"/>
        </w:rPr>
      </w:pPr>
    </w:p>
    <w:p w:rsidR="00732DB7" w:rsidRPr="00C50A5C" w:rsidRDefault="00226087" w:rsidP="00732DB7">
      <w:pPr>
        <w:widowControl w:val="0"/>
        <w:rPr>
          <w:sz w:val="20"/>
          <w:szCs w:val="20"/>
        </w:rPr>
      </w:pPr>
      <w:r>
        <w:rPr>
          <w:sz w:val="20"/>
          <w:szCs w:val="20"/>
        </w:rPr>
        <w:t>17</w:t>
      </w:r>
      <w:r w:rsidR="00732DB7" w:rsidRPr="00C50A5C">
        <w:rPr>
          <w:sz w:val="20"/>
          <w:szCs w:val="20"/>
        </w:rPr>
        <w:t>.</w:t>
      </w:r>
      <w:r>
        <w:rPr>
          <w:sz w:val="20"/>
          <w:szCs w:val="20"/>
        </w:rPr>
        <w:t>12</w:t>
      </w:r>
      <w:r w:rsidR="00732DB7" w:rsidRPr="00C50A5C">
        <w:rPr>
          <w:sz w:val="20"/>
          <w:szCs w:val="20"/>
        </w:rPr>
        <w:t>.2010</w:t>
      </w:r>
    </w:p>
    <w:p w:rsidR="00732DB7" w:rsidRDefault="00732DB7" w:rsidP="00732DB7">
      <w:pPr>
        <w:widowControl w:val="0"/>
        <w:rPr>
          <w:sz w:val="20"/>
          <w:szCs w:val="20"/>
        </w:rPr>
      </w:pPr>
    </w:p>
    <w:p w:rsidR="00226087" w:rsidRPr="00992A0C" w:rsidRDefault="00226087" w:rsidP="00226087">
      <w:pPr>
        <w:jc w:val="both"/>
        <w:rPr>
          <w:rFonts w:eastAsia="Calibri" w:cs="Times New Roman"/>
          <w:sz w:val="20"/>
          <w:szCs w:val="20"/>
          <w:lang w:val="en-GB"/>
        </w:rPr>
      </w:pPr>
      <w:r w:rsidRPr="00992A0C">
        <w:rPr>
          <w:rFonts w:eastAsia="Calibri" w:cs="Times New Roman"/>
          <w:sz w:val="20"/>
          <w:szCs w:val="20"/>
          <w:lang w:val="en-GB"/>
        </w:rPr>
        <w:t xml:space="preserve">Coram: </w:t>
      </w:r>
      <w:r w:rsidRPr="00992A0C">
        <w:rPr>
          <w:rFonts w:eastAsia="Calibri" w:cs="Times New Roman"/>
          <w:sz w:val="20"/>
          <w:szCs w:val="20"/>
          <w:lang w:val="en-GB"/>
        </w:rPr>
        <w:tab/>
      </w:r>
      <w:r w:rsidRPr="00992A0C">
        <w:rPr>
          <w:rFonts w:eastAsia="Calibri" w:cs="Times New Roman"/>
          <w:sz w:val="20"/>
          <w:szCs w:val="20"/>
          <w:u w:val="single"/>
          <w:lang w:val="en-GB"/>
        </w:rPr>
        <w:t>McLachlin C.J. and Deschamps, Fish, Abella, Charron, Rothstein and Cromwell JJ.</w:t>
      </w:r>
    </w:p>
    <w:p w:rsidR="00226087" w:rsidRPr="00226087" w:rsidRDefault="00226087" w:rsidP="00732DB7">
      <w:pPr>
        <w:widowControl w:val="0"/>
        <w:rPr>
          <w:sz w:val="20"/>
          <w:szCs w:val="20"/>
          <w:lang w:val="en-GB"/>
        </w:rPr>
      </w:pPr>
    </w:p>
    <w:tbl>
      <w:tblPr>
        <w:tblW w:w="0" w:type="auto"/>
        <w:tblLayout w:type="fixed"/>
        <w:tblCellMar>
          <w:left w:w="0" w:type="dxa"/>
          <w:right w:w="0" w:type="dxa"/>
        </w:tblCellMar>
        <w:tblLook w:val="0000"/>
      </w:tblPr>
      <w:tblGrid>
        <w:gridCol w:w="4380"/>
        <w:gridCol w:w="720"/>
        <w:gridCol w:w="4380"/>
      </w:tblGrid>
      <w:tr w:rsidR="00732DB7" w:rsidRPr="00C50A5C" w:rsidTr="00697C62">
        <w:tc>
          <w:tcPr>
            <w:tcW w:w="4380" w:type="dxa"/>
            <w:tcMar>
              <w:left w:w="0" w:type="dxa"/>
              <w:right w:w="0" w:type="dxa"/>
            </w:tcMar>
          </w:tcPr>
          <w:p w:rsidR="00732DB7" w:rsidRPr="00C50A5C" w:rsidRDefault="00226087" w:rsidP="00C1697B">
            <w:pPr>
              <w:widowControl w:val="0"/>
              <w:jc w:val="both"/>
              <w:rPr>
                <w:b/>
                <w:sz w:val="20"/>
                <w:szCs w:val="20"/>
              </w:rPr>
            </w:pPr>
            <w:r w:rsidRPr="00992A0C">
              <w:rPr>
                <w:rStyle w:val="SCCSsocChar"/>
                <w:b/>
                <w:i w:val="0"/>
              </w:rPr>
              <w:t>Marko Miljevic</w:t>
            </w:r>
          </w:p>
          <w:p w:rsidR="00732DB7" w:rsidRPr="00C50A5C" w:rsidRDefault="00732DB7" w:rsidP="00C1697B">
            <w:pPr>
              <w:widowControl w:val="0"/>
              <w:jc w:val="both"/>
              <w:rPr>
                <w:b/>
                <w:sz w:val="20"/>
                <w:szCs w:val="20"/>
              </w:rPr>
            </w:pPr>
          </w:p>
          <w:p w:rsidR="00732DB7" w:rsidRPr="00C50A5C" w:rsidRDefault="00732DB7" w:rsidP="00C1697B">
            <w:pPr>
              <w:widowControl w:val="0"/>
              <w:tabs>
                <w:tab w:val="left" w:pos="736"/>
              </w:tabs>
              <w:jc w:val="both"/>
              <w:rPr>
                <w:b/>
                <w:sz w:val="20"/>
                <w:szCs w:val="20"/>
              </w:rPr>
            </w:pPr>
            <w:r w:rsidRPr="00C50A5C">
              <w:rPr>
                <w:b/>
                <w:sz w:val="20"/>
                <w:szCs w:val="20"/>
              </w:rPr>
              <w:tab/>
              <w:t>v. (33</w:t>
            </w:r>
            <w:r w:rsidR="00226087">
              <w:rPr>
                <w:b/>
                <w:sz w:val="20"/>
                <w:szCs w:val="20"/>
              </w:rPr>
              <w:t>714</w:t>
            </w:r>
            <w:r w:rsidRPr="00C50A5C">
              <w:rPr>
                <w:b/>
                <w:sz w:val="20"/>
                <w:szCs w:val="20"/>
              </w:rPr>
              <w:t>)</w:t>
            </w:r>
          </w:p>
          <w:p w:rsidR="00732DB7" w:rsidRPr="00C50A5C" w:rsidRDefault="00732DB7" w:rsidP="00C1697B">
            <w:pPr>
              <w:widowControl w:val="0"/>
              <w:jc w:val="both"/>
              <w:rPr>
                <w:b/>
                <w:sz w:val="20"/>
                <w:szCs w:val="20"/>
              </w:rPr>
            </w:pPr>
          </w:p>
          <w:p w:rsidR="00732DB7" w:rsidRPr="00226087" w:rsidRDefault="00226087" w:rsidP="00226087">
            <w:pPr>
              <w:widowControl w:val="0"/>
              <w:jc w:val="both"/>
              <w:rPr>
                <w:sz w:val="20"/>
                <w:szCs w:val="20"/>
              </w:rPr>
            </w:pPr>
            <w:r w:rsidRPr="00992A0C">
              <w:rPr>
                <w:rStyle w:val="SCCSsocChar"/>
                <w:b/>
                <w:i w:val="0"/>
              </w:rPr>
              <w:t>Her Majesty the Queen</w:t>
            </w:r>
            <w:r w:rsidRPr="00992A0C">
              <w:rPr>
                <w:rFonts w:eastAsia="Calibri" w:cs="Times New Roman"/>
                <w:b/>
                <w:i/>
                <w:sz w:val="20"/>
                <w:szCs w:val="20"/>
              </w:rPr>
              <w:t xml:space="preserve"> </w:t>
            </w:r>
            <w:r w:rsidRPr="00992A0C">
              <w:rPr>
                <w:rFonts w:eastAsia="Calibri" w:cs="Times New Roman"/>
                <w:b/>
                <w:sz w:val="20"/>
                <w:szCs w:val="20"/>
              </w:rPr>
              <w:t>(Alta.) (Criminal) (As of Right)</w:t>
            </w:r>
          </w:p>
        </w:tc>
        <w:tc>
          <w:tcPr>
            <w:tcW w:w="720" w:type="dxa"/>
            <w:tcMar>
              <w:left w:w="0" w:type="dxa"/>
              <w:right w:w="0" w:type="dxa"/>
            </w:tcMar>
          </w:tcPr>
          <w:p w:rsidR="00732DB7" w:rsidRPr="00226087" w:rsidRDefault="00732DB7" w:rsidP="00732DB7">
            <w:pPr>
              <w:widowControl w:val="0"/>
              <w:jc w:val="center"/>
              <w:rPr>
                <w:sz w:val="20"/>
                <w:szCs w:val="20"/>
              </w:rPr>
            </w:pPr>
          </w:p>
        </w:tc>
        <w:tc>
          <w:tcPr>
            <w:tcW w:w="4380" w:type="dxa"/>
            <w:tcMar>
              <w:left w:w="0" w:type="dxa"/>
              <w:right w:w="0" w:type="dxa"/>
            </w:tcMar>
          </w:tcPr>
          <w:p w:rsidR="00226087" w:rsidRPr="00226087" w:rsidRDefault="00226087" w:rsidP="00226087">
            <w:pPr>
              <w:tabs>
                <w:tab w:val="left" w:pos="-1440"/>
                <w:tab w:val="left" w:pos="-720"/>
              </w:tabs>
              <w:spacing w:line="211" w:lineRule="auto"/>
              <w:rPr>
                <w:sz w:val="20"/>
                <w:szCs w:val="20"/>
              </w:rPr>
            </w:pPr>
            <w:r w:rsidRPr="00226087">
              <w:rPr>
                <w:sz w:val="20"/>
                <w:szCs w:val="20"/>
              </w:rPr>
              <w:t>Noel C. O’Brien, Q.C. for the appellant.</w:t>
            </w:r>
          </w:p>
          <w:p w:rsidR="00226087" w:rsidRPr="00226087" w:rsidRDefault="00226087" w:rsidP="00226087">
            <w:pPr>
              <w:spacing w:line="211" w:lineRule="auto"/>
              <w:rPr>
                <w:sz w:val="20"/>
                <w:szCs w:val="20"/>
              </w:rPr>
            </w:pPr>
          </w:p>
          <w:p w:rsidR="00226087" w:rsidRPr="00226087" w:rsidRDefault="00226087" w:rsidP="00226087">
            <w:pPr>
              <w:tabs>
                <w:tab w:val="left" w:pos="-1440"/>
                <w:tab w:val="left" w:pos="-720"/>
              </w:tabs>
              <w:spacing w:line="211" w:lineRule="auto"/>
              <w:rPr>
                <w:sz w:val="20"/>
                <w:szCs w:val="20"/>
              </w:rPr>
            </w:pPr>
            <w:r w:rsidRPr="00226087">
              <w:rPr>
                <w:sz w:val="20"/>
                <w:szCs w:val="20"/>
              </w:rPr>
              <w:t>Goran Tomljanovic, Q.C. and Iwona Kuklicz for the respondent.</w:t>
            </w:r>
          </w:p>
          <w:p w:rsidR="00732DB7" w:rsidRPr="00C50A5C" w:rsidRDefault="00732DB7" w:rsidP="00226087">
            <w:pPr>
              <w:widowControl w:val="0"/>
              <w:jc w:val="both"/>
              <w:rPr>
                <w:sz w:val="20"/>
                <w:szCs w:val="20"/>
              </w:rPr>
            </w:pPr>
          </w:p>
        </w:tc>
      </w:tr>
    </w:tbl>
    <w:p w:rsidR="00C1697B" w:rsidRDefault="00C1697B" w:rsidP="00C1697B">
      <w:pPr>
        <w:widowControl w:val="0"/>
      </w:pPr>
    </w:p>
    <w:p w:rsidR="00C1697B" w:rsidRPr="0085476B" w:rsidRDefault="00C1697B" w:rsidP="00C1697B">
      <w:pPr>
        <w:widowControl w:val="0"/>
        <w:rPr>
          <w:sz w:val="20"/>
          <w:szCs w:val="20"/>
        </w:rPr>
      </w:pPr>
      <w:r w:rsidRPr="0085476B">
        <w:rPr>
          <w:b/>
          <w:sz w:val="20"/>
          <w:szCs w:val="20"/>
        </w:rPr>
        <w:t xml:space="preserve">RESERVED / </w:t>
      </w:r>
      <w:r w:rsidRPr="0085476B">
        <w:rPr>
          <w:b/>
          <w:sz w:val="20"/>
          <w:szCs w:val="20"/>
          <w:lang w:val="fr-CA"/>
        </w:rPr>
        <w:t>EN DÉLIBÉRÉ</w:t>
      </w:r>
    </w:p>
    <w:p w:rsidR="00C1697B" w:rsidRDefault="00C1697B"/>
    <w:tbl>
      <w:tblPr>
        <w:tblW w:w="0" w:type="auto"/>
        <w:tblLayout w:type="fixed"/>
        <w:tblCellMar>
          <w:left w:w="0" w:type="dxa"/>
          <w:right w:w="0" w:type="dxa"/>
        </w:tblCellMar>
        <w:tblLook w:val="0000"/>
      </w:tblPr>
      <w:tblGrid>
        <w:gridCol w:w="4380"/>
        <w:gridCol w:w="720"/>
        <w:gridCol w:w="4380"/>
      </w:tblGrid>
      <w:tr w:rsidR="00C1697B" w:rsidRPr="00850008" w:rsidTr="00C1697B">
        <w:tc>
          <w:tcPr>
            <w:tcW w:w="4380" w:type="dxa"/>
            <w:tcMar>
              <w:left w:w="0" w:type="dxa"/>
              <w:right w:w="0" w:type="dxa"/>
            </w:tcMar>
          </w:tcPr>
          <w:p w:rsidR="00C1697B" w:rsidRPr="00CC4D84" w:rsidRDefault="00C1697B" w:rsidP="00C1697B">
            <w:pPr>
              <w:widowControl w:val="0"/>
              <w:jc w:val="both"/>
              <w:rPr>
                <w:b/>
                <w:sz w:val="20"/>
                <w:szCs w:val="20"/>
                <w:u w:val="single"/>
              </w:rPr>
            </w:pPr>
            <w:r w:rsidRPr="00CC4D84">
              <w:rPr>
                <w:b/>
                <w:sz w:val="20"/>
                <w:szCs w:val="20"/>
                <w:u w:val="single"/>
              </w:rPr>
              <w:t>Nature of the case:</w:t>
            </w:r>
          </w:p>
          <w:p w:rsidR="00C1697B" w:rsidRPr="00C1697B" w:rsidRDefault="00C1697B" w:rsidP="00C1697B">
            <w:pPr>
              <w:widowControl w:val="0"/>
              <w:jc w:val="both"/>
              <w:rPr>
                <w:b/>
                <w:sz w:val="20"/>
                <w:szCs w:val="20"/>
              </w:rPr>
            </w:pPr>
          </w:p>
          <w:p w:rsidR="00C1697B" w:rsidRPr="00C1697B" w:rsidRDefault="00486B96" w:rsidP="00486B96">
            <w:pPr>
              <w:widowControl w:val="0"/>
              <w:jc w:val="both"/>
              <w:rPr>
                <w:b/>
                <w:sz w:val="20"/>
                <w:szCs w:val="20"/>
              </w:rPr>
            </w:pPr>
            <w:r w:rsidRPr="00486B96">
              <w:rPr>
                <w:rFonts w:eastAsia="Calibri" w:cs="Times New Roman"/>
                <w:sz w:val="20"/>
                <w:szCs w:val="20"/>
              </w:rPr>
              <w:t>Criminal law - Trial - Charge to jury - Response to jury question - Offences - Elements of offence - Murder - Manslaughter - Where the trial judge directs the jury that the only verdict open to it is to find the accused guilty of either murder or manslaughter, is the trial judge obligated as a matter of law to also instruct the jury on the legal definitions and elements of both of those offences? - Where a jury’s only function is to determine if the accused is guilty of either murder or manslaughter and the trial judge does not instruct the jury of the legal definition and elements of manslaughter in his original charge, is there an obligation to do so when the jury, during deliberations, makes a specific request for the definition of manslaughter and seeks an explanation as to the difference between the offences of murder and manslaughter?</w:t>
            </w:r>
          </w:p>
        </w:tc>
        <w:tc>
          <w:tcPr>
            <w:tcW w:w="720" w:type="dxa"/>
            <w:tcMar>
              <w:left w:w="0" w:type="dxa"/>
              <w:right w:w="0" w:type="dxa"/>
            </w:tcMar>
          </w:tcPr>
          <w:p w:rsidR="00C1697B" w:rsidRPr="00C1697B" w:rsidRDefault="00C1697B" w:rsidP="00C1697B">
            <w:pPr>
              <w:widowControl w:val="0"/>
              <w:jc w:val="center"/>
              <w:rPr>
                <w:sz w:val="20"/>
                <w:szCs w:val="20"/>
              </w:rPr>
            </w:pPr>
          </w:p>
        </w:tc>
        <w:tc>
          <w:tcPr>
            <w:tcW w:w="4380" w:type="dxa"/>
            <w:tcMar>
              <w:left w:w="0" w:type="dxa"/>
              <w:right w:w="0" w:type="dxa"/>
            </w:tcMar>
          </w:tcPr>
          <w:p w:rsidR="00C1697B" w:rsidRPr="00CC4D84" w:rsidRDefault="00C1697B" w:rsidP="00C1697B">
            <w:pPr>
              <w:widowControl w:val="0"/>
              <w:jc w:val="both"/>
              <w:rPr>
                <w:b/>
                <w:sz w:val="20"/>
                <w:szCs w:val="20"/>
                <w:u w:val="single"/>
                <w:lang w:val="fr-CA"/>
              </w:rPr>
            </w:pPr>
            <w:r w:rsidRPr="00CC4D84">
              <w:rPr>
                <w:b/>
                <w:sz w:val="20"/>
                <w:szCs w:val="20"/>
                <w:u w:val="single"/>
                <w:lang w:val="fr-CA"/>
              </w:rPr>
              <w:t>Nature de la cause :</w:t>
            </w:r>
          </w:p>
          <w:p w:rsidR="00C1697B" w:rsidRPr="00C1697B" w:rsidRDefault="00C1697B" w:rsidP="00C1697B">
            <w:pPr>
              <w:widowControl w:val="0"/>
              <w:jc w:val="both"/>
              <w:rPr>
                <w:sz w:val="20"/>
                <w:szCs w:val="20"/>
                <w:lang w:val="fr-CA"/>
              </w:rPr>
            </w:pPr>
          </w:p>
          <w:p w:rsidR="00C1697B" w:rsidRPr="00C1697B" w:rsidRDefault="00486B96" w:rsidP="00486B96">
            <w:pPr>
              <w:widowControl w:val="0"/>
              <w:jc w:val="both"/>
              <w:rPr>
                <w:sz w:val="20"/>
                <w:szCs w:val="20"/>
                <w:lang w:val="fr-CA"/>
              </w:rPr>
            </w:pPr>
            <w:r w:rsidRPr="00486B96">
              <w:rPr>
                <w:sz w:val="20"/>
                <w:szCs w:val="20"/>
                <w:lang w:val="fr-CA"/>
              </w:rPr>
              <w:t>Droit criminel - Procès - Directives au jury - Réponse à une question du jury - Infractions - Éléments de l’infraction - Meurtre - Homicide involontaire coupable - Lorsque le juge du procès dit au jury que le seul verdict qu’il peut rendre est de déclarer l’accusé coupable soit de meurtre, soit d’homicide involontaire coupable, le juge est-il obligé, sur le plan du droit, de donner en outre au jury les définitions légales et les éléments de ces deux infractions? - Lorsque la seule fonction du jury est de déterminer si l’accusé est coupable de meurtre ou d’homicide involontaire coupable et que le juge du procès ne donne pas au jury la définition légale et les éléments de l’homicide involontaire coupable dans ses directives initiales, le juge est-il obligé de le faire lorsque le jury, pendant ses délibérations, demande expressément la définition de l’homicide involontaire coupable et demande une explication sur la différence entres les infractions de meurtre et d’homicide involontaire coupable?</w:t>
            </w:r>
          </w:p>
        </w:tc>
      </w:tr>
    </w:tbl>
    <w:p w:rsidR="00732DB7" w:rsidRDefault="00732DB7" w:rsidP="00732DB7">
      <w:pPr>
        <w:widowControl w:val="0"/>
        <w:rPr>
          <w:sz w:val="20"/>
          <w:szCs w:val="20"/>
          <w:lang w:val="fr-CA"/>
        </w:rPr>
      </w:pPr>
    </w:p>
    <w:p w:rsidR="00E940EB" w:rsidRDefault="00E940EB" w:rsidP="00732DB7">
      <w:pPr>
        <w:widowControl w:val="0"/>
        <w:rPr>
          <w:sz w:val="20"/>
          <w:szCs w:val="20"/>
          <w:lang w:val="fr-CA"/>
        </w:rPr>
      </w:pPr>
    </w:p>
    <w:p w:rsidR="00E940EB" w:rsidRPr="00C1697B" w:rsidRDefault="00D56013" w:rsidP="00732DB7">
      <w:pPr>
        <w:widowControl w:val="0"/>
        <w:rPr>
          <w:sz w:val="20"/>
          <w:szCs w:val="20"/>
          <w:lang w:val="fr-CA"/>
        </w:rPr>
      </w:pPr>
      <w:r w:rsidRPr="00D56013">
        <w:rPr>
          <w:sz w:val="20"/>
          <w:szCs w:val="20"/>
          <w:lang w:val="fr-CA"/>
        </w:rPr>
        <w:pict>
          <v:rect id="_x0000_i1103" style="width:2in;height:1pt" o:hrpct="0" o:hralign="center" o:hrstd="t" o:hrnoshade="t" o:hr="t" fillcolor="black [3213]" stroked="f"/>
        </w:pict>
      </w:r>
    </w:p>
    <w:p w:rsidR="00732DB7" w:rsidRPr="00C1697B" w:rsidRDefault="00732DB7" w:rsidP="00732DB7">
      <w:pPr>
        <w:widowControl w:val="0"/>
        <w:rPr>
          <w:sz w:val="20"/>
          <w:szCs w:val="20"/>
          <w:lang w:val="fr-CA"/>
        </w:rPr>
      </w:pPr>
    </w:p>
    <w:p w:rsidR="00732DB7" w:rsidRPr="00C1697B" w:rsidRDefault="00732DB7" w:rsidP="00732DB7">
      <w:pPr>
        <w:widowControl w:val="0"/>
        <w:rPr>
          <w:sz w:val="20"/>
          <w:szCs w:val="20"/>
          <w:lang w:val="fr-CA"/>
        </w:rPr>
        <w:sectPr w:rsidR="00732DB7" w:rsidRPr="00C1697B" w:rsidSect="00732DB7">
          <w:headerReference w:type="even" r:id="rId38"/>
          <w:headerReference w:type="default" r:id="rId39"/>
          <w:footerReference w:type="even" r:id="rId40"/>
          <w:footerReference w:type="default" r:id="rId41"/>
          <w:headerReference w:type="first" r:id="rId42"/>
          <w:footerReference w:type="first" r:id="rId43"/>
          <w:pgSz w:w="12240" w:h="15840"/>
          <w:pgMar w:top="720" w:right="965" w:bottom="1080" w:left="1656" w:header="720" w:footer="960"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FF6EEC" w:rsidRPr="00850008"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AF1715" w:rsidRPr="00151761" w:rsidRDefault="00151761" w:rsidP="00AF1715">
      <w:pPr>
        <w:rPr>
          <w:b/>
          <w:sz w:val="20"/>
          <w:szCs w:val="20"/>
          <w:lang w:val="fr-CA"/>
        </w:rPr>
      </w:pPr>
      <w:r w:rsidRPr="00151761">
        <w:rPr>
          <w:b/>
          <w:sz w:val="20"/>
          <w:szCs w:val="20"/>
          <w:lang w:val="fr-CA"/>
        </w:rPr>
        <w:t>DECEMBER 22</w:t>
      </w:r>
      <w:r w:rsidR="00AF1715" w:rsidRPr="00151761">
        <w:rPr>
          <w:b/>
          <w:sz w:val="20"/>
          <w:szCs w:val="20"/>
          <w:lang w:val="fr-CA"/>
        </w:rPr>
        <w:t xml:space="preserve">, 2010 / LE </w:t>
      </w:r>
      <w:r w:rsidRPr="00151761">
        <w:rPr>
          <w:b/>
          <w:sz w:val="20"/>
          <w:szCs w:val="20"/>
          <w:lang w:val="fr-CA"/>
        </w:rPr>
        <w:t>22</w:t>
      </w:r>
      <w:r w:rsidR="00AF1715" w:rsidRPr="00151761">
        <w:rPr>
          <w:b/>
          <w:sz w:val="20"/>
          <w:szCs w:val="20"/>
          <w:lang w:val="fr-CA"/>
        </w:rPr>
        <w:t xml:space="preserve"> </w:t>
      </w:r>
      <w:r w:rsidRPr="00151761">
        <w:rPr>
          <w:b/>
          <w:sz w:val="20"/>
          <w:szCs w:val="20"/>
          <w:lang w:val="fr-CA"/>
        </w:rPr>
        <w:t>DÉC</w:t>
      </w:r>
      <w:r w:rsidR="00AF1715" w:rsidRPr="00151761">
        <w:rPr>
          <w:b/>
          <w:sz w:val="20"/>
          <w:szCs w:val="20"/>
          <w:lang w:val="fr-CA"/>
        </w:rPr>
        <w:t>EMBRE 2010</w:t>
      </w:r>
    </w:p>
    <w:p w:rsidR="00AF1715" w:rsidRDefault="00AF1715" w:rsidP="00AF1715">
      <w:pPr>
        <w:rPr>
          <w:sz w:val="20"/>
          <w:szCs w:val="20"/>
          <w:lang w:val="fr-CA"/>
        </w:rPr>
      </w:pPr>
    </w:p>
    <w:p w:rsidR="00B6233B" w:rsidRPr="003759AA" w:rsidRDefault="00B6233B" w:rsidP="00B6233B">
      <w:pPr>
        <w:ind w:left="1440" w:hanging="1440"/>
        <w:jc w:val="both"/>
        <w:rPr>
          <w:rFonts w:eastAsia="Calibri" w:cs="Times New Roman"/>
          <w:sz w:val="20"/>
          <w:lang w:val="fr-CA"/>
        </w:rPr>
      </w:pPr>
      <w:r w:rsidRPr="003759AA">
        <w:rPr>
          <w:rFonts w:eastAsia="Calibri" w:cs="Times New Roman"/>
          <w:b/>
          <w:sz w:val="20"/>
          <w:lang w:val="fr-CA"/>
        </w:rPr>
        <w:t>3</w:t>
      </w:r>
      <w:r>
        <w:rPr>
          <w:rFonts w:eastAsia="Calibri" w:cs="Times New Roman"/>
          <w:b/>
          <w:sz w:val="20"/>
          <w:lang w:val="fr-CA"/>
        </w:rPr>
        <w:t>2750</w:t>
      </w:r>
      <w:r w:rsidRPr="003759AA">
        <w:rPr>
          <w:rFonts w:eastAsia="Calibri" w:cs="Times New Roman"/>
          <w:sz w:val="20"/>
          <w:lang w:val="fr-CA"/>
        </w:rPr>
        <w:tab/>
      </w:r>
      <w:r w:rsidRPr="003759AA">
        <w:rPr>
          <w:rFonts w:eastAsia="Calibri" w:cs="Times New Roman"/>
          <w:b/>
          <w:sz w:val="20"/>
          <w:u w:val="single"/>
          <w:lang w:val="fr-CA"/>
        </w:rPr>
        <w:t>Procureur général du Canada c</w:t>
      </w:r>
      <w:r w:rsidRPr="003759AA">
        <w:rPr>
          <w:rFonts w:eastAsia="Calibri" w:cs="Times New Roman"/>
          <w:b/>
          <w:iCs/>
          <w:sz w:val="20"/>
          <w:u w:val="single"/>
          <w:lang w:val="fr-CA"/>
        </w:rPr>
        <w:t>.</w:t>
      </w:r>
      <w:r w:rsidRPr="003759AA">
        <w:rPr>
          <w:rFonts w:eastAsia="Calibri" w:cs="Times New Roman"/>
          <w:b/>
          <w:sz w:val="20"/>
          <w:u w:val="single"/>
          <w:lang w:val="fr-CA"/>
        </w:rPr>
        <w:t xml:space="preserve"> Procureur général du Québec </w:t>
      </w:r>
      <w:r w:rsidRPr="003759AA">
        <w:rPr>
          <w:rFonts w:eastAsia="Calibri" w:cs="Times New Roman"/>
          <w:b/>
          <w:iCs/>
          <w:sz w:val="20"/>
          <w:u w:val="single"/>
          <w:lang w:val="fr-CA"/>
        </w:rPr>
        <w:t>– et – Procureur général du Nouveau-Brunswick, procureur général de la Saskatchewan, procureur général de l’Alberta, Michael Awad, Conférence des évêques catholiques du Canada et Alliance évangélique du Canada</w:t>
      </w:r>
      <w:r w:rsidRPr="003759AA">
        <w:rPr>
          <w:rFonts w:eastAsia="Calibri" w:cs="Times New Roman"/>
          <w:b/>
          <w:iCs/>
          <w:sz w:val="20"/>
          <w:lang w:val="fr-CA"/>
        </w:rPr>
        <w:t xml:space="preserve"> </w:t>
      </w:r>
      <w:r w:rsidRPr="003759AA">
        <w:rPr>
          <w:rFonts w:eastAsia="Calibri" w:cs="Times New Roman"/>
          <w:sz w:val="20"/>
          <w:lang w:val="fr-CA"/>
        </w:rPr>
        <w:t>(</w:t>
      </w:r>
      <w:r>
        <w:rPr>
          <w:rFonts w:eastAsia="Calibri" w:cs="Times New Roman"/>
          <w:sz w:val="20"/>
          <w:lang w:val="fr-CA"/>
        </w:rPr>
        <w:t>Qc</w:t>
      </w:r>
      <w:r w:rsidRPr="003759AA">
        <w:rPr>
          <w:rFonts w:eastAsia="Calibri" w:cs="Times New Roman"/>
          <w:sz w:val="20"/>
          <w:lang w:val="fr-CA"/>
        </w:rPr>
        <w:t>)</w:t>
      </w:r>
    </w:p>
    <w:p w:rsidR="00B6233B" w:rsidRPr="00B6233B" w:rsidRDefault="00B6233B" w:rsidP="00B6233B">
      <w:pPr>
        <w:ind w:left="1440"/>
        <w:jc w:val="both"/>
        <w:rPr>
          <w:rFonts w:eastAsia="Calibri" w:cs="Times New Roman"/>
          <w:b/>
          <w:sz w:val="20"/>
          <w:lang w:val="fr-CA"/>
        </w:rPr>
      </w:pPr>
      <w:r w:rsidRPr="00B6233B">
        <w:rPr>
          <w:rFonts w:eastAsia="Calibri" w:cs="Times New Roman"/>
          <w:b/>
          <w:sz w:val="20"/>
          <w:lang w:val="fr-CA"/>
        </w:rPr>
        <w:t>2010 SCC 61 / 2010 CSC 61</w:t>
      </w:r>
    </w:p>
    <w:p w:rsidR="00B6233B" w:rsidRPr="00B6233B" w:rsidRDefault="00B6233B" w:rsidP="00B6233B">
      <w:pPr>
        <w:ind w:left="1440"/>
        <w:jc w:val="both"/>
        <w:rPr>
          <w:rFonts w:eastAsia="Calibri" w:cs="Times New Roman"/>
          <w:sz w:val="20"/>
          <w:lang w:val="fr-CA"/>
        </w:rPr>
      </w:pPr>
    </w:p>
    <w:p w:rsidR="00B6233B" w:rsidRPr="00B6233B" w:rsidRDefault="00B6233B" w:rsidP="00B6233B">
      <w:pPr>
        <w:jc w:val="both"/>
        <w:rPr>
          <w:rFonts w:eastAsia="Calibri" w:cs="Times New Roman"/>
          <w:sz w:val="20"/>
          <w:u w:val="single"/>
          <w:lang w:val="fr-CA"/>
        </w:rPr>
      </w:pPr>
      <w:r w:rsidRPr="003759AA">
        <w:rPr>
          <w:rFonts w:eastAsia="Calibri" w:cs="Times New Roman"/>
          <w:sz w:val="20"/>
          <w:lang w:val="fr-CA"/>
        </w:rPr>
        <w:t xml:space="preserve">Coram: </w:t>
      </w:r>
      <w:r>
        <w:rPr>
          <w:sz w:val="20"/>
          <w:lang w:val="fr-CA"/>
        </w:rPr>
        <w:tab/>
      </w:r>
      <w:r>
        <w:rPr>
          <w:sz w:val="20"/>
          <w:lang w:val="fr-CA"/>
        </w:rPr>
        <w:tab/>
      </w:r>
      <w:r w:rsidRPr="00B6233B">
        <w:rPr>
          <w:rFonts w:eastAsia="Calibri" w:cs="Times New Roman"/>
          <w:sz w:val="20"/>
          <w:u w:val="single"/>
          <w:lang w:val="fr-CA"/>
        </w:rPr>
        <w:t xml:space="preserve">La juge en chef McLachlin et les juges Binnie, LeBel, Deschamps, Fish, Abella, Charron, Rothstein </w:t>
      </w:r>
      <w:r w:rsidRPr="00B6233B">
        <w:rPr>
          <w:sz w:val="20"/>
          <w:lang w:val="fr-CA"/>
        </w:rPr>
        <w:tab/>
      </w:r>
      <w:r w:rsidRPr="00B6233B">
        <w:rPr>
          <w:sz w:val="20"/>
          <w:lang w:val="fr-CA"/>
        </w:rPr>
        <w:tab/>
      </w:r>
      <w:r w:rsidRPr="00B6233B">
        <w:rPr>
          <w:rFonts w:eastAsia="Calibri" w:cs="Times New Roman"/>
          <w:sz w:val="20"/>
          <w:u w:val="single"/>
          <w:lang w:val="fr-CA"/>
        </w:rPr>
        <w:t>et</w:t>
      </w:r>
      <w:r w:rsidRPr="00B6233B">
        <w:rPr>
          <w:sz w:val="20"/>
          <w:u w:val="single"/>
          <w:lang w:val="fr-CA"/>
        </w:rPr>
        <w:t xml:space="preserve"> </w:t>
      </w:r>
      <w:r w:rsidRPr="00B6233B">
        <w:rPr>
          <w:rFonts w:eastAsia="Calibri" w:cs="Times New Roman"/>
          <w:sz w:val="20"/>
          <w:u w:val="single"/>
          <w:lang w:val="fr-CA"/>
        </w:rPr>
        <w:t xml:space="preserve">Cromwell </w:t>
      </w:r>
    </w:p>
    <w:p w:rsidR="00B6233B" w:rsidRPr="003759AA" w:rsidRDefault="00B6233B" w:rsidP="00B6233B">
      <w:pPr>
        <w:jc w:val="both"/>
        <w:rPr>
          <w:rFonts w:eastAsia="Calibri" w:cs="Times New Roman"/>
          <w:sz w:val="20"/>
          <w:lang w:val="fr-CA"/>
        </w:rPr>
      </w:pPr>
    </w:p>
    <w:p w:rsidR="00B6233B" w:rsidRPr="003759AA" w:rsidRDefault="00B6233B" w:rsidP="00B6233B">
      <w:pPr>
        <w:jc w:val="both"/>
        <w:rPr>
          <w:rFonts w:eastAsia="Calibri" w:cs="Times New Roman"/>
          <w:sz w:val="20"/>
          <w:lang w:val="fr-CA"/>
        </w:rPr>
      </w:pPr>
      <w:r w:rsidRPr="003759AA">
        <w:rPr>
          <w:rFonts w:eastAsia="Calibri" w:cs="Times New Roman"/>
          <w:sz w:val="20"/>
          <w:lang w:val="fr-CA"/>
        </w:rPr>
        <w:t xml:space="preserve">L’appel interjeté contre l’arrêt de la Cour d’appel du Québec (Montréal), numéro 500-09-015177-041, 2008 QCCA 1167, en date du 19 juin 2008, entendu le 24 avril 2009, est accueilli en partie. Les articles 8, 9, 12, 19 et 60 de la </w:t>
      </w:r>
      <w:r w:rsidRPr="003759AA">
        <w:rPr>
          <w:rFonts w:eastAsia="Calibri" w:cs="Times New Roman"/>
          <w:i/>
          <w:sz w:val="20"/>
          <w:lang w:val="fr-CA"/>
        </w:rPr>
        <w:t>Loi sur la procréation assistée</w:t>
      </w:r>
      <w:r w:rsidRPr="003759AA">
        <w:rPr>
          <w:rFonts w:eastAsia="Calibri" w:cs="Times New Roman"/>
          <w:sz w:val="20"/>
          <w:lang w:val="fr-CA"/>
        </w:rPr>
        <w:t xml:space="preserve">, L.C. 2004, ch. 2, sont constitutionnels. Les articles 10, 11, 13 et 14 à 18, les par. 40(2), (3), (3.1), (4) et (5) et les par. 44(2) et (3) excèdent la compétence législative conférée au Parlement par la </w:t>
      </w:r>
      <w:r w:rsidRPr="003759AA">
        <w:rPr>
          <w:rFonts w:eastAsia="Calibri" w:cs="Times New Roman"/>
          <w:i/>
          <w:sz w:val="20"/>
          <w:lang w:val="fr-CA"/>
        </w:rPr>
        <w:t>Loi constitutionnelle de 1867</w:t>
      </w:r>
      <w:r w:rsidRPr="003759AA">
        <w:rPr>
          <w:rFonts w:eastAsia="Calibri" w:cs="Times New Roman"/>
          <w:sz w:val="20"/>
          <w:lang w:val="fr-CA"/>
        </w:rPr>
        <w:t>. Les paragraphes 40(1), (6) et (7), les art. 41 à 43, les par. 44(1) et (4), les art. 45 à 53 ainsi que les art. 61 et 68 sont constitutionnels dans la mesure où ils se rattachent aux dispositions constitutionnelles de cette Loi. Aucune partie n’ayant totalement gain de cause, chacune assumera ses propres dépens.</w:t>
      </w:r>
    </w:p>
    <w:p w:rsidR="00B6233B" w:rsidRPr="003759AA" w:rsidRDefault="00B6233B" w:rsidP="00B6233B">
      <w:pPr>
        <w:jc w:val="both"/>
        <w:rPr>
          <w:rFonts w:eastAsia="Calibri" w:cs="Times New Roman"/>
          <w:sz w:val="20"/>
          <w:lang w:val="fr-CA"/>
        </w:rPr>
      </w:pPr>
    </w:p>
    <w:p w:rsidR="00934DDB" w:rsidRDefault="00B6233B" w:rsidP="00B6233B">
      <w:pPr>
        <w:jc w:val="both"/>
        <w:rPr>
          <w:sz w:val="20"/>
        </w:rPr>
      </w:pPr>
      <w:r w:rsidRPr="003759AA">
        <w:rPr>
          <w:rFonts w:eastAsia="Calibri" w:cs="Times New Roman"/>
          <w:sz w:val="20"/>
        </w:rPr>
        <w:t>The appeal from the judgment of the Court of Appeal of Quebec (Montréal), Number 500-09-015177-041, 2008 QCCA 1167, dated June 19, 2008, heard on April 24, 2009, is allowed in part. Sections 8, 9, 12</w:t>
      </w:r>
      <w:r w:rsidRPr="003759AA">
        <w:rPr>
          <w:rFonts w:eastAsia="Calibri" w:cs="Times New Roman"/>
          <w:color w:val="000000"/>
          <w:sz w:val="20"/>
        </w:rPr>
        <w:t xml:space="preserve">, </w:t>
      </w:r>
      <w:r w:rsidRPr="003759AA">
        <w:rPr>
          <w:rFonts w:eastAsia="Calibri" w:cs="Times New Roman"/>
          <w:sz w:val="20"/>
        </w:rPr>
        <w:t>19</w:t>
      </w:r>
      <w:r w:rsidRPr="003759AA">
        <w:rPr>
          <w:rFonts w:eastAsia="Calibri" w:cs="Times New Roman"/>
          <w:color w:val="000000"/>
          <w:sz w:val="20"/>
        </w:rPr>
        <w:t xml:space="preserve"> and 60 </w:t>
      </w:r>
      <w:r w:rsidRPr="003759AA">
        <w:rPr>
          <w:rFonts w:eastAsia="Calibri" w:cs="Times New Roman"/>
          <w:sz w:val="20"/>
        </w:rPr>
        <w:t xml:space="preserve">of the </w:t>
      </w:r>
      <w:r w:rsidRPr="003759AA">
        <w:rPr>
          <w:rFonts w:eastAsia="Calibri" w:cs="Times New Roman"/>
          <w:i/>
          <w:sz w:val="20"/>
        </w:rPr>
        <w:t>Assisted Human Reproduction Act</w:t>
      </w:r>
      <w:r w:rsidRPr="003759AA">
        <w:rPr>
          <w:rFonts w:eastAsia="Calibri" w:cs="Times New Roman"/>
          <w:color w:val="000000"/>
          <w:sz w:val="20"/>
        </w:rPr>
        <w:t xml:space="preserve">, </w:t>
      </w:r>
      <w:r w:rsidRPr="003759AA">
        <w:rPr>
          <w:rFonts w:eastAsia="Calibri" w:cs="Times New Roman"/>
          <w:sz w:val="20"/>
        </w:rPr>
        <w:t xml:space="preserve">S.C. 2004, c. 2, </w:t>
      </w:r>
      <w:r w:rsidRPr="003759AA">
        <w:rPr>
          <w:rFonts w:eastAsia="Calibri" w:cs="Times New Roman"/>
          <w:color w:val="000000"/>
          <w:sz w:val="20"/>
        </w:rPr>
        <w:t xml:space="preserve">are constitutional. </w:t>
      </w:r>
      <w:r w:rsidRPr="003759AA">
        <w:rPr>
          <w:rFonts w:eastAsia="Calibri" w:cs="Times New Roman"/>
          <w:sz w:val="20"/>
        </w:rPr>
        <w:t xml:space="preserve">Sections 10, 11, 13, 14 to 18, 40(2), (3), (3.1), (4) and (5) and ss. 44(2) and (3) exceed the legislative authority of the Parliament of Canada under the </w:t>
      </w:r>
      <w:r w:rsidRPr="003759AA">
        <w:rPr>
          <w:rFonts w:eastAsia="Calibri" w:cs="Times New Roman"/>
          <w:i/>
          <w:sz w:val="20"/>
        </w:rPr>
        <w:t>Constitution Act, 1867</w:t>
      </w:r>
      <w:r w:rsidRPr="003759AA">
        <w:rPr>
          <w:rFonts w:eastAsia="Calibri" w:cs="Times New Roman"/>
          <w:sz w:val="20"/>
        </w:rPr>
        <w:t xml:space="preserve">. </w:t>
      </w:r>
      <w:r w:rsidRPr="003759AA">
        <w:rPr>
          <w:rFonts w:eastAsia="Calibri" w:cs="Times New Roman"/>
          <w:color w:val="000000"/>
          <w:sz w:val="20"/>
        </w:rPr>
        <w:t>Sections</w:t>
      </w:r>
      <w:r w:rsidRPr="003759AA">
        <w:rPr>
          <w:rFonts w:eastAsia="Calibri" w:cs="Times New Roman"/>
          <w:sz w:val="20"/>
        </w:rPr>
        <w:t xml:space="preserve"> 40(1), (6) and (7), 41 to 43, 44(1) and (4), 45 to 53, 61 and 68 are constitutional</w:t>
      </w:r>
      <w:r w:rsidRPr="003759AA">
        <w:rPr>
          <w:rFonts w:eastAsia="Calibri" w:cs="Times New Roman"/>
          <w:color w:val="000000"/>
          <w:sz w:val="20"/>
        </w:rPr>
        <w:t xml:space="preserve"> to the extent they relate to constitutionally valid provisions</w:t>
      </w:r>
      <w:r w:rsidRPr="003759AA">
        <w:rPr>
          <w:rFonts w:eastAsia="Calibri" w:cs="Times New Roman"/>
          <w:sz w:val="20"/>
        </w:rPr>
        <w:t>. Given the divided success, each party shall bear their own costs.</w:t>
      </w:r>
    </w:p>
    <w:p w:rsidR="00B6233B" w:rsidRPr="00B6233B" w:rsidRDefault="00B6233B" w:rsidP="00B6233B">
      <w:pPr>
        <w:jc w:val="both"/>
        <w:rPr>
          <w:sz w:val="20"/>
          <w:szCs w:val="20"/>
        </w:rPr>
      </w:pPr>
    </w:p>
    <w:p w:rsidR="00151761" w:rsidRPr="00151761" w:rsidRDefault="00D56013" w:rsidP="00AF1715">
      <w:pPr>
        <w:rPr>
          <w:sz w:val="20"/>
          <w:szCs w:val="20"/>
          <w:lang w:val="fr-CA"/>
        </w:rPr>
      </w:pPr>
      <w:r w:rsidRPr="00D56013">
        <w:rPr>
          <w:sz w:val="20"/>
          <w:szCs w:val="20"/>
        </w:rPr>
        <w:pict>
          <v:rect id="_x0000_i1106" style="width:144.3pt;height:1pt" o:hrpct="300" o:hralign="center" o:hrstd="t" o:hrnoshade="t" o:hr="t" fillcolor="black [3213]" stroked="f"/>
        </w:pict>
      </w:r>
    </w:p>
    <w:p w:rsidR="00151761" w:rsidRPr="00151761" w:rsidRDefault="00151761" w:rsidP="00AF1715">
      <w:pPr>
        <w:rPr>
          <w:sz w:val="20"/>
          <w:szCs w:val="20"/>
          <w:lang w:val="fr-CA"/>
        </w:rPr>
      </w:pPr>
    </w:p>
    <w:p w:rsidR="00151761" w:rsidRPr="004C7FBD" w:rsidRDefault="00151761" w:rsidP="00151761">
      <w:pPr>
        <w:rPr>
          <w:b/>
          <w:sz w:val="20"/>
          <w:szCs w:val="20"/>
        </w:rPr>
      </w:pPr>
      <w:r w:rsidRPr="004C7FBD">
        <w:rPr>
          <w:b/>
          <w:sz w:val="20"/>
          <w:szCs w:val="20"/>
        </w:rPr>
        <w:t>DECEMBER 23, 2010 / LE 23 DÉCEMBRE 2010</w:t>
      </w:r>
    </w:p>
    <w:p w:rsidR="00151761" w:rsidRPr="004C7FBD" w:rsidRDefault="00151761" w:rsidP="00AF1715">
      <w:pPr>
        <w:rPr>
          <w:sz w:val="20"/>
          <w:szCs w:val="20"/>
        </w:rPr>
      </w:pPr>
    </w:p>
    <w:p w:rsidR="004C7FBD" w:rsidRPr="00C476D9" w:rsidRDefault="004C7FBD" w:rsidP="004C7FBD">
      <w:pPr>
        <w:ind w:left="1440" w:hanging="1440"/>
        <w:jc w:val="both"/>
        <w:rPr>
          <w:sz w:val="20"/>
          <w:lang w:val="en-GB"/>
        </w:rPr>
      </w:pPr>
      <w:r w:rsidRPr="00C52AD1">
        <w:rPr>
          <w:b/>
          <w:sz w:val="20"/>
        </w:rPr>
        <w:t>33041</w:t>
      </w:r>
      <w:r w:rsidRPr="00C476D9">
        <w:rPr>
          <w:b/>
          <w:sz w:val="20"/>
          <w:lang w:val="en-GB"/>
        </w:rPr>
        <w:tab/>
      </w:r>
      <w:r w:rsidRPr="00C52AD1">
        <w:rPr>
          <w:b/>
          <w:iCs/>
          <w:sz w:val="20"/>
          <w:u w:val="single"/>
        </w:rPr>
        <w:t>Attorney General of Canada</w:t>
      </w:r>
      <w:r w:rsidRPr="007A0CC8">
        <w:rPr>
          <w:b/>
          <w:iCs/>
          <w:sz w:val="20"/>
          <w:u w:val="single"/>
        </w:rPr>
        <w:t xml:space="preserve"> v. </w:t>
      </w:r>
      <w:r w:rsidRPr="00C52AD1">
        <w:rPr>
          <w:b/>
          <w:iCs/>
          <w:sz w:val="20"/>
          <w:u w:val="single"/>
        </w:rPr>
        <w:t>TeleZone Inc.</w:t>
      </w:r>
      <w:r w:rsidRPr="00C52AD1">
        <w:rPr>
          <w:b/>
          <w:iCs/>
          <w:sz w:val="20"/>
          <w:lang w:val="en-GB"/>
        </w:rPr>
        <w:t xml:space="preserve"> </w:t>
      </w:r>
      <w:r w:rsidRPr="00C476D9">
        <w:rPr>
          <w:sz w:val="20"/>
          <w:lang w:val="en-GB"/>
        </w:rPr>
        <w:t>(</w:t>
      </w:r>
      <w:r>
        <w:rPr>
          <w:sz w:val="20"/>
          <w:lang w:val="en-GB"/>
        </w:rPr>
        <w:t>Ont</w:t>
      </w:r>
      <w:r w:rsidRPr="00C476D9">
        <w:rPr>
          <w:sz w:val="20"/>
          <w:lang w:val="en-GB"/>
        </w:rPr>
        <w:t>.)</w:t>
      </w:r>
    </w:p>
    <w:p w:rsidR="004C7FBD" w:rsidRPr="00C476D9" w:rsidRDefault="004C7FBD" w:rsidP="004C7FBD">
      <w:pPr>
        <w:ind w:left="1440"/>
        <w:jc w:val="both"/>
        <w:rPr>
          <w:sz w:val="20"/>
        </w:rPr>
      </w:pPr>
      <w:r w:rsidRPr="00C476D9">
        <w:rPr>
          <w:b/>
          <w:sz w:val="20"/>
        </w:rPr>
        <w:t xml:space="preserve">2010 SCC </w:t>
      </w:r>
      <w:r>
        <w:rPr>
          <w:b/>
          <w:sz w:val="20"/>
        </w:rPr>
        <w:t>62</w:t>
      </w:r>
      <w:r w:rsidRPr="00C476D9">
        <w:rPr>
          <w:b/>
          <w:sz w:val="20"/>
        </w:rPr>
        <w:t xml:space="preserve"> / 2010 CSC </w:t>
      </w:r>
      <w:r>
        <w:rPr>
          <w:b/>
          <w:sz w:val="20"/>
        </w:rPr>
        <w:t>62</w:t>
      </w:r>
    </w:p>
    <w:p w:rsidR="004C7FBD" w:rsidRPr="00AC4266" w:rsidRDefault="004C7FBD" w:rsidP="004C7FBD">
      <w:pPr>
        <w:ind w:left="1440" w:hanging="1440"/>
        <w:jc w:val="both"/>
        <w:rPr>
          <w:b/>
          <w:sz w:val="20"/>
        </w:rPr>
      </w:pPr>
    </w:p>
    <w:p w:rsidR="004C7FBD" w:rsidRPr="00C476D9" w:rsidRDefault="004C7FBD" w:rsidP="004C7FBD">
      <w:pPr>
        <w:ind w:left="1440" w:hanging="1440"/>
        <w:jc w:val="both"/>
        <w:rPr>
          <w:sz w:val="20"/>
        </w:rPr>
      </w:pPr>
      <w:r w:rsidRPr="00C476D9">
        <w:rPr>
          <w:sz w:val="20"/>
        </w:rPr>
        <w:t>Coram:</w:t>
      </w:r>
      <w:r>
        <w:rPr>
          <w:sz w:val="20"/>
        </w:rPr>
        <w:tab/>
      </w:r>
      <w:r w:rsidRPr="003077D9">
        <w:rPr>
          <w:sz w:val="20"/>
          <w:u w:val="single"/>
        </w:rPr>
        <w:t>Binnie, LeBel, Deschamps, Abella, Charron, Rothstein and Cromwell JJ.</w:t>
      </w:r>
    </w:p>
    <w:p w:rsidR="004C7FBD" w:rsidRDefault="004C7FBD" w:rsidP="004C7FBD">
      <w:pPr>
        <w:jc w:val="both"/>
        <w:rPr>
          <w:sz w:val="20"/>
        </w:rPr>
      </w:pPr>
    </w:p>
    <w:p w:rsidR="004C7FBD" w:rsidRDefault="004C7FBD" w:rsidP="004C7FBD">
      <w:pPr>
        <w:jc w:val="both"/>
        <w:rPr>
          <w:sz w:val="20"/>
        </w:rPr>
      </w:pPr>
      <w:r w:rsidRPr="00031870">
        <w:rPr>
          <w:sz w:val="20"/>
        </w:rPr>
        <w:t xml:space="preserve">The appeal from the judgment </w:t>
      </w:r>
      <w:bookmarkStart w:id="3" w:name="BM_1_"/>
      <w:bookmarkEnd w:id="3"/>
      <w:r w:rsidRPr="00031870">
        <w:rPr>
          <w:sz w:val="20"/>
        </w:rPr>
        <w:t>of the Court of Appeal for Ontario, Number C48185, 2008 ONCA 892, dated December 24, 2008, heard on January 20, 2010, is dismissed with costs.</w:t>
      </w:r>
    </w:p>
    <w:p w:rsidR="004C7FBD" w:rsidRDefault="004C7FBD" w:rsidP="004C7FBD">
      <w:pPr>
        <w:jc w:val="both"/>
        <w:rPr>
          <w:sz w:val="20"/>
        </w:rPr>
      </w:pPr>
    </w:p>
    <w:p w:rsidR="004C7FBD" w:rsidRPr="00C476D9" w:rsidRDefault="004C7FBD" w:rsidP="004C7FBD">
      <w:pPr>
        <w:jc w:val="both"/>
        <w:rPr>
          <w:sz w:val="20"/>
          <w:lang w:val="fr-CA"/>
        </w:rPr>
      </w:pPr>
      <w:r w:rsidRPr="00031870">
        <w:rPr>
          <w:sz w:val="20"/>
          <w:lang w:val="fr-CA"/>
        </w:rPr>
        <w:t>L’appel interjeté contre l’arrêt de la Cour d’appel de l’Ontario, numéro C48185, 2008 ONCA 892, en date du 24 décembre 2008, entendu le 20 janvier 2010, est rejeté avec dépens.</w:t>
      </w:r>
    </w:p>
    <w:p w:rsidR="00151761" w:rsidRPr="00934DDB" w:rsidRDefault="00151761" w:rsidP="00AF1715">
      <w:pPr>
        <w:rPr>
          <w:sz w:val="20"/>
          <w:szCs w:val="20"/>
          <w:lang w:val="fr-CA"/>
        </w:rPr>
      </w:pPr>
    </w:p>
    <w:p w:rsidR="00151761" w:rsidRPr="00934DDB" w:rsidRDefault="00D56013" w:rsidP="00AF1715">
      <w:pPr>
        <w:rPr>
          <w:sz w:val="20"/>
          <w:szCs w:val="20"/>
          <w:lang w:val="fr-CA"/>
        </w:rPr>
      </w:pPr>
      <w:r w:rsidRPr="00D56013">
        <w:rPr>
          <w:sz w:val="20"/>
          <w:szCs w:val="20"/>
        </w:rPr>
        <w:pict>
          <v:rect id="_x0000_i1107" style="width:144.3pt;height:1pt" o:hrpct="300" o:hralign="center" o:hrstd="t" o:hrnoshade="t" o:hr="t" fillcolor="black [3213]" stroked="f"/>
        </w:pict>
      </w:r>
    </w:p>
    <w:p w:rsidR="004C7FBD" w:rsidRDefault="004C7FBD">
      <w:pPr>
        <w:rPr>
          <w:sz w:val="20"/>
          <w:szCs w:val="20"/>
          <w:lang w:val="fr-CA"/>
        </w:rPr>
      </w:pPr>
      <w:r>
        <w:rPr>
          <w:sz w:val="20"/>
          <w:szCs w:val="20"/>
          <w:lang w:val="fr-CA"/>
        </w:rPr>
        <w:br w:type="page"/>
      </w:r>
    </w:p>
    <w:p w:rsidR="004C7FBD" w:rsidRPr="00A93462" w:rsidRDefault="004C7FBD" w:rsidP="004C7FBD">
      <w:pPr>
        <w:ind w:left="1440" w:hanging="1440"/>
        <w:jc w:val="both"/>
        <w:rPr>
          <w:sz w:val="20"/>
          <w:lang w:val="fr-CA"/>
        </w:rPr>
      </w:pPr>
      <w:r w:rsidRPr="00A93462">
        <w:rPr>
          <w:b/>
          <w:sz w:val="20"/>
          <w:lang w:val="fr-CA"/>
        </w:rPr>
        <w:lastRenderedPageBreak/>
        <w:t>33043</w:t>
      </w:r>
      <w:r w:rsidRPr="00A93462">
        <w:rPr>
          <w:b/>
          <w:sz w:val="20"/>
          <w:lang w:val="fr-CA"/>
        </w:rPr>
        <w:tab/>
      </w:r>
      <w:r w:rsidRPr="00A93462">
        <w:rPr>
          <w:b/>
          <w:iCs/>
          <w:sz w:val="20"/>
          <w:u w:val="single"/>
          <w:lang w:val="fr-CA"/>
        </w:rPr>
        <w:t>Attorney General of Canada and James Blackler, also known as Jim Blackler v. Michiel McArthur – and – Attorney General of British Columbia,</w:t>
      </w:r>
      <w:r>
        <w:rPr>
          <w:b/>
          <w:iCs/>
          <w:sz w:val="20"/>
          <w:u w:val="single"/>
          <w:lang w:val="fr-CA"/>
        </w:rPr>
        <w:t xml:space="preserve"> </w:t>
      </w:r>
      <w:r w:rsidRPr="00A93462">
        <w:rPr>
          <w:b/>
          <w:iCs/>
          <w:sz w:val="20"/>
          <w:u w:val="single"/>
          <w:lang w:val="fr-CA"/>
        </w:rPr>
        <w:t>Roland Anglehart sr., Roland Anglehart jr., Bernard Arseneault, Héliodore Aucoin, Albert Benoît, Robert Boucher, Elide Bulger, Gérard Cassivi, Jean-Gilles Chiasson, Ludger Chiasson, Martin M. Chiasson, Rémi Chiasson, 2973-0819 Québec inc., 2973-1288 Québec inc., 3087-5199 Québec inc., Robert Collin, Roméo G. Cormier, Marc Couture, Les Crustacées de Gaspé ltée, Lino Desbois, Randy Deveau, Carol Duguay, Charles-Aimé Duguay, Denis Duguay, Donald Duguay, Marius Duguay, Edgar Ferron, Armand Fiset, Livain Foulem, Claude Gionest, Jocelyn Gionet, Simon J. Gionet, Aurèle Godin, Valois Goupil, Aurélien Haché, Donald R. Haché, Gaëtan Haché, Guy Haché, Jacques E. Haché, Jason-Sylvain Haché, Jean-Pierre Haché, Jacques A. Haché, René Haché, Rhéal Haché, Robert F. Haché, Alban Hautcoeur, Fernand Hautcoeur, Jean-Claude Hautcoeur, Gregg Hinkley, Jean-Pierre Huard, Réjean Leblanc, Christian Lelièvre, Elphège Lelièvre, Jean-Elie Lelièvre, Jules Lelièvre, Dassise Mallet, Delphis Mallet, Francis Mallet, Jean-Marc Marcoux, André Mazerolle, Eddy Mazerolle, Gilles A. Noël, Lévis Noël, Martin Noël, Nicolas Noël, Onésime Noël, Raymond Noël, Francis Parisé, Domitien Paulin, Sylvain Paulin, Pêcheries Denise Quinn Syvrais inc., Pêcheries François inc., Pêcheries Jean-Yan II inc., Pêcheries Jimmy L. ltée, Pêcheries J.V.L. ltée, Pêcheries Ray-L. inc., Les Pêcheries Serge-Luc inc., Roger Pinel, Claude Poirier, Produits Belle Baie ltée, Adrien Roussel, Jean-Camille Roussel, Mathias Roussel, Steven Roussy, Mario Savoie, Succession Jean-Pierre Robichaud, Succession de Lucien Chiasson, Succession de Sylva Haché, Jean-Marc Sweeney, Michel Turbide, Réal Turbide, Donat Vienneau, Fernand Vienneau, Livain Vienneau and Rhéal Vienneau</w:t>
      </w:r>
      <w:r w:rsidRPr="00A93462">
        <w:rPr>
          <w:b/>
          <w:iCs/>
          <w:sz w:val="20"/>
          <w:lang w:val="fr-CA"/>
        </w:rPr>
        <w:t xml:space="preserve"> </w:t>
      </w:r>
      <w:r w:rsidRPr="00A93462">
        <w:rPr>
          <w:sz w:val="20"/>
          <w:lang w:val="fr-CA"/>
        </w:rPr>
        <w:t>(Ont.)</w:t>
      </w:r>
    </w:p>
    <w:p w:rsidR="004C7FBD" w:rsidRPr="00C476D9" w:rsidRDefault="004C7FBD" w:rsidP="004C7FBD">
      <w:pPr>
        <w:ind w:left="1440"/>
        <w:jc w:val="both"/>
        <w:rPr>
          <w:sz w:val="20"/>
        </w:rPr>
      </w:pPr>
      <w:r w:rsidRPr="00C476D9">
        <w:rPr>
          <w:b/>
          <w:sz w:val="20"/>
        </w:rPr>
        <w:t xml:space="preserve">2010 SCC </w:t>
      </w:r>
      <w:r>
        <w:rPr>
          <w:b/>
          <w:sz w:val="20"/>
        </w:rPr>
        <w:t>63</w:t>
      </w:r>
      <w:r w:rsidRPr="00C476D9">
        <w:rPr>
          <w:b/>
          <w:sz w:val="20"/>
        </w:rPr>
        <w:t xml:space="preserve"> / 2010 CSC </w:t>
      </w:r>
      <w:r>
        <w:rPr>
          <w:b/>
          <w:sz w:val="20"/>
        </w:rPr>
        <w:t>63</w:t>
      </w:r>
    </w:p>
    <w:p w:rsidR="004C7FBD" w:rsidRPr="00AC4266" w:rsidRDefault="004C7FBD" w:rsidP="004C7FBD">
      <w:pPr>
        <w:ind w:left="1440" w:hanging="1440"/>
        <w:jc w:val="both"/>
        <w:rPr>
          <w:b/>
          <w:sz w:val="20"/>
        </w:rPr>
      </w:pPr>
    </w:p>
    <w:p w:rsidR="004C7FBD" w:rsidRPr="00C476D9" w:rsidRDefault="004C7FBD" w:rsidP="004C7FBD">
      <w:pPr>
        <w:ind w:left="1440" w:hanging="1440"/>
        <w:jc w:val="both"/>
        <w:rPr>
          <w:sz w:val="20"/>
        </w:rPr>
      </w:pPr>
      <w:r w:rsidRPr="00C476D9">
        <w:rPr>
          <w:sz w:val="20"/>
        </w:rPr>
        <w:t>Coram:</w:t>
      </w:r>
      <w:r>
        <w:rPr>
          <w:sz w:val="20"/>
        </w:rPr>
        <w:tab/>
      </w:r>
      <w:r w:rsidRPr="002F3D0C">
        <w:rPr>
          <w:sz w:val="20"/>
          <w:u w:val="single"/>
        </w:rPr>
        <w:t>Binnie, LeBel, Deschamps, Abella, Charron, Rothstein and Cromwell JJ.</w:t>
      </w:r>
    </w:p>
    <w:p w:rsidR="004C7FBD" w:rsidRDefault="004C7FBD" w:rsidP="004C7FBD">
      <w:pPr>
        <w:jc w:val="both"/>
        <w:rPr>
          <w:sz w:val="20"/>
        </w:rPr>
      </w:pPr>
    </w:p>
    <w:p w:rsidR="004C7FBD" w:rsidRDefault="004C7FBD" w:rsidP="004C7FBD">
      <w:pPr>
        <w:jc w:val="both"/>
        <w:rPr>
          <w:sz w:val="20"/>
        </w:rPr>
      </w:pPr>
      <w:r w:rsidRPr="002F3D0C">
        <w:rPr>
          <w:sz w:val="20"/>
        </w:rPr>
        <w:t>The appeal from the judgment of the Court of Appeal for Ontario, Number C46073, 2008 ONCA 892, dated December 24, 2008, heard on January 20, 2010, is dismissed with costs throughout to the respondent.</w:t>
      </w:r>
    </w:p>
    <w:p w:rsidR="004C7FBD" w:rsidRDefault="004C7FBD" w:rsidP="004C7FBD">
      <w:pPr>
        <w:jc w:val="both"/>
        <w:rPr>
          <w:sz w:val="20"/>
        </w:rPr>
      </w:pPr>
    </w:p>
    <w:p w:rsidR="00934DDB" w:rsidRDefault="004C7FBD" w:rsidP="00491C2A">
      <w:pPr>
        <w:jc w:val="both"/>
        <w:rPr>
          <w:sz w:val="20"/>
          <w:szCs w:val="20"/>
          <w:lang w:val="fr-CA"/>
        </w:rPr>
      </w:pPr>
      <w:r w:rsidRPr="002F3D0C">
        <w:rPr>
          <w:sz w:val="20"/>
          <w:lang w:val="fr-CA"/>
        </w:rPr>
        <w:t>L’appel interjeté contre l’arrêt de la Cour d’appel de l’Ontario, numéro C46073, 2008 ONCA 892, en date du 24 décembre 2008, entendu le 20 janvier 2010, est rejeté avec dépens en faveur de l’intimé devant toutes les cours.</w:t>
      </w:r>
    </w:p>
    <w:p w:rsidR="00934DDB" w:rsidRPr="00934DDB" w:rsidRDefault="00934DDB" w:rsidP="00AF1715">
      <w:pPr>
        <w:rPr>
          <w:sz w:val="20"/>
          <w:szCs w:val="20"/>
          <w:lang w:val="fr-CA"/>
        </w:rPr>
      </w:pPr>
    </w:p>
    <w:p w:rsidR="00934DDB" w:rsidRPr="00934DDB" w:rsidRDefault="00D56013" w:rsidP="00AF1715">
      <w:pPr>
        <w:rPr>
          <w:sz w:val="20"/>
          <w:szCs w:val="20"/>
        </w:rPr>
      </w:pPr>
      <w:r w:rsidRPr="00D56013">
        <w:rPr>
          <w:sz w:val="20"/>
          <w:szCs w:val="20"/>
        </w:rPr>
        <w:pict>
          <v:rect id="_x0000_i1108" style="width:144.3pt;height:1pt" o:hrpct="300" o:hralign="center" o:hrstd="t" o:hrnoshade="t" o:hr="t" fillcolor="black [3213]" stroked="f"/>
        </w:pict>
      </w:r>
    </w:p>
    <w:p w:rsidR="00934DDB" w:rsidRPr="00934DDB" w:rsidRDefault="00934DDB" w:rsidP="00AF1715">
      <w:pPr>
        <w:rPr>
          <w:sz w:val="20"/>
          <w:szCs w:val="20"/>
        </w:rPr>
      </w:pPr>
    </w:p>
    <w:p w:rsidR="004C7FBD" w:rsidRPr="0067001C" w:rsidRDefault="004C7FBD" w:rsidP="004C7FBD">
      <w:pPr>
        <w:ind w:left="1440" w:hanging="1440"/>
        <w:jc w:val="both"/>
        <w:rPr>
          <w:sz w:val="20"/>
        </w:rPr>
      </w:pPr>
      <w:r w:rsidRPr="0067001C">
        <w:rPr>
          <w:b/>
          <w:sz w:val="20"/>
        </w:rPr>
        <w:t>330</w:t>
      </w:r>
      <w:r>
        <w:rPr>
          <w:b/>
          <w:sz w:val="20"/>
        </w:rPr>
        <w:t>06</w:t>
      </w:r>
      <w:r w:rsidRPr="0067001C">
        <w:rPr>
          <w:b/>
          <w:sz w:val="20"/>
        </w:rPr>
        <w:tab/>
      </w:r>
      <w:r w:rsidRPr="0067001C">
        <w:rPr>
          <w:b/>
          <w:iCs/>
          <w:sz w:val="20"/>
          <w:u w:val="single"/>
        </w:rPr>
        <w:t>Parrish &amp; Heimbecker Limited v. Her Majesty The Queen in Right of Canada as Represented by the Minister of Agriculture and Agri-Food, Attorney General of Canada and Canadian Food Inspection Agency</w:t>
      </w:r>
      <w:r w:rsidRPr="0067001C">
        <w:rPr>
          <w:b/>
          <w:iCs/>
          <w:sz w:val="20"/>
        </w:rPr>
        <w:t xml:space="preserve"> </w:t>
      </w:r>
      <w:r w:rsidRPr="0067001C">
        <w:rPr>
          <w:sz w:val="20"/>
        </w:rPr>
        <w:t>(</w:t>
      </w:r>
      <w:r>
        <w:rPr>
          <w:sz w:val="20"/>
        </w:rPr>
        <w:t>F.C.</w:t>
      </w:r>
      <w:r w:rsidRPr="0067001C">
        <w:rPr>
          <w:sz w:val="20"/>
        </w:rPr>
        <w:t>)</w:t>
      </w:r>
    </w:p>
    <w:p w:rsidR="004C7FBD" w:rsidRPr="00C476D9" w:rsidRDefault="004C7FBD" w:rsidP="004C7FBD">
      <w:pPr>
        <w:ind w:left="1440"/>
        <w:jc w:val="both"/>
        <w:rPr>
          <w:sz w:val="20"/>
        </w:rPr>
      </w:pPr>
      <w:r w:rsidRPr="00C476D9">
        <w:rPr>
          <w:b/>
          <w:sz w:val="20"/>
        </w:rPr>
        <w:t xml:space="preserve">2010 SCC </w:t>
      </w:r>
      <w:r>
        <w:rPr>
          <w:b/>
          <w:sz w:val="20"/>
        </w:rPr>
        <w:t>64</w:t>
      </w:r>
      <w:r w:rsidRPr="00C476D9">
        <w:rPr>
          <w:b/>
          <w:sz w:val="20"/>
        </w:rPr>
        <w:t xml:space="preserve"> / 2010 CSC </w:t>
      </w:r>
      <w:r>
        <w:rPr>
          <w:b/>
          <w:sz w:val="20"/>
        </w:rPr>
        <w:t>64</w:t>
      </w:r>
    </w:p>
    <w:p w:rsidR="004C7FBD" w:rsidRPr="00AC4266" w:rsidRDefault="004C7FBD" w:rsidP="004C7FBD">
      <w:pPr>
        <w:ind w:left="1440" w:hanging="1440"/>
        <w:jc w:val="both"/>
        <w:rPr>
          <w:b/>
          <w:sz w:val="20"/>
        </w:rPr>
      </w:pPr>
    </w:p>
    <w:p w:rsidR="004C7FBD" w:rsidRPr="00C476D9" w:rsidRDefault="004C7FBD" w:rsidP="004C7FBD">
      <w:pPr>
        <w:ind w:left="1440" w:hanging="1440"/>
        <w:jc w:val="both"/>
        <w:rPr>
          <w:sz w:val="20"/>
        </w:rPr>
      </w:pPr>
      <w:r w:rsidRPr="00C476D9">
        <w:rPr>
          <w:sz w:val="20"/>
        </w:rPr>
        <w:t>Coram:</w:t>
      </w:r>
      <w:r>
        <w:rPr>
          <w:sz w:val="20"/>
        </w:rPr>
        <w:tab/>
      </w:r>
      <w:r w:rsidRPr="0067001C">
        <w:rPr>
          <w:sz w:val="20"/>
          <w:u w:val="single"/>
        </w:rPr>
        <w:t>Binnie, LeBel, Deschamps, Abella, Charron, Rothstein and Cromwell JJ.</w:t>
      </w:r>
    </w:p>
    <w:p w:rsidR="004C7FBD" w:rsidRDefault="004C7FBD" w:rsidP="004C7FBD">
      <w:pPr>
        <w:jc w:val="both"/>
        <w:rPr>
          <w:sz w:val="20"/>
        </w:rPr>
      </w:pPr>
    </w:p>
    <w:p w:rsidR="004C7FBD" w:rsidRPr="0067001C" w:rsidRDefault="004C7FBD" w:rsidP="004C7FBD">
      <w:pPr>
        <w:jc w:val="both"/>
        <w:rPr>
          <w:sz w:val="20"/>
        </w:rPr>
      </w:pPr>
      <w:r w:rsidRPr="0067001C">
        <w:rPr>
          <w:sz w:val="20"/>
        </w:rPr>
        <w:t>The appeal from the judgment of the Federal Court of Appeal, Number A-377-07, 2008 FCA 362, dated November 21, 2008, heard on January 20, 2010, is allowed with costs throughout.</w:t>
      </w:r>
    </w:p>
    <w:p w:rsidR="004C7FBD" w:rsidRPr="0067001C" w:rsidRDefault="004C7FBD" w:rsidP="004C7FBD">
      <w:pPr>
        <w:jc w:val="both"/>
        <w:rPr>
          <w:sz w:val="20"/>
        </w:rPr>
      </w:pPr>
    </w:p>
    <w:p w:rsidR="004C7FBD" w:rsidRPr="0067001C" w:rsidRDefault="004C7FBD" w:rsidP="004C7FBD">
      <w:pPr>
        <w:jc w:val="both"/>
        <w:rPr>
          <w:sz w:val="20"/>
          <w:lang w:val="fr-CA"/>
        </w:rPr>
      </w:pPr>
      <w:r w:rsidRPr="0067001C">
        <w:rPr>
          <w:sz w:val="20"/>
          <w:lang w:val="fr-CA"/>
        </w:rPr>
        <w:t>L’appel interjeté contre l’arrêt de la Cour d’appel fédérale, numéro A-377-07, 2008 CAF 362, en date du 21 novembre 2008, entendu le 20 janvier 2010, est accueilli avec dépens devant toutes les cours.</w:t>
      </w:r>
    </w:p>
    <w:p w:rsidR="00934DDB" w:rsidRPr="004C7FBD" w:rsidRDefault="00934DDB" w:rsidP="00AF1715">
      <w:pPr>
        <w:rPr>
          <w:sz w:val="20"/>
          <w:szCs w:val="20"/>
          <w:lang w:val="fr-CA"/>
        </w:rPr>
      </w:pPr>
    </w:p>
    <w:p w:rsidR="00934DDB" w:rsidRPr="00934DDB" w:rsidRDefault="00D56013" w:rsidP="00AF1715">
      <w:pPr>
        <w:rPr>
          <w:sz w:val="20"/>
          <w:szCs w:val="20"/>
        </w:rPr>
      </w:pPr>
      <w:r w:rsidRPr="00D56013">
        <w:rPr>
          <w:sz w:val="20"/>
          <w:szCs w:val="20"/>
        </w:rPr>
        <w:pict>
          <v:rect id="_x0000_i1109" style="width:144.3pt;height:1pt" o:hrpct="300" o:hralign="center" o:hrstd="t" o:hrnoshade="t" o:hr="t" fillcolor="black [3213]" stroked="f"/>
        </w:pict>
      </w:r>
    </w:p>
    <w:p w:rsidR="00934DDB" w:rsidRPr="00934DDB" w:rsidRDefault="00934DDB" w:rsidP="00AF1715">
      <w:pPr>
        <w:rPr>
          <w:sz w:val="20"/>
          <w:szCs w:val="20"/>
        </w:rPr>
      </w:pPr>
    </w:p>
    <w:p w:rsidR="004C7FBD" w:rsidRPr="0067001C" w:rsidRDefault="004C7FBD" w:rsidP="004C7FBD">
      <w:pPr>
        <w:ind w:left="1440" w:hanging="1440"/>
        <w:jc w:val="both"/>
        <w:rPr>
          <w:sz w:val="20"/>
        </w:rPr>
      </w:pPr>
      <w:r w:rsidRPr="00551A5B">
        <w:rPr>
          <w:b/>
          <w:sz w:val="20"/>
        </w:rPr>
        <w:t>32830</w:t>
      </w:r>
      <w:r w:rsidRPr="0067001C">
        <w:rPr>
          <w:b/>
          <w:sz w:val="20"/>
        </w:rPr>
        <w:tab/>
      </w:r>
      <w:r w:rsidRPr="00551A5B">
        <w:rPr>
          <w:b/>
          <w:iCs/>
          <w:sz w:val="20"/>
          <w:u w:val="single"/>
        </w:rPr>
        <w:t>Nu-Pharm Inc.</w:t>
      </w:r>
      <w:r>
        <w:rPr>
          <w:b/>
          <w:iCs/>
          <w:sz w:val="20"/>
          <w:u w:val="single"/>
        </w:rPr>
        <w:t xml:space="preserve"> </w:t>
      </w:r>
      <w:r w:rsidRPr="0067001C">
        <w:rPr>
          <w:b/>
          <w:iCs/>
          <w:sz w:val="20"/>
          <w:u w:val="single"/>
        </w:rPr>
        <w:t xml:space="preserve">v. </w:t>
      </w:r>
      <w:r w:rsidRPr="00551A5B">
        <w:rPr>
          <w:b/>
          <w:iCs/>
          <w:sz w:val="20"/>
          <w:u w:val="single"/>
        </w:rPr>
        <w:t>Her Majesty The Queen in Right of Canada, Attorney General of Canada and Director-General, Therapeutic Products Directorate of Health Canada</w:t>
      </w:r>
      <w:r w:rsidRPr="0067001C">
        <w:rPr>
          <w:b/>
          <w:iCs/>
          <w:sz w:val="20"/>
        </w:rPr>
        <w:t xml:space="preserve"> </w:t>
      </w:r>
      <w:r w:rsidRPr="0067001C">
        <w:rPr>
          <w:sz w:val="20"/>
        </w:rPr>
        <w:t>(</w:t>
      </w:r>
      <w:r>
        <w:rPr>
          <w:sz w:val="20"/>
        </w:rPr>
        <w:t>F.C.</w:t>
      </w:r>
      <w:r w:rsidRPr="0067001C">
        <w:rPr>
          <w:sz w:val="20"/>
        </w:rPr>
        <w:t>)</w:t>
      </w:r>
    </w:p>
    <w:p w:rsidR="004C7FBD" w:rsidRPr="00C476D9" w:rsidRDefault="004C7FBD" w:rsidP="004C7FBD">
      <w:pPr>
        <w:ind w:left="1440"/>
        <w:jc w:val="both"/>
        <w:rPr>
          <w:sz w:val="20"/>
        </w:rPr>
      </w:pPr>
      <w:r w:rsidRPr="00C476D9">
        <w:rPr>
          <w:b/>
          <w:sz w:val="20"/>
        </w:rPr>
        <w:t xml:space="preserve">2010 SCC </w:t>
      </w:r>
      <w:r>
        <w:rPr>
          <w:b/>
          <w:sz w:val="20"/>
        </w:rPr>
        <w:t>65</w:t>
      </w:r>
      <w:r w:rsidRPr="00C476D9">
        <w:rPr>
          <w:b/>
          <w:sz w:val="20"/>
        </w:rPr>
        <w:t xml:space="preserve"> / 2010 CSC </w:t>
      </w:r>
      <w:r>
        <w:rPr>
          <w:b/>
          <w:sz w:val="20"/>
        </w:rPr>
        <w:t>65</w:t>
      </w:r>
    </w:p>
    <w:p w:rsidR="004C7FBD" w:rsidRPr="00AC4266" w:rsidRDefault="004C7FBD" w:rsidP="004C7FBD">
      <w:pPr>
        <w:ind w:left="1440" w:hanging="1440"/>
        <w:jc w:val="both"/>
        <w:rPr>
          <w:b/>
          <w:sz w:val="20"/>
        </w:rPr>
      </w:pPr>
    </w:p>
    <w:p w:rsidR="004C7FBD" w:rsidRDefault="004C7FBD" w:rsidP="004C7FBD">
      <w:pPr>
        <w:ind w:left="1440" w:hanging="1440"/>
        <w:jc w:val="both"/>
        <w:rPr>
          <w:sz w:val="20"/>
          <w:u w:val="single"/>
        </w:rPr>
      </w:pPr>
      <w:r w:rsidRPr="00C476D9">
        <w:rPr>
          <w:sz w:val="20"/>
        </w:rPr>
        <w:t>Coram:</w:t>
      </w:r>
      <w:r>
        <w:rPr>
          <w:sz w:val="20"/>
        </w:rPr>
        <w:tab/>
      </w:r>
      <w:r w:rsidRPr="00551A5B">
        <w:rPr>
          <w:sz w:val="20"/>
          <w:u w:val="single"/>
        </w:rPr>
        <w:t>Binnie, LeBel, Deschamps, Abella, Charron, Rothstein and Cromwell JJ.</w:t>
      </w:r>
    </w:p>
    <w:p w:rsidR="004C7FBD" w:rsidRDefault="004C7FBD" w:rsidP="004C7FBD">
      <w:pPr>
        <w:ind w:left="1440" w:hanging="1440"/>
        <w:jc w:val="both"/>
        <w:rPr>
          <w:sz w:val="20"/>
        </w:rPr>
      </w:pPr>
    </w:p>
    <w:p w:rsidR="004C7FBD" w:rsidRPr="00551A5B" w:rsidRDefault="004C7FBD" w:rsidP="004C7FBD">
      <w:pPr>
        <w:jc w:val="both"/>
        <w:rPr>
          <w:sz w:val="20"/>
        </w:rPr>
      </w:pPr>
      <w:r w:rsidRPr="00551A5B">
        <w:rPr>
          <w:sz w:val="20"/>
        </w:rPr>
        <w:lastRenderedPageBreak/>
        <w:t>The appeal from the judgment of the Federal Court of Appeal, Number A-486-07, 2008 FCA 227, dated July 3, 2008, heard on January 20, 2010, is allowed with costs throughout.</w:t>
      </w:r>
    </w:p>
    <w:p w:rsidR="004C7FBD" w:rsidRPr="00551A5B" w:rsidRDefault="004C7FBD" w:rsidP="004C7FBD">
      <w:pPr>
        <w:jc w:val="both"/>
        <w:rPr>
          <w:sz w:val="20"/>
        </w:rPr>
      </w:pPr>
    </w:p>
    <w:p w:rsidR="00934DDB" w:rsidRPr="004C7FBD" w:rsidRDefault="004C7FBD" w:rsidP="004C7FBD">
      <w:pPr>
        <w:rPr>
          <w:sz w:val="20"/>
          <w:szCs w:val="20"/>
          <w:lang w:val="fr-CA"/>
        </w:rPr>
      </w:pPr>
      <w:r w:rsidRPr="00551A5B">
        <w:rPr>
          <w:sz w:val="20"/>
          <w:lang w:val="fr-CA"/>
        </w:rPr>
        <w:t>L’appel interjeté contre l’arrêt de la Cour d’appel fédérale, numéro A-486-07, 2008 CAF 227, en date du 3 juillet 2008, entendu le 20 janvier 2010, est accueilli avec dépens devant toutes les cours.</w:t>
      </w:r>
    </w:p>
    <w:p w:rsidR="00934DDB" w:rsidRPr="004C7FBD" w:rsidRDefault="00934DDB" w:rsidP="00AF1715">
      <w:pPr>
        <w:rPr>
          <w:sz w:val="20"/>
          <w:szCs w:val="20"/>
          <w:lang w:val="fr-CA"/>
        </w:rPr>
      </w:pPr>
    </w:p>
    <w:p w:rsidR="00934DDB" w:rsidRPr="00934DDB" w:rsidRDefault="00D56013" w:rsidP="00AF1715">
      <w:pPr>
        <w:rPr>
          <w:sz w:val="20"/>
          <w:szCs w:val="20"/>
        </w:rPr>
      </w:pPr>
      <w:r w:rsidRPr="00D56013">
        <w:rPr>
          <w:sz w:val="20"/>
          <w:szCs w:val="20"/>
        </w:rPr>
        <w:pict>
          <v:rect id="_x0000_i1110" style="width:144.3pt;height:1pt" o:hrpct="300" o:hralign="center" o:hrstd="t" o:hrnoshade="t" o:hr="t" fillcolor="black [3213]" stroked="f"/>
        </w:pict>
      </w:r>
    </w:p>
    <w:p w:rsidR="00934DDB" w:rsidRPr="00934DDB" w:rsidRDefault="00934DDB" w:rsidP="00AF1715">
      <w:pPr>
        <w:rPr>
          <w:sz w:val="20"/>
          <w:szCs w:val="20"/>
        </w:rPr>
      </w:pPr>
    </w:p>
    <w:p w:rsidR="004C7FBD" w:rsidRPr="00551A5B" w:rsidRDefault="004C7FBD" w:rsidP="004C7FBD">
      <w:pPr>
        <w:ind w:left="1440" w:hanging="1440"/>
        <w:jc w:val="both"/>
        <w:rPr>
          <w:sz w:val="20"/>
          <w:lang w:val="fr-CA"/>
        </w:rPr>
      </w:pPr>
      <w:r w:rsidRPr="00551A5B">
        <w:rPr>
          <w:b/>
          <w:sz w:val="20"/>
          <w:lang w:val="fr-CA"/>
        </w:rPr>
        <w:t>32880</w:t>
      </w:r>
      <w:r w:rsidRPr="00551A5B">
        <w:rPr>
          <w:b/>
          <w:sz w:val="20"/>
          <w:lang w:val="fr-CA"/>
        </w:rPr>
        <w:tab/>
      </w:r>
      <w:r w:rsidRPr="00551A5B">
        <w:rPr>
          <w:b/>
          <w:iCs/>
          <w:sz w:val="20"/>
          <w:u w:val="single"/>
          <w:lang w:val="fr-CA"/>
        </w:rPr>
        <w:t>Agence canadienne de l’inspection des aliments c. Institut professionnel de la fonction publique du Canada, Dany Beauregard, Gaston Duchemin, Jacques Vézina, Normand Bélair, Lyn Couture, Jacques Guy, Sonja Laurendeau, Guy Boulard, Stéphano Cagna, Mona Gauthier, Michel Marcoux, Patrick Poulin, François Saulnier, Madjib Boussouira, Nicole Loranger, France Sylvestre, Peter O’Donnell, Johanne Marcotte, Pierre Rousselle, Ginette Caissie, Corine Petitclerc, Patrice Cossette, Brigitte Flibotte, Réjean Germain, Sonia Poisson, Pierre Parrot, Daniel Colas, Martin Rodrigue, Jeanne Dufour, Louis Fortin, Marcel Gourde, Olymel S.E.C., Exceldor coopérative avicole et Supraliment S.E.C.</w:t>
      </w:r>
      <w:r w:rsidRPr="00551A5B">
        <w:rPr>
          <w:b/>
          <w:iCs/>
          <w:sz w:val="20"/>
          <w:lang w:val="fr-CA"/>
        </w:rPr>
        <w:t xml:space="preserve"> </w:t>
      </w:r>
      <w:r w:rsidRPr="00551A5B">
        <w:rPr>
          <w:sz w:val="20"/>
          <w:lang w:val="fr-CA"/>
        </w:rPr>
        <w:t>(</w:t>
      </w:r>
      <w:r>
        <w:rPr>
          <w:sz w:val="20"/>
          <w:lang w:val="fr-CA"/>
        </w:rPr>
        <w:t>Qc</w:t>
      </w:r>
      <w:r w:rsidRPr="00551A5B">
        <w:rPr>
          <w:sz w:val="20"/>
          <w:lang w:val="fr-CA"/>
        </w:rPr>
        <w:t>)</w:t>
      </w:r>
    </w:p>
    <w:p w:rsidR="004C7FBD" w:rsidRPr="00551A5B" w:rsidRDefault="004C7FBD" w:rsidP="004C7FBD">
      <w:pPr>
        <w:ind w:left="1440"/>
        <w:jc w:val="both"/>
        <w:rPr>
          <w:sz w:val="20"/>
          <w:lang w:val="fr-CA"/>
        </w:rPr>
      </w:pPr>
      <w:r w:rsidRPr="00551A5B">
        <w:rPr>
          <w:b/>
          <w:sz w:val="20"/>
          <w:lang w:val="fr-CA"/>
        </w:rPr>
        <w:t>2010 SCC 66 / 2010 CSC 66</w:t>
      </w:r>
    </w:p>
    <w:p w:rsidR="004C7FBD" w:rsidRPr="00551A5B" w:rsidRDefault="004C7FBD" w:rsidP="004C7FBD">
      <w:pPr>
        <w:ind w:left="1440" w:hanging="1440"/>
        <w:jc w:val="both"/>
        <w:rPr>
          <w:b/>
          <w:sz w:val="20"/>
          <w:lang w:val="fr-CA"/>
        </w:rPr>
      </w:pPr>
    </w:p>
    <w:p w:rsidR="004C7FBD" w:rsidRPr="00551A5B" w:rsidRDefault="004C7FBD" w:rsidP="004C7FBD">
      <w:pPr>
        <w:ind w:left="1440" w:hanging="1440"/>
        <w:jc w:val="both"/>
        <w:rPr>
          <w:sz w:val="20"/>
          <w:u w:val="single"/>
          <w:lang w:val="fr-CA"/>
        </w:rPr>
      </w:pPr>
      <w:r w:rsidRPr="00551A5B">
        <w:rPr>
          <w:sz w:val="20"/>
          <w:lang w:val="fr-CA"/>
        </w:rPr>
        <w:t>Coram:</w:t>
      </w:r>
      <w:r w:rsidRPr="00551A5B">
        <w:rPr>
          <w:sz w:val="20"/>
          <w:lang w:val="fr-CA"/>
        </w:rPr>
        <w:tab/>
      </w:r>
      <w:r w:rsidRPr="00551A5B">
        <w:rPr>
          <w:sz w:val="20"/>
          <w:u w:val="single"/>
          <w:lang w:val="fr-CA"/>
        </w:rPr>
        <w:t>Les juges Binnie, LeBel, Deschamps, Abella, Charron, Rothstein et Cromwell</w:t>
      </w:r>
    </w:p>
    <w:p w:rsidR="004C7FBD" w:rsidRPr="00551A5B" w:rsidRDefault="004C7FBD" w:rsidP="004C7FBD">
      <w:pPr>
        <w:ind w:left="1440" w:hanging="1440"/>
        <w:jc w:val="both"/>
        <w:rPr>
          <w:sz w:val="20"/>
          <w:lang w:val="fr-CA"/>
        </w:rPr>
      </w:pPr>
    </w:p>
    <w:p w:rsidR="004C7FBD" w:rsidRDefault="004C7FBD" w:rsidP="004C7FBD">
      <w:pPr>
        <w:jc w:val="both"/>
        <w:rPr>
          <w:sz w:val="20"/>
          <w:lang w:val="fr-CA"/>
        </w:rPr>
      </w:pPr>
      <w:r w:rsidRPr="00551A5B">
        <w:rPr>
          <w:sz w:val="20"/>
          <w:lang w:val="fr-CA"/>
        </w:rPr>
        <w:t>L’appel interjeté contre l’arrêt de la Cour d’appel du Québec (Québec), numéro 200-09-005965-071, 2008 QCCA 1726, en date du 18 septembre 2008, entendu le 20 janvier 2010, est rejeté avec dépens en faveur des intimés Institut professionnel de la fonction publique du Canada, Dany Beauregard, Gaston Duchemin, Jacques Vézina, Normand Bélair, Lyn Couture, Jacques Guy, Sonja Laurendeau, Guy Boulard, Stéphano Cagna, Mona Gauthier, Michel Marcoux, Patrick Poulin, François Saulnier, Madjib Boussouira, Nicole Loranger, France Sylvestre, Peter O’Donnell, Johanne Marcotte, Pierre Rousselle, Ginette Caissie, Corine Petitclerc, Patrice Cossette, Brigitte Flibotte, Réjean Germain, Sonia Poisson, Pierre Parrot, Daniel Colas, Martin Rodrigue, Jeanne Dufour, Louis Fortin et Marcel Gourde.</w:t>
      </w:r>
    </w:p>
    <w:p w:rsidR="004C7FBD" w:rsidRPr="00551A5B" w:rsidRDefault="004C7FBD" w:rsidP="004C7FBD">
      <w:pPr>
        <w:jc w:val="both"/>
        <w:rPr>
          <w:sz w:val="20"/>
          <w:lang w:val="fr-CA"/>
        </w:rPr>
      </w:pPr>
    </w:p>
    <w:p w:rsidR="004C7FBD" w:rsidRPr="00551A5B" w:rsidRDefault="004C7FBD" w:rsidP="004C7FBD">
      <w:pPr>
        <w:jc w:val="both"/>
        <w:rPr>
          <w:sz w:val="20"/>
          <w:lang w:val="fr-CA"/>
        </w:rPr>
      </w:pPr>
      <w:r w:rsidRPr="00551A5B">
        <w:rPr>
          <w:sz w:val="20"/>
          <w:lang w:val="fr-CA"/>
        </w:rPr>
        <w:t>The appeal from the judgment of the Court of Appeal of Quebec (Québec), Number 200-09-005965-071, 2008 QCCA 1726, dated September 18, 2008, heard on January 20, 2010, is dismissed with costs to the respondents Professional Institute of the Public Service of Canada, Dany Beauregard, Gaston Duchemin, Jacques Vézina, Normand Bélair, Lyn Couture, Jacques Guy, Sonja Laurendeau, Guy Boulard, Stéphano Cagna, Mona Gauthier, Michel Marcoux, Patrick Poulin, François Saulnier, Madjib Boussouira, Nicole Loranger, France Sylvestre, Peter O’Donnell, Johanne Marcotte, Pierre Rousselle, Ginette Caissie, Corine Petitclerc, Patrice Cossette, Brigitte Flibotte, Réjean Germain, Sonia Poisson, Pierre Parrot, Daniel Colas, Martin Rodrigue, Jeanne Dufour, Louis Fortin and Marcel Gourde.</w:t>
      </w:r>
    </w:p>
    <w:p w:rsidR="00934DDB" w:rsidRPr="004C7FBD" w:rsidRDefault="00934DDB" w:rsidP="00AF1715">
      <w:pPr>
        <w:rPr>
          <w:sz w:val="20"/>
          <w:szCs w:val="20"/>
          <w:lang w:val="fr-CA"/>
        </w:rPr>
      </w:pPr>
    </w:p>
    <w:p w:rsidR="00934DDB" w:rsidRPr="00934DDB" w:rsidRDefault="00D56013" w:rsidP="00AF1715">
      <w:pPr>
        <w:rPr>
          <w:sz w:val="20"/>
          <w:szCs w:val="20"/>
        </w:rPr>
      </w:pPr>
      <w:r w:rsidRPr="00D56013">
        <w:rPr>
          <w:sz w:val="20"/>
          <w:szCs w:val="20"/>
        </w:rPr>
        <w:pict>
          <v:rect id="_x0000_i1111" style="width:144.3pt;height:1pt" o:hrpct="300" o:hralign="center" o:hrstd="t" o:hrnoshade="t" o:hr="t" fillcolor="black [3213]" stroked="f"/>
        </w:pict>
      </w:r>
    </w:p>
    <w:p w:rsidR="00934DDB" w:rsidRPr="00934DDB" w:rsidRDefault="00934DDB" w:rsidP="00AF1715">
      <w:pPr>
        <w:rPr>
          <w:sz w:val="20"/>
          <w:szCs w:val="20"/>
        </w:rPr>
      </w:pPr>
    </w:p>
    <w:p w:rsidR="004C7FBD" w:rsidRPr="005537DF" w:rsidRDefault="004C7FBD" w:rsidP="004C7FBD">
      <w:pPr>
        <w:ind w:left="1440" w:hanging="1440"/>
        <w:jc w:val="both"/>
        <w:rPr>
          <w:sz w:val="20"/>
        </w:rPr>
      </w:pPr>
      <w:r w:rsidRPr="005537DF">
        <w:rPr>
          <w:b/>
          <w:sz w:val="20"/>
        </w:rPr>
        <w:t>33103</w:t>
      </w:r>
      <w:r w:rsidRPr="005537DF">
        <w:rPr>
          <w:b/>
          <w:sz w:val="20"/>
        </w:rPr>
        <w:tab/>
      </w:r>
      <w:r w:rsidRPr="005537DF">
        <w:rPr>
          <w:b/>
          <w:iCs/>
          <w:sz w:val="20"/>
          <w:u w:val="single"/>
        </w:rPr>
        <w:t>Dennis Manuge v. Her Majesty the Queen</w:t>
      </w:r>
      <w:r w:rsidRPr="005537DF">
        <w:rPr>
          <w:b/>
          <w:iCs/>
          <w:sz w:val="20"/>
        </w:rPr>
        <w:t xml:space="preserve"> </w:t>
      </w:r>
      <w:r w:rsidRPr="005537DF">
        <w:rPr>
          <w:sz w:val="20"/>
        </w:rPr>
        <w:t>(F.C.)</w:t>
      </w:r>
    </w:p>
    <w:p w:rsidR="004C7FBD" w:rsidRPr="005537DF" w:rsidRDefault="004C7FBD" w:rsidP="004C7FBD">
      <w:pPr>
        <w:ind w:left="1440"/>
        <w:jc w:val="both"/>
        <w:rPr>
          <w:sz w:val="20"/>
        </w:rPr>
      </w:pPr>
      <w:r w:rsidRPr="005537DF">
        <w:rPr>
          <w:b/>
          <w:sz w:val="20"/>
        </w:rPr>
        <w:t>2010 SCC 67 / 2010 CSC 67</w:t>
      </w:r>
    </w:p>
    <w:p w:rsidR="004C7FBD" w:rsidRPr="005537DF" w:rsidRDefault="004C7FBD" w:rsidP="004C7FBD">
      <w:pPr>
        <w:ind w:left="1440" w:hanging="1440"/>
        <w:jc w:val="both"/>
        <w:rPr>
          <w:b/>
          <w:sz w:val="20"/>
        </w:rPr>
      </w:pPr>
    </w:p>
    <w:p w:rsidR="004C7FBD" w:rsidRPr="005537DF" w:rsidRDefault="004C7FBD" w:rsidP="004C7FBD">
      <w:pPr>
        <w:ind w:left="1440" w:hanging="1440"/>
        <w:jc w:val="both"/>
        <w:rPr>
          <w:sz w:val="20"/>
          <w:u w:val="single"/>
        </w:rPr>
      </w:pPr>
      <w:r w:rsidRPr="005537DF">
        <w:rPr>
          <w:sz w:val="20"/>
        </w:rPr>
        <w:t>Coram:</w:t>
      </w:r>
      <w:r w:rsidRPr="005537DF">
        <w:rPr>
          <w:sz w:val="20"/>
        </w:rPr>
        <w:tab/>
      </w:r>
      <w:r w:rsidRPr="005537DF">
        <w:rPr>
          <w:sz w:val="20"/>
          <w:u w:val="single"/>
        </w:rPr>
        <w:t xml:space="preserve">Binnie, LeBel, Deschamps, Abella, Charron, Rothstein and Cromwell JJ </w:t>
      </w:r>
    </w:p>
    <w:p w:rsidR="004C7FBD" w:rsidRPr="005537DF" w:rsidRDefault="004C7FBD" w:rsidP="004C7FBD">
      <w:pPr>
        <w:ind w:left="1440" w:hanging="1440"/>
        <w:jc w:val="both"/>
        <w:rPr>
          <w:sz w:val="20"/>
        </w:rPr>
      </w:pPr>
    </w:p>
    <w:p w:rsidR="004C7FBD" w:rsidRPr="005537DF" w:rsidRDefault="004C7FBD" w:rsidP="004C7FBD">
      <w:pPr>
        <w:jc w:val="both"/>
        <w:rPr>
          <w:sz w:val="20"/>
        </w:rPr>
      </w:pPr>
      <w:r w:rsidRPr="005537DF">
        <w:rPr>
          <w:sz w:val="20"/>
        </w:rPr>
        <w:t>The appeal from the judgment of the Federal Court of Appeal, Number A-262-08, 2009 FCA 29, dated February 3, 2009, heard on January 20, 2010, is allowed without costs.  The order of Barnes J. dated May 20, 2008, and certifying the class action is reinstated.</w:t>
      </w:r>
    </w:p>
    <w:p w:rsidR="004C7FBD" w:rsidRPr="005537DF" w:rsidRDefault="004C7FBD" w:rsidP="004C7FBD">
      <w:pPr>
        <w:jc w:val="both"/>
        <w:rPr>
          <w:sz w:val="20"/>
        </w:rPr>
      </w:pPr>
    </w:p>
    <w:p w:rsidR="004C7FBD" w:rsidRPr="005537DF" w:rsidRDefault="004C7FBD" w:rsidP="004C7FBD">
      <w:pPr>
        <w:jc w:val="both"/>
        <w:rPr>
          <w:sz w:val="20"/>
          <w:lang w:val="fr-CA"/>
        </w:rPr>
      </w:pPr>
      <w:r w:rsidRPr="005537DF">
        <w:rPr>
          <w:sz w:val="20"/>
          <w:lang w:val="fr-CA"/>
        </w:rPr>
        <w:t>L’appel interjeté contre l’arrêt de la Cour d’appel fédérale, numéro A-262-08, 2009 CAF 29, en date du 3 février 2009, entendu le 20 janvier 2010, est accueilli sans dépens.  L’ordonnance du juge Barnes en date du 20 mai 2008 autorisant le recours collectif est rétablie.</w:t>
      </w:r>
    </w:p>
    <w:p w:rsidR="00934DDB" w:rsidRPr="004C7FBD" w:rsidRDefault="00934DDB" w:rsidP="00AF1715">
      <w:pPr>
        <w:rPr>
          <w:sz w:val="20"/>
          <w:szCs w:val="20"/>
          <w:lang w:val="fr-CA"/>
        </w:rPr>
      </w:pPr>
    </w:p>
    <w:p w:rsidR="00934DDB" w:rsidRPr="00934DDB" w:rsidRDefault="00D56013" w:rsidP="00AF1715">
      <w:pPr>
        <w:rPr>
          <w:sz w:val="20"/>
          <w:szCs w:val="20"/>
        </w:rPr>
      </w:pPr>
      <w:r w:rsidRPr="00D56013">
        <w:rPr>
          <w:sz w:val="20"/>
          <w:szCs w:val="20"/>
        </w:rPr>
        <w:pict>
          <v:rect id="_x0000_i1112" style="width:144.3pt;height:1pt" o:hrpct="300" o:hralign="center" o:hrstd="t" o:hrnoshade="t" o:hr="t" fillcolor="black [3213]" stroked="f"/>
        </w:pict>
      </w:r>
    </w:p>
    <w:p w:rsidR="00934DDB" w:rsidRDefault="00934DDB" w:rsidP="00AF1715">
      <w:pPr>
        <w:rPr>
          <w:b/>
          <w:sz w:val="20"/>
          <w:szCs w:val="20"/>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44"/>
          <w:headerReference w:type="default" r:id="rId45"/>
          <w:footerReference w:type="even" r:id="rId46"/>
          <w:footerReference w:type="default" r:id="rId47"/>
          <w:headerReference w:type="first" r:id="rId48"/>
          <w:footerReference w:type="first" r:id="rId49"/>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151761" w:rsidRPr="00151761" w:rsidRDefault="00151761" w:rsidP="00151761">
      <w:pPr>
        <w:ind w:left="720" w:hanging="720"/>
        <w:jc w:val="both"/>
        <w:rPr>
          <w:rFonts w:eastAsia="Calibri" w:cs="Times New Roman"/>
          <w:sz w:val="20"/>
          <w:szCs w:val="20"/>
          <w:lang w:val="fr-CA"/>
        </w:rPr>
      </w:pPr>
      <w:r w:rsidRPr="00151761">
        <w:rPr>
          <w:rFonts w:eastAsia="Calibri" w:cs="Times New Roman"/>
          <w:i/>
          <w:sz w:val="20"/>
          <w:szCs w:val="20"/>
          <w:lang w:val="fr-CA"/>
        </w:rPr>
        <w:t>Procureur général du Canada c. Procureur général du Québec</w:t>
      </w:r>
      <w:r w:rsidRPr="00151761">
        <w:rPr>
          <w:rFonts w:eastAsia="Calibri" w:cs="Times New Roman"/>
          <w:sz w:val="20"/>
          <w:szCs w:val="20"/>
          <w:lang w:val="fr-CA"/>
        </w:rPr>
        <w:t xml:space="preserve"> (Qc) (32750)</w:t>
      </w:r>
    </w:p>
    <w:p w:rsidR="007B1AD2" w:rsidRPr="006638D4" w:rsidRDefault="007B1AD2" w:rsidP="007B1AD2">
      <w:pPr>
        <w:jc w:val="both"/>
        <w:outlineLvl w:val="0"/>
        <w:rPr>
          <w:rFonts w:cs="Times New Roman"/>
          <w:b/>
          <w:sz w:val="20"/>
          <w:szCs w:val="20"/>
        </w:rPr>
      </w:pPr>
      <w:r w:rsidRPr="006638D4">
        <w:rPr>
          <w:rFonts w:cs="Times New Roman"/>
          <w:b/>
          <w:sz w:val="20"/>
          <w:szCs w:val="20"/>
        </w:rPr>
        <w:t>Indexed as:  </w:t>
      </w:r>
      <w:r w:rsidRPr="007B1AD2">
        <w:rPr>
          <w:rStyle w:val="SCCAppellantForIndexChar"/>
          <w:rFonts w:eastAsia="Calibri"/>
          <w:sz w:val="20"/>
          <w:lang w:val="en-CA"/>
        </w:rPr>
        <w:t xml:space="preserve">Reference re </w:t>
      </w:r>
      <w:r w:rsidRPr="007B1AD2">
        <w:rPr>
          <w:rStyle w:val="SCCAppellantForIndexChar"/>
          <w:rFonts w:eastAsia="Calibri"/>
          <w:i/>
          <w:sz w:val="20"/>
          <w:lang w:val="en-CA"/>
        </w:rPr>
        <w:t>Assisted Human Reproduction Act</w:t>
      </w:r>
      <w:r>
        <w:rPr>
          <w:rStyle w:val="SCCAppellantForIndexChar"/>
          <w:rFonts w:eastAsia="Calibri"/>
          <w:sz w:val="20"/>
          <w:lang w:val="en-CA"/>
        </w:rPr>
        <w:t xml:space="preserve"> /</w:t>
      </w:r>
    </w:p>
    <w:p w:rsidR="007B1AD2" w:rsidRPr="007B1AD2" w:rsidRDefault="007B1AD2" w:rsidP="007B1AD2">
      <w:pPr>
        <w:jc w:val="both"/>
        <w:rPr>
          <w:rFonts w:cs="Times New Roman"/>
          <w:b/>
          <w:sz w:val="20"/>
          <w:szCs w:val="20"/>
          <w:lang w:val="fr-CA"/>
        </w:rPr>
      </w:pPr>
      <w:r w:rsidRPr="007B1AD2">
        <w:rPr>
          <w:rFonts w:cs="Times New Roman"/>
          <w:b/>
          <w:sz w:val="20"/>
          <w:szCs w:val="20"/>
          <w:lang w:val="fr-CA"/>
        </w:rPr>
        <w:t>Répertorié : </w:t>
      </w:r>
      <w:r w:rsidRPr="007B1AD2">
        <w:rPr>
          <w:rStyle w:val="SCCAppellantForRunningHeadChar"/>
          <w:rFonts w:eastAsiaTheme="minorHAnsi"/>
          <w:b/>
          <w:smallCaps w:val="0"/>
          <w:sz w:val="20"/>
        </w:rPr>
        <w:t xml:space="preserve">Renvoi relatif à la </w:t>
      </w:r>
      <w:r w:rsidRPr="007B1AD2">
        <w:rPr>
          <w:rStyle w:val="SCCAppellantForRunningHeadChar"/>
          <w:rFonts w:eastAsiaTheme="minorHAnsi"/>
          <w:b/>
          <w:i/>
          <w:smallCaps w:val="0"/>
          <w:sz w:val="20"/>
        </w:rPr>
        <w:t>Loi sur la procréation assistée</w:t>
      </w:r>
      <w:r w:rsidRPr="007B1AD2">
        <w:rPr>
          <w:rStyle w:val="SCCAppellantForIndexChar"/>
          <w:rFonts w:eastAsia="Calibri"/>
          <w:sz w:val="20"/>
        </w:rPr>
        <w:t xml:space="preserve"> </w:t>
      </w:r>
    </w:p>
    <w:p w:rsidR="005C6840" w:rsidRPr="003B3977" w:rsidRDefault="005C6840" w:rsidP="005C6840">
      <w:pPr>
        <w:pStyle w:val="SCCSystemYear"/>
        <w:jc w:val="both"/>
        <w:rPr>
          <w:sz w:val="20"/>
        </w:rPr>
      </w:pPr>
      <w:r w:rsidRPr="003B3977">
        <w:rPr>
          <w:sz w:val="20"/>
        </w:rPr>
        <w:t>Neutral citation:  2010 SCC </w:t>
      </w:r>
      <w:r w:rsidR="00934DDB">
        <w:rPr>
          <w:sz w:val="20"/>
        </w:rPr>
        <w:t>61</w:t>
      </w:r>
      <w:r w:rsidRPr="003B3977">
        <w:rPr>
          <w:sz w:val="20"/>
        </w:rPr>
        <w:t xml:space="preserve"> / Référence neutre : 2010 CSC </w:t>
      </w:r>
      <w:r w:rsidR="00934DDB">
        <w:rPr>
          <w:sz w:val="20"/>
        </w:rPr>
        <w:t>61</w:t>
      </w:r>
    </w:p>
    <w:p w:rsidR="005C6840" w:rsidRPr="003B3977" w:rsidRDefault="005C6840" w:rsidP="005C6840">
      <w:pPr>
        <w:rPr>
          <w:rFonts w:cs="Times New Roman"/>
          <w:sz w:val="20"/>
          <w:szCs w:val="20"/>
          <w:lang w:val="fr-CA"/>
        </w:rPr>
      </w:pPr>
      <w:r w:rsidRPr="003B3977">
        <w:rPr>
          <w:rFonts w:cs="Times New Roman"/>
          <w:sz w:val="20"/>
          <w:szCs w:val="20"/>
          <w:lang w:val="fr-CA"/>
        </w:rPr>
        <w:t xml:space="preserve">Hearing:  </w:t>
      </w:r>
      <w:r w:rsidR="007B1AD2">
        <w:rPr>
          <w:rFonts w:cs="Times New Roman"/>
          <w:sz w:val="20"/>
          <w:szCs w:val="20"/>
          <w:lang w:val="fr-CA"/>
        </w:rPr>
        <w:t>April 24</w:t>
      </w:r>
      <w:r w:rsidRPr="003B3977">
        <w:rPr>
          <w:rFonts w:cs="Times New Roman"/>
          <w:sz w:val="20"/>
          <w:szCs w:val="20"/>
          <w:lang w:val="fr-CA"/>
        </w:rPr>
        <w:t>, 200</w:t>
      </w:r>
      <w:r w:rsidR="00931011">
        <w:rPr>
          <w:rFonts w:cs="Times New Roman"/>
          <w:sz w:val="20"/>
          <w:szCs w:val="20"/>
          <w:lang w:val="fr-CA"/>
        </w:rPr>
        <w:t>9</w:t>
      </w:r>
      <w:r w:rsidRPr="003B3977">
        <w:rPr>
          <w:rFonts w:cs="Times New Roman"/>
          <w:sz w:val="20"/>
          <w:szCs w:val="20"/>
          <w:lang w:val="fr-CA"/>
        </w:rPr>
        <w:t xml:space="preserve"> / Judgment:  </w:t>
      </w:r>
      <w:r w:rsidR="00151761">
        <w:rPr>
          <w:rFonts w:cs="Times New Roman"/>
          <w:sz w:val="20"/>
          <w:szCs w:val="20"/>
          <w:lang w:val="fr-CA"/>
        </w:rPr>
        <w:t>December</w:t>
      </w:r>
      <w:r w:rsidRPr="003B3977">
        <w:rPr>
          <w:rFonts w:cs="Times New Roman"/>
          <w:sz w:val="20"/>
          <w:szCs w:val="20"/>
          <w:lang w:val="fr-CA"/>
        </w:rPr>
        <w:t xml:space="preserve"> 2</w:t>
      </w:r>
      <w:r w:rsidR="00151761">
        <w:rPr>
          <w:rFonts w:cs="Times New Roman"/>
          <w:sz w:val="20"/>
          <w:szCs w:val="20"/>
          <w:lang w:val="fr-CA"/>
        </w:rPr>
        <w:t>2</w:t>
      </w:r>
      <w:r w:rsidRPr="003B3977">
        <w:rPr>
          <w:rFonts w:cs="Times New Roman"/>
          <w:sz w:val="20"/>
          <w:szCs w:val="20"/>
          <w:lang w:val="fr-CA"/>
        </w:rPr>
        <w:t>, 2010</w:t>
      </w:r>
    </w:p>
    <w:p w:rsidR="005C6840" w:rsidRPr="003B3977" w:rsidRDefault="005C6840" w:rsidP="005C6840">
      <w:pPr>
        <w:rPr>
          <w:rFonts w:cs="Times New Roman"/>
          <w:sz w:val="20"/>
          <w:szCs w:val="20"/>
          <w:lang w:val="fr-CA"/>
        </w:rPr>
      </w:pPr>
      <w:r w:rsidRPr="003B3977">
        <w:rPr>
          <w:rFonts w:cs="Times New Roman"/>
          <w:sz w:val="20"/>
          <w:szCs w:val="20"/>
          <w:lang w:val="fr-CA"/>
        </w:rPr>
        <w:t xml:space="preserve">Audition : Le </w:t>
      </w:r>
      <w:r w:rsidR="007B1AD2">
        <w:rPr>
          <w:rFonts w:cs="Times New Roman"/>
          <w:sz w:val="20"/>
          <w:szCs w:val="20"/>
          <w:lang w:val="fr-CA"/>
        </w:rPr>
        <w:t>24 avril</w:t>
      </w:r>
      <w:r w:rsidRPr="003B3977">
        <w:rPr>
          <w:rFonts w:cs="Times New Roman"/>
          <w:sz w:val="20"/>
          <w:szCs w:val="20"/>
          <w:lang w:val="fr-CA"/>
        </w:rPr>
        <w:t xml:space="preserve"> 200</w:t>
      </w:r>
      <w:r w:rsidR="00931011">
        <w:rPr>
          <w:rFonts w:cs="Times New Roman"/>
          <w:sz w:val="20"/>
          <w:szCs w:val="20"/>
          <w:lang w:val="fr-CA"/>
        </w:rPr>
        <w:t>9</w:t>
      </w:r>
      <w:r w:rsidRPr="003B3977">
        <w:rPr>
          <w:rFonts w:cs="Times New Roman"/>
          <w:sz w:val="20"/>
          <w:szCs w:val="20"/>
          <w:lang w:val="fr-CA"/>
        </w:rPr>
        <w:t xml:space="preserve"> / Jugement : Le 2</w:t>
      </w:r>
      <w:r w:rsidR="00151761">
        <w:rPr>
          <w:rFonts w:cs="Times New Roman"/>
          <w:sz w:val="20"/>
          <w:szCs w:val="20"/>
          <w:lang w:val="fr-CA"/>
        </w:rPr>
        <w:t>2 décem</w:t>
      </w:r>
      <w:r w:rsidRPr="003B3977">
        <w:rPr>
          <w:rFonts w:cs="Times New Roman"/>
          <w:sz w:val="20"/>
          <w:szCs w:val="20"/>
          <w:lang w:val="fr-CA"/>
        </w:rPr>
        <w:t>bre 2010</w:t>
      </w:r>
    </w:p>
    <w:p w:rsidR="005C6840" w:rsidRPr="003B3977" w:rsidRDefault="00D56013" w:rsidP="005C6840">
      <w:pPr>
        <w:rPr>
          <w:rFonts w:cs="Times New Roman"/>
          <w:sz w:val="20"/>
          <w:szCs w:val="20"/>
          <w:lang w:val="fr-CA"/>
        </w:rPr>
      </w:pPr>
      <w:r w:rsidRPr="00D56013">
        <w:rPr>
          <w:rFonts w:cs="Times New Roman"/>
          <w:i/>
          <w:sz w:val="20"/>
          <w:szCs w:val="20"/>
        </w:rPr>
        <w:pict>
          <v:rect id="_x0000_i1115" style="width:480.95pt;height:1pt" o:hralign="center" o:hrstd="t" o:hrnoshade="t" o:hr="t" fillcolor="black [3213]" stroked="f"/>
        </w:pict>
      </w:r>
    </w:p>
    <w:p w:rsidR="005C6840" w:rsidRDefault="005C6840" w:rsidP="005C6840">
      <w:pPr>
        <w:rPr>
          <w:rFonts w:cs="Times New Roman"/>
          <w:sz w:val="20"/>
          <w:szCs w:val="20"/>
          <w:lang w:val="fr-CA"/>
        </w:rPr>
      </w:pPr>
    </w:p>
    <w:p w:rsidR="007B1AD2" w:rsidRPr="007B1AD2" w:rsidRDefault="007B1AD2" w:rsidP="007B1AD2">
      <w:pPr>
        <w:jc w:val="both"/>
        <w:rPr>
          <w:rFonts w:cs="Times New Roman"/>
          <w:sz w:val="20"/>
          <w:szCs w:val="20"/>
          <w:lang w:val="fr-CA"/>
        </w:rPr>
      </w:pPr>
      <w:r w:rsidRPr="007B1AD2">
        <w:rPr>
          <w:rFonts w:cs="Times New Roman"/>
          <w:sz w:val="20"/>
          <w:szCs w:val="20"/>
          <w:lang w:val="fr-CA"/>
        </w:rPr>
        <w:t>Présents : La juge en chef McLachlin et les juges Binnie, LeBel, Deschamps, Fish, Abella, Charron, Rothstein et Cromwell.</w:t>
      </w:r>
    </w:p>
    <w:p w:rsidR="007B1AD2" w:rsidRDefault="007B1AD2" w:rsidP="005C6840">
      <w:pPr>
        <w:rPr>
          <w:rFonts w:cs="Times New Roman"/>
          <w:sz w:val="20"/>
          <w:szCs w:val="20"/>
          <w:lang w:val="fr-CA"/>
        </w:rPr>
      </w:pPr>
    </w:p>
    <w:p w:rsidR="007B1AD2" w:rsidRPr="007B1AD2" w:rsidRDefault="007B1AD2" w:rsidP="007B1AD2">
      <w:pPr>
        <w:pStyle w:val="SCCNormalDoubleSpacing"/>
        <w:spacing w:line="240" w:lineRule="auto"/>
        <w:rPr>
          <w:i/>
          <w:sz w:val="20"/>
          <w:lang w:val="fr-CA"/>
        </w:rPr>
      </w:pPr>
      <w:r w:rsidRPr="007B1AD2">
        <w:rPr>
          <w:sz w:val="20"/>
          <w:lang w:val="fr-CA"/>
        </w:rPr>
        <w:tab/>
      </w:r>
      <w:r w:rsidRPr="007B1AD2">
        <w:rPr>
          <w:i/>
          <w:sz w:val="20"/>
          <w:lang w:val="fr-CA"/>
        </w:rPr>
        <w:t>Droit constitutionnel — Partage des pouvoirs — Droit criminel — Procréation assistée — Les art. 8 à 19, 40 à 53, 60, 61 et 68 de la Loi sur la procréation assistée, L.C. 2004, ch. 2, excèdent</w:t>
      </w:r>
      <w:r w:rsidRPr="007B1AD2">
        <w:rPr>
          <w:i/>
          <w:sz w:val="20"/>
          <w:lang w:val="fr-CA"/>
        </w:rPr>
        <w:noBreakHyphen/>
        <w:t>ils la compétence législative que confère au Parlement le par. 91(27) de la Loi constitutionnelle de 1867?</w:t>
      </w:r>
    </w:p>
    <w:p w:rsidR="007B1AD2" w:rsidRPr="007B1AD2" w:rsidRDefault="007B1AD2" w:rsidP="007B1AD2">
      <w:pPr>
        <w:pStyle w:val="SCCNormalDoubleSpacing"/>
        <w:spacing w:line="240" w:lineRule="auto"/>
        <w:rPr>
          <w:sz w:val="20"/>
          <w:lang w:val="fr-CA"/>
        </w:rPr>
      </w:pPr>
    </w:p>
    <w:p w:rsidR="007B1AD2" w:rsidRPr="007B1AD2" w:rsidRDefault="007B1AD2" w:rsidP="007B1AD2">
      <w:pPr>
        <w:pStyle w:val="SCCNormalDoubleSpacing"/>
        <w:spacing w:line="240" w:lineRule="auto"/>
        <w:rPr>
          <w:sz w:val="20"/>
          <w:lang w:val="fr-CA"/>
        </w:rPr>
      </w:pPr>
      <w:r w:rsidRPr="007B1AD2">
        <w:rPr>
          <w:sz w:val="20"/>
          <w:lang w:val="fr-CA"/>
        </w:rPr>
        <w:tab/>
        <w:t xml:space="preserve">En 1989, le gouvernement fédéral a mis sur pied la Commission royale sur les nouvelles techniques de reproduction (la « Commission Baird ») appelée à se pencher sur la procréation assistée.  Dans son rapport, la Commission Baird a exprimé des inquiétudes au sujet de certaines pratiques dans le domaine et elle a pressé le gouvernement de légiférer.  Entre 1993 et 1995, le gouvernement fédéral a consulté les provinces, les territoires et des groupes indépendants sur la question, ce qui a mené à l’adoption en 2004 de la </w:t>
      </w:r>
      <w:r w:rsidRPr="007B1AD2">
        <w:rPr>
          <w:i/>
          <w:sz w:val="20"/>
          <w:lang w:val="fr-CA"/>
        </w:rPr>
        <w:t>Loi sur la procréation assistée</w:t>
      </w:r>
      <w:r w:rsidRPr="007B1AD2">
        <w:rPr>
          <w:sz w:val="20"/>
          <w:lang w:val="fr-CA"/>
        </w:rPr>
        <w:t>.  La Loi renferme des interdictions et d’autres dispositions visant leur mise en œuvre et leur contrôle d’application.  Elle est conçue comme suit.</w:t>
      </w:r>
    </w:p>
    <w:p w:rsidR="007B1AD2" w:rsidRPr="007B1AD2" w:rsidRDefault="007B1AD2" w:rsidP="007B1AD2">
      <w:pPr>
        <w:pStyle w:val="SCCNormalDoubleSpacing"/>
        <w:spacing w:line="240" w:lineRule="auto"/>
        <w:rPr>
          <w:sz w:val="20"/>
          <w:lang w:val="fr-CA"/>
        </w:rPr>
      </w:pPr>
    </w:p>
    <w:p w:rsidR="007B1AD2" w:rsidRDefault="007B1AD2" w:rsidP="007B1AD2">
      <w:pPr>
        <w:pStyle w:val="ListParagraph"/>
        <w:spacing w:after="480"/>
        <w:ind w:left="0"/>
        <w:jc w:val="both"/>
        <w:rPr>
          <w:rFonts w:cs="Times New Roman"/>
          <w:sz w:val="20"/>
          <w:szCs w:val="20"/>
          <w:lang w:val="fr-CA"/>
        </w:rPr>
      </w:pPr>
      <w:r w:rsidRPr="007B1AD2">
        <w:rPr>
          <w:rFonts w:cs="Times New Roman"/>
          <w:sz w:val="20"/>
          <w:szCs w:val="20"/>
          <w:lang w:val="fr-CA"/>
        </w:rPr>
        <w:tab/>
        <w:t>(1) Les articles 5 à 9 interdisent le clonage humain, la commercialisation du matériel reproductif humain et des fonctions reproductives de la femme et de l’homme, ainsi que l’utilisation d’embryons in vitro sans consentement.  (2) Les articles 10 à 13 interdisent diverses activités, sauf conformité aux règlements pris en vertu de la Loi, obtention d’une autorisation et déroulement dans un établissement autorisé.  Ces « activités réglementées » s’entendent de la manipulation du matériel reproductif humain ou d’embryons in vitro, de la transgénèse et du défraiement des donneurs et des mères porteuses.  (3) Les articles 14 à 19 établissent un système de gestion de l’information relative à la procréation assistée.  (4) Les articles 20 à 39 créent l’Agence canadienne de contrôle de la procréation assistée.  (5) Les articles 40 à 59 confient à l’Agence la mise en œuvre de la Loi et des règlements et le contrôle de leur application, et ils lui confèrent le pouvoir d’autoriser certaines activités liées à la procréation assistée.  (6) Les articles 60 et 61 prévoient des peines, (7) les art. 65 à 67 autorisent l’adoption de règlements et (8) l’art. 68 confère au gouverneur en conseil le pouvoir d’écarter l’application de certaines dispositions de la Loi dans une province déjà dotée de dispositions équivalentes.</w:t>
      </w:r>
    </w:p>
    <w:p w:rsidR="007B1AD2" w:rsidRPr="007B1AD2" w:rsidRDefault="007B1AD2" w:rsidP="007B1AD2">
      <w:pPr>
        <w:pStyle w:val="ListParagraph"/>
        <w:spacing w:after="480"/>
        <w:ind w:left="0"/>
        <w:jc w:val="both"/>
        <w:rPr>
          <w:rFonts w:cs="Times New Roman"/>
          <w:sz w:val="20"/>
          <w:szCs w:val="20"/>
          <w:lang w:val="fr-CA"/>
        </w:rPr>
      </w:pPr>
    </w:p>
    <w:p w:rsidR="007B1AD2" w:rsidRPr="007B1AD2" w:rsidRDefault="007B1AD2" w:rsidP="007B1AD2">
      <w:pPr>
        <w:pStyle w:val="ListParagraph"/>
        <w:ind w:left="0"/>
        <w:jc w:val="both"/>
        <w:rPr>
          <w:rFonts w:cs="Times New Roman"/>
          <w:sz w:val="20"/>
          <w:szCs w:val="20"/>
          <w:lang w:val="fr-CA"/>
        </w:rPr>
      </w:pPr>
      <w:r w:rsidRPr="007B1AD2">
        <w:rPr>
          <w:rFonts w:cs="Times New Roman"/>
          <w:sz w:val="20"/>
          <w:szCs w:val="20"/>
          <w:lang w:val="fr-CA"/>
        </w:rPr>
        <w:tab/>
        <w:t>Le procureur général du Québec a reconnu que certaines dispositions de la Loi constituaient des règles de droit criminel valides, mais il a contesté la constitutionnalité des autres dans un renvoi adressé à la Cour d’appel du Québec.  À son avis, les art. 8 à 19, 40 à 53, 60, 61 et 68 visent à réglementer tout le domaine de la pratique médicale et de la recherche liées à la procréation assistée et excèdent la compétence du gouvernement fédéral.  La Cour d’appel du Québec a statué que les dispositions contestées n’étaient pas des règles de droit criminel valides, car leur raison d’être véritable était la réglementation de la pratique médicale et de la recherche liées à la procréation assistée.</w:t>
      </w:r>
    </w:p>
    <w:p w:rsidR="007B1AD2" w:rsidRPr="007B1AD2" w:rsidRDefault="007B1AD2" w:rsidP="007B1AD2">
      <w:pPr>
        <w:pStyle w:val="ListParagraph"/>
        <w:tabs>
          <w:tab w:val="left" w:pos="1166"/>
        </w:tabs>
        <w:ind w:left="0"/>
        <w:jc w:val="both"/>
        <w:rPr>
          <w:rFonts w:cs="Times New Roman"/>
          <w:sz w:val="20"/>
          <w:szCs w:val="20"/>
          <w:lang w:val="fr-CA"/>
        </w:rPr>
      </w:pPr>
    </w:p>
    <w:p w:rsidR="007B1AD2" w:rsidRPr="007B1AD2" w:rsidRDefault="007B1AD2" w:rsidP="007B1AD2">
      <w:pPr>
        <w:pStyle w:val="SCCNormalDoubleSpacing"/>
        <w:spacing w:line="240" w:lineRule="auto"/>
        <w:rPr>
          <w:sz w:val="20"/>
          <w:lang w:val="fr-CA"/>
        </w:rPr>
      </w:pPr>
      <w:r w:rsidRPr="007B1AD2">
        <w:rPr>
          <w:sz w:val="20"/>
          <w:lang w:val="fr-CA"/>
        </w:rPr>
        <w:tab/>
      </w:r>
      <w:r w:rsidRPr="007B1AD2">
        <w:rPr>
          <w:i/>
          <w:sz w:val="20"/>
          <w:lang w:val="fr-CA"/>
        </w:rPr>
        <w:t>Arrêt</w:t>
      </w:r>
      <w:r w:rsidRPr="007B1AD2">
        <w:rPr>
          <w:sz w:val="20"/>
          <w:lang w:val="fr-CA"/>
        </w:rPr>
        <w:t> </w:t>
      </w:r>
      <w:r w:rsidRPr="007720B3">
        <w:rPr>
          <w:rStyle w:val="QuoteChar"/>
          <w:sz w:val="20"/>
        </w:rPr>
        <w:t>:</w:t>
      </w:r>
      <w:r w:rsidRPr="007B1AD2">
        <w:rPr>
          <w:sz w:val="20"/>
          <w:lang w:val="fr-CA"/>
        </w:rPr>
        <w:t xml:space="preserve"> Le pourvoi est accueilli en partie.</w:t>
      </w:r>
    </w:p>
    <w:p w:rsidR="007B1AD2" w:rsidRPr="007B1AD2" w:rsidRDefault="007B1AD2" w:rsidP="007B1AD2">
      <w:pPr>
        <w:pStyle w:val="SCCNormalDoubleSpacing"/>
        <w:spacing w:line="240" w:lineRule="auto"/>
        <w:rPr>
          <w:sz w:val="20"/>
          <w:lang w:val="fr-CA"/>
        </w:rPr>
      </w:pPr>
    </w:p>
    <w:p w:rsidR="007B1AD2" w:rsidRPr="007B1AD2" w:rsidRDefault="007B1AD2" w:rsidP="007B1AD2">
      <w:pPr>
        <w:pStyle w:val="SCCNormalDoubleSpacing"/>
        <w:spacing w:line="240" w:lineRule="auto"/>
        <w:rPr>
          <w:sz w:val="20"/>
          <w:lang w:val="fr-CA"/>
        </w:rPr>
      </w:pPr>
      <w:r w:rsidRPr="007B1AD2">
        <w:rPr>
          <w:sz w:val="20"/>
          <w:lang w:val="fr-CA"/>
        </w:rPr>
        <w:tab/>
        <w:t>Les articles 8, 9, 12, 19 et 60 de la Loi sont constitutionnels.</w:t>
      </w:r>
    </w:p>
    <w:p w:rsidR="007B1AD2" w:rsidRPr="007B1AD2" w:rsidRDefault="007B1AD2" w:rsidP="007B1AD2">
      <w:pPr>
        <w:pStyle w:val="SCCNormalDoubleSpacing"/>
        <w:spacing w:line="240" w:lineRule="auto"/>
        <w:rPr>
          <w:sz w:val="20"/>
          <w:lang w:val="fr-CA"/>
        </w:rPr>
      </w:pPr>
    </w:p>
    <w:p w:rsidR="007B1AD2" w:rsidRPr="007B1AD2" w:rsidRDefault="007B1AD2" w:rsidP="007B1AD2">
      <w:pPr>
        <w:pStyle w:val="SCCNormalDoubleSpacing"/>
        <w:spacing w:line="240" w:lineRule="auto"/>
        <w:rPr>
          <w:sz w:val="20"/>
          <w:lang w:val="fr-CA"/>
        </w:rPr>
      </w:pPr>
      <w:r w:rsidRPr="007B1AD2">
        <w:rPr>
          <w:sz w:val="20"/>
          <w:lang w:val="fr-CA"/>
        </w:rPr>
        <w:tab/>
        <w:t xml:space="preserve">Les articles 10, 11, 13, 14 à 18, les par. 40(2), (3), (3.1), (4) et (5), et les par. 44(2) et (3) excèdent la compétence législative du Parlement du Canada suivant la </w:t>
      </w:r>
      <w:r w:rsidRPr="007B1AD2">
        <w:rPr>
          <w:i/>
          <w:sz w:val="20"/>
          <w:lang w:val="fr-CA"/>
        </w:rPr>
        <w:t>Loi constitutionnelle de 1867</w:t>
      </w:r>
      <w:r w:rsidRPr="007B1AD2">
        <w:rPr>
          <w:sz w:val="20"/>
          <w:lang w:val="fr-CA"/>
        </w:rPr>
        <w:t>.</w:t>
      </w:r>
    </w:p>
    <w:p w:rsidR="007B1AD2" w:rsidRPr="007B1AD2" w:rsidRDefault="007B1AD2" w:rsidP="007B1AD2">
      <w:pPr>
        <w:pStyle w:val="SCCNormalDoubleSpacing"/>
        <w:spacing w:line="240" w:lineRule="auto"/>
        <w:rPr>
          <w:sz w:val="20"/>
          <w:lang w:val="fr-CA"/>
        </w:rPr>
      </w:pPr>
    </w:p>
    <w:p w:rsidR="007B1AD2" w:rsidRPr="007B1AD2" w:rsidRDefault="007B1AD2" w:rsidP="007B1AD2">
      <w:pPr>
        <w:pStyle w:val="SCCNormalDoubleSpacing"/>
        <w:spacing w:line="240" w:lineRule="auto"/>
        <w:rPr>
          <w:sz w:val="20"/>
          <w:lang w:val="fr-CA"/>
        </w:rPr>
      </w:pPr>
      <w:r w:rsidRPr="007B1AD2">
        <w:rPr>
          <w:sz w:val="20"/>
          <w:lang w:val="fr-CA"/>
        </w:rPr>
        <w:tab/>
        <w:t>Les paragraphes 40(1), (6) et (7), les art. 41 à 43, les par. 44(1) et (4), les art. 45 à 53, 61 et 68 sont constitutionnels dans la mesure où ils se rattachent à des dispositions constitutionnelles.</w:t>
      </w:r>
    </w:p>
    <w:p w:rsidR="007B1AD2" w:rsidRPr="007B1AD2" w:rsidRDefault="007B1AD2" w:rsidP="007B1AD2">
      <w:pPr>
        <w:pStyle w:val="SCCNormalDoubleSpacing"/>
        <w:spacing w:line="240" w:lineRule="auto"/>
        <w:rPr>
          <w:sz w:val="20"/>
          <w:lang w:val="fr-CA"/>
        </w:rPr>
      </w:pPr>
    </w:p>
    <w:p w:rsidR="007B1AD2" w:rsidRPr="007B1AD2" w:rsidRDefault="007B1AD2" w:rsidP="007B1AD2">
      <w:pPr>
        <w:pStyle w:val="SCCNormalDoubleSpacing"/>
        <w:spacing w:line="240" w:lineRule="auto"/>
        <w:rPr>
          <w:sz w:val="20"/>
          <w:lang w:val="fr-CA"/>
        </w:rPr>
      </w:pPr>
      <w:r w:rsidRPr="007B1AD2">
        <w:rPr>
          <w:sz w:val="20"/>
          <w:lang w:val="fr-CA"/>
        </w:rPr>
        <w:lastRenderedPageBreak/>
        <w:tab/>
      </w:r>
      <w:r w:rsidRPr="007B1AD2">
        <w:rPr>
          <w:i/>
          <w:sz w:val="20"/>
          <w:lang w:val="fr-CA"/>
        </w:rPr>
        <w:t>La</w:t>
      </w:r>
      <w:r w:rsidRPr="007B1AD2">
        <w:rPr>
          <w:sz w:val="20"/>
          <w:lang w:val="fr-CA"/>
        </w:rPr>
        <w:t xml:space="preserve"> juge en chef </w:t>
      </w:r>
      <w:r w:rsidRPr="007B1AD2">
        <w:rPr>
          <w:b/>
          <w:sz w:val="20"/>
          <w:lang w:val="fr-CA"/>
        </w:rPr>
        <w:t>McLachlin</w:t>
      </w:r>
      <w:r w:rsidRPr="007B1AD2">
        <w:rPr>
          <w:sz w:val="20"/>
          <w:lang w:val="fr-CA"/>
        </w:rPr>
        <w:t xml:space="preserve"> et les juges Binnie, Fish et Charron : La Loi est essentiellement constituée d’une série d’interdictions dont un ensemble de dispositions accessoires assure la mise en œuvre.  Même si la Loi aura des effets bénéfiques et que certains d’entre eux peuvent se répercuter sur des sujets de compétence provinciale, ni son objet principal, ni son effet principal ne sont d’établir un régime de réglementation et de promotion des avantages de la procréation artificielle.  Certes, dans son rapport, la Commission Baird renvoie aux aspects positifs des techniques de procréation assistée, mais cela n’établit pas que ces avantages sont l’objet central des mesures prises par le Parlement.  En outre, la Loi revêt une forme à la fois pénale et règlementaire, mais le Parlement peut à bon droit recourir à la réglementation pour légiférer en droit pénal, à condition qu’il ait un objectif légitime en droit criminel.</w:t>
      </w:r>
    </w:p>
    <w:p w:rsidR="007B1AD2" w:rsidRPr="007B1AD2" w:rsidRDefault="007B1AD2" w:rsidP="007B1AD2">
      <w:pPr>
        <w:pStyle w:val="SCCNormalDoubleSpacing"/>
        <w:spacing w:line="240" w:lineRule="auto"/>
        <w:rPr>
          <w:sz w:val="20"/>
          <w:lang w:val="fr-CA"/>
        </w:rPr>
      </w:pPr>
    </w:p>
    <w:p w:rsidR="007B1AD2" w:rsidRDefault="007B1AD2" w:rsidP="007B1AD2">
      <w:pPr>
        <w:tabs>
          <w:tab w:val="left" w:pos="1166"/>
        </w:tabs>
        <w:jc w:val="both"/>
        <w:rPr>
          <w:rFonts w:cs="Times New Roman"/>
          <w:sz w:val="20"/>
          <w:szCs w:val="20"/>
          <w:lang w:val="fr-CA"/>
        </w:rPr>
      </w:pPr>
      <w:r w:rsidRPr="007B1AD2">
        <w:rPr>
          <w:rFonts w:cs="Times New Roman"/>
          <w:sz w:val="20"/>
          <w:szCs w:val="20"/>
          <w:lang w:val="fr-CA"/>
        </w:rPr>
        <w:tab/>
        <w:t>En l’espèce, eu égard à sa matière, le régime législatif, considéré globalement, résulte d’un exercice légitime du pouvoir fédéral de légiférer en droit criminel.  L’objet et effet principal du régime législatif est l’interdiction de pratiques qui sont de nature à saper des valeurs morales, à créer des maux pour la santé publique et à compromettre la sécurité des donneurs, des receveurs et des personnes conçues grâce à la procréation assistée.  La mesure législative touche nécessairement la compétence provinciale sur la recherche et la pratique médicales, mais il s’agit de domaines où les compétences fédérale et provinciale se chevauchent.  Le Parlement a grandement intérêt à ce que les règles éthiques fondamentales régissent la création et la destruction de la vie, de même que les répercussions de celles</w:t>
      </w:r>
      <w:r w:rsidRPr="007B1AD2">
        <w:rPr>
          <w:rFonts w:cs="Times New Roman"/>
          <w:sz w:val="20"/>
          <w:szCs w:val="20"/>
          <w:lang w:val="fr-CA"/>
        </w:rPr>
        <w:noBreakHyphen/>
        <w:t>ci sur, par exemple, les donneurs et les mères.  La Loi prévient la détérioration importante du tissu social en interdisant les pratiques qui tendent à dévaloriser la vie humaine et à avilir les personnes qui y recourent.  Il y a chevauchement entre souci moral et souci sanitaire, et la sécurité peut fonder une règle de droit criminel.  Il s’agit de véritables objets de droit criminel.</w:t>
      </w:r>
    </w:p>
    <w:p w:rsidR="007B1AD2" w:rsidRPr="007B1AD2" w:rsidRDefault="007B1AD2" w:rsidP="007B1AD2">
      <w:pPr>
        <w:jc w:val="both"/>
        <w:rPr>
          <w:rFonts w:cs="Times New Roman"/>
          <w:sz w:val="20"/>
          <w:szCs w:val="20"/>
          <w:lang w:val="fr-CA"/>
        </w:rPr>
      </w:pPr>
    </w:p>
    <w:p w:rsidR="007B1AD2" w:rsidRDefault="007B1AD2" w:rsidP="007B1AD2">
      <w:pPr>
        <w:jc w:val="both"/>
        <w:rPr>
          <w:rFonts w:cs="Times New Roman"/>
          <w:sz w:val="20"/>
          <w:szCs w:val="20"/>
          <w:lang w:val="fr-CA"/>
        </w:rPr>
      </w:pPr>
      <w:r w:rsidRPr="007B1AD2">
        <w:rPr>
          <w:rFonts w:cs="Times New Roman"/>
          <w:sz w:val="20"/>
          <w:szCs w:val="20"/>
          <w:lang w:val="fr-CA"/>
        </w:rPr>
        <w:tab/>
        <w:t>Les interdictions prévues aux art. 8 à 13 relèvent du pouvoir fédéral de légiférer en droit criminel et elles constituent des règles de droit criminel valides.  Elles se rattachent aux art. 5 à 7, dont la constitutionnalité est reconnue au regard du droit criminel.  L’article 8 interdit l’utilisation de matériel reproductif pour créer artificiellement un embryon, sauf lorsque le donneur y consent conformément aux règlements, ce qui traduit l’importance fondamentale accordée à l’autonomie de la personne.  L’article 9 interdit l’obtention de matériel reproductif d’une personne n’ayant pas l’âge fixé, sauf pour conserver ce matériel ou pour créer un être humain dont on est fondé à croire qu’il sera élevé par le donneur.  Sa raison d’être est de protéger le mineur vulnérable contre l’exploitation et l’incitation pressante.  Il constitue une interdiction absolue à l’instar des art. 5 à 7 et il ne s’accompagne d’aucun règlement.</w:t>
      </w:r>
    </w:p>
    <w:p w:rsidR="007B1AD2" w:rsidRPr="007B1AD2" w:rsidRDefault="007B1AD2" w:rsidP="007B1AD2">
      <w:pPr>
        <w:jc w:val="both"/>
        <w:rPr>
          <w:rFonts w:cs="Times New Roman"/>
          <w:sz w:val="20"/>
          <w:szCs w:val="20"/>
          <w:lang w:val="fr-CA"/>
        </w:rPr>
      </w:pPr>
    </w:p>
    <w:p w:rsidR="007B1AD2" w:rsidRDefault="007B1AD2" w:rsidP="007B1AD2">
      <w:pPr>
        <w:pStyle w:val="ListParagraph"/>
        <w:spacing w:after="480"/>
        <w:ind w:left="0"/>
        <w:jc w:val="both"/>
        <w:rPr>
          <w:rFonts w:cs="Times New Roman"/>
          <w:sz w:val="20"/>
          <w:szCs w:val="20"/>
          <w:lang w:val="fr-CA"/>
        </w:rPr>
      </w:pPr>
      <w:r w:rsidRPr="007B1AD2">
        <w:rPr>
          <w:rFonts w:cs="Times New Roman"/>
          <w:sz w:val="20"/>
          <w:szCs w:val="20"/>
          <w:lang w:val="fr-CA"/>
        </w:rPr>
        <w:tab/>
        <w:t xml:space="preserve">Les articles 10 et 11 appuient les interdictions prévues à l’art. 5.  L’article 10 interdit </w:t>
      </w:r>
      <w:r w:rsidRPr="007B1AD2">
        <w:rPr>
          <w:rFonts w:cs="Times New Roman"/>
          <w:spacing w:val="3"/>
          <w:sz w:val="20"/>
          <w:szCs w:val="20"/>
          <w:lang w:val="fr-CA"/>
        </w:rPr>
        <w:t xml:space="preserve">essentiellement l’activité liée au matériel reproductif humain, sauf autorisation préalable.  Il vise les risques sanitaires et les préoccupations d’ordre moral liés à la création artificielle de la vie.  </w:t>
      </w:r>
      <w:r w:rsidRPr="007B1AD2">
        <w:rPr>
          <w:rFonts w:cs="Times New Roman"/>
          <w:sz w:val="20"/>
          <w:szCs w:val="20"/>
          <w:lang w:val="fr-CA"/>
        </w:rPr>
        <w:t>L’article 11 interdit la transgénèse, sauf en conformité avec les règlements et avec une autorisation.</w:t>
      </w:r>
      <w:r w:rsidRPr="007B1AD2">
        <w:rPr>
          <w:rFonts w:cs="Times New Roman"/>
          <w:spacing w:val="3"/>
          <w:sz w:val="20"/>
          <w:szCs w:val="20"/>
          <w:lang w:val="fr-CA"/>
        </w:rPr>
        <w:t xml:space="preserve">  En </w:t>
      </w:r>
      <w:r w:rsidRPr="007B1AD2">
        <w:rPr>
          <w:rFonts w:cs="Times New Roman"/>
          <w:sz w:val="20"/>
          <w:szCs w:val="20"/>
          <w:lang w:val="fr-CA"/>
        </w:rPr>
        <w:t xml:space="preserve">recourant à une interdiction sélective pour accroître la portée des interdictions absolues que prévoit l’art. 5 et qui frappent la création de chimères et d’hybrides, l’art. 11 reconnaît que la combinaison de matériel génétique humain et non humain peut susciter des préoccupations morales bien avant qu’une telle expérience aboutisse à la création d’une nouvelle forme de vie.  Ensemble, autorisation et réglementation circonscrivent le régime d’interdiction et le rendent susceptible d’application, ce qui laisse aux provinces le loisir de réglementer les aspects bénéfiques de la manipulation génétique. </w:t>
      </w:r>
    </w:p>
    <w:p w:rsidR="007B1AD2" w:rsidRPr="007B1AD2" w:rsidRDefault="007B1AD2" w:rsidP="007B1AD2">
      <w:pPr>
        <w:pStyle w:val="ListParagraph"/>
        <w:spacing w:after="480"/>
        <w:ind w:left="0"/>
        <w:jc w:val="both"/>
        <w:rPr>
          <w:rFonts w:cs="Times New Roman"/>
          <w:sz w:val="20"/>
          <w:szCs w:val="20"/>
          <w:lang w:val="fr-CA"/>
        </w:rPr>
      </w:pPr>
    </w:p>
    <w:p w:rsidR="007B1AD2" w:rsidRDefault="007B1AD2" w:rsidP="007B1AD2">
      <w:pPr>
        <w:pStyle w:val="ListParagraph"/>
        <w:spacing w:after="480"/>
        <w:ind w:left="0"/>
        <w:jc w:val="both"/>
        <w:rPr>
          <w:rFonts w:cs="Times New Roman"/>
          <w:spacing w:val="3"/>
          <w:sz w:val="20"/>
          <w:szCs w:val="20"/>
          <w:lang w:val="fr-CA"/>
        </w:rPr>
      </w:pPr>
      <w:r w:rsidRPr="007B1AD2">
        <w:rPr>
          <w:rFonts w:cs="Times New Roman"/>
          <w:sz w:val="20"/>
          <w:szCs w:val="20"/>
          <w:lang w:val="fr-CA"/>
        </w:rPr>
        <w:tab/>
        <w:t>L’article 12 interdit, sauf conformité aux règlements et obtention d’une autorisation, le défraiement d’un donneur ou d’une mère porteuse.  Il se fonde sur les mêmes préoccupations que celles qui sous</w:t>
      </w:r>
      <w:r w:rsidRPr="007B1AD2">
        <w:rPr>
          <w:rFonts w:cs="Times New Roman"/>
          <w:sz w:val="20"/>
          <w:szCs w:val="20"/>
          <w:lang w:val="fr-CA"/>
        </w:rPr>
        <w:noBreakHyphen/>
        <w:t>tendent les art. 6 et 7, lesquels interdisent la commercialisation de la reproduction.  L’article 13 frappe d’une interdiction absolue l’exercice d’une activité autorisée dans un établissement non autorisé, et son non</w:t>
      </w:r>
      <w:r w:rsidRPr="007B1AD2">
        <w:rPr>
          <w:rFonts w:cs="Times New Roman"/>
          <w:sz w:val="20"/>
          <w:szCs w:val="20"/>
          <w:lang w:val="fr-CA"/>
        </w:rPr>
        <w:noBreakHyphen/>
        <w:t xml:space="preserve">respect rend passible d’une peine.  Créer artificiellement une forme de vie humaine dans un local clandestin peut présenter un risque sanitaire important pour les intéressés.  Bien encadrer les établissements où l’on recourt à la procréation assistée répond également aux </w:t>
      </w:r>
      <w:r w:rsidRPr="007B1AD2">
        <w:rPr>
          <w:rFonts w:cs="Times New Roman"/>
          <w:spacing w:val="3"/>
          <w:sz w:val="20"/>
          <w:szCs w:val="20"/>
          <w:lang w:val="fr-CA"/>
        </w:rPr>
        <w:t>préoccupations morales du Parlement.</w:t>
      </w:r>
    </w:p>
    <w:p w:rsidR="007B1AD2" w:rsidRPr="007B1AD2" w:rsidRDefault="007B1AD2" w:rsidP="007B1AD2">
      <w:pPr>
        <w:pStyle w:val="ListParagraph"/>
        <w:spacing w:after="480"/>
        <w:ind w:left="0"/>
        <w:jc w:val="both"/>
        <w:rPr>
          <w:rFonts w:cs="Times New Roman"/>
          <w:spacing w:val="3"/>
          <w:sz w:val="20"/>
          <w:szCs w:val="20"/>
          <w:lang w:val="fr-CA"/>
        </w:rPr>
      </w:pPr>
    </w:p>
    <w:p w:rsidR="007B1AD2" w:rsidRPr="007B1AD2" w:rsidRDefault="007B1AD2" w:rsidP="007B1AD2">
      <w:pPr>
        <w:pStyle w:val="ListParagraph"/>
        <w:spacing w:after="480"/>
        <w:ind w:left="0"/>
        <w:jc w:val="both"/>
        <w:rPr>
          <w:rFonts w:cs="Times New Roman"/>
          <w:sz w:val="20"/>
          <w:szCs w:val="20"/>
          <w:lang w:val="fr-CA"/>
        </w:rPr>
      </w:pPr>
      <w:r w:rsidRPr="007B1AD2">
        <w:rPr>
          <w:rFonts w:cs="Times New Roman"/>
          <w:spacing w:val="3"/>
          <w:sz w:val="20"/>
          <w:szCs w:val="20"/>
          <w:lang w:val="fr-CA"/>
        </w:rPr>
        <w:tab/>
      </w:r>
      <w:r w:rsidRPr="007B1AD2">
        <w:rPr>
          <w:rFonts w:cs="Times New Roman"/>
          <w:sz w:val="20"/>
          <w:szCs w:val="20"/>
          <w:lang w:val="fr-CA"/>
        </w:rPr>
        <w:t>Avec les articles 5 à 7, l</w:t>
      </w:r>
      <w:r w:rsidRPr="007B1AD2">
        <w:rPr>
          <w:rFonts w:cs="Times New Roman"/>
          <w:spacing w:val="3"/>
          <w:sz w:val="20"/>
          <w:szCs w:val="20"/>
          <w:lang w:val="fr-CA"/>
        </w:rPr>
        <w:t xml:space="preserve">es </w:t>
      </w:r>
      <w:r w:rsidRPr="007B1AD2">
        <w:rPr>
          <w:rFonts w:cs="Times New Roman"/>
          <w:sz w:val="20"/>
          <w:szCs w:val="20"/>
          <w:lang w:val="fr-CA"/>
        </w:rPr>
        <w:t>art. 8 à 13 constituent un régime d’interdiction valide qui est compatible avec les objectifs de la Loi dans son ensemble.  Ils renferment des interdictions, appuyées de sanctions, et ils sont véritablement axés sur la réalisation d’objectifs légitimes du droit criminel.  Certaines des interdictions qu’ils prévoient ont une incidence sur la réglementation de la recherche et de la pratique médicales, mais cette incidence est accessoire à l’objet principal de la loi relevant du droit criminel et elle est délimitée par cet objet.  De plus, sous réserve des interdictions de la Loi, les provinces peuvent adopter des lois favorisant les pratiques bénéfiques dans le domaine de la procréation assistée.</w:t>
      </w:r>
    </w:p>
    <w:p w:rsidR="007B1AD2" w:rsidRDefault="007B1AD2" w:rsidP="007B1AD2">
      <w:pPr>
        <w:pStyle w:val="ListParagraph"/>
        <w:spacing w:after="480"/>
        <w:ind w:left="0"/>
        <w:jc w:val="both"/>
        <w:rPr>
          <w:rFonts w:cs="Times New Roman"/>
          <w:sz w:val="20"/>
          <w:szCs w:val="20"/>
          <w:lang w:val="fr-CA"/>
        </w:rPr>
      </w:pPr>
      <w:r w:rsidRPr="007B1AD2">
        <w:rPr>
          <w:rFonts w:cs="Times New Roman"/>
          <w:sz w:val="20"/>
          <w:szCs w:val="20"/>
          <w:lang w:val="fr-CA"/>
        </w:rPr>
        <w:lastRenderedPageBreak/>
        <w:tab/>
        <w:t xml:space="preserve">Même s’ils ne constituent pas des règles de droit criminel par leur caractère véritable, les art. 14 à 68, qui ont trait à la mise en œuvre, à l’organisation et au contrôle d’application, sont intégrés au régime d’interdiction que créent les art. 5 à 13.  Certaines des dispositions accessoires sont foncièrement pénales et n’empiètent pas beaucoup sur les pouvoirs provinciaux, comme celles sur le contrôle d’application (art. 45 à 59), sur l’adoption de règlements (art. 65 à 67) et sur l’imposition de peines (art. 60 et 61).  Les dispositions à vocation organisationnelle correspondant aux art. 20 à 39 font aussi essentiellement partie des interdictions de nature criminelle prévues aux art. 5 à 13. Les dispositions relatives à la gestion de l’information </w:t>
      </w:r>
      <w:r w:rsidRPr="007B1AD2">
        <w:rPr>
          <w:rFonts w:cs="Times New Roman"/>
          <w:i/>
          <w:sz w:val="20"/>
          <w:szCs w:val="20"/>
          <w:lang w:val="fr-CA"/>
        </w:rPr>
        <w:t>—</w:t>
      </w:r>
      <w:r w:rsidRPr="007B1AD2">
        <w:rPr>
          <w:rFonts w:cs="Times New Roman"/>
          <w:sz w:val="20"/>
          <w:szCs w:val="20"/>
          <w:lang w:val="fr-CA"/>
        </w:rPr>
        <w:t xml:space="preserve"> les art. 14 à 19 </w:t>
      </w:r>
      <w:r w:rsidRPr="007B1AD2">
        <w:rPr>
          <w:rFonts w:cs="Times New Roman"/>
          <w:i/>
          <w:sz w:val="20"/>
          <w:szCs w:val="20"/>
          <w:lang w:val="fr-CA"/>
        </w:rPr>
        <w:t>—</w:t>
      </w:r>
      <w:r w:rsidRPr="007B1AD2">
        <w:rPr>
          <w:rFonts w:cs="Times New Roman"/>
          <w:sz w:val="20"/>
          <w:szCs w:val="20"/>
          <w:lang w:val="fr-CA"/>
        </w:rPr>
        <w:t xml:space="preserve"> et celles de mise en oeuvre </w:t>
      </w:r>
      <w:r w:rsidRPr="007B1AD2">
        <w:rPr>
          <w:rFonts w:cs="Times New Roman"/>
          <w:i/>
          <w:sz w:val="20"/>
          <w:szCs w:val="20"/>
          <w:lang w:val="fr-CA"/>
        </w:rPr>
        <w:t>—</w:t>
      </w:r>
      <w:r w:rsidRPr="007B1AD2">
        <w:rPr>
          <w:rFonts w:cs="Times New Roman"/>
          <w:sz w:val="20"/>
          <w:szCs w:val="20"/>
          <w:lang w:val="fr-CA"/>
        </w:rPr>
        <w:t xml:space="preserve"> les art. 40 à 44 </w:t>
      </w:r>
      <w:r w:rsidRPr="007B1AD2">
        <w:rPr>
          <w:rFonts w:cs="Times New Roman"/>
          <w:i/>
          <w:sz w:val="20"/>
          <w:szCs w:val="20"/>
          <w:lang w:val="fr-CA"/>
        </w:rPr>
        <w:t>—</w:t>
      </w:r>
      <w:r w:rsidRPr="007B1AD2">
        <w:rPr>
          <w:rFonts w:cs="Times New Roman"/>
          <w:sz w:val="20"/>
          <w:szCs w:val="20"/>
          <w:lang w:val="fr-CA"/>
        </w:rPr>
        <w:t xml:space="preserve"> constituent un empiètement minime sur la compétence provinciale.  Elles ressortissent généralement aux pouvoirs provinciaux sur la propriété et les droits civils et sur les matières d’une nature purement locale ou privée.  Cependant, s’agissant de chefs de compétence très étendus, l’empiétement est moins grave.  Qui plus est, les dispositions ne créent pas de droit substantiel, mais contribuent seulement à l’application de la Loi.  Sans le régime d’interdiction des art. 5 à 13, ces dispositions seraient sans objet.  Aussi, elles visent à compléter le régime législatif, et non à écarter le droit provincial.  Enfin, le Parlement a déjà, dans le passé, assuré au moyen d’organismes d’autorisation la mise en œuvre et le contrôle d’application de lois s’attaquant à la morale, à la santé et à la sécurité.  Comme les dispositions accessoires constituent un empiètement minime sur la compétence provinciale, il convient d’appliquer le critère du lien rationnel et fonctionnel pour déterminer si elles sont valides au regard de la doctrine des pouvoirs accessoires.</w:t>
      </w:r>
    </w:p>
    <w:p w:rsidR="007B1AD2" w:rsidRPr="007B1AD2" w:rsidRDefault="007B1AD2" w:rsidP="007B1AD2">
      <w:pPr>
        <w:pStyle w:val="ListParagraph"/>
        <w:spacing w:after="480"/>
        <w:ind w:left="0"/>
        <w:jc w:val="both"/>
        <w:rPr>
          <w:rFonts w:cs="Times New Roman"/>
          <w:sz w:val="20"/>
          <w:szCs w:val="20"/>
          <w:lang w:val="fr-CA"/>
        </w:rPr>
      </w:pPr>
    </w:p>
    <w:p w:rsidR="007B1AD2" w:rsidRPr="007B1AD2" w:rsidRDefault="007B1AD2" w:rsidP="007B1AD2">
      <w:pPr>
        <w:pStyle w:val="ListParagraph"/>
        <w:widowControl w:val="0"/>
        <w:ind w:left="0"/>
        <w:jc w:val="both"/>
        <w:rPr>
          <w:rFonts w:cs="Times New Roman"/>
          <w:sz w:val="20"/>
          <w:szCs w:val="20"/>
          <w:lang w:val="fr-CA"/>
        </w:rPr>
      </w:pPr>
      <w:r w:rsidRPr="007B1AD2">
        <w:rPr>
          <w:rFonts w:cs="Times New Roman"/>
          <w:sz w:val="20"/>
          <w:szCs w:val="20"/>
          <w:lang w:val="fr-CA"/>
        </w:rPr>
        <w:tab/>
        <w:t xml:space="preserve">Les articles 14 à 68 appuient le régime législatif d’une manière rationnelle quant à l’objet et fonctionnelle quant à l’effet.  Les articles 14 à 19 définissent les exigences applicables au consentement et à la protection des renseignements personnels, confient à l’Agence la gestion des renseignements personnels médicaux et assujettissent à des règles la profession médicale.  Ces dispositions encadrent la communication de renseignements, d’abord pour régler convenablement la question du consentement et les questions connexes touchant à la protection des renseignements personnels, puis pour faciliter le respect de la Loi.  Les articles 40 à 44 ont pour objet la délivrance d’autorisations pour l’exercice d’activités réglementées, ce qui est directement lié au fait d’interdire l’activité préjudiciable et immorale et de prévoir une exception pour l’activité bénéfique.  Les dispositions relatives à l’inspection et au contrôle d’application se trouvent aux art. 45 à 59 de la Loi et font également partie du régime interdisant l’utilisation immorale et potentiellement préjudiciable du matériel reproductif humain.  </w:t>
      </w:r>
      <w:r w:rsidRPr="007B1AD2">
        <w:rPr>
          <w:rFonts w:cs="Times New Roman"/>
          <w:spacing w:val="3"/>
          <w:sz w:val="20"/>
          <w:szCs w:val="20"/>
          <w:lang w:val="fr-CA"/>
        </w:rPr>
        <w:t xml:space="preserve">Les articles 60 et 61, qui </w:t>
      </w:r>
      <w:r w:rsidRPr="007B1AD2">
        <w:rPr>
          <w:rFonts w:cs="Times New Roman"/>
          <w:sz w:val="20"/>
          <w:szCs w:val="20"/>
          <w:lang w:val="fr-CA"/>
        </w:rPr>
        <w:t>prévoient des sanctions pénales, sont nécessaires à l’application de règles de droit criminel.  Enfin, l’art. 68 de la Loi permet au gouverneur en conseil de déclarer certaines dispositions de la Loi inapplicables dans une province dotée de dispositions équivalentes, moyennant un accord avec la province.  Cette disposition reconnaît que la procréation assistée est un domaine où les compétences se chevauchent et elle permet qu’un régime provincial équivalent s’applique en lieu et place du régime fédéral.  Les dispositions accessoires sont donc constitutionnelles au regard de la doctrine des pouvoirs accessoires.</w:t>
      </w:r>
    </w:p>
    <w:p w:rsidR="007B1AD2" w:rsidRPr="007B1AD2" w:rsidRDefault="007B1AD2" w:rsidP="007B1AD2">
      <w:pPr>
        <w:pStyle w:val="ListParagraph"/>
        <w:widowControl w:val="0"/>
        <w:tabs>
          <w:tab w:val="left" w:pos="1152"/>
        </w:tabs>
        <w:ind w:left="0"/>
        <w:jc w:val="both"/>
        <w:rPr>
          <w:rFonts w:cs="Times New Roman"/>
          <w:sz w:val="20"/>
          <w:szCs w:val="20"/>
          <w:lang w:val="fr-CA"/>
        </w:rPr>
      </w:pPr>
    </w:p>
    <w:p w:rsidR="007B1AD2" w:rsidRPr="007B1AD2" w:rsidRDefault="007B1AD2" w:rsidP="007B1AD2">
      <w:pPr>
        <w:jc w:val="both"/>
        <w:rPr>
          <w:rFonts w:cs="Times New Roman"/>
          <w:sz w:val="20"/>
          <w:szCs w:val="20"/>
          <w:lang w:val="fr-CA"/>
        </w:rPr>
      </w:pPr>
      <w:r w:rsidRPr="007B1AD2">
        <w:rPr>
          <w:rFonts w:cs="Times New Roman"/>
          <w:sz w:val="20"/>
          <w:szCs w:val="20"/>
          <w:lang w:val="fr-CA"/>
        </w:rPr>
        <w:tab/>
      </w:r>
      <w:r w:rsidRPr="007B1AD2">
        <w:rPr>
          <w:rFonts w:cs="Times New Roman"/>
          <w:i/>
          <w:sz w:val="20"/>
          <w:szCs w:val="20"/>
          <w:lang w:val="fr-CA"/>
        </w:rPr>
        <w:t>Les</w:t>
      </w:r>
      <w:r w:rsidRPr="007B1AD2">
        <w:rPr>
          <w:rFonts w:cs="Times New Roman"/>
          <w:sz w:val="20"/>
          <w:szCs w:val="20"/>
          <w:lang w:val="fr-CA"/>
        </w:rPr>
        <w:t xml:space="preserve"> juges </w:t>
      </w:r>
      <w:r w:rsidRPr="007B1AD2">
        <w:rPr>
          <w:rFonts w:cs="Times New Roman"/>
          <w:b/>
          <w:sz w:val="20"/>
          <w:szCs w:val="20"/>
          <w:lang w:val="fr-CA"/>
        </w:rPr>
        <w:t>LeBel</w:t>
      </w:r>
      <w:r w:rsidRPr="007B1AD2">
        <w:rPr>
          <w:rFonts w:cs="Times New Roman"/>
          <w:sz w:val="20"/>
          <w:szCs w:val="20"/>
          <w:lang w:val="fr-CA"/>
        </w:rPr>
        <w:t xml:space="preserve">, </w:t>
      </w:r>
      <w:r w:rsidRPr="007B1AD2">
        <w:rPr>
          <w:rFonts w:cs="Times New Roman"/>
          <w:b/>
          <w:sz w:val="20"/>
          <w:szCs w:val="20"/>
          <w:lang w:val="fr-CA"/>
        </w:rPr>
        <w:t>Deschamps</w:t>
      </w:r>
      <w:r w:rsidRPr="007B1AD2">
        <w:rPr>
          <w:rFonts w:cs="Times New Roman"/>
          <w:sz w:val="20"/>
          <w:szCs w:val="20"/>
          <w:lang w:val="fr-CA"/>
        </w:rPr>
        <w:t xml:space="preserve">, Abella et Rothstein : Les art. 8 à 19, 40 à 53, 60, 61 et 68 de la Loi excèdent la compétence législative conférée au Parlement du Canada par la </w:t>
      </w:r>
      <w:r w:rsidRPr="007B1AD2">
        <w:rPr>
          <w:rFonts w:cs="Times New Roman"/>
          <w:i/>
          <w:sz w:val="20"/>
          <w:szCs w:val="20"/>
          <w:lang w:val="fr-CA"/>
        </w:rPr>
        <w:t>Loi constitutionnelle de 1867</w:t>
      </w:r>
      <w:r w:rsidRPr="007B1AD2">
        <w:rPr>
          <w:rFonts w:cs="Times New Roman"/>
          <w:sz w:val="20"/>
          <w:szCs w:val="20"/>
          <w:lang w:val="fr-CA"/>
        </w:rPr>
        <w:t>.  Les dispositions de la Loi qui concernent les activités réglementées, c’est</w:t>
      </w:r>
      <w:r w:rsidRPr="007B1AD2">
        <w:rPr>
          <w:rFonts w:cs="Times New Roman"/>
          <w:sz w:val="20"/>
          <w:szCs w:val="20"/>
          <w:lang w:val="fr-CA"/>
        </w:rPr>
        <w:noBreakHyphen/>
        <w:t>à</w:t>
      </w:r>
      <w:r w:rsidRPr="007B1AD2">
        <w:rPr>
          <w:rFonts w:cs="Times New Roman"/>
          <w:sz w:val="20"/>
          <w:szCs w:val="20"/>
          <w:lang w:val="fr-CA"/>
        </w:rPr>
        <w:noBreakHyphen/>
        <w:t xml:space="preserve">dire l’assistance à la procréation et les activités de recherche connexes, ne relèvent pas du droit criminel, mais plutôt de la compétence des provinces sur les hôpitaux, la propriété et les droits civils et les matières d’une nature purement locale. </w:t>
      </w:r>
    </w:p>
    <w:p w:rsidR="007B1AD2" w:rsidRPr="007B1AD2" w:rsidRDefault="007B1AD2" w:rsidP="007B1AD2">
      <w:pPr>
        <w:rPr>
          <w:rFonts w:cs="Times New Roman"/>
          <w:sz w:val="20"/>
          <w:szCs w:val="20"/>
          <w:lang w:val="fr-CA"/>
        </w:rPr>
      </w:pPr>
    </w:p>
    <w:p w:rsidR="007B1AD2" w:rsidRPr="007B1AD2" w:rsidRDefault="007B1AD2" w:rsidP="007B1AD2">
      <w:pPr>
        <w:jc w:val="both"/>
        <w:rPr>
          <w:rFonts w:cs="Times New Roman"/>
          <w:sz w:val="20"/>
          <w:szCs w:val="20"/>
          <w:lang w:val="fr-CA"/>
        </w:rPr>
      </w:pPr>
      <w:r w:rsidRPr="007B1AD2">
        <w:rPr>
          <w:rFonts w:cs="Times New Roman"/>
          <w:sz w:val="20"/>
          <w:szCs w:val="20"/>
          <w:lang w:val="fr-CA"/>
        </w:rPr>
        <w:tab/>
        <w:t>La première étape de l’analyse constitutionnelle consiste à déterminer le caractère véritable (objet et effets) des dispositions contestées.  Celles</w:t>
      </w:r>
      <w:r w:rsidRPr="007B1AD2">
        <w:rPr>
          <w:rFonts w:cs="Times New Roman"/>
          <w:sz w:val="20"/>
          <w:szCs w:val="20"/>
          <w:lang w:val="fr-CA"/>
        </w:rPr>
        <w:noBreakHyphen/>
        <w:t xml:space="preserve">ci doivent être étudiées séparément, avant d’examiner le lien qu’elles entretiennent avec les autres dispositions de la Loi, car l’objet et l’effet des nombreuses dispositions d’une loi peuvent être différents.  Il importe aussi de déterminer avec le plus de précision possible ce caractère véritable, car une formulation floue entraînerait un risque non seulement de dilution et de confusion des doctrines constitutionnelles, mais aussi d’érosion du champ d’action des compétences provinciales en raison de la doctrine de la prépondérance fédérale.  Si le caractère véritable des dispositions relève de l’autre ordre de gouvernement, il faut d’abord évaluer l’étendue du débordement en fonction de l’objet </w:t>
      </w:r>
      <w:r w:rsidRPr="007B1AD2">
        <w:rPr>
          <w:rFonts w:cs="Times New Roman"/>
          <w:color w:val="000000"/>
          <w:sz w:val="20"/>
          <w:szCs w:val="20"/>
          <w:lang w:val="fr-CA"/>
        </w:rPr>
        <w:t xml:space="preserve">des dispositions </w:t>
      </w:r>
      <w:r w:rsidRPr="007B1AD2">
        <w:rPr>
          <w:rFonts w:cs="Times New Roman"/>
          <w:sz w:val="20"/>
          <w:szCs w:val="20"/>
          <w:lang w:val="fr-CA"/>
        </w:rPr>
        <w:t xml:space="preserve">et </w:t>
      </w:r>
      <w:r w:rsidRPr="007B1AD2">
        <w:rPr>
          <w:rFonts w:cs="Times New Roman"/>
          <w:color w:val="000000"/>
          <w:sz w:val="20"/>
          <w:szCs w:val="20"/>
          <w:lang w:val="fr-CA"/>
        </w:rPr>
        <w:t>mesurer l</w:t>
      </w:r>
      <w:r w:rsidRPr="007B1AD2">
        <w:rPr>
          <w:rFonts w:cs="Times New Roman"/>
          <w:sz w:val="20"/>
          <w:szCs w:val="20"/>
          <w:lang w:val="fr-CA"/>
        </w:rPr>
        <w:t xml:space="preserve">es effets </w:t>
      </w:r>
      <w:r w:rsidRPr="007B1AD2">
        <w:rPr>
          <w:rFonts w:cs="Times New Roman"/>
          <w:color w:val="000000"/>
          <w:sz w:val="20"/>
          <w:szCs w:val="20"/>
          <w:lang w:val="fr-CA"/>
        </w:rPr>
        <w:t>de celles</w:t>
      </w:r>
      <w:r w:rsidRPr="007B1AD2">
        <w:rPr>
          <w:rFonts w:cs="Times New Roman"/>
          <w:color w:val="000000"/>
          <w:sz w:val="20"/>
          <w:szCs w:val="20"/>
          <w:lang w:val="fr-CA"/>
        </w:rPr>
        <w:noBreakHyphen/>
        <w:t>ci</w:t>
      </w:r>
      <w:r w:rsidRPr="007B1AD2">
        <w:rPr>
          <w:rFonts w:cs="Times New Roman"/>
          <w:sz w:val="20"/>
          <w:szCs w:val="20"/>
          <w:lang w:val="fr-CA"/>
        </w:rPr>
        <w:t>.  Il faut ensuite vérifier si les dispositions s’insèrent dans une loi par ailleurs valide.  Finalement, on doit considérer les dispositions contestées dans le contexte de l’ensemble de la loi pour déterminer si elles sont suffisamment intégrées aux autres dispositions de la loi par ailleurs valides.  Cet examen doit permettre d’établir un rapport entre l’</w:t>
      </w:r>
      <w:r w:rsidRPr="007B1AD2">
        <w:rPr>
          <w:rFonts w:cs="Times New Roman"/>
          <w:color w:val="000000"/>
          <w:sz w:val="20"/>
          <w:szCs w:val="20"/>
          <w:lang w:val="fr-CA"/>
        </w:rPr>
        <w:t>étendue</w:t>
      </w:r>
      <w:r w:rsidRPr="007B1AD2">
        <w:rPr>
          <w:rFonts w:cs="Times New Roman"/>
          <w:sz w:val="20"/>
          <w:szCs w:val="20"/>
          <w:lang w:val="fr-CA"/>
        </w:rPr>
        <w:t xml:space="preserve"> du débordement de compétence et </w:t>
      </w:r>
      <w:r w:rsidRPr="007B1AD2">
        <w:rPr>
          <w:rFonts w:cs="Times New Roman"/>
          <w:color w:val="000000"/>
          <w:sz w:val="20"/>
          <w:szCs w:val="20"/>
          <w:lang w:val="fr-CA"/>
        </w:rPr>
        <w:t>l’importance</w:t>
      </w:r>
      <w:r w:rsidRPr="007B1AD2">
        <w:rPr>
          <w:rFonts w:cs="Times New Roman"/>
          <w:sz w:val="20"/>
          <w:szCs w:val="20"/>
          <w:lang w:val="fr-CA"/>
        </w:rPr>
        <w:t xml:space="preserve"> des dispositions elles</w:t>
      </w:r>
      <w:r w:rsidRPr="007B1AD2">
        <w:rPr>
          <w:rFonts w:cs="Times New Roman"/>
          <w:sz w:val="20"/>
          <w:szCs w:val="20"/>
          <w:lang w:val="fr-CA"/>
        </w:rPr>
        <w:noBreakHyphen/>
        <w:t>mêmes au sein de la loi dont elles font partie.  Deux notions s’appliquent : fonctionnalité et nécessité.  Plus les dispositions seront nécessaires à l’efficacité des normes figurant dans la partie non contestable de la loi, plus la marge de tolérance du débordement sera grande.  Le souci du maintien de l’équilibre fédératif doit être présent à chacune des étapes de l’analyse constitutionnelle.</w:t>
      </w:r>
    </w:p>
    <w:p w:rsidR="007B1AD2" w:rsidRPr="007B1AD2" w:rsidRDefault="007B1AD2" w:rsidP="007B1AD2">
      <w:pPr>
        <w:rPr>
          <w:rFonts w:cs="Times New Roman"/>
          <w:sz w:val="20"/>
          <w:szCs w:val="20"/>
          <w:lang w:val="fr-CA"/>
        </w:rPr>
      </w:pPr>
    </w:p>
    <w:p w:rsidR="007B1AD2" w:rsidRPr="007B1AD2" w:rsidRDefault="007B1AD2" w:rsidP="007B1AD2">
      <w:pPr>
        <w:jc w:val="both"/>
        <w:rPr>
          <w:rFonts w:cs="Times New Roman"/>
          <w:sz w:val="20"/>
          <w:szCs w:val="20"/>
          <w:lang w:val="fr-CA"/>
        </w:rPr>
      </w:pPr>
      <w:r w:rsidRPr="007B1AD2">
        <w:rPr>
          <w:rFonts w:cs="Times New Roman"/>
          <w:sz w:val="20"/>
          <w:szCs w:val="20"/>
          <w:lang w:val="fr-CA"/>
        </w:rPr>
        <w:lastRenderedPageBreak/>
        <w:tab/>
        <w:t xml:space="preserve">En l’espèce, l’objet et les effets des dispositions contestées sont de réglementer un secteur particulier des services de santé dispensés dans des établissements de soins de santé par des professionnels au bénéfice de personnes qui, pour des raisons pathologiques ou physiologiques, ont besoin d’aide pour procréer.  Leur caractère véritable est la réglementation de la procréation assistée en tant que service de santé.  La Loi fait </w:t>
      </w:r>
      <w:r w:rsidRPr="007B1AD2">
        <w:rPr>
          <w:rFonts w:cs="Times New Roman"/>
          <w:color w:val="000000"/>
          <w:sz w:val="20"/>
          <w:szCs w:val="20"/>
          <w:lang w:val="fr-CA"/>
        </w:rPr>
        <w:t>des</w:t>
      </w:r>
      <w:r w:rsidRPr="007B1AD2">
        <w:rPr>
          <w:rFonts w:cs="Times New Roman"/>
          <w:sz w:val="20"/>
          <w:szCs w:val="20"/>
          <w:lang w:val="fr-CA"/>
        </w:rPr>
        <w:t xml:space="preserve"> distinction</w:t>
      </w:r>
      <w:r w:rsidRPr="007B1AD2">
        <w:rPr>
          <w:rFonts w:cs="Times New Roman"/>
          <w:color w:val="000000"/>
          <w:sz w:val="20"/>
          <w:szCs w:val="20"/>
          <w:lang w:val="fr-CA"/>
        </w:rPr>
        <w:t xml:space="preserve">s matérielles et formelles </w:t>
      </w:r>
      <w:r w:rsidRPr="007B1AD2">
        <w:rPr>
          <w:rFonts w:cs="Times New Roman"/>
          <w:sz w:val="20"/>
          <w:szCs w:val="20"/>
          <w:lang w:val="fr-CA"/>
        </w:rPr>
        <w:t>entre les actes interdits et les activités réglement</w:t>
      </w:r>
      <w:r w:rsidRPr="007B1AD2">
        <w:rPr>
          <w:rFonts w:cs="Times New Roman"/>
          <w:color w:val="000000"/>
          <w:sz w:val="20"/>
          <w:szCs w:val="20"/>
          <w:lang w:val="fr-CA"/>
        </w:rPr>
        <w:t>ées</w:t>
      </w:r>
      <w:r w:rsidRPr="007B1AD2">
        <w:rPr>
          <w:rFonts w:cs="Times New Roman"/>
          <w:sz w:val="20"/>
          <w:szCs w:val="20"/>
          <w:lang w:val="fr-CA"/>
        </w:rPr>
        <w:t>.  Cette dichotomie ressort de l’énoncé de principes du Parlement à l’art. 2 et des titres employés dans la loi elle</w:t>
      </w:r>
      <w:r w:rsidRPr="007B1AD2">
        <w:rPr>
          <w:rFonts w:cs="Times New Roman"/>
          <w:sz w:val="20"/>
          <w:szCs w:val="20"/>
          <w:lang w:val="fr-CA"/>
        </w:rPr>
        <w:noBreakHyphen/>
        <w:t xml:space="preserve">même.  De plus, alors que les activités réglementées visent des services dont peuvent bénéficier les personnes qui ont besoin d’assistance en raison de leur incapacité à procréer et auxquels ont recours les professionnels qui fournissent l’aide requise, les actes interdits </w:t>
      </w:r>
      <w:r w:rsidRPr="007B1AD2">
        <w:rPr>
          <w:rFonts w:cs="Times New Roman"/>
          <w:color w:val="000000"/>
          <w:sz w:val="20"/>
          <w:szCs w:val="20"/>
          <w:lang w:val="fr-CA"/>
        </w:rPr>
        <w:t xml:space="preserve">totalement </w:t>
      </w:r>
      <w:r w:rsidRPr="007B1AD2">
        <w:rPr>
          <w:rFonts w:cs="Times New Roman"/>
          <w:sz w:val="20"/>
          <w:szCs w:val="20"/>
          <w:lang w:val="fr-CA"/>
        </w:rPr>
        <w:t xml:space="preserve">ne sont pas des techniques utilisées pour la procréation assistée.  L’objet des dispositions contestées n’est pas </w:t>
      </w:r>
      <w:r w:rsidRPr="007B1AD2">
        <w:rPr>
          <w:rFonts w:cs="Times New Roman"/>
          <w:color w:val="000000"/>
          <w:sz w:val="20"/>
          <w:szCs w:val="20"/>
          <w:lang w:val="fr-CA"/>
        </w:rPr>
        <w:t>le même que</w:t>
      </w:r>
      <w:r w:rsidRPr="007B1AD2">
        <w:rPr>
          <w:rFonts w:cs="Times New Roman"/>
          <w:sz w:val="20"/>
          <w:szCs w:val="20"/>
          <w:lang w:val="fr-CA"/>
        </w:rPr>
        <w:t xml:space="preserve"> celui des dispositions non contestées.  Les dispositions contestées visent à établir des normes impératives nationales en matière de procréation assistée.  L’historique législatif démontre que </w:t>
      </w:r>
      <w:r w:rsidRPr="007B1AD2">
        <w:rPr>
          <w:rFonts w:cs="Times New Roman"/>
          <w:color w:val="000000"/>
          <w:sz w:val="20"/>
          <w:szCs w:val="20"/>
          <w:lang w:val="fr-CA"/>
        </w:rPr>
        <w:t xml:space="preserve">ce moyen était celui que le Parlement jugeait le plus efficace pour garantir les avantages que présentent, pour les individus, les familles et la société en général, la procréation assistée et la recherche dans le domaine.  </w:t>
      </w:r>
      <w:r w:rsidRPr="007B1AD2">
        <w:rPr>
          <w:rFonts w:cs="Times New Roman"/>
          <w:sz w:val="20"/>
          <w:szCs w:val="20"/>
          <w:lang w:val="fr-CA"/>
        </w:rPr>
        <w:t xml:space="preserve">En encadrant les activités dites réglementées, le Parlement </w:t>
      </w:r>
      <w:r w:rsidRPr="007B1AD2">
        <w:rPr>
          <w:rFonts w:cs="Times New Roman"/>
          <w:color w:val="000000"/>
          <w:sz w:val="20"/>
          <w:szCs w:val="20"/>
          <w:lang w:val="fr-CA"/>
        </w:rPr>
        <w:t xml:space="preserve">a tenu compte des préoccupations éthiques, morales et de sécurité exprimées relativement à la procréation assistée et il a </w:t>
      </w:r>
      <w:r w:rsidRPr="007B1AD2">
        <w:rPr>
          <w:rFonts w:cs="Times New Roman"/>
          <w:sz w:val="20"/>
          <w:szCs w:val="20"/>
          <w:lang w:val="fr-CA"/>
        </w:rPr>
        <w:t>entend</w:t>
      </w:r>
      <w:r w:rsidRPr="007B1AD2">
        <w:rPr>
          <w:rFonts w:cs="Times New Roman"/>
          <w:color w:val="000000"/>
          <w:sz w:val="20"/>
          <w:szCs w:val="20"/>
          <w:lang w:val="fr-CA"/>
        </w:rPr>
        <w:t>u</w:t>
      </w:r>
      <w:r w:rsidRPr="007B1AD2">
        <w:rPr>
          <w:rFonts w:cs="Times New Roman"/>
          <w:sz w:val="20"/>
          <w:szCs w:val="20"/>
          <w:lang w:val="fr-CA"/>
        </w:rPr>
        <w:t xml:space="preserve"> donner suite à une recommandation de la Commission Baird</w:t>
      </w:r>
      <w:r w:rsidRPr="007B1AD2">
        <w:rPr>
          <w:rFonts w:cs="Times New Roman"/>
          <w:color w:val="000000"/>
          <w:sz w:val="20"/>
          <w:szCs w:val="20"/>
          <w:lang w:val="fr-CA"/>
        </w:rPr>
        <w:t xml:space="preserve"> afin que les Canadiens et Canadiennes puissent avoir accès à des services d’assistance à la procréation</w:t>
      </w:r>
      <w:r w:rsidRPr="007B1AD2">
        <w:rPr>
          <w:rFonts w:cs="Times New Roman"/>
          <w:sz w:val="20"/>
          <w:szCs w:val="20"/>
          <w:lang w:val="fr-CA"/>
        </w:rPr>
        <w:t>.</w:t>
      </w:r>
      <w:r w:rsidRPr="007B1AD2">
        <w:rPr>
          <w:rFonts w:cs="Times New Roman"/>
          <w:color w:val="000000"/>
          <w:sz w:val="20"/>
          <w:szCs w:val="20"/>
          <w:lang w:val="fr-CA"/>
        </w:rPr>
        <w:t xml:space="preserve">  Quant aux actes prohibés totalement,</w:t>
      </w:r>
      <w:r w:rsidRPr="007B1AD2">
        <w:rPr>
          <w:rFonts w:cs="Times New Roman"/>
          <w:sz w:val="20"/>
          <w:szCs w:val="20"/>
          <w:lang w:val="fr-CA"/>
        </w:rPr>
        <w:t xml:space="preserve"> l</w:t>
      </w:r>
      <w:r w:rsidRPr="007B1AD2">
        <w:rPr>
          <w:rFonts w:cs="Times New Roman"/>
          <w:color w:val="000000"/>
          <w:sz w:val="20"/>
          <w:szCs w:val="20"/>
          <w:lang w:val="fr-CA"/>
        </w:rPr>
        <w:t xml:space="preserve">e Parlement a réagi à ce qui lui a été présenté comme </w:t>
      </w:r>
      <w:r w:rsidRPr="007B1AD2">
        <w:rPr>
          <w:rFonts w:cs="Times New Roman"/>
          <w:sz w:val="20"/>
          <w:szCs w:val="20"/>
          <w:lang w:val="fr-CA"/>
        </w:rPr>
        <w:t xml:space="preserve">un consensus </w:t>
      </w:r>
      <w:r w:rsidRPr="007B1AD2">
        <w:rPr>
          <w:rFonts w:cs="Times New Roman"/>
          <w:color w:val="000000"/>
          <w:sz w:val="20"/>
          <w:szCs w:val="20"/>
          <w:lang w:val="fr-CA"/>
        </w:rPr>
        <w:t xml:space="preserve">sur leur </w:t>
      </w:r>
      <w:r w:rsidRPr="007B1AD2">
        <w:rPr>
          <w:rFonts w:cs="Times New Roman"/>
          <w:sz w:val="20"/>
          <w:szCs w:val="20"/>
          <w:lang w:val="fr-CA"/>
        </w:rPr>
        <w:t>caractère répréhensible</w:t>
      </w:r>
      <w:r w:rsidRPr="007B1AD2">
        <w:rPr>
          <w:rFonts w:cs="Times New Roman"/>
          <w:color w:val="000000"/>
          <w:sz w:val="20"/>
          <w:szCs w:val="20"/>
          <w:lang w:val="fr-CA"/>
        </w:rPr>
        <w:t>.</w:t>
      </w:r>
      <w:r w:rsidRPr="007B1AD2">
        <w:rPr>
          <w:rFonts w:cs="Times New Roman"/>
          <w:sz w:val="20"/>
          <w:szCs w:val="20"/>
          <w:lang w:val="fr-CA"/>
        </w:rPr>
        <w:t xml:space="preserve">  </w:t>
      </w:r>
      <w:r w:rsidRPr="007B1AD2">
        <w:rPr>
          <w:rFonts w:cs="Times New Roman"/>
          <w:color w:val="000000"/>
          <w:sz w:val="20"/>
          <w:szCs w:val="20"/>
          <w:lang w:val="fr-CA"/>
        </w:rPr>
        <w:t>Les prohibitions visent ainsi à empêcher l’exécution d’actes et l’utilisation de techniques qui ne s’insèrent pas dans le processus de recherche génétique ou de procréation assistée.</w:t>
      </w:r>
    </w:p>
    <w:p w:rsidR="007B1AD2" w:rsidRPr="007B1AD2" w:rsidRDefault="007B1AD2" w:rsidP="007B1AD2">
      <w:pPr>
        <w:rPr>
          <w:rFonts w:cs="Times New Roman"/>
          <w:sz w:val="20"/>
          <w:szCs w:val="20"/>
          <w:lang w:val="fr-CA"/>
        </w:rPr>
      </w:pPr>
    </w:p>
    <w:p w:rsidR="007B1AD2" w:rsidRPr="007B1AD2" w:rsidRDefault="007B1AD2" w:rsidP="007B1AD2">
      <w:pPr>
        <w:jc w:val="both"/>
        <w:rPr>
          <w:rFonts w:cs="Times New Roman"/>
          <w:sz w:val="20"/>
          <w:szCs w:val="20"/>
          <w:lang w:val="fr-CA"/>
        </w:rPr>
      </w:pPr>
      <w:r w:rsidRPr="007B1AD2">
        <w:rPr>
          <w:rFonts w:cs="Times New Roman"/>
          <w:sz w:val="20"/>
          <w:szCs w:val="20"/>
          <w:lang w:val="fr-CA"/>
        </w:rPr>
        <w:tab/>
        <w:t xml:space="preserve">L’examen des effets des dispositions de la Loi confirme que le régime contesté affecte sérieusement l’exercice de la médecine et chevauche un grand nombre de lois et de règlements québécois ou entre en conflit avec eux.  </w:t>
      </w:r>
      <w:r w:rsidRPr="007B1AD2">
        <w:rPr>
          <w:rFonts w:cs="Times New Roman"/>
          <w:color w:val="000000"/>
          <w:sz w:val="20"/>
          <w:szCs w:val="20"/>
          <w:lang w:val="fr-CA"/>
        </w:rPr>
        <w:t>L</w:t>
      </w:r>
      <w:r w:rsidRPr="007B1AD2">
        <w:rPr>
          <w:rFonts w:cs="Times New Roman"/>
          <w:sz w:val="20"/>
          <w:szCs w:val="20"/>
          <w:lang w:val="fr-CA"/>
        </w:rPr>
        <w:t xml:space="preserve">es dispositions </w:t>
      </w:r>
      <w:r w:rsidRPr="007B1AD2">
        <w:rPr>
          <w:rFonts w:cs="Times New Roman"/>
          <w:color w:val="000000"/>
          <w:sz w:val="20"/>
          <w:szCs w:val="20"/>
          <w:lang w:val="fr-CA"/>
        </w:rPr>
        <w:t xml:space="preserve">contestées touchent </w:t>
      </w:r>
      <w:r w:rsidRPr="007B1AD2">
        <w:rPr>
          <w:rFonts w:cs="Times New Roman"/>
          <w:sz w:val="20"/>
          <w:szCs w:val="20"/>
          <w:lang w:val="fr-CA"/>
        </w:rPr>
        <w:t>direct</w:t>
      </w:r>
      <w:r w:rsidRPr="007B1AD2">
        <w:rPr>
          <w:rFonts w:cs="Times New Roman"/>
          <w:color w:val="000000"/>
          <w:sz w:val="20"/>
          <w:szCs w:val="20"/>
          <w:lang w:val="fr-CA"/>
        </w:rPr>
        <w:t>ement</w:t>
      </w:r>
      <w:r w:rsidRPr="007B1AD2">
        <w:rPr>
          <w:rFonts w:cs="Times New Roman"/>
          <w:sz w:val="20"/>
          <w:szCs w:val="20"/>
          <w:lang w:val="fr-CA"/>
        </w:rPr>
        <w:t xml:space="preserve"> la relation entre le médecin appelé à recourir aux techniques de procréation assistée, le donneur et le patient.  L’article 8 prescrit des règles applicables au consentement au prélèvement et à l’usage du matériel reproductif humain alors que des règles relatives au consentement existent déjà dans le </w:t>
      </w:r>
      <w:r w:rsidRPr="007B1AD2">
        <w:rPr>
          <w:rFonts w:cs="Times New Roman"/>
          <w:i/>
          <w:sz w:val="20"/>
          <w:szCs w:val="20"/>
          <w:lang w:val="fr-CA"/>
        </w:rPr>
        <w:t>Code civil du Québec</w:t>
      </w:r>
      <w:r w:rsidRPr="007B1AD2">
        <w:rPr>
          <w:rFonts w:cs="Times New Roman"/>
          <w:sz w:val="20"/>
          <w:szCs w:val="20"/>
          <w:lang w:val="fr-CA"/>
        </w:rPr>
        <w:t xml:space="preserve">.  De même, l’art. 12 autorise implicitement la conclusion d’un contrat de mère porteuse, alors que ce type de relation contractuelle est déclaré nul par le </w:t>
      </w:r>
      <w:r w:rsidRPr="007B1AD2">
        <w:rPr>
          <w:rFonts w:cs="Times New Roman"/>
          <w:i/>
          <w:sz w:val="20"/>
          <w:szCs w:val="20"/>
          <w:lang w:val="fr-CA"/>
        </w:rPr>
        <w:t>Code</w:t>
      </w:r>
      <w:r w:rsidRPr="007B1AD2">
        <w:rPr>
          <w:rFonts w:cs="Times New Roman"/>
          <w:sz w:val="20"/>
          <w:szCs w:val="20"/>
          <w:lang w:val="fr-CA"/>
        </w:rPr>
        <w:t xml:space="preserve">.  Par ailleurs, les art. 10, 11 et 13, ainsi que le par. 40(1) et l’art. 42 obligent les chercheurs et les médecins qui accomplissent des actes liés aux traitements contre l’infertilité d’obtenir une autorisation de l’Agence fédérale, alors que l’obligation d’obtenir un permis est déjà imposée par d’autres lois québécoises.  Les articles 14 à 19 instaurent un système de gestion et de communication de l’information concernant les pratiques de procréation assistée, mais au Québec, de telles règles régissent déjà les établissements de santé et les médecins lorsqu’ils ont recours aux techniques de procréation assistée, et la communication de l’information confidentielle est aussi régie par un grand nombre de textes législatifs québécois.  Enfin, la surveillance exercée par l’Agence fédérale en vertu des art. 45 à 53 fait double emploi avec celle découlant de l’application d’autres lois québécoises. </w:t>
      </w:r>
    </w:p>
    <w:p w:rsidR="007B1AD2" w:rsidRPr="007B1AD2" w:rsidRDefault="007B1AD2" w:rsidP="007B1AD2">
      <w:pPr>
        <w:pStyle w:val="ListParagraph"/>
        <w:tabs>
          <w:tab w:val="left" w:pos="1152"/>
        </w:tabs>
        <w:ind w:left="0"/>
        <w:jc w:val="both"/>
        <w:rPr>
          <w:rFonts w:eastAsiaTheme="minorEastAsia" w:cs="Times New Roman"/>
          <w:sz w:val="20"/>
          <w:szCs w:val="20"/>
          <w:lang w:val="fr-CA"/>
        </w:rPr>
      </w:pPr>
    </w:p>
    <w:p w:rsidR="007B1AD2" w:rsidRPr="007B1AD2" w:rsidRDefault="007B1AD2" w:rsidP="007B1AD2">
      <w:pPr>
        <w:jc w:val="both"/>
        <w:rPr>
          <w:rFonts w:cs="Times New Roman"/>
          <w:color w:val="000000"/>
          <w:sz w:val="20"/>
          <w:szCs w:val="20"/>
          <w:lang w:val="fr-CA"/>
        </w:rPr>
      </w:pPr>
      <w:r w:rsidRPr="007B1AD2">
        <w:rPr>
          <w:rFonts w:cs="Times New Roman"/>
          <w:sz w:val="20"/>
          <w:szCs w:val="20"/>
          <w:lang w:val="fr-CA"/>
        </w:rPr>
        <w:tab/>
        <w:t>Les dispositions contestées, considérées sous l’angle de leur caractère véritable, ne se rattachent pas à la compétence fédérale sur le droit criminel.  La compétence en droit criminel ne confère pas au Parlement un droit inconditionnel d’intervenir pour protéger la morale, la sécurité et la santé publique.  Pour être rattachée à ce chef de compétence fédérale, une loi ou une disposition doit (1) réprimer un mal, (2) énoncer une interdiction et (3) accompagner cette interdiction d’une sanction.  I</w:t>
      </w:r>
      <w:r w:rsidRPr="007B1AD2">
        <w:rPr>
          <w:rFonts w:cs="Times New Roman"/>
          <w:color w:val="000000"/>
          <w:sz w:val="20"/>
          <w:szCs w:val="20"/>
          <w:lang w:val="fr-CA"/>
        </w:rPr>
        <w:t>l n’est pas suffisant d’identifier une fin publique qui aurait justifié l’intervention du Parlement.</w:t>
      </w:r>
      <w:r w:rsidRPr="007B1AD2">
        <w:rPr>
          <w:rFonts w:cs="Times New Roman"/>
          <w:sz w:val="20"/>
          <w:szCs w:val="20"/>
          <w:lang w:val="fr-CA"/>
        </w:rPr>
        <w:t xml:space="preserve">  </w:t>
      </w:r>
      <w:r w:rsidRPr="007B1AD2">
        <w:rPr>
          <w:rFonts w:cs="Times New Roman"/>
          <w:color w:val="000000"/>
          <w:sz w:val="20"/>
          <w:szCs w:val="20"/>
          <w:lang w:val="fr-CA"/>
        </w:rPr>
        <w:t>Encore faut</w:t>
      </w:r>
      <w:r w:rsidRPr="007B1AD2">
        <w:rPr>
          <w:rFonts w:cs="Times New Roman"/>
          <w:color w:val="000000"/>
          <w:sz w:val="20"/>
          <w:szCs w:val="20"/>
          <w:lang w:val="fr-CA"/>
        </w:rPr>
        <w:noBreakHyphen/>
        <w:t xml:space="preserve">il qu’il s’agisse de la répression d’un mal ou de la protection d’intérêts menacés. </w:t>
      </w:r>
      <w:r w:rsidRPr="007B1AD2">
        <w:rPr>
          <w:rFonts w:cs="Times New Roman"/>
          <w:sz w:val="20"/>
          <w:szCs w:val="20"/>
          <w:lang w:val="fr-CA"/>
        </w:rPr>
        <w:t xml:space="preserve"> L</w:t>
      </w:r>
      <w:r w:rsidRPr="007B1AD2">
        <w:rPr>
          <w:rFonts w:cs="Times New Roman"/>
          <w:color w:val="000000"/>
          <w:sz w:val="20"/>
          <w:szCs w:val="20"/>
          <w:lang w:val="fr-CA"/>
        </w:rPr>
        <w:t xml:space="preserve">e mal doit être réel et </w:t>
      </w:r>
      <w:r w:rsidRPr="007B1AD2">
        <w:rPr>
          <w:rFonts w:cs="Times New Roman"/>
          <w:sz w:val="20"/>
          <w:szCs w:val="20"/>
          <w:lang w:val="fr-CA"/>
        </w:rPr>
        <w:t xml:space="preserve">l’appréhension du préjudice doit être raisonnable.  Cette exigence constitue une composante essentielle du volet matériel de la définition du droit criminel, et elle se pose tout autant lorsque l’intervention législative est fondée sur la morale.  Le recours au pouvoir de légiférer en matière de droit criminel ne saurait se fonder simplement sur un souci d’efficacité ou d’uniformité, puisqu’un tel objet, pris isolément, ne relève pas du droit criminel.  En l’espèce, si le caractère véritable des </w:t>
      </w:r>
      <w:r w:rsidRPr="007B1AD2">
        <w:rPr>
          <w:rFonts w:cs="Times New Roman"/>
          <w:color w:val="000000"/>
          <w:sz w:val="20"/>
          <w:szCs w:val="20"/>
          <w:lang w:val="fr-CA"/>
        </w:rPr>
        <w:t xml:space="preserve">prohibitions absolues </w:t>
      </w:r>
      <w:r w:rsidRPr="007B1AD2">
        <w:rPr>
          <w:rFonts w:cs="Times New Roman"/>
          <w:sz w:val="20"/>
          <w:szCs w:val="20"/>
          <w:lang w:val="fr-CA"/>
        </w:rPr>
        <w:t xml:space="preserve">peut être lié à un risque de préjudice, il n’en va pas de même de la réglementation des autres activités et du régime de contrôle mis en place par la Loi.  Le dossier ne fait état d’aucun </w:t>
      </w:r>
      <w:r w:rsidRPr="007B1AD2">
        <w:rPr>
          <w:rFonts w:cs="Times New Roman"/>
          <w:color w:val="000000"/>
          <w:sz w:val="20"/>
          <w:szCs w:val="20"/>
          <w:lang w:val="fr-CA"/>
        </w:rPr>
        <w:t>élément</w:t>
      </w:r>
      <w:r w:rsidRPr="007B1AD2">
        <w:rPr>
          <w:rFonts w:cs="Times New Roman"/>
          <w:sz w:val="20"/>
          <w:szCs w:val="20"/>
          <w:lang w:val="fr-CA"/>
        </w:rPr>
        <w:t xml:space="preserve"> qui assimilerait les activités réglementées à des actes répréhensibles ou présentant des risques graves pour la morale, la sécurité ou la santé publique.  </w:t>
      </w:r>
      <w:r w:rsidRPr="007B1AD2">
        <w:rPr>
          <w:rFonts w:cs="Times New Roman"/>
          <w:color w:val="000000"/>
          <w:sz w:val="20"/>
          <w:szCs w:val="20"/>
          <w:lang w:val="fr-CA"/>
        </w:rPr>
        <w:t>L</w:t>
      </w:r>
      <w:r w:rsidRPr="007B1AD2">
        <w:rPr>
          <w:rFonts w:cs="Times New Roman"/>
          <w:sz w:val="20"/>
          <w:szCs w:val="20"/>
          <w:lang w:val="fr-CA"/>
        </w:rPr>
        <w:t>’examen de l’ensemble des travaux de la Commission Baird</w:t>
      </w:r>
      <w:r w:rsidRPr="007B1AD2">
        <w:rPr>
          <w:rFonts w:cs="Times New Roman"/>
          <w:color w:val="000000"/>
          <w:sz w:val="20"/>
          <w:szCs w:val="20"/>
          <w:lang w:val="fr-CA"/>
        </w:rPr>
        <w:t xml:space="preserve"> et</w:t>
      </w:r>
      <w:r w:rsidRPr="007B1AD2">
        <w:rPr>
          <w:rFonts w:cs="Times New Roman"/>
          <w:sz w:val="20"/>
          <w:szCs w:val="20"/>
          <w:lang w:val="fr-CA"/>
        </w:rPr>
        <w:t xml:space="preserve"> </w:t>
      </w:r>
      <w:r w:rsidRPr="007B1AD2">
        <w:rPr>
          <w:rFonts w:cs="Times New Roman"/>
          <w:color w:val="000000"/>
          <w:sz w:val="20"/>
          <w:szCs w:val="20"/>
          <w:lang w:val="fr-CA"/>
        </w:rPr>
        <w:t xml:space="preserve">de la preuve </w:t>
      </w:r>
      <w:r w:rsidRPr="007B1AD2">
        <w:rPr>
          <w:rFonts w:cs="Times New Roman"/>
          <w:sz w:val="20"/>
          <w:szCs w:val="20"/>
          <w:lang w:val="fr-CA"/>
        </w:rPr>
        <w:t>confirme que l’intervention du Parlement, en ce qui a trait a</w:t>
      </w:r>
      <w:r w:rsidRPr="007B1AD2">
        <w:rPr>
          <w:rFonts w:cs="Times New Roman"/>
          <w:color w:val="000000"/>
          <w:sz w:val="20"/>
          <w:szCs w:val="20"/>
          <w:lang w:val="fr-CA"/>
        </w:rPr>
        <w:t xml:space="preserve">ux dispositions attaquées, n’avait aucunement comme objectif de préserver la morale et n’était pas fondée sur une appréhension raisonnée de préjudice, mais visait plutôt à </w:t>
      </w:r>
      <w:r w:rsidRPr="007B1AD2">
        <w:rPr>
          <w:rFonts w:cs="Times New Roman"/>
          <w:sz w:val="20"/>
          <w:szCs w:val="20"/>
          <w:lang w:val="fr-CA"/>
        </w:rPr>
        <w:t>établir des normes nationales pour régir la procréation assistée</w:t>
      </w:r>
      <w:r w:rsidRPr="007B1AD2">
        <w:rPr>
          <w:rFonts w:cs="Times New Roman"/>
          <w:color w:val="000000"/>
          <w:sz w:val="20"/>
          <w:szCs w:val="20"/>
          <w:lang w:val="fr-CA"/>
        </w:rPr>
        <w:t>.</w:t>
      </w:r>
    </w:p>
    <w:p w:rsidR="007B1AD2" w:rsidRPr="007B1AD2" w:rsidRDefault="007B1AD2" w:rsidP="007B1AD2">
      <w:pPr>
        <w:rPr>
          <w:rFonts w:cs="Times New Roman"/>
          <w:color w:val="000000"/>
          <w:sz w:val="20"/>
          <w:szCs w:val="20"/>
          <w:lang w:val="fr-CA"/>
        </w:rPr>
      </w:pPr>
    </w:p>
    <w:p w:rsidR="007B1AD2" w:rsidRPr="007B1AD2" w:rsidRDefault="007B1AD2" w:rsidP="007B1AD2">
      <w:pPr>
        <w:jc w:val="both"/>
        <w:rPr>
          <w:rFonts w:cs="Times New Roman"/>
          <w:sz w:val="20"/>
          <w:szCs w:val="20"/>
          <w:lang w:val="fr-CA"/>
        </w:rPr>
      </w:pPr>
      <w:r w:rsidRPr="007B1AD2">
        <w:rPr>
          <w:rFonts w:cs="Times New Roman"/>
          <w:color w:val="000000"/>
          <w:sz w:val="20"/>
          <w:szCs w:val="20"/>
          <w:lang w:val="fr-CA"/>
        </w:rPr>
        <w:lastRenderedPageBreak/>
        <w:tab/>
      </w:r>
      <w:r w:rsidRPr="007B1AD2">
        <w:rPr>
          <w:rFonts w:cs="Times New Roman"/>
          <w:sz w:val="20"/>
          <w:szCs w:val="20"/>
          <w:lang w:val="fr-CA"/>
        </w:rPr>
        <w:t>Les dispositions contestées débordent les limites de la compétence fédérale en droit criminel.  De fait,</w:t>
      </w:r>
      <w:r w:rsidRPr="007B1AD2">
        <w:rPr>
          <w:rFonts w:cs="Times New Roman"/>
          <w:color w:val="000000"/>
          <w:sz w:val="20"/>
          <w:szCs w:val="20"/>
          <w:lang w:val="fr-CA"/>
        </w:rPr>
        <w:t xml:space="preserve"> </w:t>
      </w:r>
      <w:r w:rsidRPr="007B1AD2">
        <w:rPr>
          <w:rFonts w:cs="Times New Roman"/>
          <w:sz w:val="20"/>
          <w:szCs w:val="20"/>
          <w:lang w:val="fr-CA"/>
        </w:rPr>
        <w:t>leur caractère véritable se rattache à la compétence exclusive des provinces sur les hôpitaux, sur la propriété et les droits civils et sur les matières d’une nature purement locale.</w:t>
      </w:r>
      <w:r w:rsidRPr="007B1AD2">
        <w:rPr>
          <w:rFonts w:cs="Times New Roman"/>
          <w:color w:val="000000"/>
          <w:sz w:val="20"/>
          <w:szCs w:val="20"/>
          <w:lang w:val="fr-CA"/>
        </w:rPr>
        <w:t xml:space="preserve">  </w:t>
      </w:r>
      <w:r w:rsidRPr="007B1AD2">
        <w:rPr>
          <w:rFonts w:cs="Times New Roman"/>
          <w:sz w:val="20"/>
          <w:szCs w:val="20"/>
          <w:lang w:val="fr-CA"/>
        </w:rPr>
        <w:t xml:space="preserve">Les dispositions contestées touchent les normes de gestion des hôpitaux, car le Parlement </w:t>
      </w:r>
      <w:r w:rsidRPr="007B1AD2">
        <w:rPr>
          <w:rFonts w:cs="Times New Roman"/>
          <w:color w:val="000000"/>
          <w:sz w:val="20"/>
          <w:szCs w:val="20"/>
          <w:lang w:val="fr-CA"/>
        </w:rPr>
        <w:t xml:space="preserve">a assujetti à la Loi tous les établissements où des activités réglementées sont exercées.  De plus, </w:t>
      </w:r>
      <w:r w:rsidRPr="007B1AD2">
        <w:rPr>
          <w:rFonts w:cs="Times New Roman"/>
          <w:sz w:val="20"/>
          <w:szCs w:val="20"/>
          <w:lang w:val="fr-CA"/>
        </w:rPr>
        <w:t xml:space="preserve">le fait que plusieurs des dispositions contestées portent sur des sujets déjà régis par le </w:t>
      </w:r>
      <w:r w:rsidRPr="007B1AD2">
        <w:rPr>
          <w:rFonts w:cs="Times New Roman"/>
          <w:i/>
          <w:sz w:val="20"/>
          <w:szCs w:val="20"/>
          <w:lang w:val="fr-CA"/>
        </w:rPr>
        <w:t>Code civil du Québec</w:t>
      </w:r>
      <w:r w:rsidRPr="007B1AD2">
        <w:rPr>
          <w:rFonts w:cs="Times New Roman"/>
          <w:sz w:val="20"/>
          <w:szCs w:val="20"/>
          <w:lang w:val="fr-CA"/>
        </w:rPr>
        <w:t xml:space="preserve"> et d’autres lois québécoises est une indication importante que, par leur caractère véritable, les dispositions se situent au cœur même de la compétence provinciale sur les droits civils et sur les matières locales.</w:t>
      </w:r>
    </w:p>
    <w:p w:rsidR="007B1AD2" w:rsidRPr="007B1AD2" w:rsidRDefault="007B1AD2" w:rsidP="007B1AD2">
      <w:pPr>
        <w:rPr>
          <w:rFonts w:cs="Times New Roman"/>
          <w:sz w:val="20"/>
          <w:szCs w:val="20"/>
          <w:lang w:val="fr-CA"/>
        </w:rPr>
      </w:pPr>
    </w:p>
    <w:p w:rsidR="007B1AD2" w:rsidRPr="007B1AD2" w:rsidRDefault="007B1AD2" w:rsidP="007B1AD2">
      <w:pPr>
        <w:jc w:val="both"/>
        <w:rPr>
          <w:rFonts w:cs="Times New Roman"/>
          <w:sz w:val="20"/>
          <w:szCs w:val="20"/>
          <w:lang w:val="fr-CA"/>
        </w:rPr>
      </w:pPr>
      <w:r w:rsidRPr="007B1AD2">
        <w:rPr>
          <w:rFonts w:cs="Times New Roman"/>
          <w:sz w:val="20"/>
          <w:szCs w:val="20"/>
          <w:lang w:val="fr-CA"/>
        </w:rPr>
        <w:tab/>
        <w:t>Étant donné l’ampleur du débordement en l’espèce, pour conclure à la validité de l’exercice valide d’une compétence accessoire, les dispositions contestées doivent avoir un rapport de nécessité avec le reste de la loi.  Or, le régime créé par les dispositions d’interdiction ne dépend pas de l’existence du régime de règlementation.  De plus, il ressort de l’historique législatif que</w:t>
      </w:r>
      <w:r w:rsidRPr="007B1AD2">
        <w:rPr>
          <w:rFonts w:cs="Times New Roman"/>
          <w:color w:val="000000"/>
          <w:sz w:val="20"/>
          <w:szCs w:val="20"/>
          <w:lang w:val="fr-CA"/>
        </w:rPr>
        <w:t>, dans les faits,</w:t>
      </w:r>
      <w:r w:rsidRPr="007B1AD2">
        <w:rPr>
          <w:rFonts w:cs="Times New Roman"/>
          <w:sz w:val="20"/>
          <w:szCs w:val="20"/>
          <w:lang w:val="fr-CA"/>
        </w:rPr>
        <w:t xml:space="preserve"> les dispositions prohibitives </w:t>
      </w:r>
      <w:r w:rsidRPr="007B1AD2">
        <w:rPr>
          <w:rFonts w:cs="Times New Roman"/>
          <w:color w:val="000000"/>
          <w:sz w:val="20"/>
          <w:szCs w:val="20"/>
          <w:lang w:val="fr-CA"/>
        </w:rPr>
        <w:t xml:space="preserve">ont toujours été considérées comme autonomes et que </w:t>
      </w:r>
      <w:r w:rsidRPr="007B1AD2">
        <w:rPr>
          <w:rFonts w:cs="Times New Roman"/>
          <w:sz w:val="20"/>
          <w:szCs w:val="20"/>
          <w:lang w:val="fr-CA"/>
        </w:rPr>
        <w:t>la réglementation de certaines activités ne dépend</w:t>
      </w:r>
      <w:r w:rsidRPr="007B1AD2">
        <w:rPr>
          <w:rFonts w:cs="Times New Roman"/>
          <w:color w:val="000000"/>
          <w:sz w:val="20"/>
          <w:szCs w:val="20"/>
          <w:lang w:val="fr-CA"/>
        </w:rPr>
        <w:t>ai</w:t>
      </w:r>
      <w:r w:rsidRPr="007B1AD2">
        <w:rPr>
          <w:rFonts w:cs="Times New Roman"/>
          <w:sz w:val="20"/>
          <w:szCs w:val="20"/>
          <w:lang w:val="fr-CA"/>
        </w:rPr>
        <w:t>t pas de l’interdiction d’actes distincts.  Compte tenu de ceci, il y a lieu d’inférer que la mise en place du régime de réglementation traduit la volonté du Parlement de légiférer sur une matière qui ne relève pas de sa compétence.</w:t>
      </w:r>
    </w:p>
    <w:p w:rsidR="007B1AD2" w:rsidRPr="007B1AD2" w:rsidRDefault="007B1AD2" w:rsidP="007B1AD2">
      <w:pPr>
        <w:rPr>
          <w:rFonts w:cs="Times New Roman"/>
          <w:sz w:val="20"/>
          <w:szCs w:val="20"/>
          <w:lang w:val="fr-CA"/>
        </w:rPr>
      </w:pPr>
    </w:p>
    <w:p w:rsidR="007B1AD2" w:rsidRPr="007B1AD2" w:rsidRDefault="007B1AD2" w:rsidP="007B1AD2">
      <w:pPr>
        <w:jc w:val="both"/>
        <w:rPr>
          <w:rFonts w:cs="Times New Roman"/>
          <w:sz w:val="20"/>
          <w:szCs w:val="20"/>
          <w:lang w:val="fr-CA"/>
        </w:rPr>
      </w:pPr>
      <w:r w:rsidRPr="007B1AD2">
        <w:rPr>
          <w:rFonts w:cs="Times New Roman"/>
          <w:sz w:val="20"/>
          <w:szCs w:val="20"/>
          <w:lang w:val="fr-CA"/>
        </w:rPr>
        <w:tab/>
      </w:r>
      <w:r w:rsidRPr="007B1AD2">
        <w:rPr>
          <w:rFonts w:cs="Times New Roman"/>
          <w:color w:val="000000"/>
          <w:sz w:val="20"/>
          <w:szCs w:val="20"/>
          <w:lang w:val="fr-CA"/>
        </w:rPr>
        <w:t xml:space="preserve">Les dispositions conférant à l’Agence fédérale la responsabilité de mettre en œuvre le régime règlementaire sont purement accessoires et sont dénuées de tout objet indépendant.  Elles sont invalides.  De plus, l’art. 68 qui permet au gouverneur en conseil de déclarer certaines dispositions inapplicables lorsque le Ministre fédéral et le gouvernement provincial en sont convenus ne corrige pas les vices constitutionnels, car le débordement de compétence demeure aussi important tant que le contrôle des activités en cause reste assujetti au bon vouloir de l’ordre fédéral.  Enfin, </w:t>
      </w:r>
      <w:r w:rsidRPr="007B1AD2">
        <w:rPr>
          <w:rFonts w:cs="Times New Roman"/>
          <w:sz w:val="20"/>
          <w:szCs w:val="20"/>
          <w:lang w:val="fr-CA"/>
        </w:rPr>
        <w:t>si le principe de subsidiarité devait jouer en l’espèce, il militerait en faveur du rattachement des normes en cause à la compétence provinciale relative aux matières locales, et non au droit criminel.</w:t>
      </w:r>
    </w:p>
    <w:p w:rsidR="007B1AD2" w:rsidRPr="007B1AD2" w:rsidRDefault="007B1AD2" w:rsidP="007B1AD2">
      <w:pPr>
        <w:pStyle w:val="SCCNormalDoubleSpacing"/>
        <w:spacing w:line="240" w:lineRule="auto"/>
        <w:rPr>
          <w:sz w:val="20"/>
          <w:lang w:val="fr-CA"/>
        </w:rPr>
      </w:pPr>
    </w:p>
    <w:p w:rsidR="007B1AD2" w:rsidRPr="007720B3" w:rsidRDefault="007B1AD2" w:rsidP="007B1AD2">
      <w:pPr>
        <w:pStyle w:val="ListParagraph"/>
        <w:ind w:left="0"/>
        <w:jc w:val="both"/>
        <w:rPr>
          <w:rFonts w:cs="Times New Roman"/>
          <w:sz w:val="20"/>
          <w:szCs w:val="20"/>
          <w:lang w:val="fr-FR"/>
        </w:rPr>
      </w:pPr>
      <w:r w:rsidRPr="007B1AD2">
        <w:rPr>
          <w:rFonts w:cs="Times New Roman"/>
          <w:sz w:val="20"/>
          <w:szCs w:val="20"/>
          <w:lang w:val="fr-CA"/>
        </w:rPr>
        <w:tab/>
      </w:r>
      <w:r w:rsidRPr="007B1AD2">
        <w:rPr>
          <w:rFonts w:cs="Times New Roman"/>
          <w:i/>
          <w:sz w:val="20"/>
          <w:szCs w:val="20"/>
          <w:lang w:val="fr-CA"/>
        </w:rPr>
        <w:t>Le</w:t>
      </w:r>
      <w:r w:rsidRPr="007B1AD2">
        <w:rPr>
          <w:rFonts w:cs="Times New Roman"/>
          <w:sz w:val="20"/>
          <w:szCs w:val="20"/>
          <w:lang w:val="fr-CA"/>
        </w:rPr>
        <w:t xml:space="preserve"> juge </w:t>
      </w:r>
      <w:r w:rsidRPr="007B1AD2">
        <w:rPr>
          <w:rFonts w:cs="Times New Roman"/>
          <w:b/>
          <w:sz w:val="20"/>
          <w:szCs w:val="20"/>
          <w:lang w:val="fr-CA"/>
        </w:rPr>
        <w:t>Cromwell</w:t>
      </w:r>
      <w:r w:rsidRPr="007B1AD2">
        <w:rPr>
          <w:rFonts w:cs="Times New Roman"/>
          <w:sz w:val="20"/>
          <w:szCs w:val="20"/>
          <w:lang w:val="fr-CA"/>
        </w:rPr>
        <w:t> : L</w:t>
      </w:r>
      <w:r w:rsidRPr="007720B3">
        <w:rPr>
          <w:rFonts w:cs="Times New Roman"/>
          <w:sz w:val="20"/>
          <w:szCs w:val="20"/>
          <w:lang w:val="fr-FR"/>
        </w:rPr>
        <w:t>a matière dont relèvent les dispositions contestées correspond à la réglementation de presque toutes les facettes de la recherche et de l’activité clinique liées à la procréation assistée.  Il convient de rattacher les dispositions contestées à l’établissement, l’entretien et l’administration des hôpitaux, la propriété et les droits civils dans la province et les matières d’une nature purement locale ou privée dans la province.  L</w:t>
      </w:r>
      <w:r w:rsidRPr="007B1AD2">
        <w:rPr>
          <w:rFonts w:cs="Times New Roman"/>
          <w:sz w:val="20"/>
          <w:szCs w:val="20"/>
          <w:lang w:val="fr-CA"/>
        </w:rPr>
        <w:t xml:space="preserve">es articles 10, 11, 13 et 14 à 18, les par. 40(2), (3), (3.1), (4) et (5), ainsi que les par. 44(2) et (3) excèdent la compétence législative du Parlement du Canada suivant la </w:t>
      </w:r>
      <w:r w:rsidRPr="007B1AD2">
        <w:rPr>
          <w:rFonts w:cs="Times New Roman"/>
          <w:i/>
          <w:sz w:val="20"/>
          <w:szCs w:val="20"/>
          <w:lang w:val="fr-CA"/>
        </w:rPr>
        <w:t>Loi constitutionnelle de 1867</w:t>
      </w:r>
      <w:r w:rsidRPr="007B1AD2">
        <w:rPr>
          <w:rFonts w:cs="Times New Roman"/>
          <w:sz w:val="20"/>
          <w:szCs w:val="20"/>
          <w:lang w:val="fr-CA"/>
        </w:rPr>
        <w:t xml:space="preserve">.  Toutefois, </w:t>
      </w:r>
      <w:r w:rsidRPr="007720B3">
        <w:rPr>
          <w:rFonts w:cs="Times New Roman"/>
          <w:sz w:val="20"/>
          <w:szCs w:val="20"/>
          <w:lang w:val="fr-FR"/>
        </w:rPr>
        <w:t>les art. 8, 9 et 12, eu égard à leur objet et à leur effet, interdisent des activités néfastes liées à la procréation assistée et relèvent traditionnellement de la compétence législative fédérale en droit criminel.  De même, les par. 40(1), (6) et (7), les art. 41 à 43 et les par. 44(1) et (4) établissent les mécanismes de mise en œuvre de l’art. 12 et, dans la mesure où ils se rattachent à des dispositions constitutionnelles de la Loi, ils ont été valablement édictés par le Parlement.  Les articles 45 à 53, dans la mesure où ils ont trait à l’inspection et au contrôle d’application se rapportant aux dispositions constitutionnelles de la Loi, ressortissent également au pouvoir de légiférer en droit criminel.  Il en est de même des art. 60 et 61, qui créent des infractions.  L’article 68 est constitutionnel, bien qu’il ne s’appliquera qu’aux dispositions constitutionnelles de la Loi.  Vu l’absence de contestation des autres dispositions créant l’Agence canadienne de contrôle de la procréation assistée, rien ne fait obstacle à la constitutionnalité de l’art. 19.</w:t>
      </w:r>
    </w:p>
    <w:p w:rsidR="007B1AD2" w:rsidRPr="007B1AD2" w:rsidRDefault="007B1AD2" w:rsidP="005C6840">
      <w:pPr>
        <w:rPr>
          <w:rFonts w:cs="Times New Roman"/>
          <w:sz w:val="20"/>
          <w:szCs w:val="20"/>
          <w:lang w:val="fr-FR"/>
        </w:rPr>
      </w:pPr>
    </w:p>
    <w:p w:rsidR="007B1AD2" w:rsidRPr="007B1AD2" w:rsidRDefault="007B1AD2" w:rsidP="007B1AD2">
      <w:pPr>
        <w:pStyle w:val="SCCNormalDoubleSpacing"/>
        <w:spacing w:line="240" w:lineRule="auto"/>
        <w:rPr>
          <w:sz w:val="20"/>
          <w:lang w:val="fr-CA"/>
        </w:rPr>
      </w:pPr>
      <w:r w:rsidRPr="007720B3">
        <w:rPr>
          <w:sz w:val="20"/>
          <w:lang w:val="fr-FR"/>
        </w:rPr>
        <w:tab/>
      </w:r>
      <w:r w:rsidRPr="007B1AD2">
        <w:rPr>
          <w:sz w:val="20"/>
          <w:lang w:val="fr-CA"/>
        </w:rPr>
        <w:t>POURVOI contre un arrêt de la Cour d’appel du Québec (les juges Gendreau, Chamberland et Rayle), 2008 QCCA 1167, [2008] R.J.Q. 1551, 298 D.L.R. (4th) 712, [2008] J.Q. n</w:t>
      </w:r>
      <w:r w:rsidRPr="007B1AD2">
        <w:rPr>
          <w:sz w:val="20"/>
          <w:vertAlign w:val="superscript"/>
          <w:lang w:val="fr-CA"/>
        </w:rPr>
        <w:t>o</w:t>
      </w:r>
      <w:r w:rsidRPr="007B1AD2">
        <w:rPr>
          <w:sz w:val="20"/>
          <w:lang w:val="fr-CA"/>
        </w:rPr>
        <w:t xml:space="preserve"> 5489 (QL), 2008 CarswellQue 5365, dans l’affaire du renvoi sur la question de savoir si certains articles de la </w:t>
      </w:r>
      <w:r w:rsidRPr="007B1AD2">
        <w:rPr>
          <w:bCs/>
          <w:i/>
          <w:iCs/>
          <w:sz w:val="20"/>
          <w:lang w:val="fr-CA"/>
        </w:rPr>
        <w:t xml:space="preserve">Loi sur la procréation assistée </w:t>
      </w:r>
      <w:r w:rsidRPr="007B1AD2">
        <w:rPr>
          <w:sz w:val="20"/>
          <w:lang w:val="fr-CA"/>
        </w:rPr>
        <w:t>excèdent la compétence du Parlement du Canada.  Pourvoi accueilli en partie.</w:t>
      </w:r>
    </w:p>
    <w:p w:rsidR="007B1AD2" w:rsidRPr="007B1AD2" w:rsidRDefault="007B1AD2" w:rsidP="007B1AD2">
      <w:pPr>
        <w:pStyle w:val="SCCNormalDoubleSpacing"/>
        <w:spacing w:line="240" w:lineRule="auto"/>
        <w:rPr>
          <w:sz w:val="20"/>
          <w:lang w:val="fr-CA"/>
        </w:rPr>
      </w:pPr>
    </w:p>
    <w:p w:rsidR="007B1AD2" w:rsidRPr="007B1AD2" w:rsidRDefault="007B1AD2" w:rsidP="007B1AD2">
      <w:pPr>
        <w:pStyle w:val="SCCNormalDoubleSpacing"/>
        <w:spacing w:line="240" w:lineRule="auto"/>
        <w:rPr>
          <w:sz w:val="20"/>
          <w:lang w:val="fr-CA"/>
        </w:rPr>
      </w:pPr>
      <w:r w:rsidRPr="007B1AD2">
        <w:rPr>
          <w:rStyle w:val="SCCCounselNameChar"/>
          <w:sz w:val="20"/>
          <w:lang w:val="fr-CA"/>
        </w:rPr>
        <w:tab/>
        <w:t>René LeBlanc</w:t>
      </w:r>
      <w:r w:rsidRPr="007720B3">
        <w:rPr>
          <w:rStyle w:val="SCCCounselSeparatorChar"/>
          <w:sz w:val="20"/>
        </w:rPr>
        <w:t xml:space="preserve">, </w:t>
      </w:r>
      <w:r w:rsidRPr="007B1AD2">
        <w:rPr>
          <w:rStyle w:val="SCCCounselNameChar"/>
          <w:sz w:val="20"/>
          <w:lang w:val="fr-CA"/>
        </w:rPr>
        <w:t>Peter W. Hogg</w:t>
      </w:r>
      <w:r w:rsidRPr="007720B3">
        <w:rPr>
          <w:rStyle w:val="SCCCounselSeparatorChar"/>
          <w:sz w:val="20"/>
        </w:rPr>
        <w:t xml:space="preserve"> et </w:t>
      </w:r>
      <w:r w:rsidRPr="007B1AD2">
        <w:rPr>
          <w:rStyle w:val="SCCCounselNameChar"/>
          <w:sz w:val="20"/>
          <w:lang w:val="fr-CA"/>
        </w:rPr>
        <w:t>Glenn Rivard</w:t>
      </w:r>
      <w:r w:rsidRPr="007B1AD2">
        <w:rPr>
          <w:rStyle w:val="SCCCounselPartyRoleChar"/>
          <w:sz w:val="20"/>
          <w:lang w:val="fr-CA"/>
        </w:rPr>
        <w:t>, pour l'appelant.</w:t>
      </w:r>
    </w:p>
    <w:p w:rsidR="007B1AD2" w:rsidRPr="007B1AD2" w:rsidRDefault="007B1AD2" w:rsidP="007B1AD2">
      <w:pPr>
        <w:pStyle w:val="SCCNormalDoubleSpacing"/>
        <w:spacing w:line="240" w:lineRule="auto"/>
        <w:rPr>
          <w:sz w:val="20"/>
          <w:lang w:val="fr-CA"/>
        </w:rPr>
      </w:pPr>
    </w:p>
    <w:p w:rsidR="007B1AD2" w:rsidRPr="007B1AD2" w:rsidRDefault="007B1AD2" w:rsidP="007B1AD2">
      <w:pPr>
        <w:pStyle w:val="SCCNormalDoubleSpacing"/>
        <w:spacing w:line="240" w:lineRule="auto"/>
        <w:rPr>
          <w:sz w:val="20"/>
          <w:lang w:val="fr-CA"/>
        </w:rPr>
      </w:pPr>
      <w:r w:rsidRPr="007B1AD2">
        <w:rPr>
          <w:rStyle w:val="SCCCounselNameChar"/>
          <w:sz w:val="20"/>
          <w:lang w:val="fr-CA"/>
        </w:rPr>
        <w:tab/>
        <w:t>Jocelyne Provost</w:t>
      </w:r>
      <w:r w:rsidRPr="007720B3">
        <w:rPr>
          <w:rStyle w:val="SCCCounselSeparatorChar"/>
          <w:sz w:val="20"/>
        </w:rPr>
        <w:t xml:space="preserve"> et </w:t>
      </w:r>
      <w:r w:rsidRPr="007B1AD2">
        <w:rPr>
          <w:rStyle w:val="SCCCounselNameChar"/>
          <w:sz w:val="20"/>
          <w:lang w:val="fr-CA"/>
        </w:rPr>
        <w:t>Maude Randoin</w:t>
      </w:r>
      <w:r w:rsidRPr="007B1AD2">
        <w:rPr>
          <w:rStyle w:val="SCCCounselPartyRoleChar"/>
          <w:sz w:val="20"/>
          <w:lang w:val="fr-CA"/>
        </w:rPr>
        <w:t>, pour l'intimé.</w:t>
      </w:r>
    </w:p>
    <w:p w:rsidR="007B1AD2" w:rsidRPr="007B1AD2" w:rsidRDefault="007B1AD2" w:rsidP="007B1AD2">
      <w:pPr>
        <w:pStyle w:val="SCCNormalDoubleSpacing"/>
        <w:spacing w:line="240" w:lineRule="auto"/>
        <w:rPr>
          <w:sz w:val="20"/>
          <w:lang w:val="fr-CA"/>
        </w:rPr>
      </w:pPr>
    </w:p>
    <w:p w:rsidR="007B1AD2" w:rsidRPr="007B1AD2" w:rsidRDefault="007B1AD2" w:rsidP="007B1AD2">
      <w:pPr>
        <w:pStyle w:val="SCCNormalDoubleSpacing"/>
        <w:spacing w:line="240" w:lineRule="auto"/>
        <w:rPr>
          <w:sz w:val="20"/>
          <w:lang w:val="fr-CA"/>
        </w:rPr>
      </w:pPr>
      <w:r w:rsidRPr="007B1AD2">
        <w:rPr>
          <w:rStyle w:val="SCCCounselNameChar"/>
          <w:sz w:val="20"/>
          <w:lang w:val="fr-CA"/>
        </w:rPr>
        <w:tab/>
        <w:t>Gaétan Migneault</w:t>
      </w:r>
      <w:r w:rsidRPr="007B1AD2">
        <w:rPr>
          <w:rStyle w:val="SCCCounselPartyRoleChar"/>
          <w:sz w:val="20"/>
          <w:lang w:val="fr-CA"/>
        </w:rPr>
        <w:t>, pour l'intervenant le procureur général du Nouveau</w:t>
      </w:r>
      <w:r w:rsidRPr="007B1AD2">
        <w:rPr>
          <w:rStyle w:val="SCCCounselPartyRoleChar"/>
          <w:sz w:val="20"/>
          <w:lang w:val="fr-CA"/>
        </w:rPr>
        <w:noBreakHyphen/>
        <w:t>Brunswick.</w:t>
      </w:r>
    </w:p>
    <w:p w:rsidR="007B1AD2" w:rsidRPr="007B1AD2" w:rsidRDefault="007B1AD2" w:rsidP="007B1AD2">
      <w:pPr>
        <w:pStyle w:val="SCCNormalDoubleSpacing"/>
        <w:spacing w:line="240" w:lineRule="auto"/>
        <w:rPr>
          <w:sz w:val="20"/>
          <w:lang w:val="fr-CA"/>
        </w:rPr>
      </w:pPr>
    </w:p>
    <w:p w:rsidR="007B1AD2" w:rsidRPr="007B1AD2" w:rsidRDefault="007B1AD2" w:rsidP="007B1AD2">
      <w:pPr>
        <w:pStyle w:val="SCCNormalDoubleSpacing"/>
        <w:spacing w:line="240" w:lineRule="auto"/>
        <w:rPr>
          <w:sz w:val="20"/>
          <w:lang w:val="fr-CA"/>
        </w:rPr>
      </w:pPr>
      <w:r w:rsidRPr="007B1AD2">
        <w:rPr>
          <w:rStyle w:val="SCCCounselNameChar"/>
          <w:sz w:val="20"/>
          <w:lang w:val="fr-CA"/>
        </w:rPr>
        <w:tab/>
        <w:t>Graeme G. Mitchell</w:t>
      </w:r>
      <w:r w:rsidRPr="007B1AD2">
        <w:rPr>
          <w:rStyle w:val="SCCCounselPartyRoleChar"/>
          <w:sz w:val="20"/>
          <w:lang w:val="fr-CA"/>
        </w:rPr>
        <w:t>, c.r., pour l'intervenant le procureur général de la Saskatchewan.</w:t>
      </w:r>
    </w:p>
    <w:p w:rsidR="007B1AD2" w:rsidRPr="007B1AD2" w:rsidRDefault="007B1AD2" w:rsidP="007B1AD2">
      <w:pPr>
        <w:pStyle w:val="SCCNormalDoubleSpacing"/>
        <w:spacing w:line="240" w:lineRule="auto"/>
        <w:rPr>
          <w:sz w:val="20"/>
          <w:lang w:val="fr-CA"/>
        </w:rPr>
      </w:pPr>
    </w:p>
    <w:p w:rsidR="007B1AD2" w:rsidRPr="007B1AD2" w:rsidRDefault="007B1AD2" w:rsidP="007B1AD2">
      <w:pPr>
        <w:pStyle w:val="SCCNormalDoubleSpacing"/>
        <w:spacing w:line="240" w:lineRule="auto"/>
        <w:rPr>
          <w:sz w:val="20"/>
          <w:lang w:val="fr-CA"/>
        </w:rPr>
      </w:pPr>
      <w:r w:rsidRPr="007B1AD2">
        <w:rPr>
          <w:rStyle w:val="SCCCounselNameChar"/>
          <w:sz w:val="20"/>
          <w:lang w:val="fr-CA"/>
        </w:rPr>
        <w:tab/>
        <w:t>Lillian Riczu</w:t>
      </w:r>
      <w:r w:rsidRPr="007720B3">
        <w:rPr>
          <w:rStyle w:val="SCCCounselSeparatorChar"/>
          <w:sz w:val="20"/>
        </w:rPr>
        <w:t xml:space="preserve"> et </w:t>
      </w:r>
      <w:r w:rsidRPr="007B1AD2">
        <w:rPr>
          <w:rStyle w:val="SCCCounselNameChar"/>
          <w:sz w:val="20"/>
          <w:lang w:val="fr-CA"/>
        </w:rPr>
        <w:t>Randy Steele</w:t>
      </w:r>
      <w:r w:rsidRPr="007B1AD2">
        <w:rPr>
          <w:rStyle w:val="SCCCounselPartyRoleChar"/>
          <w:sz w:val="20"/>
          <w:lang w:val="fr-CA"/>
        </w:rPr>
        <w:t>, pour l'intervenant le procureur général de l'Alberta.</w:t>
      </w:r>
    </w:p>
    <w:p w:rsidR="007B1AD2" w:rsidRPr="007B1AD2" w:rsidRDefault="007B1AD2" w:rsidP="007B1AD2">
      <w:pPr>
        <w:pStyle w:val="SCCNormalDoubleSpacing"/>
        <w:spacing w:line="240" w:lineRule="auto"/>
        <w:rPr>
          <w:sz w:val="20"/>
          <w:lang w:val="fr-CA"/>
        </w:rPr>
      </w:pPr>
    </w:p>
    <w:p w:rsidR="007B1AD2" w:rsidRPr="007B1AD2" w:rsidRDefault="007B1AD2" w:rsidP="007B1AD2">
      <w:pPr>
        <w:pStyle w:val="SCCNormalDoubleSpacing"/>
        <w:spacing w:line="240" w:lineRule="auto"/>
        <w:rPr>
          <w:sz w:val="20"/>
          <w:lang w:val="fr-CA"/>
        </w:rPr>
      </w:pPr>
      <w:r w:rsidRPr="007B1AD2">
        <w:rPr>
          <w:rStyle w:val="SCCCounselNameChar"/>
          <w:sz w:val="20"/>
          <w:lang w:val="fr-CA"/>
        </w:rPr>
        <w:lastRenderedPageBreak/>
        <w:tab/>
      </w:r>
      <w:r w:rsidRPr="00BD0AB4">
        <w:rPr>
          <w:rStyle w:val="SCCCounselNameChar"/>
          <w:i w:val="0"/>
          <w:sz w:val="20"/>
          <w:lang w:val="fr-CA"/>
        </w:rPr>
        <w:t>Argumentation écrite seulement</w:t>
      </w:r>
      <w:r w:rsidRPr="007B1AD2">
        <w:rPr>
          <w:rStyle w:val="SCCCounselNameChar"/>
          <w:sz w:val="20"/>
          <w:lang w:val="fr-CA"/>
        </w:rPr>
        <w:t xml:space="preserve"> </w:t>
      </w:r>
      <w:r w:rsidRPr="007B1AD2">
        <w:rPr>
          <w:rStyle w:val="SCCCounselPartyRoleChar"/>
          <w:sz w:val="20"/>
          <w:lang w:val="fr-CA"/>
        </w:rPr>
        <w:t xml:space="preserve">pour l'intervenant Michael Awad. </w:t>
      </w:r>
    </w:p>
    <w:p w:rsidR="007B1AD2" w:rsidRPr="007B1AD2" w:rsidRDefault="007B1AD2" w:rsidP="007B1AD2">
      <w:pPr>
        <w:pStyle w:val="SCCNormalDoubleSpacing"/>
        <w:spacing w:line="240" w:lineRule="auto"/>
        <w:rPr>
          <w:sz w:val="20"/>
          <w:lang w:val="fr-CA"/>
        </w:rPr>
      </w:pPr>
    </w:p>
    <w:p w:rsidR="007B1AD2" w:rsidRPr="007B1AD2" w:rsidRDefault="007B1AD2" w:rsidP="007B1AD2">
      <w:pPr>
        <w:pStyle w:val="SCCNormalDoubleSpacing"/>
        <w:spacing w:line="240" w:lineRule="auto"/>
        <w:rPr>
          <w:sz w:val="20"/>
          <w:lang w:val="fr-CA"/>
        </w:rPr>
      </w:pPr>
      <w:r w:rsidRPr="007B1AD2">
        <w:rPr>
          <w:rStyle w:val="SCCCounselNameChar"/>
          <w:sz w:val="20"/>
          <w:lang w:val="fr-CA"/>
        </w:rPr>
        <w:tab/>
      </w:r>
      <w:r w:rsidRPr="00BD0AB4">
        <w:rPr>
          <w:rStyle w:val="SCCCounselNameChar"/>
          <w:i w:val="0"/>
          <w:sz w:val="20"/>
          <w:lang w:val="fr-CA"/>
        </w:rPr>
        <w:t>Argumentation écrite seulement par</w:t>
      </w:r>
      <w:r w:rsidRPr="007B1AD2">
        <w:rPr>
          <w:rStyle w:val="SCCCounselNameChar"/>
          <w:sz w:val="20"/>
          <w:lang w:val="fr-CA"/>
        </w:rPr>
        <w:t xml:space="preserve"> </w:t>
      </w:r>
      <w:r w:rsidRPr="007B1AD2">
        <w:rPr>
          <w:rStyle w:val="SCCCounselPartyRoleChar"/>
          <w:i/>
          <w:sz w:val="20"/>
          <w:lang w:val="fr-CA"/>
        </w:rPr>
        <w:t>Don Hutchinson</w:t>
      </w:r>
      <w:r w:rsidRPr="007B1AD2">
        <w:rPr>
          <w:rStyle w:val="SCCCounselPartyRoleChar"/>
          <w:sz w:val="20"/>
          <w:lang w:val="fr-CA"/>
        </w:rPr>
        <w:t xml:space="preserve"> et </w:t>
      </w:r>
      <w:r w:rsidRPr="007B1AD2">
        <w:rPr>
          <w:rStyle w:val="SCCCounselPartyRoleChar"/>
          <w:i/>
          <w:sz w:val="20"/>
          <w:lang w:val="fr-CA"/>
        </w:rPr>
        <w:t>Faye Sonier</w:t>
      </w:r>
      <w:r w:rsidRPr="007B1AD2">
        <w:rPr>
          <w:rStyle w:val="SCCCounselPartyRoleChar"/>
          <w:sz w:val="20"/>
          <w:lang w:val="fr-CA"/>
        </w:rPr>
        <w:t xml:space="preserve"> pour les intervenantes la Conférence des évêques catholiques du Canada et l’Alliance évangélique du Canada.</w:t>
      </w:r>
    </w:p>
    <w:p w:rsidR="007B1AD2" w:rsidRPr="007B1AD2" w:rsidRDefault="007B1AD2" w:rsidP="007B1AD2">
      <w:pPr>
        <w:pStyle w:val="SCCNormalDoubleSpacing"/>
        <w:spacing w:line="240" w:lineRule="auto"/>
        <w:rPr>
          <w:sz w:val="20"/>
          <w:lang w:val="fr-CA"/>
        </w:rPr>
      </w:pPr>
    </w:p>
    <w:p w:rsidR="007B1AD2" w:rsidRPr="007B1AD2" w:rsidRDefault="007B1AD2" w:rsidP="007B1AD2">
      <w:pPr>
        <w:pStyle w:val="SCCLawFirm"/>
        <w:spacing w:line="240" w:lineRule="auto"/>
        <w:rPr>
          <w:sz w:val="20"/>
          <w:lang w:val="fr-CA"/>
        </w:rPr>
      </w:pPr>
      <w:r w:rsidRPr="007B1AD2">
        <w:rPr>
          <w:sz w:val="20"/>
          <w:lang w:val="fr-CA"/>
        </w:rPr>
        <w:tab/>
        <w:t>Procureur de l'appelant : Ministère de la Justice, Ottawa.</w:t>
      </w:r>
    </w:p>
    <w:p w:rsidR="007B1AD2" w:rsidRPr="007B1AD2" w:rsidRDefault="007B1AD2" w:rsidP="007B1AD2">
      <w:pPr>
        <w:pStyle w:val="SCCLawFirm"/>
        <w:spacing w:line="240" w:lineRule="auto"/>
        <w:rPr>
          <w:sz w:val="20"/>
          <w:lang w:val="fr-CA"/>
        </w:rPr>
      </w:pPr>
    </w:p>
    <w:p w:rsidR="007B1AD2" w:rsidRPr="007B1AD2" w:rsidRDefault="007B1AD2" w:rsidP="007B1AD2">
      <w:pPr>
        <w:pStyle w:val="SCCLawFirm"/>
        <w:spacing w:line="240" w:lineRule="auto"/>
        <w:rPr>
          <w:sz w:val="20"/>
          <w:lang w:val="fr-CA"/>
        </w:rPr>
      </w:pPr>
      <w:r w:rsidRPr="007B1AD2">
        <w:rPr>
          <w:sz w:val="20"/>
          <w:lang w:val="fr-CA"/>
        </w:rPr>
        <w:tab/>
        <w:t>Procureur de l'intimé : Procureur général du Québec, Montréal.</w:t>
      </w:r>
    </w:p>
    <w:p w:rsidR="007B1AD2" w:rsidRPr="007B1AD2" w:rsidRDefault="007B1AD2" w:rsidP="007B1AD2">
      <w:pPr>
        <w:pStyle w:val="SCCLawFirm"/>
        <w:spacing w:line="240" w:lineRule="auto"/>
        <w:rPr>
          <w:sz w:val="20"/>
          <w:lang w:val="fr-CA"/>
        </w:rPr>
      </w:pPr>
    </w:p>
    <w:p w:rsidR="007B1AD2" w:rsidRPr="007B1AD2" w:rsidRDefault="007B1AD2" w:rsidP="007B1AD2">
      <w:pPr>
        <w:pStyle w:val="SCCLawFirm"/>
        <w:spacing w:line="240" w:lineRule="auto"/>
        <w:rPr>
          <w:sz w:val="20"/>
          <w:lang w:val="fr-CA"/>
        </w:rPr>
      </w:pPr>
      <w:r w:rsidRPr="007B1AD2">
        <w:rPr>
          <w:sz w:val="20"/>
          <w:lang w:val="fr-CA"/>
        </w:rPr>
        <w:tab/>
        <w:t>Procureur de l'intervenant le procureur général du Nouveau</w:t>
      </w:r>
      <w:r w:rsidRPr="007B1AD2">
        <w:rPr>
          <w:sz w:val="20"/>
          <w:lang w:val="fr-CA"/>
        </w:rPr>
        <w:noBreakHyphen/>
        <w:t>Brunswick : Procureur général du Nouveau</w:t>
      </w:r>
      <w:r w:rsidRPr="007B1AD2">
        <w:rPr>
          <w:sz w:val="20"/>
          <w:lang w:val="fr-CA"/>
        </w:rPr>
        <w:noBreakHyphen/>
        <w:t>Brunswick, Fredericton.</w:t>
      </w:r>
    </w:p>
    <w:p w:rsidR="007B1AD2" w:rsidRPr="007B1AD2" w:rsidRDefault="007B1AD2" w:rsidP="007B1AD2">
      <w:pPr>
        <w:pStyle w:val="SCCLawFirm"/>
        <w:spacing w:line="240" w:lineRule="auto"/>
        <w:rPr>
          <w:sz w:val="20"/>
          <w:lang w:val="fr-CA"/>
        </w:rPr>
      </w:pPr>
    </w:p>
    <w:p w:rsidR="007B1AD2" w:rsidRPr="007B1AD2" w:rsidRDefault="007B1AD2" w:rsidP="007B1AD2">
      <w:pPr>
        <w:pStyle w:val="SCCLawFirm"/>
        <w:spacing w:line="240" w:lineRule="auto"/>
        <w:rPr>
          <w:sz w:val="20"/>
          <w:lang w:val="fr-CA"/>
        </w:rPr>
      </w:pPr>
      <w:r w:rsidRPr="007B1AD2">
        <w:rPr>
          <w:sz w:val="20"/>
          <w:lang w:val="fr-CA"/>
        </w:rPr>
        <w:tab/>
        <w:t>Procureur de l'intervenant le procureur général de la Saskatchewan : Procureur général de la Saskatchewan, Regina.</w:t>
      </w:r>
    </w:p>
    <w:p w:rsidR="007B1AD2" w:rsidRPr="007B1AD2" w:rsidRDefault="007B1AD2" w:rsidP="007B1AD2">
      <w:pPr>
        <w:pStyle w:val="SCCLawFirm"/>
        <w:spacing w:line="240" w:lineRule="auto"/>
        <w:rPr>
          <w:sz w:val="20"/>
          <w:lang w:val="fr-CA"/>
        </w:rPr>
      </w:pPr>
    </w:p>
    <w:p w:rsidR="007B1AD2" w:rsidRPr="007B1AD2" w:rsidRDefault="007B1AD2" w:rsidP="007B1AD2">
      <w:pPr>
        <w:pStyle w:val="SCCLawFirm"/>
        <w:spacing w:line="240" w:lineRule="auto"/>
        <w:rPr>
          <w:sz w:val="20"/>
          <w:lang w:val="fr-CA"/>
        </w:rPr>
      </w:pPr>
      <w:r w:rsidRPr="007B1AD2">
        <w:rPr>
          <w:sz w:val="20"/>
          <w:lang w:val="fr-CA"/>
        </w:rPr>
        <w:tab/>
        <w:t>Procureur de l'intervenant le procureur général de l'Alberta : Alberta Justice, Edmonton.</w:t>
      </w:r>
    </w:p>
    <w:p w:rsidR="007B1AD2" w:rsidRPr="007B1AD2" w:rsidRDefault="007B1AD2" w:rsidP="007B1AD2">
      <w:pPr>
        <w:pStyle w:val="SCCLawFirm"/>
        <w:spacing w:line="240" w:lineRule="auto"/>
        <w:rPr>
          <w:sz w:val="20"/>
          <w:lang w:val="fr-CA"/>
        </w:rPr>
      </w:pPr>
    </w:p>
    <w:p w:rsidR="007B1AD2" w:rsidRPr="007B1AD2" w:rsidRDefault="007B1AD2" w:rsidP="007B1AD2">
      <w:pPr>
        <w:pStyle w:val="SCCLawFirm"/>
        <w:spacing w:line="240" w:lineRule="auto"/>
        <w:rPr>
          <w:sz w:val="20"/>
          <w:lang w:val="fr-CA"/>
        </w:rPr>
      </w:pPr>
      <w:r w:rsidRPr="007B1AD2">
        <w:rPr>
          <w:sz w:val="20"/>
          <w:lang w:val="fr-CA"/>
        </w:rPr>
        <w:tab/>
        <w:t>Procureurs de l'intervenant Michael Awad : Bennett Jones, Calgary.</w:t>
      </w:r>
    </w:p>
    <w:p w:rsidR="007B1AD2" w:rsidRPr="007B1AD2" w:rsidRDefault="007B1AD2" w:rsidP="007B1AD2">
      <w:pPr>
        <w:pStyle w:val="SCCLawFirm"/>
        <w:spacing w:line="240" w:lineRule="auto"/>
        <w:rPr>
          <w:sz w:val="20"/>
          <w:lang w:val="fr-CA"/>
        </w:rPr>
      </w:pPr>
    </w:p>
    <w:p w:rsidR="007B1AD2" w:rsidRPr="003B3977" w:rsidRDefault="007B1AD2" w:rsidP="00BD0AB4">
      <w:pPr>
        <w:pStyle w:val="SCCLawFirm"/>
        <w:spacing w:line="240" w:lineRule="auto"/>
        <w:rPr>
          <w:sz w:val="20"/>
          <w:lang w:val="fr-CA"/>
        </w:rPr>
      </w:pPr>
      <w:r w:rsidRPr="007B1AD2">
        <w:rPr>
          <w:sz w:val="20"/>
          <w:lang w:val="fr-CA"/>
        </w:rPr>
        <w:tab/>
        <w:t>Procureurs des intervenants la Conférence des évêques catholiques du Canada et l’Alliance évangélique du Canada : Barnes Sammon, Ottawa.</w:t>
      </w:r>
    </w:p>
    <w:p w:rsidR="00DD0B49" w:rsidRPr="00BD0AB4" w:rsidRDefault="00DD0B49" w:rsidP="00DD0B49">
      <w:pPr>
        <w:rPr>
          <w:rFonts w:cs="Times New Roman"/>
          <w:sz w:val="20"/>
          <w:szCs w:val="20"/>
        </w:rPr>
      </w:pPr>
      <w:r w:rsidRPr="00BD0AB4">
        <w:rPr>
          <w:rFonts w:cs="Times New Roman"/>
          <w:sz w:val="20"/>
          <w:szCs w:val="20"/>
        </w:rPr>
        <w:t>________________________</w:t>
      </w:r>
    </w:p>
    <w:p w:rsidR="00DD0B49" w:rsidRPr="00BD0AB4" w:rsidRDefault="00DD0B49" w:rsidP="00DD0B49">
      <w:pPr>
        <w:rPr>
          <w:rFonts w:cs="Times New Roman"/>
          <w:sz w:val="20"/>
          <w:szCs w:val="20"/>
        </w:rPr>
      </w:pPr>
    </w:p>
    <w:p w:rsidR="00BD0AB4" w:rsidRPr="006638D4" w:rsidRDefault="00BD0AB4" w:rsidP="00BD0AB4">
      <w:pPr>
        <w:jc w:val="both"/>
        <w:rPr>
          <w:sz w:val="20"/>
        </w:rPr>
      </w:pPr>
      <w:r w:rsidRPr="006638D4">
        <w:rPr>
          <w:sz w:val="20"/>
        </w:rPr>
        <w:t>Present:  McLachlin C.J. and Binnie, LeBel, Deschamps, Fish, Abella, Charron, Rothstein and Cromwell JJ.</w:t>
      </w:r>
    </w:p>
    <w:p w:rsidR="003B3977" w:rsidRDefault="003B3977" w:rsidP="005C6840">
      <w:pPr>
        <w:rPr>
          <w:rFonts w:cs="Times New Roman"/>
          <w:sz w:val="20"/>
          <w:szCs w:val="20"/>
        </w:rPr>
      </w:pPr>
    </w:p>
    <w:p w:rsidR="00BD0AB4" w:rsidRPr="00BD0AB4" w:rsidRDefault="00BD0AB4" w:rsidP="00BD0AB4">
      <w:pPr>
        <w:jc w:val="both"/>
        <w:rPr>
          <w:i/>
          <w:sz w:val="20"/>
        </w:rPr>
      </w:pPr>
      <w:r w:rsidRPr="00BD0AB4">
        <w:rPr>
          <w:i/>
          <w:sz w:val="20"/>
        </w:rPr>
        <w:tab/>
        <w:t>Constitutional law ― Division of powers ― Criminal law ― Assisted reproduction ― Whether ss. 8 to 19, 40 to 53, 60, 61 and 68 of Assisted Human Reproduction Act, S.C. 2004, c. 2, exceed legislative authority of Parliament under s. 91(27) of Constitution Act, 1867.</w:t>
      </w:r>
    </w:p>
    <w:p w:rsidR="00BD0AB4" w:rsidRPr="00BD0AB4" w:rsidRDefault="00BD0AB4" w:rsidP="00BD0AB4">
      <w:pPr>
        <w:jc w:val="both"/>
        <w:rPr>
          <w:sz w:val="20"/>
        </w:rPr>
      </w:pPr>
    </w:p>
    <w:p w:rsidR="00BD0AB4" w:rsidRPr="00BD0AB4" w:rsidRDefault="00BD0AB4" w:rsidP="00BD0AB4">
      <w:pPr>
        <w:jc w:val="both"/>
        <w:rPr>
          <w:sz w:val="20"/>
        </w:rPr>
      </w:pPr>
      <w:r w:rsidRPr="00BD0AB4">
        <w:rPr>
          <w:sz w:val="20"/>
        </w:rPr>
        <w:tab/>
        <w:t xml:space="preserve">In 1989, the federal government established the Royal Commission on New Reproductive Technologies (the “Baird Commission”) to study assisted human reproduction.  In its report, the Baird Commission expressed concern about certain practices in the field and pressed for legislation.  Between 1993 and 1995, the federal government consulted with the provinces, the territories and independent groups for advice on the issue, and the result was the passage of the </w:t>
      </w:r>
      <w:r w:rsidRPr="00BD0AB4">
        <w:rPr>
          <w:i/>
          <w:sz w:val="20"/>
        </w:rPr>
        <w:t>Assisted Human Reproduction Act</w:t>
      </w:r>
      <w:r w:rsidRPr="00BD0AB4">
        <w:rPr>
          <w:sz w:val="20"/>
        </w:rPr>
        <w:t xml:space="preserve"> in 2004.  The Act contains prohibitions and other provisions designed to administer and enforce them.  It is set up as follows:</w:t>
      </w:r>
    </w:p>
    <w:p w:rsidR="00BD0AB4" w:rsidRPr="00BD0AB4" w:rsidRDefault="00BD0AB4" w:rsidP="00BD0AB4">
      <w:pPr>
        <w:jc w:val="both"/>
        <w:rPr>
          <w:sz w:val="20"/>
        </w:rPr>
      </w:pPr>
    </w:p>
    <w:p w:rsidR="00BD0AB4" w:rsidRPr="00BD0AB4" w:rsidRDefault="00BD0AB4" w:rsidP="00BD0AB4">
      <w:pPr>
        <w:jc w:val="both"/>
        <w:rPr>
          <w:sz w:val="20"/>
        </w:rPr>
      </w:pPr>
      <w:r w:rsidRPr="00BD0AB4">
        <w:rPr>
          <w:sz w:val="20"/>
        </w:rPr>
        <w:tab/>
        <w:t xml:space="preserve">(1) Sections 5 to 9 prohibit human cloning, the commercialization of human reproductive material and the reproductive functions of women and men and the use of </w:t>
      </w:r>
      <w:r w:rsidRPr="00BD0AB4">
        <w:rPr>
          <w:i/>
          <w:sz w:val="20"/>
        </w:rPr>
        <w:t xml:space="preserve">in vitro </w:t>
      </w:r>
      <w:r w:rsidRPr="00BD0AB4">
        <w:rPr>
          <w:sz w:val="20"/>
        </w:rPr>
        <w:t xml:space="preserve">embryos without consent.  (2) Sections 10 to 13 prohibit various activities unless they are carried out in accordance with regulations made under the Act, under licence and in licensed premises.  These “controlled activities” involve manipulation of human reproductive material or </w:t>
      </w:r>
      <w:r w:rsidRPr="00BD0AB4">
        <w:rPr>
          <w:i/>
          <w:sz w:val="20"/>
        </w:rPr>
        <w:t xml:space="preserve">in vitro </w:t>
      </w:r>
      <w:r w:rsidRPr="00BD0AB4">
        <w:rPr>
          <w:sz w:val="20"/>
        </w:rPr>
        <w:t xml:space="preserve">embryos, transgenic engineering and reimbursement of the expenditures of donors and surrogate mothers.  (3) Sections 14 to 19 set up a system of information management related to assisted reproduction.  (4) Sections 20 to 39 establish the Assisted Human Reproduction Agency of Canada.  (5) Sections 40 to 59 charge the Agency with administering and enforcing the Act and regulations, and authorize it to issue licences for certain activities related to assisted reproduction.  (6) Sections 60 and 61 provide for penalties, (7) ss. 65 to 67 authorize the promulgation of regulations, and (8) s. 68 gives the Governor in Council power to exempt the operation of certain provisions if there are equivalent provincial laws in force that cover the field. </w:t>
      </w:r>
    </w:p>
    <w:p w:rsidR="00BD0AB4" w:rsidRPr="00BD0AB4" w:rsidRDefault="00BD0AB4" w:rsidP="00BD0AB4">
      <w:pPr>
        <w:jc w:val="both"/>
        <w:rPr>
          <w:sz w:val="20"/>
        </w:rPr>
      </w:pPr>
    </w:p>
    <w:p w:rsidR="00BD0AB4" w:rsidRPr="00BD0AB4" w:rsidRDefault="00BD0AB4" w:rsidP="00BD0AB4">
      <w:pPr>
        <w:jc w:val="both"/>
        <w:rPr>
          <w:sz w:val="20"/>
        </w:rPr>
      </w:pPr>
      <w:r w:rsidRPr="00BD0AB4">
        <w:rPr>
          <w:sz w:val="20"/>
        </w:rPr>
        <w:tab/>
        <w:t xml:space="preserve">The Attorney General of Quebec accepted that some of the provisions were valid criminal law, but challenged the constitutionality of the balance of the Act in a reference to the Quebec Court of Appeal.  According to the Attorney General of Quebec, ss. 8 to 19, 40 to 53, 60, 61 and 68 are attempts to regulate the whole sector of medical practice and research related to assisted reproduction, and are </w:t>
      </w:r>
      <w:r w:rsidRPr="00BD0AB4">
        <w:rPr>
          <w:i/>
          <w:sz w:val="20"/>
        </w:rPr>
        <w:t xml:space="preserve">ultra vires </w:t>
      </w:r>
      <w:r w:rsidRPr="00BD0AB4">
        <w:rPr>
          <w:sz w:val="20"/>
        </w:rPr>
        <w:t>the federal government.  The Quebec Court of Appeal held that the impugned sections were not valid criminal law since their pith and substance was the regulation of medical practice and research in relation to assisted reproduction.</w:t>
      </w:r>
    </w:p>
    <w:p w:rsidR="00BD0AB4" w:rsidRPr="00BD0AB4" w:rsidRDefault="00BD0AB4" w:rsidP="00BD0AB4">
      <w:pPr>
        <w:jc w:val="both"/>
        <w:rPr>
          <w:sz w:val="20"/>
        </w:rPr>
      </w:pPr>
    </w:p>
    <w:p w:rsidR="00BD0AB4" w:rsidRPr="00BD0AB4" w:rsidRDefault="00BD0AB4" w:rsidP="00BD0AB4">
      <w:pPr>
        <w:jc w:val="both"/>
        <w:rPr>
          <w:sz w:val="20"/>
        </w:rPr>
      </w:pPr>
      <w:r w:rsidRPr="00BD0AB4">
        <w:rPr>
          <w:i/>
          <w:sz w:val="20"/>
        </w:rPr>
        <w:lastRenderedPageBreak/>
        <w:tab/>
        <w:t>Held</w:t>
      </w:r>
      <w:r w:rsidRPr="00BD0AB4">
        <w:rPr>
          <w:sz w:val="20"/>
        </w:rPr>
        <w:t>:  The appeal should be allowed in part.</w:t>
      </w:r>
    </w:p>
    <w:p w:rsidR="00BD0AB4" w:rsidRPr="00BD0AB4" w:rsidRDefault="00BD0AB4" w:rsidP="00BD0AB4">
      <w:pPr>
        <w:jc w:val="both"/>
        <w:rPr>
          <w:sz w:val="20"/>
        </w:rPr>
      </w:pPr>
    </w:p>
    <w:p w:rsidR="00BD0AB4" w:rsidRPr="00BD0AB4" w:rsidRDefault="00BD0AB4" w:rsidP="00BD0AB4">
      <w:pPr>
        <w:jc w:val="both"/>
        <w:rPr>
          <w:sz w:val="20"/>
        </w:rPr>
      </w:pPr>
      <w:r w:rsidRPr="00BD0AB4">
        <w:rPr>
          <w:sz w:val="20"/>
        </w:rPr>
        <w:tab/>
        <w:t>Sections 8, 9, 12, 19 and 60 of the Act are constitutional.</w:t>
      </w:r>
    </w:p>
    <w:p w:rsidR="00BD0AB4" w:rsidRPr="00BD0AB4" w:rsidRDefault="00BD0AB4" w:rsidP="00BD0AB4">
      <w:pPr>
        <w:jc w:val="both"/>
        <w:rPr>
          <w:sz w:val="20"/>
        </w:rPr>
      </w:pPr>
    </w:p>
    <w:p w:rsidR="00BD0AB4" w:rsidRPr="00BD0AB4" w:rsidRDefault="00BD0AB4" w:rsidP="00BD0AB4">
      <w:pPr>
        <w:jc w:val="both"/>
        <w:rPr>
          <w:sz w:val="20"/>
        </w:rPr>
      </w:pPr>
      <w:r w:rsidRPr="00BD0AB4">
        <w:rPr>
          <w:sz w:val="20"/>
        </w:rPr>
        <w:tab/>
        <w:t xml:space="preserve">Sections 10, 11, 13, 14 to 18, 40(2), (3), (3.1), (4) and (5) and ss. 44(2) and (3) exceed the legislative authority of the Parliament of Canada under the </w:t>
      </w:r>
      <w:r w:rsidRPr="00BD0AB4">
        <w:rPr>
          <w:i/>
          <w:sz w:val="20"/>
        </w:rPr>
        <w:t>Constitution Act, 1867</w:t>
      </w:r>
      <w:r w:rsidRPr="00BD0AB4">
        <w:rPr>
          <w:sz w:val="20"/>
        </w:rPr>
        <w:t xml:space="preserve">. </w:t>
      </w:r>
    </w:p>
    <w:p w:rsidR="00BD0AB4" w:rsidRPr="00BD0AB4" w:rsidRDefault="00BD0AB4" w:rsidP="00BD0AB4">
      <w:pPr>
        <w:jc w:val="both"/>
        <w:rPr>
          <w:sz w:val="20"/>
        </w:rPr>
      </w:pPr>
    </w:p>
    <w:p w:rsidR="00BD0AB4" w:rsidRPr="00BD0AB4" w:rsidRDefault="00BD0AB4" w:rsidP="00BD0AB4">
      <w:pPr>
        <w:jc w:val="both"/>
        <w:rPr>
          <w:sz w:val="20"/>
        </w:rPr>
      </w:pPr>
      <w:r w:rsidRPr="00BD0AB4">
        <w:rPr>
          <w:sz w:val="20"/>
        </w:rPr>
        <w:tab/>
        <w:t>Sections 40(1), (6) and (7), 41 to 43, 44(1) and (4), 45 to 53, 61 and 68 are constitutional to the extent that they relate to constitutionally valid provisions.</w:t>
      </w:r>
    </w:p>
    <w:p w:rsidR="00BD0AB4" w:rsidRPr="00BD0AB4" w:rsidRDefault="00BD0AB4" w:rsidP="00BD0AB4">
      <w:pPr>
        <w:jc w:val="both"/>
        <w:rPr>
          <w:sz w:val="20"/>
        </w:rPr>
      </w:pPr>
    </w:p>
    <w:p w:rsidR="00BD0AB4" w:rsidRPr="00BD0AB4" w:rsidRDefault="00BD0AB4" w:rsidP="00BD0AB4">
      <w:pPr>
        <w:jc w:val="both"/>
        <w:rPr>
          <w:sz w:val="20"/>
        </w:rPr>
      </w:pPr>
      <w:r w:rsidRPr="00BD0AB4">
        <w:rPr>
          <w:i/>
          <w:sz w:val="20"/>
        </w:rPr>
        <w:tab/>
        <w:t>Per</w:t>
      </w:r>
      <w:r w:rsidRPr="00BD0AB4">
        <w:rPr>
          <w:sz w:val="20"/>
        </w:rPr>
        <w:t xml:space="preserve"> </w:t>
      </w:r>
      <w:r w:rsidRPr="00BD0AB4">
        <w:rPr>
          <w:b/>
          <w:sz w:val="20"/>
        </w:rPr>
        <w:t>McLachlin </w:t>
      </w:r>
      <w:r w:rsidRPr="00BD0AB4">
        <w:rPr>
          <w:sz w:val="20"/>
        </w:rPr>
        <w:t>C.J. and Binnie, Fish and Charron JJ.:  The Act is essentially a series of prohibitions, followed by a set of subsidiary provisions for their administration.  While the Act will have beneficial effects and while some of its effects may impact on provincial matters, neither its dominant purpose nor its dominant effect is to set up a regime that regulates and promotes the benefits of artificial reproduction.  The fact that the Baird Commission may have referred to positive aspects of assisted reproduction technology in its report does not establish that these benefits were the focus of Parliament</w:t>
      </w:r>
      <w:r w:rsidRPr="00BD0AB4">
        <w:rPr>
          <w:sz w:val="20"/>
        </w:rPr>
        <w:sym w:font="WP TypographicSymbols" w:char="003D"/>
      </w:r>
      <w:r w:rsidRPr="00BD0AB4">
        <w:rPr>
          <w:sz w:val="20"/>
        </w:rPr>
        <w:t>s efforts.  Furthermore, while the Act employs both a penal and regulatory form, Parliament may validly employ regulations as part of a criminal law provided it targets a legitimate criminal law purpose.</w:t>
      </w:r>
    </w:p>
    <w:p w:rsidR="00BD0AB4" w:rsidRPr="00BD0AB4" w:rsidRDefault="00BD0AB4" w:rsidP="00BD0AB4">
      <w:pPr>
        <w:jc w:val="both"/>
        <w:rPr>
          <w:sz w:val="20"/>
        </w:rPr>
      </w:pPr>
    </w:p>
    <w:p w:rsidR="00BD0AB4" w:rsidRPr="00BD0AB4" w:rsidRDefault="00BD0AB4" w:rsidP="00BD0AB4">
      <w:pPr>
        <w:jc w:val="both"/>
        <w:rPr>
          <w:sz w:val="20"/>
        </w:rPr>
      </w:pPr>
      <w:r w:rsidRPr="00BD0AB4">
        <w:rPr>
          <w:sz w:val="20"/>
        </w:rPr>
        <w:tab/>
        <w:t>Here, the matter of the statutory scheme, viewed as a whole, is a valid exercise of the federal power over criminal law.  The dominant purpose and effect of the legislative scheme is to prohibit practices that would undercut moral values, produce public health evils, and threaten the security of donors, donees, and persons conceived by assisted reproduction.  While this initiative necessarily touches on provincial jurisdiction over medical research and practice, these fields are the subject of overlapping federal and provincial jurisdiction.  Parliament has a strong interest in ensuring that basic moral standards govern the creation and destruction of life, as well as their impact on persons like donors and mothers.  The Act seeks to avert serious damage to the fabric of our society by prohibiting practices that tend to devalue human life and degrade participants.  Overlapping with the morality concerns are concerns for public health and security which may be properly targeted by criminal law.  These are valid criminal law purposes.</w:t>
      </w:r>
    </w:p>
    <w:p w:rsidR="00BD0AB4" w:rsidRPr="00BD0AB4" w:rsidRDefault="00BD0AB4" w:rsidP="00BD0AB4">
      <w:pPr>
        <w:jc w:val="both"/>
        <w:rPr>
          <w:sz w:val="20"/>
        </w:rPr>
      </w:pPr>
    </w:p>
    <w:p w:rsidR="00BD0AB4" w:rsidRPr="00BD0AB4" w:rsidRDefault="00BD0AB4" w:rsidP="00BD0AB4">
      <w:pPr>
        <w:jc w:val="both"/>
        <w:rPr>
          <w:sz w:val="20"/>
        </w:rPr>
      </w:pPr>
      <w:r w:rsidRPr="00BD0AB4">
        <w:rPr>
          <w:sz w:val="20"/>
        </w:rPr>
        <w:tab/>
        <w:t>The prohibitions in ss. 8 to 13 come within the scope of the federal criminal law power and are valid criminal law.  The provisions are related to ss. 5 to 7, which are conceded to be valid criminal law.  Section 8 prohibits the use of reproductive material for the artificial creation of embryos, unless the donor has consented in accordance with the regulations.  This relates to the fundamental importance ascribed to human autonomy.  Section 9 prohibits persons from obtaining reproductive material from underage donors, except for the purpose of preserving the sperm or ovum or for the purpose of creating a human being that the person reasonably believes will be raised by the donor.  This provision seeks to protect vulnerable youth from exploitation and undue pressure.  It is an absolute prohibition like ss. 5 to 7, without any accompanying regulations.</w:t>
      </w:r>
    </w:p>
    <w:p w:rsidR="00BD0AB4" w:rsidRPr="00BD0AB4" w:rsidRDefault="00BD0AB4" w:rsidP="00BD0AB4">
      <w:pPr>
        <w:jc w:val="both"/>
        <w:rPr>
          <w:sz w:val="20"/>
        </w:rPr>
      </w:pPr>
    </w:p>
    <w:p w:rsidR="00BD0AB4" w:rsidRPr="00BD0AB4" w:rsidRDefault="00BD0AB4" w:rsidP="00BD0AB4">
      <w:pPr>
        <w:jc w:val="both"/>
        <w:rPr>
          <w:sz w:val="20"/>
        </w:rPr>
      </w:pPr>
      <w:r w:rsidRPr="00BD0AB4">
        <w:rPr>
          <w:sz w:val="20"/>
        </w:rPr>
        <w:tab/>
        <w:t>Sections 10 and 11 buttress the prohibitions in s. 5.  In essence, s. 10 prohibits dealing with human reproductive material without a licence.  It targets health risks and moral concerns related to the artificial creation of human life.  Section 11 prohibits transgenic engineering unless permitted by the regulations and performed by a licence</w:t>
      </w:r>
      <w:r w:rsidRPr="00BD0AB4">
        <w:rPr>
          <w:sz w:val="20"/>
        </w:rPr>
        <w:noBreakHyphen/>
        <w:t>holder.  By using a selective prohibition to broaden the absolute prohibitions in s. 5 on the creation of chimeras and hybrid entities, s. 11 recognizes that mixing human and non</w:t>
      </w:r>
      <w:r w:rsidRPr="00BD0AB4">
        <w:rPr>
          <w:sz w:val="20"/>
        </w:rPr>
        <w:noBreakHyphen/>
        <w:t xml:space="preserve">human genetic material can raise moral concerns long before such experiments result in the creation of a new life form.  Working together, licensing and regulation provide for enforceable, tailored prohibitions, which leave the provinces free to regulate the beneficial aspects of genetic manipulation. </w:t>
      </w:r>
    </w:p>
    <w:p w:rsidR="00BD0AB4" w:rsidRPr="00BD0AB4" w:rsidRDefault="00BD0AB4" w:rsidP="00BD0AB4">
      <w:pPr>
        <w:jc w:val="both"/>
        <w:rPr>
          <w:sz w:val="20"/>
        </w:rPr>
      </w:pPr>
    </w:p>
    <w:p w:rsidR="00BD0AB4" w:rsidRPr="00BD0AB4" w:rsidRDefault="00BD0AB4" w:rsidP="00BD0AB4">
      <w:pPr>
        <w:jc w:val="both"/>
        <w:rPr>
          <w:sz w:val="20"/>
        </w:rPr>
      </w:pPr>
      <w:r w:rsidRPr="00BD0AB4">
        <w:rPr>
          <w:sz w:val="20"/>
        </w:rPr>
        <w:tab/>
        <w:t>Section 12 prohibits reimbursement of donors and surrogate mothers except in accordance with the regulations and with a licence.  This provision is rooted in the same concerns as ss. 6 and 7, which prohibit the commercialization of reproduction.  Section 13 is an absolute prohibition on the performance of licensed activities in unlicensed premises, backed by a penalty.  The artificial creation of human life in clandestine facilities would pose serious health risks to those involved.  Ensuring that the facilities of assisted human reproduction are properly supervised also relates to Parliament’s moral concerns.</w:t>
      </w:r>
    </w:p>
    <w:p w:rsidR="00BD0AB4" w:rsidRPr="00BD0AB4" w:rsidRDefault="00BD0AB4" w:rsidP="00BD0AB4">
      <w:pPr>
        <w:jc w:val="both"/>
        <w:rPr>
          <w:sz w:val="20"/>
        </w:rPr>
      </w:pPr>
    </w:p>
    <w:p w:rsidR="00BD0AB4" w:rsidRPr="00BD0AB4" w:rsidRDefault="00BD0AB4" w:rsidP="00BD0AB4">
      <w:pPr>
        <w:jc w:val="both"/>
        <w:rPr>
          <w:sz w:val="20"/>
        </w:rPr>
      </w:pPr>
      <w:r w:rsidRPr="00BD0AB4">
        <w:rPr>
          <w:sz w:val="20"/>
        </w:rPr>
        <w:tab/>
        <w:t xml:space="preserve">Together with ss. 5 to 7, ss. 8 to 13 form a valid prohibition regime that is consistent with the objectives of the Act as a whole.  These provisions contain prohibitions, backed by penalties, and are directed in pith and substance to </w:t>
      </w:r>
      <w:r w:rsidRPr="00BD0AB4">
        <w:rPr>
          <w:sz w:val="20"/>
        </w:rPr>
        <w:lastRenderedPageBreak/>
        <w:t>valid criminal law goals.  Although some of the prohibitions impact on the regulation of medical research and practice, the impact is incidental to the legislation</w:t>
      </w:r>
      <w:r w:rsidRPr="00BD0AB4">
        <w:rPr>
          <w:sz w:val="20"/>
        </w:rPr>
        <w:sym w:font="WP TypographicSymbols" w:char="003D"/>
      </w:r>
      <w:r w:rsidRPr="00BD0AB4">
        <w:rPr>
          <w:sz w:val="20"/>
        </w:rPr>
        <w:t>s dominant criminal purpose and limited to those ends.  Furthermore, subject to the Act</w:t>
      </w:r>
      <w:r w:rsidRPr="00BD0AB4">
        <w:rPr>
          <w:sz w:val="20"/>
        </w:rPr>
        <w:sym w:font="WP TypographicSymbols" w:char="003D"/>
      </w:r>
      <w:r w:rsidRPr="00BD0AB4">
        <w:rPr>
          <w:sz w:val="20"/>
        </w:rPr>
        <w:t xml:space="preserve">s prohibitions, the provinces are free to enact legislation promoting beneficial practices in the field of assisted reproduction. </w:t>
      </w:r>
    </w:p>
    <w:p w:rsidR="00BD0AB4" w:rsidRPr="00BD0AB4" w:rsidRDefault="00BD0AB4" w:rsidP="00BD0AB4">
      <w:pPr>
        <w:jc w:val="both"/>
        <w:rPr>
          <w:sz w:val="20"/>
        </w:rPr>
      </w:pPr>
    </w:p>
    <w:p w:rsidR="00BD0AB4" w:rsidRPr="00BD0AB4" w:rsidRDefault="00BD0AB4" w:rsidP="00BD0AB4">
      <w:pPr>
        <w:jc w:val="both"/>
        <w:rPr>
          <w:sz w:val="20"/>
        </w:rPr>
      </w:pPr>
      <w:r w:rsidRPr="00BD0AB4">
        <w:rPr>
          <w:sz w:val="20"/>
        </w:rPr>
        <w:tab/>
        <w:t>While not criminal law in pith and substance, the administrative, organizational, and enforcement provisions in ss. 14 to 68 are integrated into the prohibition regime set up by ss. 5 to 13.  Some of these ancillary provisions are criminal in nature and do not significantly intrude on provincial powers, such as the provisions for enforcement (ss. 45 to 59), promulgation of regulations (ss. 65 to 67), and imposition of penalties (ss. 60 and 61).  The organizational provisions in ss. 20 to 39 are also essentially part of the criminal prohibitions in ss. 5 to 13.  The information management provisions in ss. 14 to 19 and the administrative provisions in ss. 40 to 44 represent a minor incursion on provincial powers.  They generally fall under the provincial powers over property and civil rights and matters of a merely local or private nature.  However, since these are very broad heads of power, the intrusion is less serious.  Moreover, the provisions do not purport to create a substantive right, but function merely to assist in enforcing the Act.  Without the prohibition regime in ss. 5 to 13, they would serve no purpose.  Furthermore, the provisions are designed to supplement, rather than exclude provincial legislation.  Finally, Parliament has a history of administering and enforcing statutes addressing issues of morality, health and security by way of licensing bodies.  Since the ancillary provisions constitute a minor incursion on provincial jurisdiction, the rational and functional connection test should be applied to determine whether they are valid under the ancillary powers doctrine.</w:t>
      </w:r>
    </w:p>
    <w:p w:rsidR="00BD0AB4" w:rsidRPr="00BD0AB4" w:rsidRDefault="00BD0AB4" w:rsidP="00BD0AB4">
      <w:pPr>
        <w:jc w:val="both"/>
        <w:rPr>
          <w:sz w:val="20"/>
        </w:rPr>
      </w:pPr>
    </w:p>
    <w:p w:rsidR="00BD0AB4" w:rsidRPr="00BD0AB4" w:rsidRDefault="00BD0AB4" w:rsidP="00BD0AB4">
      <w:pPr>
        <w:jc w:val="both"/>
        <w:rPr>
          <w:sz w:val="20"/>
        </w:rPr>
      </w:pPr>
      <w:r w:rsidRPr="00BD0AB4">
        <w:rPr>
          <w:sz w:val="20"/>
        </w:rPr>
        <w:tab/>
        <w:t>Sections 14 to 68 support the legislative scheme in a way that is rational in purpose and functional in effect.  Sections 14 to 19 define standards of consent and privacy, charge the Agency with managing personal health information, and establish rules for the medical profession.  These provisions harness the flow of information, first to deal appropriately with consent and related privacy issues, and second to facilitate compliance with the Act.  Sections 40 to 44 relate to the issuance of licences for controlled activities, and are directly related to prohibiting harmful and immoral conduct while excepting beneficial activity.  The provisions relating to inspection and enforcement found in ss. 45 to 59 are also part and parcel of the scheme prohibiting immoral and potentially harmful uses of human reproductive material.  Sections 60 and 61, which provide penal sanctions, are necessary for criminal law provisions. Finally, s. 68 permits the Governor in Council to declare provisions of the Act inapplicable in a province where a provincial law contains similar provisions, pursuant to an agreement with that province.  This provision recognizes the fact that assisted human reproduction is an area of overlapping jurisdiction, and allows provincial schemes to govern exclusively where provincial laws are equivalent to the federal scheme.  The ancillary provisions are thus valid under the ancillary powers doctrine.</w:t>
      </w:r>
    </w:p>
    <w:p w:rsidR="00BD0AB4" w:rsidRPr="00BD0AB4" w:rsidRDefault="00BD0AB4" w:rsidP="00BD0AB4">
      <w:pPr>
        <w:jc w:val="both"/>
        <w:rPr>
          <w:sz w:val="20"/>
        </w:rPr>
      </w:pPr>
    </w:p>
    <w:p w:rsidR="00BD0AB4" w:rsidRPr="00BD0AB4" w:rsidRDefault="00BD0AB4" w:rsidP="00BD0AB4">
      <w:pPr>
        <w:jc w:val="both"/>
        <w:rPr>
          <w:sz w:val="20"/>
        </w:rPr>
      </w:pPr>
      <w:r w:rsidRPr="00BD0AB4">
        <w:rPr>
          <w:i/>
          <w:sz w:val="20"/>
          <w:lang w:val="en-US"/>
        </w:rPr>
        <w:tab/>
        <w:t>Per</w:t>
      </w:r>
      <w:r w:rsidRPr="00BD0AB4">
        <w:rPr>
          <w:sz w:val="20"/>
          <w:lang w:val="en-US"/>
        </w:rPr>
        <w:t xml:space="preserve"> </w:t>
      </w:r>
      <w:r w:rsidRPr="00BD0AB4">
        <w:rPr>
          <w:b/>
          <w:sz w:val="20"/>
          <w:lang w:val="en-US"/>
        </w:rPr>
        <w:t>LeBel</w:t>
      </w:r>
      <w:r w:rsidRPr="00BD0AB4">
        <w:rPr>
          <w:sz w:val="20"/>
          <w:lang w:val="en-US"/>
        </w:rPr>
        <w:t xml:space="preserve">, </w:t>
      </w:r>
      <w:r w:rsidRPr="00BD0AB4">
        <w:rPr>
          <w:b/>
          <w:sz w:val="20"/>
          <w:lang w:val="en-US"/>
        </w:rPr>
        <w:t>Deschamps</w:t>
      </w:r>
      <w:r w:rsidRPr="00BD0AB4">
        <w:rPr>
          <w:sz w:val="20"/>
          <w:lang w:val="en-US"/>
        </w:rPr>
        <w:t xml:space="preserve">, Abella and Rothstein JJ.:  </w:t>
      </w:r>
      <w:r w:rsidRPr="00BD0AB4">
        <w:rPr>
          <w:sz w:val="20"/>
        </w:rPr>
        <w:t xml:space="preserve">Sections 8 to 19, 40 to 53, 60, 61 and 68 of the Act exceed the legislative authority of the Parliament of Canada under the </w:t>
      </w:r>
      <w:r w:rsidRPr="00BD0AB4">
        <w:rPr>
          <w:i/>
          <w:sz w:val="20"/>
        </w:rPr>
        <w:t>Constitution Act, 1867</w:t>
      </w:r>
      <w:r w:rsidRPr="00BD0AB4">
        <w:rPr>
          <w:sz w:val="20"/>
        </w:rPr>
        <w:t>.  The provisions of the Act concerning controlled activities, namely those involving assistance for human reproduction and related research activities, do not fall under the criminal law power, but belong to the jurisdiction of the provinces over hospitals, property and civil rights, and matters of a merely local nature.</w:t>
      </w:r>
    </w:p>
    <w:p w:rsidR="00BD0AB4" w:rsidRPr="00BD0AB4" w:rsidRDefault="00BD0AB4" w:rsidP="00BD0AB4">
      <w:pPr>
        <w:jc w:val="both"/>
        <w:rPr>
          <w:sz w:val="20"/>
        </w:rPr>
      </w:pPr>
    </w:p>
    <w:p w:rsidR="00BD0AB4" w:rsidRPr="00BD0AB4" w:rsidRDefault="00BD0AB4" w:rsidP="00BD0AB4">
      <w:pPr>
        <w:jc w:val="both"/>
        <w:rPr>
          <w:sz w:val="20"/>
        </w:rPr>
      </w:pPr>
      <w:r w:rsidRPr="00BD0AB4">
        <w:rPr>
          <w:sz w:val="20"/>
        </w:rPr>
        <w:tab/>
        <w:t xml:space="preserve">The first step of the constitutional analysis involves identifying the pith and substance (purpose and effects) of the impugned provisions.  Those provisions must be considered separately before considering their connection with the other provisions of the Act, since the purposes and effects of a statute’s many provisions can be different.  It is also important to identify the pith and substance of the impugned provisions as precisely as possible, since a vague characterization could lead not only to the dilution of and confusion with respect to the constitutional doctrines, but also to an erosion of the scope of provincial powers as a result of the federal paramountcy doctrine.  If the pith and substance of the provisions falls within the jurisdiction of the other level of government, it is necessary first to assess the extent of the overflow in light of the purpose of the provisions and to weigh their effects.  It must then be determined whether the provisions form part of an otherwise valid statute.  Finally, the impugned provisions must be considered in the context of the entire statute in order to determine whether they are sufficiently integrated with the other provisions of the otherwise valid statute.  This review must make it possible to establish a relationship between the extent of the jurisdictional overflow and the importance of the provisions themselves within the statute of which they form a part.  There are two applicable concepts:  functionality and necessity.  The more necessary the provisions are to the effectiveness of the rules set out in the part of the statute that is not open to challenge, the greater the </w:t>
      </w:r>
      <w:r w:rsidRPr="00BD0AB4">
        <w:rPr>
          <w:sz w:val="20"/>
        </w:rPr>
        <w:lastRenderedPageBreak/>
        <w:t>acceptable overflow will be.  Care must be taken to maintain the constitutional balance of powers at all stages of the constitutional analysis.</w:t>
      </w:r>
    </w:p>
    <w:p w:rsidR="00BD0AB4" w:rsidRPr="00BD0AB4" w:rsidRDefault="00BD0AB4" w:rsidP="00BD0AB4">
      <w:pPr>
        <w:jc w:val="both"/>
        <w:rPr>
          <w:sz w:val="20"/>
        </w:rPr>
      </w:pPr>
    </w:p>
    <w:p w:rsidR="00BD0AB4" w:rsidRPr="00BD0AB4" w:rsidRDefault="00BD0AB4" w:rsidP="00BD0AB4">
      <w:pPr>
        <w:jc w:val="both"/>
        <w:rPr>
          <w:sz w:val="20"/>
        </w:rPr>
      </w:pPr>
      <w:r w:rsidRPr="00BD0AB4">
        <w:rPr>
          <w:sz w:val="20"/>
        </w:rPr>
        <w:tab/>
        <w:t>In this case, the purpose and the effects of the impugned provisions relate to the regulation of a specific type of health services provided in health</w:t>
      </w:r>
      <w:r w:rsidRPr="00BD0AB4">
        <w:rPr>
          <w:sz w:val="20"/>
        </w:rPr>
        <w:noBreakHyphen/>
        <w:t>care institutions by professionals to individuals who for pathological or physiological reasons need help to reproduce.  Their pith and substance is the regulation of assisted human reproduction as a health service.  In the Act, substantive and formal distinctions are drawn between prohibited activities and controlled activities.  This dichotomy appears clearly from Parliament’s statement of principles in s. 2 and from the titles used in the Act itself.  Furthermore, whereas the category of controlled activities concerns services that are available to persons in need of assistance because of an inability to reproduce and that are used by professionals who provide the required help, the activities that are prohibited completely do not involve techniques used in assisted human reproduction.  The impugned provisions do not have the same purpose as the unchallenged provisions.  They were enacted to establish mandatory national standards for assisted human reproduction.  As can be seen from the legislative history, this was how Parliament believed that the benefits of assisted human reproductive technologies and related research for individuals, for families and for society in general could be most effectively secured.  When it decided to regulate what are called “controlled” activities, Parliament took into account the concerns expressed about the ethical and moral aspects and the safety of assisted reproductive activities.  And in so doing it intended to implement a recommendation from the Baird Report in order to ensure that Canadians could have access to assisted reproduction services.  Regarding the activities that are prohibited completely, Parliament responded to what was presented to it as a consensus that they are reprehensible.  Those prohibitions are therefore intended to prevent activities and the use of technologies that do not form part of the process of genetic research or assisted human reproduction.</w:t>
      </w:r>
    </w:p>
    <w:p w:rsidR="00BD0AB4" w:rsidRPr="00BD0AB4" w:rsidRDefault="00BD0AB4" w:rsidP="00BD0AB4">
      <w:pPr>
        <w:jc w:val="both"/>
        <w:rPr>
          <w:sz w:val="20"/>
        </w:rPr>
      </w:pPr>
    </w:p>
    <w:p w:rsidR="00BD0AB4" w:rsidRPr="00BD0AB4" w:rsidRDefault="00BD0AB4" w:rsidP="00BD0AB4">
      <w:pPr>
        <w:jc w:val="both"/>
        <w:rPr>
          <w:sz w:val="20"/>
        </w:rPr>
      </w:pPr>
      <w:r w:rsidRPr="00BD0AB4">
        <w:rPr>
          <w:sz w:val="20"/>
        </w:rPr>
        <w:tab/>
        <w:t xml:space="preserve">A review of the effects of the provisions of the Act confirms that the impugned scheme seriously affects the practice of medicine and overlaps or conflicts with many Quebec statutes and regulations.  The impugned provisions have a direct impact on the relationship between physicians called upon to use assisted reproductive technologies, donors, and patients.  Section 8 sets out rules on consent for the removal and use of human reproductive material, even though rules on consent already exist in the </w:t>
      </w:r>
      <w:r w:rsidRPr="00BD0AB4">
        <w:rPr>
          <w:i/>
          <w:sz w:val="20"/>
        </w:rPr>
        <w:t>Civil Code of Québec</w:t>
      </w:r>
      <w:r w:rsidRPr="00BD0AB4">
        <w:rPr>
          <w:sz w:val="20"/>
        </w:rPr>
        <w:t xml:space="preserve">.  Similarly, s. 12 implicitly authorizes surrogacy contracts, whereas the </w:t>
      </w:r>
      <w:r w:rsidRPr="00BD0AB4">
        <w:rPr>
          <w:i/>
          <w:sz w:val="20"/>
        </w:rPr>
        <w:t>Code</w:t>
      </w:r>
      <w:r w:rsidRPr="00BD0AB4">
        <w:rPr>
          <w:sz w:val="20"/>
        </w:rPr>
        <w:t xml:space="preserve"> provides that such contracts are null.  Moreover, ss. 10, 11, 13, 40(1) and 42 require researchers and physicians who engage in activities related to treatments for infertility to obtain licenses from the Federal Agency even though other Quebec legislation already requires them to obtain permits.  Sections 14 to 19 establish a system for the management and disclosure of information relating to assisted reproductive activities, but Quebec already has its own rules governing the use of assisted reproductive technologies by health</w:t>
      </w:r>
      <w:r w:rsidRPr="00BD0AB4">
        <w:rPr>
          <w:sz w:val="20"/>
        </w:rPr>
        <w:noBreakHyphen/>
        <w:t xml:space="preserve">care institutions and physicians, and the disclosure of confidential information is also subject to provisions of several Quebec statutes and regulations.  Finally, the oversight by the Federal Agency under ss. 45 to 53 duplicates the oversight provided for in other Quebec statutes. </w:t>
      </w:r>
    </w:p>
    <w:p w:rsidR="00BD0AB4" w:rsidRPr="00BD0AB4" w:rsidRDefault="00BD0AB4" w:rsidP="00BD0AB4">
      <w:pPr>
        <w:pStyle w:val="ListParagraph"/>
        <w:ind w:left="0"/>
        <w:jc w:val="both"/>
        <w:rPr>
          <w:rFonts w:eastAsiaTheme="minorEastAsia"/>
          <w:sz w:val="20"/>
        </w:rPr>
      </w:pPr>
    </w:p>
    <w:p w:rsidR="00BD0AB4" w:rsidRPr="00BD0AB4" w:rsidRDefault="00BD0AB4" w:rsidP="00BD0AB4">
      <w:pPr>
        <w:jc w:val="both"/>
        <w:rPr>
          <w:sz w:val="20"/>
        </w:rPr>
      </w:pPr>
      <w:r w:rsidRPr="00BD0AB4">
        <w:rPr>
          <w:sz w:val="20"/>
        </w:rPr>
        <w:tab/>
        <w:t>The impugned provisions, viewed from the perspective of their pith and substance, are not connected with the federal criminal law power.  The criminal law power does not give Parliament an unconditional right to take action to protect morality, safety and public health.  To be connected with this federal head of power, a law or a provision must (1) suppress an evil, (2) establish a prohibition and (3) accompany that prohibition with a penalty.  It is not enough to identify a public purpose that would have justified Parliament’s action.  That purpose must also involve suppressing an evil or safeguarding a threatened interest.  The evil must be real and the apprehension of harm must be reasonable.  This requirement constitutes an essential element of the substantive component of the definition of criminal law, and it applies with equal force where the legislative action is based on morality.  Recourse to the criminal law power cannot be based solely on concerns for efficiency or consistency, as such concerns, viewed in isolation, do not fall under the criminal law.  In the case at bar, although a connection can be made between the pith and substance of the absolute prohibitions and a risk of harm, the same cannot be said of the regulation of the other activities and of the regulatory scheme that is established in the Act.  Nothing in the record suggests that the controlled activities should be regarded as conduct that is reprehensible or represents a serious risk to morality, safety or public health.  A review of all the work of the Baird Commission and the evidence confirms that, where the impugned provisions are concerned, Parliament’s action did not have the purpose of upholding morality and was not based on a reasoned apprehension of harm, but was instead intended to establish national standards for assisted human reproduction.</w:t>
      </w:r>
    </w:p>
    <w:p w:rsidR="00BD0AB4" w:rsidRPr="00BD0AB4" w:rsidRDefault="00BD0AB4" w:rsidP="00BD0AB4">
      <w:pPr>
        <w:jc w:val="both"/>
        <w:rPr>
          <w:sz w:val="20"/>
        </w:rPr>
      </w:pPr>
    </w:p>
    <w:p w:rsidR="00BD0AB4" w:rsidRPr="00BD0AB4" w:rsidRDefault="00BD0AB4" w:rsidP="00BD0AB4">
      <w:pPr>
        <w:jc w:val="both"/>
        <w:rPr>
          <w:sz w:val="20"/>
        </w:rPr>
      </w:pPr>
      <w:r w:rsidRPr="00BD0AB4">
        <w:rPr>
          <w:sz w:val="20"/>
        </w:rPr>
        <w:tab/>
        <w:t xml:space="preserve">The impugned provisions represent an overflow of the exercise of the federal criminal law power.  Their pith and substance is connected with the provinces’ exclusive jurisdiction over hospitals, property and civil rights, and </w:t>
      </w:r>
      <w:r w:rsidRPr="00BD0AB4">
        <w:rPr>
          <w:sz w:val="20"/>
        </w:rPr>
        <w:lastRenderedPageBreak/>
        <w:t xml:space="preserve">matters of a merely local nature.  The impugned provisions affect rules with respect to the management of hospitals, since Parliament has provided that the Act applies to all premises in which controlled activities are undertaken. Furthermore, the fact that several of the impugned provisions concern subjects that are already governed by the </w:t>
      </w:r>
      <w:r w:rsidRPr="00BD0AB4">
        <w:rPr>
          <w:i/>
          <w:sz w:val="20"/>
        </w:rPr>
        <w:t>Civil Code of Québec</w:t>
      </w:r>
      <w:r w:rsidRPr="00BD0AB4">
        <w:rPr>
          <w:sz w:val="20"/>
        </w:rPr>
        <w:t xml:space="preserve"> and other Quebec legislation is an important indication that in pith and substance, the provisions lie at the very core of the provinces’ jurisdiction over civil rights and local matters.</w:t>
      </w:r>
    </w:p>
    <w:p w:rsidR="00BD0AB4" w:rsidRPr="00BD0AB4" w:rsidRDefault="00BD0AB4" w:rsidP="00BD0AB4">
      <w:pPr>
        <w:jc w:val="both"/>
        <w:rPr>
          <w:sz w:val="20"/>
        </w:rPr>
      </w:pPr>
    </w:p>
    <w:p w:rsidR="00BD0AB4" w:rsidRPr="00BD0AB4" w:rsidRDefault="00BD0AB4" w:rsidP="00BD0AB4">
      <w:pPr>
        <w:jc w:val="both"/>
        <w:rPr>
          <w:sz w:val="20"/>
        </w:rPr>
      </w:pPr>
      <w:r w:rsidRPr="00BD0AB4">
        <w:rPr>
          <w:sz w:val="20"/>
        </w:rPr>
        <w:tab/>
        <w:t>Given the extent of the overflow in this case, it cannot be found that an ancillary power has been validly exercised unless the impugned provisions have a relationship of necessity with the rest of the statute.  However, the scheme established by the prohibitory provisions does not depend on the existence of the regulatory scheme.  As well, it is clear from the legislative history that the prohibitory provisions were in fact always considered to stand alone and that the regulation of certain activities did not depend on the prohibition of other activities.  It</w:t>
      </w:r>
      <w:r w:rsidRPr="00BD0AB4">
        <w:rPr>
          <w:spacing w:val="3"/>
          <w:sz w:val="20"/>
        </w:rPr>
        <w:t xml:space="preserve"> must be inferred from this that in setting up the regulatory scheme, Parliament’s intention was to enact legislation in relation to a matter outside its jurisdiction</w:t>
      </w:r>
      <w:r w:rsidRPr="00BD0AB4">
        <w:rPr>
          <w:sz w:val="20"/>
        </w:rPr>
        <w:t>.</w:t>
      </w:r>
    </w:p>
    <w:p w:rsidR="00BD0AB4" w:rsidRPr="00BD0AB4" w:rsidRDefault="00BD0AB4" w:rsidP="00BD0AB4">
      <w:pPr>
        <w:jc w:val="both"/>
        <w:rPr>
          <w:sz w:val="20"/>
        </w:rPr>
      </w:pPr>
    </w:p>
    <w:p w:rsidR="00BD0AB4" w:rsidRPr="00BD0AB4" w:rsidRDefault="00BD0AB4" w:rsidP="00BD0AB4">
      <w:pPr>
        <w:jc w:val="both"/>
        <w:rPr>
          <w:sz w:val="20"/>
        </w:rPr>
      </w:pPr>
      <w:r w:rsidRPr="00BD0AB4">
        <w:rPr>
          <w:sz w:val="20"/>
        </w:rPr>
        <w:tab/>
        <w:t>The provisions pursuant to which the Federal Agency is responsible for implementing the regulatory scheme are purely ancillary and have no independent purpose.  They are invalid.  Furthermore, the constitutional defects are not remedied by s. 68, which authorizes the Governor in Council to declare certain provisions inapplicable if the federal minister and the government of a province so agree, as the jurisdictional overflow remains just as great as long as regulation of the activities in question remains dependent on the will of the federal government.  Finally, if the principle of subsidiarity were to play a role in the case at bar, it would favour connecting the rules in question with the provinces’ jurisdiction over local matters, not with the criminal law power.</w:t>
      </w:r>
    </w:p>
    <w:p w:rsidR="00BD0AB4" w:rsidRPr="00BD0AB4" w:rsidRDefault="00BD0AB4" w:rsidP="00BD0AB4">
      <w:pPr>
        <w:jc w:val="both"/>
        <w:rPr>
          <w:sz w:val="20"/>
          <w:lang w:val="en-US"/>
        </w:rPr>
      </w:pPr>
    </w:p>
    <w:p w:rsidR="00BD0AB4" w:rsidRPr="006638D4" w:rsidRDefault="00BD0AB4" w:rsidP="00BD0AB4">
      <w:pPr>
        <w:jc w:val="both"/>
        <w:rPr>
          <w:sz w:val="20"/>
        </w:rPr>
      </w:pPr>
      <w:r w:rsidRPr="00BD0AB4">
        <w:rPr>
          <w:i/>
          <w:sz w:val="20"/>
          <w:lang w:val="en-GB"/>
        </w:rPr>
        <w:tab/>
        <w:t>Per</w:t>
      </w:r>
      <w:r w:rsidRPr="00BD0AB4">
        <w:rPr>
          <w:sz w:val="20"/>
          <w:lang w:val="en-GB"/>
        </w:rPr>
        <w:t xml:space="preserve"> </w:t>
      </w:r>
      <w:r w:rsidRPr="00BD0AB4">
        <w:rPr>
          <w:b/>
          <w:sz w:val="20"/>
          <w:lang w:val="en-GB"/>
        </w:rPr>
        <w:t>Cromwell</w:t>
      </w:r>
      <w:r w:rsidRPr="00BD0AB4">
        <w:rPr>
          <w:sz w:val="20"/>
          <w:lang w:val="en-GB"/>
        </w:rPr>
        <w:t xml:space="preserve"> J.:  </w:t>
      </w:r>
      <w:r w:rsidRPr="00BD0AB4">
        <w:rPr>
          <w:sz w:val="20"/>
        </w:rPr>
        <w:t xml:space="preserve">The matter of the impugned provisions is regulation of virtually every aspect of research and clinical practice in relation to assisted human reproduction.  The matter of the challenged provisions is best classified as relating to the establishment, maintenance and management of hospitals, property and civil rights in the province and matters of a merely local or private nature in the province.  Sections 10, 11, 13, 14 to 18, 40(2), (3), (3.1), (4) and (5) and ss. 44(2) and (3) exceed the legislative authority of the Parliament of Canada under the </w:t>
      </w:r>
      <w:r w:rsidRPr="00BD0AB4">
        <w:rPr>
          <w:i/>
          <w:sz w:val="20"/>
        </w:rPr>
        <w:t>Constitution Act, 1867</w:t>
      </w:r>
      <w:r w:rsidRPr="00BD0AB4">
        <w:rPr>
          <w:sz w:val="20"/>
        </w:rPr>
        <w:t>.  However, ss. 8, 9 and 12 in purpose and effect prohibit negative practices associated with assisted reproduction and fall within the traditional ambit of the federal criminal law power.  Similarly, ss. 40(1), (6) and (7), 41 to 43 and 44(1) and (4) set up the mechanisms to implement s. 12 and, to the extent that they relate to provisions of the Act which are constitutional, were properly enacted by Parliament.  Sections 45 to 53, to the extent that they deal with inspection and enforcement in relation to constitutionally valid provisions of the Act, are also properly enacted under the criminal law power.  The same is true for ss. 60 and 61, which create offences.  Section 68 is also constitutional, although its operation will be limited to constitutional sections of the Act.  Given that the other provisions establishing the Assisted Human Reproduction Agency of Canada are not contested, there is no constitutional objection to s. 19.</w:t>
      </w:r>
    </w:p>
    <w:p w:rsidR="00BD0AB4" w:rsidRDefault="00BD0AB4" w:rsidP="005C6840">
      <w:pPr>
        <w:rPr>
          <w:rFonts w:cs="Times New Roman"/>
          <w:sz w:val="20"/>
          <w:szCs w:val="20"/>
        </w:rPr>
      </w:pPr>
    </w:p>
    <w:p w:rsidR="00BD0AB4" w:rsidRPr="006638D4" w:rsidRDefault="00BD0AB4" w:rsidP="00BD0AB4">
      <w:pPr>
        <w:pStyle w:val="SCCNormalDoubleSpacing"/>
        <w:spacing w:line="240" w:lineRule="auto"/>
        <w:rPr>
          <w:sz w:val="20"/>
        </w:rPr>
      </w:pPr>
      <w:r w:rsidRPr="006638D4">
        <w:rPr>
          <w:sz w:val="20"/>
        </w:rPr>
        <w:tab/>
        <w:t xml:space="preserve">APPEAL from a judgment of the Court of Appeal of Quebec (Gendreau, Chamberland and Rayle JJ.A.), 2008 QCCA 1167, 298 D.L.R. (4th) 712, [2008] R.J.Q. 1551, [2008] Q.J. No. 5489 (QL), 2008 CarswellQue 9848, in the matter of a reference concerning the question whether some sections of the </w:t>
      </w:r>
      <w:r w:rsidRPr="006638D4">
        <w:rPr>
          <w:i/>
          <w:sz w:val="20"/>
        </w:rPr>
        <w:t>Assisted Human Reproduction Act</w:t>
      </w:r>
      <w:r w:rsidRPr="006638D4">
        <w:rPr>
          <w:sz w:val="20"/>
        </w:rPr>
        <w:t xml:space="preserve"> are </w:t>
      </w:r>
      <w:r w:rsidRPr="006638D4">
        <w:rPr>
          <w:i/>
          <w:sz w:val="20"/>
        </w:rPr>
        <w:t>ultra vires</w:t>
      </w:r>
      <w:r w:rsidRPr="006638D4">
        <w:rPr>
          <w:sz w:val="20"/>
        </w:rPr>
        <w:t xml:space="preserve"> the Parliament of Canada.  Appeal allowed in part. </w:t>
      </w:r>
    </w:p>
    <w:p w:rsidR="00BD0AB4" w:rsidRPr="006638D4" w:rsidRDefault="00BD0AB4" w:rsidP="00BD0AB4">
      <w:pPr>
        <w:pStyle w:val="SCCNormalDoubleSpacing"/>
        <w:spacing w:line="240" w:lineRule="auto"/>
        <w:outlineLvl w:val="0"/>
        <w:rPr>
          <w:rStyle w:val="SCCCounselNameChar"/>
          <w:sz w:val="20"/>
        </w:rPr>
      </w:pPr>
    </w:p>
    <w:p w:rsidR="00BD0AB4" w:rsidRPr="006638D4" w:rsidRDefault="00BD0AB4" w:rsidP="00BD0AB4">
      <w:pPr>
        <w:pStyle w:val="SCCNormalDoubleSpacing"/>
        <w:spacing w:line="240" w:lineRule="auto"/>
        <w:outlineLvl w:val="0"/>
        <w:rPr>
          <w:sz w:val="20"/>
        </w:rPr>
      </w:pPr>
      <w:r w:rsidRPr="006638D4">
        <w:rPr>
          <w:rStyle w:val="SCCCounselNameChar"/>
          <w:sz w:val="20"/>
        </w:rPr>
        <w:tab/>
        <w:t>René LeBlanc</w:t>
      </w:r>
      <w:r w:rsidRPr="00BD0AB4">
        <w:rPr>
          <w:rStyle w:val="SCCCounselSeparatorChar"/>
          <w:sz w:val="20"/>
          <w:lang w:val="en-CA"/>
        </w:rPr>
        <w:t xml:space="preserve">, </w:t>
      </w:r>
      <w:r w:rsidRPr="006638D4">
        <w:rPr>
          <w:rStyle w:val="SCCCounselNameChar"/>
          <w:sz w:val="20"/>
        </w:rPr>
        <w:t>Peter W. Hogg</w:t>
      </w:r>
      <w:r w:rsidRPr="00BD0AB4">
        <w:rPr>
          <w:rStyle w:val="SCCCounselSeparatorChar"/>
          <w:sz w:val="20"/>
          <w:lang w:val="en-CA"/>
        </w:rPr>
        <w:t xml:space="preserve"> and </w:t>
      </w:r>
      <w:r w:rsidRPr="006638D4">
        <w:rPr>
          <w:rStyle w:val="SCCCounselNameChar"/>
          <w:sz w:val="20"/>
        </w:rPr>
        <w:t>Glenn Rivard</w:t>
      </w:r>
      <w:r w:rsidRPr="006638D4">
        <w:rPr>
          <w:rStyle w:val="SCCCounselPartyRoleChar"/>
          <w:sz w:val="20"/>
        </w:rPr>
        <w:t>, for the appellant.</w:t>
      </w:r>
    </w:p>
    <w:p w:rsidR="00BD0AB4" w:rsidRPr="006638D4" w:rsidRDefault="00BD0AB4" w:rsidP="00BD0AB4">
      <w:pPr>
        <w:pStyle w:val="SCCNormalDoubleSpacing"/>
        <w:spacing w:line="240" w:lineRule="auto"/>
        <w:rPr>
          <w:sz w:val="20"/>
        </w:rPr>
      </w:pPr>
    </w:p>
    <w:p w:rsidR="00BD0AB4" w:rsidRPr="006638D4" w:rsidRDefault="00BD0AB4" w:rsidP="00BD0AB4">
      <w:pPr>
        <w:pStyle w:val="SCCNormalDoubleSpacing"/>
        <w:spacing w:line="240" w:lineRule="auto"/>
        <w:outlineLvl w:val="0"/>
        <w:rPr>
          <w:sz w:val="20"/>
        </w:rPr>
      </w:pPr>
      <w:r w:rsidRPr="006638D4">
        <w:rPr>
          <w:rStyle w:val="SCCCounselNameChar"/>
          <w:sz w:val="20"/>
        </w:rPr>
        <w:tab/>
        <w:t>Jocelyne Provost</w:t>
      </w:r>
      <w:r w:rsidRPr="00BD0AB4">
        <w:rPr>
          <w:rStyle w:val="SCCCounselSeparatorChar"/>
          <w:sz w:val="20"/>
          <w:lang w:val="en-CA"/>
        </w:rPr>
        <w:t xml:space="preserve"> and </w:t>
      </w:r>
      <w:r w:rsidRPr="006638D4">
        <w:rPr>
          <w:rStyle w:val="SCCCounselNameChar"/>
          <w:sz w:val="20"/>
        </w:rPr>
        <w:t>Maude Randoin</w:t>
      </w:r>
      <w:r w:rsidRPr="006638D4">
        <w:rPr>
          <w:rStyle w:val="SCCCounselPartyRoleChar"/>
          <w:sz w:val="20"/>
        </w:rPr>
        <w:t>, for the respondent.</w:t>
      </w:r>
    </w:p>
    <w:p w:rsidR="00BD0AB4" w:rsidRPr="006638D4" w:rsidRDefault="00BD0AB4" w:rsidP="00BD0AB4">
      <w:pPr>
        <w:pStyle w:val="SCCNormalDoubleSpacing"/>
        <w:spacing w:line="240" w:lineRule="auto"/>
        <w:outlineLvl w:val="0"/>
        <w:rPr>
          <w:rStyle w:val="SCCCounselNameChar"/>
          <w:sz w:val="20"/>
        </w:rPr>
      </w:pPr>
    </w:p>
    <w:p w:rsidR="00BD0AB4" w:rsidRPr="006638D4" w:rsidRDefault="00BD0AB4" w:rsidP="00BD0AB4">
      <w:pPr>
        <w:pStyle w:val="SCCNormalDoubleSpacing"/>
        <w:spacing w:line="240" w:lineRule="auto"/>
        <w:outlineLvl w:val="0"/>
        <w:rPr>
          <w:sz w:val="20"/>
        </w:rPr>
      </w:pPr>
      <w:r w:rsidRPr="006638D4">
        <w:rPr>
          <w:rStyle w:val="SCCCounselNameChar"/>
          <w:sz w:val="20"/>
        </w:rPr>
        <w:tab/>
        <w:t>Gaétan Migneault</w:t>
      </w:r>
      <w:r w:rsidRPr="006638D4">
        <w:rPr>
          <w:rStyle w:val="SCCCounselPartyRoleChar"/>
          <w:sz w:val="20"/>
        </w:rPr>
        <w:t>, for the intervener the Attorney General of New Brunswick.</w:t>
      </w:r>
    </w:p>
    <w:p w:rsidR="00BD0AB4" w:rsidRPr="006638D4" w:rsidRDefault="00BD0AB4" w:rsidP="00BD0AB4">
      <w:pPr>
        <w:pStyle w:val="SCCNormalDoubleSpacing"/>
        <w:spacing w:line="240" w:lineRule="auto"/>
        <w:rPr>
          <w:rStyle w:val="SCCCounselNameChar"/>
          <w:sz w:val="20"/>
        </w:rPr>
      </w:pPr>
    </w:p>
    <w:p w:rsidR="00BD0AB4" w:rsidRPr="006638D4" w:rsidRDefault="00BD0AB4" w:rsidP="00BD0AB4">
      <w:pPr>
        <w:pStyle w:val="SCCNormalDoubleSpacing"/>
        <w:spacing w:line="240" w:lineRule="auto"/>
        <w:rPr>
          <w:sz w:val="20"/>
        </w:rPr>
      </w:pPr>
      <w:r w:rsidRPr="006638D4">
        <w:rPr>
          <w:rStyle w:val="SCCCounselNameChar"/>
          <w:sz w:val="20"/>
        </w:rPr>
        <w:tab/>
        <w:t>Graeme G. Mitchell</w:t>
      </w:r>
      <w:r w:rsidRPr="006638D4">
        <w:rPr>
          <w:rStyle w:val="SCCCounselNameChar"/>
          <w:i w:val="0"/>
          <w:sz w:val="20"/>
        </w:rPr>
        <w:t>,</w:t>
      </w:r>
      <w:r w:rsidRPr="006638D4">
        <w:rPr>
          <w:rStyle w:val="SCCCounselNameChar"/>
          <w:sz w:val="20"/>
        </w:rPr>
        <w:t xml:space="preserve"> Q.C.</w:t>
      </w:r>
      <w:r w:rsidRPr="006638D4">
        <w:rPr>
          <w:rStyle w:val="SCCCounselPartyRoleChar"/>
          <w:sz w:val="20"/>
        </w:rPr>
        <w:t xml:space="preserve">, for the intervener the Attorney General of Saskatchewan. </w:t>
      </w:r>
    </w:p>
    <w:p w:rsidR="00BD0AB4" w:rsidRPr="006638D4" w:rsidRDefault="00BD0AB4" w:rsidP="00BD0AB4">
      <w:pPr>
        <w:pStyle w:val="SCCNormalDoubleSpacing"/>
        <w:spacing w:line="240" w:lineRule="auto"/>
        <w:rPr>
          <w:sz w:val="20"/>
        </w:rPr>
      </w:pPr>
    </w:p>
    <w:p w:rsidR="00BD0AB4" w:rsidRPr="006638D4" w:rsidRDefault="00BD0AB4" w:rsidP="00BD0AB4">
      <w:pPr>
        <w:pStyle w:val="SCCNormalDoubleSpacing"/>
        <w:spacing w:line="240" w:lineRule="auto"/>
        <w:rPr>
          <w:sz w:val="20"/>
        </w:rPr>
      </w:pPr>
      <w:r w:rsidRPr="006638D4">
        <w:rPr>
          <w:rStyle w:val="SCCCounselNameChar"/>
          <w:sz w:val="20"/>
        </w:rPr>
        <w:tab/>
        <w:t>Lillian Riczu</w:t>
      </w:r>
      <w:r w:rsidRPr="00BD0AB4">
        <w:rPr>
          <w:rStyle w:val="SCCCounselSeparatorChar"/>
          <w:sz w:val="20"/>
          <w:lang w:val="en-CA"/>
        </w:rPr>
        <w:t xml:space="preserve"> and </w:t>
      </w:r>
      <w:r w:rsidRPr="006638D4">
        <w:rPr>
          <w:rStyle w:val="SCCCounselNameChar"/>
          <w:sz w:val="20"/>
        </w:rPr>
        <w:t>Randy Steele</w:t>
      </w:r>
      <w:r w:rsidRPr="006638D4">
        <w:rPr>
          <w:rStyle w:val="SCCCounselPartyRoleChar"/>
          <w:sz w:val="20"/>
        </w:rPr>
        <w:t>, for the intervener the Attorney General of Alberta.</w:t>
      </w:r>
    </w:p>
    <w:p w:rsidR="00BD0AB4" w:rsidRPr="006638D4" w:rsidRDefault="00BD0AB4" w:rsidP="00BD0AB4">
      <w:pPr>
        <w:pStyle w:val="SCCNormalDoubleSpacing"/>
        <w:tabs>
          <w:tab w:val="left" w:pos="1170"/>
        </w:tabs>
        <w:spacing w:line="240" w:lineRule="auto"/>
        <w:rPr>
          <w:sz w:val="20"/>
        </w:rPr>
      </w:pPr>
    </w:p>
    <w:p w:rsidR="00BD0AB4" w:rsidRPr="006638D4" w:rsidRDefault="00BD0AB4" w:rsidP="00BD0AB4">
      <w:pPr>
        <w:pStyle w:val="SCCNormalDoubleSpacing"/>
        <w:spacing w:line="240" w:lineRule="auto"/>
        <w:outlineLvl w:val="0"/>
        <w:rPr>
          <w:sz w:val="20"/>
        </w:rPr>
      </w:pPr>
      <w:r w:rsidRPr="006638D4">
        <w:rPr>
          <w:rStyle w:val="SCCCounselNameChar"/>
          <w:sz w:val="20"/>
        </w:rPr>
        <w:tab/>
      </w:r>
      <w:r w:rsidRPr="006638D4">
        <w:rPr>
          <w:rStyle w:val="SCCCounselNameChar"/>
          <w:i w:val="0"/>
          <w:sz w:val="20"/>
        </w:rPr>
        <w:t>Written submissions only for</w:t>
      </w:r>
      <w:r w:rsidRPr="006638D4">
        <w:rPr>
          <w:rStyle w:val="SCCCounselNameChar"/>
          <w:sz w:val="20"/>
        </w:rPr>
        <w:t xml:space="preserve"> </w:t>
      </w:r>
      <w:r w:rsidRPr="006638D4">
        <w:rPr>
          <w:rStyle w:val="SCCCounselPartyRoleChar"/>
          <w:sz w:val="20"/>
        </w:rPr>
        <w:t>the intervener Michael Awad.</w:t>
      </w:r>
    </w:p>
    <w:p w:rsidR="00BD0AB4" w:rsidRPr="006638D4" w:rsidRDefault="00BD0AB4" w:rsidP="00BD0AB4">
      <w:pPr>
        <w:pStyle w:val="SCCNormalDoubleSpacing"/>
        <w:tabs>
          <w:tab w:val="left" w:pos="1170"/>
        </w:tabs>
        <w:spacing w:line="240" w:lineRule="auto"/>
        <w:rPr>
          <w:rStyle w:val="SCCCounselNameChar"/>
          <w:sz w:val="20"/>
        </w:rPr>
      </w:pPr>
    </w:p>
    <w:p w:rsidR="00BD0AB4" w:rsidRPr="006638D4" w:rsidRDefault="00BD0AB4" w:rsidP="00BD0AB4">
      <w:pPr>
        <w:pStyle w:val="SCCNormalDoubleSpacing"/>
        <w:spacing w:line="240" w:lineRule="auto"/>
        <w:rPr>
          <w:sz w:val="20"/>
        </w:rPr>
      </w:pPr>
      <w:r w:rsidRPr="006638D4">
        <w:rPr>
          <w:rStyle w:val="SCCCounselNameChar"/>
          <w:sz w:val="20"/>
        </w:rPr>
        <w:tab/>
      </w:r>
      <w:r w:rsidRPr="006638D4">
        <w:rPr>
          <w:rStyle w:val="SCCCounselNameChar"/>
          <w:i w:val="0"/>
          <w:sz w:val="20"/>
        </w:rPr>
        <w:t xml:space="preserve">Written submissions only by </w:t>
      </w:r>
      <w:r w:rsidRPr="006638D4">
        <w:rPr>
          <w:rStyle w:val="SCCCounselPartyRoleChar"/>
          <w:i/>
          <w:sz w:val="20"/>
        </w:rPr>
        <w:t>Don Hutchinson</w:t>
      </w:r>
      <w:r w:rsidRPr="006638D4">
        <w:rPr>
          <w:rStyle w:val="SCCCounselPartyRoleChar"/>
          <w:sz w:val="20"/>
        </w:rPr>
        <w:t xml:space="preserve"> and </w:t>
      </w:r>
      <w:r w:rsidRPr="006638D4">
        <w:rPr>
          <w:rStyle w:val="SCCCounselPartyRoleChar"/>
          <w:i/>
          <w:sz w:val="20"/>
        </w:rPr>
        <w:t>Faye Sonier</w:t>
      </w:r>
      <w:r w:rsidRPr="006638D4">
        <w:rPr>
          <w:rStyle w:val="SCCCounselPartyRoleChar"/>
          <w:sz w:val="20"/>
        </w:rPr>
        <w:t xml:space="preserve"> for the interveners the Canadian Conference of Catholic Bishops and the Evangelical Fellowship of Canada.</w:t>
      </w:r>
    </w:p>
    <w:p w:rsidR="00BD0AB4" w:rsidRPr="006638D4" w:rsidRDefault="00BD0AB4" w:rsidP="00BD0AB4">
      <w:pPr>
        <w:pStyle w:val="SCCNormalDoubleSpacing"/>
        <w:spacing w:line="240" w:lineRule="auto"/>
        <w:rPr>
          <w:sz w:val="20"/>
        </w:rPr>
      </w:pPr>
    </w:p>
    <w:p w:rsidR="00BD0AB4" w:rsidRPr="006638D4" w:rsidRDefault="00BD0AB4" w:rsidP="00BD0AB4">
      <w:pPr>
        <w:pStyle w:val="SCCLawFirm"/>
        <w:spacing w:line="240" w:lineRule="auto"/>
        <w:outlineLvl w:val="0"/>
        <w:rPr>
          <w:sz w:val="20"/>
          <w:lang w:val="en-US"/>
        </w:rPr>
      </w:pPr>
      <w:r w:rsidRPr="006638D4">
        <w:rPr>
          <w:sz w:val="20"/>
        </w:rPr>
        <w:tab/>
      </w:r>
      <w:r w:rsidRPr="006638D4">
        <w:rPr>
          <w:sz w:val="20"/>
          <w:lang w:val="en-US"/>
        </w:rPr>
        <w:t>Solicitor for the appellant:  Department of Justice, Ottawa.</w:t>
      </w:r>
    </w:p>
    <w:p w:rsidR="00BD0AB4" w:rsidRPr="006638D4" w:rsidRDefault="00BD0AB4" w:rsidP="00BD0AB4">
      <w:pPr>
        <w:pStyle w:val="SCCLawFirm"/>
        <w:spacing w:line="240" w:lineRule="auto"/>
        <w:rPr>
          <w:sz w:val="20"/>
          <w:lang w:val="en-US"/>
        </w:rPr>
      </w:pPr>
    </w:p>
    <w:p w:rsidR="00BD0AB4" w:rsidRPr="006638D4" w:rsidRDefault="00BD0AB4" w:rsidP="00BD0AB4">
      <w:pPr>
        <w:pStyle w:val="SCCLawFirm"/>
        <w:spacing w:line="240" w:lineRule="auto"/>
        <w:outlineLvl w:val="0"/>
        <w:rPr>
          <w:sz w:val="20"/>
          <w:lang w:val="en-US"/>
        </w:rPr>
      </w:pPr>
      <w:r w:rsidRPr="006638D4">
        <w:rPr>
          <w:sz w:val="20"/>
          <w:lang w:val="en-US"/>
        </w:rPr>
        <w:tab/>
        <w:t>Solicitor for the respondent:  Attorney General of Quebec, Montréal.</w:t>
      </w:r>
    </w:p>
    <w:p w:rsidR="00BD0AB4" w:rsidRPr="006638D4" w:rsidRDefault="00BD0AB4" w:rsidP="00BD0AB4">
      <w:pPr>
        <w:pStyle w:val="SCCLawFirm"/>
        <w:spacing w:line="240" w:lineRule="auto"/>
        <w:rPr>
          <w:sz w:val="20"/>
        </w:rPr>
      </w:pPr>
    </w:p>
    <w:p w:rsidR="00BD0AB4" w:rsidRPr="006638D4" w:rsidRDefault="00BD0AB4" w:rsidP="00BD0AB4">
      <w:pPr>
        <w:pStyle w:val="SCCLawFirm"/>
        <w:spacing w:line="240" w:lineRule="auto"/>
        <w:rPr>
          <w:sz w:val="20"/>
        </w:rPr>
      </w:pPr>
      <w:r w:rsidRPr="006638D4">
        <w:rPr>
          <w:sz w:val="20"/>
        </w:rPr>
        <w:tab/>
        <w:t>Solicitor for the intervener the Attorney General of New Brunswick:  Attorney General of New Brunswick, Fredericton.</w:t>
      </w:r>
    </w:p>
    <w:p w:rsidR="00BD0AB4" w:rsidRPr="006638D4" w:rsidRDefault="00BD0AB4" w:rsidP="00BD0AB4">
      <w:pPr>
        <w:pStyle w:val="SCCLawFirm"/>
        <w:spacing w:line="240" w:lineRule="auto"/>
        <w:rPr>
          <w:sz w:val="20"/>
        </w:rPr>
      </w:pPr>
    </w:p>
    <w:p w:rsidR="00BD0AB4" w:rsidRPr="006638D4" w:rsidRDefault="00BD0AB4" w:rsidP="00BD0AB4">
      <w:pPr>
        <w:pStyle w:val="SCCLawFirm"/>
        <w:spacing w:line="240" w:lineRule="auto"/>
        <w:rPr>
          <w:sz w:val="20"/>
        </w:rPr>
      </w:pPr>
      <w:r w:rsidRPr="006638D4">
        <w:rPr>
          <w:sz w:val="20"/>
        </w:rPr>
        <w:tab/>
        <w:t>Solicitor for the intervener the Attorney General for Saskatchewan:  Attorney General for Saskatchewan, Regina.</w:t>
      </w:r>
    </w:p>
    <w:p w:rsidR="00BD0AB4" w:rsidRPr="006638D4" w:rsidRDefault="00BD0AB4" w:rsidP="00BD0AB4">
      <w:pPr>
        <w:pStyle w:val="SCCLawFirm"/>
        <w:spacing w:line="240" w:lineRule="auto"/>
        <w:rPr>
          <w:sz w:val="20"/>
        </w:rPr>
      </w:pPr>
    </w:p>
    <w:p w:rsidR="00BD0AB4" w:rsidRPr="006638D4" w:rsidRDefault="00BD0AB4" w:rsidP="00BD0AB4">
      <w:pPr>
        <w:pStyle w:val="SCCLawFirm"/>
        <w:spacing w:line="240" w:lineRule="auto"/>
        <w:rPr>
          <w:sz w:val="20"/>
        </w:rPr>
      </w:pPr>
      <w:r w:rsidRPr="006638D4">
        <w:rPr>
          <w:sz w:val="20"/>
          <w:lang w:val="en-US"/>
        </w:rPr>
        <w:tab/>
      </w:r>
      <w:r w:rsidRPr="006638D4">
        <w:rPr>
          <w:sz w:val="20"/>
        </w:rPr>
        <w:t>Solicitor for the intervener the Attorney General of Alberta:  Alberta Jusstice, Edmonton.</w:t>
      </w:r>
    </w:p>
    <w:p w:rsidR="00BD0AB4" w:rsidRPr="006638D4" w:rsidRDefault="00BD0AB4" w:rsidP="00BD0AB4">
      <w:pPr>
        <w:pStyle w:val="SCCLawFirm"/>
        <w:spacing w:line="240" w:lineRule="auto"/>
        <w:rPr>
          <w:sz w:val="20"/>
        </w:rPr>
      </w:pPr>
    </w:p>
    <w:p w:rsidR="00BD0AB4" w:rsidRPr="006638D4" w:rsidRDefault="00BD0AB4" w:rsidP="00BD0AB4">
      <w:pPr>
        <w:pStyle w:val="SCCLawFirm"/>
        <w:spacing w:line="240" w:lineRule="auto"/>
        <w:outlineLvl w:val="0"/>
        <w:rPr>
          <w:sz w:val="20"/>
        </w:rPr>
      </w:pPr>
      <w:r w:rsidRPr="006638D4">
        <w:rPr>
          <w:sz w:val="20"/>
        </w:rPr>
        <w:tab/>
        <w:t>Solicitors for the intervener Michael Awad:  Bennett Jones, Calgary.</w:t>
      </w:r>
    </w:p>
    <w:p w:rsidR="00BD0AB4" w:rsidRPr="006638D4" w:rsidRDefault="00BD0AB4" w:rsidP="00BD0AB4">
      <w:pPr>
        <w:pStyle w:val="SCCLawFirm"/>
        <w:spacing w:line="240" w:lineRule="auto"/>
        <w:rPr>
          <w:sz w:val="20"/>
        </w:rPr>
      </w:pPr>
    </w:p>
    <w:p w:rsidR="00BD0AB4" w:rsidRPr="006638D4" w:rsidRDefault="00BD0AB4" w:rsidP="00BD0AB4">
      <w:pPr>
        <w:pStyle w:val="SCCLawFirm"/>
        <w:spacing w:line="240" w:lineRule="auto"/>
        <w:rPr>
          <w:sz w:val="20"/>
        </w:rPr>
      </w:pPr>
      <w:r w:rsidRPr="006638D4">
        <w:rPr>
          <w:sz w:val="20"/>
        </w:rPr>
        <w:tab/>
        <w:t>Solicitors for the intervener the Canadian Conference of Catholic Bishops and the Evangelical Fellowship of Canada:  Barnes Sammon, Ottawa.</w:t>
      </w:r>
    </w:p>
    <w:p w:rsidR="00BD0AB4" w:rsidRPr="00BD0AB4" w:rsidRDefault="00BD0AB4" w:rsidP="005C6840">
      <w:pPr>
        <w:rPr>
          <w:rFonts w:cs="Times New Roman"/>
          <w:sz w:val="20"/>
          <w:szCs w:val="20"/>
        </w:rPr>
      </w:pPr>
    </w:p>
    <w:p w:rsidR="005C6840" w:rsidRDefault="00D56013" w:rsidP="005C6840">
      <w:pPr>
        <w:rPr>
          <w:lang w:val="fr-CA"/>
        </w:rPr>
      </w:pPr>
      <w:r w:rsidRPr="00D56013">
        <w:rPr>
          <w:rFonts w:cs="Times New Roman"/>
          <w:sz w:val="20"/>
          <w:szCs w:val="20"/>
          <w:lang w:val="fr-CA"/>
        </w:rPr>
        <w:pict>
          <v:rect id="_x0000_i1116" style="width:144.3pt;height:1pt" o:hrpct="300" o:hralign="center" o:hrstd="t" o:hrnoshade="t" o:hr="t" fillcolor="black [3213]" stroked="f"/>
        </w:pict>
      </w:r>
      <w:r w:rsidR="005C6840">
        <w:rPr>
          <w:lang w:val="fr-CA"/>
        </w:rPr>
        <w:br w:type="page"/>
      </w:r>
    </w:p>
    <w:p w:rsidR="0065796C" w:rsidRPr="00BD13EA" w:rsidRDefault="0065796C" w:rsidP="0065796C">
      <w:pPr>
        <w:rPr>
          <w:sz w:val="20"/>
          <w:szCs w:val="20"/>
        </w:rPr>
      </w:pPr>
      <w:r w:rsidRPr="00BD13EA">
        <w:rPr>
          <w:i/>
          <w:sz w:val="20"/>
          <w:szCs w:val="20"/>
        </w:rPr>
        <w:lastRenderedPageBreak/>
        <w:t>Attorney General of Canada v. TeleZone Inc.</w:t>
      </w:r>
      <w:r w:rsidRPr="00BD13EA">
        <w:rPr>
          <w:sz w:val="20"/>
          <w:szCs w:val="20"/>
        </w:rPr>
        <w:t xml:space="preserve"> (Ont.) (33041)</w:t>
      </w:r>
    </w:p>
    <w:p w:rsidR="00CC4E9B" w:rsidRDefault="00CC4E9B" w:rsidP="00CC4E9B">
      <w:pPr>
        <w:jc w:val="both"/>
        <w:rPr>
          <w:rStyle w:val="SCCRespondentForIndexChar"/>
          <w:rFonts w:eastAsia="Calibri"/>
          <w:sz w:val="20"/>
        </w:rPr>
      </w:pPr>
      <w:r w:rsidRPr="00F53298">
        <w:rPr>
          <w:rFonts w:cs="Times New Roman"/>
          <w:b/>
          <w:sz w:val="20"/>
          <w:szCs w:val="20"/>
        </w:rPr>
        <w:t>Indexed as:  Canada (</w:t>
      </w:r>
      <w:r w:rsidRPr="00CC4E9B">
        <w:rPr>
          <w:rStyle w:val="SCCAppellantForIndexChar"/>
          <w:rFonts w:eastAsia="Calibri"/>
          <w:sz w:val="20"/>
          <w:lang w:val="en-CA"/>
        </w:rPr>
        <w:t xml:space="preserve">Attorney General) </w:t>
      </w:r>
      <w:r w:rsidRPr="00F53298">
        <w:rPr>
          <w:rFonts w:cs="Times New Roman"/>
          <w:b/>
          <w:i/>
          <w:sz w:val="20"/>
          <w:szCs w:val="20"/>
        </w:rPr>
        <w:t>v.</w:t>
      </w:r>
      <w:r w:rsidRPr="00F53298">
        <w:rPr>
          <w:rFonts w:cs="Times New Roman"/>
          <w:b/>
          <w:sz w:val="20"/>
          <w:szCs w:val="20"/>
        </w:rPr>
        <w:t xml:space="preserve"> </w:t>
      </w:r>
      <w:r w:rsidRPr="00F53298">
        <w:rPr>
          <w:rStyle w:val="SCCRespondentForIndexChar"/>
          <w:rFonts w:eastAsia="Calibri"/>
          <w:sz w:val="20"/>
        </w:rPr>
        <w:t>TeleZone Inc.</w:t>
      </w:r>
      <w:r>
        <w:rPr>
          <w:rStyle w:val="SCCRespondentForIndexChar"/>
          <w:rFonts w:eastAsia="Calibri"/>
          <w:sz w:val="20"/>
        </w:rPr>
        <w:t xml:space="preserve"> /</w:t>
      </w:r>
    </w:p>
    <w:p w:rsidR="00CC4E9B" w:rsidRPr="00CC4E9B" w:rsidRDefault="00CC4E9B" w:rsidP="00CC4E9B">
      <w:pPr>
        <w:jc w:val="both"/>
        <w:rPr>
          <w:rFonts w:cs="Times New Roman"/>
          <w:b/>
          <w:sz w:val="20"/>
          <w:szCs w:val="20"/>
          <w:lang w:val="fr-CA"/>
        </w:rPr>
      </w:pPr>
      <w:r w:rsidRPr="00CC4E9B">
        <w:rPr>
          <w:rFonts w:cs="Times New Roman"/>
          <w:b/>
          <w:sz w:val="20"/>
          <w:szCs w:val="20"/>
          <w:lang w:val="fr-CA"/>
        </w:rPr>
        <w:t>Répertorié : </w:t>
      </w:r>
      <w:r w:rsidRPr="00D230E9">
        <w:rPr>
          <w:rStyle w:val="SCCAppellantForIndexChar"/>
          <w:rFonts w:eastAsia="Calibri"/>
          <w:sz w:val="20"/>
        </w:rPr>
        <w:t>Canada (Procureur général)</w:t>
      </w:r>
      <w:r w:rsidRPr="00CC4E9B">
        <w:rPr>
          <w:rFonts w:cs="Times New Roman"/>
          <w:b/>
          <w:sz w:val="20"/>
          <w:szCs w:val="20"/>
          <w:lang w:val="fr-CA"/>
        </w:rPr>
        <w:t xml:space="preserve"> </w:t>
      </w:r>
      <w:r w:rsidRPr="00CC4E9B">
        <w:rPr>
          <w:rFonts w:cs="Times New Roman"/>
          <w:b/>
          <w:i/>
          <w:sz w:val="20"/>
          <w:szCs w:val="20"/>
          <w:lang w:val="fr-CA"/>
        </w:rPr>
        <w:t>c.</w:t>
      </w:r>
      <w:r w:rsidRPr="00CC4E9B">
        <w:rPr>
          <w:rFonts w:cs="Times New Roman"/>
          <w:b/>
          <w:sz w:val="20"/>
          <w:szCs w:val="20"/>
          <w:lang w:val="fr-CA"/>
        </w:rPr>
        <w:t xml:space="preserve"> </w:t>
      </w:r>
      <w:r w:rsidRPr="00CC4E9B">
        <w:rPr>
          <w:rStyle w:val="SCCRespondentForIndexChar"/>
          <w:rFonts w:eastAsia="Calibri"/>
          <w:sz w:val="20"/>
          <w:lang w:val="fr-CA"/>
        </w:rPr>
        <w:t>TeleZone Inc.</w:t>
      </w:r>
    </w:p>
    <w:p w:rsidR="005C6840" w:rsidRPr="00F001B3" w:rsidRDefault="005C6840" w:rsidP="005C6840">
      <w:pPr>
        <w:pStyle w:val="SCCSystemYear"/>
        <w:jc w:val="both"/>
        <w:rPr>
          <w:sz w:val="20"/>
        </w:rPr>
      </w:pPr>
      <w:r w:rsidRPr="00F001B3">
        <w:rPr>
          <w:sz w:val="20"/>
        </w:rPr>
        <w:t>Neutral citation:  2010 SCC </w:t>
      </w:r>
      <w:r w:rsidR="00934DDB" w:rsidRPr="00F001B3">
        <w:rPr>
          <w:sz w:val="20"/>
        </w:rPr>
        <w:t>62</w:t>
      </w:r>
      <w:r w:rsidRPr="00F001B3">
        <w:rPr>
          <w:sz w:val="20"/>
        </w:rPr>
        <w:t xml:space="preserve"> / Référence neutre : 2010 CSC </w:t>
      </w:r>
      <w:r w:rsidR="00934DDB" w:rsidRPr="00F001B3">
        <w:rPr>
          <w:sz w:val="20"/>
        </w:rPr>
        <w:t>62</w:t>
      </w:r>
    </w:p>
    <w:p w:rsidR="005C6840" w:rsidRPr="00C52311" w:rsidRDefault="005C6840" w:rsidP="005C6840">
      <w:pPr>
        <w:rPr>
          <w:sz w:val="20"/>
          <w:szCs w:val="20"/>
          <w:lang w:val="fr-CA"/>
        </w:rPr>
      </w:pPr>
      <w:r w:rsidRPr="00C52311">
        <w:rPr>
          <w:sz w:val="20"/>
          <w:szCs w:val="20"/>
          <w:lang w:val="fr-CA"/>
        </w:rPr>
        <w:t xml:space="preserve">Hearing:  </w:t>
      </w:r>
      <w:r w:rsidR="00CC4E9B">
        <w:rPr>
          <w:sz w:val="20"/>
          <w:szCs w:val="20"/>
          <w:lang w:val="fr-CA"/>
        </w:rPr>
        <w:t>January</w:t>
      </w:r>
      <w:r w:rsidRPr="00C52311">
        <w:rPr>
          <w:sz w:val="20"/>
          <w:szCs w:val="20"/>
          <w:lang w:val="fr-CA"/>
        </w:rPr>
        <w:t xml:space="preserve"> 2</w:t>
      </w:r>
      <w:r w:rsidR="00CC4E9B">
        <w:rPr>
          <w:sz w:val="20"/>
          <w:szCs w:val="20"/>
          <w:lang w:val="fr-CA"/>
        </w:rPr>
        <w:t>0</w:t>
      </w:r>
      <w:r w:rsidRPr="00C52311">
        <w:rPr>
          <w:sz w:val="20"/>
          <w:szCs w:val="20"/>
          <w:lang w:val="fr-CA"/>
        </w:rPr>
        <w:t xml:space="preserve">, 2010 / Judgment:  </w:t>
      </w:r>
      <w:r w:rsidR="00681E94" w:rsidRPr="00C52311">
        <w:rPr>
          <w:sz w:val="20"/>
          <w:szCs w:val="20"/>
          <w:lang w:val="fr-CA"/>
        </w:rPr>
        <w:t>December</w:t>
      </w:r>
      <w:r w:rsidRPr="00C52311">
        <w:rPr>
          <w:sz w:val="20"/>
          <w:szCs w:val="20"/>
          <w:lang w:val="fr-CA"/>
        </w:rPr>
        <w:t xml:space="preserve"> 2</w:t>
      </w:r>
      <w:r w:rsidR="00681E94" w:rsidRPr="00C52311">
        <w:rPr>
          <w:sz w:val="20"/>
          <w:szCs w:val="20"/>
          <w:lang w:val="fr-CA"/>
        </w:rPr>
        <w:t>3</w:t>
      </w:r>
      <w:r w:rsidRPr="00C52311">
        <w:rPr>
          <w:sz w:val="20"/>
          <w:szCs w:val="20"/>
          <w:lang w:val="fr-CA"/>
        </w:rPr>
        <w:t>, 2010</w:t>
      </w:r>
    </w:p>
    <w:p w:rsidR="005C6840" w:rsidRPr="003B3977" w:rsidRDefault="005C6840" w:rsidP="005C6840">
      <w:pPr>
        <w:rPr>
          <w:sz w:val="20"/>
          <w:szCs w:val="20"/>
          <w:lang w:val="fr-CA"/>
        </w:rPr>
      </w:pPr>
      <w:r w:rsidRPr="003B3977">
        <w:rPr>
          <w:sz w:val="20"/>
          <w:szCs w:val="20"/>
          <w:lang w:val="fr-CA"/>
        </w:rPr>
        <w:t>Audition : Le 2</w:t>
      </w:r>
      <w:r w:rsidR="00CC4E9B">
        <w:rPr>
          <w:sz w:val="20"/>
          <w:szCs w:val="20"/>
          <w:lang w:val="fr-CA"/>
        </w:rPr>
        <w:t>0 janvier</w:t>
      </w:r>
      <w:r w:rsidRPr="003B3977">
        <w:rPr>
          <w:sz w:val="20"/>
          <w:szCs w:val="20"/>
          <w:lang w:val="fr-CA"/>
        </w:rPr>
        <w:t xml:space="preserve"> 2010 / Jugement : Le 2</w:t>
      </w:r>
      <w:r w:rsidR="00681E94">
        <w:rPr>
          <w:sz w:val="20"/>
          <w:szCs w:val="20"/>
          <w:lang w:val="fr-CA"/>
        </w:rPr>
        <w:t>3 décem</w:t>
      </w:r>
      <w:r w:rsidRPr="003B3977">
        <w:rPr>
          <w:sz w:val="20"/>
          <w:szCs w:val="20"/>
          <w:lang w:val="fr-CA"/>
        </w:rPr>
        <w:t>bre 2010</w:t>
      </w:r>
    </w:p>
    <w:p w:rsidR="005C6840" w:rsidRPr="003B3977" w:rsidRDefault="00D56013" w:rsidP="005C6840">
      <w:pPr>
        <w:rPr>
          <w:sz w:val="20"/>
          <w:szCs w:val="20"/>
          <w:lang w:val="fr-CA"/>
        </w:rPr>
      </w:pPr>
      <w:r w:rsidRPr="00D56013">
        <w:rPr>
          <w:i/>
          <w:sz w:val="20"/>
          <w:szCs w:val="20"/>
        </w:rPr>
        <w:pict>
          <v:rect id="_x0000_i1117" style="width:480.95pt;height:1pt" o:hralign="center" o:hrstd="t" o:hrnoshade="t" o:hr="t" fillcolor="black [3213]" stroked="f"/>
        </w:pict>
      </w:r>
    </w:p>
    <w:p w:rsidR="005C6840" w:rsidRPr="003B3977" w:rsidRDefault="005C6840" w:rsidP="005C6840">
      <w:pPr>
        <w:spacing w:line="0" w:lineRule="atLeast"/>
        <w:rPr>
          <w:sz w:val="20"/>
          <w:szCs w:val="20"/>
          <w:lang w:val="fr-CA"/>
        </w:rPr>
      </w:pPr>
    </w:p>
    <w:p w:rsidR="00CC4E9B" w:rsidRPr="00F53298" w:rsidRDefault="00CC4E9B" w:rsidP="00CC4E9B">
      <w:pPr>
        <w:jc w:val="both"/>
        <w:outlineLvl w:val="0"/>
        <w:rPr>
          <w:rFonts w:cs="Times New Roman"/>
          <w:sz w:val="20"/>
          <w:szCs w:val="20"/>
        </w:rPr>
      </w:pPr>
      <w:r w:rsidRPr="00F53298">
        <w:rPr>
          <w:rFonts w:cs="Times New Roman"/>
          <w:sz w:val="20"/>
          <w:szCs w:val="20"/>
        </w:rPr>
        <w:t>Present:  Binnie, LeBel, Deschamps, Abella, Charron, Rothstein and Cromwell JJ.</w:t>
      </w:r>
    </w:p>
    <w:p w:rsidR="00412488" w:rsidRDefault="00412488" w:rsidP="005C6840">
      <w:pPr>
        <w:jc w:val="both"/>
        <w:rPr>
          <w:sz w:val="20"/>
          <w:szCs w:val="20"/>
        </w:rPr>
      </w:pPr>
    </w:p>
    <w:p w:rsidR="00CC4E9B" w:rsidRPr="00F53298" w:rsidRDefault="00CC4E9B" w:rsidP="00CC4E9B">
      <w:pPr>
        <w:pStyle w:val="SCCNormalDoubleSpacing"/>
        <w:tabs>
          <w:tab w:val="left" w:pos="720"/>
        </w:tabs>
        <w:spacing w:line="240" w:lineRule="auto"/>
        <w:rPr>
          <w:i/>
          <w:sz w:val="20"/>
        </w:rPr>
      </w:pPr>
      <w:r w:rsidRPr="00F53298">
        <w:rPr>
          <w:i/>
          <w:sz w:val="20"/>
        </w:rPr>
        <w:tab/>
        <w:t>Courts — Jurisdiction — Provincial superior courts — Action brought against federal Crown in Ontario Superior Court of Justice seeking damages for breach of contract, negligence and unjust enrichment arising from decision rejecting application for telecommunications licence — Whether plaintiff entitled to proceed by way of action in Ontario Superior Court of Justice without first proceeding by way of judicial review in Federal Court — Federal Courts Act, R.S.C. 1985, c. F-7, ss. 17, 18; Crown Liability and Proceedings Act, R.S.C. 1985, c. C-50, s. 21.</w:t>
      </w:r>
    </w:p>
    <w:p w:rsidR="00CC4E9B" w:rsidRPr="00F53298" w:rsidRDefault="00CC4E9B" w:rsidP="00CC4E9B">
      <w:pPr>
        <w:pStyle w:val="SCCNormalDoubleSpacing"/>
        <w:tabs>
          <w:tab w:val="left" w:pos="720"/>
        </w:tabs>
        <w:spacing w:line="240" w:lineRule="auto"/>
        <w:rPr>
          <w:sz w:val="20"/>
        </w:rPr>
      </w:pPr>
    </w:p>
    <w:p w:rsidR="00CC4E9B" w:rsidRPr="00F53298" w:rsidRDefault="00CC4E9B" w:rsidP="00CC4E9B">
      <w:pPr>
        <w:pStyle w:val="SCCNormalDoubleSpacing"/>
        <w:tabs>
          <w:tab w:val="left" w:pos="720"/>
        </w:tabs>
        <w:spacing w:line="240" w:lineRule="auto"/>
        <w:rPr>
          <w:sz w:val="20"/>
        </w:rPr>
      </w:pPr>
      <w:r w:rsidRPr="00F53298">
        <w:rPr>
          <w:sz w:val="20"/>
        </w:rPr>
        <w:tab/>
        <w:t xml:space="preserve">In 1995, Industry Canada issued a call for personal communication services licence applications, and released the policy statement within which potential service providers could shape their applications.  The statement provided that Industry Canada would grant up to six licences on the basis of criteria it set out.  T submitted an application, but when Industry Canada announced its decision, there were only four successful applicants and T was not among them.  T filed an action against the Federal Crown in the Ontario Superior Court of Justice for breach of contract, negligence and unjust enrichment, and sought compensation for claimed losses of $250 million.  It claimed that it was an express or implied term of the policy statement that Industry Canada would only issue fewer than six licences if fewer than six applications met the criteria.  Since its application satisfied all the criteria, it says, Industry Canada must have considered other undisclosed factors when it rejected T’s application.  The Attorney General of Canada, relying on </w:t>
      </w:r>
      <w:r w:rsidRPr="00F53298">
        <w:rPr>
          <w:i/>
          <w:sz w:val="20"/>
        </w:rPr>
        <w:t>Canada v. Grenier</w:t>
      </w:r>
      <w:r w:rsidRPr="00F53298">
        <w:rPr>
          <w:sz w:val="20"/>
        </w:rPr>
        <w:t xml:space="preserve">, 2005 FCA 348, [2006] 2 F.C.R. 287, challenged the jurisdiction of the Superior Court on the ground that the claim constituted a collateral attack on the decision, which is barred by the grant to the Federal Court, by s. 18 of the </w:t>
      </w:r>
      <w:r w:rsidRPr="00F53298">
        <w:rPr>
          <w:i/>
          <w:sz w:val="20"/>
        </w:rPr>
        <w:t>Federal Courts Act</w:t>
      </w:r>
      <w:r w:rsidRPr="00F53298">
        <w:rPr>
          <w:sz w:val="20"/>
        </w:rPr>
        <w:t>, of exclusive judicial review jurisdiction in relation to decisions of all federal boards, commissions or other tribunals.  The Superior Court dismissed the objection on the ground that it was not plain and obvious that the claim would fail.  The Court of Appeal upheld the decision, holding that</w:t>
      </w:r>
      <w:r w:rsidRPr="00F53298">
        <w:rPr>
          <w:i/>
          <w:sz w:val="20"/>
        </w:rPr>
        <w:t xml:space="preserve"> Grenier</w:t>
      </w:r>
      <w:r w:rsidRPr="00F53298">
        <w:rPr>
          <w:sz w:val="20"/>
        </w:rPr>
        <w:t xml:space="preserve"> was wrongly decided. In that court’s view s. 17 of the </w:t>
      </w:r>
      <w:r w:rsidRPr="00F53298">
        <w:rPr>
          <w:i/>
          <w:sz w:val="20"/>
        </w:rPr>
        <w:t>Federal Courts Act</w:t>
      </w:r>
      <w:r w:rsidRPr="00F53298">
        <w:rPr>
          <w:sz w:val="20"/>
        </w:rPr>
        <w:t xml:space="preserve"> and s. 21 of the </w:t>
      </w:r>
      <w:r w:rsidRPr="00F53298">
        <w:rPr>
          <w:i/>
          <w:sz w:val="20"/>
        </w:rPr>
        <w:t>Crown Liability and Proceedings Act</w:t>
      </w:r>
      <w:r w:rsidRPr="00F53298">
        <w:rPr>
          <w:sz w:val="20"/>
        </w:rPr>
        <w:t xml:space="preserve"> conferred concurrent jurisdiction on the superior courts and the Federal Court for claims against the Crown, and s. 18 of the </w:t>
      </w:r>
      <w:r w:rsidRPr="00F53298">
        <w:rPr>
          <w:i/>
          <w:sz w:val="20"/>
        </w:rPr>
        <w:t xml:space="preserve">Federal Courts Act </w:t>
      </w:r>
      <w:r w:rsidRPr="00F53298">
        <w:rPr>
          <w:sz w:val="20"/>
        </w:rPr>
        <w:t>did not remove relief by way of an award of damages from the jurisdiction of superior courts.</w:t>
      </w:r>
    </w:p>
    <w:p w:rsidR="00CC4E9B" w:rsidRPr="00F53298" w:rsidRDefault="00CC4E9B" w:rsidP="00CC4E9B">
      <w:pPr>
        <w:pStyle w:val="SCCNormalDoubleSpacing"/>
        <w:tabs>
          <w:tab w:val="left" w:pos="720"/>
        </w:tabs>
        <w:spacing w:line="240" w:lineRule="auto"/>
        <w:rPr>
          <w:sz w:val="20"/>
        </w:rPr>
      </w:pPr>
    </w:p>
    <w:p w:rsidR="00CC4E9B" w:rsidRPr="00F53298" w:rsidRDefault="00CC4E9B" w:rsidP="00CC4E9B">
      <w:pPr>
        <w:pStyle w:val="SCCNormalDoubleSpacing"/>
        <w:tabs>
          <w:tab w:val="left" w:pos="720"/>
        </w:tabs>
        <w:spacing w:line="240" w:lineRule="auto"/>
        <w:rPr>
          <w:sz w:val="20"/>
        </w:rPr>
      </w:pPr>
      <w:r w:rsidRPr="00F53298">
        <w:rPr>
          <w:sz w:val="20"/>
        </w:rPr>
        <w:tab/>
      </w:r>
      <w:r w:rsidRPr="00CC4E9B">
        <w:rPr>
          <w:rStyle w:val="QuoteChar"/>
          <w:sz w:val="20"/>
          <w:lang w:val="en-CA"/>
        </w:rPr>
        <w:t>Held:</w:t>
      </w:r>
      <w:r w:rsidRPr="00F53298">
        <w:rPr>
          <w:sz w:val="20"/>
        </w:rPr>
        <w:t xml:space="preserve">  The appeal should be dismissed.</w:t>
      </w:r>
    </w:p>
    <w:p w:rsidR="00CC4E9B" w:rsidRPr="00F53298" w:rsidRDefault="00CC4E9B" w:rsidP="00CC4E9B">
      <w:pPr>
        <w:pStyle w:val="SCCNormalDoubleSpacing"/>
        <w:tabs>
          <w:tab w:val="left" w:pos="720"/>
        </w:tabs>
        <w:spacing w:line="240" w:lineRule="auto"/>
        <w:rPr>
          <w:sz w:val="20"/>
        </w:rPr>
      </w:pPr>
    </w:p>
    <w:p w:rsidR="00CC4E9B" w:rsidRPr="00F53298" w:rsidRDefault="00CC4E9B" w:rsidP="00CC4E9B">
      <w:pPr>
        <w:pStyle w:val="SCCNormalDoubleSpacing"/>
        <w:tabs>
          <w:tab w:val="left" w:pos="720"/>
        </w:tabs>
        <w:spacing w:line="240" w:lineRule="auto"/>
        <w:rPr>
          <w:sz w:val="20"/>
        </w:rPr>
      </w:pPr>
      <w:r w:rsidRPr="00F53298">
        <w:rPr>
          <w:sz w:val="20"/>
        </w:rPr>
        <w:tab/>
        <w:t xml:space="preserve">This appeal is fundamentally about access to justice. People who claim to be injured by government action should have whatever redress the legal system permits through procedures that minimize unnecessary costs and complexity.  The Court’s approach should be practical and pragmatic with that objective in mind.  Acceptance of </w:t>
      </w:r>
      <w:r w:rsidRPr="00F53298">
        <w:rPr>
          <w:i/>
          <w:sz w:val="20"/>
        </w:rPr>
        <w:t>Grenier</w:t>
      </w:r>
      <w:r w:rsidRPr="00F53298">
        <w:rPr>
          <w:sz w:val="20"/>
        </w:rPr>
        <w:t xml:space="preserve"> would tend to undermine the effectiveness of the </w:t>
      </w:r>
      <w:r w:rsidRPr="00F53298">
        <w:rPr>
          <w:i/>
          <w:sz w:val="20"/>
        </w:rPr>
        <w:t>Federal Courts Act</w:t>
      </w:r>
      <w:r w:rsidRPr="00F53298">
        <w:rPr>
          <w:sz w:val="20"/>
        </w:rPr>
        <w:t xml:space="preserve"> reforms of the early 1990s by retaining in the Federal Court exclusive jurisdiction over a key element of many causes of action proceeding in the provincial courts despite Parliament’s promise to give plaintiffs a choice of forum and to make provincial superior courts available to litigants “in </w:t>
      </w:r>
      <w:r w:rsidRPr="00F53298">
        <w:rPr>
          <w:i/>
          <w:sz w:val="20"/>
        </w:rPr>
        <w:t>all</w:t>
      </w:r>
      <w:r w:rsidRPr="00F53298">
        <w:rPr>
          <w:sz w:val="20"/>
        </w:rPr>
        <w:t xml:space="preserve"> cases in which relief is claimed against the [federal] Crown” except as otherwise provided.</w:t>
      </w:r>
    </w:p>
    <w:p w:rsidR="00CC4E9B" w:rsidRPr="00F53298" w:rsidRDefault="00CC4E9B" w:rsidP="00CC4E9B">
      <w:pPr>
        <w:pStyle w:val="SCCNormalDoubleSpacing"/>
        <w:tabs>
          <w:tab w:val="left" w:pos="720"/>
        </w:tabs>
        <w:spacing w:line="240" w:lineRule="auto"/>
        <w:rPr>
          <w:sz w:val="20"/>
        </w:rPr>
      </w:pPr>
    </w:p>
    <w:p w:rsidR="00CC4E9B" w:rsidRPr="00F53298" w:rsidRDefault="00CC4E9B" w:rsidP="00CC4E9B">
      <w:pPr>
        <w:pStyle w:val="SCCNormalDoubleSpacing"/>
        <w:tabs>
          <w:tab w:val="left" w:pos="720"/>
        </w:tabs>
        <w:spacing w:line="240" w:lineRule="auto"/>
        <w:rPr>
          <w:sz w:val="20"/>
        </w:rPr>
      </w:pPr>
      <w:r w:rsidRPr="00F53298">
        <w:rPr>
          <w:sz w:val="20"/>
        </w:rPr>
        <w:tab/>
        <w:t xml:space="preserve">Apart from constitutional limitations, none of which are relevant here, Parliament may by statute transfer jurisdiction from the superior courts to </w:t>
      </w:r>
      <w:r w:rsidRPr="00F53298">
        <w:rPr>
          <w:color w:val="000000"/>
          <w:sz w:val="20"/>
        </w:rPr>
        <w:t>other adjudicative bodies</w:t>
      </w:r>
      <w:r w:rsidRPr="00F53298">
        <w:rPr>
          <w:sz w:val="20"/>
        </w:rPr>
        <w:t xml:space="preserve"> including the Federal Court.  However, any derogation from </w:t>
      </w:r>
      <w:r w:rsidRPr="00F53298">
        <w:rPr>
          <w:color w:val="000000"/>
          <w:sz w:val="20"/>
        </w:rPr>
        <w:t xml:space="preserve">the </w:t>
      </w:r>
      <w:r w:rsidRPr="00F53298">
        <w:rPr>
          <w:sz w:val="20"/>
        </w:rPr>
        <w:t>jurisdiction</w:t>
      </w:r>
      <w:r w:rsidRPr="00F53298">
        <w:rPr>
          <w:color w:val="000000"/>
          <w:sz w:val="20"/>
        </w:rPr>
        <w:t xml:space="preserve"> of the provincial superior courts </w:t>
      </w:r>
      <w:r w:rsidRPr="00F53298">
        <w:rPr>
          <w:sz w:val="20"/>
        </w:rPr>
        <w:t xml:space="preserve">(in favour of the Federal </w:t>
      </w:r>
      <w:r w:rsidRPr="00F53298">
        <w:rPr>
          <w:color w:val="000000"/>
          <w:sz w:val="20"/>
        </w:rPr>
        <w:t>C</w:t>
      </w:r>
      <w:r w:rsidRPr="00F53298">
        <w:rPr>
          <w:sz w:val="20"/>
        </w:rPr>
        <w:t xml:space="preserve">ourt or otherwise) requires clear and </w:t>
      </w:r>
      <w:r w:rsidRPr="00F53298">
        <w:rPr>
          <w:color w:val="000000"/>
          <w:sz w:val="20"/>
        </w:rPr>
        <w:t xml:space="preserve">explicit </w:t>
      </w:r>
      <w:r w:rsidRPr="00F53298">
        <w:rPr>
          <w:sz w:val="20"/>
        </w:rPr>
        <w:t xml:space="preserve">statutory language.  Nothing in the </w:t>
      </w:r>
      <w:r w:rsidRPr="00F53298">
        <w:rPr>
          <w:i/>
          <w:sz w:val="20"/>
        </w:rPr>
        <w:t>Federal Courts Act</w:t>
      </w:r>
      <w:r w:rsidRPr="00F53298">
        <w:rPr>
          <w:sz w:val="20"/>
        </w:rPr>
        <w:t xml:space="preserve"> satisfies this test.  The explicit grant to the provincial superior courts of concurrent jurisdiction in claims against the Crown in s. 17 of that Act (as well as s. 21 of the </w:t>
      </w:r>
      <w:r w:rsidRPr="00F53298">
        <w:rPr>
          <w:i/>
          <w:sz w:val="20"/>
        </w:rPr>
        <w:t>Crown Liability and Proceedings Act</w:t>
      </w:r>
      <w:r w:rsidRPr="00F53298">
        <w:rPr>
          <w:sz w:val="20"/>
        </w:rPr>
        <w:t>) directly refutes the Attorney General’s argument</w:t>
      </w:r>
      <w:r w:rsidRPr="00F53298">
        <w:rPr>
          <w:color w:val="000000"/>
          <w:sz w:val="20"/>
        </w:rPr>
        <w:t>.</w:t>
      </w:r>
      <w:r w:rsidRPr="00F53298">
        <w:rPr>
          <w:sz w:val="20"/>
        </w:rPr>
        <w:t xml:space="preserve">  The grant of exclusive jurisdiction to judicially review federal decision makers in s. 18 is best understood as a reservation or subtraction from the more comprehensive grant of concurrent jurisdiction in s. 17 “in all cases in which relief is claimed against the [federal] Crown”.  This reservation or subtraction is expressed in s. 18 of the </w:t>
      </w:r>
      <w:r w:rsidRPr="00F53298">
        <w:rPr>
          <w:i/>
          <w:sz w:val="20"/>
        </w:rPr>
        <w:t>Federal Courts Act</w:t>
      </w:r>
      <w:r w:rsidRPr="00F53298">
        <w:rPr>
          <w:sz w:val="20"/>
        </w:rPr>
        <w:t xml:space="preserve"> in terms of particular remedies.  All the remedies listed are traditional administrative law remedies and do not include awards of damages.  If a claimant seeks compensation, he or she cannot get it on judicial review, but must file an action.</w:t>
      </w:r>
    </w:p>
    <w:p w:rsidR="00CC4E9B" w:rsidRPr="00F53298" w:rsidRDefault="00CC4E9B" w:rsidP="00CC4E9B">
      <w:pPr>
        <w:pStyle w:val="SCCNormalDoubleSpacing"/>
        <w:tabs>
          <w:tab w:val="left" w:pos="720"/>
        </w:tabs>
        <w:spacing w:line="240" w:lineRule="auto"/>
        <w:rPr>
          <w:sz w:val="20"/>
        </w:rPr>
      </w:pPr>
      <w:r w:rsidRPr="00F53298">
        <w:rPr>
          <w:sz w:val="20"/>
        </w:rPr>
        <w:lastRenderedPageBreak/>
        <w:tab/>
        <w:t xml:space="preserve">The </w:t>
      </w:r>
      <w:r w:rsidRPr="00F53298">
        <w:rPr>
          <w:i/>
          <w:sz w:val="20"/>
        </w:rPr>
        <w:t>Federal Courts Act</w:t>
      </w:r>
      <w:r w:rsidRPr="00F53298">
        <w:rPr>
          <w:sz w:val="20"/>
        </w:rPr>
        <w:t xml:space="preserve"> contains other internal evidence that Parliament could not have intended judicial review to have the gatekeeper function envisaged by </w:t>
      </w:r>
      <w:r w:rsidRPr="00F53298">
        <w:rPr>
          <w:i/>
          <w:sz w:val="20"/>
        </w:rPr>
        <w:t>Grenier</w:t>
      </w:r>
      <w:r w:rsidRPr="00F53298">
        <w:rPr>
          <w:sz w:val="20"/>
        </w:rPr>
        <w:t>.  Section 18.1(2) imposes a 30-day limitation for judicial review applications.  A 30-day cut off for a damages claimant would be unrealistic, as the facts necessary to ground a civil cause of action may not emerge until after 30 days have passed, and the claimant may not be in a position to apply for judicial review within the limitation period.  While the 30</w:t>
      </w:r>
      <w:r w:rsidRPr="00F53298">
        <w:rPr>
          <w:sz w:val="20"/>
        </w:rPr>
        <w:noBreakHyphen/>
        <w:t xml:space="preserve">day limit can be extended, the extension is discretionary and would subordinate the fate of a civil suit brought in a superior court to the discretion of a Federal Court judge ruling upon a request for an extension of time for reasons that have to do with public law concerns, not civil damages.  Moreover, the grant of judicial review is itself discretionary and may be denied even if the applicant establishes valid grounds for the court’s intervention.  This does not align well with the paradigm of a common law action for damages where, if the elements of the claim are established, compensation ought generally to follow as a matter of course.  Further, </w:t>
      </w:r>
      <w:r w:rsidRPr="00F53298">
        <w:rPr>
          <w:color w:val="000000"/>
          <w:sz w:val="20"/>
        </w:rPr>
        <w:t xml:space="preserve">s. 8 of the </w:t>
      </w:r>
      <w:r w:rsidRPr="00F53298">
        <w:rPr>
          <w:i/>
          <w:color w:val="000000"/>
          <w:sz w:val="20"/>
        </w:rPr>
        <w:t>Crown Liability and Proceedings Act</w:t>
      </w:r>
      <w:r w:rsidRPr="00F53298">
        <w:rPr>
          <w:color w:val="000000"/>
          <w:sz w:val="20"/>
        </w:rPr>
        <w:t>, which codifies the defence of statutory authority, is evidence that Parliament envisaged that the lawfulness of administrative decisions could be assessed by the provincial superior court in the course of adjudicating a claim for damages.</w:t>
      </w:r>
    </w:p>
    <w:p w:rsidR="00CC4E9B" w:rsidRPr="00F53298" w:rsidRDefault="00CC4E9B" w:rsidP="00CC4E9B">
      <w:pPr>
        <w:pStyle w:val="SCCNormalDoubleSpacing"/>
        <w:tabs>
          <w:tab w:val="left" w:pos="720"/>
        </w:tabs>
        <w:spacing w:line="240" w:lineRule="auto"/>
        <w:rPr>
          <w:sz w:val="20"/>
        </w:rPr>
      </w:pPr>
    </w:p>
    <w:p w:rsidR="00CC4E9B" w:rsidRPr="00F53298" w:rsidRDefault="00CC4E9B" w:rsidP="00CC4E9B">
      <w:pPr>
        <w:pStyle w:val="SCCNormalDoubleSpacing"/>
        <w:tabs>
          <w:tab w:val="left" w:pos="720"/>
        </w:tabs>
        <w:spacing w:line="240" w:lineRule="auto"/>
        <w:rPr>
          <w:sz w:val="20"/>
        </w:rPr>
      </w:pPr>
      <w:r w:rsidRPr="00F53298">
        <w:rPr>
          <w:sz w:val="20"/>
        </w:rPr>
        <w:tab/>
        <w:t xml:space="preserve">The </w:t>
      </w:r>
      <w:r w:rsidRPr="00F53298">
        <w:rPr>
          <w:i/>
          <w:sz w:val="20"/>
        </w:rPr>
        <w:t>Grenier</w:t>
      </w:r>
      <w:r w:rsidRPr="00F53298">
        <w:rPr>
          <w:sz w:val="20"/>
        </w:rPr>
        <w:t xml:space="preserve"> approach cannot be justified by the rule against collateral attacks.  T’s claim is not an attempt to invalidate or render inoperative the Minister’s decision; rather, the decision and the financial losses allegedly consequent to it constitute the very foundation of the damages claim.  In any event, given the statutory grant of concurrent jurisdiction in s. 17 of the </w:t>
      </w:r>
      <w:r w:rsidRPr="00F53298">
        <w:rPr>
          <w:i/>
          <w:sz w:val="20"/>
        </w:rPr>
        <w:t>Federal Courts Act</w:t>
      </w:r>
      <w:r w:rsidRPr="00F53298">
        <w:rPr>
          <w:sz w:val="20"/>
        </w:rPr>
        <w:t xml:space="preserve">, Parliament has stated that provincial superior courts possess the concurrent necessary jurisdiction to dispose of the whole of a claim and this includes any attack on the validity of the Minister’s decision where this issue is essential to the cause of action and where adjudicating the matter is a necessary step in disposing of the claim.  While the doctrine of collateral attack may be raised by the Crown in the provincial superior court as a defence, the possible availability of the defence is not an argument against provincial superior court jurisdiction.  Similarly, while it may be open to the Crown, by way of defence, to argue that the government decision maker was acting under statutory authority which precludes compensation for consequent losses, this is not a matter of jurisdiction and can be dealt with as well by the provincial superior court as by the Federal Court. </w:t>
      </w:r>
    </w:p>
    <w:p w:rsidR="00CC4E9B" w:rsidRPr="00F53298" w:rsidRDefault="00CC4E9B" w:rsidP="00CC4E9B">
      <w:pPr>
        <w:pStyle w:val="SCCNormalDoubleSpacing"/>
        <w:tabs>
          <w:tab w:val="left" w:pos="720"/>
        </w:tabs>
        <w:spacing w:line="240" w:lineRule="auto"/>
        <w:rPr>
          <w:sz w:val="20"/>
        </w:rPr>
      </w:pPr>
    </w:p>
    <w:p w:rsidR="00CC4E9B" w:rsidRPr="00F53298" w:rsidRDefault="00CC4E9B" w:rsidP="00CC4E9B">
      <w:pPr>
        <w:pStyle w:val="SCCNormalDoubleSpacing"/>
        <w:tabs>
          <w:tab w:val="left" w:pos="720"/>
        </w:tabs>
        <w:spacing w:line="240" w:lineRule="auto"/>
        <w:rPr>
          <w:sz w:val="20"/>
        </w:rPr>
      </w:pPr>
      <w:r w:rsidRPr="00F53298">
        <w:rPr>
          <w:sz w:val="20"/>
        </w:rPr>
        <w:tab/>
        <w:t>It is true that the provincial superior courts and the Federal Court have a residual discretion to stay a damages claim if, in its essential character, it is a claim for judicial review with only a thin pretence to a private wrong.  However, where a plaintiff’s pleading alleges the elements of a private cause of action, the provincial superior court should not in general decline jurisdiction on the basis that the claim looks like a case that could be pursued on judicial review.  If the plaintiff has pleaded a valid cause of action for damages, he</w:t>
      </w:r>
      <w:r w:rsidRPr="00F53298">
        <w:rPr>
          <w:color w:val="000000"/>
          <w:sz w:val="20"/>
        </w:rPr>
        <w:t xml:space="preserve"> or </w:t>
      </w:r>
      <w:r w:rsidRPr="00F53298">
        <w:rPr>
          <w:sz w:val="20"/>
        </w:rPr>
        <w:t>she should generally be allowed to pursue it.</w:t>
      </w:r>
    </w:p>
    <w:p w:rsidR="00CC4E9B" w:rsidRPr="00F53298" w:rsidRDefault="00CC4E9B" w:rsidP="00CC4E9B">
      <w:pPr>
        <w:pStyle w:val="SCCNormalDoubleSpacing"/>
        <w:tabs>
          <w:tab w:val="left" w:pos="720"/>
        </w:tabs>
        <w:spacing w:line="240" w:lineRule="auto"/>
        <w:rPr>
          <w:sz w:val="20"/>
        </w:rPr>
      </w:pPr>
    </w:p>
    <w:p w:rsidR="00CC4E9B" w:rsidRPr="00F53298" w:rsidRDefault="00CC4E9B" w:rsidP="00CC4E9B">
      <w:pPr>
        <w:pStyle w:val="SCCNormalDoubleSpacing"/>
        <w:tabs>
          <w:tab w:val="left" w:pos="720"/>
        </w:tabs>
        <w:spacing w:line="240" w:lineRule="auto"/>
        <w:rPr>
          <w:sz w:val="20"/>
        </w:rPr>
      </w:pPr>
      <w:r w:rsidRPr="00F53298">
        <w:rPr>
          <w:sz w:val="20"/>
        </w:rPr>
        <w:tab/>
        <w:t xml:space="preserve">Here, T’s claim as pleaded is dominated by private law considerations. It is not attempting to nullify or set aside the decision to issue licences.  Nor does it seek to deprive the decision of any legal effect.  T’s causes of action in contract, tort and equity are predicated on the finality of that decision excluding it from participation in the telecommunications market.  The Ontario Superior Court of Justice has jurisdiction over the parties and the subject matter, and has the power to grant the remedy of damages.  There is nothing in the </w:t>
      </w:r>
      <w:r w:rsidRPr="00F53298">
        <w:rPr>
          <w:i/>
          <w:sz w:val="20"/>
        </w:rPr>
        <w:t>Federal Courts Act</w:t>
      </w:r>
      <w:r w:rsidRPr="00F53298">
        <w:rPr>
          <w:sz w:val="20"/>
        </w:rPr>
        <w:t xml:space="preserve"> to prevent the Ontario Superior Court from adjudicating T’s claim.</w:t>
      </w:r>
    </w:p>
    <w:p w:rsidR="00412488" w:rsidRPr="003B3977" w:rsidRDefault="00412488" w:rsidP="005C6840">
      <w:pPr>
        <w:jc w:val="both"/>
        <w:rPr>
          <w:sz w:val="20"/>
          <w:szCs w:val="20"/>
        </w:rPr>
      </w:pPr>
    </w:p>
    <w:p w:rsidR="00CC4E9B" w:rsidRPr="00F53298" w:rsidRDefault="00CC4E9B" w:rsidP="00CC4E9B">
      <w:pPr>
        <w:tabs>
          <w:tab w:val="left" w:pos="720"/>
        </w:tabs>
        <w:jc w:val="both"/>
        <w:rPr>
          <w:rFonts w:cs="Times New Roman"/>
          <w:sz w:val="20"/>
          <w:szCs w:val="20"/>
          <w:lang w:val="en-US"/>
        </w:rPr>
      </w:pPr>
      <w:r w:rsidRPr="00F53298">
        <w:rPr>
          <w:rFonts w:cs="Times New Roman"/>
          <w:sz w:val="20"/>
          <w:szCs w:val="20"/>
        </w:rPr>
        <w:tab/>
        <w:t>APPEAL from a judgment of the Ontario Court of Appeal (</w:t>
      </w:r>
      <w:r w:rsidRPr="00F53298">
        <w:rPr>
          <w:rFonts w:cs="Times New Roman"/>
          <w:sz w:val="20"/>
          <w:szCs w:val="20"/>
          <w:lang w:val="en-US"/>
        </w:rPr>
        <w:t xml:space="preserve">Laskin, Borins and Feldman JJ.A.), </w:t>
      </w:r>
      <w:r w:rsidR="00D56013" w:rsidRPr="00F53298">
        <w:rPr>
          <w:rFonts w:cs="Times New Roman"/>
          <w:sz w:val="20"/>
          <w:szCs w:val="20"/>
        </w:rPr>
        <w:fldChar w:fldCharType="begin"/>
      </w:r>
      <w:r w:rsidRPr="00F53298">
        <w:rPr>
          <w:rFonts w:cs="Times New Roman"/>
          <w:sz w:val="20"/>
          <w:szCs w:val="20"/>
        </w:rPr>
        <w:instrText xml:space="preserve"> SEQ CHAPTER \h \r 1</w:instrText>
      </w:r>
      <w:r w:rsidR="00D56013" w:rsidRPr="00F53298">
        <w:rPr>
          <w:rFonts w:cs="Times New Roman"/>
          <w:sz w:val="20"/>
          <w:szCs w:val="20"/>
        </w:rPr>
        <w:fldChar w:fldCharType="end"/>
      </w:r>
      <w:r w:rsidRPr="00F53298">
        <w:rPr>
          <w:rFonts w:cs="Times New Roman"/>
          <w:sz w:val="20"/>
          <w:szCs w:val="20"/>
          <w:lang w:val="en-US"/>
        </w:rPr>
        <w:t xml:space="preserve">2008 ONCA 892, 94 O.R. (3d) 19, 303 D.L.R. (4th) 626, 245 O.A.C. 91, 86 Admin L.R. (4th) 163, 40 C.E.L.R. (3d) 183, </w:t>
      </w:r>
      <w:r w:rsidR="00D56013" w:rsidRPr="00F53298">
        <w:rPr>
          <w:rFonts w:cs="Times New Roman"/>
          <w:sz w:val="20"/>
          <w:szCs w:val="20"/>
        </w:rPr>
        <w:fldChar w:fldCharType="begin"/>
      </w:r>
      <w:r w:rsidRPr="00F53298">
        <w:rPr>
          <w:rFonts w:cs="Times New Roman"/>
          <w:sz w:val="20"/>
          <w:szCs w:val="20"/>
        </w:rPr>
        <w:instrText xml:space="preserve"> SEQ CHAPTER \h \r 1</w:instrText>
      </w:r>
      <w:r w:rsidR="00D56013" w:rsidRPr="00F53298">
        <w:rPr>
          <w:rFonts w:cs="Times New Roman"/>
          <w:sz w:val="20"/>
          <w:szCs w:val="20"/>
        </w:rPr>
        <w:fldChar w:fldCharType="end"/>
      </w:r>
      <w:r w:rsidRPr="00F53298">
        <w:rPr>
          <w:rFonts w:cs="Times New Roman"/>
          <w:sz w:val="20"/>
          <w:szCs w:val="20"/>
          <w:lang w:val="en-US"/>
        </w:rPr>
        <w:t xml:space="preserve">[2008] O.J. No. 5291 (QL), 2008 CarswellOnt 7826, affirming a decision of </w:t>
      </w:r>
      <w:r w:rsidR="00D56013" w:rsidRPr="00F53298">
        <w:rPr>
          <w:rFonts w:cs="Times New Roman"/>
          <w:sz w:val="20"/>
          <w:szCs w:val="20"/>
        </w:rPr>
        <w:fldChar w:fldCharType="begin"/>
      </w:r>
      <w:r w:rsidRPr="00F53298">
        <w:rPr>
          <w:rFonts w:cs="Times New Roman"/>
          <w:sz w:val="20"/>
          <w:szCs w:val="20"/>
        </w:rPr>
        <w:instrText xml:space="preserve"> SEQ CHAPTER \h \r 1</w:instrText>
      </w:r>
      <w:r w:rsidR="00D56013" w:rsidRPr="00F53298">
        <w:rPr>
          <w:rFonts w:cs="Times New Roman"/>
          <w:sz w:val="20"/>
          <w:szCs w:val="20"/>
        </w:rPr>
        <w:fldChar w:fldCharType="end"/>
      </w:r>
      <w:r w:rsidRPr="00F53298">
        <w:rPr>
          <w:rFonts w:cs="Times New Roman"/>
          <w:sz w:val="20"/>
          <w:szCs w:val="20"/>
          <w:lang w:val="en-US"/>
        </w:rPr>
        <w:t>Morawetz J. (2007), 88 O.R. (3d) 173, [2007] O.J. No. 4766 (QL), 2007 CarswellOnt 7847.  Appeal dismissed</w:t>
      </w:r>
      <w:r w:rsidRPr="00F53298">
        <w:rPr>
          <w:rFonts w:cs="Times New Roman"/>
          <w:sz w:val="20"/>
          <w:szCs w:val="20"/>
        </w:rPr>
        <w:t>.</w:t>
      </w:r>
    </w:p>
    <w:p w:rsidR="00CC4E9B" w:rsidRPr="00F53298" w:rsidRDefault="00CC4E9B" w:rsidP="00CC4E9B">
      <w:pPr>
        <w:tabs>
          <w:tab w:val="left" w:pos="720"/>
        </w:tabs>
        <w:jc w:val="both"/>
        <w:rPr>
          <w:rFonts w:cs="Times New Roman"/>
          <w:sz w:val="20"/>
          <w:szCs w:val="20"/>
        </w:rPr>
      </w:pPr>
    </w:p>
    <w:p w:rsidR="00CC4E9B" w:rsidRPr="00F53298" w:rsidRDefault="00CC4E9B" w:rsidP="00CC4E9B">
      <w:pPr>
        <w:pStyle w:val="SCCNormalDoubleSpacing"/>
        <w:tabs>
          <w:tab w:val="left" w:pos="720"/>
        </w:tabs>
        <w:spacing w:line="240" w:lineRule="auto"/>
        <w:rPr>
          <w:sz w:val="20"/>
        </w:rPr>
      </w:pPr>
      <w:r w:rsidRPr="00F53298">
        <w:rPr>
          <w:rStyle w:val="SCCCounselNameChar"/>
          <w:sz w:val="20"/>
        </w:rPr>
        <w:tab/>
        <w:t>Christopher M. Rupar</w:t>
      </w:r>
      <w:r w:rsidRPr="00CC4E9B">
        <w:rPr>
          <w:rStyle w:val="SCCCounselSeparatorChar"/>
          <w:sz w:val="20"/>
          <w:lang w:val="en-CA"/>
        </w:rPr>
        <w:t xml:space="preserve">, </w:t>
      </w:r>
      <w:r w:rsidRPr="00F53298">
        <w:rPr>
          <w:rStyle w:val="SCCCounselNameChar"/>
          <w:sz w:val="20"/>
        </w:rPr>
        <w:t>Alain Préfontaine</w:t>
      </w:r>
      <w:r w:rsidRPr="00CC4E9B">
        <w:rPr>
          <w:rStyle w:val="SCCCounselSeparatorChar"/>
          <w:sz w:val="20"/>
          <w:lang w:val="en-CA"/>
        </w:rPr>
        <w:t xml:space="preserve"> and </w:t>
      </w:r>
      <w:r w:rsidRPr="00F53298">
        <w:rPr>
          <w:rStyle w:val="SCCCounselNameChar"/>
          <w:sz w:val="20"/>
        </w:rPr>
        <w:t>Bernard Letarte</w:t>
      </w:r>
      <w:r w:rsidRPr="00F53298">
        <w:rPr>
          <w:rStyle w:val="SCCCounselPartyRoleChar"/>
          <w:sz w:val="20"/>
        </w:rPr>
        <w:t>, for the appellant.</w:t>
      </w:r>
    </w:p>
    <w:p w:rsidR="00CC4E9B" w:rsidRPr="00F53298" w:rsidRDefault="00CC4E9B" w:rsidP="00CC4E9B">
      <w:pPr>
        <w:pStyle w:val="SCCNormalDoubleSpacing"/>
        <w:tabs>
          <w:tab w:val="left" w:pos="720"/>
        </w:tabs>
        <w:spacing w:line="240" w:lineRule="auto"/>
        <w:rPr>
          <w:sz w:val="20"/>
        </w:rPr>
      </w:pPr>
    </w:p>
    <w:p w:rsidR="00CC4E9B" w:rsidRPr="00F53298" w:rsidRDefault="00CC4E9B" w:rsidP="00CC4E9B">
      <w:pPr>
        <w:pStyle w:val="SCCNormalDoubleSpacing"/>
        <w:tabs>
          <w:tab w:val="left" w:pos="720"/>
        </w:tabs>
        <w:spacing w:line="240" w:lineRule="auto"/>
        <w:rPr>
          <w:sz w:val="20"/>
        </w:rPr>
      </w:pPr>
      <w:r w:rsidRPr="00F53298">
        <w:rPr>
          <w:rStyle w:val="SCCCounselNameChar"/>
          <w:sz w:val="20"/>
        </w:rPr>
        <w:tab/>
        <w:t>Peter F. C. Howard</w:t>
      </w:r>
      <w:r w:rsidRPr="00CC4E9B">
        <w:rPr>
          <w:rStyle w:val="SCCCounselSeparatorChar"/>
          <w:sz w:val="20"/>
          <w:lang w:val="en-CA"/>
        </w:rPr>
        <w:t xml:space="preserve">, </w:t>
      </w:r>
      <w:r w:rsidRPr="00F53298">
        <w:rPr>
          <w:rStyle w:val="SCCCounselNameChar"/>
          <w:sz w:val="20"/>
        </w:rPr>
        <w:t>Patrick J. Monahan, Eliot N. Kolers</w:t>
      </w:r>
      <w:r w:rsidRPr="00CC4E9B">
        <w:rPr>
          <w:rStyle w:val="SCCCounselSeparatorChar"/>
          <w:sz w:val="20"/>
          <w:lang w:val="en-CA"/>
        </w:rPr>
        <w:t xml:space="preserve"> and </w:t>
      </w:r>
      <w:r w:rsidRPr="00F53298">
        <w:rPr>
          <w:rStyle w:val="SCCCounselNameChar"/>
          <w:sz w:val="20"/>
        </w:rPr>
        <w:t>Nicholas McHaffie</w:t>
      </w:r>
      <w:r w:rsidRPr="00F53298">
        <w:rPr>
          <w:rStyle w:val="SCCCounselPartyRoleChar"/>
          <w:sz w:val="20"/>
        </w:rPr>
        <w:t>, for the respondent.</w:t>
      </w:r>
    </w:p>
    <w:p w:rsidR="00CC4E9B" w:rsidRPr="00F53298" w:rsidRDefault="00CC4E9B" w:rsidP="00CC4E9B">
      <w:pPr>
        <w:pStyle w:val="SCCNormalDoubleSpacing"/>
        <w:tabs>
          <w:tab w:val="left" w:pos="720"/>
        </w:tabs>
        <w:spacing w:line="240" w:lineRule="auto"/>
        <w:rPr>
          <w:sz w:val="20"/>
        </w:rPr>
      </w:pPr>
    </w:p>
    <w:p w:rsidR="00CC4E9B" w:rsidRPr="00F53298" w:rsidRDefault="00CC4E9B" w:rsidP="00CC4E9B">
      <w:pPr>
        <w:pStyle w:val="SCCLawFirm"/>
        <w:tabs>
          <w:tab w:val="left" w:pos="720"/>
        </w:tabs>
        <w:spacing w:line="240" w:lineRule="auto"/>
        <w:outlineLvl w:val="0"/>
        <w:rPr>
          <w:sz w:val="20"/>
        </w:rPr>
      </w:pPr>
      <w:r w:rsidRPr="00F53298">
        <w:rPr>
          <w:sz w:val="20"/>
        </w:rPr>
        <w:tab/>
        <w:t>Solicitor for the appellant:  Attorney General of Canada, Ottawa.</w:t>
      </w:r>
    </w:p>
    <w:p w:rsidR="00CC4E9B" w:rsidRPr="00F53298" w:rsidRDefault="00CC4E9B" w:rsidP="00CC4E9B">
      <w:pPr>
        <w:pStyle w:val="SCCLawFirm"/>
        <w:tabs>
          <w:tab w:val="left" w:pos="720"/>
        </w:tabs>
        <w:spacing w:line="240" w:lineRule="auto"/>
        <w:rPr>
          <w:sz w:val="20"/>
        </w:rPr>
      </w:pPr>
    </w:p>
    <w:p w:rsidR="005C6840" w:rsidRPr="00CC4E9B" w:rsidRDefault="00CC4E9B" w:rsidP="00CC4E9B">
      <w:pPr>
        <w:jc w:val="both"/>
        <w:rPr>
          <w:i/>
          <w:sz w:val="20"/>
          <w:szCs w:val="20"/>
        </w:rPr>
      </w:pPr>
      <w:r w:rsidRPr="00F53298">
        <w:rPr>
          <w:rFonts w:cs="Times New Roman"/>
          <w:sz w:val="20"/>
          <w:szCs w:val="20"/>
        </w:rPr>
        <w:tab/>
      </w:r>
      <w:r w:rsidRPr="00CC4E9B">
        <w:rPr>
          <w:rFonts w:cs="Times New Roman"/>
          <w:i/>
          <w:sz w:val="20"/>
          <w:szCs w:val="20"/>
        </w:rPr>
        <w:t>Solicitors for the respondent:  Stikeman Elliott, Toronto.</w:t>
      </w:r>
    </w:p>
    <w:p w:rsidR="003B3977" w:rsidRPr="00CC4E9B" w:rsidRDefault="003B3977" w:rsidP="003B3977">
      <w:pPr>
        <w:rPr>
          <w:sz w:val="20"/>
          <w:szCs w:val="20"/>
          <w:lang w:val="fr-CA"/>
        </w:rPr>
      </w:pPr>
      <w:r w:rsidRPr="00CC4E9B">
        <w:rPr>
          <w:sz w:val="20"/>
          <w:szCs w:val="20"/>
          <w:lang w:val="fr-CA"/>
        </w:rPr>
        <w:t>________________________</w:t>
      </w:r>
    </w:p>
    <w:p w:rsidR="004159B7" w:rsidRDefault="004159B7">
      <w:pPr>
        <w:rPr>
          <w:sz w:val="20"/>
          <w:szCs w:val="20"/>
          <w:lang w:val="fr-CA"/>
        </w:rPr>
      </w:pPr>
      <w:r>
        <w:rPr>
          <w:sz w:val="20"/>
          <w:szCs w:val="20"/>
          <w:lang w:val="fr-CA"/>
        </w:rPr>
        <w:br w:type="page"/>
      </w:r>
    </w:p>
    <w:p w:rsidR="00CC4E9B" w:rsidRDefault="00CC4E9B" w:rsidP="00CC4E9B">
      <w:pPr>
        <w:pStyle w:val="SCCNormalDoubleSpacing"/>
        <w:spacing w:line="240" w:lineRule="auto"/>
        <w:rPr>
          <w:rStyle w:val="SCCCounselPartyRoleChar"/>
          <w:sz w:val="20"/>
          <w:lang w:val="fr-CA"/>
        </w:rPr>
      </w:pPr>
      <w:r w:rsidRPr="00CC4E9B">
        <w:rPr>
          <w:sz w:val="20"/>
          <w:lang w:val="fr-CA"/>
        </w:rPr>
        <w:lastRenderedPageBreak/>
        <w:t>Présents : Les juges Binnie, LeBel, Deschamps, Abella, Charron, Rothstein et Cromwell</w:t>
      </w:r>
      <w:r w:rsidRPr="00CC4E9B">
        <w:rPr>
          <w:rStyle w:val="SCCCounselPartyRoleChar"/>
          <w:sz w:val="20"/>
          <w:lang w:val="fr-CA"/>
        </w:rPr>
        <w:t>.</w:t>
      </w:r>
    </w:p>
    <w:p w:rsidR="00662B2E" w:rsidRPr="00CC4E9B" w:rsidRDefault="00662B2E" w:rsidP="00CC4E9B">
      <w:pPr>
        <w:pStyle w:val="SCCNormalDoubleSpacing"/>
        <w:spacing w:line="240" w:lineRule="auto"/>
        <w:rPr>
          <w:rStyle w:val="SCCCounselPartyRoleChar"/>
          <w:sz w:val="20"/>
          <w:lang w:val="fr-CA"/>
        </w:rPr>
      </w:pPr>
    </w:p>
    <w:p w:rsidR="00CC4E9B" w:rsidRPr="00CC4E9B" w:rsidRDefault="00CC4E9B" w:rsidP="00CC4E9B">
      <w:pPr>
        <w:pStyle w:val="SCCNormalDoubleSpacing"/>
        <w:tabs>
          <w:tab w:val="left" w:pos="720"/>
        </w:tabs>
        <w:spacing w:line="240" w:lineRule="auto"/>
        <w:rPr>
          <w:i/>
          <w:sz w:val="20"/>
          <w:lang w:val="fr-CA"/>
        </w:rPr>
      </w:pPr>
      <w:r w:rsidRPr="00F96423">
        <w:rPr>
          <w:sz w:val="20"/>
          <w:lang w:val="fr-CA"/>
        </w:rPr>
        <w:tab/>
      </w:r>
      <w:r w:rsidRPr="00CC4E9B">
        <w:rPr>
          <w:i/>
          <w:sz w:val="20"/>
          <w:lang w:val="fr-CA"/>
        </w:rPr>
        <w:t>Tribunaux — Compétence — Cours supérieures provinciales — Action en dommages-intérêts intentée contre la Couronne fédérale devant la Cour supérieure de justice de l’Ontario pour inexécution de contrat, négligence et enrichissement injustifié à la suite du rejet d’une demande de licence de télécommunications — La demanderesse a-t-elle le droit d’intenter une action en Cour supérieure de justice de l’Ontario sans engager d’abord une procédure de contrôle judiciaire devant la Cour fédérale? — Loi sur les Cours fédérales, L.R.C. 1985, ch. </w:t>
      </w:r>
      <w:r w:rsidRPr="00D230E9">
        <w:rPr>
          <w:i/>
          <w:sz w:val="20"/>
          <w:lang w:val="fr-FR"/>
        </w:rPr>
        <w:t>F-7, art. 17 et 18; Loi sur la responsabilité civile de l’État et le contentieux administratif, L.R.C. 1985, ch. </w:t>
      </w:r>
      <w:r w:rsidRPr="00CC4E9B">
        <w:rPr>
          <w:i/>
          <w:sz w:val="20"/>
          <w:lang w:val="fr-CA"/>
        </w:rPr>
        <w:t>C-50, art. 21.</w:t>
      </w:r>
    </w:p>
    <w:p w:rsidR="00CC4E9B" w:rsidRPr="00CC4E9B" w:rsidRDefault="00CC4E9B" w:rsidP="00CC4E9B">
      <w:pPr>
        <w:pStyle w:val="SCCNormalDoubleSpacing"/>
        <w:tabs>
          <w:tab w:val="left" w:pos="720"/>
        </w:tabs>
        <w:spacing w:line="240" w:lineRule="auto"/>
        <w:rPr>
          <w:sz w:val="20"/>
          <w:lang w:val="fr-CA"/>
        </w:rPr>
      </w:pPr>
    </w:p>
    <w:p w:rsidR="00CC4E9B" w:rsidRPr="00D230E9" w:rsidRDefault="00CC4E9B" w:rsidP="00CC4E9B">
      <w:pPr>
        <w:pStyle w:val="SCCNormalDoubleSpacing"/>
        <w:tabs>
          <w:tab w:val="left" w:pos="720"/>
        </w:tabs>
        <w:spacing w:line="240" w:lineRule="auto"/>
        <w:rPr>
          <w:sz w:val="20"/>
          <w:lang w:val="fr-FR"/>
        </w:rPr>
      </w:pPr>
      <w:r w:rsidRPr="00CC4E9B">
        <w:rPr>
          <w:sz w:val="20"/>
          <w:lang w:val="fr-CA"/>
        </w:rPr>
        <w:tab/>
      </w:r>
      <w:r w:rsidRPr="00D230E9">
        <w:rPr>
          <w:sz w:val="20"/>
          <w:lang w:val="fr-FR"/>
        </w:rPr>
        <w:t xml:space="preserve">En 1995, Industrie Canada a lancé une invitation à soumettre des demandes de licences de services de communications personnelles et a publié l’énoncé de politique devant servir de cadre aux demandes des fournisseurs potentiels.  L’énoncé indiquait qu’Industrie Canada délivrerait jusqu’à six licences en fonction des critères qu’elle avait définis.  T a soumis une demande, mais seules quatre demandes ont été retenues par Industrie Canada et celle de T n’en faisait pas partie.  T a intenté une action contre la Couronne fédérale devant la Cour supérieure de justice de l’Ontario pour inexécution de contrat, négligence et enrichissement injustifié, réclamant des dommages-intérêts pour les pertes de 250 millions de dollars qu’elle affirme avoir subies.  Elle a allégué que l’énoncé de politique comportait la condition expresse ou implicite qu’Industrie Canada délivrerait moins de six licences uniquement si moins de six demandes répondaient aux critères.  Puisque, aux dires de T, sa demande satisfaisait à tous les critères, Industrie Canada a dû appliquer d’autres facteurs, non communiqués, pour la rejeter.  Se fondant sur </w:t>
      </w:r>
      <w:r w:rsidRPr="00D230E9">
        <w:rPr>
          <w:i/>
          <w:sz w:val="20"/>
          <w:lang w:val="fr-FR"/>
        </w:rPr>
        <w:t>Canada c. Grenier</w:t>
      </w:r>
      <w:r w:rsidRPr="00D230E9">
        <w:rPr>
          <w:sz w:val="20"/>
          <w:lang w:val="fr-FR"/>
        </w:rPr>
        <w:t xml:space="preserve">, 2005 CAF 348, [2006] 2 R.C.F. 287, le procureur général du Canada a contesté la compétence de la Cour supérieure de justice au motif que la demande était une contestation indirecte de la décision, ce qui est interdit compte tenu de la compétence exclusive accordée à la Cour fédérale par l’art. 18 de la </w:t>
      </w:r>
      <w:r w:rsidRPr="00D230E9">
        <w:rPr>
          <w:i/>
          <w:sz w:val="20"/>
          <w:lang w:val="fr-FR"/>
        </w:rPr>
        <w:t>Loi sur les Cours fédérales</w:t>
      </w:r>
      <w:r w:rsidRPr="00D230E9">
        <w:rPr>
          <w:sz w:val="20"/>
          <w:lang w:val="fr-FR"/>
        </w:rPr>
        <w:t xml:space="preserve"> (la « </w:t>
      </w:r>
      <w:r w:rsidRPr="00D230E9">
        <w:rPr>
          <w:i/>
          <w:sz w:val="20"/>
          <w:lang w:val="fr-FR"/>
        </w:rPr>
        <w:t>LCF </w:t>
      </w:r>
      <w:r w:rsidRPr="00D230E9">
        <w:rPr>
          <w:sz w:val="20"/>
          <w:lang w:val="fr-FR"/>
        </w:rPr>
        <w:t xml:space="preserve">») en matière de contrôle judiciaire des décisions de tout office fédéral.  La Cour supérieure a rejeté cette objection parce que la demande n’était pas manifestement vouée à l’échec.  La Cour d’appel a maintenu la décision, estimant que l’arrêt </w:t>
      </w:r>
      <w:r w:rsidRPr="00D230E9">
        <w:rPr>
          <w:i/>
          <w:sz w:val="20"/>
          <w:lang w:val="fr-FR"/>
        </w:rPr>
        <w:t>Grenier</w:t>
      </w:r>
      <w:r w:rsidRPr="00D230E9">
        <w:rPr>
          <w:sz w:val="20"/>
          <w:lang w:val="fr-FR"/>
        </w:rPr>
        <w:t xml:space="preserve"> est incorrect.  Selon elle, l’art. 17 de la </w:t>
      </w:r>
      <w:r w:rsidRPr="00D230E9">
        <w:rPr>
          <w:i/>
          <w:sz w:val="20"/>
          <w:lang w:val="fr-FR"/>
        </w:rPr>
        <w:t xml:space="preserve">LCF </w:t>
      </w:r>
      <w:r w:rsidRPr="00D230E9">
        <w:rPr>
          <w:sz w:val="20"/>
          <w:lang w:val="fr-FR"/>
        </w:rPr>
        <w:t xml:space="preserve">et l’art. 21 de la </w:t>
      </w:r>
      <w:r w:rsidRPr="00D230E9">
        <w:rPr>
          <w:i/>
          <w:sz w:val="20"/>
          <w:lang w:val="fr-FR"/>
        </w:rPr>
        <w:t xml:space="preserve">Loi sur la responsabilité civile de l’État et le contentieux administratif </w:t>
      </w:r>
      <w:r w:rsidRPr="00D230E9">
        <w:rPr>
          <w:sz w:val="20"/>
          <w:lang w:val="fr-FR"/>
        </w:rPr>
        <w:t xml:space="preserve">confèrent aux cours supérieures et à la Cour fédérale une compétence concurrente à l’égard des demandes de réparation contre la Couronne, et l’art. 18 de la </w:t>
      </w:r>
      <w:r w:rsidRPr="00D230E9">
        <w:rPr>
          <w:i/>
          <w:sz w:val="20"/>
          <w:lang w:val="fr-FR"/>
        </w:rPr>
        <w:t xml:space="preserve">LCF </w:t>
      </w:r>
      <w:r w:rsidRPr="00D230E9">
        <w:rPr>
          <w:sz w:val="20"/>
          <w:lang w:val="fr-FR"/>
        </w:rPr>
        <w:t>n’a pas soustrait l’action en dommages-intérêts de la compétence des cours supérieures.</w:t>
      </w:r>
    </w:p>
    <w:p w:rsidR="00CC4E9B" w:rsidRPr="00D230E9" w:rsidRDefault="00CC4E9B" w:rsidP="00CC4E9B">
      <w:pPr>
        <w:pStyle w:val="SCCNormalDoubleSpacing"/>
        <w:tabs>
          <w:tab w:val="left" w:pos="720"/>
        </w:tabs>
        <w:spacing w:line="240" w:lineRule="auto"/>
        <w:rPr>
          <w:sz w:val="20"/>
          <w:lang w:val="fr-FR"/>
        </w:rPr>
      </w:pPr>
    </w:p>
    <w:p w:rsidR="00CC4E9B" w:rsidRPr="00CC4E9B" w:rsidRDefault="00CC4E9B" w:rsidP="00CC4E9B">
      <w:pPr>
        <w:pStyle w:val="SCCNormalDoubleSpacing"/>
        <w:tabs>
          <w:tab w:val="left" w:pos="720"/>
        </w:tabs>
        <w:spacing w:line="240" w:lineRule="auto"/>
        <w:rPr>
          <w:sz w:val="20"/>
          <w:lang w:val="fr-CA"/>
        </w:rPr>
      </w:pPr>
      <w:r w:rsidRPr="00D230E9">
        <w:rPr>
          <w:sz w:val="20"/>
          <w:lang w:val="fr-FR"/>
        </w:rPr>
        <w:tab/>
      </w:r>
      <w:r w:rsidRPr="00CC4E9B">
        <w:rPr>
          <w:i/>
          <w:sz w:val="20"/>
          <w:lang w:val="fr-CA"/>
        </w:rPr>
        <w:t>Arrêt </w:t>
      </w:r>
      <w:r w:rsidRPr="00D230E9">
        <w:rPr>
          <w:rStyle w:val="QuoteChar"/>
          <w:sz w:val="20"/>
        </w:rPr>
        <w:t>:</w:t>
      </w:r>
      <w:r w:rsidRPr="00CC4E9B">
        <w:rPr>
          <w:sz w:val="20"/>
          <w:lang w:val="fr-CA"/>
        </w:rPr>
        <w:t xml:space="preserve"> Le pourvoi est rejeté.</w:t>
      </w:r>
    </w:p>
    <w:p w:rsidR="00CC4E9B" w:rsidRPr="00CC4E9B" w:rsidRDefault="00CC4E9B" w:rsidP="00CC4E9B">
      <w:pPr>
        <w:pStyle w:val="SCCNormalDoubleSpacing"/>
        <w:tabs>
          <w:tab w:val="left" w:pos="720"/>
        </w:tabs>
        <w:spacing w:line="240" w:lineRule="auto"/>
        <w:rPr>
          <w:sz w:val="20"/>
          <w:lang w:val="fr-CA"/>
        </w:rPr>
      </w:pPr>
    </w:p>
    <w:p w:rsidR="00CC4E9B" w:rsidRPr="00CC4E9B" w:rsidRDefault="00CC4E9B" w:rsidP="00CC4E9B">
      <w:pPr>
        <w:pStyle w:val="SCCNormalDoubleSpacing"/>
        <w:tabs>
          <w:tab w:val="left" w:pos="720"/>
        </w:tabs>
        <w:spacing w:line="240" w:lineRule="auto"/>
        <w:rPr>
          <w:sz w:val="20"/>
          <w:lang w:val="fr-CA"/>
        </w:rPr>
      </w:pPr>
      <w:r w:rsidRPr="00CC4E9B">
        <w:rPr>
          <w:sz w:val="20"/>
          <w:lang w:val="fr-CA"/>
        </w:rPr>
        <w:tab/>
        <w:t xml:space="preserve">Le pourvoi porte essentiellement sur l’accès à la justice.  Les personnes qui prétendent avoir subi un préjudice attribuable à une mesure administrative doivent pouvoir exercer les recours autorisés par la loi au moyen de procédures réduisant au minimum les frais et complexités inutiles.  La Cour doit adopter une approche pratique et pragmatique en gardant cet objectif à l’esprit. Appliquer </w:t>
      </w:r>
      <w:r w:rsidRPr="00CC4E9B">
        <w:rPr>
          <w:i/>
          <w:sz w:val="20"/>
          <w:lang w:val="fr-CA"/>
        </w:rPr>
        <w:t>Grenier</w:t>
      </w:r>
      <w:r w:rsidRPr="00CC4E9B">
        <w:rPr>
          <w:sz w:val="20"/>
          <w:lang w:val="fr-CA"/>
        </w:rPr>
        <w:t xml:space="preserve"> tendrait à miner l’efficacité des réformes mises en place par la </w:t>
      </w:r>
      <w:r w:rsidRPr="00CC4E9B">
        <w:rPr>
          <w:i/>
          <w:sz w:val="20"/>
          <w:lang w:val="fr-CA"/>
        </w:rPr>
        <w:t>LCF</w:t>
      </w:r>
      <w:r w:rsidRPr="00CC4E9B">
        <w:rPr>
          <w:sz w:val="20"/>
          <w:lang w:val="fr-CA"/>
        </w:rPr>
        <w:t xml:space="preserve"> au début des années 1990, en maintenant l’exclusivité juridictionnelle de la Cour fédérale à l’égard d’un élément fondamental de nombreux recours instruits devant les cours provinciales, en dépit de la promesse du législateur de donner au demandeur le choix du tribunal et de permettre aux parties l’accès aux cours supérieures provinciales, « </w:t>
      </w:r>
      <w:r w:rsidRPr="00CC4E9B">
        <w:rPr>
          <w:i/>
          <w:sz w:val="20"/>
          <w:lang w:val="fr-CA"/>
        </w:rPr>
        <w:t>dans les cas</w:t>
      </w:r>
      <w:r w:rsidRPr="00CC4E9B">
        <w:rPr>
          <w:sz w:val="20"/>
          <w:lang w:val="fr-CA"/>
        </w:rPr>
        <w:t xml:space="preserve"> de demande de réparation contre la Couronne » fédérale, sauf disposition contraire. </w:t>
      </w:r>
    </w:p>
    <w:p w:rsidR="00CC4E9B" w:rsidRPr="00CC4E9B" w:rsidRDefault="00CC4E9B" w:rsidP="00CC4E9B">
      <w:pPr>
        <w:pStyle w:val="SCCNormalDoubleSpacing"/>
        <w:tabs>
          <w:tab w:val="left" w:pos="720"/>
        </w:tabs>
        <w:spacing w:line="240" w:lineRule="auto"/>
        <w:rPr>
          <w:sz w:val="20"/>
          <w:lang w:val="fr-CA"/>
        </w:rPr>
      </w:pPr>
    </w:p>
    <w:p w:rsidR="00CC4E9B" w:rsidRPr="00CC4E9B" w:rsidRDefault="00CC4E9B" w:rsidP="00CC4E9B">
      <w:pPr>
        <w:pStyle w:val="SCCNormalDoubleSpacing"/>
        <w:tabs>
          <w:tab w:val="left" w:pos="720"/>
        </w:tabs>
        <w:spacing w:line="240" w:lineRule="auto"/>
        <w:rPr>
          <w:color w:val="000000"/>
          <w:sz w:val="20"/>
          <w:lang w:val="fr-CA"/>
        </w:rPr>
      </w:pPr>
      <w:r w:rsidRPr="00CC4E9B">
        <w:rPr>
          <w:sz w:val="20"/>
          <w:lang w:val="fr-CA"/>
        </w:rPr>
        <w:tab/>
        <w:t xml:space="preserve">Sous réserve de restrictions constitutionnelles, dont aucune n’est pertinente en l’espèce, le législateur peut transférer un pouvoir appartenant aux cours supérieures à d’autres organismes juridictionnels, comme la Cour fédérale.  Cependant, la compétence des cours supérieures provinciales ne peut être amoindrie (en faveur de la Cour fédérale ou d’un autre tribunal) que si une disposition législative claire le prévoit expressément. </w:t>
      </w:r>
      <w:r w:rsidRPr="00D230E9">
        <w:rPr>
          <w:sz w:val="20"/>
          <w:lang w:val="fr-FR"/>
        </w:rPr>
        <w:t xml:space="preserve"> Aucune disposition de la </w:t>
      </w:r>
      <w:r w:rsidRPr="00D230E9">
        <w:rPr>
          <w:i/>
          <w:sz w:val="20"/>
          <w:lang w:val="fr-FR"/>
        </w:rPr>
        <w:t xml:space="preserve">LCF </w:t>
      </w:r>
      <w:r w:rsidRPr="00D230E9">
        <w:rPr>
          <w:sz w:val="20"/>
          <w:lang w:val="fr-FR"/>
        </w:rPr>
        <w:t xml:space="preserve">ne répond à ce critère.  L’octroi explicite aux cours supérieures provinciales d’une compétence concurrente en matière de demandes de réparation contre la Couronne, à l’art. 17 de cette loi (et à l’art. 21 de la </w:t>
      </w:r>
      <w:r w:rsidRPr="00D230E9">
        <w:rPr>
          <w:i/>
          <w:sz w:val="20"/>
          <w:lang w:val="fr-FR"/>
        </w:rPr>
        <w:t>Loi sur la responsabilité civile de l’État et le contentieux administratif</w:t>
      </w:r>
      <w:r w:rsidRPr="00D230E9">
        <w:rPr>
          <w:sz w:val="20"/>
          <w:lang w:val="fr-FR"/>
        </w:rPr>
        <w:t xml:space="preserve">) </w:t>
      </w:r>
      <w:r w:rsidRPr="00CC4E9B">
        <w:rPr>
          <w:color w:val="000000"/>
          <w:sz w:val="20"/>
          <w:lang w:val="fr-CA"/>
        </w:rPr>
        <w:t xml:space="preserve">réfute directement </w:t>
      </w:r>
      <w:r w:rsidRPr="00D230E9">
        <w:rPr>
          <w:sz w:val="20"/>
          <w:lang w:val="fr-FR"/>
        </w:rPr>
        <w:t>l’argument du procureur général</w:t>
      </w:r>
      <w:r w:rsidRPr="00D230E9">
        <w:rPr>
          <w:color w:val="000000"/>
          <w:sz w:val="20"/>
          <w:lang w:val="fr-FR"/>
        </w:rPr>
        <w:t>.</w:t>
      </w:r>
      <w:r w:rsidRPr="00D230E9">
        <w:rPr>
          <w:sz w:val="20"/>
          <w:lang w:val="fr-FR"/>
        </w:rPr>
        <w:t xml:space="preserve">  </w:t>
      </w:r>
      <w:r w:rsidRPr="00D230E9">
        <w:rPr>
          <w:color w:val="000000"/>
          <w:sz w:val="20"/>
          <w:lang w:val="fr-FR"/>
        </w:rPr>
        <w:t>Il faut voir l</w:t>
      </w:r>
      <w:r w:rsidRPr="00CC4E9B">
        <w:rPr>
          <w:color w:val="000000"/>
          <w:sz w:val="20"/>
          <w:lang w:val="fr-CA"/>
        </w:rPr>
        <w:t>’attribution de la compétence exclusive en matière de contrôle judiciaire des décisions de l’administration fédérale à l’art. 18 comme une réserve ou une exception à l’attribution d’une compétence concurrente plus générale à l’art. 17 « dans les cas de demande de réparation contre la Couronne »</w:t>
      </w:r>
      <w:r w:rsidRPr="00D230E9">
        <w:rPr>
          <w:sz w:val="20"/>
          <w:lang w:val="fr-FR"/>
        </w:rPr>
        <w:t xml:space="preserve"> fédérale.  Cette réserve ou exception </w:t>
      </w:r>
      <w:r w:rsidRPr="00CC4E9B">
        <w:rPr>
          <w:color w:val="000000"/>
          <w:sz w:val="20"/>
          <w:lang w:val="fr-CA"/>
        </w:rPr>
        <w:t xml:space="preserve">est énoncée à l’art. 18 de la </w:t>
      </w:r>
      <w:r w:rsidRPr="00CC4E9B">
        <w:rPr>
          <w:i/>
          <w:color w:val="000000"/>
          <w:sz w:val="20"/>
          <w:lang w:val="fr-CA"/>
        </w:rPr>
        <w:t xml:space="preserve">LCF </w:t>
      </w:r>
      <w:r w:rsidRPr="00CC4E9B">
        <w:rPr>
          <w:color w:val="000000"/>
          <w:sz w:val="20"/>
          <w:lang w:val="fr-CA"/>
        </w:rPr>
        <w:t>sous forme de recours particuliers</w:t>
      </w:r>
      <w:r w:rsidRPr="00D230E9">
        <w:rPr>
          <w:sz w:val="20"/>
          <w:lang w:val="fr-FR"/>
        </w:rPr>
        <w:t xml:space="preserve">.  Tous les recours énumérés sont des recours classiques du droit administratif, et l’octroi de dommages-intérêts n’en fait pas partie.  L’indemnisation n’est pas possible dans le cadre </w:t>
      </w:r>
      <w:r w:rsidRPr="00CC4E9B">
        <w:rPr>
          <w:color w:val="000000"/>
          <w:sz w:val="20"/>
          <w:lang w:val="fr-CA"/>
        </w:rPr>
        <w:t xml:space="preserve">d’une procédure de contrôle judiciaire; mais seulement dans le cadre d’une action. </w:t>
      </w:r>
    </w:p>
    <w:p w:rsidR="00CC4E9B" w:rsidRPr="00CC4E9B" w:rsidRDefault="00CC4E9B" w:rsidP="00CC4E9B">
      <w:pPr>
        <w:pStyle w:val="SCCNormalDoubleSpacing"/>
        <w:tabs>
          <w:tab w:val="left" w:pos="720"/>
        </w:tabs>
        <w:spacing w:line="240" w:lineRule="auto"/>
        <w:rPr>
          <w:color w:val="000000"/>
          <w:sz w:val="20"/>
          <w:lang w:val="fr-CA"/>
        </w:rPr>
      </w:pPr>
    </w:p>
    <w:p w:rsidR="00CC4E9B" w:rsidRPr="00CC4E9B" w:rsidRDefault="00CC4E9B" w:rsidP="00CC4E9B">
      <w:pPr>
        <w:pStyle w:val="SCCNormalDoubleSpacing"/>
        <w:tabs>
          <w:tab w:val="left" w:pos="720"/>
        </w:tabs>
        <w:spacing w:line="240" w:lineRule="auto"/>
        <w:rPr>
          <w:sz w:val="20"/>
          <w:lang w:val="fr-CA"/>
        </w:rPr>
      </w:pPr>
      <w:r w:rsidRPr="00CC4E9B">
        <w:rPr>
          <w:sz w:val="20"/>
          <w:lang w:val="fr-CA"/>
        </w:rPr>
        <w:tab/>
        <w:t xml:space="preserve">D’autres </w:t>
      </w:r>
      <w:r w:rsidRPr="00CC4E9B">
        <w:rPr>
          <w:color w:val="000000"/>
          <w:sz w:val="20"/>
          <w:lang w:val="fr-CA"/>
        </w:rPr>
        <w:t xml:space="preserve">éléments intrinsèques de la </w:t>
      </w:r>
      <w:r w:rsidRPr="00CC4E9B">
        <w:rPr>
          <w:i/>
          <w:color w:val="000000"/>
          <w:sz w:val="20"/>
          <w:lang w:val="fr-CA"/>
        </w:rPr>
        <w:t>LCF</w:t>
      </w:r>
      <w:r w:rsidRPr="00CC4E9B">
        <w:rPr>
          <w:color w:val="000000"/>
          <w:sz w:val="20"/>
          <w:lang w:val="fr-CA"/>
        </w:rPr>
        <w:t xml:space="preserve"> indiquent que le législateur ne peut avoir eu l’intention de faire du contrôle judiciaire une épreuve préliminaire comme le laisse entrevoir l’arrêt </w:t>
      </w:r>
      <w:r w:rsidRPr="00CC4E9B">
        <w:rPr>
          <w:i/>
          <w:color w:val="000000"/>
          <w:sz w:val="20"/>
          <w:lang w:val="fr-CA"/>
        </w:rPr>
        <w:t>Grenier</w:t>
      </w:r>
      <w:r w:rsidRPr="00CC4E9B">
        <w:rPr>
          <w:color w:val="000000"/>
          <w:sz w:val="20"/>
          <w:lang w:val="fr-CA"/>
        </w:rPr>
        <w:t>.</w:t>
      </w:r>
      <w:r w:rsidRPr="00CC4E9B">
        <w:rPr>
          <w:sz w:val="20"/>
          <w:lang w:val="fr-CA"/>
        </w:rPr>
        <w:t xml:space="preserve">  Le paragraphe 18.1(2) fixe un délai de 30 jours pour la présentation d’une demande de contrôle judiciaire.  Il ne serait pas réaliste qu’une action en dommages</w:t>
      </w:r>
      <w:r w:rsidRPr="00CC4E9B">
        <w:rPr>
          <w:sz w:val="20"/>
          <w:lang w:val="fr-CA"/>
        </w:rPr>
        <w:noBreakHyphen/>
        <w:t xml:space="preserve">intérêts se prescrive par 30 jours, vu que les faits nécessaires pour fonder un recours civil peuvent fort bien n’être connus qu’après 30 jours et qu’il se pourrait qu’un demandeur ne soit pas en mesure de déposer sa demande de contrôle judiciaire dans le délai fixé. </w:t>
      </w:r>
      <w:r w:rsidRPr="00D230E9">
        <w:rPr>
          <w:sz w:val="20"/>
          <w:lang w:val="fr-FR"/>
        </w:rPr>
        <w:t xml:space="preserve"> Il est possible de proroger le délai de 30 jours, mais il s’agit là d’une décision discrétionnaire, </w:t>
      </w:r>
      <w:r w:rsidRPr="00CC4E9B">
        <w:rPr>
          <w:color w:val="000000"/>
          <w:sz w:val="20"/>
          <w:lang w:val="fr-CA"/>
        </w:rPr>
        <w:t xml:space="preserve">et l’issue d’une action civile intentée devant une cour supérieure serait ainsi subordonnée au pouvoir discrétionnaire d’un juge de la Cour fédérale statuant sur une demande de prorogation de délai en fonction de considérations de droit public et non de facteurs propres aux dommages-intérêts de droit civil. </w:t>
      </w:r>
      <w:r w:rsidRPr="00CC4E9B">
        <w:rPr>
          <w:sz w:val="20"/>
          <w:lang w:val="fr-CA"/>
        </w:rPr>
        <w:t xml:space="preserve"> En outre, les décisions en matière de contrôle judiciaire sont de nature discrétionnaire, et une demande de contrôle judiciaire peut être rejetée même lorsque le demandeur </w:t>
      </w:r>
      <w:r w:rsidRPr="00CC4E9B">
        <w:rPr>
          <w:color w:val="000000"/>
          <w:sz w:val="20"/>
          <w:lang w:val="fr-CA"/>
        </w:rPr>
        <w:t xml:space="preserve">a établi l’existence de motifs qui justifieraient l’intervention de la cour. </w:t>
      </w:r>
      <w:r w:rsidRPr="00CC4E9B">
        <w:rPr>
          <w:sz w:val="20"/>
          <w:lang w:val="fr-CA"/>
        </w:rPr>
        <w:t xml:space="preserve"> Cette approche </w:t>
      </w:r>
      <w:r w:rsidRPr="00CC4E9B">
        <w:rPr>
          <w:color w:val="000000"/>
          <w:sz w:val="20"/>
          <w:lang w:val="fr-CA"/>
        </w:rPr>
        <w:t>ne concorde pas avec le paradigme de l’action en dommages-intérêts de la common law, suivant lequel la preuve des éléments de la demande entraîne normalement l’indemnisation</w:t>
      </w:r>
      <w:r w:rsidRPr="00CC4E9B">
        <w:rPr>
          <w:sz w:val="20"/>
          <w:lang w:val="fr-CA"/>
        </w:rPr>
        <w:t xml:space="preserve">.  De plus, </w:t>
      </w:r>
      <w:r w:rsidRPr="00CC4E9B">
        <w:rPr>
          <w:color w:val="000000"/>
          <w:sz w:val="20"/>
          <w:lang w:val="fr-CA"/>
        </w:rPr>
        <w:t xml:space="preserve">l’art. 8 de la </w:t>
      </w:r>
      <w:r w:rsidRPr="00CC4E9B">
        <w:rPr>
          <w:i/>
          <w:color w:val="000000"/>
          <w:sz w:val="20"/>
          <w:lang w:val="fr-CA"/>
        </w:rPr>
        <w:t>Loi sur la responsabilité civile de l’État et le contentieux administratif</w:t>
      </w:r>
      <w:r w:rsidRPr="00CC4E9B">
        <w:rPr>
          <w:color w:val="000000"/>
          <w:sz w:val="20"/>
          <w:lang w:val="fr-CA"/>
        </w:rPr>
        <w:t>, qui codifie la défense de pouvoir d’origine législative, prouve que le législateur prévoyait que la cour supérieure provinciale pourrait se prononcer sur la légalité de décisions administratives dans le cadre d’une action en dommages-intérêts.</w:t>
      </w:r>
    </w:p>
    <w:p w:rsidR="00CC4E9B" w:rsidRPr="00CC4E9B" w:rsidRDefault="00CC4E9B" w:rsidP="00CC4E9B">
      <w:pPr>
        <w:pStyle w:val="SCCNormalDoubleSpacing"/>
        <w:tabs>
          <w:tab w:val="left" w:pos="720"/>
        </w:tabs>
        <w:spacing w:line="240" w:lineRule="auto"/>
        <w:rPr>
          <w:sz w:val="20"/>
          <w:lang w:val="fr-CA"/>
        </w:rPr>
      </w:pPr>
    </w:p>
    <w:p w:rsidR="00CC4E9B" w:rsidRPr="00CC4E9B" w:rsidRDefault="00CC4E9B" w:rsidP="00CC4E9B">
      <w:pPr>
        <w:pStyle w:val="SCCNormalDoubleSpacing"/>
        <w:tabs>
          <w:tab w:val="left" w:pos="720"/>
        </w:tabs>
        <w:spacing w:line="240" w:lineRule="auto"/>
        <w:rPr>
          <w:sz w:val="20"/>
          <w:lang w:val="fr-CA"/>
        </w:rPr>
      </w:pPr>
      <w:r w:rsidRPr="00CC4E9B">
        <w:rPr>
          <w:sz w:val="20"/>
          <w:lang w:val="fr-CA"/>
        </w:rPr>
        <w:tab/>
      </w:r>
      <w:r w:rsidRPr="00D230E9">
        <w:rPr>
          <w:sz w:val="20"/>
          <w:lang w:val="fr-FR"/>
        </w:rPr>
        <w:t>L</w:t>
      </w:r>
      <w:r w:rsidRPr="00D230E9">
        <w:rPr>
          <w:color w:val="000000"/>
          <w:sz w:val="20"/>
          <w:lang w:val="fr-FR"/>
        </w:rPr>
        <w:t xml:space="preserve">a règle interdisant les contestations indirectes ne peut justifier l’approche proposée dans </w:t>
      </w:r>
      <w:r w:rsidRPr="00D230E9">
        <w:rPr>
          <w:i/>
          <w:color w:val="000000"/>
          <w:sz w:val="20"/>
          <w:lang w:val="fr-FR"/>
        </w:rPr>
        <w:t>Grenier</w:t>
      </w:r>
      <w:r w:rsidRPr="00D230E9">
        <w:rPr>
          <w:sz w:val="20"/>
          <w:lang w:val="fr-FR"/>
        </w:rPr>
        <w:t xml:space="preserve">.  T ne se sert pas de sa demande pour faire invalider ou déclarer inopérante la décision du ministre; elle fait plutôt de la décision et des pertes pécuniaires qui en auraient résulté les assises mêmes de sa demande de dommages-intérêts.  Quoi qu’il en soit, le législateur a spécifié, en attribuant une compétence concurrente à l’art. 17 de la </w:t>
      </w:r>
      <w:r w:rsidRPr="00D230E9">
        <w:rPr>
          <w:i/>
          <w:sz w:val="20"/>
          <w:lang w:val="fr-FR"/>
        </w:rPr>
        <w:t>LCF</w:t>
      </w:r>
      <w:r w:rsidRPr="00D230E9">
        <w:rPr>
          <w:sz w:val="20"/>
          <w:lang w:val="fr-FR"/>
        </w:rPr>
        <w:t xml:space="preserve">, que les cours supérieures provinciales disposent de la compétence concurrente voulue pour trancher une demande dans son intégralité, y compris pour décider de la validité d’une décision du ministre, lorsque cette question est un élément essentiel de la cause d’action et qu’il faut la trancher pour statuer sur la demande.  La Couronne peut invoquer la </w:t>
      </w:r>
      <w:r w:rsidRPr="00D230E9">
        <w:rPr>
          <w:color w:val="000000"/>
          <w:sz w:val="20"/>
          <w:lang w:val="fr-FR"/>
        </w:rPr>
        <w:t>doctrine de la contestation indirecte en défense devant la cour supérieure provinciale</w:t>
      </w:r>
      <w:r w:rsidRPr="00D230E9">
        <w:rPr>
          <w:sz w:val="20"/>
          <w:lang w:val="fr-FR"/>
        </w:rPr>
        <w:t xml:space="preserve">, mais la </w:t>
      </w:r>
      <w:r w:rsidRPr="00CC4E9B">
        <w:rPr>
          <w:color w:val="000000"/>
          <w:sz w:val="20"/>
          <w:lang w:val="fr-CA"/>
        </w:rPr>
        <w:t xml:space="preserve">possibilité de recourir à ce moyen de défense ne peut étayer la thèse de l’incompétence de la cour supérieure provinciale. </w:t>
      </w:r>
      <w:r w:rsidRPr="00CC4E9B">
        <w:rPr>
          <w:sz w:val="20"/>
          <w:lang w:val="fr-CA"/>
        </w:rPr>
        <w:t xml:space="preserve"> De même, bien que la Couronne puisse faire valoir, en défense, que le décideur public exerçait un pouvoir d’origine législative qui exclut l’indemnisation des pertes pouvant en résulter, cette question n’a pas trait à la compétence et peut être tranchée aussi bien par la cour supérieure d’une province que par la Cour fédérale.</w:t>
      </w:r>
    </w:p>
    <w:p w:rsidR="00CC4E9B" w:rsidRPr="00CC4E9B" w:rsidRDefault="00CC4E9B" w:rsidP="00CC4E9B">
      <w:pPr>
        <w:pStyle w:val="SCCNormalDoubleSpacing"/>
        <w:tabs>
          <w:tab w:val="left" w:pos="720"/>
        </w:tabs>
        <w:spacing w:line="240" w:lineRule="auto"/>
        <w:rPr>
          <w:sz w:val="20"/>
          <w:lang w:val="fr-CA"/>
        </w:rPr>
      </w:pPr>
    </w:p>
    <w:p w:rsidR="00CC4E9B" w:rsidRPr="00CC4E9B" w:rsidRDefault="00CC4E9B" w:rsidP="00CC4E9B">
      <w:pPr>
        <w:pStyle w:val="SCCNormalDoubleSpacing"/>
        <w:tabs>
          <w:tab w:val="left" w:pos="720"/>
        </w:tabs>
        <w:spacing w:line="240" w:lineRule="auto"/>
        <w:rPr>
          <w:sz w:val="20"/>
          <w:lang w:val="fr-CA"/>
        </w:rPr>
      </w:pPr>
      <w:r w:rsidRPr="00CC4E9B">
        <w:rPr>
          <w:sz w:val="20"/>
          <w:lang w:val="fr-CA"/>
        </w:rPr>
        <w:tab/>
        <w:t>Les cours supérieures provinciales et la Cour fédérale disposent du pouvoir discrétionnaire résiduel de suspendre une action en dommages</w:t>
      </w:r>
      <w:r w:rsidRPr="00CC4E9B">
        <w:rPr>
          <w:sz w:val="20"/>
          <w:lang w:val="fr-CA"/>
        </w:rPr>
        <w:noBreakHyphen/>
        <w:t xml:space="preserve">intérêts lorsqu’il s’agit essentiellement d’une demande de contrôle judiciaire et qu’elle n’a que superficiellement l’apparence d’un recours délictuel de droit privé. </w:t>
      </w:r>
      <w:r w:rsidRPr="00D230E9">
        <w:rPr>
          <w:sz w:val="20"/>
          <w:lang w:val="fr-FR"/>
        </w:rPr>
        <w:t xml:space="preserve"> Toutefois, lorsque le demandeur allègue les éléments d’une cause d’action en droit privé </w:t>
      </w:r>
      <w:r w:rsidRPr="00CC4E9B">
        <w:rPr>
          <w:color w:val="000000"/>
          <w:sz w:val="20"/>
          <w:lang w:val="fr-CA"/>
        </w:rPr>
        <w:t xml:space="preserve">dans son argumentation, la cour supérieure provinciale ne doit généralement pas décliner compétence au motif que l’action s’apparente à un recours qui doit être instruit comme une demande de contrôle judiciaire. </w:t>
      </w:r>
      <w:r w:rsidRPr="00CC4E9B">
        <w:rPr>
          <w:sz w:val="20"/>
          <w:lang w:val="fr-CA"/>
        </w:rPr>
        <w:t xml:space="preserve"> Si le demandeur </w:t>
      </w:r>
      <w:r w:rsidRPr="00CC4E9B">
        <w:rPr>
          <w:color w:val="000000"/>
          <w:sz w:val="20"/>
          <w:lang w:val="fr-CA"/>
        </w:rPr>
        <w:t xml:space="preserve">a plaidé une cause d’action valide en dommages-intérêts, il </w:t>
      </w:r>
      <w:r w:rsidRPr="00CC4E9B">
        <w:rPr>
          <w:sz w:val="20"/>
          <w:lang w:val="fr-CA"/>
        </w:rPr>
        <w:t>devrait généralement être admis à exercer son recours à ce titre.</w:t>
      </w:r>
    </w:p>
    <w:p w:rsidR="00CC4E9B" w:rsidRPr="00CC4E9B" w:rsidRDefault="00CC4E9B" w:rsidP="00CC4E9B">
      <w:pPr>
        <w:pStyle w:val="SCCNormalDoubleSpacing"/>
        <w:tabs>
          <w:tab w:val="left" w:pos="720"/>
        </w:tabs>
        <w:spacing w:line="240" w:lineRule="auto"/>
        <w:rPr>
          <w:sz w:val="20"/>
          <w:lang w:val="fr-CA"/>
        </w:rPr>
      </w:pPr>
    </w:p>
    <w:p w:rsidR="00CC4E9B" w:rsidRPr="00CC4E9B" w:rsidRDefault="00CC4E9B" w:rsidP="00CC4E9B">
      <w:pPr>
        <w:pStyle w:val="SCCNormalDoubleSpacing"/>
        <w:tabs>
          <w:tab w:val="left" w:pos="720"/>
        </w:tabs>
        <w:spacing w:line="240" w:lineRule="auto"/>
        <w:rPr>
          <w:sz w:val="20"/>
          <w:lang w:val="fr-CA"/>
        </w:rPr>
      </w:pPr>
      <w:r w:rsidRPr="00CC4E9B">
        <w:rPr>
          <w:sz w:val="20"/>
          <w:lang w:val="fr-CA"/>
        </w:rPr>
        <w:tab/>
        <w:t xml:space="preserve">Tel qu’il a été présenté, </w:t>
      </w:r>
      <w:r w:rsidRPr="00CC4E9B">
        <w:rPr>
          <w:color w:val="000000"/>
          <w:sz w:val="20"/>
          <w:lang w:val="fr-CA"/>
        </w:rPr>
        <w:t>le recours de T met principalement en jeu des questions de droit privé.</w:t>
      </w:r>
      <w:r w:rsidRPr="00CC4E9B">
        <w:rPr>
          <w:sz w:val="20"/>
          <w:lang w:val="fr-CA"/>
        </w:rPr>
        <w:t xml:space="preserve">  T </w:t>
      </w:r>
      <w:r w:rsidRPr="00CC4E9B">
        <w:rPr>
          <w:color w:val="000000"/>
          <w:sz w:val="20"/>
          <w:lang w:val="fr-CA"/>
        </w:rPr>
        <w:t xml:space="preserve">ne cherche pas à obtenir l’annulation de la décision de délivrer les licences. </w:t>
      </w:r>
      <w:r w:rsidRPr="00D230E9">
        <w:rPr>
          <w:sz w:val="20"/>
          <w:lang w:val="fr-FR"/>
        </w:rPr>
        <w:t xml:space="preserve"> Elle ne </w:t>
      </w:r>
      <w:r w:rsidRPr="00CC4E9B">
        <w:rPr>
          <w:color w:val="000000"/>
          <w:sz w:val="20"/>
          <w:lang w:val="fr-CA"/>
        </w:rPr>
        <w:t>cherche pas non plus à priver la décision de ses effets juridiques</w:t>
      </w:r>
      <w:r w:rsidRPr="00D230E9">
        <w:rPr>
          <w:sz w:val="20"/>
          <w:lang w:val="fr-FR"/>
        </w:rPr>
        <w:t>.  Ses causes d’action contractuelles, délictuelles et en equity sont fondées sur le caractère définitif de cette décision qui l’écarte du marché des télécommunications.</w:t>
      </w:r>
      <w:r w:rsidRPr="00CC4E9B">
        <w:rPr>
          <w:color w:val="000000"/>
          <w:sz w:val="20"/>
          <w:lang w:val="fr-CA"/>
        </w:rPr>
        <w:t xml:space="preserve"> </w:t>
      </w:r>
      <w:r w:rsidRPr="00CC4E9B">
        <w:rPr>
          <w:sz w:val="20"/>
          <w:lang w:val="fr-CA"/>
        </w:rPr>
        <w:t xml:space="preserve"> La Cour supérieure de justice de l’Ontario a compétence sur les parties et sur l’objet du litige, et elle a le pouvoir d’accorder des dommages-intérêts.  Aucune disposition de la </w:t>
      </w:r>
      <w:r w:rsidRPr="00CC4E9B">
        <w:rPr>
          <w:i/>
          <w:sz w:val="20"/>
          <w:lang w:val="fr-CA"/>
        </w:rPr>
        <w:t>LCF</w:t>
      </w:r>
      <w:r w:rsidRPr="00CC4E9B">
        <w:rPr>
          <w:sz w:val="20"/>
          <w:lang w:val="fr-CA"/>
        </w:rPr>
        <w:t xml:space="preserve"> n’empêche la Cour supérieure de l’Ontario de statuer sur la demande. </w:t>
      </w:r>
    </w:p>
    <w:p w:rsidR="00151761" w:rsidRDefault="00151761" w:rsidP="003B3977">
      <w:pPr>
        <w:rPr>
          <w:sz w:val="20"/>
          <w:szCs w:val="20"/>
          <w:lang w:val="fr-CA"/>
        </w:rPr>
      </w:pPr>
    </w:p>
    <w:p w:rsidR="00973482" w:rsidRPr="00973482" w:rsidRDefault="00973482" w:rsidP="00973482">
      <w:pPr>
        <w:tabs>
          <w:tab w:val="left" w:pos="720"/>
        </w:tabs>
        <w:jc w:val="both"/>
        <w:rPr>
          <w:rFonts w:cs="Times New Roman"/>
          <w:sz w:val="20"/>
          <w:szCs w:val="20"/>
          <w:lang w:val="fr-CA"/>
        </w:rPr>
      </w:pPr>
      <w:r w:rsidRPr="004159B7">
        <w:rPr>
          <w:rFonts w:cs="Times New Roman"/>
          <w:sz w:val="20"/>
          <w:szCs w:val="20"/>
          <w:lang w:val="fr-CA"/>
        </w:rPr>
        <w:tab/>
      </w:r>
      <w:r w:rsidRPr="00973482">
        <w:rPr>
          <w:rFonts w:cs="Times New Roman"/>
          <w:sz w:val="20"/>
          <w:szCs w:val="20"/>
          <w:lang w:val="fr-CA"/>
        </w:rPr>
        <w:t xml:space="preserve">POURVOI contre un arrêt de la Cour d’appel de l’Ontario (les juges Laskin, Borins et Feldman), </w:t>
      </w:r>
      <w:r w:rsidR="00D56013" w:rsidRPr="00761CFC">
        <w:rPr>
          <w:rFonts w:cs="Times New Roman"/>
          <w:sz w:val="20"/>
          <w:szCs w:val="20"/>
        </w:rPr>
        <w:fldChar w:fldCharType="begin"/>
      </w:r>
      <w:r w:rsidRPr="00973482">
        <w:rPr>
          <w:rFonts w:cs="Times New Roman"/>
          <w:sz w:val="20"/>
          <w:szCs w:val="20"/>
          <w:lang w:val="fr-CA"/>
        </w:rPr>
        <w:instrText xml:space="preserve"> SEQ CHAPTER \h \r 1</w:instrText>
      </w:r>
      <w:r w:rsidR="00D56013" w:rsidRPr="00761CFC">
        <w:rPr>
          <w:rFonts w:cs="Times New Roman"/>
          <w:sz w:val="20"/>
          <w:szCs w:val="20"/>
        </w:rPr>
        <w:fldChar w:fldCharType="end"/>
      </w:r>
      <w:r w:rsidRPr="00973482">
        <w:rPr>
          <w:rFonts w:cs="Times New Roman"/>
          <w:sz w:val="20"/>
          <w:szCs w:val="20"/>
          <w:lang w:val="fr-CA"/>
        </w:rPr>
        <w:t xml:space="preserve">2008 ONCA 892, 94 O.R. (3d) 19, 303 D.L.R. (4th) 626, 245 O.A.C. 91, 86 Admin L.R. (4th) 163, 40 C.E.L.R. (3d) 183, </w:t>
      </w:r>
      <w:r w:rsidR="00D56013" w:rsidRPr="00761CFC">
        <w:rPr>
          <w:rFonts w:cs="Times New Roman"/>
          <w:sz w:val="20"/>
          <w:szCs w:val="20"/>
        </w:rPr>
        <w:fldChar w:fldCharType="begin"/>
      </w:r>
      <w:r w:rsidRPr="00973482">
        <w:rPr>
          <w:rFonts w:cs="Times New Roman"/>
          <w:sz w:val="20"/>
          <w:szCs w:val="20"/>
          <w:lang w:val="fr-CA"/>
        </w:rPr>
        <w:instrText xml:space="preserve"> SEQ CHAPTER \h \r 1</w:instrText>
      </w:r>
      <w:r w:rsidR="00D56013" w:rsidRPr="00761CFC">
        <w:rPr>
          <w:rFonts w:cs="Times New Roman"/>
          <w:sz w:val="20"/>
          <w:szCs w:val="20"/>
        </w:rPr>
        <w:fldChar w:fldCharType="end"/>
      </w:r>
      <w:r w:rsidRPr="00973482">
        <w:rPr>
          <w:rFonts w:cs="Times New Roman"/>
          <w:sz w:val="20"/>
          <w:szCs w:val="20"/>
          <w:lang w:val="fr-CA"/>
        </w:rPr>
        <w:t xml:space="preserve">[2008] O.J. No. 5291 (QL), 2008 CarswellOnt 7826, qui a confirmé une décision du juge </w:t>
      </w:r>
      <w:r w:rsidR="00D56013" w:rsidRPr="00761CFC">
        <w:rPr>
          <w:rFonts w:cs="Times New Roman"/>
          <w:sz w:val="20"/>
          <w:szCs w:val="20"/>
        </w:rPr>
        <w:fldChar w:fldCharType="begin"/>
      </w:r>
      <w:r w:rsidRPr="00973482">
        <w:rPr>
          <w:rFonts w:cs="Times New Roman"/>
          <w:sz w:val="20"/>
          <w:szCs w:val="20"/>
          <w:lang w:val="fr-CA"/>
        </w:rPr>
        <w:instrText xml:space="preserve"> SEQ CHAPTER \h \r 1</w:instrText>
      </w:r>
      <w:r w:rsidR="00D56013" w:rsidRPr="00761CFC">
        <w:rPr>
          <w:rFonts w:cs="Times New Roman"/>
          <w:sz w:val="20"/>
          <w:szCs w:val="20"/>
        </w:rPr>
        <w:fldChar w:fldCharType="end"/>
      </w:r>
      <w:r w:rsidRPr="00973482">
        <w:rPr>
          <w:rFonts w:cs="Times New Roman"/>
          <w:sz w:val="20"/>
          <w:szCs w:val="20"/>
          <w:lang w:val="fr-CA"/>
        </w:rPr>
        <w:t>Morawetz (2007), 88 O.R. (3d) 173, [2007] O.J. No. 4766 (QL), 2007 CarswellOnt 7847.  Pourvoi rejeté.</w:t>
      </w:r>
    </w:p>
    <w:p w:rsidR="00973482" w:rsidRPr="00973482" w:rsidRDefault="00973482" w:rsidP="00973482">
      <w:pPr>
        <w:pStyle w:val="SCCNormalDoubleSpacing"/>
        <w:tabs>
          <w:tab w:val="left" w:pos="720"/>
        </w:tabs>
        <w:spacing w:line="240" w:lineRule="auto"/>
        <w:rPr>
          <w:sz w:val="20"/>
          <w:lang w:val="fr-CA"/>
        </w:rPr>
      </w:pPr>
    </w:p>
    <w:p w:rsidR="00973482" w:rsidRPr="00973482" w:rsidRDefault="00973482" w:rsidP="00973482">
      <w:pPr>
        <w:pStyle w:val="SCCNormalDoubleSpacing"/>
        <w:tabs>
          <w:tab w:val="left" w:pos="720"/>
        </w:tabs>
        <w:spacing w:line="240" w:lineRule="auto"/>
        <w:rPr>
          <w:sz w:val="20"/>
          <w:lang w:val="fr-CA"/>
        </w:rPr>
      </w:pPr>
      <w:r w:rsidRPr="00973482">
        <w:rPr>
          <w:rStyle w:val="SCCCounselNameChar"/>
          <w:sz w:val="20"/>
          <w:lang w:val="fr-CA"/>
        </w:rPr>
        <w:tab/>
        <w:t>Christopher M. Rupar</w:t>
      </w:r>
      <w:r w:rsidRPr="00761CFC">
        <w:rPr>
          <w:rStyle w:val="SCCCounselSeparatorChar"/>
          <w:sz w:val="20"/>
        </w:rPr>
        <w:t xml:space="preserve">, </w:t>
      </w:r>
      <w:r w:rsidRPr="00973482">
        <w:rPr>
          <w:rStyle w:val="SCCCounselNameChar"/>
          <w:sz w:val="20"/>
          <w:lang w:val="fr-CA"/>
        </w:rPr>
        <w:t>Alain Préfontaine</w:t>
      </w:r>
      <w:r w:rsidRPr="00761CFC">
        <w:rPr>
          <w:rStyle w:val="SCCCounselSeparatorChar"/>
          <w:sz w:val="20"/>
        </w:rPr>
        <w:t xml:space="preserve"> et </w:t>
      </w:r>
      <w:r w:rsidRPr="00973482">
        <w:rPr>
          <w:rStyle w:val="SCCCounselNameChar"/>
          <w:sz w:val="20"/>
          <w:lang w:val="fr-CA"/>
        </w:rPr>
        <w:t>Bernard Letarte</w:t>
      </w:r>
      <w:r w:rsidRPr="00973482">
        <w:rPr>
          <w:rStyle w:val="SCCCounselPartyRoleChar"/>
          <w:sz w:val="20"/>
          <w:lang w:val="fr-CA"/>
        </w:rPr>
        <w:t>, pour l’appelant.</w:t>
      </w:r>
    </w:p>
    <w:p w:rsidR="00973482" w:rsidRPr="00973482" w:rsidRDefault="00973482" w:rsidP="00973482">
      <w:pPr>
        <w:pStyle w:val="SCCNormalDoubleSpacing"/>
        <w:tabs>
          <w:tab w:val="left" w:pos="720"/>
        </w:tabs>
        <w:spacing w:line="240" w:lineRule="auto"/>
        <w:rPr>
          <w:sz w:val="20"/>
          <w:lang w:val="fr-CA"/>
        </w:rPr>
      </w:pPr>
    </w:p>
    <w:p w:rsidR="00973482" w:rsidRPr="00973482" w:rsidRDefault="00973482" w:rsidP="00973482">
      <w:pPr>
        <w:pStyle w:val="SCCNormalDoubleSpacing"/>
        <w:tabs>
          <w:tab w:val="left" w:pos="720"/>
        </w:tabs>
        <w:spacing w:line="240" w:lineRule="auto"/>
        <w:rPr>
          <w:sz w:val="20"/>
          <w:lang w:val="fr-CA"/>
        </w:rPr>
      </w:pPr>
      <w:r w:rsidRPr="00973482">
        <w:rPr>
          <w:rStyle w:val="SCCCounselNameChar"/>
          <w:sz w:val="20"/>
          <w:lang w:val="fr-CA"/>
        </w:rPr>
        <w:tab/>
        <w:t>Peter F. C. Howard</w:t>
      </w:r>
      <w:r w:rsidRPr="00761CFC">
        <w:rPr>
          <w:rStyle w:val="SCCCounselSeparatorChar"/>
          <w:sz w:val="20"/>
        </w:rPr>
        <w:t xml:space="preserve">, </w:t>
      </w:r>
      <w:r w:rsidRPr="00973482">
        <w:rPr>
          <w:rStyle w:val="SCCCounselNameChar"/>
          <w:sz w:val="20"/>
          <w:lang w:val="fr-CA"/>
        </w:rPr>
        <w:t>Patrick J. Monahan, Eliot N. Kolers</w:t>
      </w:r>
      <w:r w:rsidRPr="00761CFC">
        <w:rPr>
          <w:rStyle w:val="SCCCounselSeparatorChar"/>
          <w:sz w:val="20"/>
        </w:rPr>
        <w:t xml:space="preserve"> et </w:t>
      </w:r>
      <w:r w:rsidRPr="00973482">
        <w:rPr>
          <w:rStyle w:val="SCCCounselNameChar"/>
          <w:sz w:val="20"/>
          <w:lang w:val="fr-CA"/>
        </w:rPr>
        <w:t>Nicholas McHaffie</w:t>
      </w:r>
      <w:r w:rsidRPr="00973482">
        <w:rPr>
          <w:rStyle w:val="SCCCounselPartyRoleChar"/>
          <w:sz w:val="20"/>
          <w:lang w:val="fr-CA"/>
        </w:rPr>
        <w:t>, pour l’intimée.</w:t>
      </w:r>
    </w:p>
    <w:p w:rsidR="00951495" w:rsidRDefault="00951495">
      <w:pPr>
        <w:rPr>
          <w:rFonts w:eastAsia="Times New Roman" w:cs="Times New Roman"/>
          <w:sz w:val="20"/>
          <w:szCs w:val="20"/>
          <w:lang w:val="fr-CA" w:eastAsia="en-CA"/>
        </w:rPr>
      </w:pPr>
      <w:r>
        <w:rPr>
          <w:sz w:val="20"/>
          <w:lang w:val="fr-CA"/>
        </w:rPr>
        <w:br w:type="page"/>
      </w:r>
    </w:p>
    <w:p w:rsidR="00973482" w:rsidRPr="00973482" w:rsidRDefault="00973482" w:rsidP="00973482">
      <w:pPr>
        <w:pStyle w:val="SCCLawFirm"/>
        <w:tabs>
          <w:tab w:val="left" w:pos="720"/>
        </w:tabs>
        <w:spacing w:line="240" w:lineRule="auto"/>
        <w:rPr>
          <w:sz w:val="20"/>
          <w:lang w:val="fr-CA"/>
        </w:rPr>
      </w:pPr>
      <w:r w:rsidRPr="00973482">
        <w:rPr>
          <w:sz w:val="20"/>
          <w:lang w:val="fr-CA"/>
        </w:rPr>
        <w:tab/>
        <w:t>Procureur de l’appelant : Procureur général du Canada, Ottawa.</w:t>
      </w:r>
    </w:p>
    <w:p w:rsidR="00973482" w:rsidRPr="00973482" w:rsidRDefault="00973482" w:rsidP="00973482">
      <w:pPr>
        <w:pStyle w:val="SCCLawFirm"/>
        <w:tabs>
          <w:tab w:val="left" w:pos="720"/>
        </w:tabs>
        <w:spacing w:line="240" w:lineRule="auto"/>
        <w:rPr>
          <w:sz w:val="20"/>
          <w:lang w:val="fr-CA"/>
        </w:rPr>
      </w:pPr>
    </w:p>
    <w:p w:rsidR="004159B7" w:rsidRDefault="00973482" w:rsidP="004159B7">
      <w:pPr>
        <w:pStyle w:val="SCCLawFirm"/>
        <w:tabs>
          <w:tab w:val="left" w:pos="720"/>
        </w:tabs>
        <w:spacing w:line="240" w:lineRule="auto"/>
        <w:rPr>
          <w:sz w:val="20"/>
          <w:lang w:val="fr-CA"/>
        </w:rPr>
      </w:pPr>
      <w:r w:rsidRPr="00973482">
        <w:rPr>
          <w:sz w:val="20"/>
          <w:lang w:val="fr-CA"/>
        </w:rPr>
        <w:tab/>
        <w:t>Procureurs de l'intimée : Stikeman Elliott, Toronto.</w:t>
      </w:r>
    </w:p>
    <w:p w:rsidR="004159B7" w:rsidRPr="004159B7" w:rsidRDefault="004159B7" w:rsidP="004159B7">
      <w:pPr>
        <w:pStyle w:val="SCCNormalDoubleSpacing"/>
        <w:spacing w:line="240" w:lineRule="auto"/>
        <w:rPr>
          <w:lang w:val="fr-CA"/>
        </w:rPr>
      </w:pPr>
    </w:p>
    <w:p w:rsidR="00973482" w:rsidRDefault="00D56013" w:rsidP="004159B7">
      <w:pPr>
        <w:pStyle w:val="SCCLawFirm"/>
        <w:tabs>
          <w:tab w:val="left" w:pos="720"/>
        </w:tabs>
        <w:spacing w:line="240" w:lineRule="auto"/>
        <w:rPr>
          <w:sz w:val="20"/>
          <w:lang w:val="fr-CA"/>
        </w:rPr>
      </w:pPr>
      <w:r w:rsidRPr="00D56013">
        <w:rPr>
          <w:sz w:val="20"/>
          <w:lang w:val="fr-CA"/>
        </w:rPr>
        <w:pict>
          <v:rect id="_x0000_i1118" style="width:144.3pt;height:1pt" o:hrpct="300" o:hralign="center" o:hrstd="t" o:hrnoshade="t" o:hr="t" fillcolor="black [3213]" stroked="f"/>
        </w:pict>
      </w:r>
    </w:p>
    <w:p w:rsidR="00951495" w:rsidRDefault="00951495">
      <w:pPr>
        <w:rPr>
          <w:rFonts w:cs="Times New Roman"/>
          <w:sz w:val="20"/>
          <w:szCs w:val="20"/>
          <w:lang w:val="fr-CA"/>
        </w:rPr>
      </w:pPr>
      <w:r>
        <w:rPr>
          <w:rFonts w:cs="Times New Roman"/>
          <w:sz w:val="20"/>
          <w:szCs w:val="20"/>
          <w:lang w:val="fr-CA"/>
        </w:rPr>
        <w:br w:type="page"/>
      </w:r>
    </w:p>
    <w:p w:rsidR="0065796C" w:rsidRPr="00BD13EA" w:rsidRDefault="0065796C" w:rsidP="0065796C">
      <w:pPr>
        <w:rPr>
          <w:sz w:val="20"/>
          <w:szCs w:val="20"/>
        </w:rPr>
      </w:pPr>
      <w:r w:rsidRPr="00BD13EA">
        <w:rPr>
          <w:i/>
          <w:sz w:val="20"/>
          <w:szCs w:val="20"/>
        </w:rPr>
        <w:t xml:space="preserve">Attorney General of Canada et al. v. Michiel McArthur </w:t>
      </w:r>
      <w:r w:rsidRPr="00BD13EA">
        <w:rPr>
          <w:sz w:val="20"/>
          <w:szCs w:val="20"/>
        </w:rPr>
        <w:t>(Ont.) (33043)</w:t>
      </w:r>
    </w:p>
    <w:p w:rsidR="006057C9" w:rsidRPr="001259E6" w:rsidRDefault="006057C9" w:rsidP="006057C9">
      <w:pPr>
        <w:jc w:val="both"/>
        <w:rPr>
          <w:rFonts w:cs="Times New Roman"/>
          <w:b/>
          <w:sz w:val="20"/>
          <w:szCs w:val="20"/>
        </w:rPr>
      </w:pPr>
      <w:r w:rsidRPr="00702BA8">
        <w:rPr>
          <w:rFonts w:cs="Times New Roman"/>
          <w:b/>
          <w:sz w:val="20"/>
          <w:szCs w:val="20"/>
        </w:rPr>
        <w:t>Indexed as:  Canada (</w:t>
      </w:r>
      <w:r w:rsidRPr="006057C9">
        <w:rPr>
          <w:rStyle w:val="SCCAppellantForIndexChar"/>
          <w:rFonts w:eastAsia="Calibri"/>
          <w:sz w:val="20"/>
          <w:lang w:val="en-CA"/>
        </w:rPr>
        <w:t xml:space="preserve">Attorney General) </w:t>
      </w:r>
      <w:r w:rsidRPr="00702BA8">
        <w:rPr>
          <w:rFonts w:cs="Times New Roman"/>
          <w:b/>
          <w:i/>
          <w:sz w:val="20"/>
          <w:szCs w:val="20"/>
        </w:rPr>
        <w:t>v.</w:t>
      </w:r>
      <w:r w:rsidRPr="00702BA8">
        <w:rPr>
          <w:rFonts w:cs="Times New Roman"/>
          <w:b/>
          <w:sz w:val="20"/>
          <w:szCs w:val="20"/>
        </w:rPr>
        <w:t xml:space="preserve"> </w:t>
      </w:r>
      <w:r w:rsidRPr="00702BA8">
        <w:rPr>
          <w:rStyle w:val="SCCRespondentForIndexChar"/>
          <w:rFonts w:eastAsia="Calibri"/>
          <w:sz w:val="20"/>
        </w:rPr>
        <w:t>McArthur</w:t>
      </w:r>
      <w:r>
        <w:rPr>
          <w:rStyle w:val="SCCRespondentForIndexChar"/>
          <w:rFonts w:eastAsia="Calibri"/>
          <w:sz w:val="20"/>
        </w:rPr>
        <w:t xml:space="preserve"> / </w:t>
      </w:r>
      <w:r w:rsidRPr="001259E6">
        <w:rPr>
          <w:rFonts w:cs="Times New Roman"/>
          <w:b/>
          <w:sz w:val="20"/>
          <w:szCs w:val="20"/>
        </w:rPr>
        <w:t>Répertorié : </w:t>
      </w:r>
      <w:r w:rsidRPr="006057C9">
        <w:rPr>
          <w:rStyle w:val="SCCAppellantForIndexChar"/>
          <w:rFonts w:eastAsia="Calibri"/>
          <w:sz w:val="20"/>
          <w:lang w:val="en-CA"/>
        </w:rPr>
        <w:t>Canada (Procureur général)</w:t>
      </w:r>
      <w:r w:rsidRPr="001259E6">
        <w:rPr>
          <w:rFonts w:cs="Times New Roman"/>
          <w:b/>
          <w:sz w:val="20"/>
          <w:szCs w:val="20"/>
        </w:rPr>
        <w:t xml:space="preserve"> </w:t>
      </w:r>
      <w:r w:rsidRPr="001259E6">
        <w:rPr>
          <w:rFonts w:cs="Times New Roman"/>
          <w:b/>
          <w:i/>
          <w:sz w:val="20"/>
          <w:szCs w:val="20"/>
        </w:rPr>
        <w:t>c.</w:t>
      </w:r>
      <w:r w:rsidRPr="001259E6">
        <w:rPr>
          <w:rFonts w:cs="Times New Roman"/>
          <w:b/>
          <w:sz w:val="20"/>
          <w:szCs w:val="20"/>
        </w:rPr>
        <w:t xml:space="preserve"> </w:t>
      </w:r>
      <w:r w:rsidRPr="001259E6">
        <w:rPr>
          <w:rStyle w:val="SCCRespondentForIndexChar"/>
          <w:rFonts w:eastAsia="Calibri"/>
          <w:sz w:val="20"/>
        </w:rPr>
        <w:t>McArthur</w:t>
      </w:r>
    </w:p>
    <w:p w:rsidR="00151761" w:rsidRPr="00F96423" w:rsidRDefault="00151761" w:rsidP="00151761">
      <w:pPr>
        <w:pStyle w:val="SCCSystemYear"/>
        <w:jc w:val="both"/>
        <w:rPr>
          <w:sz w:val="20"/>
        </w:rPr>
      </w:pPr>
      <w:r w:rsidRPr="00F96423">
        <w:rPr>
          <w:sz w:val="20"/>
        </w:rPr>
        <w:t>Neutral citation:  2010 SCC </w:t>
      </w:r>
      <w:r w:rsidR="00934DDB" w:rsidRPr="00F96423">
        <w:rPr>
          <w:sz w:val="20"/>
        </w:rPr>
        <w:t>6</w:t>
      </w:r>
      <w:r w:rsidRPr="00F96423">
        <w:rPr>
          <w:sz w:val="20"/>
        </w:rPr>
        <w:t>3 / Référence neutre : 2010 CSC </w:t>
      </w:r>
      <w:r w:rsidR="00934DDB" w:rsidRPr="00F96423">
        <w:rPr>
          <w:sz w:val="20"/>
        </w:rPr>
        <w:t>6</w:t>
      </w:r>
      <w:r w:rsidRPr="00F96423">
        <w:rPr>
          <w:sz w:val="20"/>
        </w:rPr>
        <w:t>3</w:t>
      </w:r>
    </w:p>
    <w:p w:rsidR="00151761" w:rsidRPr="00F96423" w:rsidRDefault="00151761" w:rsidP="00151761">
      <w:pPr>
        <w:rPr>
          <w:sz w:val="20"/>
          <w:szCs w:val="20"/>
          <w:lang w:val="fr-CA"/>
        </w:rPr>
      </w:pPr>
      <w:r w:rsidRPr="00F96423">
        <w:rPr>
          <w:sz w:val="20"/>
          <w:szCs w:val="20"/>
          <w:lang w:val="fr-CA"/>
        </w:rPr>
        <w:t xml:space="preserve">Hearing:  </w:t>
      </w:r>
      <w:r w:rsidR="00F96423" w:rsidRPr="00F96423">
        <w:rPr>
          <w:sz w:val="20"/>
          <w:szCs w:val="20"/>
          <w:lang w:val="fr-CA"/>
        </w:rPr>
        <w:t>January</w:t>
      </w:r>
      <w:r w:rsidRPr="00F96423">
        <w:rPr>
          <w:sz w:val="20"/>
          <w:szCs w:val="20"/>
          <w:lang w:val="fr-CA"/>
        </w:rPr>
        <w:t xml:space="preserve"> 2</w:t>
      </w:r>
      <w:r w:rsidR="00F96423" w:rsidRPr="00F96423">
        <w:rPr>
          <w:sz w:val="20"/>
          <w:szCs w:val="20"/>
          <w:lang w:val="fr-CA"/>
        </w:rPr>
        <w:t>0</w:t>
      </w:r>
      <w:r w:rsidRPr="00F96423">
        <w:rPr>
          <w:sz w:val="20"/>
          <w:szCs w:val="20"/>
          <w:lang w:val="fr-CA"/>
        </w:rPr>
        <w:t xml:space="preserve">, 2010 / Judgment:  </w:t>
      </w:r>
      <w:r w:rsidR="00047221" w:rsidRPr="00F96423">
        <w:rPr>
          <w:sz w:val="20"/>
          <w:szCs w:val="20"/>
          <w:lang w:val="fr-CA"/>
        </w:rPr>
        <w:t>Decem</w:t>
      </w:r>
      <w:r w:rsidRPr="00F96423">
        <w:rPr>
          <w:sz w:val="20"/>
          <w:szCs w:val="20"/>
          <w:lang w:val="fr-CA"/>
        </w:rPr>
        <w:t>ber 2</w:t>
      </w:r>
      <w:r w:rsidR="00047221" w:rsidRPr="00F96423">
        <w:rPr>
          <w:sz w:val="20"/>
          <w:szCs w:val="20"/>
          <w:lang w:val="fr-CA"/>
        </w:rPr>
        <w:t>3</w:t>
      </w:r>
      <w:r w:rsidRPr="00F96423">
        <w:rPr>
          <w:sz w:val="20"/>
          <w:szCs w:val="20"/>
          <w:lang w:val="fr-CA"/>
        </w:rPr>
        <w:t>, 2010</w:t>
      </w:r>
    </w:p>
    <w:p w:rsidR="00151761" w:rsidRPr="003B3977" w:rsidRDefault="00151761" w:rsidP="00151761">
      <w:pPr>
        <w:rPr>
          <w:sz w:val="20"/>
          <w:szCs w:val="20"/>
          <w:lang w:val="fr-CA"/>
        </w:rPr>
      </w:pPr>
      <w:r w:rsidRPr="003B3977">
        <w:rPr>
          <w:sz w:val="20"/>
          <w:szCs w:val="20"/>
          <w:lang w:val="fr-CA"/>
        </w:rPr>
        <w:t>Audition : Le 2</w:t>
      </w:r>
      <w:r w:rsidR="00F96423">
        <w:rPr>
          <w:sz w:val="20"/>
          <w:szCs w:val="20"/>
          <w:lang w:val="fr-CA"/>
        </w:rPr>
        <w:t>0 janvier</w:t>
      </w:r>
      <w:r w:rsidRPr="003B3977">
        <w:rPr>
          <w:sz w:val="20"/>
          <w:szCs w:val="20"/>
          <w:lang w:val="fr-CA"/>
        </w:rPr>
        <w:t xml:space="preserve"> 2010 / Jugement : Le 2</w:t>
      </w:r>
      <w:r w:rsidR="00047221">
        <w:rPr>
          <w:sz w:val="20"/>
          <w:szCs w:val="20"/>
          <w:lang w:val="fr-CA"/>
        </w:rPr>
        <w:t>3 décem</w:t>
      </w:r>
      <w:r w:rsidRPr="003B3977">
        <w:rPr>
          <w:sz w:val="20"/>
          <w:szCs w:val="20"/>
          <w:lang w:val="fr-CA"/>
        </w:rPr>
        <w:t>bre 2010</w:t>
      </w:r>
    </w:p>
    <w:p w:rsidR="00151761" w:rsidRPr="003B3977" w:rsidRDefault="00D56013" w:rsidP="00151761">
      <w:pPr>
        <w:rPr>
          <w:sz w:val="20"/>
          <w:szCs w:val="20"/>
          <w:lang w:val="fr-CA"/>
        </w:rPr>
      </w:pPr>
      <w:r w:rsidRPr="00D56013">
        <w:rPr>
          <w:i/>
          <w:sz w:val="20"/>
          <w:szCs w:val="20"/>
        </w:rPr>
        <w:pict>
          <v:rect id="_x0000_i1119" style="width:480.95pt;height:1pt" o:hralign="center" o:hrstd="t" o:hrnoshade="t" o:hr="t" fillcolor="black [3213]" stroked="f"/>
        </w:pict>
      </w:r>
    </w:p>
    <w:p w:rsidR="00151761" w:rsidRDefault="00151761" w:rsidP="003B3977">
      <w:pPr>
        <w:rPr>
          <w:sz w:val="20"/>
          <w:szCs w:val="20"/>
        </w:rPr>
      </w:pPr>
    </w:p>
    <w:p w:rsidR="00F96423" w:rsidRPr="00B27536" w:rsidRDefault="00F96423" w:rsidP="00F96423">
      <w:pPr>
        <w:jc w:val="both"/>
        <w:rPr>
          <w:rFonts w:cs="Times New Roman"/>
          <w:sz w:val="20"/>
          <w:szCs w:val="20"/>
        </w:rPr>
      </w:pPr>
      <w:r w:rsidRPr="00B27536">
        <w:rPr>
          <w:rFonts w:cs="Times New Roman"/>
          <w:sz w:val="20"/>
          <w:szCs w:val="20"/>
        </w:rPr>
        <w:t>Present:  Binnie, LeBel, Deschamps, Abella, Charron, Rothstein and Cromwell JJ.</w:t>
      </w:r>
    </w:p>
    <w:p w:rsidR="00151761" w:rsidRDefault="00151761" w:rsidP="003B3977">
      <w:pPr>
        <w:rPr>
          <w:sz w:val="20"/>
          <w:szCs w:val="20"/>
        </w:rPr>
      </w:pPr>
    </w:p>
    <w:p w:rsidR="00F96423" w:rsidRPr="00B27536" w:rsidRDefault="00F96423" w:rsidP="00F96423">
      <w:pPr>
        <w:pStyle w:val="SCCNormalDoubleSpacing"/>
        <w:tabs>
          <w:tab w:val="left" w:pos="720"/>
        </w:tabs>
        <w:spacing w:line="240" w:lineRule="auto"/>
        <w:rPr>
          <w:i/>
          <w:sz w:val="20"/>
        </w:rPr>
      </w:pPr>
      <w:r w:rsidRPr="00B27536">
        <w:rPr>
          <w:i/>
          <w:sz w:val="20"/>
        </w:rPr>
        <w:tab/>
        <w:t>Courts — Jurisdiction — Provincial superior courts — Action brought against Crown and federal official in Superior Court of Ontario seeking constitutional remedies and damages for wrongful or false imprisonment and for intentional or negligent infliction of emotional and mental distress — Whether plaintiff entitled to proceed by way of action in Superior Court of Ontario without first proceeding by way of judicial review in Federal Court — Federal Courts Act, R.S.C. 1985, c. F</w:t>
      </w:r>
      <w:r w:rsidRPr="00B27536">
        <w:rPr>
          <w:i/>
          <w:sz w:val="20"/>
        </w:rPr>
        <w:noBreakHyphen/>
        <w:t>7, ss. 17, 18; Crown Liability and Proceedings Act, R.S.C. 1985, c. C</w:t>
      </w:r>
      <w:r w:rsidRPr="00B27536">
        <w:rPr>
          <w:i/>
          <w:sz w:val="20"/>
        </w:rPr>
        <w:noBreakHyphen/>
        <w:t>50, s. 21.</w:t>
      </w:r>
    </w:p>
    <w:p w:rsidR="00F96423" w:rsidRPr="00B27536" w:rsidRDefault="00F96423" w:rsidP="00F96423">
      <w:pPr>
        <w:pStyle w:val="SCCNormalDoubleSpacing"/>
        <w:tabs>
          <w:tab w:val="left" w:pos="720"/>
        </w:tabs>
        <w:spacing w:line="240" w:lineRule="auto"/>
        <w:rPr>
          <w:sz w:val="20"/>
        </w:rPr>
      </w:pPr>
    </w:p>
    <w:p w:rsidR="00F96423" w:rsidRPr="00B27536" w:rsidRDefault="00F96423" w:rsidP="00F96423">
      <w:pPr>
        <w:pStyle w:val="SCCNormalDoubleSpacing"/>
        <w:tabs>
          <w:tab w:val="left" w:pos="720"/>
        </w:tabs>
        <w:spacing w:line="240" w:lineRule="auto"/>
        <w:rPr>
          <w:sz w:val="20"/>
        </w:rPr>
      </w:pPr>
      <w:r w:rsidRPr="00B27536">
        <w:rPr>
          <w:sz w:val="20"/>
        </w:rPr>
        <w:tab/>
        <w:t xml:space="preserve">Between 1994 and 1999, M spent approximately four years and six months in solitary confinement, segregation or in a special handling unit on instructions of B or other federal employees for whom the Crown is responsible.  He did not seek to set aside the prison orders, but some years later filed a statement of claim in the Ontario Superior Court seeking damages and alleging that his detention had been arbitrary and constituted cruel and unusual punishment, contrary to the </w:t>
      </w:r>
      <w:r w:rsidRPr="00B27536">
        <w:rPr>
          <w:i/>
          <w:sz w:val="20"/>
        </w:rPr>
        <w:t>Canadian Charter of Rights and Freedoms</w:t>
      </w:r>
      <w:r w:rsidRPr="00B27536">
        <w:rPr>
          <w:sz w:val="20"/>
        </w:rPr>
        <w:t xml:space="preserve">.  He claimed to have suffered severe emotional and psychological injury and harm.  He also alleged that the decisions to place him in solitary confinement were made deliberately and maliciously or negligently.  The Superior Court dismissed the claim on the basis of </w:t>
      </w:r>
      <w:r w:rsidRPr="00B27536">
        <w:rPr>
          <w:i/>
          <w:sz w:val="20"/>
        </w:rPr>
        <w:t>Canada v. Grenier</w:t>
      </w:r>
      <w:r w:rsidRPr="00B27536">
        <w:rPr>
          <w:sz w:val="20"/>
        </w:rPr>
        <w:t>, 2005 FCA 348, [2006] 2 F.C.R. 287, but the Court of Appeal overturned the decision on the ground that relief by way of damages was available in the superior court.</w:t>
      </w:r>
    </w:p>
    <w:p w:rsidR="00F96423" w:rsidRPr="00B27536" w:rsidRDefault="00F96423" w:rsidP="00F96423">
      <w:pPr>
        <w:pStyle w:val="SCCNormalDoubleSpacing"/>
        <w:tabs>
          <w:tab w:val="left" w:pos="720"/>
        </w:tabs>
        <w:spacing w:line="240" w:lineRule="auto"/>
        <w:rPr>
          <w:sz w:val="20"/>
        </w:rPr>
      </w:pPr>
    </w:p>
    <w:p w:rsidR="00F96423" w:rsidRPr="00B27536" w:rsidRDefault="00F96423" w:rsidP="00F96423">
      <w:pPr>
        <w:pStyle w:val="SCCNormalDoubleSpacing"/>
        <w:tabs>
          <w:tab w:val="left" w:pos="720"/>
        </w:tabs>
        <w:spacing w:line="240" w:lineRule="auto"/>
        <w:rPr>
          <w:sz w:val="20"/>
        </w:rPr>
      </w:pPr>
      <w:r w:rsidRPr="00B27536">
        <w:rPr>
          <w:sz w:val="20"/>
        </w:rPr>
        <w:tab/>
      </w:r>
      <w:r w:rsidRPr="00F96423">
        <w:rPr>
          <w:rStyle w:val="QuoteChar"/>
          <w:sz w:val="20"/>
          <w:lang w:val="en-CA"/>
        </w:rPr>
        <w:t>Held:</w:t>
      </w:r>
      <w:r w:rsidRPr="00B27536">
        <w:rPr>
          <w:sz w:val="20"/>
        </w:rPr>
        <w:t xml:space="preserve">  The appeal should be dismissed.</w:t>
      </w:r>
    </w:p>
    <w:p w:rsidR="00F96423" w:rsidRPr="00B27536" w:rsidRDefault="00F96423" w:rsidP="00F96423">
      <w:pPr>
        <w:pStyle w:val="SCCNormalDoubleSpacing"/>
        <w:tabs>
          <w:tab w:val="left" w:pos="720"/>
        </w:tabs>
        <w:spacing w:line="240" w:lineRule="auto"/>
        <w:rPr>
          <w:sz w:val="20"/>
        </w:rPr>
      </w:pPr>
    </w:p>
    <w:p w:rsidR="00F96423" w:rsidRPr="00B27536" w:rsidRDefault="00F96423" w:rsidP="00F96423">
      <w:pPr>
        <w:pStyle w:val="SCCNormalDoubleSpacing"/>
        <w:tabs>
          <w:tab w:val="left" w:pos="720"/>
        </w:tabs>
        <w:spacing w:line="240" w:lineRule="auto"/>
        <w:rPr>
          <w:sz w:val="20"/>
        </w:rPr>
      </w:pPr>
      <w:r w:rsidRPr="00B27536">
        <w:rPr>
          <w:sz w:val="20"/>
        </w:rPr>
        <w:tab/>
        <w:t xml:space="preserve">For the reasons set out in </w:t>
      </w:r>
      <w:r w:rsidRPr="00B27536">
        <w:rPr>
          <w:i/>
          <w:sz w:val="20"/>
        </w:rPr>
        <w:t>Canada (Attorney General) v. TeleZone Inc.</w:t>
      </w:r>
      <w:r w:rsidRPr="00B27536">
        <w:rPr>
          <w:sz w:val="20"/>
        </w:rPr>
        <w:t xml:space="preserve">, 2010 SCC 62, a textual, contextual and purposive interpretation of the </w:t>
      </w:r>
      <w:r w:rsidRPr="00B27536">
        <w:rPr>
          <w:i/>
          <w:sz w:val="20"/>
        </w:rPr>
        <w:t>Federal Courts Act</w:t>
      </w:r>
      <w:r w:rsidRPr="00B27536">
        <w:rPr>
          <w:sz w:val="20"/>
        </w:rPr>
        <w:t xml:space="preserve"> does not support the view that a plaintiff who claims to have suffered compensable loss as a result of an administrative decision must first have the lawfulness of the decision determined by the Federal Court.  Further, the </w:t>
      </w:r>
      <w:r w:rsidRPr="00B27536">
        <w:rPr>
          <w:i/>
          <w:sz w:val="20"/>
        </w:rPr>
        <w:t>Federal Courts Act</w:t>
      </w:r>
      <w:r w:rsidRPr="00B27536">
        <w:rPr>
          <w:sz w:val="20"/>
        </w:rPr>
        <w:t xml:space="preserve"> does not prevent provincial superior court scrutiny of the constitutionality of the conduct of federal officials.  Here, the Superior Court is authorized to consider the validity of M’s detention in the context of his damages claim, as well as the impact, if any, of any valid detention orders on Crown liability.  The collateral attack doctrine does not support the Attorney General’s jurisdictional challenge in light of the explicit statutory grant of jurisdiction to the provincial superior courts in the </w:t>
      </w:r>
      <w:r w:rsidRPr="00B27536">
        <w:rPr>
          <w:i/>
          <w:sz w:val="20"/>
        </w:rPr>
        <w:t>Federal Courts Act</w:t>
      </w:r>
      <w:r w:rsidRPr="00B27536">
        <w:rPr>
          <w:sz w:val="20"/>
        </w:rPr>
        <w:t xml:space="preserve"> where “relief is claimed against the [federal] Crown” as well as the provisions of the </w:t>
      </w:r>
      <w:r w:rsidRPr="00B27536">
        <w:rPr>
          <w:i/>
          <w:sz w:val="20"/>
        </w:rPr>
        <w:t>Crown Liability and Proceedings Act</w:t>
      </w:r>
      <w:r w:rsidRPr="00B27536">
        <w:rPr>
          <w:sz w:val="20"/>
        </w:rPr>
        <w:t>.</w:t>
      </w:r>
    </w:p>
    <w:p w:rsidR="00151761" w:rsidRDefault="00151761" w:rsidP="003B3977">
      <w:pPr>
        <w:rPr>
          <w:sz w:val="20"/>
          <w:szCs w:val="20"/>
        </w:rPr>
      </w:pPr>
    </w:p>
    <w:p w:rsidR="00F96423" w:rsidRPr="00B27536" w:rsidRDefault="00F96423" w:rsidP="00F96423">
      <w:pPr>
        <w:pStyle w:val="SCCNormalDoubleSpacing"/>
        <w:tabs>
          <w:tab w:val="left" w:pos="720"/>
        </w:tabs>
        <w:spacing w:line="240" w:lineRule="auto"/>
        <w:rPr>
          <w:sz w:val="20"/>
        </w:rPr>
      </w:pPr>
      <w:r w:rsidRPr="00B27536">
        <w:rPr>
          <w:sz w:val="20"/>
        </w:rPr>
        <w:tab/>
        <w:t xml:space="preserve">APPEAL from a judgment of the Ontario Court of Appeal (Laskin, Borins and Feldman JJ.A.), 2008 ONCA 892, 94 O.R. (3d) 19, 303 D.L.R. (4th) 626, </w:t>
      </w:r>
      <w:r w:rsidRPr="00B27536">
        <w:rPr>
          <w:sz w:val="20"/>
          <w:lang w:val="en-US"/>
        </w:rPr>
        <w:t xml:space="preserve">245 O.A.C. 91, 86 Admin L.R. (4th) 163, 40 C.E.L.R. (3d) 183, </w:t>
      </w:r>
      <w:r w:rsidR="00D56013" w:rsidRPr="00B27536">
        <w:rPr>
          <w:sz w:val="20"/>
        </w:rPr>
        <w:fldChar w:fldCharType="begin"/>
      </w:r>
      <w:r w:rsidRPr="00B27536">
        <w:rPr>
          <w:sz w:val="20"/>
        </w:rPr>
        <w:instrText xml:space="preserve"> SEQ CHAPTER \h \r 1</w:instrText>
      </w:r>
      <w:r w:rsidR="00D56013" w:rsidRPr="00B27536">
        <w:rPr>
          <w:sz w:val="20"/>
        </w:rPr>
        <w:fldChar w:fldCharType="end"/>
      </w:r>
      <w:r w:rsidRPr="00B27536">
        <w:rPr>
          <w:sz w:val="20"/>
          <w:lang w:val="en-US"/>
        </w:rPr>
        <w:t>[2008] O.J. No. 5291 (QL), 2008 CarswellOnt 7826, setting aside a decision of Pedlar J.,</w:t>
      </w:r>
      <w:r w:rsidRPr="00B27536">
        <w:rPr>
          <w:sz w:val="20"/>
        </w:rPr>
        <w:t xml:space="preserve"> 2006 CarswellOnt 9820.  Appeal dismissed. </w:t>
      </w:r>
    </w:p>
    <w:p w:rsidR="00F96423" w:rsidRPr="00B27536" w:rsidRDefault="00F96423" w:rsidP="00F96423">
      <w:pPr>
        <w:pStyle w:val="SCCNormalDoubleSpacing"/>
        <w:tabs>
          <w:tab w:val="left" w:pos="720"/>
        </w:tabs>
        <w:spacing w:line="240" w:lineRule="auto"/>
        <w:rPr>
          <w:sz w:val="20"/>
        </w:rPr>
      </w:pPr>
    </w:p>
    <w:p w:rsidR="00F96423" w:rsidRPr="00B27536" w:rsidRDefault="00F96423" w:rsidP="00F96423">
      <w:pPr>
        <w:pStyle w:val="SCCNormalDoubleSpacing"/>
        <w:tabs>
          <w:tab w:val="left" w:pos="720"/>
        </w:tabs>
        <w:spacing w:line="240" w:lineRule="auto"/>
        <w:rPr>
          <w:sz w:val="20"/>
        </w:rPr>
      </w:pPr>
      <w:r w:rsidRPr="00B27536">
        <w:rPr>
          <w:rStyle w:val="SCCCounselNameChar"/>
          <w:sz w:val="20"/>
        </w:rPr>
        <w:tab/>
        <w:t>Christopher M. Rupar</w:t>
      </w:r>
      <w:r w:rsidRPr="00F96423">
        <w:rPr>
          <w:rStyle w:val="SCCCounselSeparatorChar"/>
          <w:sz w:val="20"/>
          <w:lang w:val="en-CA"/>
        </w:rPr>
        <w:t xml:space="preserve">, </w:t>
      </w:r>
      <w:r w:rsidRPr="00B27536">
        <w:rPr>
          <w:rStyle w:val="SCCCounselNameChar"/>
          <w:sz w:val="20"/>
        </w:rPr>
        <w:t>Alain Préfontaine</w:t>
      </w:r>
      <w:r w:rsidRPr="00F96423">
        <w:rPr>
          <w:rStyle w:val="SCCCounselSeparatorChar"/>
          <w:sz w:val="20"/>
          <w:lang w:val="en-CA"/>
        </w:rPr>
        <w:t xml:space="preserve"> and </w:t>
      </w:r>
      <w:r w:rsidRPr="00B27536">
        <w:rPr>
          <w:rStyle w:val="SCCCounselNameChar"/>
          <w:sz w:val="20"/>
        </w:rPr>
        <w:t>Bernard Letarte</w:t>
      </w:r>
      <w:r w:rsidRPr="00B27536">
        <w:rPr>
          <w:rStyle w:val="SCCCounselPartyRoleChar"/>
          <w:sz w:val="20"/>
        </w:rPr>
        <w:t>, for the appellants.</w:t>
      </w:r>
    </w:p>
    <w:p w:rsidR="00F96423" w:rsidRPr="00B27536" w:rsidRDefault="00F96423" w:rsidP="00F96423">
      <w:pPr>
        <w:pStyle w:val="SCCNormalDoubleSpacing"/>
        <w:tabs>
          <w:tab w:val="left" w:pos="720"/>
        </w:tabs>
        <w:spacing w:line="240" w:lineRule="auto"/>
        <w:rPr>
          <w:sz w:val="20"/>
        </w:rPr>
      </w:pPr>
    </w:p>
    <w:p w:rsidR="00F96423" w:rsidRPr="00B27536" w:rsidRDefault="00F96423" w:rsidP="00F96423">
      <w:pPr>
        <w:pStyle w:val="SCCNormalDoubleSpacing"/>
        <w:tabs>
          <w:tab w:val="left" w:pos="720"/>
        </w:tabs>
        <w:spacing w:line="240" w:lineRule="auto"/>
        <w:rPr>
          <w:sz w:val="20"/>
        </w:rPr>
      </w:pPr>
      <w:r w:rsidRPr="00B27536">
        <w:rPr>
          <w:rStyle w:val="SCCCounselNameChar"/>
          <w:sz w:val="20"/>
        </w:rPr>
        <w:tab/>
        <w:t>John A. Ryder</w:t>
      </w:r>
      <w:r w:rsidRPr="00B27536">
        <w:rPr>
          <w:rStyle w:val="SCCCounselNameChar"/>
          <w:sz w:val="20"/>
        </w:rPr>
        <w:noBreakHyphen/>
        <w:t>Burbidge</w:t>
      </w:r>
      <w:r w:rsidRPr="00B27536">
        <w:rPr>
          <w:rStyle w:val="SCCCounselPartyRoleChar"/>
          <w:sz w:val="20"/>
        </w:rPr>
        <w:t>, for the respondent.</w:t>
      </w:r>
    </w:p>
    <w:p w:rsidR="00F96423" w:rsidRPr="00B27536" w:rsidRDefault="00F96423" w:rsidP="00F96423">
      <w:pPr>
        <w:pStyle w:val="SCCNormalDoubleSpacing"/>
        <w:tabs>
          <w:tab w:val="left" w:pos="720"/>
        </w:tabs>
        <w:spacing w:line="240" w:lineRule="auto"/>
        <w:rPr>
          <w:sz w:val="20"/>
        </w:rPr>
      </w:pPr>
    </w:p>
    <w:p w:rsidR="00F96423" w:rsidRPr="00B27536" w:rsidRDefault="00F96423" w:rsidP="00F96423">
      <w:pPr>
        <w:pStyle w:val="SCCNormalDoubleSpacing"/>
        <w:tabs>
          <w:tab w:val="left" w:pos="720"/>
        </w:tabs>
        <w:spacing w:line="240" w:lineRule="auto"/>
        <w:rPr>
          <w:sz w:val="20"/>
        </w:rPr>
      </w:pPr>
      <w:r w:rsidRPr="00B27536">
        <w:rPr>
          <w:rStyle w:val="SCCCounselNameChar"/>
          <w:sz w:val="20"/>
        </w:rPr>
        <w:tab/>
      </w:r>
      <w:r w:rsidRPr="00951495">
        <w:rPr>
          <w:rStyle w:val="SCCCounselNameChar"/>
          <w:i w:val="0"/>
          <w:sz w:val="20"/>
        </w:rPr>
        <w:t>Written submissions only</w:t>
      </w:r>
      <w:r w:rsidRPr="00B27536">
        <w:rPr>
          <w:rStyle w:val="SCCCounselNameChar"/>
          <w:sz w:val="20"/>
        </w:rPr>
        <w:t xml:space="preserve"> </w:t>
      </w:r>
      <w:r w:rsidRPr="00951495">
        <w:rPr>
          <w:rStyle w:val="SCCCounselNameChar"/>
          <w:i w:val="0"/>
          <w:sz w:val="20"/>
        </w:rPr>
        <w:t>by</w:t>
      </w:r>
      <w:r w:rsidRPr="00B27536">
        <w:rPr>
          <w:rStyle w:val="SCCCounselPartyRoleChar"/>
          <w:sz w:val="20"/>
        </w:rPr>
        <w:t xml:space="preserve"> the intervener the Attorney General of British Columbia.</w:t>
      </w:r>
    </w:p>
    <w:p w:rsidR="00F96423" w:rsidRPr="00B27536" w:rsidRDefault="00F96423" w:rsidP="00F96423">
      <w:pPr>
        <w:pStyle w:val="SCCNormalDoubleSpacing"/>
        <w:tabs>
          <w:tab w:val="left" w:pos="720"/>
        </w:tabs>
        <w:spacing w:line="240" w:lineRule="auto"/>
        <w:rPr>
          <w:sz w:val="20"/>
        </w:rPr>
      </w:pPr>
    </w:p>
    <w:p w:rsidR="00F96423" w:rsidRPr="00B27536" w:rsidRDefault="00F96423" w:rsidP="00F96423">
      <w:pPr>
        <w:pStyle w:val="SCCNormalDoubleSpacing"/>
        <w:tabs>
          <w:tab w:val="left" w:pos="720"/>
        </w:tabs>
        <w:spacing w:line="240" w:lineRule="auto"/>
        <w:rPr>
          <w:sz w:val="20"/>
        </w:rPr>
      </w:pPr>
      <w:r w:rsidRPr="00B27536">
        <w:rPr>
          <w:rStyle w:val="SCCCounselNameChar"/>
          <w:sz w:val="20"/>
        </w:rPr>
        <w:tab/>
        <w:t>Patrick Ferland</w:t>
      </w:r>
      <w:r w:rsidRPr="00F96423">
        <w:rPr>
          <w:rStyle w:val="SCCCounselSeparatorChar"/>
          <w:sz w:val="20"/>
          <w:lang w:val="en-CA"/>
        </w:rPr>
        <w:t xml:space="preserve"> and </w:t>
      </w:r>
      <w:r w:rsidRPr="00B27536">
        <w:rPr>
          <w:rStyle w:val="SCCCounselNameChar"/>
          <w:sz w:val="20"/>
        </w:rPr>
        <w:t>David Quesnel</w:t>
      </w:r>
      <w:r w:rsidRPr="00B27536">
        <w:rPr>
          <w:rStyle w:val="SCCCounselPartyRoleChar"/>
          <w:sz w:val="20"/>
        </w:rPr>
        <w:t>, for the interveners Roland Anglehart Sr. et al.</w:t>
      </w:r>
    </w:p>
    <w:p w:rsidR="00F96423" w:rsidRPr="00B27536" w:rsidRDefault="00F96423" w:rsidP="00F96423">
      <w:pPr>
        <w:pStyle w:val="SCCNormalDoubleSpacing"/>
        <w:tabs>
          <w:tab w:val="left" w:pos="720"/>
        </w:tabs>
        <w:spacing w:line="240" w:lineRule="auto"/>
        <w:rPr>
          <w:sz w:val="20"/>
        </w:rPr>
      </w:pPr>
    </w:p>
    <w:p w:rsidR="00F96423" w:rsidRPr="00B27536" w:rsidRDefault="00F96423" w:rsidP="00F96423">
      <w:pPr>
        <w:pStyle w:val="SCCLawFirm"/>
        <w:tabs>
          <w:tab w:val="left" w:pos="720"/>
        </w:tabs>
        <w:spacing w:line="240" w:lineRule="auto"/>
        <w:rPr>
          <w:sz w:val="20"/>
        </w:rPr>
      </w:pPr>
      <w:r w:rsidRPr="00B27536">
        <w:rPr>
          <w:sz w:val="20"/>
        </w:rPr>
        <w:tab/>
        <w:t>Solicitor for the appellants:  Deputy Attorney General of Canada, Ottawa.</w:t>
      </w:r>
    </w:p>
    <w:p w:rsidR="00F96423" w:rsidRPr="00B27536" w:rsidRDefault="00F96423" w:rsidP="00F96423">
      <w:pPr>
        <w:pStyle w:val="SCCLawFirm"/>
        <w:tabs>
          <w:tab w:val="left" w:pos="720"/>
        </w:tabs>
        <w:spacing w:line="240" w:lineRule="auto"/>
        <w:rPr>
          <w:sz w:val="20"/>
        </w:rPr>
      </w:pPr>
    </w:p>
    <w:p w:rsidR="00F96423" w:rsidRPr="00B27536" w:rsidRDefault="00F96423" w:rsidP="00F96423">
      <w:pPr>
        <w:pStyle w:val="SCCLawFirm"/>
        <w:tabs>
          <w:tab w:val="left" w:pos="720"/>
        </w:tabs>
        <w:spacing w:line="240" w:lineRule="auto"/>
        <w:rPr>
          <w:sz w:val="20"/>
        </w:rPr>
      </w:pPr>
      <w:r w:rsidRPr="00B27536">
        <w:rPr>
          <w:sz w:val="20"/>
        </w:rPr>
        <w:tab/>
        <w:t>Solicitors for the respondent:  Ryder</w:t>
      </w:r>
      <w:r w:rsidRPr="00B27536">
        <w:rPr>
          <w:sz w:val="20"/>
        </w:rPr>
        <w:noBreakHyphen/>
        <w:t>Burbidge Hurley Fasano, Kingston.</w:t>
      </w:r>
    </w:p>
    <w:p w:rsidR="00F96423" w:rsidRPr="00B27536" w:rsidRDefault="00F96423" w:rsidP="00F96423">
      <w:pPr>
        <w:pStyle w:val="SCCLawFirm"/>
        <w:tabs>
          <w:tab w:val="left" w:pos="720"/>
        </w:tabs>
        <w:spacing w:line="240" w:lineRule="auto"/>
        <w:rPr>
          <w:sz w:val="20"/>
        </w:rPr>
      </w:pPr>
    </w:p>
    <w:p w:rsidR="00F96423" w:rsidRPr="00B27536" w:rsidRDefault="00F96423" w:rsidP="00F96423">
      <w:pPr>
        <w:pStyle w:val="SCCLawFirm"/>
        <w:tabs>
          <w:tab w:val="left" w:pos="720"/>
        </w:tabs>
        <w:spacing w:line="240" w:lineRule="auto"/>
        <w:rPr>
          <w:sz w:val="20"/>
        </w:rPr>
      </w:pPr>
      <w:r w:rsidRPr="00B27536">
        <w:rPr>
          <w:sz w:val="20"/>
        </w:rPr>
        <w:tab/>
        <w:t>Solicitor for the intervener the Attorney General of British Columbia:  Attorney General of British Columbia, Vancouver.</w:t>
      </w:r>
    </w:p>
    <w:p w:rsidR="00F96423" w:rsidRPr="00B27536" w:rsidRDefault="00F96423" w:rsidP="00F96423">
      <w:pPr>
        <w:pStyle w:val="SCCLawFirm"/>
        <w:tabs>
          <w:tab w:val="left" w:pos="720"/>
        </w:tabs>
        <w:spacing w:line="240" w:lineRule="auto"/>
        <w:rPr>
          <w:sz w:val="20"/>
        </w:rPr>
      </w:pPr>
    </w:p>
    <w:p w:rsidR="00F96423" w:rsidRPr="00B27536" w:rsidRDefault="00F96423" w:rsidP="00F96423">
      <w:pPr>
        <w:pStyle w:val="SCCLawFirm"/>
        <w:tabs>
          <w:tab w:val="left" w:pos="720"/>
        </w:tabs>
        <w:spacing w:line="240" w:lineRule="auto"/>
        <w:rPr>
          <w:sz w:val="20"/>
        </w:rPr>
      </w:pPr>
      <w:r w:rsidRPr="00B27536">
        <w:rPr>
          <w:sz w:val="20"/>
        </w:rPr>
        <w:tab/>
        <w:t>Solicitors for the interveners Roland Anglehart Sr. et al.:  Heenan Blaikie, Montréal.</w:t>
      </w:r>
    </w:p>
    <w:p w:rsidR="00151761" w:rsidRPr="003B3977" w:rsidRDefault="00151761" w:rsidP="00151761">
      <w:pPr>
        <w:rPr>
          <w:rFonts w:cs="Times New Roman"/>
          <w:sz w:val="20"/>
          <w:szCs w:val="20"/>
          <w:lang w:val="fr-CA"/>
        </w:rPr>
      </w:pPr>
      <w:r w:rsidRPr="003B3977">
        <w:rPr>
          <w:rFonts w:cs="Times New Roman"/>
          <w:sz w:val="20"/>
          <w:szCs w:val="20"/>
          <w:lang w:val="fr-CA"/>
        </w:rPr>
        <w:t>________________________</w:t>
      </w:r>
    </w:p>
    <w:p w:rsidR="00151761" w:rsidRPr="003B3977" w:rsidRDefault="00151761" w:rsidP="00151761">
      <w:pPr>
        <w:rPr>
          <w:rFonts w:cs="Times New Roman"/>
          <w:sz w:val="20"/>
          <w:szCs w:val="20"/>
          <w:lang w:val="fr-CA"/>
        </w:rPr>
      </w:pPr>
    </w:p>
    <w:p w:rsidR="00F60B7F" w:rsidRPr="00F60B7F" w:rsidRDefault="00F60B7F" w:rsidP="00F60B7F">
      <w:pPr>
        <w:jc w:val="both"/>
        <w:rPr>
          <w:rFonts w:cs="Times New Roman"/>
          <w:sz w:val="20"/>
          <w:szCs w:val="20"/>
          <w:lang w:val="fr-CA"/>
        </w:rPr>
      </w:pPr>
      <w:r w:rsidRPr="00F60B7F">
        <w:rPr>
          <w:rFonts w:cs="Times New Roman"/>
          <w:sz w:val="20"/>
          <w:szCs w:val="20"/>
          <w:lang w:val="fr-CA"/>
        </w:rPr>
        <w:t>Présents : Les juges Binnie, LeBel, Deschamps, Abella, Charron, Rothstein et Cromwell.</w:t>
      </w:r>
    </w:p>
    <w:p w:rsidR="00151761" w:rsidRDefault="00151761" w:rsidP="003B3977">
      <w:pPr>
        <w:rPr>
          <w:sz w:val="20"/>
          <w:szCs w:val="20"/>
          <w:lang w:val="fr-CA"/>
        </w:rPr>
      </w:pPr>
    </w:p>
    <w:p w:rsidR="00F60B7F" w:rsidRPr="00F60B7F" w:rsidRDefault="00F60B7F" w:rsidP="00F60B7F">
      <w:pPr>
        <w:pStyle w:val="SCCNormalDoubleSpacing"/>
        <w:tabs>
          <w:tab w:val="left" w:pos="720"/>
        </w:tabs>
        <w:spacing w:line="240" w:lineRule="auto"/>
        <w:rPr>
          <w:i/>
          <w:sz w:val="20"/>
          <w:lang w:val="fr-CA"/>
        </w:rPr>
      </w:pPr>
      <w:r w:rsidRPr="00881BB6">
        <w:rPr>
          <w:sz w:val="20"/>
          <w:lang w:val="fr-CA"/>
        </w:rPr>
        <w:tab/>
      </w:r>
      <w:r w:rsidRPr="00F60B7F">
        <w:rPr>
          <w:i/>
          <w:sz w:val="20"/>
          <w:lang w:val="fr-CA"/>
        </w:rPr>
        <w:t>Tribunaux — Compétence — Cours supérieures provinciales — Action intentée contre la Couronne et un fonctionnaire fédéral devant la Cour supérieure de l’Ontario en vue d’obtenir des réparations constitutionnelles et des dommages</w:t>
      </w:r>
      <w:r w:rsidRPr="00F60B7F">
        <w:rPr>
          <w:i/>
          <w:sz w:val="20"/>
          <w:lang w:val="fr-CA"/>
        </w:rPr>
        <w:noBreakHyphen/>
        <w:t>intérêts pour emprisonnement illégal ou séquestration et trouble émotionnel et souffrance morale infligés délibérément ou par négligence — Le demandeur peut</w:t>
      </w:r>
      <w:r w:rsidRPr="00F60B7F">
        <w:rPr>
          <w:i/>
          <w:sz w:val="20"/>
          <w:lang w:val="fr-CA"/>
        </w:rPr>
        <w:noBreakHyphen/>
        <w:t xml:space="preserve">il engager une action devant la Cour supérieure de l’Ontario sans procéder d’abord par voie de contrôle judiciaire en Cour fédérale? </w:t>
      </w:r>
      <w:r w:rsidRPr="001259E6">
        <w:rPr>
          <w:i/>
          <w:sz w:val="20"/>
          <w:lang w:val="fr-FR"/>
        </w:rPr>
        <w:t>— Loi sur les Cours fédérales, L.R.C. 1985, ch. F</w:t>
      </w:r>
      <w:r w:rsidRPr="001259E6">
        <w:rPr>
          <w:i/>
          <w:sz w:val="20"/>
          <w:lang w:val="fr-FR"/>
        </w:rPr>
        <w:noBreakHyphen/>
        <w:t>7, art.17, 18; Loi sur la responsabilité civile de l’État et le contentieux administratif, L.R.C. 1985, ch. </w:t>
      </w:r>
      <w:r w:rsidRPr="00F60B7F">
        <w:rPr>
          <w:i/>
          <w:sz w:val="20"/>
          <w:lang w:val="fr-CA"/>
        </w:rPr>
        <w:t>C</w:t>
      </w:r>
      <w:r w:rsidRPr="00F60B7F">
        <w:rPr>
          <w:i/>
          <w:sz w:val="20"/>
          <w:lang w:val="fr-CA"/>
        </w:rPr>
        <w:noBreakHyphen/>
        <w:t>50, art. 21.</w:t>
      </w:r>
    </w:p>
    <w:p w:rsidR="00F60B7F" w:rsidRPr="00F60B7F" w:rsidRDefault="00F60B7F" w:rsidP="00F60B7F">
      <w:pPr>
        <w:pStyle w:val="SCCNormalDoubleSpacing"/>
        <w:tabs>
          <w:tab w:val="left" w:pos="720"/>
        </w:tabs>
        <w:spacing w:line="240" w:lineRule="auto"/>
        <w:rPr>
          <w:sz w:val="20"/>
          <w:lang w:val="fr-CA"/>
        </w:rPr>
      </w:pPr>
    </w:p>
    <w:p w:rsidR="00F60B7F" w:rsidRPr="001259E6" w:rsidRDefault="00F60B7F" w:rsidP="00F60B7F">
      <w:pPr>
        <w:pStyle w:val="SCCNormalDoubleSpacing"/>
        <w:tabs>
          <w:tab w:val="left" w:pos="720"/>
        </w:tabs>
        <w:spacing w:line="240" w:lineRule="auto"/>
        <w:rPr>
          <w:sz w:val="20"/>
          <w:lang w:val="fr-FR"/>
        </w:rPr>
      </w:pPr>
      <w:r w:rsidRPr="00F60B7F">
        <w:rPr>
          <w:sz w:val="20"/>
          <w:lang w:val="fr-CA"/>
        </w:rPr>
        <w:tab/>
      </w:r>
      <w:r w:rsidRPr="001259E6">
        <w:rPr>
          <w:sz w:val="20"/>
          <w:lang w:val="fr-FR"/>
        </w:rPr>
        <w:t>Entre 1994 et 1999, M a passé environ quatre ans et six mois en isolement cellulaire ou dans une unité</w:t>
      </w:r>
      <w:r w:rsidRPr="00F60B7F">
        <w:rPr>
          <w:sz w:val="20"/>
          <w:lang w:val="fr-CA"/>
        </w:rPr>
        <w:t xml:space="preserve"> spéciale de détention,</w:t>
      </w:r>
      <w:r w:rsidRPr="001259E6">
        <w:rPr>
          <w:sz w:val="20"/>
          <w:lang w:val="fr-FR"/>
        </w:rPr>
        <w:t xml:space="preserve"> sur l’ordre de B ou </w:t>
      </w:r>
      <w:r w:rsidRPr="00F60B7F">
        <w:rPr>
          <w:sz w:val="20"/>
          <w:lang w:val="fr-CA"/>
        </w:rPr>
        <w:t>d’autres fonctionnaires fédéraux dont les actes engagent la responsabilité de la Couronne</w:t>
      </w:r>
      <w:r w:rsidRPr="001259E6">
        <w:rPr>
          <w:sz w:val="20"/>
          <w:lang w:val="fr-FR"/>
        </w:rPr>
        <w:t>. Il n’a pas cherché à faire annuler les ordres d’isolement, mais quelques années plus tard, il a déposé une déclaration à la Cour supérieure de l’Ontario, réclamant des dommages</w:t>
      </w:r>
      <w:r w:rsidRPr="001259E6">
        <w:rPr>
          <w:sz w:val="20"/>
          <w:lang w:val="fr-FR"/>
        </w:rPr>
        <w:noBreakHyphen/>
        <w:t xml:space="preserve">intérêts et affirmant que son isolement cellulaire était arbitraire et constituait une peine cruelle et inusitée, en violation de la </w:t>
      </w:r>
      <w:r w:rsidRPr="001259E6">
        <w:rPr>
          <w:i/>
          <w:sz w:val="20"/>
          <w:lang w:val="fr-FR"/>
        </w:rPr>
        <w:t>Charte canadienne des droits et libertés</w:t>
      </w:r>
      <w:r w:rsidRPr="001259E6">
        <w:rPr>
          <w:sz w:val="20"/>
          <w:lang w:val="fr-FR"/>
        </w:rPr>
        <w:t xml:space="preserve">.  Il a dit </w:t>
      </w:r>
      <w:r w:rsidRPr="00F60B7F">
        <w:rPr>
          <w:sz w:val="20"/>
          <w:lang w:val="fr-CA"/>
        </w:rPr>
        <w:t>avoir subi un préjudice émotionnel et psychologique grave.</w:t>
      </w:r>
      <w:r w:rsidRPr="001259E6">
        <w:rPr>
          <w:sz w:val="20"/>
          <w:lang w:val="fr-FR"/>
        </w:rPr>
        <w:t xml:space="preserve">  Il a aussi soutenu que les </w:t>
      </w:r>
      <w:r w:rsidRPr="00F60B7F">
        <w:rPr>
          <w:sz w:val="20"/>
          <w:lang w:val="fr-CA"/>
        </w:rPr>
        <w:t xml:space="preserve">décisions ordonnant son isolement cellulaire avaient été prises de façon délibérée et avec malveillance ou par négligence. </w:t>
      </w:r>
      <w:r w:rsidRPr="001259E6">
        <w:rPr>
          <w:sz w:val="20"/>
          <w:lang w:val="fr-FR"/>
        </w:rPr>
        <w:t xml:space="preserve"> La Cour supérieure a rejeté la demande en se fondant sur </w:t>
      </w:r>
      <w:r w:rsidRPr="001259E6">
        <w:rPr>
          <w:i/>
          <w:sz w:val="20"/>
          <w:lang w:val="fr-FR"/>
        </w:rPr>
        <w:t>Canada c. Grenier</w:t>
      </w:r>
      <w:r w:rsidRPr="001259E6">
        <w:rPr>
          <w:sz w:val="20"/>
          <w:lang w:val="fr-FR"/>
        </w:rPr>
        <w:t>, 2005 CAF 348, [2006] 2 R.C.F. 287, mais la Cour d’appel a infirmé sa décision au motif qu’il était possible d’obtenir une réparation sous forme de dommages</w:t>
      </w:r>
      <w:r w:rsidRPr="001259E6">
        <w:rPr>
          <w:sz w:val="20"/>
          <w:lang w:val="fr-FR"/>
        </w:rPr>
        <w:noBreakHyphen/>
        <w:t>intérêts en cour supérieure.</w:t>
      </w:r>
    </w:p>
    <w:p w:rsidR="00F60B7F" w:rsidRPr="001259E6" w:rsidRDefault="00F60B7F" w:rsidP="00F60B7F">
      <w:pPr>
        <w:pStyle w:val="SCCNormalDoubleSpacing"/>
        <w:tabs>
          <w:tab w:val="left" w:pos="720"/>
        </w:tabs>
        <w:spacing w:line="240" w:lineRule="auto"/>
        <w:rPr>
          <w:sz w:val="20"/>
          <w:lang w:val="fr-FR"/>
        </w:rPr>
      </w:pPr>
    </w:p>
    <w:p w:rsidR="00F60B7F" w:rsidRPr="001259E6" w:rsidRDefault="00F60B7F" w:rsidP="00F60B7F">
      <w:pPr>
        <w:pStyle w:val="SCCNormalDoubleSpacing"/>
        <w:tabs>
          <w:tab w:val="left" w:pos="720"/>
        </w:tabs>
        <w:spacing w:line="240" w:lineRule="auto"/>
        <w:rPr>
          <w:sz w:val="20"/>
          <w:lang w:val="fr-FR"/>
        </w:rPr>
      </w:pPr>
      <w:r w:rsidRPr="001259E6">
        <w:rPr>
          <w:sz w:val="20"/>
          <w:lang w:val="fr-FR"/>
        </w:rPr>
        <w:tab/>
      </w:r>
      <w:r w:rsidRPr="001259E6">
        <w:rPr>
          <w:i/>
          <w:sz w:val="20"/>
          <w:lang w:val="fr-FR"/>
        </w:rPr>
        <w:t>Arrêt </w:t>
      </w:r>
      <w:r w:rsidRPr="001259E6">
        <w:rPr>
          <w:rStyle w:val="QuoteChar"/>
          <w:sz w:val="20"/>
          <w:lang w:val="fr-FR"/>
        </w:rPr>
        <w:t>:</w:t>
      </w:r>
      <w:r w:rsidRPr="001259E6">
        <w:rPr>
          <w:sz w:val="20"/>
          <w:lang w:val="fr-FR"/>
        </w:rPr>
        <w:t xml:space="preserve"> Le pourvoi est rejeté.</w:t>
      </w:r>
    </w:p>
    <w:p w:rsidR="00F60B7F" w:rsidRPr="001259E6" w:rsidRDefault="00F60B7F" w:rsidP="00F60B7F">
      <w:pPr>
        <w:pStyle w:val="SCCNormalDoubleSpacing"/>
        <w:tabs>
          <w:tab w:val="left" w:pos="720"/>
        </w:tabs>
        <w:spacing w:line="240" w:lineRule="auto"/>
        <w:rPr>
          <w:sz w:val="20"/>
          <w:lang w:val="fr-FR"/>
        </w:rPr>
      </w:pPr>
    </w:p>
    <w:p w:rsidR="00F60B7F" w:rsidRPr="001259E6" w:rsidRDefault="00F60B7F" w:rsidP="00F60B7F">
      <w:pPr>
        <w:pStyle w:val="SCCNormalDoubleSpacing"/>
        <w:tabs>
          <w:tab w:val="left" w:pos="720"/>
        </w:tabs>
        <w:spacing w:line="240" w:lineRule="auto"/>
        <w:rPr>
          <w:sz w:val="20"/>
          <w:lang w:val="fr-FR"/>
        </w:rPr>
      </w:pPr>
      <w:r w:rsidRPr="001259E6">
        <w:rPr>
          <w:sz w:val="20"/>
          <w:lang w:val="fr-FR"/>
        </w:rPr>
        <w:tab/>
        <w:t xml:space="preserve">Pour les motifs exprimés dans </w:t>
      </w:r>
      <w:r w:rsidRPr="001259E6">
        <w:rPr>
          <w:i/>
          <w:sz w:val="20"/>
          <w:lang w:val="fr-FR"/>
        </w:rPr>
        <w:t>Canada (Procureur général) c. TeleZone Inc.</w:t>
      </w:r>
      <w:r w:rsidRPr="001259E6">
        <w:rPr>
          <w:sz w:val="20"/>
          <w:lang w:val="fr-FR"/>
        </w:rPr>
        <w:t xml:space="preserve">, 2010 CSC 62, une interprétation textuelle, contextuelle et téléologique de la </w:t>
      </w:r>
      <w:r w:rsidRPr="001259E6">
        <w:rPr>
          <w:i/>
          <w:sz w:val="20"/>
          <w:lang w:val="fr-FR"/>
        </w:rPr>
        <w:t xml:space="preserve">Loi sur les Cours fédérales </w:t>
      </w:r>
      <w:r w:rsidRPr="001259E6">
        <w:rPr>
          <w:sz w:val="20"/>
          <w:lang w:val="fr-FR"/>
        </w:rPr>
        <w:t xml:space="preserve">n’étaye pas l’opinion selon laquelle </w:t>
      </w:r>
      <w:r w:rsidRPr="00F60B7F">
        <w:rPr>
          <w:sz w:val="20"/>
          <w:lang w:val="fr-CA"/>
        </w:rPr>
        <w:t>un demandeur qui prétend avoir subi un préjudice indemnisable en raison d’une décision administrative doit d’abord demander à la Cour fédérale de se prononcer sur la légalité de la décision.</w:t>
      </w:r>
      <w:r w:rsidRPr="001259E6">
        <w:rPr>
          <w:sz w:val="20"/>
          <w:lang w:val="fr-FR"/>
        </w:rPr>
        <w:t xml:space="preserve">  De plus, la </w:t>
      </w:r>
      <w:r w:rsidRPr="001259E6">
        <w:rPr>
          <w:i/>
          <w:sz w:val="20"/>
          <w:lang w:val="fr-FR"/>
        </w:rPr>
        <w:t>Loi sur les Cours fédérales</w:t>
      </w:r>
      <w:r w:rsidRPr="001259E6">
        <w:rPr>
          <w:sz w:val="20"/>
          <w:lang w:val="fr-FR"/>
        </w:rPr>
        <w:t xml:space="preserve"> n’</w:t>
      </w:r>
      <w:r w:rsidRPr="00F60B7F">
        <w:rPr>
          <w:sz w:val="20"/>
          <w:lang w:val="fr-CA"/>
        </w:rPr>
        <w:t xml:space="preserve">empêche pas une cour supérieure provinciale de procéder à l’examen de la constitutionnalité de la conduite de fonctionnaires fédéraux. </w:t>
      </w:r>
      <w:r w:rsidRPr="001259E6">
        <w:rPr>
          <w:sz w:val="20"/>
          <w:lang w:val="fr-FR"/>
        </w:rPr>
        <w:t xml:space="preserve"> En l’espèce, la Cour supérieure </w:t>
      </w:r>
      <w:r w:rsidRPr="00F60B7F">
        <w:rPr>
          <w:sz w:val="20"/>
          <w:lang w:val="fr-CA"/>
        </w:rPr>
        <w:t>peut examiner la validité de l’isolement de M dans le contexte de son action en dommages</w:t>
      </w:r>
      <w:r w:rsidRPr="00F60B7F">
        <w:rPr>
          <w:sz w:val="20"/>
          <w:lang w:val="fr-CA"/>
        </w:rPr>
        <w:noBreakHyphen/>
        <w:t xml:space="preserve">intérêts, ainsi que les répercussions, le cas échéant, d’un ordre </w:t>
      </w:r>
      <w:r w:rsidRPr="001259E6">
        <w:rPr>
          <w:sz w:val="20"/>
          <w:lang w:val="fr-FR"/>
        </w:rPr>
        <w:t>d’isolement</w:t>
      </w:r>
      <w:r w:rsidRPr="00F60B7F">
        <w:rPr>
          <w:sz w:val="20"/>
          <w:lang w:val="fr-CA"/>
        </w:rPr>
        <w:t xml:space="preserve"> valide</w:t>
      </w:r>
      <w:r w:rsidRPr="00F60B7F">
        <w:rPr>
          <w:i/>
          <w:sz w:val="20"/>
          <w:lang w:val="fr-CA"/>
        </w:rPr>
        <w:t xml:space="preserve"> </w:t>
      </w:r>
      <w:r w:rsidRPr="00F60B7F">
        <w:rPr>
          <w:sz w:val="20"/>
          <w:lang w:val="fr-CA"/>
        </w:rPr>
        <w:t>sur la responsabilité de la Couronne.</w:t>
      </w:r>
      <w:r w:rsidRPr="001259E6">
        <w:rPr>
          <w:sz w:val="20"/>
          <w:lang w:val="fr-FR"/>
        </w:rPr>
        <w:t xml:space="preserve">  Le principe de l’interdiction des contestations indirectes n’étaye pas la contestation de la compétence des cours supérieures provinciales, par le procureur général, vu la compétence dans « les cas de demande de réparation contre la Couronne » fédérale que leur confère explicitement la </w:t>
      </w:r>
      <w:r w:rsidRPr="001259E6">
        <w:rPr>
          <w:i/>
          <w:sz w:val="20"/>
          <w:lang w:val="fr-FR"/>
        </w:rPr>
        <w:t>Loi sur les Cours fédérales</w:t>
      </w:r>
      <w:r w:rsidRPr="001259E6">
        <w:rPr>
          <w:sz w:val="20"/>
          <w:lang w:val="fr-FR"/>
        </w:rPr>
        <w:t xml:space="preserve"> et </w:t>
      </w:r>
      <w:r w:rsidRPr="00F60B7F">
        <w:rPr>
          <w:sz w:val="20"/>
          <w:lang w:val="fr-CA"/>
        </w:rPr>
        <w:t xml:space="preserve">la </w:t>
      </w:r>
      <w:r w:rsidRPr="00F60B7F">
        <w:rPr>
          <w:i/>
          <w:sz w:val="20"/>
          <w:lang w:val="fr-CA"/>
        </w:rPr>
        <w:t>Loi sur la responsabilité civile de l’État et le contentieux administratif</w:t>
      </w:r>
      <w:r w:rsidRPr="00F60B7F">
        <w:rPr>
          <w:sz w:val="20"/>
          <w:lang w:val="fr-CA"/>
        </w:rPr>
        <w:t>.</w:t>
      </w:r>
    </w:p>
    <w:p w:rsidR="00F60B7F" w:rsidRDefault="00F60B7F" w:rsidP="003B3977">
      <w:pPr>
        <w:rPr>
          <w:sz w:val="20"/>
          <w:szCs w:val="20"/>
          <w:lang w:val="fr-FR"/>
        </w:rPr>
      </w:pPr>
    </w:p>
    <w:p w:rsidR="00F60B7F" w:rsidRPr="00F60B7F" w:rsidRDefault="00F60B7F" w:rsidP="00F60B7F">
      <w:pPr>
        <w:pStyle w:val="SCCNormalDoubleSpacing"/>
        <w:tabs>
          <w:tab w:val="left" w:pos="720"/>
        </w:tabs>
        <w:spacing w:line="240" w:lineRule="auto"/>
        <w:rPr>
          <w:sz w:val="20"/>
          <w:lang w:val="fr-CA"/>
        </w:rPr>
      </w:pPr>
      <w:r w:rsidRPr="00881BB6">
        <w:rPr>
          <w:sz w:val="20"/>
          <w:lang w:val="fr-CA"/>
        </w:rPr>
        <w:tab/>
      </w:r>
      <w:r w:rsidRPr="00F60B7F">
        <w:rPr>
          <w:sz w:val="20"/>
          <w:lang w:val="fr-CA"/>
        </w:rPr>
        <w:t xml:space="preserve">POURVOI contre un arrêt de la Cour d’appel de l’Ontario (les juges Laskin, Borins et Feldman), 2008 ONCA 892, 94 O.R. (3d) 19, 303 D.L.R. (4th) 626, 245 O.A.C. 91, 86 Admin L.R. (4th) 163, 40 C.E.L.R. (3d) 183, </w:t>
      </w:r>
      <w:r w:rsidR="00D56013" w:rsidRPr="001259E6">
        <w:rPr>
          <w:sz w:val="20"/>
        </w:rPr>
        <w:fldChar w:fldCharType="begin"/>
      </w:r>
      <w:r w:rsidRPr="00F60B7F">
        <w:rPr>
          <w:sz w:val="20"/>
          <w:lang w:val="fr-CA"/>
        </w:rPr>
        <w:instrText xml:space="preserve"> SEQ CHAPTER \h \r 1</w:instrText>
      </w:r>
      <w:r w:rsidR="00D56013" w:rsidRPr="001259E6">
        <w:rPr>
          <w:sz w:val="20"/>
        </w:rPr>
        <w:fldChar w:fldCharType="end"/>
      </w:r>
      <w:r w:rsidRPr="00F60B7F">
        <w:rPr>
          <w:sz w:val="20"/>
          <w:lang w:val="fr-CA"/>
        </w:rPr>
        <w:t xml:space="preserve">[2008] O.J. No. 5291 (QL), 2008 CarswellOnt 7826, qui a infirmé une décision du juge Pedlar, 2006 CarswellOnt 9820.  Pourvoi rejeté. </w:t>
      </w:r>
    </w:p>
    <w:p w:rsidR="00F60B7F" w:rsidRPr="00F60B7F" w:rsidRDefault="00F60B7F" w:rsidP="00F60B7F">
      <w:pPr>
        <w:pStyle w:val="SCCNormalDoubleSpacing"/>
        <w:tabs>
          <w:tab w:val="left" w:pos="720"/>
        </w:tabs>
        <w:spacing w:line="240" w:lineRule="auto"/>
        <w:rPr>
          <w:sz w:val="20"/>
          <w:lang w:val="fr-CA"/>
        </w:rPr>
      </w:pPr>
    </w:p>
    <w:p w:rsidR="00F60B7F" w:rsidRPr="00F60B7F" w:rsidRDefault="00F60B7F" w:rsidP="00F60B7F">
      <w:pPr>
        <w:pStyle w:val="SCCNormalDoubleSpacing"/>
        <w:tabs>
          <w:tab w:val="left" w:pos="720"/>
        </w:tabs>
        <w:spacing w:line="240" w:lineRule="auto"/>
        <w:rPr>
          <w:sz w:val="20"/>
          <w:lang w:val="fr-CA"/>
        </w:rPr>
      </w:pPr>
      <w:r w:rsidRPr="00F60B7F">
        <w:rPr>
          <w:rStyle w:val="SCCCounselNameChar"/>
          <w:sz w:val="20"/>
          <w:lang w:val="fr-CA"/>
        </w:rPr>
        <w:tab/>
        <w:t>Christopher M. Rupar</w:t>
      </w:r>
      <w:r w:rsidRPr="001259E6">
        <w:rPr>
          <w:rStyle w:val="SCCCounselSeparatorChar"/>
          <w:sz w:val="20"/>
        </w:rPr>
        <w:t xml:space="preserve">, </w:t>
      </w:r>
      <w:r w:rsidRPr="00F60B7F">
        <w:rPr>
          <w:rStyle w:val="SCCCounselNameChar"/>
          <w:sz w:val="20"/>
          <w:lang w:val="fr-CA"/>
        </w:rPr>
        <w:t>Alain Préfontaine</w:t>
      </w:r>
      <w:r w:rsidRPr="001259E6">
        <w:rPr>
          <w:rStyle w:val="SCCCounselSeparatorChar"/>
          <w:sz w:val="20"/>
        </w:rPr>
        <w:t xml:space="preserve"> et </w:t>
      </w:r>
      <w:r w:rsidRPr="00F60B7F">
        <w:rPr>
          <w:rStyle w:val="SCCCounselNameChar"/>
          <w:sz w:val="20"/>
          <w:lang w:val="fr-CA"/>
        </w:rPr>
        <w:t>Bernard Letarte</w:t>
      </w:r>
      <w:r w:rsidRPr="00F60B7F">
        <w:rPr>
          <w:rStyle w:val="SCCCounselPartyRoleChar"/>
          <w:sz w:val="20"/>
          <w:lang w:val="fr-CA"/>
        </w:rPr>
        <w:t>, pour les appelants.</w:t>
      </w:r>
    </w:p>
    <w:p w:rsidR="00F60B7F" w:rsidRPr="00F60B7F" w:rsidRDefault="00F60B7F" w:rsidP="00F60B7F">
      <w:pPr>
        <w:pStyle w:val="SCCNormalDoubleSpacing"/>
        <w:tabs>
          <w:tab w:val="left" w:pos="720"/>
        </w:tabs>
        <w:spacing w:line="240" w:lineRule="auto"/>
        <w:rPr>
          <w:sz w:val="20"/>
          <w:lang w:val="fr-CA"/>
        </w:rPr>
      </w:pPr>
    </w:p>
    <w:p w:rsidR="00F60B7F" w:rsidRPr="00F60B7F" w:rsidRDefault="00F60B7F" w:rsidP="00F60B7F">
      <w:pPr>
        <w:pStyle w:val="SCCNormalDoubleSpacing"/>
        <w:tabs>
          <w:tab w:val="left" w:pos="720"/>
        </w:tabs>
        <w:spacing w:line="240" w:lineRule="auto"/>
        <w:rPr>
          <w:sz w:val="20"/>
          <w:lang w:val="fr-CA"/>
        </w:rPr>
      </w:pPr>
      <w:r w:rsidRPr="00F60B7F">
        <w:rPr>
          <w:rStyle w:val="SCCCounselNameChar"/>
          <w:sz w:val="20"/>
          <w:lang w:val="fr-CA"/>
        </w:rPr>
        <w:tab/>
        <w:t>John A. Ryder</w:t>
      </w:r>
      <w:r w:rsidRPr="00F60B7F">
        <w:rPr>
          <w:rStyle w:val="SCCCounselNameChar"/>
          <w:sz w:val="20"/>
          <w:lang w:val="fr-CA"/>
        </w:rPr>
        <w:noBreakHyphen/>
        <w:t>Burbidge</w:t>
      </w:r>
      <w:r w:rsidRPr="00F60B7F">
        <w:rPr>
          <w:rStyle w:val="SCCCounselPartyRoleChar"/>
          <w:sz w:val="20"/>
          <w:lang w:val="fr-CA"/>
        </w:rPr>
        <w:t>, pour l’intimé.</w:t>
      </w:r>
    </w:p>
    <w:p w:rsidR="00F60B7F" w:rsidRPr="00F60B7F" w:rsidRDefault="00F60B7F" w:rsidP="00F60B7F">
      <w:pPr>
        <w:pStyle w:val="SCCNormalDoubleSpacing"/>
        <w:tabs>
          <w:tab w:val="left" w:pos="720"/>
        </w:tabs>
        <w:spacing w:line="240" w:lineRule="auto"/>
        <w:rPr>
          <w:sz w:val="20"/>
          <w:lang w:val="fr-CA"/>
        </w:rPr>
      </w:pPr>
    </w:p>
    <w:p w:rsidR="00F60B7F" w:rsidRPr="00F60B7F" w:rsidRDefault="00F60B7F" w:rsidP="00F60B7F">
      <w:pPr>
        <w:pStyle w:val="SCCNormalDoubleSpacing"/>
        <w:tabs>
          <w:tab w:val="left" w:pos="720"/>
        </w:tabs>
        <w:spacing w:line="240" w:lineRule="auto"/>
        <w:rPr>
          <w:sz w:val="20"/>
          <w:lang w:val="fr-CA"/>
        </w:rPr>
      </w:pPr>
      <w:r w:rsidRPr="00F60B7F">
        <w:rPr>
          <w:rStyle w:val="SCCCounselNameChar"/>
          <w:sz w:val="20"/>
          <w:lang w:val="fr-CA"/>
        </w:rPr>
        <w:tab/>
      </w:r>
      <w:r w:rsidRPr="00951495">
        <w:rPr>
          <w:rStyle w:val="SCCCounselNameChar"/>
          <w:i w:val="0"/>
          <w:sz w:val="20"/>
          <w:lang w:val="fr-CA"/>
        </w:rPr>
        <w:t>Argumentation écrite seulement</w:t>
      </w:r>
      <w:r w:rsidRPr="00F60B7F">
        <w:rPr>
          <w:rStyle w:val="SCCCounselNameChar"/>
          <w:sz w:val="20"/>
          <w:lang w:val="fr-CA"/>
        </w:rPr>
        <w:t xml:space="preserve"> </w:t>
      </w:r>
      <w:r w:rsidRPr="00F60B7F">
        <w:rPr>
          <w:rStyle w:val="SCCCounselPartyRoleChar"/>
          <w:sz w:val="20"/>
          <w:lang w:val="fr-CA"/>
        </w:rPr>
        <w:t>pour l’intervenant le procureur général de la Colombie</w:t>
      </w:r>
      <w:r w:rsidRPr="00F60B7F">
        <w:rPr>
          <w:rStyle w:val="SCCCounselPartyRoleChar"/>
          <w:sz w:val="20"/>
          <w:lang w:val="fr-CA"/>
        </w:rPr>
        <w:noBreakHyphen/>
        <w:t>Britannique.</w:t>
      </w:r>
    </w:p>
    <w:p w:rsidR="00F60B7F" w:rsidRPr="00F60B7F" w:rsidRDefault="00F60B7F" w:rsidP="00F60B7F">
      <w:pPr>
        <w:pStyle w:val="SCCNormalDoubleSpacing"/>
        <w:tabs>
          <w:tab w:val="left" w:pos="720"/>
        </w:tabs>
        <w:spacing w:line="240" w:lineRule="auto"/>
        <w:rPr>
          <w:sz w:val="20"/>
          <w:lang w:val="fr-CA"/>
        </w:rPr>
      </w:pPr>
    </w:p>
    <w:p w:rsidR="00F60B7F" w:rsidRPr="00F60B7F" w:rsidRDefault="00F60B7F" w:rsidP="00F60B7F">
      <w:pPr>
        <w:pStyle w:val="SCCNormalDoubleSpacing"/>
        <w:tabs>
          <w:tab w:val="left" w:pos="720"/>
        </w:tabs>
        <w:spacing w:line="240" w:lineRule="auto"/>
        <w:rPr>
          <w:sz w:val="20"/>
          <w:lang w:val="fr-CA"/>
        </w:rPr>
      </w:pPr>
      <w:r w:rsidRPr="00F60B7F">
        <w:rPr>
          <w:rStyle w:val="SCCCounselNameChar"/>
          <w:sz w:val="20"/>
          <w:lang w:val="fr-CA"/>
        </w:rPr>
        <w:tab/>
        <w:t>Patrick Ferland</w:t>
      </w:r>
      <w:r w:rsidRPr="001259E6">
        <w:rPr>
          <w:rStyle w:val="SCCCounselSeparatorChar"/>
          <w:sz w:val="20"/>
        </w:rPr>
        <w:t xml:space="preserve"> et </w:t>
      </w:r>
      <w:r w:rsidRPr="00F60B7F">
        <w:rPr>
          <w:rStyle w:val="SCCCounselNameChar"/>
          <w:sz w:val="20"/>
          <w:lang w:val="fr-CA"/>
        </w:rPr>
        <w:t>David Quesnel</w:t>
      </w:r>
      <w:r w:rsidRPr="00F60B7F">
        <w:rPr>
          <w:rStyle w:val="SCCCounselPartyRoleChar"/>
          <w:sz w:val="20"/>
          <w:lang w:val="fr-CA"/>
        </w:rPr>
        <w:t>, pour les intervenants Roland Anglehart père et al.</w:t>
      </w:r>
    </w:p>
    <w:p w:rsidR="00F60B7F" w:rsidRPr="00F60B7F" w:rsidRDefault="00F60B7F" w:rsidP="00F60B7F">
      <w:pPr>
        <w:pStyle w:val="SCCNormalDoubleSpacing"/>
        <w:tabs>
          <w:tab w:val="left" w:pos="720"/>
        </w:tabs>
        <w:spacing w:line="240" w:lineRule="auto"/>
        <w:rPr>
          <w:sz w:val="20"/>
          <w:lang w:val="fr-CA"/>
        </w:rPr>
      </w:pPr>
    </w:p>
    <w:p w:rsidR="00F60B7F" w:rsidRPr="00F60B7F" w:rsidRDefault="00F60B7F" w:rsidP="00F60B7F">
      <w:pPr>
        <w:pStyle w:val="SCCLawFirm"/>
        <w:tabs>
          <w:tab w:val="left" w:pos="720"/>
        </w:tabs>
        <w:spacing w:line="240" w:lineRule="auto"/>
        <w:rPr>
          <w:sz w:val="20"/>
          <w:lang w:val="fr-CA"/>
        </w:rPr>
      </w:pPr>
      <w:r w:rsidRPr="00F60B7F">
        <w:rPr>
          <w:sz w:val="20"/>
          <w:lang w:val="fr-CA"/>
        </w:rPr>
        <w:tab/>
        <w:t>Procureur des appelants : Sous</w:t>
      </w:r>
      <w:r w:rsidRPr="00F60B7F">
        <w:rPr>
          <w:sz w:val="20"/>
          <w:lang w:val="fr-CA"/>
        </w:rPr>
        <w:noBreakHyphen/>
        <w:t>procureur général du Canada, Ottawa.</w:t>
      </w:r>
    </w:p>
    <w:p w:rsidR="00F60B7F" w:rsidRPr="00F60B7F" w:rsidRDefault="00F60B7F" w:rsidP="00F60B7F">
      <w:pPr>
        <w:pStyle w:val="SCCLawFirm"/>
        <w:tabs>
          <w:tab w:val="left" w:pos="720"/>
        </w:tabs>
        <w:spacing w:line="240" w:lineRule="auto"/>
        <w:rPr>
          <w:sz w:val="20"/>
          <w:lang w:val="fr-CA"/>
        </w:rPr>
      </w:pPr>
      <w:r w:rsidRPr="00F60B7F">
        <w:rPr>
          <w:sz w:val="20"/>
          <w:lang w:val="fr-CA"/>
        </w:rPr>
        <w:tab/>
        <w:t>Procureurs de l’intimé : Ryder</w:t>
      </w:r>
      <w:r w:rsidRPr="00F60B7F">
        <w:rPr>
          <w:sz w:val="20"/>
          <w:lang w:val="fr-CA"/>
        </w:rPr>
        <w:noBreakHyphen/>
        <w:t>Burbidge Hurley Fasano, Kingston.</w:t>
      </w:r>
    </w:p>
    <w:p w:rsidR="00F60B7F" w:rsidRPr="00F60B7F" w:rsidRDefault="00F60B7F" w:rsidP="00F60B7F">
      <w:pPr>
        <w:pStyle w:val="SCCLawFirm"/>
        <w:tabs>
          <w:tab w:val="left" w:pos="720"/>
        </w:tabs>
        <w:spacing w:line="240" w:lineRule="auto"/>
        <w:rPr>
          <w:sz w:val="20"/>
          <w:lang w:val="fr-CA"/>
        </w:rPr>
      </w:pPr>
    </w:p>
    <w:p w:rsidR="00F60B7F" w:rsidRPr="00F60B7F" w:rsidRDefault="00F60B7F" w:rsidP="00F60B7F">
      <w:pPr>
        <w:pStyle w:val="SCCLawFirm"/>
        <w:tabs>
          <w:tab w:val="left" w:pos="720"/>
        </w:tabs>
        <w:spacing w:line="240" w:lineRule="auto"/>
        <w:rPr>
          <w:sz w:val="20"/>
          <w:lang w:val="fr-CA"/>
        </w:rPr>
      </w:pPr>
      <w:r w:rsidRPr="00F60B7F">
        <w:rPr>
          <w:sz w:val="20"/>
          <w:lang w:val="fr-CA"/>
        </w:rPr>
        <w:tab/>
        <w:t>Procureur de l’intervenant le procureur général de la Colombie</w:t>
      </w:r>
      <w:r w:rsidRPr="00F60B7F">
        <w:rPr>
          <w:sz w:val="20"/>
          <w:lang w:val="fr-CA"/>
        </w:rPr>
        <w:noBreakHyphen/>
        <w:t>Britannique : Procureur général de la Colombie</w:t>
      </w:r>
      <w:r w:rsidRPr="00F60B7F">
        <w:rPr>
          <w:sz w:val="20"/>
          <w:lang w:val="fr-CA"/>
        </w:rPr>
        <w:noBreakHyphen/>
        <w:t>Britannique, Vancouver.</w:t>
      </w:r>
    </w:p>
    <w:p w:rsidR="00F60B7F" w:rsidRPr="00F60B7F" w:rsidRDefault="00F60B7F" w:rsidP="00F60B7F">
      <w:pPr>
        <w:pStyle w:val="SCCLawFirm"/>
        <w:tabs>
          <w:tab w:val="left" w:pos="720"/>
        </w:tabs>
        <w:spacing w:line="240" w:lineRule="auto"/>
        <w:rPr>
          <w:sz w:val="20"/>
          <w:lang w:val="fr-CA"/>
        </w:rPr>
      </w:pPr>
    </w:p>
    <w:p w:rsidR="00F60B7F" w:rsidRPr="00F60B7F" w:rsidRDefault="00F60B7F" w:rsidP="00F60B7F">
      <w:pPr>
        <w:pStyle w:val="SCCLawFirm"/>
        <w:tabs>
          <w:tab w:val="left" w:pos="720"/>
        </w:tabs>
        <w:spacing w:line="240" w:lineRule="auto"/>
        <w:rPr>
          <w:sz w:val="20"/>
          <w:lang w:val="fr-CA"/>
        </w:rPr>
      </w:pPr>
      <w:r w:rsidRPr="00F60B7F">
        <w:rPr>
          <w:sz w:val="20"/>
          <w:lang w:val="fr-CA"/>
        </w:rPr>
        <w:tab/>
        <w:t>Procureurs des intervenants Roland Anglehart père et al. : Heenan Blaikie, Montréal.</w:t>
      </w:r>
    </w:p>
    <w:p w:rsidR="00F60B7F" w:rsidRPr="00F60B7F" w:rsidRDefault="00F60B7F" w:rsidP="003B3977">
      <w:pPr>
        <w:rPr>
          <w:sz w:val="20"/>
          <w:szCs w:val="20"/>
          <w:lang w:val="fr-CA"/>
        </w:rPr>
      </w:pPr>
    </w:p>
    <w:p w:rsidR="00151761" w:rsidRDefault="00D56013" w:rsidP="003B3977">
      <w:pPr>
        <w:rPr>
          <w:sz w:val="20"/>
          <w:szCs w:val="20"/>
        </w:rPr>
      </w:pPr>
      <w:r w:rsidRPr="00D56013">
        <w:rPr>
          <w:rFonts w:cs="Times New Roman"/>
          <w:sz w:val="20"/>
          <w:szCs w:val="20"/>
          <w:lang w:val="fr-CA"/>
        </w:rPr>
        <w:pict>
          <v:rect id="_x0000_i1120" style="width:144.3pt;height:1pt" o:hrpct="300" o:hralign="center" o:hrstd="t" o:hrnoshade="t" o:hr="t" fillcolor="black [3213]" stroked="f"/>
        </w:pict>
      </w:r>
    </w:p>
    <w:p w:rsidR="00151761" w:rsidRDefault="00151761" w:rsidP="003B3977">
      <w:pPr>
        <w:rPr>
          <w:sz w:val="20"/>
          <w:szCs w:val="20"/>
        </w:rPr>
      </w:pPr>
    </w:p>
    <w:p w:rsidR="00412488" w:rsidRDefault="00412488" w:rsidP="003B3977">
      <w:pPr>
        <w:rPr>
          <w:sz w:val="20"/>
          <w:szCs w:val="20"/>
        </w:rPr>
      </w:pPr>
    </w:p>
    <w:p w:rsidR="00412488" w:rsidRDefault="00412488" w:rsidP="003B3977">
      <w:pPr>
        <w:rPr>
          <w:sz w:val="20"/>
          <w:szCs w:val="20"/>
        </w:rPr>
      </w:pPr>
    </w:p>
    <w:p w:rsidR="00151761" w:rsidRDefault="00151761">
      <w:pPr>
        <w:rPr>
          <w:sz w:val="20"/>
          <w:szCs w:val="20"/>
        </w:rPr>
      </w:pPr>
      <w:r>
        <w:rPr>
          <w:sz w:val="20"/>
          <w:szCs w:val="20"/>
        </w:rPr>
        <w:br w:type="page"/>
      </w:r>
    </w:p>
    <w:p w:rsidR="00BD13EA" w:rsidRPr="00BD13EA" w:rsidRDefault="00BD13EA" w:rsidP="00BD13EA">
      <w:pPr>
        <w:rPr>
          <w:sz w:val="20"/>
          <w:szCs w:val="20"/>
        </w:rPr>
      </w:pPr>
      <w:r w:rsidRPr="00BD13EA">
        <w:rPr>
          <w:i/>
          <w:sz w:val="20"/>
          <w:szCs w:val="20"/>
        </w:rPr>
        <w:t xml:space="preserve">Parrish &amp; Heimbecker Limited v. Her Majesty the Queen in Right of Canada as Represented by the Minister of Agriculture and Agri-Food et al. </w:t>
      </w:r>
      <w:r w:rsidRPr="00BD13EA">
        <w:rPr>
          <w:sz w:val="20"/>
          <w:szCs w:val="20"/>
        </w:rPr>
        <w:t>(F.C.) (33006)</w:t>
      </w:r>
    </w:p>
    <w:p w:rsidR="00E67860" w:rsidRPr="00881BB6" w:rsidRDefault="00E67860" w:rsidP="00E67860">
      <w:pPr>
        <w:jc w:val="both"/>
        <w:rPr>
          <w:rStyle w:val="SCCRespondentForIndexChar"/>
          <w:rFonts w:eastAsia="Calibri"/>
          <w:sz w:val="20"/>
        </w:rPr>
      </w:pPr>
      <w:r w:rsidRPr="00CD4593">
        <w:rPr>
          <w:rFonts w:cs="Times New Roman"/>
          <w:b/>
          <w:sz w:val="20"/>
          <w:szCs w:val="20"/>
        </w:rPr>
        <w:t>Indexed as:  </w:t>
      </w:r>
      <w:r w:rsidRPr="00E67860">
        <w:rPr>
          <w:rStyle w:val="SCCAppellantForIndexChar"/>
          <w:rFonts w:eastAsia="Calibri"/>
          <w:sz w:val="20"/>
          <w:lang w:val="en-CA"/>
        </w:rPr>
        <w:t>Parrish &amp; Heimbecker Ltd.</w:t>
      </w:r>
      <w:r w:rsidRPr="00CD4593">
        <w:rPr>
          <w:rFonts w:cs="Times New Roman"/>
          <w:b/>
          <w:sz w:val="20"/>
          <w:szCs w:val="20"/>
        </w:rPr>
        <w:t xml:space="preserve"> </w:t>
      </w:r>
      <w:r w:rsidRPr="00CD4593">
        <w:rPr>
          <w:rFonts w:cs="Times New Roman"/>
          <w:b/>
          <w:i/>
          <w:sz w:val="20"/>
          <w:szCs w:val="20"/>
        </w:rPr>
        <w:t>v.</w:t>
      </w:r>
      <w:r w:rsidRPr="00CD4593">
        <w:rPr>
          <w:rFonts w:cs="Times New Roman"/>
          <w:b/>
          <w:sz w:val="20"/>
          <w:szCs w:val="20"/>
        </w:rPr>
        <w:t xml:space="preserve"> Canada (Agriculture and Agri</w:t>
      </w:r>
      <w:r w:rsidRPr="00CD4593">
        <w:rPr>
          <w:rFonts w:cs="Times New Roman"/>
          <w:b/>
          <w:sz w:val="20"/>
          <w:szCs w:val="20"/>
        </w:rPr>
        <w:noBreakHyphen/>
        <w:t>Food)</w:t>
      </w:r>
      <w:r>
        <w:rPr>
          <w:rFonts w:cs="Times New Roman"/>
          <w:b/>
          <w:sz w:val="20"/>
          <w:szCs w:val="20"/>
        </w:rPr>
        <w:t xml:space="preserve"> /</w:t>
      </w:r>
    </w:p>
    <w:p w:rsidR="00E67860" w:rsidRPr="00E67860" w:rsidRDefault="00E67860" w:rsidP="00E67860">
      <w:pPr>
        <w:pStyle w:val="SCCLsocParty"/>
        <w:jc w:val="left"/>
        <w:rPr>
          <w:b/>
          <w:sz w:val="20"/>
          <w:szCs w:val="20"/>
        </w:rPr>
      </w:pPr>
      <w:r w:rsidRPr="00E67860">
        <w:rPr>
          <w:b/>
          <w:sz w:val="20"/>
          <w:szCs w:val="20"/>
        </w:rPr>
        <w:t>Répertorié : </w:t>
      </w:r>
      <w:r w:rsidRPr="00E67860">
        <w:rPr>
          <w:rStyle w:val="SCCAppellantForIndexChar"/>
          <w:rFonts w:eastAsia="Calibri"/>
          <w:sz w:val="20"/>
        </w:rPr>
        <w:t>Parrish &amp; Heimbecker Ltd.</w:t>
      </w:r>
      <w:r w:rsidRPr="00E67860">
        <w:rPr>
          <w:b/>
          <w:sz w:val="20"/>
          <w:szCs w:val="20"/>
        </w:rPr>
        <w:t xml:space="preserve"> </w:t>
      </w:r>
      <w:r w:rsidRPr="00E67860">
        <w:rPr>
          <w:b/>
          <w:i/>
          <w:sz w:val="20"/>
          <w:szCs w:val="20"/>
        </w:rPr>
        <w:t>c.</w:t>
      </w:r>
      <w:r w:rsidRPr="00E67860">
        <w:rPr>
          <w:b/>
          <w:sz w:val="20"/>
          <w:szCs w:val="20"/>
        </w:rPr>
        <w:t xml:space="preserve"> Canada (Agriculture et Agroalimentaire)</w:t>
      </w:r>
    </w:p>
    <w:p w:rsidR="00151761" w:rsidRPr="00E67860" w:rsidRDefault="00151761" w:rsidP="00151761">
      <w:pPr>
        <w:pStyle w:val="SCCSystemYear"/>
        <w:jc w:val="both"/>
        <w:rPr>
          <w:sz w:val="20"/>
        </w:rPr>
      </w:pPr>
      <w:r w:rsidRPr="00E67860">
        <w:rPr>
          <w:sz w:val="20"/>
        </w:rPr>
        <w:t>Neutral citation:  2010 SCC </w:t>
      </w:r>
      <w:r w:rsidR="00934DDB" w:rsidRPr="00E67860">
        <w:rPr>
          <w:sz w:val="20"/>
        </w:rPr>
        <w:t>6</w:t>
      </w:r>
      <w:r w:rsidRPr="00E67860">
        <w:rPr>
          <w:sz w:val="20"/>
        </w:rPr>
        <w:t>4 / Référence neutre : 2010 CSC </w:t>
      </w:r>
      <w:r w:rsidR="00934DDB" w:rsidRPr="00E67860">
        <w:rPr>
          <w:sz w:val="20"/>
        </w:rPr>
        <w:t>64</w:t>
      </w:r>
    </w:p>
    <w:p w:rsidR="00151761" w:rsidRPr="00E67860" w:rsidRDefault="00151761" w:rsidP="00151761">
      <w:pPr>
        <w:rPr>
          <w:sz w:val="20"/>
          <w:szCs w:val="20"/>
          <w:lang w:val="fr-CA"/>
        </w:rPr>
      </w:pPr>
      <w:r w:rsidRPr="00E67860">
        <w:rPr>
          <w:sz w:val="20"/>
          <w:szCs w:val="20"/>
          <w:lang w:val="fr-CA"/>
        </w:rPr>
        <w:t xml:space="preserve">Hearing:  </w:t>
      </w:r>
      <w:r w:rsidR="00E67860" w:rsidRPr="00E67860">
        <w:rPr>
          <w:sz w:val="20"/>
          <w:szCs w:val="20"/>
          <w:lang w:val="fr-CA"/>
        </w:rPr>
        <w:t>January</w:t>
      </w:r>
      <w:r w:rsidRPr="00E67860">
        <w:rPr>
          <w:sz w:val="20"/>
          <w:szCs w:val="20"/>
          <w:lang w:val="fr-CA"/>
        </w:rPr>
        <w:t xml:space="preserve"> 2</w:t>
      </w:r>
      <w:r w:rsidR="00E67860" w:rsidRPr="00E67860">
        <w:rPr>
          <w:sz w:val="20"/>
          <w:szCs w:val="20"/>
          <w:lang w:val="fr-CA"/>
        </w:rPr>
        <w:t>0</w:t>
      </w:r>
      <w:r w:rsidRPr="00E67860">
        <w:rPr>
          <w:sz w:val="20"/>
          <w:szCs w:val="20"/>
          <w:lang w:val="fr-CA"/>
        </w:rPr>
        <w:t xml:space="preserve">, 2010 / Judgment:  </w:t>
      </w:r>
      <w:r w:rsidR="00047221" w:rsidRPr="00E67860">
        <w:rPr>
          <w:sz w:val="20"/>
          <w:szCs w:val="20"/>
          <w:lang w:val="fr-CA"/>
        </w:rPr>
        <w:t>Decem</w:t>
      </w:r>
      <w:r w:rsidRPr="00E67860">
        <w:rPr>
          <w:sz w:val="20"/>
          <w:szCs w:val="20"/>
          <w:lang w:val="fr-CA"/>
        </w:rPr>
        <w:t>ber 2</w:t>
      </w:r>
      <w:r w:rsidR="00047221" w:rsidRPr="00E67860">
        <w:rPr>
          <w:sz w:val="20"/>
          <w:szCs w:val="20"/>
          <w:lang w:val="fr-CA"/>
        </w:rPr>
        <w:t>3</w:t>
      </w:r>
      <w:r w:rsidRPr="00E67860">
        <w:rPr>
          <w:sz w:val="20"/>
          <w:szCs w:val="20"/>
          <w:lang w:val="fr-CA"/>
        </w:rPr>
        <w:t>, 2010</w:t>
      </w:r>
    </w:p>
    <w:p w:rsidR="00151761" w:rsidRPr="003B3977" w:rsidRDefault="00151761" w:rsidP="00151761">
      <w:pPr>
        <w:rPr>
          <w:sz w:val="20"/>
          <w:szCs w:val="20"/>
          <w:lang w:val="fr-CA"/>
        </w:rPr>
      </w:pPr>
      <w:r w:rsidRPr="003B3977">
        <w:rPr>
          <w:sz w:val="20"/>
          <w:szCs w:val="20"/>
          <w:lang w:val="fr-CA"/>
        </w:rPr>
        <w:t>Audition : Le 2</w:t>
      </w:r>
      <w:r w:rsidR="00E67860">
        <w:rPr>
          <w:sz w:val="20"/>
          <w:szCs w:val="20"/>
          <w:lang w:val="fr-CA"/>
        </w:rPr>
        <w:t>0 janvier</w:t>
      </w:r>
      <w:r w:rsidRPr="003B3977">
        <w:rPr>
          <w:sz w:val="20"/>
          <w:szCs w:val="20"/>
          <w:lang w:val="fr-CA"/>
        </w:rPr>
        <w:t xml:space="preserve"> 2010 / Jugement : Le 2</w:t>
      </w:r>
      <w:r w:rsidR="00047221">
        <w:rPr>
          <w:sz w:val="20"/>
          <w:szCs w:val="20"/>
          <w:lang w:val="fr-CA"/>
        </w:rPr>
        <w:t>3 décem</w:t>
      </w:r>
      <w:r w:rsidRPr="003B3977">
        <w:rPr>
          <w:sz w:val="20"/>
          <w:szCs w:val="20"/>
          <w:lang w:val="fr-CA"/>
        </w:rPr>
        <w:t>bre 2010</w:t>
      </w:r>
    </w:p>
    <w:p w:rsidR="00151761" w:rsidRPr="003B3977" w:rsidRDefault="00D56013" w:rsidP="00151761">
      <w:pPr>
        <w:rPr>
          <w:sz w:val="20"/>
          <w:szCs w:val="20"/>
          <w:lang w:val="fr-CA"/>
        </w:rPr>
      </w:pPr>
      <w:r w:rsidRPr="00D56013">
        <w:rPr>
          <w:i/>
          <w:sz w:val="20"/>
          <w:szCs w:val="20"/>
        </w:rPr>
        <w:pict>
          <v:rect id="_x0000_i1121" style="width:480.95pt;height:1pt" o:hralign="center" o:hrstd="t" o:hrnoshade="t" o:hr="t" fillcolor="black [3213]" stroked="f"/>
        </w:pict>
      </w:r>
    </w:p>
    <w:p w:rsidR="00151761" w:rsidRDefault="00151761" w:rsidP="003B3977">
      <w:pPr>
        <w:rPr>
          <w:sz w:val="20"/>
          <w:szCs w:val="20"/>
        </w:rPr>
      </w:pPr>
    </w:p>
    <w:p w:rsidR="00E67860" w:rsidRPr="00CD4593" w:rsidRDefault="00E67860" w:rsidP="00E67860">
      <w:pPr>
        <w:jc w:val="both"/>
        <w:rPr>
          <w:rFonts w:cs="Times New Roman"/>
          <w:sz w:val="20"/>
          <w:szCs w:val="20"/>
        </w:rPr>
      </w:pPr>
      <w:r w:rsidRPr="00CD4593">
        <w:rPr>
          <w:rFonts w:cs="Times New Roman"/>
          <w:sz w:val="20"/>
          <w:szCs w:val="20"/>
        </w:rPr>
        <w:t>Present:  Binnie, LeBel, Deschamps, Abella, Charron, Rothstein and Cromwell JJ.</w:t>
      </w:r>
    </w:p>
    <w:p w:rsidR="00151761" w:rsidRDefault="00151761" w:rsidP="003B3977">
      <w:pPr>
        <w:rPr>
          <w:sz w:val="20"/>
          <w:szCs w:val="20"/>
        </w:rPr>
      </w:pPr>
    </w:p>
    <w:p w:rsidR="00E67860" w:rsidRPr="00CD4593" w:rsidRDefault="00E67860" w:rsidP="00E67860">
      <w:pPr>
        <w:pStyle w:val="SCCNormalDoubleSpacing"/>
        <w:tabs>
          <w:tab w:val="left" w:pos="720"/>
        </w:tabs>
        <w:spacing w:line="240" w:lineRule="auto"/>
        <w:rPr>
          <w:i/>
          <w:sz w:val="20"/>
        </w:rPr>
      </w:pPr>
      <w:r w:rsidRPr="00CD4593">
        <w:rPr>
          <w:i/>
          <w:sz w:val="20"/>
        </w:rPr>
        <w:tab/>
        <w:t xml:space="preserve">Courts </w:t>
      </w:r>
      <w:r w:rsidR="00D56013" w:rsidRPr="00CD4593">
        <w:rPr>
          <w:sz w:val="20"/>
        </w:rPr>
        <w:fldChar w:fldCharType="begin"/>
      </w:r>
      <w:r w:rsidRPr="00CD4593">
        <w:rPr>
          <w:sz w:val="20"/>
        </w:rPr>
        <w:instrText xml:space="preserve"> SEQ CHAPTER \h \r 1</w:instrText>
      </w:r>
      <w:r w:rsidR="00D56013" w:rsidRPr="00CD4593">
        <w:rPr>
          <w:sz w:val="20"/>
        </w:rPr>
        <w:fldChar w:fldCharType="end"/>
      </w:r>
      <w:r w:rsidRPr="00CD4593">
        <w:rPr>
          <w:sz w:val="20"/>
          <w:lang w:val="en-US"/>
        </w:rPr>
        <w:t>—</w:t>
      </w:r>
      <w:r w:rsidRPr="00CD4593">
        <w:rPr>
          <w:i/>
          <w:sz w:val="20"/>
        </w:rPr>
        <w:t xml:space="preserve"> Federal Court </w:t>
      </w:r>
      <w:r w:rsidR="00D56013" w:rsidRPr="00CD4593">
        <w:rPr>
          <w:sz w:val="20"/>
        </w:rPr>
        <w:fldChar w:fldCharType="begin"/>
      </w:r>
      <w:r w:rsidRPr="00CD4593">
        <w:rPr>
          <w:sz w:val="20"/>
        </w:rPr>
        <w:instrText xml:space="preserve"> SEQ CHAPTER \h \r 1</w:instrText>
      </w:r>
      <w:r w:rsidR="00D56013" w:rsidRPr="00CD4593">
        <w:rPr>
          <w:sz w:val="20"/>
        </w:rPr>
        <w:fldChar w:fldCharType="end"/>
      </w:r>
      <w:r w:rsidRPr="00CD4593">
        <w:rPr>
          <w:sz w:val="20"/>
          <w:lang w:val="en-US"/>
        </w:rPr>
        <w:t>—</w:t>
      </w:r>
      <w:r w:rsidRPr="00CD4593">
        <w:rPr>
          <w:i/>
          <w:sz w:val="20"/>
        </w:rPr>
        <w:t xml:space="preserve"> Procedure </w:t>
      </w:r>
      <w:r w:rsidR="00D56013" w:rsidRPr="00CD4593">
        <w:rPr>
          <w:sz w:val="20"/>
        </w:rPr>
        <w:fldChar w:fldCharType="begin"/>
      </w:r>
      <w:r w:rsidRPr="00CD4593">
        <w:rPr>
          <w:sz w:val="20"/>
        </w:rPr>
        <w:instrText xml:space="preserve"> SEQ CHAPTER \h \r 1</w:instrText>
      </w:r>
      <w:r w:rsidR="00D56013" w:rsidRPr="00CD4593">
        <w:rPr>
          <w:sz w:val="20"/>
        </w:rPr>
        <w:fldChar w:fldCharType="end"/>
      </w:r>
      <w:r w:rsidRPr="00CD4593">
        <w:rPr>
          <w:sz w:val="20"/>
          <w:lang w:val="en-US"/>
        </w:rPr>
        <w:t>—</w:t>
      </w:r>
      <w:r w:rsidRPr="00CD4593">
        <w:rPr>
          <w:i/>
          <w:sz w:val="20"/>
        </w:rPr>
        <w:t xml:space="preserve"> Plaintiff bringing action in Federal Court against federal Crown for damages for various torts arising from licensing decisions </w:t>
      </w:r>
      <w:r w:rsidR="00D56013" w:rsidRPr="00CD4593">
        <w:rPr>
          <w:sz w:val="20"/>
        </w:rPr>
        <w:fldChar w:fldCharType="begin"/>
      </w:r>
      <w:r w:rsidRPr="00CD4593">
        <w:rPr>
          <w:sz w:val="20"/>
        </w:rPr>
        <w:instrText xml:space="preserve"> SEQ CHAPTER \h \r 1</w:instrText>
      </w:r>
      <w:r w:rsidR="00D56013" w:rsidRPr="00CD4593">
        <w:rPr>
          <w:sz w:val="20"/>
        </w:rPr>
        <w:fldChar w:fldCharType="end"/>
      </w:r>
      <w:r w:rsidRPr="00CD4593">
        <w:rPr>
          <w:sz w:val="20"/>
          <w:lang w:val="en-US"/>
        </w:rPr>
        <w:t>—</w:t>
      </w:r>
      <w:r w:rsidRPr="00CD4593">
        <w:rPr>
          <w:i/>
          <w:sz w:val="20"/>
        </w:rPr>
        <w:t xml:space="preserve"> Plaintiff not seeking judicial review of licensing decisions </w:t>
      </w:r>
      <w:r w:rsidR="00D56013" w:rsidRPr="00CD4593">
        <w:rPr>
          <w:sz w:val="20"/>
        </w:rPr>
        <w:fldChar w:fldCharType="begin"/>
      </w:r>
      <w:r w:rsidRPr="00CD4593">
        <w:rPr>
          <w:sz w:val="20"/>
        </w:rPr>
        <w:instrText xml:space="preserve"> SEQ CHAPTER \h \r 1</w:instrText>
      </w:r>
      <w:r w:rsidR="00D56013" w:rsidRPr="00CD4593">
        <w:rPr>
          <w:sz w:val="20"/>
        </w:rPr>
        <w:fldChar w:fldCharType="end"/>
      </w:r>
      <w:r w:rsidRPr="00CD4593">
        <w:rPr>
          <w:sz w:val="20"/>
          <w:lang w:val="en-US"/>
        </w:rPr>
        <w:t>—</w:t>
      </w:r>
      <w:r w:rsidRPr="00CD4593">
        <w:rPr>
          <w:i/>
          <w:sz w:val="20"/>
        </w:rPr>
        <w:t xml:space="preserve"> Whether plaintiff entitled to seek damages by way of action without first proceeding by way of judicial review </w:t>
      </w:r>
      <w:r w:rsidR="00D56013" w:rsidRPr="00CD4593">
        <w:rPr>
          <w:sz w:val="20"/>
        </w:rPr>
        <w:fldChar w:fldCharType="begin"/>
      </w:r>
      <w:r w:rsidRPr="00CD4593">
        <w:rPr>
          <w:sz w:val="20"/>
        </w:rPr>
        <w:instrText xml:space="preserve"> SEQ CHAPTER \h \r 1</w:instrText>
      </w:r>
      <w:r w:rsidR="00D56013" w:rsidRPr="00CD4593">
        <w:rPr>
          <w:sz w:val="20"/>
        </w:rPr>
        <w:fldChar w:fldCharType="end"/>
      </w:r>
      <w:r w:rsidRPr="00CD4593">
        <w:rPr>
          <w:sz w:val="20"/>
          <w:lang w:val="en-US"/>
        </w:rPr>
        <w:t>—</w:t>
      </w:r>
      <w:r w:rsidRPr="00CD4593">
        <w:rPr>
          <w:i/>
          <w:sz w:val="20"/>
        </w:rPr>
        <w:t xml:space="preserve"> Federal Courts Act, R.S.C. 1985, c F</w:t>
      </w:r>
      <w:r w:rsidRPr="00CD4593">
        <w:rPr>
          <w:i/>
          <w:sz w:val="20"/>
        </w:rPr>
        <w:noBreakHyphen/>
        <w:t>7, ss. 17 and 18.</w:t>
      </w:r>
    </w:p>
    <w:p w:rsidR="00E67860" w:rsidRPr="00CD4593" w:rsidRDefault="00E67860" w:rsidP="00E67860">
      <w:pPr>
        <w:pStyle w:val="SCCNormalDoubleSpacing"/>
        <w:tabs>
          <w:tab w:val="left" w:pos="720"/>
        </w:tabs>
        <w:spacing w:line="240" w:lineRule="auto"/>
        <w:rPr>
          <w:sz w:val="20"/>
        </w:rPr>
      </w:pPr>
    </w:p>
    <w:p w:rsidR="00E67860" w:rsidRPr="00CD4593" w:rsidRDefault="00E67860" w:rsidP="00E67860">
      <w:pPr>
        <w:pStyle w:val="SCCNormalDoubleSpacing"/>
        <w:tabs>
          <w:tab w:val="left" w:pos="720"/>
        </w:tabs>
        <w:spacing w:line="240" w:lineRule="auto"/>
        <w:rPr>
          <w:sz w:val="20"/>
        </w:rPr>
      </w:pPr>
      <w:r w:rsidRPr="00CD4593">
        <w:rPr>
          <w:sz w:val="20"/>
        </w:rPr>
        <w:tab/>
        <w:t xml:space="preserve">P&amp;H obtained import permits from the Canadian Food Inspection Agency (“CFIA”) to import wheat.  As P&amp;H’s chartered vessel neared Halifax, the CFIA revoked the permits and P&amp;H was prohibited from offloading its cargo.  The CFIA subsequently issued a new import permit with different conditions.  P&amp;H </w:t>
      </w:r>
      <w:r w:rsidR="00D56013" w:rsidRPr="00CD4593">
        <w:rPr>
          <w:sz w:val="20"/>
        </w:rPr>
        <w:fldChar w:fldCharType="begin"/>
      </w:r>
      <w:r w:rsidRPr="00CD4593">
        <w:rPr>
          <w:sz w:val="20"/>
        </w:rPr>
        <w:instrText xml:space="preserve"> SEQ CHAPTER \h \r 1</w:instrText>
      </w:r>
      <w:r w:rsidR="00D56013" w:rsidRPr="00CD4593">
        <w:rPr>
          <w:sz w:val="20"/>
        </w:rPr>
        <w:fldChar w:fldCharType="end"/>
      </w:r>
      <w:r w:rsidRPr="00CD4593">
        <w:rPr>
          <w:sz w:val="20"/>
        </w:rPr>
        <w:t xml:space="preserve">complied, however the new conditions rendered the wheat unacceptable to its intended customers.  P&amp;H </w:t>
      </w:r>
      <w:r w:rsidR="00D56013" w:rsidRPr="00CD4593">
        <w:rPr>
          <w:sz w:val="20"/>
        </w:rPr>
        <w:fldChar w:fldCharType="begin"/>
      </w:r>
      <w:r w:rsidRPr="00CD4593">
        <w:rPr>
          <w:sz w:val="20"/>
        </w:rPr>
        <w:instrText xml:space="preserve"> SEQ CHAPTER \h \r 1</w:instrText>
      </w:r>
      <w:r w:rsidR="00D56013" w:rsidRPr="00CD4593">
        <w:rPr>
          <w:sz w:val="20"/>
        </w:rPr>
        <w:fldChar w:fldCharType="end"/>
      </w:r>
      <w:r w:rsidRPr="00CD4593">
        <w:rPr>
          <w:sz w:val="20"/>
        </w:rPr>
        <w:t xml:space="preserve">did not seek judicial review of either licensing decision, but initiated an action against the Crown in the Federal Court seeking </w:t>
      </w:r>
      <w:r w:rsidR="00D56013" w:rsidRPr="00CD4593">
        <w:rPr>
          <w:sz w:val="20"/>
        </w:rPr>
        <w:fldChar w:fldCharType="begin"/>
      </w:r>
      <w:r w:rsidRPr="00CD4593">
        <w:rPr>
          <w:sz w:val="20"/>
        </w:rPr>
        <w:instrText xml:space="preserve"> SEQ CHAPTER \h \r 1</w:instrText>
      </w:r>
      <w:r w:rsidR="00D56013" w:rsidRPr="00CD4593">
        <w:rPr>
          <w:sz w:val="20"/>
        </w:rPr>
        <w:fldChar w:fldCharType="end"/>
      </w:r>
      <w:r w:rsidRPr="00CD4593">
        <w:rPr>
          <w:sz w:val="20"/>
        </w:rPr>
        <w:t xml:space="preserve">damages for various torts, and seeking to recover the additional costs required to fulfill its sales contracts, the loss of profit and the additional expenses incurred as a result of the new permit.  The Crown was successful in bringing a motion to strike the statement of claim on the basis that, absent a successful challenge of the licensing decisions by way of judicial review, the Federal Court did not have jurisdiction to hear the matter in light of </w:t>
      </w:r>
      <w:r w:rsidRPr="00CD4593">
        <w:rPr>
          <w:i/>
          <w:sz w:val="20"/>
        </w:rPr>
        <w:t>Canada v. Grenier</w:t>
      </w:r>
      <w:r w:rsidRPr="00CD4593">
        <w:rPr>
          <w:sz w:val="20"/>
        </w:rPr>
        <w:t>, 2005 FCA 348, [2006] 2 F.C.R. 287.</w:t>
      </w:r>
    </w:p>
    <w:p w:rsidR="00E67860" w:rsidRPr="00CD4593" w:rsidRDefault="00E67860" w:rsidP="00E67860">
      <w:pPr>
        <w:pStyle w:val="SCCNormalDoubleSpacing"/>
        <w:tabs>
          <w:tab w:val="left" w:pos="720"/>
        </w:tabs>
        <w:spacing w:line="240" w:lineRule="auto"/>
        <w:rPr>
          <w:sz w:val="20"/>
        </w:rPr>
      </w:pPr>
    </w:p>
    <w:p w:rsidR="00E67860" w:rsidRPr="00CD4593" w:rsidRDefault="00E67860" w:rsidP="00E67860">
      <w:pPr>
        <w:pStyle w:val="SCCNormalDoubleSpacing"/>
        <w:tabs>
          <w:tab w:val="left" w:pos="720"/>
        </w:tabs>
        <w:spacing w:line="240" w:lineRule="auto"/>
        <w:rPr>
          <w:sz w:val="20"/>
        </w:rPr>
      </w:pPr>
      <w:r w:rsidRPr="00CD4593">
        <w:rPr>
          <w:sz w:val="20"/>
        </w:rPr>
        <w:tab/>
      </w:r>
      <w:r w:rsidRPr="00E67860">
        <w:rPr>
          <w:rStyle w:val="QuoteChar"/>
          <w:sz w:val="20"/>
          <w:lang w:val="en-CA"/>
        </w:rPr>
        <w:t>Held:</w:t>
      </w:r>
      <w:r w:rsidRPr="00CD4593">
        <w:rPr>
          <w:sz w:val="20"/>
        </w:rPr>
        <w:t>  The appeal should be allowed.</w:t>
      </w:r>
    </w:p>
    <w:p w:rsidR="00E67860" w:rsidRPr="00CD4593" w:rsidRDefault="00E67860" w:rsidP="00E67860">
      <w:pPr>
        <w:pStyle w:val="SCCNormalDoubleSpacing"/>
        <w:tabs>
          <w:tab w:val="left" w:pos="720"/>
        </w:tabs>
        <w:spacing w:line="240" w:lineRule="auto"/>
        <w:rPr>
          <w:sz w:val="20"/>
        </w:rPr>
      </w:pPr>
    </w:p>
    <w:p w:rsidR="00E67860" w:rsidRPr="00CD4593" w:rsidRDefault="00E67860" w:rsidP="00E67860">
      <w:pPr>
        <w:pStyle w:val="SCCNormalDoubleSpacing"/>
        <w:tabs>
          <w:tab w:val="left" w:pos="720"/>
        </w:tabs>
        <w:spacing w:line="240" w:lineRule="auto"/>
        <w:rPr>
          <w:sz w:val="20"/>
        </w:rPr>
      </w:pPr>
      <w:r w:rsidRPr="00CD4593">
        <w:rPr>
          <w:sz w:val="20"/>
        </w:rPr>
        <w:tab/>
      </w:r>
      <w:r w:rsidR="00D56013" w:rsidRPr="00CD4593">
        <w:rPr>
          <w:sz w:val="20"/>
        </w:rPr>
        <w:fldChar w:fldCharType="begin"/>
      </w:r>
      <w:r w:rsidRPr="00CD4593">
        <w:rPr>
          <w:sz w:val="20"/>
        </w:rPr>
        <w:instrText xml:space="preserve"> SEQ CHAPTER \h \r 1</w:instrText>
      </w:r>
      <w:r w:rsidR="00D56013" w:rsidRPr="00CD4593">
        <w:rPr>
          <w:sz w:val="20"/>
        </w:rPr>
        <w:fldChar w:fldCharType="end"/>
      </w:r>
      <w:r w:rsidRPr="00CD4593">
        <w:rPr>
          <w:sz w:val="20"/>
        </w:rPr>
        <w:t xml:space="preserve">For the reasons given in </w:t>
      </w:r>
      <w:r w:rsidRPr="00CD4593">
        <w:rPr>
          <w:i/>
          <w:sz w:val="20"/>
        </w:rPr>
        <w:t xml:space="preserve">Canada (Attorney General) v. </w:t>
      </w:r>
      <w:r w:rsidRPr="00CD4593">
        <w:rPr>
          <w:i/>
          <w:iCs/>
          <w:sz w:val="20"/>
        </w:rPr>
        <w:t>TeleZone</w:t>
      </w:r>
      <w:r w:rsidRPr="00CD4593">
        <w:rPr>
          <w:sz w:val="20"/>
        </w:rPr>
        <w:t xml:space="preserve">, 2010 SCC 62, the Federal Court should have decided P&amp;H’s claim for damages without requiring it to first be successful on judicial review.  Section 17 of the </w:t>
      </w:r>
      <w:r w:rsidRPr="00CD4593">
        <w:rPr>
          <w:i/>
          <w:sz w:val="20"/>
        </w:rPr>
        <w:t>Federal Courts Act</w:t>
      </w:r>
      <w:r w:rsidRPr="00CD4593">
        <w:rPr>
          <w:sz w:val="20"/>
        </w:rPr>
        <w:t xml:space="preserve"> gives the Federal Court concurrent jurisdiction over claims for damages against the Crown.  Section 18 of the Act does not derogate from this concurrent jurisdiction.  </w:t>
      </w:r>
      <w:r w:rsidR="00D56013" w:rsidRPr="00CD4593">
        <w:rPr>
          <w:sz w:val="20"/>
        </w:rPr>
        <w:fldChar w:fldCharType="begin"/>
      </w:r>
      <w:r w:rsidRPr="00CD4593">
        <w:rPr>
          <w:sz w:val="20"/>
        </w:rPr>
        <w:instrText xml:space="preserve"> SEQ CHAPTER \h \r 1</w:instrText>
      </w:r>
      <w:r w:rsidR="00D56013" w:rsidRPr="00CD4593">
        <w:rPr>
          <w:sz w:val="20"/>
        </w:rPr>
        <w:fldChar w:fldCharType="end"/>
      </w:r>
      <w:r w:rsidRPr="00CD4593">
        <w:rPr>
          <w:sz w:val="20"/>
        </w:rPr>
        <w:t xml:space="preserve">Nothing in ss. 17 or 18 of the Act requires a plaintiff to be successful on judicial review before bringing a claim for damages against the Crown.  </w:t>
      </w:r>
      <w:r w:rsidR="00D56013" w:rsidRPr="00CD4593">
        <w:rPr>
          <w:sz w:val="20"/>
        </w:rPr>
        <w:fldChar w:fldCharType="begin"/>
      </w:r>
      <w:r w:rsidRPr="00CD4593">
        <w:rPr>
          <w:sz w:val="20"/>
        </w:rPr>
        <w:instrText xml:space="preserve"> SEQ CHAPTER \h \r 1</w:instrText>
      </w:r>
      <w:r w:rsidR="00D56013" w:rsidRPr="00CD4593">
        <w:rPr>
          <w:sz w:val="20"/>
        </w:rPr>
        <w:fldChar w:fldCharType="end"/>
      </w:r>
      <w:r w:rsidRPr="00CD4593">
        <w:rPr>
          <w:sz w:val="20"/>
        </w:rPr>
        <w:t>Bringing an application for judicial review to invalidate the licensing decisions in this case would serve no practical purpose, since P&amp;H complied with the re</w:t>
      </w:r>
      <w:r w:rsidRPr="00CD4593">
        <w:rPr>
          <w:sz w:val="20"/>
        </w:rPr>
        <w:noBreakHyphen/>
        <w:t>issued import licence and fulfilled its contracts.  The merits of the defence of statutory authority, if raised, may be determined at trial.</w:t>
      </w:r>
    </w:p>
    <w:p w:rsidR="00E67860" w:rsidRDefault="00E67860" w:rsidP="003B3977">
      <w:pPr>
        <w:rPr>
          <w:sz w:val="20"/>
          <w:szCs w:val="20"/>
        </w:rPr>
      </w:pPr>
    </w:p>
    <w:p w:rsidR="00E67860" w:rsidRPr="00CD4593" w:rsidRDefault="00E67860" w:rsidP="00E67860">
      <w:pPr>
        <w:pStyle w:val="SCCNormalDoubleSpacing"/>
        <w:tabs>
          <w:tab w:val="left" w:pos="720"/>
          <w:tab w:val="left" w:pos="1170"/>
        </w:tabs>
        <w:spacing w:line="240" w:lineRule="auto"/>
        <w:rPr>
          <w:sz w:val="20"/>
          <w:lang w:val="en-US"/>
        </w:rPr>
      </w:pPr>
      <w:r w:rsidRPr="00CD4593">
        <w:rPr>
          <w:sz w:val="20"/>
        </w:rPr>
        <w:tab/>
        <w:t>APPEAL from a judgment of the Federal Court of Appeal (</w:t>
      </w:r>
      <w:r w:rsidR="00D56013" w:rsidRPr="00CD4593">
        <w:rPr>
          <w:sz w:val="20"/>
        </w:rPr>
        <w:fldChar w:fldCharType="begin"/>
      </w:r>
      <w:r w:rsidRPr="00CD4593">
        <w:rPr>
          <w:sz w:val="20"/>
        </w:rPr>
        <w:instrText xml:space="preserve"> SEQ CHAPTER \h \r 1</w:instrText>
      </w:r>
      <w:r w:rsidR="00D56013" w:rsidRPr="00CD4593">
        <w:rPr>
          <w:sz w:val="20"/>
        </w:rPr>
        <w:fldChar w:fldCharType="end"/>
      </w:r>
      <w:r w:rsidRPr="00CD4593">
        <w:rPr>
          <w:sz w:val="20"/>
          <w:lang w:val="en-US"/>
        </w:rPr>
        <w:t>Nadon, Sharlow and Pelletier JJ.A.</w:t>
      </w:r>
      <w:r w:rsidRPr="00CD4593">
        <w:rPr>
          <w:sz w:val="20"/>
        </w:rPr>
        <w:t xml:space="preserve">), </w:t>
      </w:r>
      <w:r w:rsidRPr="00CD4593">
        <w:rPr>
          <w:sz w:val="20"/>
          <w:lang w:val="en-US"/>
        </w:rPr>
        <w:t xml:space="preserve">2008 FCA 362, [2009] 3 F.C.R. 568, 303 D.L.R. (4th) 608, 384 N.R. 85, </w:t>
      </w:r>
      <w:r w:rsidR="00D56013" w:rsidRPr="00CD4593">
        <w:rPr>
          <w:sz w:val="20"/>
        </w:rPr>
        <w:fldChar w:fldCharType="begin"/>
      </w:r>
      <w:r w:rsidRPr="00CD4593">
        <w:rPr>
          <w:sz w:val="20"/>
        </w:rPr>
        <w:instrText xml:space="preserve"> SEQ CHAPTER \h \r 1</w:instrText>
      </w:r>
      <w:r w:rsidR="00D56013" w:rsidRPr="00CD4593">
        <w:rPr>
          <w:sz w:val="20"/>
        </w:rPr>
        <w:fldChar w:fldCharType="end"/>
      </w:r>
      <w:r w:rsidRPr="00CD4593">
        <w:rPr>
          <w:sz w:val="20"/>
          <w:lang w:val="en-US"/>
        </w:rPr>
        <w:t xml:space="preserve">[2008] F.C.J. No. 1642 (QL), 2008 CarswellNat 4409, affirming a decision of </w:t>
      </w:r>
      <w:r w:rsidR="00D56013" w:rsidRPr="00CD4593">
        <w:rPr>
          <w:sz w:val="20"/>
        </w:rPr>
        <w:fldChar w:fldCharType="begin"/>
      </w:r>
      <w:r w:rsidRPr="00CD4593">
        <w:rPr>
          <w:sz w:val="20"/>
        </w:rPr>
        <w:instrText xml:space="preserve"> SEQ CHAPTER \h \r 1</w:instrText>
      </w:r>
      <w:r w:rsidR="00D56013" w:rsidRPr="00CD4593">
        <w:rPr>
          <w:sz w:val="20"/>
        </w:rPr>
        <w:fldChar w:fldCharType="end"/>
      </w:r>
      <w:r w:rsidRPr="00CD4593">
        <w:rPr>
          <w:sz w:val="20"/>
          <w:lang w:val="en-US"/>
        </w:rPr>
        <w:t xml:space="preserve">Barnes J., 2007 FC 789, </w:t>
      </w:r>
      <w:r w:rsidR="00D56013" w:rsidRPr="00CD4593">
        <w:rPr>
          <w:sz w:val="20"/>
        </w:rPr>
        <w:fldChar w:fldCharType="begin"/>
      </w:r>
      <w:r w:rsidRPr="00CD4593">
        <w:rPr>
          <w:sz w:val="20"/>
        </w:rPr>
        <w:instrText xml:space="preserve"> SEQ CHAPTER \h \r 1</w:instrText>
      </w:r>
      <w:r w:rsidR="00D56013" w:rsidRPr="00CD4593">
        <w:rPr>
          <w:sz w:val="20"/>
        </w:rPr>
        <w:fldChar w:fldCharType="end"/>
      </w:r>
      <w:r w:rsidRPr="00CD4593">
        <w:rPr>
          <w:sz w:val="20"/>
          <w:lang w:val="en-US"/>
        </w:rPr>
        <w:t>[2007] F.C.J. No. 1032 (QL), 2007 CarswellNat 2112.  Appeal allowed.</w:t>
      </w:r>
    </w:p>
    <w:p w:rsidR="00E67860" w:rsidRPr="00CD4593" w:rsidRDefault="00E67860" w:rsidP="00E67860">
      <w:pPr>
        <w:pStyle w:val="SCCNormalDoubleSpacing"/>
        <w:tabs>
          <w:tab w:val="left" w:pos="720"/>
        </w:tabs>
        <w:spacing w:line="240" w:lineRule="auto"/>
        <w:rPr>
          <w:sz w:val="20"/>
          <w:lang w:val="en-US"/>
        </w:rPr>
      </w:pPr>
    </w:p>
    <w:p w:rsidR="00E67860" w:rsidRPr="00CD4593" w:rsidRDefault="00E67860" w:rsidP="00E67860">
      <w:pPr>
        <w:pStyle w:val="SCCNormalDoubleSpacing"/>
        <w:tabs>
          <w:tab w:val="left" w:pos="720"/>
          <w:tab w:val="left" w:pos="1170"/>
        </w:tabs>
        <w:spacing w:line="240" w:lineRule="auto"/>
        <w:rPr>
          <w:sz w:val="20"/>
        </w:rPr>
      </w:pPr>
      <w:r w:rsidRPr="00CD4593">
        <w:rPr>
          <w:rStyle w:val="SCCCounselNameChar"/>
          <w:sz w:val="20"/>
        </w:rPr>
        <w:tab/>
        <w:t>Matthew G. Williams</w:t>
      </w:r>
      <w:r w:rsidRPr="00CD4593">
        <w:rPr>
          <w:rStyle w:val="SCCCounselPartyRoleChar"/>
          <w:sz w:val="20"/>
        </w:rPr>
        <w:t>, for the appellant.</w:t>
      </w:r>
    </w:p>
    <w:p w:rsidR="00E67860" w:rsidRPr="00CD4593" w:rsidRDefault="00E67860" w:rsidP="00E67860">
      <w:pPr>
        <w:pStyle w:val="SCCNormalDoubleSpacing"/>
        <w:tabs>
          <w:tab w:val="left" w:pos="720"/>
        </w:tabs>
        <w:spacing w:line="240" w:lineRule="auto"/>
        <w:rPr>
          <w:sz w:val="20"/>
        </w:rPr>
      </w:pPr>
    </w:p>
    <w:p w:rsidR="00E67860" w:rsidRPr="00CD4593" w:rsidRDefault="00E67860" w:rsidP="00E67860">
      <w:pPr>
        <w:pStyle w:val="SCCNormalDoubleSpacing"/>
        <w:tabs>
          <w:tab w:val="left" w:pos="720"/>
          <w:tab w:val="left" w:pos="1170"/>
        </w:tabs>
        <w:spacing w:line="240" w:lineRule="auto"/>
        <w:rPr>
          <w:sz w:val="20"/>
        </w:rPr>
      </w:pPr>
      <w:r w:rsidRPr="00CD4593">
        <w:rPr>
          <w:rStyle w:val="SCCCounselNameChar"/>
          <w:sz w:val="20"/>
        </w:rPr>
        <w:tab/>
        <w:t>Christopher M. Rupar</w:t>
      </w:r>
      <w:r w:rsidRPr="00E67860">
        <w:rPr>
          <w:rStyle w:val="SCCCounselSeparatorChar"/>
          <w:sz w:val="20"/>
          <w:lang w:val="en-CA"/>
        </w:rPr>
        <w:t xml:space="preserve">, </w:t>
      </w:r>
      <w:r w:rsidRPr="00CD4593">
        <w:rPr>
          <w:rStyle w:val="SCCCounselNameChar"/>
          <w:sz w:val="20"/>
        </w:rPr>
        <w:t>Alain Préfontaine</w:t>
      </w:r>
      <w:r w:rsidRPr="00E67860">
        <w:rPr>
          <w:rStyle w:val="SCCCounselSeparatorChar"/>
          <w:sz w:val="20"/>
          <w:lang w:val="en-CA"/>
        </w:rPr>
        <w:t xml:space="preserve"> and </w:t>
      </w:r>
      <w:r w:rsidRPr="00CD4593">
        <w:rPr>
          <w:rStyle w:val="SCCCounselNameChar"/>
          <w:sz w:val="20"/>
        </w:rPr>
        <w:t>Bernard Letarte</w:t>
      </w:r>
      <w:r w:rsidRPr="00CD4593">
        <w:rPr>
          <w:rStyle w:val="SCCCounselPartyRoleChar"/>
          <w:sz w:val="20"/>
        </w:rPr>
        <w:t>, for the respondents.</w:t>
      </w:r>
    </w:p>
    <w:p w:rsidR="00E67860" w:rsidRPr="00CD4593" w:rsidRDefault="00E67860" w:rsidP="00E67860">
      <w:pPr>
        <w:pStyle w:val="SCCNormalDoubleSpacing"/>
        <w:tabs>
          <w:tab w:val="left" w:pos="720"/>
        </w:tabs>
        <w:spacing w:line="240" w:lineRule="auto"/>
        <w:rPr>
          <w:sz w:val="20"/>
        </w:rPr>
      </w:pPr>
    </w:p>
    <w:p w:rsidR="00E67860" w:rsidRPr="00CD4593" w:rsidRDefault="00E67860" w:rsidP="00E67860">
      <w:pPr>
        <w:pStyle w:val="SCCLawFirm"/>
        <w:tabs>
          <w:tab w:val="left" w:pos="720"/>
          <w:tab w:val="left" w:pos="1170"/>
        </w:tabs>
        <w:spacing w:line="240" w:lineRule="auto"/>
        <w:rPr>
          <w:sz w:val="20"/>
        </w:rPr>
      </w:pPr>
      <w:r w:rsidRPr="00CD4593">
        <w:rPr>
          <w:sz w:val="20"/>
        </w:rPr>
        <w:tab/>
        <w:t>Solicitors for the appellant:  Ritch Durnford, Halifax.</w:t>
      </w:r>
    </w:p>
    <w:p w:rsidR="00E67860" w:rsidRPr="00CD4593" w:rsidRDefault="00E67860" w:rsidP="00E67860">
      <w:pPr>
        <w:pStyle w:val="SCCLawFirm"/>
        <w:tabs>
          <w:tab w:val="left" w:pos="720"/>
        </w:tabs>
        <w:spacing w:line="240" w:lineRule="auto"/>
        <w:rPr>
          <w:sz w:val="20"/>
        </w:rPr>
      </w:pPr>
    </w:p>
    <w:p w:rsidR="00E67860" w:rsidRPr="00E67860" w:rsidRDefault="00E67860" w:rsidP="00E67860">
      <w:pPr>
        <w:rPr>
          <w:i/>
          <w:sz w:val="20"/>
          <w:szCs w:val="20"/>
        </w:rPr>
      </w:pPr>
      <w:r w:rsidRPr="00CD4593">
        <w:rPr>
          <w:rFonts w:cs="Times New Roman"/>
          <w:sz w:val="20"/>
          <w:szCs w:val="20"/>
        </w:rPr>
        <w:tab/>
      </w:r>
      <w:r w:rsidRPr="00E67860">
        <w:rPr>
          <w:rFonts w:cs="Times New Roman"/>
          <w:i/>
          <w:sz w:val="20"/>
          <w:szCs w:val="20"/>
        </w:rPr>
        <w:t>Solicitor for the respondent:  Attorney General of Canada, Ottawa.</w:t>
      </w:r>
    </w:p>
    <w:p w:rsidR="00151761" w:rsidRPr="003B3977" w:rsidRDefault="00151761" w:rsidP="00151761">
      <w:pPr>
        <w:rPr>
          <w:rFonts w:cs="Times New Roman"/>
          <w:sz w:val="20"/>
          <w:szCs w:val="20"/>
          <w:lang w:val="fr-CA"/>
        </w:rPr>
      </w:pPr>
      <w:r w:rsidRPr="003B3977">
        <w:rPr>
          <w:rFonts w:cs="Times New Roman"/>
          <w:sz w:val="20"/>
          <w:szCs w:val="20"/>
          <w:lang w:val="fr-CA"/>
        </w:rPr>
        <w:t>________________________</w:t>
      </w:r>
    </w:p>
    <w:p w:rsidR="00151761" w:rsidRPr="003B3977" w:rsidRDefault="00151761" w:rsidP="00151761">
      <w:pPr>
        <w:rPr>
          <w:rFonts w:cs="Times New Roman"/>
          <w:sz w:val="20"/>
          <w:szCs w:val="20"/>
          <w:lang w:val="fr-CA"/>
        </w:rPr>
      </w:pPr>
    </w:p>
    <w:p w:rsidR="00E67860" w:rsidRPr="00E67860" w:rsidRDefault="00E67860" w:rsidP="00E67860">
      <w:pPr>
        <w:jc w:val="both"/>
        <w:rPr>
          <w:rFonts w:cs="Times New Roman"/>
          <w:sz w:val="20"/>
          <w:szCs w:val="20"/>
          <w:lang w:val="fr-CA"/>
        </w:rPr>
      </w:pPr>
      <w:r w:rsidRPr="00E67860">
        <w:rPr>
          <w:rFonts w:cs="Times New Roman"/>
          <w:sz w:val="20"/>
          <w:szCs w:val="20"/>
          <w:lang w:val="fr-CA"/>
        </w:rPr>
        <w:t>Présents : Les juges Binnie, LeBel, Deschamps, Abella, Charron, Rothstein et Cromwell.</w:t>
      </w:r>
    </w:p>
    <w:p w:rsidR="00151761" w:rsidRDefault="00151761" w:rsidP="003B3977">
      <w:pPr>
        <w:rPr>
          <w:sz w:val="20"/>
          <w:szCs w:val="20"/>
          <w:lang w:val="fr-CA"/>
        </w:rPr>
      </w:pPr>
    </w:p>
    <w:p w:rsidR="004C1C0B" w:rsidRPr="004C1C0B" w:rsidRDefault="004C1C0B" w:rsidP="004C1C0B">
      <w:pPr>
        <w:pStyle w:val="SCCNormalDoubleSpacing"/>
        <w:tabs>
          <w:tab w:val="left" w:pos="720"/>
        </w:tabs>
        <w:spacing w:line="240" w:lineRule="auto"/>
        <w:rPr>
          <w:i/>
          <w:sz w:val="20"/>
          <w:lang w:val="fr-CA"/>
        </w:rPr>
      </w:pPr>
      <w:r w:rsidRPr="00881BB6">
        <w:rPr>
          <w:sz w:val="20"/>
          <w:lang w:val="fr-CA"/>
        </w:rPr>
        <w:tab/>
      </w:r>
      <w:r w:rsidRPr="004C1C0B">
        <w:rPr>
          <w:i/>
          <w:sz w:val="20"/>
          <w:lang w:val="fr-CA"/>
        </w:rPr>
        <w:t xml:space="preserve">Tribunaux </w:t>
      </w:r>
      <w:r w:rsidR="00D56013" w:rsidRPr="00BD542C">
        <w:rPr>
          <w:sz w:val="20"/>
        </w:rPr>
        <w:fldChar w:fldCharType="begin"/>
      </w:r>
      <w:r w:rsidRPr="004C1C0B">
        <w:rPr>
          <w:sz w:val="20"/>
          <w:lang w:val="fr-CA"/>
        </w:rPr>
        <w:instrText xml:space="preserve"> SEQ CHAPTER \h \r 1</w:instrText>
      </w:r>
      <w:r w:rsidR="00D56013" w:rsidRPr="00BD542C">
        <w:rPr>
          <w:sz w:val="20"/>
        </w:rPr>
        <w:fldChar w:fldCharType="end"/>
      </w:r>
      <w:r w:rsidRPr="004C1C0B">
        <w:rPr>
          <w:sz w:val="20"/>
          <w:lang w:val="fr-CA"/>
        </w:rPr>
        <w:t>—</w:t>
      </w:r>
      <w:r w:rsidRPr="004C1C0B">
        <w:rPr>
          <w:i/>
          <w:sz w:val="20"/>
          <w:lang w:val="fr-CA"/>
        </w:rPr>
        <w:t xml:space="preserve"> Cour fédérale </w:t>
      </w:r>
      <w:r w:rsidR="00D56013" w:rsidRPr="00BD542C">
        <w:rPr>
          <w:sz w:val="20"/>
        </w:rPr>
        <w:fldChar w:fldCharType="begin"/>
      </w:r>
      <w:r w:rsidRPr="004C1C0B">
        <w:rPr>
          <w:sz w:val="20"/>
          <w:lang w:val="fr-CA"/>
        </w:rPr>
        <w:instrText xml:space="preserve"> SEQ CHAPTER \h \r 1</w:instrText>
      </w:r>
      <w:r w:rsidR="00D56013" w:rsidRPr="00BD542C">
        <w:rPr>
          <w:sz w:val="20"/>
        </w:rPr>
        <w:fldChar w:fldCharType="end"/>
      </w:r>
      <w:r w:rsidRPr="004C1C0B">
        <w:rPr>
          <w:sz w:val="20"/>
          <w:lang w:val="fr-CA"/>
        </w:rPr>
        <w:t>—</w:t>
      </w:r>
      <w:r w:rsidRPr="004C1C0B">
        <w:rPr>
          <w:i/>
          <w:sz w:val="20"/>
          <w:lang w:val="fr-CA"/>
        </w:rPr>
        <w:t xml:space="preserve"> Procédure </w:t>
      </w:r>
      <w:r w:rsidR="00D56013" w:rsidRPr="00BD542C">
        <w:rPr>
          <w:sz w:val="20"/>
        </w:rPr>
        <w:fldChar w:fldCharType="begin"/>
      </w:r>
      <w:r w:rsidRPr="004C1C0B">
        <w:rPr>
          <w:sz w:val="20"/>
          <w:lang w:val="fr-CA"/>
        </w:rPr>
        <w:instrText xml:space="preserve"> SEQ CHAPTER \h \r 1</w:instrText>
      </w:r>
      <w:r w:rsidR="00D56013" w:rsidRPr="00BD542C">
        <w:rPr>
          <w:sz w:val="20"/>
        </w:rPr>
        <w:fldChar w:fldCharType="end"/>
      </w:r>
      <w:r w:rsidRPr="004C1C0B">
        <w:rPr>
          <w:sz w:val="20"/>
          <w:lang w:val="fr-CA"/>
        </w:rPr>
        <w:t>—</w:t>
      </w:r>
      <w:r w:rsidRPr="004C1C0B">
        <w:rPr>
          <w:i/>
          <w:sz w:val="20"/>
          <w:lang w:val="fr-CA"/>
        </w:rPr>
        <w:t xml:space="preserve"> Action en dommages-intérêts intentée contre la Couronne fédérale devant la Cour fédérale pour plusieurs délits découlant de décisions concernant des permis </w:t>
      </w:r>
      <w:r w:rsidR="00D56013" w:rsidRPr="00BD542C">
        <w:rPr>
          <w:sz w:val="20"/>
        </w:rPr>
        <w:fldChar w:fldCharType="begin"/>
      </w:r>
      <w:r w:rsidRPr="004C1C0B">
        <w:rPr>
          <w:sz w:val="20"/>
          <w:lang w:val="fr-CA"/>
        </w:rPr>
        <w:instrText xml:space="preserve"> SEQ CHAPTER \h \r 1</w:instrText>
      </w:r>
      <w:r w:rsidR="00D56013" w:rsidRPr="00BD542C">
        <w:rPr>
          <w:sz w:val="20"/>
        </w:rPr>
        <w:fldChar w:fldCharType="end"/>
      </w:r>
      <w:r w:rsidRPr="004C1C0B">
        <w:rPr>
          <w:sz w:val="20"/>
          <w:lang w:val="fr-CA"/>
        </w:rPr>
        <w:t>—</w:t>
      </w:r>
      <w:r w:rsidRPr="004C1C0B">
        <w:rPr>
          <w:i/>
          <w:sz w:val="20"/>
          <w:lang w:val="fr-CA"/>
        </w:rPr>
        <w:t xml:space="preserve"> Demanderesse ne demandant pas le contrôle judiciaire des décisions concernant les permis </w:t>
      </w:r>
      <w:r w:rsidR="00D56013" w:rsidRPr="00BD542C">
        <w:rPr>
          <w:sz w:val="20"/>
        </w:rPr>
        <w:fldChar w:fldCharType="begin"/>
      </w:r>
      <w:r w:rsidRPr="004C1C0B">
        <w:rPr>
          <w:sz w:val="20"/>
          <w:lang w:val="fr-CA"/>
        </w:rPr>
        <w:instrText xml:space="preserve"> SEQ CHAPTER \h \r 1</w:instrText>
      </w:r>
      <w:r w:rsidR="00D56013" w:rsidRPr="00BD542C">
        <w:rPr>
          <w:sz w:val="20"/>
        </w:rPr>
        <w:fldChar w:fldCharType="end"/>
      </w:r>
      <w:r w:rsidRPr="004C1C0B">
        <w:rPr>
          <w:sz w:val="20"/>
          <w:lang w:val="fr-CA"/>
        </w:rPr>
        <w:t>—</w:t>
      </w:r>
      <w:r w:rsidRPr="004C1C0B">
        <w:rPr>
          <w:i/>
          <w:sz w:val="20"/>
          <w:lang w:val="fr-CA"/>
        </w:rPr>
        <w:t xml:space="preserve"> La demanderesse peut-elle engager une action en dommages-intérêts sans procéder d’abord par voie de contrôle judiciaire? </w:t>
      </w:r>
      <w:r w:rsidR="00D56013" w:rsidRPr="00BD542C">
        <w:rPr>
          <w:sz w:val="20"/>
        </w:rPr>
        <w:fldChar w:fldCharType="begin"/>
      </w:r>
      <w:r w:rsidRPr="004C1C0B">
        <w:rPr>
          <w:sz w:val="20"/>
          <w:lang w:val="fr-CA"/>
        </w:rPr>
        <w:instrText xml:space="preserve"> SEQ CHAPTER \h \r 1</w:instrText>
      </w:r>
      <w:r w:rsidR="00D56013" w:rsidRPr="00BD542C">
        <w:rPr>
          <w:sz w:val="20"/>
        </w:rPr>
        <w:fldChar w:fldCharType="end"/>
      </w:r>
      <w:r w:rsidRPr="004C1C0B">
        <w:rPr>
          <w:sz w:val="20"/>
          <w:lang w:val="fr-CA"/>
        </w:rPr>
        <w:t>—</w:t>
      </w:r>
      <w:r w:rsidRPr="004C1C0B">
        <w:rPr>
          <w:i/>
          <w:sz w:val="20"/>
          <w:lang w:val="fr-CA"/>
        </w:rPr>
        <w:t xml:space="preserve"> Loi sur les Cours fédérales, L.R.C. 1985, ch. F-7, art. 17 et 18.</w:t>
      </w:r>
    </w:p>
    <w:p w:rsidR="004C1C0B" w:rsidRPr="004C1C0B" w:rsidRDefault="004C1C0B" w:rsidP="004C1C0B">
      <w:pPr>
        <w:pStyle w:val="SCCNormalDoubleSpacing"/>
        <w:tabs>
          <w:tab w:val="left" w:pos="720"/>
        </w:tabs>
        <w:spacing w:line="240" w:lineRule="auto"/>
        <w:rPr>
          <w:sz w:val="20"/>
          <w:lang w:val="fr-CA"/>
        </w:rPr>
      </w:pPr>
    </w:p>
    <w:p w:rsidR="004C1C0B" w:rsidRPr="004C1C0B" w:rsidRDefault="004C1C0B" w:rsidP="004C1C0B">
      <w:pPr>
        <w:pStyle w:val="SCCNormalDoubleSpacing"/>
        <w:tabs>
          <w:tab w:val="left" w:pos="720"/>
        </w:tabs>
        <w:spacing w:line="240" w:lineRule="auto"/>
        <w:rPr>
          <w:sz w:val="20"/>
          <w:lang w:val="fr-CA"/>
        </w:rPr>
      </w:pPr>
      <w:r w:rsidRPr="004C1C0B">
        <w:rPr>
          <w:sz w:val="20"/>
          <w:lang w:val="fr-CA"/>
        </w:rPr>
        <w:tab/>
        <w:t xml:space="preserve">P&amp;H a obtenu de l’Agence canadienne d’inspection des aliments (« ACIA ») des permis en vue d’importer du blé. </w:t>
      </w:r>
      <w:r w:rsidRPr="00BD542C">
        <w:rPr>
          <w:sz w:val="20"/>
          <w:lang w:val="fr-FR"/>
        </w:rPr>
        <w:t xml:space="preserve"> A</w:t>
      </w:r>
      <w:r w:rsidRPr="004C1C0B">
        <w:rPr>
          <w:sz w:val="20"/>
          <w:lang w:val="fr-CA"/>
        </w:rPr>
        <w:t>lors que le navire affrété par P&amp;H s’approchait de Halifax, l’ACIA a révoqué les permis, de sorte qu’i</w:t>
      </w:r>
      <w:r w:rsidRPr="00BD542C">
        <w:rPr>
          <w:sz w:val="20"/>
          <w:lang w:val="fr-FR"/>
        </w:rPr>
        <w:t xml:space="preserve">l était interdit à P&amp;H de décharger sa cargaison.  L’ACIA a par la suite </w:t>
      </w:r>
      <w:r w:rsidRPr="004C1C0B">
        <w:rPr>
          <w:sz w:val="20"/>
          <w:lang w:val="fr-CA"/>
        </w:rPr>
        <w:t>délivré un nouveau permis d’importation assorti de conditions différentes</w:t>
      </w:r>
      <w:r w:rsidRPr="00BD542C">
        <w:rPr>
          <w:sz w:val="20"/>
          <w:lang w:val="fr-FR"/>
        </w:rPr>
        <w:t xml:space="preserve">.  P&amp;H </w:t>
      </w:r>
      <w:r w:rsidRPr="004C1C0B">
        <w:rPr>
          <w:sz w:val="20"/>
          <w:lang w:val="fr-CA"/>
        </w:rPr>
        <w:t>a respecté les conditions du nouveau permis, mais celles-ci rendaient le blé inacceptable pour les clients à qui il était destiné</w:t>
      </w:r>
      <w:r w:rsidR="00D56013" w:rsidRPr="00BD542C">
        <w:rPr>
          <w:sz w:val="20"/>
        </w:rPr>
        <w:fldChar w:fldCharType="begin"/>
      </w:r>
      <w:r w:rsidRPr="00BD542C">
        <w:rPr>
          <w:sz w:val="20"/>
          <w:lang w:val="fr-FR"/>
        </w:rPr>
        <w:instrText xml:space="preserve"> SEQ CHAPTER \h \r 1</w:instrText>
      </w:r>
      <w:r w:rsidR="00D56013" w:rsidRPr="00BD542C">
        <w:rPr>
          <w:sz w:val="20"/>
        </w:rPr>
        <w:fldChar w:fldCharType="end"/>
      </w:r>
      <w:r w:rsidRPr="00BD542C">
        <w:rPr>
          <w:sz w:val="20"/>
          <w:lang w:val="fr-FR"/>
        </w:rPr>
        <w:t xml:space="preserve">.  Au lieu de solliciter le contrôle judiciaire de l’une ou l’autre décision concernant les permis, </w:t>
      </w:r>
      <w:r w:rsidR="00D56013" w:rsidRPr="00BD542C">
        <w:rPr>
          <w:sz w:val="20"/>
        </w:rPr>
        <w:fldChar w:fldCharType="begin"/>
      </w:r>
      <w:r w:rsidRPr="00BD542C">
        <w:rPr>
          <w:sz w:val="20"/>
          <w:lang w:val="fr-FR"/>
        </w:rPr>
        <w:instrText xml:space="preserve"> SEQ CHAPTER \h \r 1</w:instrText>
      </w:r>
      <w:r w:rsidR="00D56013" w:rsidRPr="00BD542C">
        <w:rPr>
          <w:sz w:val="20"/>
        </w:rPr>
        <w:fldChar w:fldCharType="end"/>
      </w:r>
      <w:r w:rsidRPr="00BD542C">
        <w:rPr>
          <w:sz w:val="20"/>
          <w:lang w:val="fr-FR"/>
        </w:rPr>
        <w:t>P&amp;H a intenté une action en dommages</w:t>
      </w:r>
      <w:r w:rsidRPr="00BD542C">
        <w:rPr>
          <w:sz w:val="20"/>
          <w:lang w:val="fr-FR"/>
        </w:rPr>
        <w:noBreakHyphen/>
        <w:t xml:space="preserve">intérêts contre la Couronne devant la Cour fédérale pour plusieurs délits et elle voulait être </w:t>
      </w:r>
      <w:r w:rsidRPr="004C1C0B">
        <w:rPr>
          <w:sz w:val="20"/>
          <w:lang w:val="fr-CA"/>
        </w:rPr>
        <w:t xml:space="preserve">indemnisée des frais additionnels qu’elle a dû payer pour exécuter ses contrats de vente, de ses pertes de profit et des dépenses supplémentaires qu’elle a engagées par suite du nouveau permis.  La Couronne a présenté avec succès une requête en radiation de la déclaration au motif que, compte tenu de l’arrêt </w:t>
      </w:r>
      <w:r w:rsidRPr="004C1C0B">
        <w:rPr>
          <w:i/>
          <w:sz w:val="20"/>
          <w:lang w:val="fr-CA"/>
        </w:rPr>
        <w:t>Canada c. Grenier</w:t>
      </w:r>
      <w:r w:rsidRPr="004C1C0B">
        <w:rPr>
          <w:sz w:val="20"/>
          <w:lang w:val="fr-CA"/>
        </w:rPr>
        <w:t>, 2005 CAF 348, [2006] 2 R.C.F. 287, la Cour fédérale n’était pas compétente pour connaître de l’affaire sans que les décisions concernant les permis soient annulées au préalable par voie de  contrôle judiciaire.</w:t>
      </w:r>
    </w:p>
    <w:p w:rsidR="004C1C0B" w:rsidRPr="004C1C0B" w:rsidRDefault="004C1C0B" w:rsidP="004C1C0B">
      <w:pPr>
        <w:pStyle w:val="SCCNormalDoubleSpacing"/>
        <w:tabs>
          <w:tab w:val="left" w:pos="720"/>
        </w:tabs>
        <w:spacing w:line="240" w:lineRule="auto"/>
        <w:rPr>
          <w:sz w:val="20"/>
          <w:lang w:val="fr-CA"/>
        </w:rPr>
      </w:pPr>
    </w:p>
    <w:p w:rsidR="004C1C0B" w:rsidRPr="00BD542C" w:rsidRDefault="004C1C0B" w:rsidP="004C1C0B">
      <w:pPr>
        <w:pStyle w:val="SCCNormalDoubleSpacing"/>
        <w:tabs>
          <w:tab w:val="left" w:pos="720"/>
        </w:tabs>
        <w:spacing w:line="240" w:lineRule="auto"/>
        <w:rPr>
          <w:sz w:val="20"/>
          <w:lang w:val="fr-FR"/>
        </w:rPr>
      </w:pPr>
      <w:r w:rsidRPr="004C1C0B">
        <w:rPr>
          <w:sz w:val="20"/>
          <w:lang w:val="fr-CA"/>
        </w:rPr>
        <w:tab/>
      </w:r>
      <w:r w:rsidRPr="00BD542C">
        <w:rPr>
          <w:i/>
          <w:sz w:val="20"/>
          <w:lang w:val="fr-FR"/>
        </w:rPr>
        <w:t>Arrêt </w:t>
      </w:r>
      <w:r w:rsidRPr="00BD542C">
        <w:rPr>
          <w:rStyle w:val="QuoteChar"/>
          <w:sz w:val="20"/>
          <w:lang w:val="fr-FR"/>
        </w:rPr>
        <w:t>:</w:t>
      </w:r>
      <w:r w:rsidRPr="00BD542C">
        <w:rPr>
          <w:sz w:val="20"/>
          <w:lang w:val="fr-FR"/>
        </w:rPr>
        <w:t> Le pourvoi est accueilli.</w:t>
      </w:r>
    </w:p>
    <w:p w:rsidR="004C1C0B" w:rsidRPr="00BD542C" w:rsidRDefault="004C1C0B" w:rsidP="004C1C0B">
      <w:pPr>
        <w:pStyle w:val="SCCNormalDoubleSpacing"/>
        <w:tabs>
          <w:tab w:val="left" w:pos="720"/>
        </w:tabs>
        <w:spacing w:line="240" w:lineRule="auto"/>
        <w:rPr>
          <w:sz w:val="20"/>
          <w:lang w:val="fr-FR"/>
        </w:rPr>
      </w:pPr>
    </w:p>
    <w:p w:rsidR="004C1C0B" w:rsidRDefault="004C1C0B" w:rsidP="004C1C0B">
      <w:pPr>
        <w:jc w:val="both"/>
        <w:rPr>
          <w:rFonts w:cs="Times New Roman"/>
          <w:sz w:val="20"/>
          <w:szCs w:val="20"/>
          <w:lang w:val="fr-FR"/>
        </w:rPr>
      </w:pPr>
      <w:r w:rsidRPr="00BD542C">
        <w:rPr>
          <w:rFonts w:cs="Times New Roman"/>
          <w:sz w:val="20"/>
          <w:szCs w:val="20"/>
          <w:lang w:val="fr-FR"/>
        </w:rPr>
        <w:tab/>
        <w:t xml:space="preserve">Pour les motifs fournis dans </w:t>
      </w:r>
      <w:r w:rsidRPr="00BD542C">
        <w:rPr>
          <w:rFonts w:cs="Times New Roman"/>
          <w:i/>
          <w:sz w:val="20"/>
          <w:szCs w:val="20"/>
          <w:lang w:val="fr-FR"/>
        </w:rPr>
        <w:t>Canada (Procureur général) c. TeleZone</w:t>
      </w:r>
      <w:r w:rsidRPr="00BD542C">
        <w:rPr>
          <w:rFonts w:cs="Times New Roman"/>
          <w:sz w:val="20"/>
          <w:szCs w:val="20"/>
          <w:lang w:val="fr-FR"/>
        </w:rPr>
        <w:t xml:space="preserve">, 2010 CSC 62, la Cour fédérale aurait dû statuer sur l’action en dommages-intérêts de P&amp;H, sans exiger que cette dernière ait d’abord gain de cause en contrôle judiciaire. </w:t>
      </w:r>
      <w:r w:rsidR="00D56013" w:rsidRPr="00BD542C">
        <w:rPr>
          <w:rFonts w:cs="Times New Roman"/>
          <w:sz w:val="20"/>
          <w:szCs w:val="20"/>
        </w:rPr>
        <w:fldChar w:fldCharType="begin"/>
      </w:r>
      <w:r w:rsidRPr="00BD542C">
        <w:rPr>
          <w:rFonts w:cs="Times New Roman"/>
          <w:sz w:val="20"/>
          <w:szCs w:val="20"/>
          <w:lang w:val="fr-FR"/>
        </w:rPr>
        <w:instrText xml:space="preserve"> SEQ CHAPTER \h \r 1</w:instrText>
      </w:r>
      <w:r w:rsidR="00D56013" w:rsidRPr="00BD542C">
        <w:rPr>
          <w:rFonts w:cs="Times New Roman"/>
          <w:sz w:val="20"/>
          <w:szCs w:val="20"/>
        </w:rPr>
        <w:fldChar w:fldCharType="end"/>
      </w:r>
      <w:r w:rsidRPr="00BD542C">
        <w:rPr>
          <w:rFonts w:cs="Times New Roman"/>
          <w:sz w:val="20"/>
          <w:szCs w:val="20"/>
          <w:lang w:val="fr-FR"/>
        </w:rPr>
        <w:t xml:space="preserve"> </w:t>
      </w:r>
      <w:r w:rsidRPr="004C1C0B">
        <w:rPr>
          <w:rFonts w:cs="Times New Roman"/>
          <w:sz w:val="20"/>
          <w:szCs w:val="20"/>
          <w:lang w:val="fr-CA"/>
        </w:rPr>
        <w:t xml:space="preserve">L’article 17 de la </w:t>
      </w:r>
      <w:r w:rsidRPr="004C1C0B">
        <w:rPr>
          <w:rFonts w:cs="Times New Roman"/>
          <w:i/>
          <w:sz w:val="20"/>
          <w:szCs w:val="20"/>
          <w:lang w:val="fr-CA"/>
        </w:rPr>
        <w:t xml:space="preserve">Loi sur les Cours fédérales </w:t>
      </w:r>
      <w:r w:rsidRPr="004C1C0B">
        <w:rPr>
          <w:rFonts w:cs="Times New Roman"/>
          <w:sz w:val="20"/>
          <w:szCs w:val="20"/>
          <w:lang w:val="fr-CA"/>
        </w:rPr>
        <w:t xml:space="preserve">confère à la Cour fédérale compétence concurrente dans les cas de demande de réparation contre la Couronne. </w:t>
      </w:r>
      <w:r w:rsidRPr="00BD542C">
        <w:rPr>
          <w:rFonts w:cs="Times New Roman"/>
          <w:sz w:val="20"/>
          <w:szCs w:val="20"/>
          <w:lang w:val="fr-FR"/>
        </w:rPr>
        <w:t xml:space="preserve"> L'article 18 de la Loi n’amoindrit pas cette compétence concurrente.  Ni l'art. 17, ni l'art. 18 de la Loi n'exigent que le demandeur </w:t>
      </w:r>
      <w:r w:rsidRPr="004C1C0B">
        <w:rPr>
          <w:rFonts w:cs="Times New Roman"/>
          <w:sz w:val="20"/>
          <w:szCs w:val="20"/>
          <w:lang w:val="fr-CA"/>
        </w:rPr>
        <w:t>ait gain de cause en contrôle judiciaire avant de pouvoir intenter une action en dommages-intérêts contre la Couronne.</w:t>
      </w:r>
      <w:r w:rsidRPr="00BD542C">
        <w:rPr>
          <w:rFonts w:cs="Times New Roman"/>
          <w:sz w:val="20"/>
          <w:szCs w:val="20"/>
          <w:lang w:val="fr-FR"/>
        </w:rPr>
        <w:t xml:space="preserve">  Il ne servirait à rien pour P&amp;H de déposer une demande de contrôle judiciaire pour faire invalider les décisions concernant les permis en l’espèce,</w:t>
      </w:r>
      <w:r w:rsidR="00D56013" w:rsidRPr="00BD542C">
        <w:rPr>
          <w:rFonts w:cs="Times New Roman"/>
          <w:sz w:val="20"/>
          <w:szCs w:val="20"/>
        </w:rPr>
        <w:fldChar w:fldCharType="begin"/>
      </w:r>
      <w:r w:rsidRPr="00BD542C">
        <w:rPr>
          <w:rFonts w:cs="Times New Roman"/>
          <w:sz w:val="20"/>
          <w:szCs w:val="20"/>
          <w:lang w:val="fr-FR"/>
        </w:rPr>
        <w:instrText xml:space="preserve"> SEQ CHAPTER \h \r 1</w:instrText>
      </w:r>
      <w:r w:rsidR="00D56013" w:rsidRPr="00BD542C">
        <w:rPr>
          <w:rFonts w:cs="Times New Roman"/>
          <w:sz w:val="20"/>
          <w:szCs w:val="20"/>
        </w:rPr>
        <w:fldChar w:fldCharType="end"/>
      </w:r>
      <w:r w:rsidRPr="00BD542C">
        <w:rPr>
          <w:rFonts w:cs="Times New Roman"/>
          <w:sz w:val="20"/>
          <w:szCs w:val="20"/>
          <w:lang w:val="fr-FR"/>
        </w:rPr>
        <w:t xml:space="preserve"> vu qu’elle a respecté les conditions du nouveau permis d’importation et exécuté ses contrats.  Le bien-fondé de la défense de pouvoir d’origine législative pourra, le cas échéant, être examiné lors du procès.</w:t>
      </w:r>
    </w:p>
    <w:p w:rsidR="004C1C0B" w:rsidRDefault="004C1C0B" w:rsidP="004C1C0B">
      <w:pPr>
        <w:rPr>
          <w:rFonts w:cs="Times New Roman"/>
          <w:sz w:val="20"/>
          <w:szCs w:val="20"/>
          <w:lang w:val="fr-FR"/>
        </w:rPr>
      </w:pPr>
    </w:p>
    <w:p w:rsidR="004C1C0B" w:rsidRPr="004C1C0B" w:rsidRDefault="004C1C0B" w:rsidP="004C1C0B">
      <w:pPr>
        <w:tabs>
          <w:tab w:val="left" w:pos="720"/>
        </w:tabs>
        <w:jc w:val="both"/>
        <w:rPr>
          <w:rFonts w:cs="Times New Roman"/>
          <w:sz w:val="20"/>
          <w:szCs w:val="20"/>
          <w:lang w:val="fr-CA"/>
        </w:rPr>
      </w:pPr>
      <w:r w:rsidRPr="00881BB6">
        <w:rPr>
          <w:rFonts w:cs="Times New Roman"/>
          <w:sz w:val="20"/>
          <w:szCs w:val="20"/>
          <w:lang w:val="fr-CA"/>
        </w:rPr>
        <w:tab/>
      </w:r>
      <w:r w:rsidRPr="004C1C0B">
        <w:rPr>
          <w:rFonts w:cs="Times New Roman"/>
          <w:sz w:val="20"/>
          <w:szCs w:val="20"/>
          <w:lang w:val="fr-CA"/>
        </w:rPr>
        <w:t xml:space="preserve">POURVOI contre un arrêt de la Cour d’appel fédérale (les juges </w:t>
      </w:r>
      <w:r w:rsidR="00D56013" w:rsidRPr="00BD542C">
        <w:rPr>
          <w:rFonts w:cs="Times New Roman"/>
          <w:sz w:val="20"/>
          <w:szCs w:val="20"/>
        </w:rPr>
        <w:fldChar w:fldCharType="begin"/>
      </w:r>
      <w:r w:rsidRPr="004C1C0B">
        <w:rPr>
          <w:rFonts w:cs="Times New Roman"/>
          <w:sz w:val="20"/>
          <w:szCs w:val="20"/>
          <w:lang w:val="fr-CA"/>
        </w:rPr>
        <w:instrText xml:space="preserve"> SEQ CHAPTER \h \r 1</w:instrText>
      </w:r>
      <w:r w:rsidR="00D56013" w:rsidRPr="00BD542C">
        <w:rPr>
          <w:rFonts w:cs="Times New Roman"/>
          <w:sz w:val="20"/>
          <w:szCs w:val="20"/>
        </w:rPr>
        <w:fldChar w:fldCharType="end"/>
      </w:r>
      <w:r w:rsidRPr="004C1C0B">
        <w:rPr>
          <w:rFonts w:cs="Times New Roman"/>
          <w:sz w:val="20"/>
          <w:szCs w:val="20"/>
          <w:lang w:val="fr-CA"/>
        </w:rPr>
        <w:t xml:space="preserve">Nadon, Sharlow et Pelletier), 2008 CAF 362, [2009] 3 R.C.F. 568, 303 D.L.R. (4th) 608, 384 N.R. 85, </w:t>
      </w:r>
      <w:r w:rsidR="00D56013" w:rsidRPr="00BD542C">
        <w:rPr>
          <w:rFonts w:cs="Times New Roman"/>
          <w:sz w:val="20"/>
          <w:szCs w:val="20"/>
        </w:rPr>
        <w:fldChar w:fldCharType="begin"/>
      </w:r>
      <w:r w:rsidRPr="004C1C0B">
        <w:rPr>
          <w:rFonts w:cs="Times New Roman"/>
          <w:sz w:val="20"/>
          <w:szCs w:val="20"/>
          <w:lang w:val="fr-CA"/>
        </w:rPr>
        <w:instrText xml:space="preserve"> SEQ CHAPTER \h \r 1</w:instrText>
      </w:r>
      <w:r w:rsidR="00D56013" w:rsidRPr="00BD542C">
        <w:rPr>
          <w:rFonts w:cs="Times New Roman"/>
          <w:sz w:val="20"/>
          <w:szCs w:val="20"/>
        </w:rPr>
        <w:fldChar w:fldCharType="end"/>
      </w:r>
      <w:r w:rsidRPr="004C1C0B">
        <w:rPr>
          <w:rFonts w:cs="Times New Roman"/>
          <w:sz w:val="20"/>
          <w:szCs w:val="20"/>
          <w:lang w:val="fr-CA"/>
        </w:rPr>
        <w:t>[2008] A.C.F. n</w:t>
      </w:r>
      <w:r w:rsidRPr="004C1C0B">
        <w:rPr>
          <w:rFonts w:cs="Times New Roman"/>
          <w:sz w:val="20"/>
          <w:szCs w:val="20"/>
          <w:vertAlign w:val="superscript"/>
          <w:lang w:val="fr-CA"/>
        </w:rPr>
        <w:t>o</w:t>
      </w:r>
      <w:r w:rsidRPr="004C1C0B">
        <w:rPr>
          <w:rFonts w:cs="Times New Roman"/>
          <w:sz w:val="20"/>
          <w:szCs w:val="20"/>
          <w:lang w:val="fr-CA"/>
        </w:rPr>
        <w:t xml:space="preserve"> 1642 (QL), 2008 CarswellNat 5976, qui a confirmé une décision du juge </w:t>
      </w:r>
      <w:r w:rsidR="00D56013" w:rsidRPr="00BD542C">
        <w:rPr>
          <w:rFonts w:cs="Times New Roman"/>
          <w:sz w:val="20"/>
          <w:szCs w:val="20"/>
        </w:rPr>
        <w:fldChar w:fldCharType="begin"/>
      </w:r>
      <w:r w:rsidRPr="004C1C0B">
        <w:rPr>
          <w:rFonts w:cs="Times New Roman"/>
          <w:sz w:val="20"/>
          <w:szCs w:val="20"/>
          <w:lang w:val="fr-CA"/>
        </w:rPr>
        <w:instrText xml:space="preserve"> SEQ CHAPTER \h \r 1</w:instrText>
      </w:r>
      <w:r w:rsidR="00D56013" w:rsidRPr="00BD542C">
        <w:rPr>
          <w:rFonts w:cs="Times New Roman"/>
          <w:sz w:val="20"/>
          <w:szCs w:val="20"/>
        </w:rPr>
        <w:fldChar w:fldCharType="end"/>
      </w:r>
      <w:r w:rsidRPr="004C1C0B">
        <w:rPr>
          <w:rFonts w:cs="Times New Roman"/>
          <w:sz w:val="20"/>
          <w:szCs w:val="20"/>
          <w:lang w:val="fr-CA"/>
        </w:rPr>
        <w:t xml:space="preserve">Barnes, 2007 CF 789, </w:t>
      </w:r>
      <w:r w:rsidR="00D56013" w:rsidRPr="00BD542C">
        <w:rPr>
          <w:rFonts w:cs="Times New Roman"/>
          <w:sz w:val="20"/>
          <w:szCs w:val="20"/>
        </w:rPr>
        <w:fldChar w:fldCharType="begin"/>
      </w:r>
      <w:r w:rsidRPr="004C1C0B">
        <w:rPr>
          <w:rFonts w:cs="Times New Roman"/>
          <w:sz w:val="20"/>
          <w:szCs w:val="20"/>
          <w:lang w:val="fr-CA"/>
        </w:rPr>
        <w:instrText xml:space="preserve"> SEQ CHAPTER \h \r 1</w:instrText>
      </w:r>
      <w:r w:rsidR="00D56013" w:rsidRPr="00BD542C">
        <w:rPr>
          <w:rFonts w:cs="Times New Roman"/>
          <w:sz w:val="20"/>
          <w:szCs w:val="20"/>
        </w:rPr>
        <w:fldChar w:fldCharType="end"/>
      </w:r>
      <w:r w:rsidRPr="004C1C0B">
        <w:rPr>
          <w:rFonts w:cs="Times New Roman"/>
          <w:sz w:val="20"/>
          <w:szCs w:val="20"/>
          <w:lang w:val="fr-CA"/>
        </w:rPr>
        <w:t>[2007] A.C.F. n</w:t>
      </w:r>
      <w:r w:rsidRPr="004C1C0B">
        <w:rPr>
          <w:rFonts w:cs="Times New Roman"/>
          <w:sz w:val="20"/>
          <w:szCs w:val="20"/>
          <w:vertAlign w:val="superscript"/>
          <w:lang w:val="fr-CA"/>
        </w:rPr>
        <w:t>o</w:t>
      </w:r>
      <w:r w:rsidRPr="004C1C0B">
        <w:rPr>
          <w:rFonts w:cs="Times New Roman"/>
          <w:sz w:val="20"/>
          <w:szCs w:val="20"/>
          <w:lang w:val="fr-CA"/>
        </w:rPr>
        <w:t xml:space="preserve"> 1032 (QL), 2007 CarswellNat 3078.  Pourvoi accueilli.</w:t>
      </w:r>
    </w:p>
    <w:p w:rsidR="004C1C0B" w:rsidRPr="004C1C0B" w:rsidRDefault="004C1C0B" w:rsidP="004C1C0B">
      <w:pPr>
        <w:tabs>
          <w:tab w:val="left" w:pos="720"/>
        </w:tabs>
        <w:jc w:val="both"/>
        <w:rPr>
          <w:rFonts w:cs="Times New Roman"/>
          <w:sz w:val="20"/>
          <w:szCs w:val="20"/>
          <w:lang w:val="fr-CA"/>
        </w:rPr>
      </w:pPr>
    </w:p>
    <w:p w:rsidR="004C1C0B" w:rsidRPr="004C1C0B" w:rsidRDefault="004C1C0B" w:rsidP="004C1C0B">
      <w:pPr>
        <w:pStyle w:val="SCCNormalDoubleSpacing"/>
        <w:tabs>
          <w:tab w:val="left" w:pos="720"/>
        </w:tabs>
        <w:spacing w:line="240" w:lineRule="auto"/>
        <w:rPr>
          <w:sz w:val="20"/>
          <w:lang w:val="fr-CA"/>
        </w:rPr>
      </w:pPr>
      <w:r w:rsidRPr="004C1C0B">
        <w:rPr>
          <w:rStyle w:val="SCCCounselNameChar"/>
          <w:sz w:val="20"/>
          <w:lang w:val="fr-CA"/>
        </w:rPr>
        <w:tab/>
        <w:t>Matthew G. Williams</w:t>
      </w:r>
      <w:r w:rsidRPr="004C1C0B">
        <w:rPr>
          <w:rStyle w:val="SCCCounselPartyRoleChar"/>
          <w:sz w:val="20"/>
          <w:lang w:val="fr-CA"/>
        </w:rPr>
        <w:t>, pour l’appelante.</w:t>
      </w:r>
    </w:p>
    <w:p w:rsidR="004C1C0B" w:rsidRPr="004C1C0B" w:rsidRDefault="004C1C0B" w:rsidP="004C1C0B">
      <w:pPr>
        <w:pStyle w:val="SCCNormalDoubleSpacing"/>
        <w:tabs>
          <w:tab w:val="left" w:pos="720"/>
        </w:tabs>
        <w:spacing w:line="240" w:lineRule="auto"/>
        <w:rPr>
          <w:sz w:val="20"/>
          <w:lang w:val="fr-CA"/>
        </w:rPr>
      </w:pPr>
    </w:p>
    <w:p w:rsidR="004C1C0B" w:rsidRPr="004C1C0B" w:rsidRDefault="004C1C0B" w:rsidP="004C1C0B">
      <w:pPr>
        <w:pStyle w:val="SCCNormalDoubleSpacing"/>
        <w:tabs>
          <w:tab w:val="left" w:pos="720"/>
        </w:tabs>
        <w:spacing w:line="240" w:lineRule="auto"/>
        <w:rPr>
          <w:sz w:val="20"/>
          <w:lang w:val="fr-CA"/>
        </w:rPr>
      </w:pPr>
      <w:r w:rsidRPr="004C1C0B">
        <w:rPr>
          <w:rStyle w:val="SCCCounselNameChar"/>
          <w:sz w:val="20"/>
          <w:lang w:val="fr-CA"/>
        </w:rPr>
        <w:tab/>
        <w:t>Christopher M. Rupar</w:t>
      </w:r>
      <w:r w:rsidRPr="00BD542C">
        <w:rPr>
          <w:rStyle w:val="SCCCounselSeparatorChar"/>
          <w:sz w:val="20"/>
        </w:rPr>
        <w:t xml:space="preserve">, </w:t>
      </w:r>
      <w:r w:rsidRPr="004C1C0B">
        <w:rPr>
          <w:rStyle w:val="SCCCounselNameChar"/>
          <w:sz w:val="20"/>
          <w:lang w:val="fr-CA"/>
        </w:rPr>
        <w:t>Alain Préfontaine</w:t>
      </w:r>
      <w:r w:rsidRPr="00BD542C">
        <w:rPr>
          <w:rStyle w:val="SCCCounselSeparatorChar"/>
          <w:sz w:val="20"/>
        </w:rPr>
        <w:t xml:space="preserve"> et </w:t>
      </w:r>
      <w:r w:rsidRPr="004C1C0B">
        <w:rPr>
          <w:rStyle w:val="SCCCounselNameChar"/>
          <w:sz w:val="20"/>
          <w:lang w:val="fr-CA"/>
        </w:rPr>
        <w:t>Bernard Letarte</w:t>
      </w:r>
      <w:r w:rsidRPr="004C1C0B">
        <w:rPr>
          <w:rStyle w:val="SCCCounselPartyRoleChar"/>
          <w:sz w:val="20"/>
          <w:lang w:val="fr-CA"/>
        </w:rPr>
        <w:t>, pour les intimés.</w:t>
      </w:r>
    </w:p>
    <w:p w:rsidR="004C1C0B" w:rsidRPr="004C1C0B" w:rsidRDefault="004C1C0B" w:rsidP="004C1C0B">
      <w:pPr>
        <w:pStyle w:val="SCCNormalDoubleSpacing"/>
        <w:tabs>
          <w:tab w:val="left" w:pos="720"/>
        </w:tabs>
        <w:spacing w:line="240" w:lineRule="auto"/>
        <w:rPr>
          <w:sz w:val="20"/>
          <w:lang w:val="fr-CA"/>
        </w:rPr>
      </w:pPr>
    </w:p>
    <w:p w:rsidR="004C1C0B" w:rsidRPr="004C1C0B" w:rsidRDefault="004C1C0B" w:rsidP="004C1C0B">
      <w:pPr>
        <w:pStyle w:val="SCCLawFirm"/>
        <w:tabs>
          <w:tab w:val="left" w:pos="720"/>
        </w:tabs>
        <w:spacing w:line="240" w:lineRule="auto"/>
        <w:rPr>
          <w:sz w:val="20"/>
          <w:lang w:val="fr-CA"/>
        </w:rPr>
      </w:pPr>
      <w:r w:rsidRPr="004C1C0B">
        <w:rPr>
          <w:sz w:val="20"/>
          <w:lang w:val="fr-CA"/>
        </w:rPr>
        <w:tab/>
        <w:t>Procureurs de l’appelante : Ritch Durnford, Halifax.</w:t>
      </w:r>
    </w:p>
    <w:p w:rsidR="004C1C0B" w:rsidRPr="004C1C0B" w:rsidRDefault="004C1C0B" w:rsidP="004C1C0B">
      <w:pPr>
        <w:pStyle w:val="SCCLawFirm"/>
        <w:tabs>
          <w:tab w:val="left" w:pos="720"/>
        </w:tabs>
        <w:spacing w:line="240" w:lineRule="auto"/>
        <w:rPr>
          <w:sz w:val="20"/>
          <w:lang w:val="fr-CA"/>
        </w:rPr>
      </w:pPr>
    </w:p>
    <w:p w:rsidR="004C1C0B" w:rsidRPr="004C1C0B" w:rsidRDefault="004C1C0B" w:rsidP="004C1C0B">
      <w:pPr>
        <w:pStyle w:val="SCCLawFirm"/>
        <w:tabs>
          <w:tab w:val="left" w:pos="720"/>
        </w:tabs>
        <w:spacing w:line="240" w:lineRule="auto"/>
        <w:rPr>
          <w:sz w:val="20"/>
          <w:lang w:val="fr-CA"/>
        </w:rPr>
      </w:pPr>
      <w:r w:rsidRPr="004C1C0B">
        <w:rPr>
          <w:sz w:val="20"/>
          <w:lang w:val="fr-CA"/>
        </w:rPr>
        <w:tab/>
        <w:t>Procureur des intimés : Procureur général du Canada, Ottawa.</w:t>
      </w:r>
    </w:p>
    <w:p w:rsidR="004C1C0B" w:rsidRPr="00E67860" w:rsidRDefault="004C1C0B" w:rsidP="004C1C0B">
      <w:pPr>
        <w:rPr>
          <w:sz w:val="20"/>
          <w:szCs w:val="20"/>
          <w:lang w:val="fr-CA"/>
        </w:rPr>
      </w:pPr>
    </w:p>
    <w:p w:rsidR="00151761" w:rsidRDefault="00D56013" w:rsidP="003B3977">
      <w:pPr>
        <w:rPr>
          <w:sz w:val="20"/>
          <w:szCs w:val="20"/>
        </w:rPr>
      </w:pPr>
      <w:r w:rsidRPr="00D56013">
        <w:rPr>
          <w:rFonts w:cs="Times New Roman"/>
          <w:sz w:val="20"/>
          <w:szCs w:val="20"/>
          <w:lang w:val="fr-CA"/>
        </w:rPr>
        <w:pict>
          <v:rect id="_x0000_i1122" style="width:144.3pt;height:1pt" o:hrpct="300" o:hralign="center" o:hrstd="t" o:hrnoshade="t" o:hr="t" fillcolor="black [3213]" stroked="f"/>
        </w:pict>
      </w:r>
    </w:p>
    <w:p w:rsidR="00151761" w:rsidRDefault="00151761" w:rsidP="003B3977">
      <w:pPr>
        <w:rPr>
          <w:sz w:val="20"/>
          <w:szCs w:val="20"/>
        </w:rPr>
      </w:pPr>
    </w:p>
    <w:p w:rsidR="00412488" w:rsidRDefault="00412488" w:rsidP="003B3977">
      <w:pPr>
        <w:rPr>
          <w:sz w:val="20"/>
          <w:szCs w:val="20"/>
        </w:rPr>
      </w:pPr>
    </w:p>
    <w:p w:rsidR="00412488" w:rsidRDefault="00412488" w:rsidP="003B3977">
      <w:pPr>
        <w:rPr>
          <w:sz w:val="20"/>
          <w:szCs w:val="20"/>
        </w:rPr>
      </w:pPr>
    </w:p>
    <w:p w:rsidR="00151761" w:rsidRDefault="00151761">
      <w:pPr>
        <w:rPr>
          <w:sz w:val="20"/>
          <w:szCs w:val="20"/>
        </w:rPr>
      </w:pPr>
      <w:r>
        <w:rPr>
          <w:sz w:val="20"/>
          <w:szCs w:val="20"/>
        </w:rPr>
        <w:br w:type="page"/>
      </w:r>
    </w:p>
    <w:p w:rsidR="0065796C" w:rsidRPr="00BD13EA" w:rsidRDefault="0065796C" w:rsidP="0065796C">
      <w:pPr>
        <w:rPr>
          <w:sz w:val="20"/>
          <w:szCs w:val="20"/>
        </w:rPr>
      </w:pPr>
      <w:r w:rsidRPr="00BD13EA">
        <w:rPr>
          <w:i/>
          <w:sz w:val="20"/>
          <w:szCs w:val="20"/>
        </w:rPr>
        <w:t>Nu-Pharm Inc. v. Her Majesty the Queen in Right of Canada et al.</w:t>
      </w:r>
      <w:r w:rsidRPr="00BD13EA">
        <w:rPr>
          <w:sz w:val="20"/>
          <w:szCs w:val="20"/>
        </w:rPr>
        <w:t xml:space="preserve"> (F.C.) (32830)</w:t>
      </w:r>
    </w:p>
    <w:p w:rsidR="005C4005" w:rsidRDefault="005C4005" w:rsidP="005C4005">
      <w:pPr>
        <w:jc w:val="both"/>
        <w:rPr>
          <w:rStyle w:val="QuoteChar"/>
          <w:rFonts w:eastAsiaTheme="minorHAnsi"/>
          <w:b/>
          <w:i w:val="0"/>
          <w:sz w:val="20"/>
          <w:lang w:val="en-CA"/>
        </w:rPr>
      </w:pPr>
      <w:r w:rsidRPr="00871020">
        <w:rPr>
          <w:rFonts w:cs="Times New Roman"/>
          <w:b/>
          <w:sz w:val="20"/>
          <w:szCs w:val="20"/>
        </w:rPr>
        <w:t>Indexed as:  </w:t>
      </w:r>
      <w:r w:rsidRPr="005C4005">
        <w:rPr>
          <w:rStyle w:val="SCCAppellantForIndexChar"/>
          <w:rFonts w:eastAsia="Calibri"/>
          <w:sz w:val="20"/>
          <w:lang w:val="en-CA"/>
        </w:rPr>
        <w:t>Nu</w:t>
      </w:r>
      <w:r w:rsidRPr="005C4005">
        <w:rPr>
          <w:rStyle w:val="SCCAppellantForIndexChar"/>
          <w:rFonts w:eastAsia="Calibri"/>
          <w:sz w:val="20"/>
          <w:lang w:val="en-CA"/>
        </w:rPr>
        <w:noBreakHyphen/>
        <w:t>Pharm Inc.</w:t>
      </w:r>
      <w:r w:rsidRPr="00871020">
        <w:rPr>
          <w:rFonts w:cs="Times New Roman"/>
          <w:b/>
          <w:sz w:val="20"/>
          <w:szCs w:val="20"/>
        </w:rPr>
        <w:t xml:space="preserve"> </w:t>
      </w:r>
      <w:r w:rsidRPr="00871020">
        <w:rPr>
          <w:rFonts w:cs="Times New Roman"/>
          <w:b/>
          <w:i/>
          <w:sz w:val="20"/>
          <w:szCs w:val="20"/>
        </w:rPr>
        <w:t>v.</w:t>
      </w:r>
      <w:r w:rsidRPr="00871020">
        <w:rPr>
          <w:rFonts w:cs="Times New Roman"/>
          <w:b/>
          <w:sz w:val="20"/>
          <w:szCs w:val="20"/>
        </w:rPr>
        <w:t xml:space="preserve"> </w:t>
      </w:r>
      <w:r w:rsidRPr="00871020">
        <w:rPr>
          <w:rStyle w:val="SCCRespondentForIndexChar"/>
          <w:rFonts w:eastAsia="Calibri"/>
          <w:sz w:val="20"/>
        </w:rPr>
        <w:t>Canada</w:t>
      </w:r>
      <w:r w:rsidRPr="005C4005">
        <w:rPr>
          <w:rStyle w:val="QuoteChar"/>
          <w:rFonts w:eastAsiaTheme="minorHAnsi"/>
          <w:b/>
          <w:sz w:val="20"/>
          <w:lang w:val="en-CA"/>
        </w:rPr>
        <w:t xml:space="preserve"> </w:t>
      </w:r>
      <w:r w:rsidRPr="005C4005">
        <w:rPr>
          <w:rStyle w:val="QuoteChar"/>
          <w:rFonts w:eastAsiaTheme="minorHAnsi"/>
          <w:b/>
          <w:i w:val="0"/>
          <w:sz w:val="20"/>
          <w:lang w:val="en-CA"/>
        </w:rPr>
        <w:t>(Attorney General)</w:t>
      </w:r>
      <w:r>
        <w:rPr>
          <w:rStyle w:val="QuoteChar"/>
          <w:rFonts w:eastAsiaTheme="minorHAnsi"/>
          <w:b/>
          <w:i w:val="0"/>
          <w:sz w:val="20"/>
          <w:lang w:val="en-CA"/>
        </w:rPr>
        <w:t xml:space="preserve"> / </w:t>
      </w:r>
    </w:p>
    <w:p w:rsidR="005C4005" w:rsidRPr="005C4005" w:rsidRDefault="005C4005" w:rsidP="005C4005">
      <w:pPr>
        <w:jc w:val="both"/>
        <w:rPr>
          <w:rFonts w:cs="Times New Roman"/>
          <w:b/>
          <w:sz w:val="20"/>
          <w:szCs w:val="20"/>
          <w:lang w:val="fr-CA"/>
        </w:rPr>
      </w:pPr>
      <w:r w:rsidRPr="005C4005">
        <w:rPr>
          <w:rFonts w:cs="Times New Roman"/>
          <w:b/>
          <w:sz w:val="20"/>
          <w:szCs w:val="20"/>
          <w:lang w:val="fr-CA"/>
        </w:rPr>
        <w:t>Répertorié : </w:t>
      </w:r>
      <w:r w:rsidRPr="005C4005">
        <w:rPr>
          <w:rStyle w:val="SCCAppellantForIndexChar"/>
          <w:rFonts w:eastAsia="Calibri"/>
          <w:sz w:val="20"/>
        </w:rPr>
        <w:t>Nu</w:t>
      </w:r>
      <w:r w:rsidRPr="005C4005">
        <w:rPr>
          <w:rStyle w:val="SCCAppellantForIndexChar"/>
          <w:rFonts w:eastAsia="Calibri"/>
          <w:sz w:val="20"/>
        </w:rPr>
        <w:noBreakHyphen/>
        <w:t>Pharm Inc.</w:t>
      </w:r>
      <w:r w:rsidRPr="005C4005">
        <w:rPr>
          <w:rFonts w:cs="Times New Roman"/>
          <w:b/>
          <w:sz w:val="20"/>
          <w:szCs w:val="20"/>
          <w:lang w:val="fr-CA"/>
        </w:rPr>
        <w:t xml:space="preserve"> </w:t>
      </w:r>
      <w:r w:rsidRPr="005C4005">
        <w:rPr>
          <w:rFonts w:cs="Times New Roman"/>
          <w:b/>
          <w:i/>
          <w:sz w:val="20"/>
          <w:szCs w:val="20"/>
          <w:lang w:val="fr-CA"/>
        </w:rPr>
        <w:t>c.</w:t>
      </w:r>
      <w:r w:rsidRPr="005C4005">
        <w:rPr>
          <w:rFonts w:cs="Times New Roman"/>
          <w:b/>
          <w:sz w:val="20"/>
          <w:szCs w:val="20"/>
          <w:lang w:val="fr-CA"/>
        </w:rPr>
        <w:t xml:space="preserve"> Canada (Procureur général)</w:t>
      </w:r>
    </w:p>
    <w:p w:rsidR="00151761" w:rsidRPr="005C4005" w:rsidRDefault="00151761" w:rsidP="00151761">
      <w:pPr>
        <w:pStyle w:val="SCCSystemYear"/>
        <w:jc w:val="both"/>
        <w:rPr>
          <w:sz w:val="20"/>
        </w:rPr>
      </w:pPr>
      <w:r w:rsidRPr="005C4005">
        <w:rPr>
          <w:sz w:val="20"/>
        </w:rPr>
        <w:t>Neutral citation:  2010 SCC </w:t>
      </w:r>
      <w:r w:rsidR="00934DDB" w:rsidRPr="005C4005">
        <w:rPr>
          <w:sz w:val="20"/>
        </w:rPr>
        <w:t>65</w:t>
      </w:r>
      <w:r w:rsidRPr="005C4005">
        <w:rPr>
          <w:sz w:val="20"/>
        </w:rPr>
        <w:t xml:space="preserve"> / Référence neutre : 2010 CSC </w:t>
      </w:r>
      <w:r w:rsidR="00934DDB" w:rsidRPr="005C4005">
        <w:rPr>
          <w:sz w:val="20"/>
        </w:rPr>
        <w:t>65</w:t>
      </w:r>
    </w:p>
    <w:p w:rsidR="00151761" w:rsidRPr="005C4005" w:rsidRDefault="00151761" w:rsidP="00151761">
      <w:pPr>
        <w:rPr>
          <w:sz w:val="20"/>
          <w:szCs w:val="20"/>
          <w:lang w:val="fr-CA"/>
        </w:rPr>
      </w:pPr>
      <w:r w:rsidRPr="005C4005">
        <w:rPr>
          <w:sz w:val="20"/>
          <w:szCs w:val="20"/>
          <w:lang w:val="fr-CA"/>
        </w:rPr>
        <w:t xml:space="preserve">Hearing:  </w:t>
      </w:r>
      <w:r w:rsidR="005C4005" w:rsidRPr="005C4005">
        <w:rPr>
          <w:sz w:val="20"/>
          <w:szCs w:val="20"/>
          <w:lang w:val="fr-CA"/>
        </w:rPr>
        <w:t>January</w:t>
      </w:r>
      <w:r w:rsidRPr="005C4005">
        <w:rPr>
          <w:sz w:val="20"/>
          <w:szCs w:val="20"/>
          <w:lang w:val="fr-CA"/>
        </w:rPr>
        <w:t xml:space="preserve"> 2</w:t>
      </w:r>
      <w:r w:rsidR="005C4005" w:rsidRPr="005C4005">
        <w:rPr>
          <w:sz w:val="20"/>
          <w:szCs w:val="20"/>
          <w:lang w:val="fr-CA"/>
        </w:rPr>
        <w:t>0</w:t>
      </w:r>
      <w:r w:rsidRPr="005C4005">
        <w:rPr>
          <w:sz w:val="20"/>
          <w:szCs w:val="20"/>
          <w:lang w:val="fr-CA"/>
        </w:rPr>
        <w:t xml:space="preserve">, 2010 / Judgment:  </w:t>
      </w:r>
      <w:r w:rsidR="00047221" w:rsidRPr="005C4005">
        <w:rPr>
          <w:sz w:val="20"/>
          <w:szCs w:val="20"/>
          <w:lang w:val="fr-CA"/>
        </w:rPr>
        <w:t>December</w:t>
      </w:r>
      <w:r w:rsidRPr="005C4005">
        <w:rPr>
          <w:sz w:val="20"/>
          <w:szCs w:val="20"/>
          <w:lang w:val="fr-CA"/>
        </w:rPr>
        <w:t xml:space="preserve"> 2</w:t>
      </w:r>
      <w:r w:rsidR="00047221" w:rsidRPr="005C4005">
        <w:rPr>
          <w:sz w:val="20"/>
          <w:szCs w:val="20"/>
          <w:lang w:val="fr-CA"/>
        </w:rPr>
        <w:t>3</w:t>
      </w:r>
      <w:r w:rsidRPr="005C4005">
        <w:rPr>
          <w:sz w:val="20"/>
          <w:szCs w:val="20"/>
          <w:lang w:val="fr-CA"/>
        </w:rPr>
        <w:t>, 2010</w:t>
      </w:r>
    </w:p>
    <w:p w:rsidR="00151761" w:rsidRPr="003B3977" w:rsidRDefault="00151761" w:rsidP="00151761">
      <w:pPr>
        <w:rPr>
          <w:sz w:val="20"/>
          <w:szCs w:val="20"/>
          <w:lang w:val="fr-CA"/>
        </w:rPr>
      </w:pPr>
      <w:r w:rsidRPr="003B3977">
        <w:rPr>
          <w:sz w:val="20"/>
          <w:szCs w:val="20"/>
          <w:lang w:val="fr-CA"/>
        </w:rPr>
        <w:t>Audition : Le 2</w:t>
      </w:r>
      <w:r w:rsidR="005C4005">
        <w:rPr>
          <w:sz w:val="20"/>
          <w:szCs w:val="20"/>
          <w:lang w:val="fr-CA"/>
        </w:rPr>
        <w:t>0 janvier</w:t>
      </w:r>
      <w:r w:rsidRPr="003B3977">
        <w:rPr>
          <w:sz w:val="20"/>
          <w:szCs w:val="20"/>
          <w:lang w:val="fr-CA"/>
        </w:rPr>
        <w:t xml:space="preserve"> 2010 / Jugement : Le 2</w:t>
      </w:r>
      <w:r w:rsidR="00047221">
        <w:rPr>
          <w:sz w:val="20"/>
          <w:szCs w:val="20"/>
          <w:lang w:val="fr-CA"/>
        </w:rPr>
        <w:t>3 décem</w:t>
      </w:r>
      <w:r w:rsidRPr="003B3977">
        <w:rPr>
          <w:sz w:val="20"/>
          <w:szCs w:val="20"/>
          <w:lang w:val="fr-CA"/>
        </w:rPr>
        <w:t>bre 2010</w:t>
      </w:r>
    </w:p>
    <w:p w:rsidR="00151761" w:rsidRPr="003B3977" w:rsidRDefault="00D56013" w:rsidP="00151761">
      <w:pPr>
        <w:rPr>
          <w:sz w:val="20"/>
          <w:szCs w:val="20"/>
          <w:lang w:val="fr-CA"/>
        </w:rPr>
      </w:pPr>
      <w:r w:rsidRPr="00D56013">
        <w:rPr>
          <w:i/>
          <w:sz w:val="20"/>
          <w:szCs w:val="20"/>
        </w:rPr>
        <w:pict>
          <v:rect id="_x0000_i1123" style="width:480.95pt;height:1pt" o:hralign="center" o:hrstd="t" o:hrnoshade="t" o:hr="t" fillcolor="black [3213]" stroked="f"/>
        </w:pict>
      </w:r>
    </w:p>
    <w:p w:rsidR="00151761" w:rsidRDefault="00151761" w:rsidP="003B3977">
      <w:pPr>
        <w:rPr>
          <w:sz w:val="20"/>
          <w:szCs w:val="20"/>
        </w:rPr>
      </w:pPr>
    </w:p>
    <w:p w:rsidR="005C4005" w:rsidRPr="00871020" w:rsidRDefault="005C4005" w:rsidP="005C4005">
      <w:pPr>
        <w:jc w:val="both"/>
        <w:rPr>
          <w:rFonts w:cs="Times New Roman"/>
          <w:sz w:val="20"/>
          <w:szCs w:val="20"/>
        </w:rPr>
      </w:pPr>
      <w:r w:rsidRPr="00871020">
        <w:rPr>
          <w:rFonts w:cs="Times New Roman"/>
          <w:sz w:val="20"/>
          <w:szCs w:val="20"/>
        </w:rPr>
        <w:t>Present:  Binnie, LeBel, Deschamps, Abella, Charron, Rothstein and Cromwell JJ.</w:t>
      </w:r>
    </w:p>
    <w:p w:rsidR="00151761" w:rsidRDefault="00151761" w:rsidP="003B3977">
      <w:pPr>
        <w:rPr>
          <w:sz w:val="20"/>
          <w:szCs w:val="20"/>
        </w:rPr>
      </w:pPr>
    </w:p>
    <w:p w:rsidR="005C4005" w:rsidRPr="00871020" w:rsidRDefault="005C4005" w:rsidP="005C4005">
      <w:pPr>
        <w:pStyle w:val="SCCNormalDoubleSpacing"/>
        <w:tabs>
          <w:tab w:val="left" w:pos="720"/>
        </w:tabs>
        <w:spacing w:line="240" w:lineRule="auto"/>
        <w:rPr>
          <w:i/>
          <w:sz w:val="20"/>
        </w:rPr>
      </w:pPr>
      <w:r w:rsidRPr="00871020">
        <w:rPr>
          <w:i/>
          <w:sz w:val="20"/>
        </w:rPr>
        <w:tab/>
        <w:t xml:space="preserve">Courts </w:t>
      </w:r>
      <w:r w:rsidR="00D56013" w:rsidRPr="00871020">
        <w:rPr>
          <w:sz w:val="20"/>
        </w:rPr>
        <w:fldChar w:fldCharType="begin"/>
      </w:r>
      <w:r w:rsidRPr="00871020">
        <w:rPr>
          <w:sz w:val="20"/>
        </w:rPr>
        <w:instrText xml:space="preserve"> SEQ CHAPTER \h \r 1</w:instrText>
      </w:r>
      <w:r w:rsidR="00D56013" w:rsidRPr="00871020">
        <w:rPr>
          <w:sz w:val="20"/>
        </w:rPr>
        <w:fldChar w:fldCharType="end"/>
      </w:r>
      <w:r w:rsidRPr="00871020">
        <w:rPr>
          <w:sz w:val="20"/>
          <w:lang w:val="en-US"/>
        </w:rPr>
        <w:t>—</w:t>
      </w:r>
      <w:r w:rsidRPr="00871020">
        <w:rPr>
          <w:i/>
          <w:sz w:val="20"/>
        </w:rPr>
        <w:t xml:space="preserve"> Federal Court </w:t>
      </w:r>
      <w:r w:rsidR="00D56013" w:rsidRPr="00871020">
        <w:rPr>
          <w:sz w:val="20"/>
        </w:rPr>
        <w:fldChar w:fldCharType="begin"/>
      </w:r>
      <w:r w:rsidRPr="00871020">
        <w:rPr>
          <w:sz w:val="20"/>
        </w:rPr>
        <w:instrText xml:space="preserve"> SEQ CHAPTER \h \r 1</w:instrText>
      </w:r>
      <w:r w:rsidR="00D56013" w:rsidRPr="00871020">
        <w:rPr>
          <w:sz w:val="20"/>
        </w:rPr>
        <w:fldChar w:fldCharType="end"/>
      </w:r>
      <w:r w:rsidRPr="00871020">
        <w:rPr>
          <w:sz w:val="20"/>
          <w:lang w:val="en-US"/>
        </w:rPr>
        <w:t>—</w:t>
      </w:r>
      <w:r w:rsidRPr="00871020">
        <w:rPr>
          <w:i/>
          <w:sz w:val="20"/>
        </w:rPr>
        <w:t xml:space="preserve"> Procedure </w:t>
      </w:r>
      <w:r w:rsidR="00D56013" w:rsidRPr="00871020">
        <w:rPr>
          <w:sz w:val="20"/>
        </w:rPr>
        <w:fldChar w:fldCharType="begin"/>
      </w:r>
      <w:r w:rsidRPr="00871020">
        <w:rPr>
          <w:sz w:val="20"/>
        </w:rPr>
        <w:instrText xml:space="preserve"> SEQ CHAPTER \h \r 1</w:instrText>
      </w:r>
      <w:r w:rsidR="00D56013" w:rsidRPr="00871020">
        <w:rPr>
          <w:sz w:val="20"/>
        </w:rPr>
        <w:fldChar w:fldCharType="end"/>
      </w:r>
      <w:r w:rsidRPr="00871020">
        <w:rPr>
          <w:sz w:val="20"/>
          <w:lang w:val="en-US"/>
        </w:rPr>
        <w:t>—</w:t>
      </w:r>
      <w:r w:rsidRPr="00871020">
        <w:rPr>
          <w:i/>
          <w:sz w:val="20"/>
        </w:rPr>
        <w:t xml:space="preserve"> Plaintiff bringing action in Federal Court against federal Crown for damages for various torts arising from decisions prohibiting sale of drug </w:t>
      </w:r>
      <w:r w:rsidR="00D56013" w:rsidRPr="00871020">
        <w:rPr>
          <w:sz w:val="20"/>
        </w:rPr>
        <w:fldChar w:fldCharType="begin"/>
      </w:r>
      <w:r w:rsidRPr="00871020">
        <w:rPr>
          <w:sz w:val="20"/>
        </w:rPr>
        <w:instrText xml:space="preserve"> SEQ CHAPTER \h \r 1</w:instrText>
      </w:r>
      <w:r w:rsidR="00D56013" w:rsidRPr="00871020">
        <w:rPr>
          <w:sz w:val="20"/>
        </w:rPr>
        <w:fldChar w:fldCharType="end"/>
      </w:r>
      <w:r w:rsidRPr="00871020">
        <w:rPr>
          <w:sz w:val="20"/>
          <w:lang w:val="en-US"/>
        </w:rPr>
        <w:t>—</w:t>
      </w:r>
      <w:r w:rsidRPr="00871020">
        <w:rPr>
          <w:i/>
          <w:sz w:val="20"/>
        </w:rPr>
        <w:t xml:space="preserve"> Plaintiff not seeking judicial review of decisions </w:t>
      </w:r>
      <w:r w:rsidR="00D56013" w:rsidRPr="00871020">
        <w:rPr>
          <w:sz w:val="20"/>
        </w:rPr>
        <w:fldChar w:fldCharType="begin"/>
      </w:r>
      <w:r w:rsidRPr="00871020">
        <w:rPr>
          <w:sz w:val="20"/>
        </w:rPr>
        <w:instrText xml:space="preserve"> SEQ CHAPTER \h \r 1</w:instrText>
      </w:r>
      <w:r w:rsidR="00D56013" w:rsidRPr="00871020">
        <w:rPr>
          <w:sz w:val="20"/>
        </w:rPr>
        <w:fldChar w:fldCharType="end"/>
      </w:r>
      <w:r w:rsidRPr="00871020">
        <w:rPr>
          <w:sz w:val="20"/>
          <w:lang w:val="en-US"/>
        </w:rPr>
        <w:t>—</w:t>
      </w:r>
      <w:r w:rsidRPr="00871020">
        <w:rPr>
          <w:i/>
          <w:sz w:val="20"/>
        </w:rPr>
        <w:t xml:space="preserve"> Whether plaintiff entitled to seek damages by way of action without first proceeding by way of judicial review </w:t>
      </w:r>
      <w:r w:rsidR="00D56013" w:rsidRPr="00871020">
        <w:rPr>
          <w:sz w:val="20"/>
        </w:rPr>
        <w:fldChar w:fldCharType="begin"/>
      </w:r>
      <w:r w:rsidRPr="00871020">
        <w:rPr>
          <w:sz w:val="20"/>
        </w:rPr>
        <w:instrText xml:space="preserve"> SEQ CHAPTER \h \r 1</w:instrText>
      </w:r>
      <w:r w:rsidR="00D56013" w:rsidRPr="00871020">
        <w:rPr>
          <w:sz w:val="20"/>
        </w:rPr>
        <w:fldChar w:fldCharType="end"/>
      </w:r>
      <w:r w:rsidRPr="00871020">
        <w:rPr>
          <w:sz w:val="20"/>
          <w:lang w:val="en-US"/>
        </w:rPr>
        <w:t>—</w:t>
      </w:r>
      <w:r w:rsidRPr="00871020">
        <w:rPr>
          <w:i/>
          <w:sz w:val="20"/>
        </w:rPr>
        <w:t xml:space="preserve"> Federal Courts Act, R.S.C. 1985, c. F</w:t>
      </w:r>
      <w:r w:rsidRPr="00871020">
        <w:rPr>
          <w:i/>
          <w:sz w:val="20"/>
        </w:rPr>
        <w:noBreakHyphen/>
        <w:t>7, ss. 17 and 18.</w:t>
      </w:r>
    </w:p>
    <w:p w:rsidR="005C4005" w:rsidRPr="00871020" w:rsidRDefault="005C4005" w:rsidP="005C4005">
      <w:pPr>
        <w:pStyle w:val="SCCNormalDoubleSpacing"/>
        <w:tabs>
          <w:tab w:val="left" w:pos="720"/>
        </w:tabs>
        <w:spacing w:line="240" w:lineRule="auto"/>
        <w:rPr>
          <w:sz w:val="20"/>
        </w:rPr>
      </w:pPr>
    </w:p>
    <w:p w:rsidR="005C4005" w:rsidRPr="00871020" w:rsidRDefault="005C4005" w:rsidP="005C4005">
      <w:pPr>
        <w:pStyle w:val="SCCNormalDoubleSpacing"/>
        <w:tabs>
          <w:tab w:val="left" w:pos="720"/>
        </w:tabs>
        <w:spacing w:line="240" w:lineRule="auto"/>
        <w:rPr>
          <w:sz w:val="20"/>
        </w:rPr>
      </w:pPr>
      <w:r w:rsidRPr="00871020">
        <w:rPr>
          <w:sz w:val="20"/>
        </w:rPr>
        <w:tab/>
        <w:t>In 1997, N applied unsuccessfully to Health Canada to obtain authorization to sell its drug Nu</w:t>
      </w:r>
      <w:r w:rsidRPr="00871020">
        <w:rPr>
          <w:sz w:val="20"/>
        </w:rPr>
        <w:noBreakHyphen/>
        <w:t xml:space="preserve">Enalapril in Canada.  The decision was set aside on judicial review, and Health Canada issued a notice of compliance, but that decision was subsequently overturned on judicial review.  As a result, N could no longer sell and market the drug.  In 2001, N initiated an application for judicial review, alleging that Health Canada was acting unlawfully in requiring it to obtain a notice of compliance and by prohibiting the sale of the drug, but later discontinued its application.  In 2002, N filed a statement of claim in the Federal Court against the Crown seeking injunctive and mandatory relief and damages for various torts.  The Crown was successful in bringing a motion for summary judgment dismissing the action on the basis that, absent a successful challenge of the decisions of Health Canada by way of judicial review, the Federal Court did not have jurisdiction to hear the matter in light of </w:t>
      </w:r>
      <w:r w:rsidRPr="00871020">
        <w:rPr>
          <w:i/>
          <w:sz w:val="20"/>
        </w:rPr>
        <w:t>Canada v. Grenier</w:t>
      </w:r>
      <w:r w:rsidRPr="00871020">
        <w:rPr>
          <w:sz w:val="20"/>
        </w:rPr>
        <w:t>, 2005 FCA 348, [2006] 2 F.C.R. 287.</w:t>
      </w:r>
    </w:p>
    <w:p w:rsidR="005C4005" w:rsidRPr="00871020" w:rsidRDefault="005C4005" w:rsidP="005C4005">
      <w:pPr>
        <w:pStyle w:val="SCCNormalDoubleSpacing"/>
        <w:tabs>
          <w:tab w:val="left" w:pos="720"/>
        </w:tabs>
        <w:spacing w:line="240" w:lineRule="auto"/>
        <w:rPr>
          <w:sz w:val="20"/>
        </w:rPr>
      </w:pPr>
    </w:p>
    <w:p w:rsidR="005C4005" w:rsidRPr="00871020" w:rsidRDefault="005C4005" w:rsidP="005C4005">
      <w:pPr>
        <w:pStyle w:val="SCCNormalDoubleSpacing"/>
        <w:tabs>
          <w:tab w:val="left" w:pos="720"/>
        </w:tabs>
        <w:spacing w:line="240" w:lineRule="auto"/>
        <w:rPr>
          <w:sz w:val="20"/>
        </w:rPr>
      </w:pPr>
      <w:r w:rsidRPr="00871020">
        <w:rPr>
          <w:sz w:val="20"/>
        </w:rPr>
        <w:tab/>
      </w:r>
      <w:r w:rsidRPr="005C4005">
        <w:rPr>
          <w:rStyle w:val="QuoteChar"/>
          <w:sz w:val="20"/>
          <w:lang w:val="en-CA"/>
        </w:rPr>
        <w:t>Held:</w:t>
      </w:r>
      <w:r w:rsidRPr="00871020">
        <w:rPr>
          <w:sz w:val="20"/>
        </w:rPr>
        <w:t xml:space="preserve">  The appeal should be allowed.</w:t>
      </w:r>
    </w:p>
    <w:p w:rsidR="005C4005" w:rsidRPr="00871020" w:rsidRDefault="005C4005" w:rsidP="005C4005">
      <w:pPr>
        <w:pStyle w:val="SCCNormalDoubleSpacing"/>
        <w:tabs>
          <w:tab w:val="left" w:pos="720"/>
        </w:tabs>
        <w:spacing w:line="240" w:lineRule="auto"/>
        <w:rPr>
          <w:sz w:val="20"/>
        </w:rPr>
      </w:pPr>
    </w:p>
    <w:p w:rsidR="005C4005" w:rsidRPr="00871020" w:rsidRDefault="005C4005" w:rsidP="005C4005">
      <w:pPr>
        <w:pStyle w:val="SCCNormalDoubleSpacing"/>
        <w:tabs>
          <w:tab w:val="left" w:pos="720"/>
        </w:tabs>
        <w:spacing w:line="240" w:lineRule="auto"/>
        <w:rPr>
          <w:sz w:val="20"/>
        </w:rPr>
      </w:pPr>
      <w:r w:rsidRPr="00871020">
        <w:rPr>
          <w:sz w:val="20"/>
        </w:rPr>
        <w:tab/>
      </w:r>
      <w:r w:rsidR="00D56013" w:rsidRPr="00871020">
        <w:rPr>
          <w:sz w:val="20"/>
        </w:rPr>
        <w:fldChar w:fldCharType="begin"/>
      </w:r>
      <w:r w:rsidRPr="00871020">
        <w:rPr>
          <w:sz w:val="20"/>
        </w:rPr>
        <w:instrText xml:space="preserve"> SEQ CHAPTER \h \r 1</w:instrText>
      </w:r>
      <w:r w:rsidR="00D56013" w:rsidRPr="00871020">
        <w:rPr>
          <w:sz w:val="20"/>
        </w:rPr>
        <w:fldChar w:fldCharType="end"/>
      </w:r>
      <w:r w:rsidRPr="00871020">
        <w:rPr>
          <w:sz w:val="20"/>
        </w:rPr>
        <w:t xml:space="preserve">For the reasons given in </w:t>
      </w:r>
      <w:r w:rsidRPr="00871020">
        <w:rPr>
          <w:i/>
          <w:sz w:val="20"/>
        </w:rPr>
        <w:t xml:space="preserve">Canada (Attorney General) v. </w:t>
      </w:r>
      <w:r w:rsidRPr="00871020">
        <w:rPr>
          <w:i/>
          <w:iCs/>
          <w:sz w:val="20"/>
        </w:rPr>
        <w:t>TeleZone</w:t>
      </w:r>
      <w:r w:rsidRPr="00871020">
        <w:rPr>
          <w:sz w:val="20"/>
        </w:rPr>
        <w:t xml:space="preserve">, 2010 SCC 62, the Federal Court should have decided N’s claim for damages without requiring it to first be successful on judicial review.  Section 17 of the </w:t>
      </w:r>
      <w:r w:rsidRPr="00871020">
        <w:rPr>
          <w:i/>
          <w:sz w:val="20"/>
        </w:rPr>
        <w:t>Federal Courts Act</w:t>
      </w:r>
      <w:r w:rsidRPr="00871020">
        <w:rPr>
          <w:sz w:val="20"/>
        </w:rPr>
        <w:t xml:space="preserve"> gives the Federal Court concurrent jurisdiction over claims for damages against the Crown.  Section 18 of the Act does not derogate from this concurrent jurisdiction.  </w:t>
      </w:r>
      <w:r w:rsidR="00D56013" w:rsidRPr="00871020">
        <w:rPr>
          <w:sz w:val="20"/>
        </w:rPr>
        <w:fldChar w:fldCharType="begin"/>
      </w:r>
      <w:r w:rsidRPr="00871020">
        <w:rPr>
          <w:sz w:val="20"/>
        </w:rPr>
        <w:instrText xml:space="preserve"> SEQ CHAPTER \h \r 1</w:instrText>
      </w:r>
      <w:r w:rsidR="00D56013" w:rsidRPr="00871020">
        <w:rPr>
          <w:sz w:val="20"/>
        </w:rPr>
        <w:fldChar w:fldCharType="end"/>
      </w:r>
      <w:r w:rsidRPr="00871020">
        <w:rPr>
          <w:sz w:val="20"/>
        </w:rPr>
        <w:t xml:space="preserve">Nothing in ss. 17 or 18 of the Act requires a plaintiff to be successful on judicial review before bringing a claim for damages against the Crown.  </w:t>
      </w:r>
      <w:r w:rsidR="00D56013" w:rsidRPr="00871020">
        <w:rPr>
          <w:sz w:val="20"/>
        </w:rPr>
        <w:fldChar w:fldCharType="begin"/>
      </w:r>
      <w:r w:rsidRPr="00871020">
        <w:rPr>
          <w:sz w:val="20"/>
        </w:rPr>
        <w:instrText xml:space="preserve"> SEQ CHAPTER \h \r 1</w:instrText>
      </w:r>
      <w:r w:rsidR="00D56013" w:rsidRPr="00871020">
        <w:rPr>
          <w:sz w:val="20"/>
        </w:rPr>
        <w:fldChar w:fldCharType="end"/>
      </w:r>
      <w:r w:rsidRPr="00871020">
        <w:rPr>
          <w:sz w:val="20"/>
        </w:rPr>
        <w:t>N is currently authorized to distribute the drug across the country and, since the discontinuance of the claims for injunctive and declaratory relief, there is no longer any practical effect in seeking judicial review.  The merits of the defence of statutory authority, if raised, may be determined at trial.</w:t>
      </w:r>
    </w:p>
    <w:p w:rsidR="005C4005" w:rsidRDefault="005C4005" w:rsidP="003B3977">
      <w:pPr>
        <w:rPr>
          <w:sz w:val="20"/>
          <w:szCs w:val="20"/>
        </w:rPr>
      </w:pPr>
    </w:p>
    <w:p w:rsidR="005736C2" w:rsidRPr="00871020" w:rsidRDefault="005736C2" w:rsidP="005736C2">
      <w:pPr>
        <w:tabs>
          <w:tab w:val="left" w:pos="720"/>
        </w:tabs>
        <w:jc w:val="both"/>
        <w:rPr>
          <w:rFonts w:cs="Times New Roman"/>
          <w:sz w:val="20"/>
          <w:szCs w:val="20"/>
          <w:lang w:val="en-US"/>
        </w:rPr>
      </w:pPr>
      <w:r w:rsidRPr="00871020">
        <w:rPr>
          <w:rFonts w:cs="Times New Roman"/>
          <w:sz w:val="20"/>
          <w:szCs w:val="20"/>
        </w:rPr>
        <w:tab/>
        <w:t>APPEAL from a judgment of the Federal Court of Appeal (</w:t>
      </w:r>
      <w:r w:rsidR="00D56013" w:rsidRPr="00871020">
        <w:rPr>
          <w:rFonts w:cs="Times New Roman"/>
          <w:sz w:val="20"/>
          <w:szCs w:val="20"/>
        </w:rPr>
        <w:fldChar w:fldCharType="begin"/>
      </w:r>
      <w:r w:rsidRPr="00871020">
        <w:rPr>
          <w:rFonts w:cs="Times New Roman"/>
          <w:sz w:val="20"/>
          <w:szCs w:val="20"/>
        </w:rPr>
        <w:instrText xml:space="preserve"> SEQ CHAPTER \h \r 1</w:instrText>
      </w:r>
      <w:r w:rsidR="00D56013" w:rsidRPr="00871020">
        <w:rPr>
          <w:rFonts w:cs="Times New Roman"/>
          <w:sz w:val="20"/>
          <w:szCs w:val="20"/>
        </w:rPr>
        <w:fldChar w:fldCharType="end"/>
      </w:r>
      <w:r w:rsidRPr="00871020">
        <w:rPr>
          <w:rFonts w:cs="Times New Roman"/>
          <w:sz w:val="20"/>
          <w:szCs w:val="20"/>
          <w:lang w:val="en-US"/>
        </w:rPr>
        <w:t>Linden, Nadon and Sexton JJ.A.</w:t>
      </w:r>
      <w:r w:rsidRPr="00871020">
        <w:rPr>
          <w:rFonts w:cs="Times New Roman"/>
          <w:sz w:val="20"/>
          <w:szCs w:val="20"/>
        </w:rPr>
        <w:t xml:space="preserve">), </w:t>
      </w:r>
      <w:r w:rsidR="00D56013" w:rsidRPr="00871020">
        <w:rPr>
          <w:rFonts w:cs="Times New Roman"/>
          <w:sz w:val="20"/>
          <w:szCs w:val="20"/>
        </w:rPr>
        <w:fldChar w:fldCharType="begin"/>
      </w:r>
      <w:r w:rsidRPr="00871020">
        <w:rPr>
          <w:rFonts w:cs="Times New Roman"/>
          <w:sz w:val="20"/>
          <w:szCs w:val="20"/>
        </w:rPr>
        <w:instrText xml:space="preserve"> SEQ CHAPTER \h \r 1</w:instrText>
      </w:r>
      <w:r w:rsidR="00D56013" w:rsidRPr="00871020">
        <w:rPr>
          <w:rFonts w:cs="Times New Roman"/>
          <w:sz w:val="20"/>
          <w:szCs w:val="20"/>
        </w:rPr>
        <w:fldChar w:fldCharType="end"/>
      </w:r>
      <w:r w:rsidRPr="00871020">
        <w:rPr>
          <w:rFonts w:cs="Times New Roman"/>
          <w:sz w:val="20"/>
          <w:szCs w:val="20"/>
          <w:lang w:val="en-US"/>
        </w:rPr>
        <w:t xml:space="preserve">2008 FCA 227, 387 N.R. 300, 67 C.P.R. (4th) 175, [2008] F.C.J. No. 1054 (QL), 2008 CarswellNat 2294, affirming a decision of Hugessen J., 2007 FC 977, </w:t>
      </w:r>
      <w:r w:rsidR="00D56013" w:rsidRPr="00871020">
        <w:rPr>
          <w:rFonts w:cs="Times New Roman"/>
          <w:sz w:val="20"/>
          <w:szCs w:val="20"/>
        </w:rPr>
        <w:fldChar w:fldCharType="begin"/>
      </w:r>
      <w:r w:rsidRPr="00871020">
        <w:rPr>
          <w:rFonts w:cs="Times New Roman"/>
          <w:sz w:val="20"/>
          <w:szCs w:val="20"/>
        </w:rPr>
        <w:instrText xml:space="preserve"> SEQ CHAPTER \h \r 1</w:instrText>
      </w:r>
      <w:r w:rsidR="00D56013" w:rsidRPr="00871020">
        <w:rPr>
          <w:rFonts w:cs="Times New Roman"/>
          <w:sz w:val="20"/>
          <w:szCs w:val="20"/>
        </w:rPr>
        <w:fldChar w:fldCharType="end"/>
      </w:r>
      <w:r w:rsidRPr="00871020">
        <w:rPr>
          <w:rFonts w:cs="Times New Roman"/>
          <w:sz w:val="20"/>
          <w:szCs w:val="20"/>
          <w:lang w:val="en-US"/>
        </w:rPr>
        <w:t>[2007] F.C.J. No. 1273 (QL), 2007 CarswellNat 3146.  Appeal allowed.</w:t>
      </w:r>
    </w:p>
    <w:p w:rsidR="005736C2" w:rsidRPr="00871020" w:rsidRDefault="005736C2" w:rsidP="005736C2">
      <w:pPr>
        <w:pStyle w:val="SCCNormalDoubleSpacing"/>
        <w:tabs>
          <w:tab w:val="left" w:pos="720"/>
        </w:tabs>
        <w:spacing w:line="240" w:lineRule="auto"/>
        <w:rPr>
          <w:sz w:val="20"/>
        </w:rPr>
      </w:pPr>
    </w:p>
    <w:p w:rsidR="005736C2" w:rsidRPr="00871020" w:rsidRDefault="005736C2" w:rsidP="005736C2">
      <w:pPr>
        <w:pStyle w:val="SCCNormalDoubleSpacing"/>
        <w:tabs>
          <w:tab w:val="left" w:pos="720"/>
        </w:tabs>
        <w:spacing w:line="240" w:lineRule="auto"/>
        <w:rPr>
          <w:sz w:val="20"/>
        </w:rPr>
      </w:pPr>
      <w:r w:rsidRPr="00871020">
        <w:rPr>
          <w:rStyle w:val="SCCCounselNameChar"/>
          <w:sz w:val="20"/>
        </w:rPr>
        <w:tab/>
        <w:t>Andrew Brodkin</w:t>
      </w:r>
      <w:r w:rsidRPr="005736C2">
        <w:rPr>
          <w:rStyle w:val="SCCCounselSeparatorChar"/>
          <w:sz w:val="20"/>
          <w:lang w:val="en-CA"/>
        </w:rPr>
        <w:t xml:space="preserve"> and </w:t>
      </w:r>
      <w:r w:rsidRPr="00871020">
        <w:rPr>
          <w:rStyle w:val="SCCCounselNameChar"/>
          <w:sz w:val="20"/>
        </w:rPr>
        <w:t>Cynthia L. Tape</w:t>
      </w:r>
      <w:r w:rsidRPr="00871020">
        <w:rPr>
          <w:rStyle w:val="SCCCounselPartyRoleChar"/>
          <w:sz w:val="20"/>
        </w:rPr>
        <w:t>, for the appellant.</w:t>
      </w:r>
    </w:p>
    <w:p w:rsidR="005736C2" w:rsidRPr="00871020" w:rsidRDefault="005736C2" w:rsidP="005736C2">
      <w:pPr>
        <w:pStyle w:val="SCCNormalDoubleSpacing"/>
        <w:tabs>
          <w:tab w:val="left" w:pos="720"/>
        </w:tabs>
        <w:spacing w:line="240" w:lineRule="auto"/>
        <w:rPr>
          <w:sz w:val="20"/>
        </w:rPr>
      </w:pPr>
    </w:p>
    <w:p w:rsidR="005736C2" w:rsidRPr="00871020" w:rsidRDefault="005736C2" w:rsidP="005736C2">
      <w:pPr>
        <w:pStyle w:val="SCCNormalDoubleSpacing"/>
        <w:tabs>
          <w:tab w:val="left" w:pos="720"/>
        </w:tabs>
        <w:spacing w:line="240" w:lineRule="auto"/>
        <w:rPr>
          <w:sz w:val="20"/>
        </w:rPr>
      </w:pPr>
      <w:r w:rsidRPr="00871020">
        <w:rPr>
          <w:rStyle w:val="SCCCounselNameChar"/>
          <w:sz w:val="20"/>
        </w:rPr>
        <w:tab/>
        <w:t>Christopher M. Rupar</w:t>
      </w:r>
      <w:r w:rsidRPr="005736C2">
        <w:rPr>
          <w:rStyle w:val="SCCCounselSeparatorChar"/>
          <w:sz w:val="20"/>
          <w:lang w:val="en-CA"/>
        </w:rPr>
        <w:t xml:space="preserve">, </w:t>
      </w:r>
      <w:r w:rsidRPr="00871020">
        <w:rPr>
          <w:rStyle w:val="SCCCounselNameChar"/>
          <w:sz w:val="20"/>
        </w:rPr>
        <w:t>Alain Préfontaine</w:t>
      </w:r>
      <w:r w:rsidRPr="005736C2">
        <w:rPr>
          <w:rStyle w:val="SCCCounselSeparatorChar"/>
          <w:sz w:val="20"/>
          <w:lang w:val="en-CA"/>
        </w:rPr>
        <w:t xml:space="preserve"> and </w:t>
      </w:r>
      <w:r w:rsidRPr="00871020">
        <w:rPr>
          <w:rStyle w:val="SCCCounselNameChar"/>
          <w:sz w:val="20"/>
        </w:rPr>
        <w:t>Bernard Letarte</w:t>
      </w:r>
      <w:r w:rsidRPr="00871020">
        <w:rPr>
          <w:rStyle w:val="SCCCounselPartyRoleChar"/>
          <w:sz w:val="20"/>
        </w:rPr>
        <w:t>, for the respondents.</w:t>
      </w:r>
    </w:p>
    <w:p w:rsidR="005736C2" w:rsidRPr="00871020" w:rsidRDefault="005736C2" w:rsidP="005736C2">
      <w:pPr>
        <w:pStyle w:val="SCCNormalDoubleSpacing"/>
        <w:tabs>
          <w:tab w:val="left" w:pos="720"/>
        </w:tabs>
        <w:spacing w:line="240" w:lineRule="auto"/>
        <w:rPr>
          <w:sz w:val="20"/>
        </w:rPr>
      </w:pPr>
    </w:p>
    <w:p w:rsidR="005736C2" w:rsidRPr="00871020" w:rsidRDefault="005736C2" w:rsidP="005736C2">
      <w:pPr>
        <w:pStyle w:val="SCCLawFirm"/>
        <w:tabs>
          <w:tab w:val="left" w:pos="720"/>
        </w:tabs>
        <w:spacing w:line="240" w:lineRule="auto"/>
        <w:rPr>
          <w:sz w:val="20"/>
        </w:rPr>
      </w:pPr>
      <w:r w:rsidRPr="00871020">
        <w:rPr>
          <w:sz w:val="20"/>
        </w:rPr>
        <w:tab/>
        <w:t>Solicitors for the appellant:  Goodmans, Toronto.</w:t>
      </w:r>
    </w:p>
    <w:p w:rsidR="005736C2" w:rsidRPr="00871020" w:rsidRDefault="005736C2" w:rsidP="005736C2">
      <w:pPr>
        <w:pStyle w:val="SCCLawFirm"/>
        <w:tabs>
          <w:tab w:val="left" w:pos="720"/>
        </w:tabs>
        <w:spacing w:line="240" w:lineRule="auto"/>
        <w:rPr>
          <w:sz w:val="20"/>
        </w:rPr>
      </w:pPr>
    </w:p>
    <w:p w:rsidR="005736C2" w:rsidRPr="00871020" w:rsidRDefault="005736C2" w:rsidP="005736C2">
      <w:pPr>
        <w:pStyle w:val="SCCLawFirm"/>
        <w:tabs>
          <w:tab w:val="left" w:pos="720"/>
        </w:tabs>
        <w:spacing w:line="240" w:lineRule="auto"/>
        <w:rPr>
          <w:sz w:val="20"/>
        </w:rPr>
      </w:pPr>
      <w:r w:rsidRPr="00871020">
        <w:rPr>
          <w:sz w:val="20"/>
        </w:rPr>
        <w:tab/>
        <w:t>Solicitor for the respondents:  Attorney General of Canada, Ottawa.</w:t>
      </w:r>
    </w:p>
    <w:p w:rsidR="00151761" w:rsidRPr="003B3977" w:rsidRDefault="00151761" w:rsidP="00151761">
      <w:pPr>
        <w:rPr>
          <w:rFonts w:cs="Times New Roman"/>
          <w:sz w:val="20"/>
          <w:szCs w:val="20"/>
          <w:lang w:val="fr-CA"/>
        </w:rPr>
      </w:pPr>
      <w:r w:rsidRPr="003B3977">
        <w:rPr>
          <w:rFonts w:cs="Times New Roman"/>
          <w:sz w:val="20"/>
          <w:szCs w:val="20"/>
          <w:lang w:val="fr-CA"/>
        </w:rPr>
        <w:t>________________________</w:t>
      </w:r>
    </w:p>
    <w:p w:rsidR="00151761" w:rsidRPr="003B3977" w:rsidRDefault="00151761" w:rsidP="00151761">
      <w:pPr>
        <w:rPr>
          <w:rFonts w:cs="Times New Roman"/>
          <w:sz w:val="20"/>
          <w:szCs w:val="20"/>
          <w:lang w:val="fr-CA"/>
        </w:rPr>
      </w:pPr>
    </w:p>
    <w:p w:rsidR="005736C2" w:rsidRPr="005736C2" w:rsidRDefault="005736C2" w:rsidP="005736C2">
      <w:pPr>
        <w:jc w:val="both"/>
        <w:rPr>
          <w:rFonts w:cs="Times New Roman"/>
          <w:sz w:val="20"/>
          <w:szCs w:val="20"/>
          <w:lang w:val="fr-CA"/>
        </w:rPr>
      </w:pPr>
      <w:r w:rsidRPr="005736C2">
        <w:rPr>
          <w:rFonts w:cs="Times New Roman"/>
          <w:sz w:val="20"/>
          <w:szCs w:val="20"/>
          <w:lang w:val="fr-CA"/>
        </w:rPr>
        <w:t>Présents : Les juges Binnie, LeBel, Deschamps, Abella, Charron, Rothstein et Cromwell.</w:t>
      </w:r>
    </w:p>
    <w:p w:rsidR="00151761" w:rsidRPr="005736C2" w:rsidRDefault="00151761" w:rsidP="003B3977">
      <w:pPr>
        <w:rPr>
          <w:sz w:val="20"/>
          <w:szCs w:val="20"/>
          <w:lang w:val="fr-CA"/>
        </w:rPr>
      </w:pPr>
    </w:p>
    <w:p w:rsidR="005736C2" w:rsidRPr="005736C2" w:rsidRDefault="005736C2" w:rsidP="005736C2">
      <w:pPr>
        <w:pStyle w:val="SCCNormalDoubleSpacing"/>
        <w:tabs>
          <w:tab w:val="left" w:pos="720"/>
        </w:tabs>
        <w:spacing w:line="240" w:lineRule="auto"/>
        <w:rPr>
          <w:sz w:val="20"/>
          <w:lang w:val="fr-CA"/>
        </w:rPr>
      </w:pPr>
      <w:r w:rsidRPr="00881BB6">
        <w:rPr>
          <w:sz w:val="20"/>
          <w:lang w:val="fr-CA"/>
        </w:rPr>
        <w:tab/>
      </w:r>
      <w:r w:rsidRPr="005736C2">
        <w:rPr>
          <w:i/>
          <w:sz w:val="20"/>
          <w:lang w:val="fr-CA"/>
        </w:rPr>
        <w:t>Tribunaux ― Cour fédérale ― Procédure ― Action en dommages</w:t>
      </w:r>
      <w:r w:rsidRPr="005736C2">
        <w:rPr>
          <w:i/>
          <w:sz w:val="20"/>
          <w:lang w:val="fr-CA"/>
        </w:rPr>
        <w:noBreakHyphen/>
        <w:t>intérêts intentée contre la Couronne fédérale devant la Cour fédérale pour plusieurs délits découlant de décisions d’interdire la vente d’un médicament ― Demanderesse ne demandant pas le contrôle judiciaire des décisions ― La demanderesse peut</w:t>
      </w:r>
      <w:r w:rsidRPr="005736C2">
        <w:rPr>
          <w:i/>
          <w:sz w:val="20"/>
          <w:lang w:val="fr-CA"/>
        </w:rPr>
        <w:noBreakHyphen/>
        <w:t>elle engager une action en dommages</w:t>
      </w:r>
      <w:r w:rsidRPr="005736C2">
        <w:rPr>
          <w:i/>
          <w:sz w:val="20"/>
          <w:lang w:val="fr-CA"/>
        </w:rPr>
        <w:noBreakHyphen/>
        <w:t>intérêts sans procéder d’abord par voie de contrôle judiciaire? ― Loi sur les Cours fédérales, L.R.C. 1985, ch. F</w:t>
      </w:r>
      <w:r w:rsidRPr="005736C2">
        <w:rPr>
          <w:i/>
          <w:sz w:val="20"/>
          <w:lang w:val="fr-CA"/>
        </w:rPr>
        <w:noBreakHyphen/>
        <w:t>7, art. 17 et 18.</w:t>
      </w:r>
    </w:p>
    <w:p w:rsidR="005736C2" w:rsidRPr="005736C2" w:rsidRDefault="005736C2" w:rsidP="005736C2">
      <w:pPr>
        <w:pStyle w:val="SCCNormalDoubleSpacing"/>
        <w:tabs>
          <w:tab w:val="left" w:pos="720"/>
        </w:tabs>
        <w:spacing w:line="240" w:lineRule="auto"/>
        <w:rPr>
          <w:sz w:val="20"/>
          <w:lang w:val="fr-CA"/>
        </w:rPr>
      </w:pPr>
    </w:p>
    <w:p w:rsidR="005736C2" w:rsidRPr="00CE140F" w:rsidRDefault="005736C2" w:rsidP="005736C2">
      <w:pPr>
        <w:pStyle w:val="SCCNormalDoubleSpacing"/>
        <w:tabs>
          <w:tab w:val="left" w:pos="720"/>
        </w:tabs>
        <w:spacing w:line="240" w:lineRule="auto"/>
        <w:rPr>
          <w:sz w:val="20"/>
          <w:lang w:val="fr-FR"/>
        </w:rPr>
      </w:pPr>
      <w:r w:rsidRPr="005736C2">
        <w:rPr>
          <w:sz w:val="20"/>
          <w:lang w:val="fr-CA"/>
        </w:rPr>
        <w:tab/>
      </w:r>
      <w:r w:rsidRPr="00CE140F">
        <w:rPr>
          <w:sz w:val="20"/>
          <w:lang w:val="fr-FR"/>
        </w:rPr>
        <w:t>En 1997, Santé Canada a refusé à N l’autorisation de vendre son médicament, le Nu</w:t>
      </w:r>
      <w:r w:rsidRPr="00CE140F">
        <w:rPr>
          <w:sz w:val="20"/>
          <w:lang w:val="fr-FR"/>
        </w:rPr>
        <w:noBreakHyphen/>
        <w:t xml:space="preserve">Enalapril, au Canada.  Cette décision a été annulée à l’issue d’une procédure de contrôle judiciaire et Santé Canada a délivré un avis de conformité, mais cette décision a elle aussi été annulée à la suite d’une demande de contrôle judiciaire.  N ne pouvait donc plus vendre et commercialiser le médicament.  En 2001, N </w:t>
      </w:r>
      <w:r w:rsidRPr="005736C2">
        <w:rPr>
          <w:sz w:val="20"/>
          <w:lang w:val="fr-CA"/>
        </w:rPr>
        <w:t xml:space="preserve">a introduit une demande de contrôle judiciaire, alléguant que Santé Canada agissait illégalement en l’obligeant à obtenir un avis de conformité et en interdisant la vente du médicament, mais elle </w:t>
      </w:r>
      <w:r w:rsidRPr="00CE140F">
        <w:rPr>
          <w:sz w:val="20"/>
          <w:lang w:val="fr-FR"/>
        </w:rPr>
        <w:t>s’est plus tard désistée de cette demande.  En 2002, N a déposé une déclaration à la Cour fédérale contre la Couronne, sollicitant une injonction, une ordonnance de faire et des dommages</w:t>
      </w:r>
      <w:r w:rsidRPr="00CE140F">
        <w:rPr>
          <w:sz w:val="20"/>
          <w:lang w:val="fr-FR"/>
        </w:rPr>
        <w:noBreakHyphen/>
        <w:t>intérêts pour différents délits.  La Couronne a déposé avec succès une requête en jugement sommaire rejetant l’action au motif que, compte tenu de</w:t>
      </w:r>
      <w:r w:rsidRPr="005736C2">
        <w:rPr>
          <w:sz w:val="20"/>
          <w:lang w:val="fr-CA"/>
        </w:rPr>
        <w:t xml:space="preserve"> l’arrêt</w:t>
      </w:r>
      <w:r w:rsidRPr="00CE140F">
        <w:rPr>
          <w:sz w:val="20"/>
          <w:lang w:val="fr-FR"/>
        </w:rPr>
        <w:t xml:space="preserve"> </w:t>
      </w:r>
      <w:r w:rsidRPr="00CE140F">
        <w:rPr>
          <w:i/>
          <w:sz w:val="20"/>
          <w:lang w:val="fr-FR"/>
        </w:rPr>
        <w:t>Canada c. Grenier</w:t>
      </w:r>
      <w:r w:rsidRPr="00CE140F">
        <w:rPr>
          <w:sz w:val="20"/>
          <w:lang w:val="fr-FR"/>
        </w:rPr>
        <w:t xml:space="preserve">, 2005 CAF 348, [2006] 2 R.C.F. 287, </w:t>
      </w:r>
      <w:r w:rsidRPr="005736C2">
        <w:rPr>
          <w:sz w:val="20"/>
          <w:lang w:val="fr-CA"/>
        </w:rPr>
        <w:t>la Cour fédérale n’était pas compétente pour connaître de l’affaire sans que</w:t>
      </w:r>
      <w:r w:rsidRPr="00CE140F">
        <w:rPr>
          <w:sz w:val="20"/>
          <w:lang w:val="fr-FR"/>
        </w:rPr>
        <w:t xml:space="preserve"> les décisions de Santé Canada soient annulées au préalable par voie de contrôle judiciaire.</w:t>
      </w:r>
    </w:p>
    <w:p w:rsidR="005736C2" w:rsidRPr="00CE140F" w:rsidRDefault="005736C2" w:rsidP="005736C2">
      <w:pPr>
        <w:pStyle w:val="SCCNormalDoubleSpacing"/>
        <w:tabs>
          <w:tab w:val="left" w:pos="720"/>
        </w:tabs>
        <w:spacing w:line="240" w:lineRule="auto"/>
        <w:rPr>
          <w:sz w:val="20"/>
          <w:lang w:val="fr-FR"/>
        </w:rPr>
      </w:pPr>
    </w:p>
    <w:p w:rsidR="005736C2" w:rsidRPr="00CE140F" w:rsidRDefault="005736C2" w:rsidP="005736C2">
      <w:pPr>
        <w:pStyle w:val="SCCNormalDoubleSpacing"/>
        <w:tabs>
          <w:tab w:val="left" w:pos="720"/>
        </w:tabs>
        <w:spacing w:line="240" w:lineRule="auto"/>
        <w:rPr>
          <w:sz w:val="20"/>
          <w:lang w:val="fr-FR"/>
        </w:rPr>
      </w:pPr>
      <w:r w:rsidRPr="00CE140F">
        <w:rPr>
          <w:sz w:val="20"/>
          <w:lang w:val="fr-FR"/>
        </w:rPr>
        <w:tab/>
      </w:r>
      <w:r w:rsidRPr="00CE140F">
        <w:rPr>
          <w:i/>
          <w:sz w:val="20"/>
          <w:lang w:val="fr-FR"/>
        </w:rPr>
        <w:t>Arrêt </w:t>
      </w:r>
      <w:r w:rsidRPr="00CE140F">
        <w:rPr>
          <w:rStyle w:val="QuoteChar"/>
          <w:sz w:val="20"/>
          <w:lang w:val="fr-FR"/>
        </w:rPr>
        <w:t>:</w:t>
      </w:r>
      <w:r w:rsidRPr="00CE140F">
        <w:rPr>
          <w:sz w:val="20"/>
          <w:lang w:val="fr-FR"/>
        </w:rPr>
        <w:t xml:space="preserve"> Le pourvoi est accueilli.</w:t>
      </w:r>
    </w:p>
    <w:p w:rsidR="005736C2" w:rsidRPr="005736C2" w:rsidRDefault="005736C2" w:rsidP="005736C2">
      <w:pPr>
        <w:pStyle w:val="SCCNormalDoubleSpacing"/>
        <w:tabs>
          <w:tab w:val="left" w:pos="720"/>
        </w:tabs>
        <w:spacing w:line="240" w:lineRule="auto"/>
        <w:rPr>
          <w:sz w:val="20"/>
          <w:lang w:val="fr-CA"/>
        </w:rPr>
      </w:pPr>
    </w:p>
    <w:p w:rsidR="005736C2" w:rsidRPr="00CE140F" w:rsidRDefault="005736C2" w:rsidP="005736C2">
      <w:pPr>
        <w:pStyle w:val="SCCNormalDoubleSpacing"/>
        <w:tabs>
          <w:tab w:val="left" w:pos="720"/>
        </w:tabs>
        <w:spacing w:line="240" w:lineRule="auto"/>
        <w:rPr>
          <w:sz w:val="20"/>
          <w:lang w:val="fr-FR"/>
        </w:rPr>
      </w:pPr>
      <w:r w:rsidRPr="005736C2">
        <w:rPr>
          <w:sz w:val="20"/>
          <w:lang w:val="fr-CA"/>
        </w:rPr>
        <w:tab/>
        <w:t xml:space="preserve">Pour les motifs fournis dans </w:t>
      </w:r>
      <w:r w:rsidRPr="005736C2">
        <w:rPr>
          <w:i/>
          <w:sz w:val="20"/>
          <w:lang w:val="fr-CA"/>
        </w:rPr>
        <w:t>Canada (Procureur général) c. TeleZone</w:t>
      </w:r>
      <w:r w:rsidRPr="005736C2">
        <w:rPr>
          <w:sz w:val="20"/>
          <w:lang w:val="fr-CA"/>
        </w:rPr>
        <w:t>, 2010 CSC 62, la Cour fédérale aurait dû statuer sur l’action en dommages</w:t>
      </w:r>
      <w:r w:rsidRPr="005736C2">
        <w:rPr>
          <w:sz w:val="20"/>
          <w:lang w:val="fr-CA"/>
        </w:rPr>
        <w:noBreakHyphen/>
        <w:t xml:space="preserve">intérêts de N, sans exiger que cette dernière ait d’abord gain de cause en contrôle judiciaire. </w:t>
      </w:r>
      <w:r w:rsidR="00D56013" w:rsidRPr="00CE140F">
        <w:rPr>
          <w:sz w:val="20"/>
        </w:rPr>
        <w:fldChar w:fldCharType="begin"/>
      </w:r>
      <w:r w:rsidRPr="005736C2">
        <w:rPr>
          <w:sz w:val="20"/>
          <w:lang w:val="fr-CA"/>
        </w:rPr>
        <w:instrText xml:space="preserve"> SEQ CHAPTER \h \r 1</w:instrText>
      </w:r>
      <w:r w:rsidR="00D56013" w:rsidRPr="00CE140F">
        <w:rPr>
          <w:sz w:val="20"/>
        </w:rPr>
        <w:fldChar w:fldCharType="end"/>
      </w:r>
      <w:r w:rsidRPr="00CE140F">
        <w:rPr>
          <w:sz w:val="20"/>
          <w:lang w:val="fr-FR"/>
        </w:rPr>
        <w:t xml:space="preserve"> </w:t>
      </w:r>
      <w:r w:rsidRPr="005736C2">
        <w:rPr>
          <w:sz w:val="20"/>
          <w:lang w:val="fr-CA"/>
        </w:rPr>
        <w:t xml:space="preserve">L’article 17 de la </w:t>
      </w:r>
      <w:r w:rsidRPr="005736C2">
        <w:rPr>
          <w:i/>
          <w:sz w:val="20"/>
          <w:lang w:val="fr-CA"/>
        </w:rPr>
        <w:t xml:space="preserve">Loi sur les Cours fédérales </w:t>
      </w:r>
      <w:r w:rsidRPr="005736C2">
        <w:rPr>
          <w:sz w:val="20"/>
          <w:lang w:val="fr-CA"/>
        </w:rPr>
        <w:t>confère à la Cour fédérale compétence concurrente dans les cas de demande de réparation contre la Couronne.</w:t>
      </w:r>
      <w:r w:rsidRPr="00CE140F">
        <w:rPr>
          <w:sz w:val="20"/>
          <w:lang w:val="fr-FR"/>
        </w:rPr>
        <w:t xml:space="preserve">  </w:t>
      </w:r>
      <w:r w:rsidRPr="005736C2">
        <w:rPr>
          <w:sz w:val="20"/>
          <w:lang w:val="fr-CA"/>
        </w:rPr>
        <w:t xml:space="preserve">L’article 18 de la Loi n’amoindrit pas cette compétence concurrente. </w:t>
      </w:r>
      <w:r w:rsidRPr="00CE140F">
        <w:rPr>
          <w:sz w:val="20"/>
          <w:lang w:val="fr-FR"/>
        </w:rPr>
        <w:t xml:space="preserve"> </w:t>
      </w:r>
      <w:r w:rsidRPr="005736C2">
        <w:rPr>
          <w:sz w:val="20"/>
          <w:lang w:val="fr-CA"/>
        </w:rPr>
        <w:t>Ni l’art. 17, ni l'art. 18 n'exigent que le demandeur ait gain de cause en contrôle judiciaire avant de pouvoir intenter une action en dommages</w:t>
      </w:r>
      <w:r w:rsidRPr="005736C2">
        <w:rPr>
          <w:sz w:val="20"/>
          <w:lang w:val="fr-CA"/>
        </w:rPr>
        <w:noBreakHyphen/>
        <w:t xml:space="preserve">intérêts contre la Couronne. </w:t>
      </w:r>
      <w:r w:rsidR="00D56013" w:rsidRPr="00CE140F">
        <w:rPr>
          <w:sz w:val="20"/>
        </w:rPr>
        <w:fldChar w:fldCharType="begin"/>
      </w:r>
      <w:r w:rsidRPr="00CE140F">
        <w:rPr>
          <w:sz w:val="20"/>
          <w:lang w:val="fr-FR"/>
        </w:rPr>
        <w:instrText xml:space="preserve"> SEQ CHAPTER \h \r 1</w:instrText>
      </w:r>
      <w:r w:rsidR="00D56013" w:rsidRPr="00CE140F">
        <w:rPr>
          <w:sz w:val="20"/>
        </w:rPr>
        <w:fldChar w:fldCharType="end"/>
      </w:r>
      <w:r w:rsidRPr="005736C2">
        <w:rPr>
          <w:sz w:val="20"/>
          <w:lang w:val="fr-CA"/>
        </w:rPr>
        <w:t xml:space="preserve"> N est maintenant autorisée à distribuer le médicament dans tout le pays et, depuis qu’elle s’est désistée des </w:t>
      </w:r>
      <w:r w:rsidR="00D56013" w:rsidRPr="00CE140F">
        <w:rPr>
          <w:sz w:val="20"/>
        </w:rPr>
        <w:fldChar w:fldCharType="begin"/>
      </w:r>
      <w:r w:rsidRPr="005736C2">
        <w:rPr>
          <w:sz w:val="20"/>
          <w:lang w:val="fr-CA"/>
        </w:rPr>
        <w:instrText xml:space="preserve"> SEQ CHAPTER \h \r 1</w:instrText>
      </w:r>
      <w:r w:rsidR="00D56013" w:rsidRPr="00CE140F">
        <w:rPr>
          <w:sz w:val="20"/>
        </w:rPr>
        <w:fldChar w:fldCharType="end"/>
      </w:r>
      <w:r w:rsidRPr="005736C2">
        <w:rPr>
          <w:sz w:val="20"/>
          <w:lang w:val="fr-CA"/>
        </w:rPr>
        <w:t xml:space="preserve">demandes d’injonction et de jugement déclaratoire, il ne lui sert à rien de présenter une demande de contrôle judiciaire.  </w:t>
      </w:r>
      <w:r w:rsidRPr="00CE140F">
        <w:rPr>
          <w:sz w:val="20"/>
          <w:lang w:val="fr-FR"/>
        </w:rPr>
        <w:t>Le bien</w:t>
      </w:r>
      <w:r w:rsidRPr="00CE140F">
        <w:rPr>
          <w:sz w:val="20"/>
          <w:lang w:val="fr-FR"/>
        </w:rPr>
        <w:noBreakHyphen/>
        <w:t xml:space="preserve">fondé de la défense de pouvoir d’origine législative pourra, le cas échéant, être examiné lors du procès. </w:t>
      </w:r>
    </w:p>
    <w:p w:rsidR="00151761" w:rsidRDefault="00151761" w:rsidP="003B3977">
      <w:pPr>
        <w:rPr>
          <w:sz w:val="20"/>
          <w:szCs w:val="20"/>
          <w:lang w:val="fr-FR"/>
        </w:rPr>
      </w:pPr>
    </w:p>
    <w:p w:rsidR="005736C2" w:rsidRPr="005736C2" w:rsidRDefault="005736C2" w:rsidP="005736C2">
      <w:pPr>
        <w:tabs>
          <w:tab w:val="left" w:pos="720"/>
        </w:tabs>
        <w:jc w:val="both"/>
        <w:rPr>
          <w:rFonts w:cs="Times New Roman"/>
          <w:sz w:val="20"/>
          <w:szCs w:val="20"/>
          <w:lang w:val="fr-CA"/>
        </w:rPr>
      </w:pPr>
      <w:r w:rsidRPr="00881BB6">
        <w:rPr>
          <w:rFonts w:cs="Times New Roman"/>
          <w:sz w:val="20"/>
          <w:szCs w:val="20"/>
          <w:lang w:val="fr-CA"/>
        </w:rPr>
        <w:tab/>
      </w:r>
      <w:r w:rsidRPr="005736C2">
        <w:rPr>
          <w:rFonts w:cs="Times New Roman"/>
          <w:sz w:val="20"/>
          <w:szCs w:val="20"/>
          <w:lang w:val="fr-CA"/>
        </w:rPr>
        <w:t xml:space="preserve">POURVOI contre un arrêt de la Cour d’appel fédérale (les juges </w:t>
      </w:r>
      <w:r w:rsidR="00D56013" w:rsidRPr="00CE140F">
        <w:rPr>
          <w:rFonts w:cs="Times New Roman"/>
          <w:sz w:val="20"/>
          <w:szCs w:val="20"/>
        </w:rPr>
        <w:fldChar w:fldCharType="begin"/>
      </w:r>
      <w:r w:rsidRPr="005736C2">
        <w:rPr>
          <w:rFonts w:cs="Times New Roman"/>
          <w:sz w:val="20"/>
          <w:szCs w:val="20"/>
          <w:lang w:val="fr-CA"/>
        </w:rPr>
        <w:instrText xml:space="preserve"> SEQ CHAPTER \h \r 1</w:instrText>
      </w:r>
      <w:r w:rsidR="00D56013" w:rsidRPr="00CE140F">
        <w:rPr>
          <w:rFonts w:cs="Times New Roman"/>
          <w:sz w:val="20"/>
          <w:szCs w:val="20"/>
        </w:rPr>
        <w:fldChar w:fldCharType="end"/>
      </w:r>
      <w:r w:rsidRPr="005736C2">
        <w:rPr>
          <w:rFonts w:cs="Times New Roman"/>
          <w:sz w:val="20"/>
          <w:szCs w:val="20"/>
          <w:lang w:val="fr-CA"/>
        </w:rPr>
        <w:t xml:space="preserve">Linden, Nadon et Sexton), </w:t>
      </w:r>
      <w:r w:rsidR="00D56013" w:rsidRPr="00CE140F">
        <w:rPr>
          <w:rFonts w:cs="Times New Roman"/>
          <w:sz w:val="20"/>
          <w:szCs w:val="20"/>
        </w:rPr>
        <w:fldChar w:fldCharType="begin"/>
      </w:r>
      <w:r w:rsidRPr="005736C2">
        <w:rPr>
          <w:rFonts w:cs="Times New Roman"/>
          <w:sz w:val="20"/>
          <w:szCs w:val="20"/>
          <w:lang w:val="fr-CA"/>
        </w:rPr>
        <w:instrText xml:space="preserve"> SEQ CHAPTER \h \r 1</w:instrText>
      </w:r>
      <w:r w:rsidR="00D56013" w:rsidRPr="00CE140F">
        <w:rPr>
          <w:rFonts w:cs="Times New Roman"/>
          <w:sz w:val="20"/>
          <w:szCs w:val="20"/>
        </w:rPr>
        <w:fldChar w:fldCharType="end"/>
      </w:r>
      <w:r w:rsidRPr="005736C2">
        <w:rPr>
          <w:rFonts w:cs="Times New Roman"/>
          <w:sz w:val="20"/>
          <w:szCs w:val="20"/>
          <w:lang w:val="fr-CA"/>
        </w:rPr>
        <w:t>2008 CAF 227, 387 N.R. 300, 67 C.P.R. (4th) 175, [2008] A.C.F. n</w:t>
      </w:r>
      <w:r w:rsidRPr="005736C2">
        <w:rPr>
          <w:rFonts w:cs="Times New Roman"/>
          <w:sz w:val="20"/>
          <w:szCs w:val="20"/>
          <w:vertAlign w:val="superscript"/>
          <w:lang w:val="fr-CA"/>
        </w:rPr>
        <w:t>o</w:t>
      </w:r>
      <w:r w:rsidRPr="005736C2">
        <w:rPr>
          <w:rFonts w:cs="Times New Roman"/>
          <w:sz w:val="20"/>
          <w:szCs w:val="20"/>
          <w:lang w:val="fr-CA"/>
        </w:rPr>
        <w:t> 1054 (QL), 2008 CarswellNat 4244,</w:t>
      </w:r>
      <w:r w:rsidRPr="005736C2">
        <w:rPr>
          <w:rFonts w:cs="Times New Roman"/>
          <w:color w:val="000000"/>
          <w:sz w:val="20"/>
          <w:szCs w:val="20"/>
          <w:lang w:val="fr-CA"/>
        </w:rPr>
        <w:t xml:space="preserve"> </w:t>
      </w:r>
      <w:r w:rsidRPr="005736C2">
        <w:rPr>
          <w:rFonts w:cs="Times New Roman"/>
          <w:sz w:val="20"/>
          <w:szCs w:val="20"/>
          <w:lang w:val="fr-CA"/>
        </w:rPr>
        <w:t xml:space="preserve">qui a confirmé une décision du juge Hugessen, 2007 CF 977, </w:t>
      </w:r>
      <w:r w:rsidR="00D56013" w:rsidRPr="00CE140F">
        <w:rPr>
          <w:rFonts w:cs="Times New Roman"/>
          <w:sz w:val="20"/>
          <w:szCs w:val="20"/>
        </w:rPr>
        <w:fldChar w:fldCharType="begin"/>
      </w:r>
      <w:r w:rsidRPr="005736C2">
        <w:rPr>
          <w:rFonts w:cs="Times New Roman"/>
          <w:sz w:val="20"/>
          <w:szCs w:val="20"/>
          <w:lang w:val="fr-CA"/>
        </w:rPr>
        <w:instrText xml:space="preserve"> SEQ CHAPTER \h \r 1</w:instrText>
      </w:r>
      <w:r w:rsidR="00D56013" w:rsidRPr="00CE140F">
        <w:rPr>
          <w:rFonts w:cs="Times New Roman"/>
          <w:sz w:val="20"/>
          <w:szCs w:val="20"/>
        </w:rPr>
        <w:fldChar w:fldCharType="end"/>
      </w:r>
      <w:r w:rsidRPr="005736C2">
        <w:rPr>
          <w:rFonts w:cs="Times New Roman"/>
          <w:sz w:val="20"/>
          <w:szCs w:val="20"/>
          <w:lang w:val="fr-CA"/>
        </w:rPr>
        <w:t>[2007] A.C.F. n</w:t>
      </w:r>
      <w:r w:rsidRPr="005736C2">
        <w:rPr>
          <w:rFonts w:cs="Times New Roman"/>
          <w:sz w:val="20"/>
          <w:szCs w:val="20"/>
          <w:vertAlign w:val="superscript"/>
          <w:lang w:val="fr-CA"/>
        </w:rPr>
        <w:t>o</w:t>
      </w:r>
      <w:r w:rsidRPr="005736C2">
        <w:rPr>
          <w:rFonts w:cs="Times New Roman"/>
          <w:sz w:val="20"/>
          <w:szCs w:val="20"/>
          <w:lang w:val="fr-CA"/>
        </w:rPr>
        <w:t> 1273 (QL), 2007 CarswellNat 4293.  Pourvoi accueilli.</w:t>
      </w:r>
    </w:p>
    <w:p w:rsidR="005736C2" w:rsidRPr="005736C2" w:rsidRDefault="005736C2" w:rsidP="005736C2">
      <w:pPr>
        <w:pStyle w:val="SCCNormalDoubleSpacing"/>
        <w:tabs>
          <w:tab w:val="left" w:pos="720"/>
        </w:tabs>
        <w:spacing w:line="240" w:lineRule="auto"/>
        <w:rPr>
          <w:sz w:val="20"/>
          <w:lang w:val="fr-CA"/>
        </w:rPr>
      </w:pPr>
    </w:p>
    <w:p w:rsidR="005736C2" w:rsidRPr="005736C2" w:rsidRDefault="005736C2" w:rsidP="005736C2">
      <w:pPr>
        <w:pStyle w:val="SCCNormalDoubleSpacing"/>
        <w:tabs>
          <w:tab w:val="left" w:pos="720"/>
        </w:tabs>
        <w:spacing w:line="240" w:lineRule="auto"/>
        <w:rPr>
          <w:sz w:val="20"/>
          <w:lang w:val="fr-CA"/>
        </w:rPr>
      </w:pPr>
      <w:r w:rsidRPr="005736C2">
        <w:rPr>
          <w:rStyle w:val="SCCCounselNameChar"/>
          <w:sz w:val="20"/>
          <w:lang w:val="fr-CA"/>
        </w:rPr>
        <w:tab/>
        <w:t>Andrew Brodkin</w:t>
      </w:r>
      <w:r w:rsidRPr="00CE140F">
        <w:rPr>
          <w:rStyle w:val="SCCCounselSeparatorChar"/>
          <w:sz w:val="20"/>
        </w:rPr>
        <w:t xml:space="preserve"> et </w:t>
      </w:r>
      <w:r w:rsidRPr="005736C2">
        <w:rPr>
          <w:rStyle w:val="SCCCounselNameChar"/>
          <w:sz w:val="20"/>
          <w:lang w:val="fr-CA"/>
        </w:rPr>
        <w:t>Cynthia L. Tape</w:t>
      </w:r>
      <w:r w:rsidRPr="005736C2">
        <w:rPr>
          <w:rStyle w:val="SCCCounselPartyRoleChar"/>
          <w:sz w:val="20"/>
          <w:lang w:val="fr-CA"/>
        </w:rPr>
        <w:t>, pour l’appelante.</w:t>
      </w:r>
    </w:p>
    <w:p w:rsidR="005736C2" w:rsidRPr="005736C2" w:rsidRDefault="005736C2" w:rsidP="005736C2">
      <w:pPr>
        <w:pStyle w:val="SCCNormalDoubleSpacing"/>
        <w:tabs>
          <w:tab w:val="left" w:pos="720"/>
        </w:tabs>
        <w:spacing w:line="240" w:lineRule="auto"/>
        <w:rPr>
          <w:sz w:val="20"/>
          <w:lang w:val="fr-CA"/>
        </w:rPr>
      </w:pPr>
    </w:p>
    <w:p w:rsidR="005736C2" w:rsidRPr="005736C2" w:rsidRDefault="005736C2" w:rsidP="005736C2">
      <w:pPr>
        <w:pStyle w:val="SCCNormalDoubleSpacing"/>
        <w:tabs>
          <w:tab w:val="left" w:pos="720"/>
        </w:tabs>
        <w:spacing w:line="240" w:lineRule="auto"/>
        <w:rPr>
          <w:sz w:val="20"/>
          <w:lang w:val="fr-CA"/>
        </w:rPr>
      </w:pPr>
      <w:r w:rsidRPr="005736C2">
        <w:rPr>
          <w:rStyle w:val="SCCCounselNameChar"/>
          <w:sz w:val="20"/>
          <w:lang w:val="fr-CA"/>
        </w:rPr>
        <w:tab/>
        <w:t>Christopher M. Rupar</w:t>
      </w:r>
      <w:r w:rsidRPr="00CE140F">
        <w:rPr>
          <w:rStyle w:val="SCCCounselSeparatorChar"/>
          <w:sz w:val="20"/>
        </w:rPr>
        <w:t xml:space="preserve">, </w:t>
      </w:r>
      <w:r w:rsidRPr="005736C2">
        <w:rPr>
          <w:rStyle w:val="SCCCounselNameChar"/>
          <w:sz w:val="20"/>
          <w:lang w:val="fr-CA"/>
        </w:rPr>
        <w:t>Alain Préfontaine</w:t>
      </w:r>
      <w:r w:rsidRPr="00CE140F">
        <w:rPr>
          <w:rStyle w:val="SCCCounselSeparatorChar"/>
          <w:sz w:val="20"/>
        </w:rPr>
        <w:t xml:space="preserve"> et </w:t>
      </w:r>
      <w:r w:rsidRPr="005736C2">
        <w:rPr>
          <w:rStyle w:val="SCCCounselNameChar"/>
          <w:sz w:val="20"/>
          <w:lang w:val="fr-CA"/>
        </w:rPr>
        <w:t>Bernard Letarte</w:t>
      </w:r>
      <w:r w:rsidRPr="005736C2">
        <w:rPr>
          <w:rStyle w:val="SCCCounselPartyRoleChar"/>
          <w:sz w:val="20"/>
          <w:lang w:val="fr-CA"/>
        </w:rPr>
        <w:t>, pour les intimés.</w:t>
      </w:r>
    </w:p>
    <w:p w:rsidR="005736C2" w:rsidRPr="005736C2" w:rsidRDefault="005736C2" w:rsidP="005736C2">
      <w:pPr>
        <w:pStyle w:val="SCCLawFirm"/>
        <w:tabs>
          <w:tab w:val="left" w:pos="720"/>
        </w:tabs>
        <w:spacing w:line="240" w:lineRule="auto"/>
        <w:rPr>
          <w:sz w:val="20"/>
          <w:lang w:val="fr-CA"/>
        </w:rPr>
      </w:pPr>
    </w:p>
    <w:p w:rsidR="005736C2" w:rsidRPr="005736C2" w:rsidRDefault="005736C2" w:rsidP="005736C2">
      <w:pPr>
        <w:pStyle w:val="SCCLawFirm"/>
        <w:tabs>
          <w:tab w:val="left" w:pos="720"/>
        </w:tabs>
        <w:spacing w:line="240" w:lineRule="auto"/>
        <w:rPr>
          <w:sz w:val="20"/>
          <w:lang w:val="fr-CA"/>
        </w:rPr>
      </w:pPr>
      <w:r w:rsidRPr="005736C2">
        <w:rPr>
          <w:sz w:val="20"/>
          <w:lang w:val="fr-CA"/>
        </w:rPr>
        <w:tab/>
        <w:t>Procureurs de l'appelante : Goodmans, Toronto.</w:t>
      </w:r>
    </w:p>
    <w:p w:rsidR="005736C2" w:rsidRPr="005736C2" w:rsidRDefault="005736C2" w:rsidP="005736C2">
      <w:pPr>
        <w:pStyle w:val="SCCLawFirm"/>
        <w:tabs>
          <w:tab w:val="left" w:pos="720"/>
        </w:tabs>
        <w:spacing w:line="240" w:lineRule="auto"/>
        <w:rPr>
          <w:sz w:val="20"/>
          <w:lang w:val="fr-CA"/>
        </w:rPr>
      </w:pPr>
    </w:p>
    <w:p w:rsidR="005736C2" w:rsidRPr="005736C2" w:rsidRDefault="005736C2" w:rsidP="005736C2">
      <w:pPr>
        <w:pStyle w:val="SCCLawFirm"/>
        <w:tabs>
          <w:tab w:val="left" w:pos="720"/>
        </w:tabs>
        <w:spacing w:line="240" w:lineRule="auto"/>
        <w:rPr>
          <w:sz w:val="20"/>
          <w:lang w:val="fr-CA"/>
        </w:rPr>
      </w:pPr>
      <w:r w:rsidRPr="005736C2">
        <w:rPr>
          <w:sz w:val="20"/>
          <w:lang w:val="fr-CA"/>
        </w:rPr>
        <w:tab/>
        <w:t>Procureur des intimés : Procureur général du Canada, Ottawa.</w:t>
      </w:r>
    </w:p>
    <w:p w:rsidR="005736C2" w:rsidRPr="005736C2" w:rsidRDefault="005736C2" w:rsidP="003B3977">
      <w:pPr>
        <w:rPr>
          <w:sz w:val="20"/>
          <w:szCs w:val="20"/>
          <w:lang w:val="fr-CA"/>
        </w:rPr>
      </w:pPr>
    </w:p>
    <w:p w:rsidR="00151761" w:rsidRDefault="00D56013" w:rsidP="003B3977">
      <w:pPr>
        <w:rPr>
          <w:sz w:val="20"/>
          <w:szCs w:val="20"/>
        </w:rPr>
      </w:pPr>
      <w:r w:rsidRPr="00D56013">
        <w:rPr>
          <w:rFonts w:cs="Times New Roman"/>
          <w:sz w:val="20"/>
          <w:szCs w:val="20"/>
          <w:lang w:val="fr-CA"/>
        </w:rPr>
        <w:pict>
          <v:rect id="_x0000_i1124" style="width:144.3pt;height:1pt" o:hrpct="300" o:hralign="center" o:hrstd="t" o:hrnoshade="t" o:hr="t" fillcolor="black [3213]" stroked="f"/>
        </w:pict>
      </w:r>
    </w:p>
    <w:p w:rsidR="00412488" w:rsidRDefault="00412488">
      <w:pPr>
        <w:rPr>
          <w:sz w:val="20"/>
          <w:szCs w:val="20"/>
        </w:rPr>
      </w:pPr>
    </w:p>
    <w:p w:rsidR="00412488" w:rsidRDefault="00412488">
      <w:pPr>
        <w:rPr>
          <w:sz w:val="20"/>
          <w:szCs w:val="20"/>
        </w:rPr>
      </w:pPr>
    </w:p>
    <w:p w:rsidR="00151761" w:rsidRDefault="00151761">
      <w:pPr>
        <w:rPr>
          <w:sz w:val="20"/>
          <w:szCs w:val="20"/>
        </w:rPr>
      </w:pPr>
      <w:r>
        <w:rPr>
          <w:sz w:val="20"/>
          <w:szCs w:val="20"/>
        </w:rPr>
        <w:br w:type="page"/>
      </w:r>
    </w:p>
    <w:p w:rsidR="0065796C" w:rsidRPr="00BD13EA" w:rsidRDefault="0065796C" w:rsidP="0065796C">
      <w:pPr>
        <w:rPr>
          <w:sz w:val="20"/>
          <w:szCs w:val="20"/>
          <w:lang w:val="fr-CA"/>
        </w:rPr>
      </w:pPr>
      <w:r w:rsidRPr="00BD13EA">
        <w:rPr>
          <w:i/>
          <w:sz w:val="20"/>
          <w:szCs w:val="20"/>
          <w:lang w:val="fr-CA"/>
        </w:rPr>
        <w:t>Agence canadienne de l'inspection des aliments c. Institut professionnel de la fonction publique du Canada, et autres</w:t>
      </w:r>
      <w:r w:rsidRPr="00BD13EA">
        <w:rPr>
          <w:sz w:val="20"/>
          <w:szCs w:val="20"/>
          <w:lang w:val="fr-CA"/>
        </w:rPr>
        <w:t xml:space="preserve"> (Qc) (32880)</w:t>
      </w:r>
    </w:p>
    <w:p w:rsidR="00D92D52" w:rsidRPr="00D77A09" w:rsidRDefault="00D92D52" w:rsidP="00D92D52">
      <w:pPr>
        <w:jc w:val="both"/>
        <w:rPr>
          <w:rStyle w:val="SCCRespondentForIndexChar"/>
          <w:rFonts w:eastAsia="Calibri"/>
          <w:sz w:val="20"/>
          <w:lang w:val="en-US"/>
        </w:rPr>
      </w:pPr>
      <w:r w:rsidRPr="00D77A09">
        <w:rPr>
          <w:rFonts w:cs="Times New Roman"/>
          <w:b/>
          <w:sz w:val="20"/>
          <w:szCs w:val="20"/>
          <w:lang w:val="en-US"/>
        </w:rPr>
        <w:t>Indexed as:  </w:t>
      </w:r>
      <w:r w:rsidRPr="00D77A09">
        <w:rPr>
          <w:rStyle w:val="SCCAppellantForIndexChar"/>
          <w:rFonts w:eastAsia="Calibri"/>
          <w:sz w:val="20"/>
          <w:lang w:val="en-US"/>
        </w:rPr>
        <w:t>Canadian Food Inspection Agency</w:t>
      </w:r>
      <w:r w:rsidRPr="00D77A09">
        <w:rPr>
          <w:rFonts w:cs="Times New Roman"/>
          <w:b/>
          <w:sz w:val="20"/>
          <w:szCs w:val="20"/>
          <w:lang w:val="en-US"/>
        </w:rPr>
        <w:t xml:space="preserve"> </w:t>
      </w:r>
      <w:r w:rsidRPr="00D77A09">
        <w:rPr>
          <w:rFonts w:cs="Times New Roman"/>
          <w:b/>
          <w:i/>
          <w:sz w:val="20"/>
          <w:szCs w:val="20"/>
          <w:lang w:val="en-US"/>
        </w:rPr>
        <w:t>v.</w:t>
      </w:r>
      <w:r w:rsidRPr="00D77A09">
        <w:rPr>
          <w:rFonts w:cs="Times New Roman"/>
          <w:b/>
          <w:sz w:val="20"/>
          <w:szCs w:val="20"/>
          <w:lang w:val="en-US"/>
        </w:rPr>
        <w:t xml:space="preserve"> </w:t>
      </w:r>
      <w:r w:rsidRPr="00D77A09">
        <w:rPr>
          <w:rStyle w:val="SCCRespondentForIndexChar"/>
          <w:rFonts w:eastAsia="Calibri"/>
          <w:sz w:val="20"/>
          <w:lang w:val="en-US"/>
        </w:rPr>
        <w:t>Professional Institute of the Public Service of Canada</w:t>
      </w:r>
      <w:r>
        <w:rPr>
          <w:rStyle w:val="SCCRespondentForIndexChar"/>
          <w:rFonts w:eastAsia="Calibri"/>
          <w:sz w:val="20"/>
          <w:lang w:val="en-US"/>
        </w:rPr>
        <w:t xml:space="preserve"> /</w:t>
      </w:r>
    </w:p>
    <w:p w:rsidR="00D92D52" w:rsidRPr="00D92D52" w:rsidRDefault="00D92D52" w:rsidP="00D92D52">
      <w:pPr>
        <w:jc w:val="both"/>
        <w:rPr>
          <w:rStyle w:val="SCCRespondentForIndexChar"/>
          <w:rFonts w:eastAsia="Calibri"/>
          <w:sz w:val="20"/>
          <w:lang w:val="fr-CA"/>
        </w:rPr>
      </w:pPr>
      <w:r w:rsidRPr="00D92D52">
        <w:rPr>
          <w:rFonts w:cs="Times New Roman"/>
          <w:b/>
          <w:sz w:val="20"/>
          <w:szCs w:val="20"/>
          <w:lang w:val="fr-CA"/>
        </w:rPr>
        <w:t>Répertorié : </w:t>
      </w:r>
      <w:r w:rsidRPr="0041447A">
        <w:rPr>
          <w:rStyle w:val="SCCAppellantForIndexChar"/>
          <w:rFonts w:eastAsia="Calibri"/>
          <w:sz w:val="20"/>
        </w:rPr>
        <w:t>Agence canadienne d’inspection des aliments</w:t>
      </w:r>
      <w:r w:rsidRPr="00D92D52">
        <w:rPr>
          <w:rFonts w:cs="Times New Roman"/>
          <w:b/>
          <w:sz w:val="20"/>
          <w:szCs w:val="20"/>
          <w:lang w:val="fr-CA"/>
        </w:rPr>
        <w:t xml:space="preserve"> </w:t>
      </w:r>
      <w:r w:rsidRPr="00D92D52">
        <w:rPr>
          <w:rFonts w:cs="Times New Roman"/>
          <w:b/>
          <w:i/>
          <w:sz w:val="20"/>
          <w:szCs w:val="20"/>
          <w:lang w:val="fr-CA"/>
        </w:rPr>
        <w:t>c.</w:t>
      </w:r>
      <w:r w:rsidRPr="00D92D52">
        <w:rPr>
          <w:rFonts w:cs="Times New Roman"/>
          <w:b/>
          <w:sz w:val="20"/>
          <w:szCs w:val="20"/>
          <w:lang w:val="fr-CA"/>
        </w:rPr>
        <w:t xml:space="preserve"> </w:t>
      </w:r>
      <w:r w:rsidRPr="00D92D52">
        <w:rPr>
          <w:rStyle w:val="SCCRespondentForIndexChar"/>
          <w:rFonts w:eastAsia="Calibri"/>
          <w:sz w:val="20"/>
          <w:lang w:val="fr-CA"/>
        </w:rPr>
        <w:t>Institut professionnel de la fonction publique du Canada</w:t>
      </w:r>
    </w:p>
    <w:p w:rsidR="00151761" w:rsidRPr="0065796C" w:rsidRDefault="00151761" w:rsidP="00151761">
      <w:pPr>
        <w:pStyle w:val="SCCSystemYear"/>
        <w:jc w:val="both"/>
        <w:rPr>
          <w:sz w:val="20"/>
        </w:rPr>
      </w:pPr>
      <w:r w:rsidRPr="0065796C">
        <w:rPr>
          <w:sz w:val="20"/>
        </w:rPr>
        <w:t>Neutral citation:  2010 SCC </w:t>
      </w:r>
      <w:r w:rsidR="0065796C" w:rsidRPr="0065796C">
        <w:rPr>
          <w:sz w:val="20"/>
        </w:rPr>
        <w:t>66</w:t>
      </w:r>
      <w:r w:rsidRPr="0065796C">
        <w:rPr>
          <w:sz w:val="20"/>
        </w:rPr>
        <w:t xml:space="preserve"> / Référence neutre : 2010 CSC </w:t>
      </w:r>
      <w:r w:rsidR="0065796C">
        <w:rPr>
          <w:sz w:val="20"/>
        </w:rPr>
        <w:t>66</w:t>
      </w:r>
    </w:p>
    <w:p w:rsidR="00151761" w:rsidRPr="00E36514" w:rsidRDefault="00151761" w:rsidP="00151761">
      <w:pPr>
        <w:rPr>
          <w:sz w:val="20"/>
          <w:szCs w:val="20"/>
          <w:lang w:val="fr-CA"/>
        </w:rPr>
      </w:pPr>
      <w:r w:rsidRPr="00E36514">
        <w:rPr>
          <w:sz w:val="20"/>
          <w:szCs w:val="20"/>
          <w:lang w:val="fr-CA"/>
        </w:rPr>
        <w:t xml:space="preserve">Hearing:  </w:t>
      </w:r>
      <w:r w:rsidR="00D92D52">
        <w:rPr>
          <w:sz w:val="20"/>
          <w:szCs w:val="20"/>
          <w:lang w:val="fr-CA"/>
        </w:rPr>
        <w:t>January</w:t>
      </w:r>
      <w:r w:rsidRPr="00E36514">
        <w:rPr>
          <w:sz w:val="20"/>
          <w:szCs w:val="20"/>
          <w:lang w:val="fr-CA"/>
        </w:rPr>
        <w:t xml:space="preserve"> 2</w:t>
      </w:r>
      <w:r w:rsidR="00D92D52">
        <w:rPr>
          <w:sz w:val="20"/>
          <w:szCs w:val="20"/>
          <w:lang w:val="fr-CA"/>
        </w:rPr>
        <w:t>0</w:t>
      </w:r>
      <w:r w:rsidRPr="00E36514">
        <w:rPr>
          <w:sz w:val="20"/>
          <w:szCs w:val="20"/>
          <w:lang w:val="fr-CA"/>
        </w:rPr>
        <w:t xml:space="preserve">, 2010 / Judgment:  </w:t>
      </w:r>
      <w:r w:rsidR="00047221" w:rsidRPr="00E36514">
        <w:rPr>
          <w:sz w:val="20"/>
          <w:szCs w:val="20"/>
          <w:lang w:val="fr-CA"/>
        </w:rPr>
        <w:t>December</w:t>
      </w:r>
      <w:r w:rsidRPr="00E36514">
        <w:rPr>
          <w:sz w:val="20"/>
          <w:szCs w:val="20"/>
          <w:lang w:val="fr-CA"/>
        </w:rPr>
        <w:t xml:space="preserve"> 2</w:t>
      </w:r>
      <w:r w:rsidR="00047221" w:rsidRPr="00E36514">
        <w:rPr>
          <w:sz w:val="20"/>
          <w:szCs w:val="20"/>
          <w:lang w:val="fr-CA"/>
        </w:rPr>
        <w:t>3</w:t>
      </w:r>
      <w:r w:rsidRPr="00E36514">
        <w:rPr>
          <w:sz w:val="20"/>
          <w:szCs w:val="20"/>
          <w:lang w:val="fr-CA"/>
        </w:rPr>
        <w:t>, 2010</w:t>
      </w:r>
    </w:p>
    <w:p w:rsidR="00151761" w:rsidRPr="003B3977" w:rsidRDefault="00151761" w:rsidP="00151761">
      <w:pPr>
        <w:rPr>
          <w:sz w:val="20"/>
          <w:szCs w:val="20"/>
          <w:lang w:val="fr-CA"/>
        </w:rPr>
      </w:pPr>
      <w:r w:rsidRPr="003B3977">
        <w:rPr>
          <w:sz w:val="20"/>
          <w:szCs w:val="20"/>
          <w:lang w:val="fr-CA"/>
        </w:rPr>
        <w:t>Audition : Le 2</w:t>
      </w:r>
      <w:r w:rsidR="00D92D52">
        <w:rPr>
          <w:sz w:val="20"/>
          <w:szCs w:val="20"/>
          <w:lang w:val="fr-CA"/>
        </w:rPr>
        <w:t>0 janvier</w:t>
      </w:r>
      <w:r w:rsidRPr="003B3977">
        <w:rPr>
          <w:sz w:val="20"/>
          <w:szCs w:val="20"/>
          <w:lang w:val="fr-CA"/>
        </w:rPr>
        <w:t xml:space="preserve"> 2010 / Jugement : Le 2</w:t>
      </w:r>
      <w:r w:rsidR="00047221">
        <w:rPr>
          <w:sz w:val="20"/>
          <w:szCs w:val="20"/>
          <w:lang w:val="fr-CA"/>
        </w:rPr>
        <w:t>3 décem</w:t>
      </w:r>
      <w:r w:rsidRPr="003B3977">
        <w:rPr>
          <w:sz w:val="20"/>
          <w:szCs w:val="20"/>
          <w:lang w:val="fr-CA"/>
        </w:rPr>
        <w:t>bre 2010</w:t>
      </w:r>
    </w:p>
    <w:p w:rsidR="00151761" w:rsidRPr="003B3977" w:rsidRDefault="00D56013" w:rsidP="00151761">
      <w:pPr>
        <w:rPr>
          <w:sz w:val="20"/>
          <w:szCs w:val="20"/>
          <w:lang w:val="fr-CA"/>
        </w:rPr>
      </w:pPr>
      <w:r w:rsidRPr="00D56013">
        <w:rPr>
          <w:i/>
          <w:sz w:val="20"/>
          <w:szCs w:val="20"/>
        </w:rPr>
        <w:pict>
          <v:rect id="_x0000_i1125" style="width:480.95pt;height:1pt" o:hralign="center" o:hrstd="t" o:hrnoshade="t" o:hr="t" fillcolor="black [3213]" stroked="f"/>
        </w:pict>
      </w:r>
    </w:p>
    <w:p w:rsidR="00151761" w:rsidRDefault="00151761" w:rsidP="003B3977">
      <w:pPr>
        <w:rPr>
          <w:sz w:val="20"/>
          <w:szCs w:val="20"/>
        </w:rPr>
      </w:pPr>
    </w:p>
    <w:p w:rsidR="00D92D52" w:rsidRPr="00D92D52" w:rsidRDefault="00D92D52" w:rsidP="00D92D52">
      <w:pPr>
        <w:jc w:val="both"/>
        <w:rPr>
          <w:rFonts w:cs="Times New Roman"/>
          <w:sz w:val="20"/>
          <w:szCs w:val="20"/>
          <w:lang w:val="fr-CA"/>
        </w:rPr>
      </w:pPr>
      <w:r w:rsidRPr="00D92D52">
        <w:rPr>
          <w:rFonts w:cs="Times New Roman"/>
          <w:sz w:val="20"/>
          <w:szCs w:val="20"/>
          <w:lang w:val="fr-CA"/>
        </w:rPr>
        <w:t>Présents : Les juges Binnie, LeBel, Deschamps, Abella, Charron, Rothstein et Cromwell.</w:t>
      </w:r>
    </w:p>
    <w:p w:rsidR="00151761" w:rsidRPr="00D92D52" w:rsidRDefault="00151761" w:rsidP="003B3977">
      <w:pPr>
        <w:rPr>
          <w:sz w:val="20"/>
          <w:szCs w:val="20"/>
          <w:lang w:val="fr-CA"/>
        </w:rPr>
      </w:pPr>
    </w:p>
    <w:p w:rsidR="0041141E" w:rsidRPr="0041141E" w:rsidRDefault="0041141E" w:rsidP="0041141E">
      <w:pPr>
        <w:pStyle w:val="SCCNormalDoubleSpacing"/>
        <w:tabs>
          <w:tab w:val="left" w:pos="720"/>
        </w:tabs>
        <w:spacing w:line="240" w:lineRule="auto"/>
        <w:rPr>
          <w:i/>
          <w:sz w:val="20"/>
          <w:lang w:val="fr-CA"/>
        </w:rPr>
      </w:pPr>
      <w:r w:rsidRPr="00881BB6">
        <w:rPr>
          <w:sz w:val="20"/>
          <w:lang w:val="fr-CA"/>
        </w:rPr>
        <w:tab/>
      </w:r>
      <w:r w:rsidRPr="0041141E">
        <w:rPr>
          <w:i/>
          <w:sz w:val="20"/>
          <w:lang w:val="fr-CA"/>
        </w:rPr>
        <w:t>Tribunaux — Compétence — Cours supérieures provinciales — Action en responsabilité civile intentée contre des préposés de l’État et un syndicat devant la Cour supérieure du Québec — Exercice par les défendeurs de recours en garantie contre une agence fédérale — Les défendeurs peuvent</w:t>
      </w:r>
      <w:r w:rsidRPr="0041141E">
        <w:rPr>
          <w:i/>
          <w:sz w:val="20"/>
          <w:lang w:val="fr-CA"/>
        </w:rPr>
        <w:noBreakHyphen/>
        <w:t>ils exercer un recours en garantie devant la Cour supérieure du Québec sans procéder d’abord par voie de contrôle judiciaire en Cour fédérale?</w:t>
      </w:r>
    </w:p>
    <w:p w:rsidR="0041141E" w:rsidRPr="0041141E" w:rsidRDefault="0041141E" w:rsidP="0041141E">
      <w:pPr>
        <w:pStyle w:val="SCCNormalDoubleSpacing"/>
        <w:tabs>
          <w:tab w:val="left" w:pos="720"/>
        </w:tabs>
        <w:spacing w:line="240" w:lineRule="auto"/>
        <w:rPr>
          <w:i/>
          <w:sz w:val="20"/>
          <w:lang w:val="fr-CA"/>
        </w:rPr>
      </w:pPr>
    </w:p>
    <w:p w:rsidR="0041141E" w:rsidRPr="0041447A" w:rsidRDefault="0041141E" w:rsidP="0041141E">
      <w:pPr>
        <w:pStyle w:val="SCCNormalDoubleSpacing"/>
        <w:tabs>
          <w:tab w:val="left" w:pos="720"/>
        </w:tabs>
        <w:spacing w:line="240" w:lineRule="auto"/>
        <w:rPr>
          <w:sz w:val="20"/>
          <w:lang w:val="fr-FR"/>
        </w:rPr>
      </w:pPr>
      <w:r w:rsidRPr="0041141E">
        <w:rPr>
          <w:i/>
          <w:sz w:val="20"/>
          <w:lang w:val="fr-CA"/>
        </w:rPr>
        <w:tab/>
        <w:t xml:space="preserve">Droit de la Couronne — Responsabilité de la Couronne — Responsabilité civile — Action en responsabilité civile intentée contre des préposés de l’État et un syndicat devant la Cour supérieure du Québec — Exercice par les défendeurs de recours en garantie contre une agence fédérale au motif que le préjudice découlerait de la décision de l’agence </w:t>
      </w:r>
      <w:r w:rsidRPr="0041447A">
        <w:rPr>
          <w:i/>
          <w:sz w:val="20"/>
          <w:lang w:val="fr-FR"/>
        </w:rPr>
        <w:t>— La décision légale et valide d’une agence fédérale peut</w:t>
      </w:r>
      <w:r w:rsidRPr="0041447A">
        <w:rPr>
          <w:i/>
          <w:sz w:val="20"/>
          <w:lang w:val="fr-FR"/>
        </w:rPr>
        <w:noBreakHyphen/>
        <w:t>elle néanmoins constituer une faute au Québec? — Loi sur la responsabilité civile de l’État et le contentieux administratif, L.R.C. 1985, ch. C</w:t>
      </w:r>
      <w:r w:rsidRPr="0041447A">
        <w:rPr>
          <w:i/>
          <w:sz w:val="20"/>
          <w:lang w:val="fr-FR"/>
        </w:rPr>
        <w:noBreakHyphen/>
        <w:t>50, art. 2, 3; Code civil du Québec, L.R.Q., ch. C</w:t>
      </w:r>
      <w:r w:rsidRPr="0041447A">
        <w:rPr>
          <w:i/>
          <w:sz w:val="20"/>
          <w:lang w:val="fr-FR"/>
        </w:rPr>
        <w:noBreakHyphen/>
        <w:t>1991, art. 1376, 1457.</w:t>
      </w:r>
      <w:r w:rsidRPr="0041447A">
        <w:rPr>
          <w:sz w:val="20"/>
          <w:lang w:val="fr-FR"/>
        </w:rPr>
        <w:t xml:space="preserve"> </w:t>
      </w:r>
    </w:p>
    <w:p w:rsidR="0041141E" w:rsidRPr="0041447A" w:rsidRDefault="0041141E" w:rsidP="0041141E">
      <w:pPr>
        <w:pStyle w:val="SCCNormalDoubleSpacing"/>
        <w:tabs>
          <w:tab w:val="left" w:pos="720"/>
        </w:tabs>
        <w:spacing w:line="240" w:lineRule="auto"/>
        <w:rPr>
          <w:sz w:val="20"/>
          <w:lang w:val="fr-FR"/>
        </w:rPr>
      </w:pPr>
    </w:p>
    <w:p w:rsidR="0041141E" w:rsidRPr="0041447A" w:rsidRDefault="0041141E" w:rsidP="0041141E">
      <w:pPr>
        <w:pStyle w:val="SCCNormalDoubleSpacing"/>
        <w:tabs>
          <w:tab w:val="left" w:pos="720"/>
        </w:tabs>
        <w:spacing w:line="240" w:lineRule="auto"/>
        <w:rPr>
          <w:sz w:val="20"/>
          <w:lang w:val="fr-FR"/>
        </w:rPr>
      </w:pPr>
      <w:r w:rsidRPr="0041447A">
        <w:rPr>
          <w:sz w:val="20"/>
          <w:lang w:val="fr-FR"/>
        </w:rPr>
        <w:tab/>
        <w:t xml:space="preserve">En 2001, des vétérinaires chargés d’inspecter des abattoirs au Québec </w:t>
      </w:r>
      <w:r w:rsidRPr="0041141E">
        <w:rPr>
          <w:sz w:val="20"/>
          <w:lang w:val="fr-CA"/>
        </w:rPr>
        <w:t xml:space="preserve">étaient engagés dans un conflit de travail avec l’Agence canadienne d’inspection des aliments (l’« ACIA »).  </w:t>
      </w:r>
      <w:r w:rsidRPr="0041447A">
        <w:rPr>
          <w:sz w:val="20"/>
          <w:lang w:val="fr-FR"/>
        </w:rPr>
        <w:t xml:space="preserve">Ils ne se sont pas présentés au travail en décembre 2001.  L’ACIA a communiqué par la suite une note de service selon laquelle, puisque les vétérinaires n’étaient pas disponibles pour mener des inspections pendant la période pertinente, la viande et les produits de viande </w:t>
      </w:r>
      <w:r w:rsidRPr="0041141E">
        <w:rPr>
          <w:sz w:val="20"/>
          <w:lang w:val="fr-CA"/>
        </w:rPr>
        <w:t xml:space="preserve">ne satisfaisaient pas aux exigences du </w:t>
      </w:r>
      <w:r w:rsidRPr="0041141E">
        <w:rPr>
          <w:i/>
          <w:sz w:val="20"/>
          <w:lang w:val="fr-CA"/>
        </w:rPr>
        <w:t>Règlement</w:t>
      </w:r>
      <w:r w:rsidRPr="0041141E">
        <w:rPr>
          <w:sz w:val="20"/>
          <w:lang w:val="fr-CA"/>
        </w:rPr>
        <w:t xml:space="preserve"> </w:t>
      </w:r>
      <w:r w:rsidRPr="0041141E">
        <w:rPr>
          <w:i/>
          <w:sz w:val="20"/>
          <w:lang w:val="fr-CA"/>
        </w:rPr>
        <w:t>de 1990 sur l’inspection des viandes</w:t>
      </w:r>
      <w:r w:rsidRPr="0041141E">
        <w:rPr>
          <w:sz w:val="20"/>
          <w:lang w:val="fr-CA"/>
        </w:rPr>
        <w:t xml:space="preserve"> et devaient être détruits ou traités comme des matières non comestibles.</w:t>
      </w:r>
      <w:r w:rsidRPr="0041447A">
        <w:rPr>
          <w:sz w:val="20"/>
          <w:lang w:val="fr-FR"/>
        </w:rPr>
        <w:t xml:space="preserve">  Les exploitants d’abattoirs n’ont pas présenté de demande de contrôle judiciaire, mais ont intenté une action </w:t>
      </w:r>
      <w:r w:rsidRPr="0041141E">
        <w:rPr>
          <w:sz w:val="20"/>
          <w:lang w:val="fr-CA"/>
        </w:rPr>
        <w:t>devant la Cour supérieure du Québec en vue d’obtenir des vétérinaires et de leur représentant, l’Institut professionnel de la fonction publique du Canada (l’« Institut »), des dommages</w:t>
      </w:r>
      <w:r w:rsidRPr="0041141E">
        <w:rPr>
          <w:sz w:val="20"/>
          <w:lang w:val="fr-CA"/>
        </w:rPr>
        <w:noBreakHyphen/>
        <w:t>intérêts de près de 1,8 million de dollars.</w:t>
      </w:r>
      <w:r w:rsidRPr="0041447A">
        <w:rPr>
          <w:sz w:val="20"/>
          <w:lang w:val="fr-FR"/>
        </w:rPr>
        <w:t xml:space="preserve">  En défense, l’Institut et les vétérinaires ont soutenu que le préjudice, s’il en est, découlait de la décision et des mesures prises par l’ACIA.  Ils ont exercé chacun un recours en garantie contre l’ACIA, mais celle</w:t>
      </w:r>
      <w:r w:rsidRPr="0041447A">
        <w:rPr>
          <w:sz w:val="20"/>
          <w:lang w:val="fr-FR"/>
        </w:rPr>
        <w:noBreakHyphen/>
        <w:t xml:space="preserve">ci a présenté des requêtes en irrecevabilité des recours en garantie au motif que sa note de service était une décision d’un office fédéral </w:t>
      </w:r>
      <w:r w:rsidRPr="0041141E">
        <w:rPr>
          <w:sz w:val="20"/>
          <w:lang w:val="fr-CA"/>
        </w:rPr>
        <w:t>à l’égard de laquelle la Cour supérieure ne pouvait pas avoir compétence sans que la décision ne soit au préalable annulée par la Cour fédérale à l’issue d’une procédure de contrôle judiciaire.</w:t>
      </w:r>
      <w:r w:rsidRPr="0041447A">
        <w:rPr>
          <w:sz w:val="20"/>
          <w:lang w:val="fr-FR"/>
        </w:rPr>
        <w:t xml:space="preserve">  La Cour supérieure a rejeté les requêtes, et la Cour d’appel a confirmé cette décision.  Selon celle</w:t>
      </w:r>
      <w:r w:rsidRPr="0041447A">
        <w:rPr>
          <w:sz w:val="20"/>
          <w:lang w:val="fr-FR"/>
        </w:rPr>
        <w:noBreakHyphen/>
        <w:t>ci, l</w:t>
      </w:r>
      <w:r w:rsidRPr="0041141E">
        <w:rPr>
          <w:sz w:val="20"/>
          <w:lang w:val="fr-CA"/>
        </w:rPr>
        <w:t>es recours en garantie considérés dans leur ensemble et la nature des conclusions précises recherchées montrent que l’Institut et les vétérinaires voulaient obtenir une réparation sous la forme de dommages</w:t>
      </w:r>
      <w:r w:rsidRPr="0041141E">
        <w:rPr>
          <w:sz w:val="20"/>
          <w:lang w:val="fr-CA"/>
        </w:rPr>
        <w:noBreakHyphen/>
        <w:t xml:space="preserve">intérêts et qu’ils ne contestaient pas, du moins à ce stade, la validité de la décision prise par l’ACIA. </w:t>
      </w:r>
      <w:r w:rsidRPr="0041447A">
        <w:rPr>
          <w:sz w:val="20"/>
          <w:lang w:val="fr-FR"/>
        </w:rPr>
        <w:t xml:space="preserve"> Les juridictions inférieures étaient aussi d’avis qu’</w:t>
      </w:r>
      <w:r w:rsidRPr="0041141E">
        <w:rPr>
          <w:sz w:val="20"/>
          <w:lang w:val="fr-CA"/>
        </w:rPr>
        <w:t>une décision de l’ACIA pourrait, même en étant valide, constituer une faute en droit civil québécois.</w:t>
      </w:r>
    </w:p>
    <w:p w:rsidR="0041141E" w:rsidRPr="0041447A" w:rsidRDefault="0041141E" w:rsidP="0041141E">
      <w:pPr>
        <w:pStyle w:val="SCCNormalDoubleSpacing"/>
        <w:tabs>
          <w:tab w:val="left" w:pos="720"/>
        </w:tabs>
        <w:spacing w:line="240" w:lineRule="auto"/>
        <w:rPr>
          <w:sz w:val="20"/>
          <w:lang w:val="fr-FR"/>
        </w:rPr>
      </w:pPr>
    </w:p>
    <w:p w:rsidR="0041141E" w:rsidRPr="0041447A" w:rsidRDefault="0041141E" w:rsidP="0041141E">
      <w:pPr>
        <w:pStyle w:val="SCCNormalDoubleSpacing"/>
        <w:tabs>
          <w:tab w:val="left" w:pos="720"/>
        </w:tabs>
        <w:spacing w:line="240" w:lineRule="auto"/>
        <w:rPr>
          <w:sz w:val="20"/>
          <w:lang w:val="fr-FR"/>
        </w:rPr>
      </w:pPr>
      <w:r w:rsidRPr="0041447A">
        <w:rPr>
          <w:sz w:val="20"/>
          <w:lang w:val="fr-FR"/>
        </w:rPr>
        <w:tab/>
      </w:r>
      <w:r w:rsidRPr="0041447A">
        <w:rPr>
          <w:i/>
          <w:sz w:val="20"/>
          <w:lang w:val="fr-FR"/>
        </w:rPr>
        <w:t>Arrêt </w:t>
      </w:r>
      <w:r w:rsidRPr="0041447A">
        <w:rPr>
          <w:rStyle w:val="QuoteChar"/>
          <w:sz w:val="20"/>
          <w:lang w:val="fr-FR"/>
        </w:rPr>
        <w:t xml:space="preserve">: </w:t>
      </w:r>
      <w:r w:rsidRPr="0041447A">
        <w:rPr>
          <w:sz w:val="20"/>
          <w:lang w:val="fr-FR"/>
        </w:rPr>
        <w:t xml:space="preserve">Le pourvoi est rejeté. </w:t>
      </w:r>
    </w:p>
    <w:p w:rsidR="0041141E" w:rsidRPr="0041447A" w:rsidRDefault="0041141E" w:rsidP="0041141E">
      <w:pPr>
        <w:pStyle w:val="SCCNormalDoubleSpacing"/>
        <w:tabs>
          <w:tab w:val="left" w:pos="720"/>
        </w:tabs>
        <w:spacing w:line="240" w:lineRule="auto"/>
        <w:rPr>
          <w:sz w:val="20"/>
          <w:lang w:val="fr-FR"/>
        </w:rPr>
      </w:pPr>
    </w:p>
    <w:p w:rsidR="0041141E" w:rsidRPr="0041447A" w:rsidRDefault="0041141E" w:rsidP="0041141E">
      <w:pPr>
        <w:pStyle w:val="SCCNormalDoubleSpacing"/>
        <w:tabs>
          <w:tab w:val="left" w:pos="720"/>
        </w:tabs>
        <w:spacing w:line="240" w:lineRule="auto"/>
        <w:ind w:firstLine="720"/>
        <w:rPr>
          <w:sz w:val="20"/>
          <w:lang w:val="fr-FR"/>
        </w:rPr>
      </w:pPr>
      <w:r w:rsidRPr="0041447A">
        <w:rPr>
          <w:sz w:val="20"/>
          <w:lang w:val="fr-FR"/>
        </w:rPr>
        <w:t xml:space="preserve">Pour les motifs exposés dans </w:t>
      </w:r>
      <w:r w:rsidRPr="0041447A">
        <w:rPr>
          <w:i/>
          <w:sz w:val="20"/>
          <w:lang w:val="fr-FR"/>
        </w:rPr>
        <w:t>Canada (Procureur général) c. TeleZone Inc.</w:t>
      </w:r>
      <w:r w:rsidRPr="0041447A">
        <w:rPr>
          <w:sz w:val="20"/>
          <w:lang w:val="fr-FR"/>
        </w:rPr>
        <w:t>, 2010 CSC 62, il n’est pas nécessaire de contester avec succès la décision administrative d’un office fédéral par voie de contrôle judiciaire en Cour fédérale avant d’intenter une action en dommages</w:t>
      </w:r>
      <w:r w:rsidRPr="0041447A">
        <w:rPr>
          <w:sz w:val="20"/>
          <w:lang w:val="fr-FR"/>
        </w:rPr>
        <w:noBreakHyphen/>
        <w:t xml:space="preserve">intérêts à l’égard de cette décision.  </w:t>
      </w:r>
      <w:r w:rsidRPr="0041141E">
        <w:rPr>
          <w:sz w:val="20"/>
          <w:lang w:val="fr-CA"/>
        </w:rPr>
        <w:t xml:space="preserve">Le principe énoncé dans </w:t>
      </w:r>
      <w:r w:rsidRPr="0041141E">
        <w:rPr>
          <w:i/>
          <w:iCs/>
          <w:sz w:val="20"/>
          <w:lang w:val="fr-CA"/>
        </w:rPr>
        <w:t>Canada c. Grenier</w:t>
      </w:r>
      <w:r w:rsidRPr="0041141E">
        <w:rPr>
          <w:sz w:val="20"/>
          <w:lang w:val="fr-CA"/>
        </w:rPr>
        <w:t>, 2005 CAF 348, [2006] 2 R.C.F. 287, selon lequel le seul recours possible par suite d’un préjudice découlant d’un acte d’un organisme administratif fédéral est une demande de contrôle judiciaire présentée à la Cour fédérale, ne devrait plus être considéré comme mettant l’État fédéral à l’abri de toute responsabilité civile pour les dommages causés par ses mandataires.</w:t>
      </w:r>
      <w:r w:rsidRPr="0041447A">
        <w:rPr>
          <w:sz w:val="20"/>
          <w:lang w:val="fr-FR"/>
        </w:rPr>
        <w:t xml:space="preserve">  Au Québec, vu l’effet combiné de la </w:t>
      </w:r>
      <w:r w:rsidRPr="0041447A">
        <w:rPr>
          <w:i/>
          <w:iCs/>
          <w:sz w:val="20"/>
          <w:lang w:val="fr-FR"/>
        </w:rPr>
        <w:t xml:space="preserve">Loi sur la responsabilité civile de l’État et le contentieux administratif </w:t>
      </w:r>
      <w:r w:rsidRPr="0041447A">
        <w:rPr>
          <w:sz w:val="20"/>
          <w:lang w:val="fr-FR"/>
        </w:rPr>
        <w:t xml:space="preserve">et du </w:t>
      </w:r>
      <w:r w:rsidRPr="0041447A">
        <w:rPr>
          <w:i/>
          <w:iCs/>
          <w:sz w:val="20"/>
          <w:lang w:val="fr-FR"/>
        </w:rPr>
        <w:t>Code civil du Québec</w:t>
      </w:r>
      <w:r w:rsidRPr="0041447A">
        <w:rPr>
          <w:iCs/>
          <w:sz w:val="20"/>
          <w:lang w:val="fr-FR"/>
        </w:rPr>
        <w:t xml:space="preserve">, </w:t>
      </w:r>
      <w:r w:rsidRPr="0041447A">
        <w:rPr>
          <w:sz w:val="20"/>
          <w:lang w:val="fr-FR"/>
        </w:rPr>
        <w:t xml:space="preserve">l’État fédéral est assujetti aux règles de responsabilité civile établies à l’article 1457 </w:t>
      </w:r>
      <w:r w:rsidRPr="0041447A">
        <w:rPr>
          <w:i/>
          <w:iCs/>
          <w:sz w:val="20"/>
          <w:lang w:val="fr-FR"/>
        </w:rPr>
        <w:t>C.c.Q</w:t>
      </w:r>
      <w:r w:rsidRPr="0041447A">
        <w:rPr>
          <w:sz w:val="20"/>
          <w:lang w:val="fr-FR"/>
        </w:rPr>
        <w:t xml:space="preserve">.  </w:t>
      </w:r>
      <w:r w:rsidRPr="0041141E">
        <w:rPr>
          <w:sz w:val="20"/>
          <w:lang w:val="fr-CA"/>
        </w:rPr>
        <w:t xml:space="preserve">L’assujettissement de l’État fédéral aux règles de responsabilité civile extracontractuelle du Québec, dans le cas de dommages prétendument causés par la faute de ses mandataires, ne l’empêche pas d’invoquer son immunité, mais il vaut mieux examiner ces arguments lors de l’instruction sur le fond.  </w:t>
      </w:r>
      <w:r w:rsidRPr="0041447A">
        <w:rPr>
          <w:sz w:val="20"/>
          <w:lang w:val="fr-FR"/>
        </w:rPr>
        <w:t xml:space="preserve">En l’espèce, la Cour supérieure a </w:t>
      </w:r>
      <w:r w:rsidRPr="0041141E">
        <w:rPr>
          <w:sz w:val="20"/>
          <w:lang w:val="fr-CA"/>
        </w:rPr>
        <w:t xml:space="preserve">compétence sur les parties et sur l’objet du litige. </w:t>
      </w:r>
      <w:r w:rsidRPr="0041447A">
        <w:rPr>
          <w:sz w:val="20"/>
          <w:lang w:val="fr-FR"/>
        </w:rPr>
        <w:t xml:space="preserve"> O</w:t>
      </w:r>
      <w:r w:rsidRPr="0041141E">
        <w:rPr>
          <w:sz w:val="20"/>
          <w:lang w:val="fr-CA"/>
        </w:rPr>
        <w:t>n ne pouvait pas considérer les recours en garantie comme une contestation de la légalité et de la validité de la décision de l’ACIA engagée sous le couvert d’une action en dommages</w:t>
      </w:r>
      <w:r w:rsidRPr="0041141E">
        <w:rPr>
          <w:sz w:val="20"/>
          <w:lang w:val="fr-CA"/>
        </w:rPr>
        <w:noBreakHyphen/>
        <w:t>intérêts</w:t>
      </w:r>
      <w:r w:rsidRPr="0041447A">
        <w:rPr>
          <w:sz w:val="20"/>
          <w:lang w:val="fr-FR"/>
        </w:rPr>
        <w:t>.</w:t>
      </w:r>
    </w:p>
    <w:p w:rsidR="00151761" w:rsidRDefault="00151761" w:rsidP="003B3977">
      <w:pPr>
        <w:rPr>
          <w:sz w:val="20"/>
          <w:szCs w:val="20"/>
          <w:lang w:val="fr-FR"/>
        </w:rPr>
      </w:pPr>
    </w:p>
    <w:p w:rsidR="0041141E" w:rsidRPr="0041141E" w:rsidRDefault="0041141E" w:rsidP="0041141E">
      <w:pPr>
        <w:pStyle w:val="SCCNormalDoubleSpacing"/>
        <w:tabs>
          <w:tab w:val="left" w:pos="720"/>
        </w:tabs>
        <w:spacing w:line="240" w:lineRule="auto"/>
        <w:rPr>
          <w:sz w:val="20"/>
          <w:lang w:val="fr-CA"/>
        </w:rPr>
      </w:pPr>
      <w:r w:rsidRPr="00881BB6">
        <w:rPr>
          <w:sz w:val="20"/>
          <w:lang w:val="fr-CA"/>
        </w:rPr>
        <w:tab/>
      </w:r>
      <w:r w:rsidRPr="0041141E">
        <w:rPr>
          <w:sz w:val="20"/>
          <w:lang w:val="fr-CA"/>
        </w:rPr>
        <w:t>POURVOI contre un arrêt de la Cour d’appel du Québec (les juges Rochette, Pelletier et Vézina), 2008 QCCA 1726, [2008] R.J.Q. 2093, 80 Admin. L.R. (4th) 43, [2008] J.Q. n</w:t>
      </w:r>
      <w:r w:rsidRPr="0041141E">
        <w:rPr>
          <w:sz w:val="20"/>
          <w:vertAlign w:val="superscript"/>
          <w:lang w:val="fr-CA"/>
        </w:rPr>
        <w:t>o</w:t>
      </w:r>
      <w:r w:rsidRPr="0041141E">
        <w:rPr>
          <w:sz w:val="20"/>
          <w:lang w:val="fr-CA"/>
        </w:rPr>
        <w:t> 8906 (QL), 2008 CarswellQue 8810, qui a confirmé une décision du juge Barakett, 2007 QCCS 1791, [2007] J.Q. n</w:t>
      </w:r>
      <w:r w:rsidRPr="0041141E">
        <w:rPr>
          <w:sz w:val="20"/>
          <w:vertAlign w:val="superscript"/>
          <w:lang w:val="fr-CA"/>
        </w:rPr>
        <w:t>o</w:t>
      </w:r>
      <w:r w:rsidRPr="0041141E">
        <w:rPr>
          <w:sz w:val="20"/>
          <w:lang w:val="fr-CA"/>
        </w:rPr>
        <w:t xml:space="preserve"> 3353 (QL), 2007 CarswellQue 3131.  Pourvoi rejeté. </w:t>
      </w:r>
    </w:p>
    <w:p w:rsidR="0041141E" w:rsidRPr="0041141E" w:rsidRDefault="0041141E" w:rsidP="0041141E">
      <w:pPr>
        <w:pStyle w:val="SCCNormalDoubleSpacing"/>
        <w:tabs>
          <w:tab w:val="left" w:pos="720"/>
        </w:tabs>
        <w:spacing w:line="240" w:lineRule="auto"/>
        <w:rPr>
          <w:sz w:val="20"/>
          <w:lang w:val="fr-CA"/>
        </w:rPr>
      </w:pPr>
    </w:p>
    <w:p w:rsidR="0041141E" w:rsidRPr="0041141E" w:rsidRDefault="0041141E" w:rsidP="0041141E">
      <w:pPr>
        <w:pStyle w:val="SCCNormalDoubleSpacing"/>
        <w:tabs>
          <w:tab w:val="left" w:pos="720"/>
        </w:tabs>
        <w:spacing w:line="240" w:lineRule="auto"/>
        <w:rPr>
          <w:sz w:val="20"/>
          <w:lang w:val="fr-CA"/>
        </w:rPr>
      </w:pPr>
      <w:r w:rsidRPr="0041141E">
        <w:rPr>
          <w:rStyle w:val="SCCCounselNameChar"/>
          <w:sz w:val="20"/>
          <w:lang w:val="fr-CA"/>
        </w:rPr>
        <w:tab/>
        <w:t>Christopher M. Rupar, Alain Préfontaine</w:t>
      </w:r>
      <w:r w:rsidRPr="0041447A">
        <w:rPr>
          <w:rStyle w:val="SCCCounselSeparatorChar"/>
          <w:sz w:val="20"/>
        </w:rPr>
        <w:t xml:space="preserve"> et </w:t>
      </w:r>
      <w:r w:rsidRPr="0041141E">
        <w:rPr>
          <w:rStyle w:val="SCCCounselNameChar"/>
          <w:sz w:val="20"/>
          <w:lang w:val="fr-CA"/>
        </w:rPr>
        <w:t>Bernard Letarte</w:t>
      </w:r>
      <w:r w:rsidRPr="0041141E">
        <w:rPr>
          <w:rStyle w:val="SCCCounselPartyRoleChar"/>
          <w:sz w:val="20"/>
          <w:lang w:val="fr-CA"/>
        </w:rPr>
        <w:t>, pour l’appelante.</w:t>
      </w:r>
    </w:p>
    <w:p w:rsidR="0041141E" w:rsidRPr="0041141E" w:rsidRDefault="0041141E" w:rsidP="0041141E">
      <w:pPr>
        <w:pStyle w:val="SCCNormalDoubleSpacing"/>
        <w:tabs>
          <w:tab w:val="left" w:pos="720"/>
        </w:tabs>
        <w:spacing w:line="240" w:lineRule="auto"/>
        <w:rPr>
          <w:sz w:val="20"/>
          <w:lang w:val="fr-CA"/>
        </w:rPr>
      </w:pPr>
    </w:p>
    <w:p w:rsidR="0041141E" w:rsidRPr="0041141E" w:rsidRDefault="0041141E" w:rsidP="0041141E">
      <w:pPr>
        <w:pStyle w:val="SCCNormalDoubleSpacing"/>
        <w:tabs>
          <w:tab w:val="left" w:pos="720"/>
        </w:tabs>
        <w:spacing w:line="240" w:lineRule="auto"/>
        <w:rPr>
          <w:sz w:val="20"/>
          <w:lang w:val="fr-CA"/>
        </w:rPr>
      </w:pPr>
      <w:r w:rsidRPr="0041141E">
        <w:rPr>
          <w:rStyle w:val="SCCCounselNameChar"/>
          <w:sz w:val="20"/>
          <w:lang w:val="fr-CA"/>
        </w:rPr>
        <w:tab/>
        <w:t>Pierre Labelle</w:t>
      </w:r>
      <w:r w:rsidRPr="0041141E">
        <w:rPr>
          <w:rStyle w:val="SCCCounselPartyRoleChar"/>
          <w:sz w:val="20"/>
          <w:lang w:val="fr-CA"/>
        </w:rPr>
        <w:t>, pour l’intimé l’Institut professionnel de la fonction publique du Canada.</w:t>
      </w:r>
    </w:p>
    <w:p w:rsidR="0041141E" w:rsidRPr="0041141E" w:rsidRDefault="0041141E" w:rsidP="0041141E">
      <w:pPr>
        <w:pStyle w:val="SCCNormalDoubleSpacing"/>
        <w:tabs>
          <w:tab w:val="left" w:pos="720"/>
        </w:tabs>
        <w:spacing w:line="240" w:lineRule="auto"/>
        <w:rPr>
          <w:sz w:val="20"/>
          <w:lang w:val="fr-CA"/>
        </w:rPr>
      </w:pPr>
    </w:p>
    <w:p w:rsidR="0041141E" w:rsidRPr="0041141E" w:rsidRDefault="0041141E" w:rsidP="0041141E">
      <w:pPr>
        <w:pStyle w:val="SCCNormalDoubleSpacing"/>
        <w:tabs>
          <w:tab w:val="left" w:pos="720"/>
        </w:tabs>
        <w:spacing w:line="240" w:lineRule="auto"/>
        <w:rPr>
          <w:sz w:val="20"/>
          <w:lang w:val="fr-CA"/>
        </w:rPr>
      </w:pPr>
      <w:r w:rsidRPr="0041141E">
        <w:rPr>
          <w:rStyle w:val="SCCCounselNameChar"/>
          <w:sz w:val="20"/>
          <w:lang w:val="fr-CA"/>
        </w:rPr>
        <w:tab/>
        <w:t>Philippe Ferland</w:t>
      </w:r>
      <w:r w:rsidRPr="0041447A">
        <w:rPr>
          <w:rStyle w:val="SCCCounselSeparatorChar"/>
          <w:sz w:val="20"/>
        </w:rPr>
        <w:t xml:space="preserve"> et </w:t>
      </w:r>
      <w:r w:rsidRPr="0041141E">
        <w:rPr>
          <w:rStyle w:val="SCCCounselNameChar"/>
          <w:sz w:val="20"/>
          <w:lang w:val="fr-CA"/>
        </w:rPr>
        <w:t>France Brosseau</w:t>
      </w:r>
      <w:r w:rsidRPr="0041141E">
        <w:rPr>
          <w:rStyle w:val="SCCCounselPartyRoleChar"/>
          <w:sz w:val="20"/>
          <w:lang w:val="fr-CA"/>
        </w:rPr>
        <w:t>, pour les intimés Dany Beauregard et autres.</w:t>
      </w:r>
    </w:p>
    <w:p w:rsidR="0041141E" w:rsidRPr="0041141E" w:rsidRDefault="0041141E" w:rsidP="0041141E">
      <w:pPr>
        <w:pStyle w:val="SCCNormalDoubleSpacing"/>
        <w:tabs>
          <w:tab w:val="left" w:pos="720"/>
        </w:tabs>
        <w:spacing w:line="240" w:lineRule="auto"/>
        <w:rPr>
          <w:sz w:val="20"/>
          <w:lang w:val="fr-CA"/>
        </w:rPr>
      </w:pPr>
    </w:p>
    <w:p w:rsidR="0041141E" w:rsidRPr="0041141E" w:rsidRDefault="0041141E" w:rsidP="0041141E">
      <w:pPr>
        <w:pStyle w:val="SCCNormalDoubleSpacing"/>
        <w:tabs>
          <w:tab w:val="left" w:pos="720"/>
        </w:tabs>
        <w:spacing w:line="240" w:lineRule="auto"/>
        <w:rPr>
          <w:sz w:val="20"/>
          <w:lang w:val="fr-CA"/>
        </w:rPr>
      </w:pPr>
      <w:r w:rsidRPr="0041141E">
        <w:rPr>
          <w:rStyle w:val="SCCCounselNameChar"/>
          <w:sz w:val="20"/>
          <w:lang w:val="fr-CA"/>
        </w:rPr>
        <w:tab/>
        <w:t>Louis Huot</w:t>
      </w:r>
      <w:r w:rsidRPr="0041141E">
        <w:rPr>
          <w:rStyle w:val="SCCCounselPartyRoleChar"/>
          <w:sz w:val="20"/>
          <w:lang w:val="fr-CA"/>
        </w:rPr>
        <w:t>, pour les intimées Olymel S.E.C., Exceldor coopérative avicole et Supraliment S.E.C.</w:t>
      </w:r>
    </w:p>
    <w:p w:rsidR="0041141E" w:rsidRPr="0041141E" w:rsidRDefault="0041141E" w:rsidP="0041141E">
      <w:pPr>
        <w:pStyle w:val="SCCLawFirm"/>
        <w:tabs>
          <w:tab w:val="left" w:pos="720"/>
        </w:tabs>
        <w:spacing w:line="240" w:lineRule="auto"/>
        <w:rPr>
          <w:sz w:val="20"/>
          <w:lang w:val="fr-CA"/>
        </w:rPr>
      </w:pPr>
    </w:p>
    <w:p w:rsidR="0041141E" w:rsidRPr="0041141E" w:rsidRDefault="0041141E" w:rsidP="0041141E">
      <w:pPr>
        <w:pStyle w:val="SCCLawFirm"/>
        <w:tabs>
          <w:tab w:val="left" w:pos="720"/>
        </w:tabs>
        <w:spacing w:line="240" w:lineRule="auto"/>
        <w:rPr>
          <w:sz w:val="20"/>
          <w:lang w:val="fr-CA"/>
        </w:rPr>
      </w:pPr>
      <w:r w:rsidRPr="0041141E">
        <w:rPr>
          <w:sz w:val="20"/>
          <w:lang w:val="fr-CA"/>
        </w:rPr>
        <w:tab/>
        <w:t>Procureur de l’appelante : Ministère de la Justice, Ottawa.</w:t>
      </w:r>
    </w:p>
    <w:p w:rsidR="0041141E" w:rsidRPr="0041141E" w:rsidRDefault="0041141E" w:rsidP="0041141E">
      <w:pPr>
        <w:pStyle w:val="SCCLawFirm"/>
        <w:tabs>
          <w:tab w:val="left" w:pos="720"/>
        </w:tabs>
        <w:spacing w:line="240" w:lineRule="auto"/>
        <w:rPr>
          <w:sz w:val="20"/>
          <w:lang w:val="fr-CA"/>
        </w:rPr>
      </w:pPr>
    </w:p>
    <w:p w:rsidR="0041141E" w:rsidRPr="0041141E" w:rsidRDefault="0041141E" w:rsidP="0041141E">
      <w:pPr>
        <w:pStyle w:val="SCCLawFirm"/>
        <w:tabs>
          <w:tab w:val="left" w:pos="720"/>
        </w:tabs>
        <w:spacing w:line="240" w:lineRule="auto"/>
        <w:rPr>
          <w:sz w:val="20"/>
          <w:lang w:val="fr-CA"/>
        </w:rPr>
      </w:pPr>
      <w:r w:rsidRPr="0041141E">
        <w:rPr>
          <w:sz w:val="20"/>
          <w:lang w:val="fr-CA"/>
        </w:rPr>
        <w:tab/>
        <w:t>Procureurs de l’intimé l’Institut professionnel de la fonction publique du Canada : De Grandpré Chait, Montréal.</w:t>
      </w:r>
    </w:p>
    <w:p w:rsidR="0041141E" w:rsidRPr="0041141E" w:rsidRDefault="0041141E" w:rsidP="0041141E">
      <w:pPr>
        <w:pStyle w:val="SCCLawFirm"/>
        <w:tabs>
          <w:tab w:val="left" w:pos="720"/>
        </w:tabs>
        <w:spacing w:line="240" w:lineRule="auto"/>
        <w:rPr>
          <w:sz w:val="20"/>
          <w:lang w:val="fr-CA"/>
        </w:rPr>
      </w:pPr>
    </w:p>
    <w:p w:rsidR="0041141E" w:rsidRPr="0041141E" w:rsidRDefault="0041141E" w:rsidP="0041141E">
      <w:pPr>
        <w:pStyle w:val="SCCLawFirm"/>
        <w:tabs>
          <w:tab w:val="left" w:pos="720"/>
        </w:tabs>
        <w:spacing w:line="240" w:lineRule="auto"/>
        <w:rPr>
          <w:sz w:val="20"/>
          <w:lang w:val="fr-CA"/>
        </w:rPr>
      </w:pPr>
      <w:r w:rsidRPr="0041141E">
        <w:rPr>
          <w:sz w:val="20"/>
          <w:lang w:val="fr-CA"/>
        </w:rPr>
        <w:tab/>
        <w:t>Procureurs des intimés Dany Beauregard et autres : Béland, Ferland, Brosseau, Montréal.</w:t>
      </w:r>
    </w:p>
    <w:p w:rsidR="0041141E" w:rsidRPr="0041141E" w:rsidRDefault="0041141E" w:rsidP="0041141E">
      <w:pPr>
        <w:pStyle w:val="SCCLawFirm"/>
        <w:tabs>
          <w:tab w:val="left" w:pos="720"/>
        </w:tabs>
        <w:spacing w:line="240" w:lineRule="auto"/>
        <w:rPr>
          <w:sz w:val="20"/>
          <w:lang w:val="fr-CA"/>
        </w:rPr>
      </w:pPr>
    </w:p>
    <w:p w:rsidR="0041141E" w:rsidRPr="0041141E" w:rsidRDefault="0041141E" w:rsidP="0041141E">
      <w:pPr>
        <w:rPr>
          <w:i/>
          <w:sz w:val="20"/>
          <w:szCs w:val="20"/>
          <w:lang w:val="fr-CA"/>
        </w:rPr>
      </w:pPr>
      <w:r w:rsidRPr="0041141E">
        <w:rPr>
          <w:rFonts w:cs="Times New Roman"/>
          <w:i/>
          <w:sz w:val="20"/>
          <w:szCs w:val="20"/>
          <w:lang w:val="fr-CA"/>
        </w:rPr>
        <w:tab/>
        <w:t>Procureurs des intimées Olymel S.E.C., Exceldor coopérative avicole et Supraliment S.E.C. : Stein Monast, Québec.</w:t>
      </w:r>
    </w:p>
    <w:p w:rsidR="00151761" w:rsidRPr="0041141E" w:rsidRDefault="00151761" w:rsidP="00151761">
      <w:pPr>
        <w:rPr>
          <w:rFonts w:cs="Times New Roman"/>
          <w:sz w:val="20"/>
          <w:szCs w:val="20"/>
        </w:rPr>
      </w:pPr>
      <w:r w:rsidRPr="0041141E">
        <w:rPr>
          <w:rFonts w:cs="Times New Roman"/>
          <w:sz w:val="20"/>
          <w:szCs w:val="20"/>
        </w:rPr>
        <w:t>________________________</w:t>
      </w:r>
    </w:p>
    <w:p w:rsidR="00151761" w:rsidRPr="0041141E" w:rsidRDefault="00151761" w:rsidP="00151761">
      <w:pPr>
        <w:rPr>
          <w:rFonts w:cs="Times New Roman"/>
          <w:sz w:val="20"/>
          <w:szCs w:val="20"/>
        </w:rPr>
      </w:pPr>
    </w:p>
    <w:p w:rsidR="0041141E" w:rsidRPr="00D77A09" w:rsidRDefault="0041141E" w:rsidP="0041141E">
      <w:pPr>
        <w:jc w:val="both"/>
        <w:rPr>
          <w:rFonts w:cs="Times New Roman"/>
          <w:sz w:val="20"/>
          <w:szCs w:val="20"/>
        </w:rPr>
      </w:pPr>
      <w:r w:rsidRPr="00D77A09">
        <w:rPr>
          <w:rFonts w:cs="Times New Roman"/>
          <w:sz w:val="20"/>
          <w:szCs w:val="20"/>
        </w:rPr>
        <w:t>Present:  Binnie, LeBel, Deschamps, Abella, Charron, Rothstein and Cromwell JJ.</w:t>
      </w:r>
    </w:p>
    <w:p w:rsidR="00151761" w:rsidRDefault="00151761" w:rsidP="003B3977">
      <w:pPr>
        <w:rPr>
          <w:sz w:val="20"/>
          <w:szCs w:val="20"/>
        </w:rPr>
      </w:pPr>
    </w:p>
    <w:p w:rsidR="00DC00E0" w:rsidRPr="00D77A09" w:rsidRDefault="00DC00E0" w:rsidP="00DC00E0">
      <w:pPr>
        <w:pStyle w:val="SCCNormalDoubleSpacing"/>
        <w:tabs>
          <w:tab w:val="left" w:pos="720"/>
        </w:tabs>
        <w:spacing w:line="240" w:lineRule="auto"/>
        <w:rPr>
          <w:i/>
          <w:sz w:val="20"/>
        </w:rPr>
      </w:pPr>
      <w:r w:rsidRPr="00D77A09">
        <w:rPr>
          <w:i/>
          <w:sz w:val="20"/>
        </w:rPr>
        <w:tab/>
        <w:t>Courts — Jurisdiction — Provincial superior courts — Action brought against Crown servants and union in Superior Court of Quebec alleging civil liability — Defendants bringing recourses in warranty against federal agency — Whether defendants entitled to bring recourses in warranty in Superior Court of Quebec without first proceeding by way of judicial review before Federal Court.</w:t>
      </w:r>
    </w:p>
    <w:p w:rsidR="00DC00E0" w:rsidRPr="00D77A09" w:rsidRDefault="00DC00E0" w:rsidP="00DC00E0">
      <w:pPr>
        <w:pStyle w:val="SCCNormalDoubleSpacing"/>
        <w:tabs>
          <w:tab w:val="left" w:pos="720"/>
        </w:tabs>
        <w:spacing w:line="240" w:lineRule="auto"/>
        <w:rPr>
          <w:i/>
          <w:sz w:val="20"/>
        </w:rPr>
      </w:pPr>
    </w:p>
    <w:p w:rsidR="00DC00E0" w:rsidRPr="00D77A09" w:rsidRDefault="00DC00E0" w:rsidP="00DC00E0">
      <w:pPr>
        <w:pStyle w:val="SCCNormalDoubleSpacing"/>
        <w:tabs>
          <w:tab w:val="left" w:pos="720"/>
        </w:tabs>
        <w:spacing w:line="240" w:lineRule="auto"/>
        <w:rPr>
          <w:i/>
          <w:sz w:val="20"/>
        </w:rPr>
      </w:pPr>
      <w:r w:rsidRPr="00D77A09">
        <w:rPr>
          <w:i/>
          <w:sz w:val="20"/>
        </w:rPr>
        <w:tab/>
        <w:t>Crown law — Crown liability — Civil liability — Action brought against Crown servants and union in Superior Court of Quebec alleging civil liability — Defendants bringing recourses in warranty against federal agency alleging that cause of damage was agency’s decision — Whether decision of federal agency can constitute fault in Quebec even if it is lawful and valid — Crown Liability and Proceedings Act, R.S.C. 1985, c. C</w:t>
      </w:r>
      <w:r w:rsidRPr="00D77A09">
        <w:rPr>
          <w:i/>
          <w:sz w:val="20"/>
        </w:rPr>
        <w:noBreakHyphen/>
        <w:t>50, ss. 2, 3; Civil Code of Québec, R.S.Q., c. C</w:t>
      </w:r>
      <w:r w:rsidRPr="00D77A09">
        <w:rPr>
          <w:i/>
          <w:sz w:val="20"/>
        </w:rPr>
        <w:noBreakHyphen/>
        <w:t>1991, art. 1376, 1457.</w:t>
      </w:r>
    </w:p>
    <w:p w:rsidR="00DC00E0" w:rsidRPr="00D77A09" w:rsidRDefault="00DC00E0" w:rsidP="00DC00E0">
      <w:pPr>
        <w:pStyle w:val="SCCNormalDoubleSpacing"/>
        <w:tabs>
          <w:tab w:val="left" w:pos="720"/>
        </w:tabs>
        <w:spacing w:line="240" w:lineRule="auto"/>
        <w:rPr>
          <w:sz w:val="20"/>
        </w:rPr>
      </w:pPr>
    </w:p>
    <w:p w:rsidR="00DC00E0" w:rsidRPr="00D77A09" w:rsidRDefault="00DC00E0" w:rsidP="00DC00E0">
      <w:pPr>
        <w:pStyle w:val="SCCNormalDoubleSpacing"/>
        <w:tabs>
          <w:tab w:val="left" w:pos="720"/>
        </w:tabs>
        <w:spacing w:line="240" w:lineRule="auto"/>
        <w:rPr>
          <w:sz w:val="20"/>
        </w:rPr>
      </w:pPr>
      <w:r w:rsidRPr="00D77A09">
        <w:rPr>
          <w:sz w:val="20"/>
        </w:rPr>
        <w:tab/>
        <w:t xml:space="preserve">In 2001, veterinarians assigned to inspect slaughterhouses in Quebec were involved in a labour dispute with the Canadian Food Inspection Agency (the “CFIA”).  They did not report for work during December 2001.  The CFIA subsequently issued a direction providing that, since the veterinarians were not available to carry out inspections during the relevant period, the meat and meat products did not meet the requirements of the </w:t>
      </w:r>
      <w:r w:rsidRPr="00D77A09">
        <w:rPr>
          <w:i/>
          <w:sz w:val="20"/>
        </w:rPr>
        <w:t>Meat Inspection Regulations, 1990</w:t>
      </w:r>
      <w:r w:rsidRPr="00D77A09">
        <w:rPr>
          <w:sz w:val="20"/>
        </w:rPr>
        <w:t>, and therefore had to be destroyed or disposed of as inedible material.  The slaughterhouse operators did not apply for judicial review, but commenced an action in the Quebec Superior Court, seeking nearly $1.8 million in damages from the veterinarians and their representative, the Professional Institute of the Public Service of Canada (the “Institute”).  In their defence, the Institute and the veterinarians argued that any damage resulted from the decision and measures of the CFIA.  They each called the CFIA in warranty, but the CFIA brought motions to dismiss the recourses in warranty on the ground that the direction issued by it was a decision of a federal board in respect of which the Superior Court could have no jurisdiction unless the decision was first quashed on judicial review by the Federal Court.  The Superior Court dismissed the motions and the Court of Appeal upheld the decision.  It held that the recourses in warranty, viewed as a whole, and the nature of the particular conclusions being sought showed that the Institute and the veterinarians were seeking a remedy in the form of damages and were not, at least at this stage, contesting the validity of the CFIA’s decision.  The lower courts also held that a decision of the CFIA could constitute a fault in Quebec civil law even if it were valid.</w:t>
      </w:r>
    </w:p>
    <w:p w:rsidR="00DC00E0" w:rsidRPr="00D77A09" w:rsidRDefault="00DC00E0" w:rsidP="00DC00E0">
      <w:pPr>
        <w:pStyle w:val="SCCNormalDoubleSpacing"/>
        <w:tabs>
          <w:tab w:val="left" w:pos="720"/>
        </w:tabs>
        <w:spacing w:line="240" w:lineRule="auto"/>
        <w:rPr>
          <w:sz w:val="20"/>
        </w:rPr>
      </w:pPr>
    </w:p>
    <w:p w:rsidR="00DC00E0" w:rsidRPr="00D77A09" w:rsidRDefault="00DC00E0" w:rsidP="00DC00E0">
      <w:pPr>
        <w:pStyle w:val="SCCNormalDoubleSpacing"/>
        <w:tabs>
          <w:tab w:val="left" w:pos="720"/>
        </w:tabs>
        <w:spacing w:line="240" w:lineRule="auto"/>
        <w:rPr>
          <w:sz w:val="20"/>
        </w:rPr>
      </w:pPr>
      <w:r w:rsidRPr="00D77A09">
        <w:rPr>
          <w:sz w:val="20"/>
        </w:rPr>
        <w:tab/>
      </w:r>
      <w:r w:rsidRPr="00DC00E0">
        <w:rPr>
          <w:rStyle w:val="QuoteChar"/>
          <w:sz w:val="20"/>
          <w:lang w:val="en-CA"/>
        </w:rPr>
        <w:t>Held:</w:t>
      </w:r>
      <w:r w:rsidRPr="00D77A09">
        <w:rPr>
          <w:sz w:val="20"/>
        </w:rPr>
        <w:t xml:space="preserve">  The appeal should be dismissed.</w:t>
      </w:r>
    </w:p>
    <w:p w:rsidR="00DC00E0" w:rsidRPr="00D77A09" w:rsidRDefault="00DC00E0" w:rsidP="00DC00E0">
      <w:pPr>
        <w:pStyle w:val="SCCNormalDoubleSpacing"/>
        <w:tabs>
          <w:tab w:val="left" w:pos="720"/>
        </w:tabs>
        <w:spacing w:line="240" w:lineRule="auto"/>
        <w:rPr>
          <w:sz w:val="20"/>
        </w:rPr>
      </w:pPr>
    </w:p>
    <w:p w:rsidR="00DC00E0" w:rsidRPr="00D77A09" w:rsidRDefault="00DC00E0" w:rsidP="00DC00E0">
      <w:pPr>
        <w:pStyle w:val="SCCNormalDoubleSpacing"/>
        <w:tabs>
          <w:tab w:val="left" w:pos="720"/>
        </w:tabs>
        <w:spacing w:line="240" w:lineRule="auto"/>
        <w:rPr>
          <w:sz w:val="20"/>
        </w:rPr>
      </w:pPr>
      <w:r w:rsidRPr="00D77A09">
        <w:rPr>
          <w:sz w:val="20"/>
        </w:rPr>
        <w:tab/>
        <w:t xml:space="preserve">For the reasons set out in </w:t>
      </w:r>
      <w:r w:rsidRPr="00D77A09">
        <w:rPr>
          <w:i/>
          <w:sz w:val="20"/>
        </w:rPr>
        <w:t>Canada (Attorney General) v. TeleZone Inc.</w:t>
      </w:r>
      <w:r w:rsidRPr="00D77A09">
        <w:rPr>
          <w:sz w:val="20"/>
        </w:rPr>
        <w:t xml:space="preserve">, 2010 SCC 62, successfully challenging an administrative decision of a federal board on judicial review before the Federal Court is not a requirement for bringing an action for damages with respect to that decision.  The principle formulated in </w:t>
      </w:r>
      <w:r w:rsidRPr="00D77A09">
        <w:rPr>
          <w:i/>
          <w:sz w:val="20"/>
        </w:rPr>
        <w:t>Canada v. Grenier</w:t>
      </w:r>
      <w:r w:rsidRPr="00D77A09">
        <w:rPr>
          <w:sz w:val="20"/>
        </w:rPr>
        <w:t xml:space="preserve">, 2005 FCA 348, [2006] 2 F.C.R. 287, namely that the only remedy for damage resulting from an action of a federal administrative agency lies in an application to the Federal Court for judicial review, should no longer be seen as shielding the federal Crown from civil liability in respect of all damage caused by its agents.  In Quebec, the combined effect of the </w:t>
      </w:r>
      <w:r w:rsidRPr="00D77A09">
        <w:rPr>
          <w:i/>
          <w:sz w:val="20"/>
          <w:lang w:val="en-US"/>
        </w:rPr>
        <w:t>Crown Liability and Proceedings Act</w:t>
      </w:r>
      <w:r w:rsidRPr="00D77A09">
        <w:rPr>
          <w:sz w:val="20"/>
          <w:lang w:val="en-US"/>
        </w:rPr>
        <w:t xml:space="preserve"> and </w:t>
      </w:r>
      <w:r w:rsidRPr="00D77A09">
        <w:rPr>
          <w:sz w:val="20"/>
        </w:rPr>
        <w:t xml:space="preserve">the </w:t>
      </w:r>
      <w:r w:rsidRPr="00D77A09">
        <w:rPr>
          <w:i/>
          <w:sz w:val="20"/>
        </w:rPr>
        <w:t xml:space="preserve">Civil Code of Québec </w:t>
      </w:r>
      <w:r w:rsidRPr="00D77A09">
        <w:rPr>
          <w:sz w:val="20"/>
        </w:rPr>
        <w:t xml:space="preserve">is that the federal Crown is subject to the rules respecting civil liability set out in art. 1457 </w:t>
      </w:r>
      <w:r w:rsidRPr="00D77A09">
        <w:rPr>
          <w:i/>
          <w:iCs/>
          <w:sz w:val="20"/>
        </w:rPr>
        <w:t>C.C.Q</w:t>
      </w:r>
      <w:r w:rsidRPr="00D77A09">
        <w:rPr>
          <w:sz w:val="20"/>
        </w:rPr>
        <w:t xml:space="preserve">.  The fact that the federal Crown is subject to Quebec’s rules of </w:t>
      </w:r>
      <w:r w:rsidRPr="00D77A09">
        <w:rPr>
          <w:color w:val="000000"/>
          <w:sz w:val="20"/>
          <w:lang w:eastAsia="en-US"/>
        </w:rPr>
        <w:t>extracontractual civil liability where</w:t>
      </w:r>
      <w:r w:rsidRPr="00D77A09">
        <w:rPr>
          <w:sz w:val="20"/>
        </w:rPr>
        <w:t xml:space="preserve"> damage allegedly caused by the fault of its agents is concerned does not preclude it from invoking its immunity, but such arguments are more appropriately dealt with at the hearing on the merits.  Here, the Superior Court has jurisdiction over the parties and over the subject matter of the dispute.  The recourses in warranty could not be characterized as an attack on the legality or the validity of the CFIA’s decision in the guise of an action for damages.</w:t>
      </w:r>
    </w:p>
    <w:p w:rsidR="0041141E" w:rsidRDefault="0041141E" w:rsidP="003B3977">
      <w:pPr>
        <w:rPr>
          <w:sz w:val="20"/>
          <w:szCs w:val="20"/>
        </w:rPr>
      </w:pPr>
    </w:p>
    <w:p w:rsidR="00DC00E0" w:rsidRPr="00D77A09" w:rsidRDefault="00DC00E0" w:rsidP="00DC00E0">
      <w:pPr>
        <w:pStyle w:val="SCCNormalDoubleSpacing"/>
        <w:tabs>
          <w:tab w:val="left" w:pos="720"/>
        </w:tabs>
        <w:spacing w:line="240" w:lineRule="auto"/>
        <w:rPr>
          <w:sz w:val="20"/>
        </w:rPr>
      </w:pPr>
      <w:r w:rsidRPr="00D77A09">
        <w:rPr>
          <w:sz w:val="20"/>
        </w:rPr>
        <w:tab/>
        <w:t>APPEAL from a judgment of the Quebec Court of Appeal (Rochette, Pelletier and Vézina JJ.A.), 2008 QCCA 1726, [2008] R.J.Q. 2093, 80 Admin. L.R. (4th) 43, [2008] Q.J. No. 8906 (QL), 2008 CarswellQue 14621, affirming a decision of Barakett J., 2007 QCCS 1791, [2007] J.Q. n</w:t>
      </w:r>
      <w:r w:rsidRPr="00D77A09">
        <w:rPr>
          <w:sz w:val="20"/>
          <w:vertAlign w:val="superscript"/>
        </w:rPr>
        <w:t>o</w:t>
      </w:r>
      <w:r w:rsidRPr="00D77A09">
        <w:rPr>
          <w:sz w:val="20"/>
        </w:rPr>
        <w:t xml:space="preserve"> 3353 (QL), 2007 CarswellQue 3131.  Appeal dismissed. </w:t>
      </w:r>
    </w:p>
    <w:p w:rsidR="00DC00E0" w:rsidRPr="00D77A09" w:rsidRDefault="00DC00E0" w:rsidP="00DC00E0">
      <w:pPr>
        <w:pStyle w:val="SCCNormalDoubleSpacing"/>
        <w:tabs>
          <w:tab w:val="left" w:pos="720"/>
        </w:tabs>
        <w:spacing w:line="240" w:lineRule="auto"/>
        <w:rPr>
          <w:sz w:val="20"/>
        </w:rPr>
      </w:pPr>
    </w:p>
    <w:p w:rsidR="00DC00E0" w:rsidRPr="00D77A09" w:rsidRDefault="00DC00E0" w:rsidP="00DC00E0">
      <w:pPr>
        <w:pStyle w:val="SCCNormalDoubleSpacing"/>
        <w:tabs>
          <w:tab w:val="left" w:pos="720"/>
        </w:tabs>
        <w:spacing w:line="240" w:lineRule="auto"/>
        <w:rPr>
          <w:sz w:val="20"/>
        </w:rPr>
      </w:pPr>
      <w:r w:rsidRPr="00D77A09">
        <w:rPr>
          <w:rStyle w:val="SCCCounselNameChar"/>
          <w:sz w:val="20"/>
        </w:rPr>
        <w:tab/>
        <w:t>Christopher M. Rupar, Alain Préfontaine</w:t>
      </w:r>
      <w:r w:rsidRPr="00DC00E0">
        <w:rPr>
          <w:rStyle w:val="SCCCounselSeparatorChar"/>
          <w:sz w:val="20"/>
          <w:lang w:val="en-CA"/>
        </w:rPr>
        <w:t xml:space="preserve"> and </w:t>
      </w:r>
      <w:r w:rsidRPr="00D77A09">
        <w:rPr>
          <w:rStyle w:val="SCCCounselNameChar"/>
          <w:sz w:val="20"/>
        </w:rPr>
        <w:t>Bernard Letarte</w:t>
      </w:r>
      <w:r w:rsidRPr="00D77A09">
        <w:rPr>
          <w:rStyle w:val="SCCCounselPartyRoleChar"/>
          <w:sz w:val="20"/>
        </w:rPr>
        <w:t>, for the appellant.</w:t>
      </w:r>
    </w:p>
    <w:p w:rsidR="00DC00E0" w:rsidRPr="00D77A09" w:rsidRDefault="00DC00E0" w:rsidP="00DC00E0">
      <w:pPr>
        <w:pStyle w:val="SCCNormalDoubleSpacing"/>
        <w:tabs>
          <w:tab w:val="left" w:pos="720"/>
        </w:tabs>
        <w:spacing w:line="240" w:lineRule="auto"/>
        <w:rPr>
          <w:sz w:val="20"/>
        </w:rPr>
      </w:pPr>
    </w:p>
    <w:p w:rsidR="00DC00E0" w:rsidRPr="00D77A09" w:rsidRDefault="00DC00E0" w:rsidP="00DC00E0">
      <w:pPr>
        <w:pStyle w:val="SCCNormalDoubleSpacing"/>
        <w:tabs>
          <w:tab w:val="left" w:pos="720"/>
        </w:tabs>
        <w:spacing w:line="240" w:lineRule="auto"/>
        <w:rPr>
          <w:sz w:val="20"/>
        </w:rPr>
      </w:pPr>
      <w:r w:rsidRPr="00D77A09">
        <w:rPr>
          <w:sz w:val="20"/>
        </w:rPr>
        <w:tab/>
      </w:r>
      <w:r w:rsidRPr="00D77A09">
        <w:rPr>
          <w:i/>
          <w:sz w:val="20"/>
        </w:rPr>
        <w:t>Pierre Labelle</w:t>
      </w:r>
      <w:r w:rsidRPr="00D77A09">
        <w:rPr>
          <w:sz w:val="20"/>
        </w:rPr>
        <w:t xml:space="preserve">, for the respondent the Professional Institute of the Public Service of Canada. </w:t>
      </w:r>
    </w:p>
    <w:p w:rsidR="00DC00E0" w:rsidRPr="00D77A09" w:rsidRDefault="00DC00E0" w:rsidP="00DC00E0">
      <w:pPr>
        <w:pStyle w:val="SCCNormalDoubleSpacing"/>
        <w:tabs>
          <w:tab w:val="left" w:pos="720"/>
        </w:tabs>
        <w:spacing w:line="240" w:lineRule="auto"/>
        <w:rPr>
          <w:sz w:val="20"/>
        </w:rPr>
      </w:pPr>
    </w:p>
    <w:p w:rsidR="00DC00E0" w:rsidRPr="00D77A09" w:rsidRDefault="00DC00E0" w:rsidP="00DC00E0">
      <w:pPr>
        <w:pStyle w:val="SCCNormalDoubleSpacing"/>
        <w:tabs>
          <w:tab w:val="left" w:pos="720"/>
        </w:tabs>
        <w:spacing w:line="240" w:lineRule="auto"/>
        <w:rPr>
          <w:sz w:val="20"/>
          <w:lang w:val="en-US"/>
        </w:rPr>
      </w:pPr>
      <w:r w:rsidRPr="00D77A09">
        <w:rPr>
          <w:sz w:val="20"/>
        </w:rPr>
        <w:tab/>
      </w:r>
      <w:r w:rsidRPr="00D77A09">
        <w:rPr>
          <w:i/>
          <w:sz w:val="20"/>
          <w:lang w:val="en-US"/>
        </w:rPr>
        <w:t>Philippe Ferland</w:t>
      </w:r>
      <w:r w:rsidRPr="00D77A09">
        <w:rPr>
          <w:sz w:val="20"/>
          <w:lang w:val="en-US"/>
        </w:rPr>
        <w:t xml:space="preserve"> and </w:t>
      </w:r>
      <w:r w:rsidRPr="00D77A09">
        <w:rPr>
          <w:i/>
          <w:sz w:val="20"/>
          <w:lang w:val="en-US"/>
        </w:rPr>
        <w:t>France Brosseau</w:t>
      </w:r>
      <w:r w:rsidRPr="00D77A09">
        <w:rPr>
          <w:sz w:val="20"/>
          <w:lang w:val="en-US"/>
        </w:rPr>
        <w:t>, for the respondents Dany Beauregard et al.</w:t>
      </w:r>
    </w:p>
    <w:p w:rsidR="00DC00E0" w:rsidRPr="00D77A09" w:rsidRDefault="00DC00E0" w:rsidP="00DC00E0">
      <w:pPr>
        <w:pStyle w:val="SCCNormalDoubleSpacing"/>
        <w:tabs>
          <w:tab w:val="left" w:pos="720"/>
        </w:tabs>
        <w:spacing w:line="240" w:lineRule="auto"/>
        <w:rPr>
          <w:sz w:val="20"/>
          <w:lang w:val="en-US"/>
        </w:rPr>
      </w:pPr>
    </w:p>
    <w:p w:rsidR="00DC00E0" w:rsidRPr="00D77A09" w:rsidRDefault="00DC00E0" w:rsidP="00DC00E0">
      <w:pPr>
        <w:pStyle w:val="SCCNormalDoubleSpacing"/>
        <w:tabs>
          <w:tab w:val="left" w:pos="720"/>
        </w:tabs>
        <w:spacing w:line="240" w:lineRule="auto"/>
        <w:rPr>
          <w:sz w:val="20"/>
        </w:rPr>
      </w:pPr>
      <w:r w:rsidRPr="00D77A09">
        <w:rPr>
          <w:rStyle w:val="SCCCounselNameChar"/>
          <w:sz w:val="20"/>
          <w:lang w:val="en-US"/>
        </w:rPr>
        <w:tab/>
      </w:r>
      <w:r w:rsidRPr="00D77A09">
        <w:rPr>
          <w:rStyle w:val="SCCCounselNameChar"/>
          <w:sz w:val="20"/>
        </w:rPr>
        <w:t>Louis Huot</w:t>
      </w:r>
      <w:r w:rsidRPr="00D77A09">
        <w:rPr>
          <w:rStyle w:val="SCCCounselPartyRoleChar"/>
          <w:sz w:val="20"/>
        </w:rPr>
        <w:t>, for the respondents Olymel S.E.C., Exceldor coopérative avicole and Supraliment S.E.C</w:t>
      </w:r>
      <w:r w:rsidRPr="00D77A09">
        <w:rPr>
          <w:rStyle w:val="SCCCounselPartyRoleChar"/>
          <w:i/>
          <w:sz w:val="20"/>
        </w:rPr>
        <w:t>.</w:t>
      </w:r>
    </w:p>
    <w:p w:rsidR="00DC00E0" w:rsidRPr="00D77A09" w:rsidRDefault="00DC00E0" w:rsidP="00DC00E0">
      <w:pPr>
        <w:tabs>
          <w:tab w:val="left" w:pos="720"/>
        </w:tabs>
        <w:rPr>
          <w:rFonts w:cs="Times New Roman"/>
          <w:sz w:val="20"/>
          <w:szCs w:val="20"/>
          <w:lang w:val="en-US"/>
        </w:rPr>
      </w:pPr>
    </w:p>
    <w:p w:rsidR="00DC00E0" w:rsidRPr="00D77A09" w:rsidRDefault="00DC00E0" w:rsidP="00DC00E0">
      <w:pPr>
        <w:pStyle w:val="SCCLawFirm"/>
        <w:tabs>
          <w:tab w:val="left" w:pos="720"/>
        </w:tabs>
        <w:spacing w:line="240" w:lineRule="auto"/>
        <w:rPr>
          <w:sz w:val="20"/>
          <w:lang w:val="en-US"/>
        </w:rPr>
      </w:pPr>
      <w:r w:rsidRPr="00D77A09">
        <w:rPr>
          <w:sz w:val="20"/>
          <w:lang w:val="en-US"/>
        </w:rPr>
        <w:tab/>
        <w:t>Solicitor for the appellant:  Department of Justice, Ottawa.</w:t>
      </w:r>
    </w:p>
    <w:p w:rsidR="00DC00E0" w:rsidRPr="00D77A09" w:rsidRDefault="00DC00E0" w:rsidP="00DC00E0">
      <w:pPr>
        <w:pStyle w:val="SCCLawFirm"/>
        <w:tabs>
          <w:tab w:val="left" w:pos="720"/>
        </w:tabs>
        <w:spacing w:line="240" w:lineRule="auto"/>
        <w:rPr>
          <w:sz w:val="20"/>
          <w:lang w:val="en-US"/>
        </w:rPr>
      </w:pPr>
    </w:p>
    <w:p w:rsidR="00DC00E0" w:rsidRPr="00D77A09" w:rsidRDefault="00DC00E0" w:rsidP="00DC00E0">
      <w:pPr>
        <w:pStyle w:val="SCCLawFirm"/>
        <w:tabs>
          <w:tab w:val="left" w:pos="720"/>
        </w:tabs>
        <w:spacing w:line="240" w:lineRule="auto"/>
        <w:rPr>
          <w:sz w:val="20"/>
          <w:lang w:val="en-US"/>
        </w:rPr>
      </w:pPr>
      <w:r w:rsidRPr="00D77A09">
        <w:rPr>
          <w:sz w:val="20"/>
          <w:lang w:val="en-US"/>
        </w:rPr>
        <w:tab/>
        <w:t xml:space="preserve">Solicitors for the respondent the </w:t>
      </w:r>
      <w:r w:rsidRPr="00D77A09">
        <w:rPr>
          <w:sz w:val="20"/>
        </w:rPr>
        <w:t>Professional Institute of the Public Service of Canada</w:t>
      </w:r>
      <w:r w:rsidRPr="00D77A09">
        <w:rPr>
          <w:sz w:val="20"/>
          <w:lang w:val="en-US"/>
        </w:rPr>
        <w:t>:  De Grandpré Chait, Montréal.</w:t>
      </w:r>
    </w:p>
    <w:p w:rsidR="00DC00E0" w:rsidRPr="00D77A09" w:rsidRDefault="00DC00E0" w:rsidP="00DC00E0">
      <w:pPr>
        <w:pStyle w:val="SCCLawFirm"/>
        <w:tabs>
          <w:tab w:val="left" w:pos="720"/>
        </w:tabs>
        <w:spacing w:line="240" w:lineRule="auto"/>
        <w:rPr>
          <w:sz w:val="20"/>
          <w:lang w:val="en-US"/>
        </w:rPr>
      </w:pPr>
    </w:p>
    <w:p w:rsidR="00DC00E0" w:rsidRPr="00D77A09" w:rsidRDefault="00DC00E0" w:rsidP="00DC00E0">
      <w:pPr>
        <w:pStyle w:val="SCCLawFirm"/>
        <w:tabs>
          <w:tab w:val="left" w:pos="720"/>
        </w:tabs>
        <w:spacing w:line="240" w:lineRule="auto"/>
        <w:rPr>
          <w:sz w:val="20"/>
          <w:lang w:val="en-US"/>
        </w:rPr>
      </w:pPr>
      <w:r w:rsidRPr="00D77A09">
        <w:rPr>
          <w:sz w:val="20"/>
          <w:lang w:val="en-US"/>
        </w:rPr>
        <w:tab/>
        <w:t>Solicitors for the respondents Dany Beauregard et al.:  Béland, Ferland, Brosseau, Montréal.</w:t>
      </w:r>
    </w:p>
    <w:p w:rsidR="00DC00E0" w:rsidRPr="00D77A09" w:rsidRDefault="00DC00E0" w:rsidP="00DC00E0">
      <w:pPr>
        <w:pStyle w:val="SCCLawFirm"/>
        <w:tabs>
          <w:tab w:val="left" w:pos="720"/>
        </w:tabs>
        <w:spacing w:line="240" w:lineRule="auto"/>
        <w:rPr>
          <w:sz w:val="20"/>
          <w:lang w:val="en-US"/>
        </w:rPr>
      </w:pPr>
    </w:p>
    <w:p w:rsidR="00DC00E0" w:rsidRPr="00D77A09" w:rsidRDefault="00DC00E0" w:rsidP="00DC00E0">
      <w:pPr>
        <w:pStyle w:val="SCCLawFirm"/>
        <w:tabs>
          <w:tab w:val="left" w:pos="720"/>
        </w:tabs>
        <w:spacing w:line="240" w:lineRule="auto"/>
        <w:rPr>
          <w:sz w:val="20"/>
        </w:rPr>
      </w:pPr>
      <w:r w:rsidRPr="00D77A09">
        <w:rPr>
          <w:sz w:val="20"/>
          <w:lang w:val="en-US"/>
        </w:rPr>
        <w:tab/>
      </w:r>
      <w:r w:rsidRPr="00D77A09">
        <w:rPr>
          <w:sz w:val="20"/>
        </w:rPr>
        <w:t>Solicitors for the respondents Olymel S.E.C., Exceldor coopérative avicole and Supraliment S.E.C.:  Stein Monast, Québec.</w:t>
      </w:r>
    </w:p>
    <w:p w:rsidR="00DC00E0" w:rsidRDefault="00DC00E0" w:rsidP="003B3977">
      <w:pPr>
        <w:rPr>
          <w:sz w:val="20"/>
          <w:szCs w:val="20"/>
        </w:rPr>
      </w:pPr>
    </w:p>
    <w:p w:rsidR="00151761" w:rsidRDefault="00D56013" w:rsidP="003B3977">
      <w:pPr>
        <w:rPr>
          <w:sz w:val="20"/>
          <w:szCs w:val="20"/>
        </w:rPr>
      </w:pPr>
      <w:r w:rsidRPr="00D56013">
        <w:rPr>
          <w:rFonts w:cs="Times New Roman"/>
          <w:sz w:val="20"/>
          <w:szCs w:val="20"/>
          <w:lang w:val="fr-CA"/>
        </w:rPr>
        <w:pict>
          <v:rect id="_x0000_i1126" style="width:144.3pt;height:1pt" o:hrpct="300" o:hralign="center" o:hrstd="t" o:hrnoshade="t" o:hr="t" fillcolor="black [3213]" stroked="f"/>
        </w:pict>
      </w:r>
    </w:p>
    <w:p w:rsidR="00151761" w:rsidRDefault="00151761" w:rsidP="003B3977">
      <w:pPr>
        <w:rPr>
          <w:sz w:val="20"/>
          <w:szCs w:val="20"/>
        </w:rPr>
      </w:pPr>
    </w:p>
    <w:p w:rsidR="00412488" w:rsidRDefault="00412488" w:rsidP="003B3977">
      <w:pPr>
        <w:rPr>
          <w:sz w:val="20"/>
          <w:szCs w:val="20"/>
        </w:rPr>
      </w:pPr>
    </w:p>
    <w:p w:rsidR="00412488" w:rsidRDefault="00412488" w:rsidP="003B3977">
      <w:pPr>
        <w:rPr>
          <w:sz w:val="20"/>
          <w:szCs w:val="20"/>
        </w:rPr>
      </w:pPr>
    </w:p>
    <w:p w:rsidR="00151761" w:rsidRDefault="00151761">
      <w:pPr>
        <w:rPr>
          <w:sz w:val="20"/>
          <w:szCs w:val="20"/>
        </w:rPr>
      </w:pPr>
      <w:r>
        <w:rPr>
          <w:sz w:val="20"/>
          <w:szCs w:val="20"/>
        </w:rPr>
        <w:br w:type="page"/>
      </w:r>
    </w:p>
    <w:p w:rsidR="00BD13EA" w:rsidRPr="00BD13EA" w:rsidRDefault="00BD13EA" w:rsidP="00BD13EA">
      <w:pPr>
        <w:rPr>
          <w:sz w:val="20"/>
          <w:szCs w:val="20"/>
        </w:rPr>
      </w:pPr>
      <w:r w:rsidRPr="00BD13EA">
        <w:rPr>
          <w:i/>
          <w:sz w:val="20"/>
          <w:szCs w:val="20"/>
        </w:rPr>
        <w:t>Dennis Manuge v. Her Majesty the Queen</w:t>
      </w:r>
      <w:r w:rsidRPr="00BD13EA">
        <w:rPr>
          <w:sz w:val="20"/>
          <w:szCs w:val="20"/>
        </w:rPr>
        <w:t xml:space="preserve"> (F.C.) (33103)</w:t>
      </w:r>
    </w:p>
    <w:p w:rsidR="00EE7CE3" w:rsidRPr="000C0C3D" w:rsidRDefault="00EE7CE3" w:rsidP="00EE7CE3">
      <w:pPr>
        <w:jc w:val="both"/>
        <w:rPr>
          <w:rFonts w:cs="Times New Roman"/>
          <w:b/>
          <w:sz w:val="20"/>
          <w:szCs w:val="20"/>
        </w:rPr>
      </w:pPr>
      <w:r w:rsidRPr="0073221B">
        <w:rPr>
          <w:rFonts w:cs="Times New Roman"/>
          <w:b/>
          <w:sz w:val="20"/>
          <w:szCs w:val="20"/>
        </w:rPr>
        <w:t>Indexed as:  </w:t>
      </w:r>
      <w:r w:rsidRPr="00EE7CE3">
        <w:rPr>
          <w:rStyle w:val="SCCAppellantForIndexChar"/>
          <w:rFonts w:eastAsia="Calibri"/>
          <w:sz w:val="20"/>
          <w:lang w:val="en-CA"/>
        </w:rPr>
        <w:t>Manuge</w:t>
      </w:r>
      <w:r w:rsidRPr="0073221B">
        <w:rPr>
          <w:rFonts w:cs="Times New Roman"/>
          <w:b/>
          <w:sz w:val="20"/>
          <w:szCs w:val="20"/>
        </w:rPr>
        <w:t xml:space="preserve"> </w:t>
      </w:r>
      <w:r w:rsidRPr="0073221B">
        <w:rPr>
          <w:rFonts w:cs="Times New Roman"/>
          <w:b/>
          <w:i/>
          <w:sz w:val="20"/>
          <w:szCs w:val="20"/>
        </w:rPr>
        <w:t>v.</w:t>
      </w:r>
      <w:r w:rsidRPr="0073221B">
        <w:rPr>
          <w:rFonts w:cs="Times New Roman"/>
          <w:b/>
          <w:sz w:val="20"/>
          <w:szCs w:val="20"/>
        </w:rPr>
        <w:t xml:space="preserve"> </w:t>
      </w:r>
      <w:r w:rsidRPr="0073221B">
        <w:rPr>
          <w:rStyle w:val="SCCRespondentForIndexChar"/>
          <w:rFonts w:eastAsia="Calibri"/>
          <w:sz w:val="20"/>
        </w:rPr>
        <w:t>Canada</w:t>
      </w:r>
      <w:r>
        <w:rPr>
          <w:rStyle w:val="SCCRespondentForIndexChar"/>
          <w:rFonts w:eastAsia="Calibri"/>
          <w:sz w:val="20"/>
        </w:rPr>
        <w:t xml:space="preserve"> / </w:t>
      </w:r>
      <w:r w:rsidRPr="000C0C3D">
        <w:rPr>
          <w:rFonts w:cs="Times New Roman"/>
          <w:b/>
          <w:sz w:val="20"/>
          <w:szCs w:val="20"/>
        </w:rPr>
        <w:t>Répertorié : </w:t>
      </w:r>
      <w:r w:rsidRPr="00EE7CE3">
        <w:rPr>
          <w:rStyle w:val="SCCAppellantForIndexChar"/>
          <w:rFonts w:eastAsia="Calibri"/>
          <w:sz w:val="20"/>
          <w:lang w:val="en-CA"/>
        </w:rPr>
        <w:t>Manuge</w:t>
      </w:r>
      <w:r w:rsidRPr="000C0C3D">
        <w:rPr>
          <w:rFonts w:cs="Times New Roman"/>
          <w:b/>
          <w:sz w:val="20"/>
          <w:szCs w:val="20"/>
        </w:rPr>
        <w:t xml:space="preserve"> </w:t>
      </w:r>
      <w:r w:rsidRPr="000C0C3D">
        <w:rPr>
          <w:rFonts w:cs="Times New Roman"/>
          <w:b/>
          <w:i/>
          <w:sz w:val="20"/>
          <w:szCs w:val="20"/>
        </w:rPr>
        <w:t>c.</w:t>
      </w:r>
      <w:r w:rsidRPr="000C0C3D">
        <w:rPr>
          <w:rFonts w:cs="Times New Roman"/>
          <w:b/>
          <w:sz w:val="20"/>
          <w:szCs w:val="20"/>
        </w:rPr>
        <w:t xml:space="preserve"> </w:t>
      </w:r>
      <w:r w:rsidRPr="000C0C3D">
        <w:rPr>
          <w:rStyle w:val="SCCRespondentForIndexChar"/>
          <w:rFonts w:eastAsia="Calibri"/>
          <w:sz w:val="20"/>
        </w:rPr>
        <w:t>Canada</w:t>
      </w:r>
    </w:p>
    <w:p w:rsidR="00151761" w:rsidRPr="0065796C" w:rsidRDefault="00151761" w:rsidP="00151761">
      <w:pPr>
        <w:pStyle w:val="SCCSystemYear"/>
        <w:jc w:val="both"/>
        <w:rPr>
          <w:sz w:val="20"/>
        </w:rPr>
      </w:pPr>
      <w:r w:rsidRPr="0065796C">
        <w:rPr>
          <w:sz w:val="20"/>
        </w:rPr>
        <w:t>Neutral citation:  2010 SCC </w:t>
      </w:r>
      <w:r w:rsidR="0065796C">
        <w:rPr>
          <w:sz w:val="20"/>
        </w:rPr>
        <w:t>67</w:t>
      </w:r>
      <w:r w:rsidRPr="0065796C">
        <w:rPr>
          <w:sz w:val="20"/>
        </w:rPr>
        <w:t xml:space="preserve"> / Référence neutre : 2010 CSC </w:t>
      </w:r>
      <w:r w:rsidR="0065796C">
        <w:rPr>
          <w:sz w:val="20"/>
        </w:rPr>
        <w:t>67</w:t>
      </w:r>
    </w:p>
    <w:p w:rsidR="00151761" w:rsidRPr="00E36514" w:rsidRDefault="00151761" w:rsidP="00151761">
      <w:pPr>
        <w:rPr>
          <w:sz w:val="20"/>
          <w:szCs w:val="20"/>
          <w:lang w:val="fr-CA"/>
        </w:rPr>
      </w:pPr>
      <w:r w:rsidRPr="00E36514">
        <w:rPr>
          <w:sz w:val="20"/>
          <w:szCs w:val="20"/>
          <w:lang w:val="fr-CA"/>
        </w:rPr>
        <w:t xml:space="preserve">Hearing:  </w:t>
      </w:r>
      <w:r w:rsidR="00EE7CE3">
        <w:rPr>
          <w:sz w:val="20"/>
          <w:szCs w:val="20"/>
          <w:lang w:val="fr-CA"/>
        </w:rPr>
        <w:t>January</w:t>
      </w:r>
      <w:r w:rsidRPr="00E36514">
        <w:rPr>
          <w:sz w:val="20"/>
          <w:szCs w:val="20"/>
          <w:lang w:val="fr-CA"/>
        </w:rPr>
        <w:t xml:space="preserve"> 2</w:t>
      </w:r>
      <w:r w:rsidR="00EE7CE3">
        <w:rPr>
          <w:sz w:val="20"/>
          <w:szCs w:val="20"/>
          <w:lang w:val="fr-CA"/>
        </w:rPr>
        <w:t>0</w:t>
      </w:r>
      <w:r w:rsidRPr="00E36514">
        <w:rPr>
          <w:sz w:val="20"/>
          <w:szCs w:val="20"/>
          <w:lang w:val="fr-CA"/>
        </w:rPr>
        <w:t xml:space="preserve">, 2010 / Judgment:  </w:t>
      </w:r>
      <w:r w:rsidR="00047221" w:rsidRPr="00E36514">
        <w:rPr>
          <w:sz w:val="20"/>
          <w:szCs w:val="20"/>
          <w:lang w:val="fr-CA"/>
        </w:rPr>
        <w:t>December</w:t>
      </w:r>
      <w:r w:rsidRPr="00E36514">
        <w:rPr>
          <w:sz w:val="20"/>
          <w:szCs w:val="20"/>
          <w:lang w:val="fr-CA"/>
        </w:rPr>
        <w:t xml:space="preserve"> 2</w:t>
      </w:r>
      <w:r w:rsidR="00047221" w:rsidRPr="00E36514">
        <w:rPr>
          <w:sz w:val="20"/>
          <w:szCs w:val="20"/>
          <w:lang w:val="fr-CA"/>
        </w:rPr>
        <w:t>3</w:t>
      </w:r>
      <w:r w:rsidRPr="00E36514">
        <w:rPr>
          <w:sz w:val="20"/>
          <w:szCs w:val="20"/>
          <w:lang w:val="fr-CA"/>
        </w:rPr>
        <w:t>, 2010</w:t>
      </w:r>
    </w:p>
    <w:p w:rsidR="00151761" w:rsidRPr="003B3977" w:rsidRDefault="00151761" w:rsidP="00151761">
      <w:pPr>
        <w:rPr>
          <w:sz w:val="20"/>
          <w:szCs w:val="20"/>
          <w:lang w:val="fr-CA"/>
        </w:rPr>
      </w:pPr>
      <w:r w:rsidRPr="003B3977">
        <w:rPr>
          <w:sz w:val="20"/>
          <w:szCs w:val="20"/>
          <w:lang w:val="fr-CA"/>
        </w:rPr>
        <w:t>Audition : Le 2</w:t>
      </w:r>
      <w:r w:rsidR="00EE7CE3">
        <w:rPr>
          <w:sz w:val="20"/>
          <w:szCs w:val="20"/>
          <w:lang w:val="fr-CA"/>
        </w:rPr>
        <w:t>0 janv</w:t>
      </w:r>
      <w:r w:rsidRPr="003B3977">
        <w:rPr>
          <w:sz w:val="20"/>
          <w:szCs w:val="20"/>
          <w:lang w:val="fr-CA"/>
        </w:rPr>
        <w:t>i</w:t>
      </w:r>
      <w:r w:rsidR="00EE7CE3">
        <w:rPr>
          <w:sz w:val="20"/>
          <w:szCs w:val="20"/>
          <w:lang w:val="fr-CA"/>
        </w:rPr>
        <w:t>er</w:t>
      </w:r>
      <w:r w:rsidRPr="003B3977">
        <w:rPr>
          <w:sz w:val="20"/>
          <w:szCs w:val="20"/>
          <w:lang w:val="fr-CA"/>
        </w:rPr>
        <w:t xml:space="preserve"> 2010 / Jugement : Le 2</w:t>
      </w:r>
      <w:r w:rsidR="00047221">
        <w:rPr>
          <w:sz w:val="20"/>
          <w:szCs w:val="20"/>
          <w:lang w:val="fr-CA"/>
        </w:rPr>
        <w:t>3</w:t>
      </w:r>
      <w:r w:rsidRPr="003B3977">
        <w:rPr>
          <w:sz w:val="20"/>
          <w:szCs w:val="20"/>
          <w:lang w:val="fr-CA"/>
        </w:rPr>
        <w:t xml:space="preserve"> </w:t>
      </w:r>
      <w:r w:rsidR="00047221">
        <w:rPr>
          <w:sz w:val="20"/>
          <w:szCs w:val="20"/>
          <w:lang w:val="fr-CA"/>
        </w:rPr>
        <w:t>décem</w:t>
      </w:r>
      <w:r w:rsidRPr="003B3977">
        <w:rPr>
          <w:sz w:val="20"/>
          <w:szCs w:val="20"/>
          <w:lang w:val="fr-CA"/>
        </w:rPr>
        <w:t>bre 2010</w:t>
      </w:r>
    </w:p>
    <w:p w:rsidR="00151761" w:rsidRPr="003B3977" w:rsidRDefault="00D56013" w:rsidP="00151761">
      <w:pPr>
        <w:rPr>
          <w:sz w:val="20"/>
          <w:szCs w:val="20"/>
          <w:lang w:val="fr-CA"/>
        </w:rPr>
      </w:pPr>
      <w:r w:rsidRPr="00D56013">
        <w:rPr>
          <w:i/>
          <w:sz w:val="20"/>
          <w:szCs w:val="20"/>
        </w:rPr>
        <w:pict>
          <v:rect id="_x0000_i1127" style="width:480.95pt;height:1pt" o:hralign="center" o:hrstd="t" o:hrnoshade="t" o:hr="t" fillcolor="black [3213]" stroked="f"/>
        </w:pict>
      </w:r>
    </w:p>
    <w:p w:rsidR="00151761" w:rsidRDefault="00151761" w:rsidP="003B3977">
      <w:pPr>
        <w:rPr>
          <w:sz w:val="20"/>
          <w:szCs w:val="20"/>
        </w:rPr>
      </w:pPr>
    </w:p>
    <w:p w:rsidR="00EE7CE3" w:rsidRPr="0073221B" w:rsidRDefault="00EE7CE3" w:rsidP="00EE7CE3">
      <w:pPr>
        <w:jc w:val="both"/>
        <w:rPr>
          <w:rFonts w:cs="Times New Roman"/>
          <w:sz w:val="20"/>
          <w:szCs w:val="20"/>
        </w:rPr>
      </w:pPr>
      <w:r w:rsidRPr="0073221B">
        <w:rPr>
          <w:rFonts w:cs="Times New Roman"/>
          <w:sz w:val="20"/>
          <w:szCs w:val="20"/>
        </w:rPr>
        <w:t>Present:  Binnie, LeBel, Deschamps, Abella, Charron, Rothstein and Cromwell JJ.</w:t>
      </w:r>
    </w:p>
    <w:p w:rsidR="00151761" w:rsidRDefault="00151761" w:rsidP="003B3977">
      <w:pPr>
        <w:rPr>
          <w:sz w:val="20"/>
          <w:szCs w:val="20"/>
        </w:rPr>
      </w:pPr>
    </w:p>
    <w:p w:rsidR="00EE7CE3" w:rsidRPr="0073221B" w:rsidRDefault="00EE7CE3" w:rsidP="00EE7CE3">
      <w:pPr>
        <w:pStyle w:val="SCCNormalDoubleSpacing"/>
        <w:tabs>
          <w:tab w:val="left" w:pos="720"/>
        </w:tabs>
        <w:spacing w:line="240" w:lineRule="auto"/>
        <w:rPr>
          <w:i/>
          <w:sz w:val="20"/>
        </w:rPr>
      </w:pPr>
      <w:r w:rsidRPr="0073221B">
        <w:rPr>
          <w:i/>
          <w:sz w:val="20"/>
        </w:rPr>
        <w:tab/>
        <w:t>Courts — Federal Court — Procedure — Plaintiff bringing action in Federal Court against federal Crown for constitutional remedies, declaratory relief and damages arising from establishment, modification and application of long</w:t>
      </w:r>
      <w:r w:rsidRPr="0073221B">
        <w:rPr>
          <w:i/>
          <w:sz w:val="20"/>
        </w:rPr>
        <w:noBreakHyphen/>
        <w:t>term disability benefits plan — Whether plaintiff entitled to proceed by way of action without first proceeding by way of judicial review — Federal Courts Act, R.S.C. 1985, c. F</w:t>
      </w:r>
      <w:r w:rsidRPr="0073221B">
        <w:rPr>
          <w:i/>
          <w:sz w:val="20"/>
        </w:rPr>
        <w:noBreakHyphen/>
        <w:t>7, ss. 17, 18.</w:t>
      </w:r>
    </w:p>
    <w:p w:rsidR="00EE7CE3" w:rsidRPr="0073221B" w:rsidRDefault="00EE7CE3" w:rsidP="00EE7CE3">
      <w:pPr>
        <w:pStyle w:val="SCCNormalDoubleSpacing"/>
        <w:tabs>
          <w:tab w:val="left" w:pos="720"/>
        </w:tabs>
        <w:spacing w:line="240" w:lineRule="auto"/>
        <w:rPr>
          <w:sz w:val="20"/>
        </w:rPr>
      </w:pPr>
    </w:p>
    <w:p w:rsidR="00EE7CE3" w:rsidRPr="0073221B" w:rsidRDefault="00EE7CE3" w:rsidP="00EE7CE3">
      <w:pPr>
        <w:pStyle w:val="SCCNormalDoubleSpacing"/>
        <w:tabs>
          <w:tab w:val="left" w:pos="720"/>
        </w:tabs>
        <w:spacing w:line="240" w:lineRule="auto"/>
        <w:rPr>
          <w:sz w:val="20"/>
        </w:rPr>
      </w:pPr>
      <w:r w:rsidRPr="0073221B">
        <w:rPr>
          <w:sz w:val="20"/>
        </w:rPr>
        <w:tab/>
        <w:t xml:space="preserve">In 2002, M was injured and was awarded a monthly disability pension under the </w:t>
      </w:r>
      <w:r w:rsidRPr="0073221B">
        <w:rPr>
          <w:i/>
          <w:sz w:val="20"/>
        </w:rPr>
        <w:t>Pension Act</w:t>
      </w:r>
      <w:r w:rsidRPr="0073221B">
        <w:rPr>
          <w:sz w:val="20"/>
        </w:rPr>
        <w:t xml:space="preserve"> in addition to his salary as a member</w:t>
      </w:r>
      <w:r w:rsidRPr="0073221B">
        <w:rPr>
          <w:b/>
          <w:sz w:val="20"/>
        </w:rPr>
        <w:t xml:space="preserve"> </w:t>
      </w:r>
      <w:r w:rsidRPr="0073221B">
        <w:rPr>
          <w:sz w:val="20"/>
        </w:rPr>
        <w:t>of the Canadian Forces.  In 2003, he was given an involuntary, medically required release and was approved to receive long</w:t>
      </w:r>
      <w:r w:rsidRPr="0073221B">
        <w:rPr>
          <w:sz w:val="20"/>
        </w:rPr>
        <w:noBreakHyphen/>
        <w:t xml:space="preserve">term disability benefits under the Canadian Forces’ disability plan.  </w:t>
      </w:r>
      <w:r w:rsidRPr="0073221B">
        <w:rPr>
          <w:color w:val="000000"/>
          <w:sz w:val="20"/>
        </w:rPr>
        <w:t>For 24 months following his release, M received both a disability pension and long</w:t>
      </w:r>
      <w:r w:rsidRPr="0073221B">
        <w:rPr>
          <w:color w:val="000000"/>
          <w:sz w:val="20"/>
        </w:rPr>
        <w:noBreakHyphen/>
        <w:t>term disability benefits, but, pursuant to s. 24(a)(iv) of the plan, the amount he received from his disability pension was deducted monthly from the amount he received for long</w:t>
      </w:r>
      <w:r w:rsidRPr="0073221B">
        <w:rPr>
          <w:color w:val="000000"/>
          <w:sz w:val="20"/>
        </w:rPr>
        <w:noBreakHyphen/>
        <w:t>term disability.</w:t>
      </w:r>
      <w:r w:rsidRPr="0073221B">
        <w:rPr>
          <w:sz w:val="20"/>
        </w:rPr>
        <w:t xml:space="preserve">  M </w:t>
      </w:r>
      <w:r w:rsidRPr="0073221B">
        <w:rPr>
          <w:color w:val="000000"/>
          <w:sz w:val="20"/>
        </w:rPr>
        <w:t>brought an action in</w:t>
      </w:r>
      <w:r w:rsidRPr="0073221B">
        <w:rPr>
          <w:sz w:val="20"/>
        </w:rPr>
        <w:t xml:space="preserve"> </w:t>
      </w:r>
      <w:r w:rsidRPr="0073221B">
        <w:rPr>
          <w:color w:val="000000"/>
          <w:sz w:val="20"/>
        </w:rPr>
        <w:t xml:space="preserve">the Federal Court seeking, among other relief, constitutional remedies, declaratory relief and damages in relation to these deductions.  The Federal Court certified the proceeding as a class action.  </w:t>
      </w:r>
      <w:r w:rsidRPr="0073221B">
        <w:rPr>
          <w:sz w:val="20"/>
        </w:rPr>
        <w:t>The Federal Court of Appeal allowed the Crown’s appeal based on</w:t>
      </w:r>
      <w:r w:rsidRPr="0073221B">
        <w:rPr>
          <w:i/>
          <w:sz w:val="20"/>
        </w:rPr>
        <w:t xml:space="preserve"> Canada v. Grenier</w:t>
      </w:r>
      <w:r w:rsidRPr="0073221B">
        <w:rPr>
          <w:sz w:val="20"/>
        </w:rPr>
        <w:t>, 2005 FCA 348, [2006] 2 F.C.R. 287, concluding that the lawfulness of a decision or administrative activity like s. 24(a)(iv) of the plan can only be challenged by judicial review.</w:t>
      </w:r>
    </w:p>
    <w:p w:rsidR="00EE7CE3" w:rsidRPr="0073221B" w:rsidRDefault="00EE7CE3" w:rsidP="00EE7CE3">
      <w:pPr>
        <w:pStyle w:val="SCCNormalDoubleSpacing"/>
        <w:tabs>
          <w:tab w:val="left" w:pos="720"/>
        </w:tabs>
        <w:spacing w:line="240" w:lineRule="auto"/>
        <w:rPr>
          <w:sz w:val="20"/>
        </w:rPr>
      </w:pPr>
    </w:p>
    <w:p w:rsidR="00EE7CE3" w:rsidRPr="0073221B" w:rsidRDefault="00EE7CE3" w:rsidP="00EE7CE3">
      <w:pPr>
        <w:pStyle w:val="SCCNormalDoubleSpacing"/>
        <w:tabs>
          <w:tab w:val="left" w:pos="720"/>
        </w:tabs>
        <w:spacing w:line="240" w:lineRule="auto"/>
        <w:rPr>
          <w:sz w:val="20"/>
        </w:rPr>
      </w:pPr>
      <w:r w:rsidRPr="0073221B">
        <w:rPr>
          <w:sz w:val="20"/>
        </w:rPr>
        <w:tab/>
      </w:r>
      <w:r w:rsidRPr="00EE7CE3">
        <w:rPr>
          <w:rStyle w:val="QuoteChar"/>
          <w:sz w:val="20"/>
          <w:lang w:val="en-CA"/>
        </w:rPr>
        <w:t>Held:</w:t>
      </w:r>
      <w:r w:rsidRPr="0073221B">
        <w:rPr>
          <w:sz w:val="20"/>
        </w:rPr>
        <w:t xml:space="preserve">  The appeal should be allowed.</w:t>
      </w:r>
    </w:p>
    <w:p w:rsidR="00EE7CE3" w:rsidRPr="0073221B" w:rsidRDefault="00EE7CE3" w:rsidP="00EE7CE3">
      <w:pPr>
        <w:pStyle w:val="SCCNormalDoubleSpacing"/>
        <w:tabs>
          <w:tab w:val="left" w:pos="720"/>
        </w:tabs>
        <w:spacing w:line="240" w:lineRule="auto"/>
        <w:rPr>
          <w:sz w:val="20"/>
        </w:rPr>
      </w:pPr>
    </w:p>
    <w:p w:rsidR="00EE7CE3" w:rsidRPr="0073221B" w:rsidRDefault="00EE7CE3" w:rsidP="00EE7CE3">
      <w:pPr>
        <w:pStyle w:val="SCCNormalDoubleSpacing"/>
        <w:tabs>
          <w:tab w:val="left" w:pos="720"/>
        </w:tabs>
        <w:spacing w:line="240" w:lineRule="auto"/>
        <w:rPr>
          <w:sz w:val="20"/>
        </w:rPr>
      </w:pPr>
      <w:r w:rsidRPr="0073221B">
        <w:rPr>
          <w:sz w:val="20"/>
        </w:rPr>
        <w:tab/>
        <w:t xml:space="preserve">In accordance with </w:t>
      </w:r>
      <w:r w:rsidRPr="0073221B">
        <w:rPr>
          <w:i/>
          <w:sz w:val="20"/>
        </w:rPr>
        <w:t>Canada (Attorney General) v. TeleZone Inc.</w:t>
      </w:r>
      <w:r w:rsidRPr="0073221B">
        <w:rPr>
          <w:sz w:val="20"/>
        </w:rPr>
        <w:t xml:space="preserve">, 2010 SCC 62, the Federal Court has jurisdiction to entertain the action.  At their core, the pleadings represent a claim for alleged breaches of s. 15(1) of the </w:t>
      </w:r>
      <w:r w:rsidRPr="0073221B">
        <w:rPr>
          <w:i/>
          <w:sz w:val="20"/>
        </w:rPr>
        <w:t>Canadian Charter of Rights and Freedoms</w:t>
      </w:r>
      <w:r w:rsidRPr="0073221B">
        <w:rPr>
          <w:sz w:val="20"/>
        </w:rPr>
        <w:t xml:space="preserve"> and the action need not, therefore, be stayed in favour of an application for judicial review.</w:t>
      </w:r>
    </w:p>
    <w:p w:rsidR="00151761" w:rsidRDefault="00151761" w:rsidP="003B3977">
      <w:pPr>
        <w:rPr>
          <w:sz w:val="20"/>
          <w:szCs w:val="20"/>
        </w:rPr>
      </w:pPr>
    </w:p>
    <w:p w:rsidR="00EE7CE3" w:rsidRPr="0073221B" w:rsidRDefault="00EE7CE3" w:rsidP="00EE7CE3">
      <w:pPr>
        <w:pStyle w:val="SCCNormalDoubleSpacing"/>
        <w:tabs>
          <w:tab w:val="left" w:pos="720"/>
        </w:tabs>
        <w:spacing w:line="240" w:lineRule="auto"/>
        <w:rPr>
          <w:sz w:val="20"/>
        </w:rPr>
      </w:pPr>
      <w:r w:rsidRPr="0073221B">
        <w:rPr>
          <w:sz w:val="20"/>
        </w:rPr>
        <w:tab/>
        <w:t>APPEAL from a judgment of the Federal Court of Appeal (Létourneau, Noël and Blais JJ.A.), 2009 FCA 29, [2009] 4 F.C.R. 478, 384 N.R. 313, 73 C.C.P.B. 1, [2009] F.C.J. No. 73 (QL), 2009 CarswellNat 160, setting aside a decision of Barnes J., 2008 FC 624, [2009] 1 F.C.R. 416, 329 F.T.R. 167, 71 C.C.P.B. 112, [2008] F.C.J. No. 787 (QL), 2008 CarswellNat 1495.  Appeal allowed.</w:t>
      </w:r>
    </w:p>
    <w:p w:rsidR="00EE7CE3" w:rsidRPr="0073221B" w:rsidRDefault="00EE7CE3" w:rsidP="00EE7CE3">
      <w:pPr>
        <w:pStyle w:val="SCCNormalDoubleSpacing"/>
        <w:tabs>
          <w:tab w:val="left" w:pos="720"/>
        </w:tabs>
        <w:spacing w:line="240" w:lineRule="auto"/>
        <w:rPr>
          <w:sz w:val="20"/>
        </w:rPr>
      </w:pPr>
    </w:p>
    <w:p w:rsidR="00EE7CE3" w:rsidRPr="0073221B" w:rsidRDefault="00EE7CE3" w:rsidP="00EE7CE3">
      <w:pPr>
        <w:pStyle w:val="SCCNormalDoubleSpacing"/>
        <w:tabs>
          <w:tab w:val="left" w:pos="720"/>
        </w:tabs>
        <w:spacing w:line="240" w:lineRule="auto"/>
        <w:rPr>
          <w:sz w:val="20"/>
        </w:rPr>
      </w:pPr>
      <w:r w:rsidRPr="0073221B">
        <w:rPr>
          <w:rStyle w:val="SCCCounselNameChar"/>
          <w:sz w:val="20"/>
        </w:rPr>
        <w:tab/>
        <w:t>Peter J. Driscoll, Michael Sobkin, Ward K. Branch</w:t>
      </w:r>
      <w:r w:rsidRPr="00EE7CE3">
        <w:rPr>
          <w:rStyle w:val="SCCCounselSeparatorChar"/>
          <w:sz w:val="20"/>
          <w:lang w:val="en-CA"/>
        </w:rPr>
        <w:t xml:space="preserve"> and </w:t>
      </w:r>
      <w:r w:rsidRPr="0073221B">
        <w:rPr>
          <w:rStyle w:val="SCCCounselNameChar"/>
          <w:sz w:val="20"/>
        </w:rPr>
        <w:t>Daniel F. Wallace</w:t>
      </w:r>
      <w:r w:rsidRPr="0073221B">
        <w:rPr>
          <w:rStyle w:val="SCCCounselPartyRoleChar"/>
          <w:sz w:val="20"/>
        </w:rPr>
        <w:t>, for the appellant.</w:t>
      </w:r>
    </w:p>
    <w:p w:rsidR="00EE7CE3" w:rsidRPr="0073221B" w:rsidRDefault="00EE7CE3" w:rsidP="00EE7CE3">
      <w:pPr>
        <w:pStyle w:val="SCCNormalDoubleSpacing"/>
        <w:tabs>
          <w:tab w:val="left" w:pos="720"/>
        </w:tabs>
        <w:spacing w:line="240" w:lineRule="auto"/>
        <w:rPr>
          <w:sz w:val="20"/>
        </w:rPr>
      </w:pPr>
    </w:p>
    <w:p w:rsidR="00EE7CE3" w:rsidRPr="0073221B" w:rsidRDefault="00EE7CE3" w:rsidP="00EE7CE3">
      <w:pPr>
        <w:pStyle w:val="SCCNormalDoubleSpacing"/>
        <w:tabs>
          <w:tab w:val="left" w:pos="720"/>
        </w:tabs>
        <w:spacing w:line="240" w:lineRule="auto"/>
        <w:rPr>
          <w:sz w:val="20"/>
        </w:rPr>
      </w:pPr>
      <w:r w:rsidRPr="0073221B">
        <w:rPr>
          <w:rStyle w:val="SCCCounselNameChar"/>
          <w:sz w:val="20"/>
        </w:rPr>
        <w:tab/>
        <w:t>Christopher M. Rupar</w:t>
      </w:r>
      <w:r w:rsidRPr="00EE7CE3">
        <w:rPr>
          <w:rStyle w:val="SCCCounselSeparatorChar"/>
          <w:sz w:val="20"/>
          <w:lang w:val="en-CA"/>
        </w:rPr>
        <w:t xml:space="preserve">, </w:t>
      </w:r>
      <w:r w:rsidRPr="0073221B">
        <w:rPr>
          <w:rStyle w:val="SCCCounselNameChar"/>
          <w:sz w:val="20"/>
        </w:rPr>
        <w:t>Alain Préfontaine</w:t>
      </w:r>
      <w:r w:rsidRPr="00EE7CE3">
        <w:rPr>
          <w:rStyle w:val="SCCCounselSeparatorChar"/>
          <w:sz w:val="20"/>
          <w:lang w:val="en-CA"/>
        </w:rPr>
        <w:t xml:space="preserve"> and </w:t>
      </w:r>
      <w:r w:rsidRPr="0073221B">
        <w:rPr>
          <w:rStyle w:val="SCCCounselNameChar"/>
          <w:sz w:val="20"/>
        </w:rPr>
        <w:t>Bernard Letarte</w:t>
      </w:r>
      <w:r w:rsidRPr="0073221B">
        <w:rPr>
          <w:rStyle w:val="SCCCounselPartyRoleChar"/>
          <w:sz w:val="20"/>
        </w:rPr>
        <w:t>, for the respondent.</w:t>
      </w:r>
    </w:p>
    <w:p w:rsidR="00EE7CE3" w:rsidRPr="0073221B" w:rsidRDefault="00EE7CE3" w:rsidP="00EE7CE3">
      <w:pPr>
        <w:pStyle w:val="SCCNormalDoubleSpacing"/>
        <w:tabs>
          <w:tab w:val="left" w:pos="720"/>
        </w:tabs>
        <w:spacing w:line="240" w:lineRule="auto"/>
        <w:rPr>
          <w:sz w:val="20"/>
        </w:rPr>
      </w:pPr>
    </w:p>
    <w:p w:rsidR="00EE7CE3" w:rsidRPr="0073221B" w:rsidRDefault="00EE7CE3" w:rsidP="00EE7CE3">
      <w:pPr>
        <w:pStyle w:val="SCCLawFirm"/>
        <w:tabs>
          <w:tab w:val="left" w:pos="720"/>
        </w:tabs>
        <w:spacing w:line="240" w:lineRule="auto"/>
        <w:rPr>
          <w:sz w:val="20"/>
        </w:rPr>
      </w:pPr>
      <w:r w:rsidRPr="0073221B">
        <w:rPr>
          <w:sz w:val="20"/>
        </w:rPr>
        <w:tab/>
        <w:t>Solicitors for the appellant:  McInnes Cooper, Halifax.</w:t>
      </w:r>
    </w:p>
    <w:p w:rsidR="00EE7CE3" w:rsidRPr="0073221B" w:rsidRDefault="00EE7CE3" w:rsidP="00EE7CE3">
      <w:pPr>
        <w:pStyle w:val="SCCLawFirm"/>
        <w:tabs>
          <w:tab w:val="left" w:pos="720"/>
        </w:tabs>
        <w:spacing w:line="240" w:lineRule="auto"/>
        <w:rPr>
          <w:sz w:val="20"/>
        </w:rPr>
      </w:pPr>
    </w:p>
    <w:p w:rsidR="00EE7CE3" w:rsidRPr="0073221B" w:rsidRDefault="00EE7CE3" w:rsidP="00EE7CE3">
      <w:pPr>
        <w:pStyle w:val="SCCLawFirm"/>
        <w:tabs>
          <w:tab w:val="left" w:pos="720"/>
        </w:tabs>
        <w:spacing w:line="240" w:lineRule="auto"/>
        <w:rPr>
          <w:sz w:val="20"/>
        </w:rPr>
      </w:pPr>
      <w:r w:rsidRPr="0073221B">
        <w:rPr>
          <w:sz w:val="20"/>
        </w:rPr>
        <w:tab/>
        <w:t>Solicitor for the respondent:  Department of Justice, Ottawa.</w:t>
      </w:r>
    </w:p>
    <w:p w:rsidR="00151761" w:rsidRPr="003B3977" w:rsidRDefault="00151761" w:rsidP="00151761">
      <w:pPr>
        <w:rPr>
          <w:rFonts w:cs="Times New Roman"/>
          <w:sz w:val="20"/>
          <w:szCs w:val="20"/>
          <w:lang w:val="fr-CA"/>
        </w:rPr>
      </w:pPr>
      <w:r w:rsidRPr="003B3977">
        <w:rPr>
          <w:rFonts w:cs="Times New Roman"/>
          <w:sz w:val="20"/>
          <w:szCs w:val="20"/>
          <w:lang w:val="fr-CA"/>
        </w:rPr>
        <w:t>________________________</w:t>
      </w:r>
    </w:p>
    <w:p w:rsidR="00151761" w:rsidRPr="003B3977" w:rsidRDefault="00151761" w:rsidP="00151761">
      <w:pPr>
        <w:rPr>
          <w:rFonts w:cs="Times New Roman"/>
          <w:sz w:val="20"/>
          <w:szCs w:val="20"/>
          <w:lang w:val="fr-CA"/>
        </w:rPr>
      </w:pPr>
    </w:p>
    <w:p w:rsidR="00EE7CE3" w:rsidRPr="00EE7CE3" w:rsidRDefault="00EE7CE3" w:rsidP="00EE7CE3">
      <w:pPr>
        <w:jc w:val="both"/>
        <w:rPr>
          <w:rFonts w:cs="Times New Roman"/>
          <w:sz w:val="20"/>
          <w:szCs w:val="20"/>
          <w:lang w:val="fr-CA"/>
        </w:rPr>
      </w:pPr>
      <w:r w:rsidRPr="00EE7CE3">
        <w:rPr>
          <w:rFonts w:cs="Times New Roman"/>
          <w:sz w:val="20"/>
          <w:szCs w:val="20"/>
          <w:lang w:val="fr-CA"/>
        </w:rPr>
        <w:t>Présents : Les juges Binnie, LeBel, Deschamps, Abella, Charron, Rothstein et Cromwell.</w:t>
      </w:r>
    </w:p>
    <w:p w:rsidR="00151761" w:rsidRDefault="00151761" w:rsidP="003B3977">
      <w:pPr>
        <w:rPr>
          <w:sz w:val="20"/>
          <w:szCs w:val="20"/>
          <w:lang w:val="fr-CA"/>
        </w:rPr>
      </w:pPr>
    </w:p>
    <w:p w:rsidR="00EE7CE3" w:rsidRPr="00EE7CE3" w:rsidRDefault="00EE7CE3" w:rsidP="00EE7CE3">
      <w:pPr>
        <w:pStyle w:val="SCCNormalDoubleSpacing"/>
        <w:tabs>
          <w:tab w:val="left" w:pos="720"/>
        </w:tabs>
        <w:spacing w:line="240" w:lineRule="auto"/>
        <w:rPr>
          <w:sz w:val="20"/>
          <w:lang w:val="fr-CA"/>
        </w:rPr>
      </w:pPr>
      <w:r w:rsidRPr="00881BB6">
        <w:rPr>
          <w:sz w:val="20"/>
          <w:lang w:val="fr-CA"/>
        </w:rPr>
        <w:tab/>
      </w:r>
      <w:r w:rsidRPr="00EE7CE3">
        <w:rPr>
          <w:i/>
          <w:sz w:val="20"/>
          <w:lang w:val="fr-CA"/>
        </w:rPr>
        <w:t>Tribunaux — Cour fédérale — Procédure ― Action intentée en Cour fédérale contre la Couronne fédérale pour obtenir des réparations constitutionnelles, des jugements déclaratoires et des dommages</w:t>
      </w:r>
      <w:r w:rsidRPr="00EE7CE3">
        <w:rPr>
          <w:i/>
          <w:sz w:val="20"/>
          <w:lang w:val="fr-CA"/>
        </w:rPr>
        <w:noBreakHyphen/>
        <w:t>intérêts  par suite de la constitution, de la modification et de l’application d’un régime de prestations d’invalidité de longue durée — Le demandeur peut</w:t>
      </w:r>
      <w:r w:rsidRPr="00EE7CE3">
        <w:rPr>
          <w:i/>
          <w:sz w:val="20"/>
          <w:lang w:val="fr-CA"/>
        </w:rPr>
        <w:noBreakHyphen/>
        <w:t>il engager une action sans procéder d’abord par voie de contrôle judiciaire? — Loi sur les Cours fédérales, L.R.C. 1985, ch. F</w:t>
      </w:r>
      <w:r w:rsidRPr="00EE7CE3">
        <w:rPr>
          <w:i/>
          <w:sz w:val="20"/>
          <w:lang w:val="fr-CA"/>
        </w:rPr>
        <w:noBreakHyphen/>
        <w:t>7, art. 17, 18.</w:t>
      </w:r>
    </w:p>
    <w:p w:rsidR="00EE7CE3" w:rsidRPr="00EE7CE3" w:rsidRDefault="00EE7CE3" w:rsidP="00EE7CE3">
      <w:pPr>
        <w:pStyle w:val="SCCNormalDoubleSpacing"/>
        <w:tabs>
          <w:tab w:val="left" w:pos="720"/>
        </w:tabs>
        <w:spacing w:line="240" w:lineRule="auto"/>
        <w:rPr>
          <w:sz w:val="20"/>
          <w:lang w:val="fr-CA"/>
        </w:rPr>
      </w:pPr>
    </w:p>
    <w:p w:rsidR="00EE7CE3" w:rsidRPr="000C0C3D" w:rsidRDefault="00EE7CE3" w:rsidP="00EE7CE3">
      <w:pPr>
        <w:pStyle w:val="SCCNormalDoubleSpacing"/>
        <w:tabs>
          <w:tab w:val="left" w:pos="720"/>
        </w:tabs>
        <w:spacing w:line="240" w:lineRule="auto"/>
        <w:rPr>
          <w:sz w:val="20"/>
          <w:lang w:val="fr-FR"/>
        </w:rPr>
      </w:pPr>
      <w:r w:rsidRPr="00EE7CE3">
        <w:rPr>
          <w:sz w:val="20"/>
          <w:lang w:val="fr-CA"/>
        </w:rPr>
        <w:tab/>
      </w:r>
      <w:r w:rsidRPr="000C0C3D">
        <w:rPr>
          <w:sz w:val="20"/>
          <w:lang w:val="fr-FR"/>
        </w:rPr>
        <w:t xml:space="preserve">En 2002, M a subi une blessure et s’est vu accorder une pension mensuelle d’invalidité au titre de la </w:t>
      </w:r>
      <w:r w:rsidRPr="000C0C3D">
        <w:rPr>
          <w:i/>
          <w:sz w:val="20"/>
          <w:lang w:val="fr-FR"/>
        </w:rPr>
        <w:t>Loi sur les pensions</w:t>
      </w:r>
      <w:r w:rsidRPr="000C0C3D">
        <w:rPr>
          <w:sz w:val="20"/>
          <w:lang w:val="fr-FR"/>
        </w:rPr>
        <w:t xml:space="preserve"> en plus de son salaire de membre des Forces canadiennes.  En 2003, il a été libéré contre son gré pour des raisons médicales et il est devenu admissible à des prestations d’invalidité de longue durée dans le cadre du régime de prestations d’invalidité des Forces canadiennes.  M a touché à la fois une pension d’invalidité et des prestations d’invalidité de longue durée pendant 24 mois après sa libération, mais, conformément à l’al. </w:t>
      </w:r>
      <w:r w:rsidRPr="000C0C3D">
        <w:rPr>
          <w:color w:val="000000"/>
          <w:sz w:val="20"/>
          <w:lang w:val="fr-FR"/>
        </w:rPr>
        <w:t xml:space="preserve">24a)(iv) du régime, </w:t>
      </w:r>
      <w:r w:rsidRPr="000C0C3D">
        <w:rPr>
          <w:sz w:val="20"/>
          <w:lang w:val="fr-FR"/>
        </w:rPr>
        <w:t>le montant de sa pension d’invalidité était déduit chaque mois de ses prestations d’invalidité de longue durée.  M a intenté</w:t>
      </w:r>
      <w:r w:rsidRPr="000C0C3D">
        <w:rPr>
          <w:color w:val="000000"/>
          <w:sz w:val="20"/>
          <w:lang w:val="fr-FR"/>
        </w:rPr>
        <w:t xml:space="preserve"> une action en</w:t>
      </w:r>
      <w:r w:rsidRPr="000C0C3D">
        <w:rPr>
          <w:sz w:val="20"/>
          <w:lang w:val="fr-FR"/>
        </w:rPr>
        <w:t xml:space="preserve"> </w:t>
      </w:r>
      <w:r w:rsidRPr="000C0C3D">
        <w:rPr>
          <w:color w:val="000000"/>
          <w:sz w:val="20"/>
          <w:lang w:val="fr-FR"/>
        </w:rPr>
        <w:t>Cour fédérale pour obtenir notamment des réparations constitutionnelles, des jugements déclaratoires et des dommages</w:t>
      </w:r>
      <w:r w:rsidRPr="000C0C3D">
        <w:rPr>
          <w:color w:val="000000"/>
          <w:sz w:val="20"/>
          <w:lang w:val="fr-FR"/>
        </w:rPr>
        <w:noBreakHyphen/>
        <w:t xml:space="preserve">intérêts relativement à ces déductions.  La Cour fédérale a autorisé l’action comme recours collectif.  </w:t>
      </w:r>
      <w:r w:rsidRPr="000C0C3D">
        <w:rPr>
          <w:sz w:val="20"/>
          <w:lang w:val="fr-FR"/>
        </w:rPr>
        <w:t xml:space="preserve">La Cour d’appel fédérale a accueilli l’appel de la Couronne sur le fondement de </w:t>
      </w:r>
      <w:r w:rsidRPr="000C0C3D">
        <w:rPr>
          <w:i/>
          <w:sz w:val="20"/>
          <w:lang w:val="fr-FR"/>
        </w:rPr>
        <w:t>Canada c. Grenier</w:t>
      </w:r>
      <w:r w:rsidRPr="000C0C3D">
        <w:rPr>
          <w:sz w:val="20"/>
          <w:lang w:val="fr-FR"/>
        </w:rPr>
        <w:t xml:space="preserve">, 2005 CAF 348, [2006] 2 R.C.F. 287, concluant que la légalité d’une décision ou d’une activité administrative telle celle prévue à l’al. 24a)(iv) du régime ne peut être contestée que par voie de contrôle judiciaire. </w:t>
      </w:r>
    </w:p>
    <w:p w:rsidR="00EE7CE3" w:rsidRPr="000C0C3D" w:rsidRDefault="00EE7CE3" w:rsidP="00EE7CE3">
      <w:pPr>
        <w:pStyle w:val="SCCNormalDoubleSpacing"/>
        <w:tabs>
          <w:tab w:val="left" w:pos="720"/>
        </w:tabs>
        <w:spacing w:line="240" w:lineRule="auto"/>
        <w:rPr>
          <w:sz w:val="20"/>
          <w:lang w:val="fr-FR"/>
        </w:rPr>
      </w:pPr>
    </w:p>
    <w:p w:rsidR="00EE7CE3" w:rsidRPr="000C0C3D" w:rsidRDefault="00EE7CE3" w:rsidP="00EE7CE3">
      <w:pPr>
        <w:pStyle w:val="SCCNormalDoubleSpacing"/>
        <w:tabs>
          <w:tab w:val="left" w:pos="720"/>
        </w:tabs>
        <w:spacing w:line="240" w:lineRule="auto"/>
        <w:rPr>
          <w:sz w:val="20"/>
          <w:lang w:val="fr-FR"/>
        </w:rPr>
      </w:pPr>
      <w:r w:rsidRPr="000C0C3D">
        <w:rPr>
          <w:sz w:val="20"/>
          <w:lang w:val="fr-FR"/>
        </w:rPr>
        <w:tab/>
      </w:r>
      <w:r w:rsidRPr="000C0C3D">
        <w:rPr>
          <w:i/>
          <w:sz w:val="20"/>
          <w:lang w:val="fr-FR"/>
        </w:rPr>
        <w:t>Arrêt </w:t>
      </w:r>
      <w:r w:rsidRPr="000C0C3D">
        <w:rPr>
          <w:rStyle w:val="QuoteChar"/>
          <w:sz w:val="20"/>
          <w:lang w:val="fr-FR"/>
        </w:rPr>
        <w:t>:</w:t>
      </w:r>
      <w:r w:rsidRPr="000C0C3D">
        <w:rPr>
          <w:sz w:val="20"/>
          <w:lang w:val="fr-FR"/>
        </w:rPr>
        <w:t> Le pourvoi est accueilli.</w:t>
      </w:r>
    </w:p>
    <w:p w:rsidR="00EE7CE3" w:rsidRPr="00EE7CE3" w:rsidRDefault="00EE7CE3" w:rsidP="00EE7CE3">
      <w:pPr>
        <w:pStyle w:val="SCCNormalDoubleSpacing"/>
        <w:tabs>
          <w:tab w:val="left" w:pos="720"/>
        </w:tabs>
        <w:spacing w:line="240" w:lineRule="auto"/>
        <w:rPr>
          <w:sz w:val="20"/>
          <w:lang w:val="fr-CA"/>
        </w:rPr>
      </w:pPr>
    </w:p>
    <w:p w:rsidR="00EE7CE3" w:rsidRPr="00EE7CE3" w:rsidRDefault="00EE7CE3" w:rsidP="00EE7CE3">
      <w:pPr>
        <w:pStyle w:val="SCCNormalDoubleSpacing"/>
        <w:tabs>
          <w:tab w:val="left" w:pos="720"/>
        </w:tabs>
        <w:spacing w:line="240" w:lineRule="auto"/>
        <w:rPr>
          <w:sz w:val="20"/>
          <w:lang w:val="fr-CA"/>
        </w:rPr>
      </w:pPr>
      <w:r w:rsidRPr="00EE7CE3">
        <w:rPr>
          <w:sz w:val="20"/>
          <w:lang w:val="fr-CA"/>
        </w:rPr>
        <w:tab/>
        <w:t xml:space="preserve">Selon </w:t>
      </w:r>
      <w:r w:rsidRPr="00EE7CE3">
        <w:rPr>
          <w:i/>
          <w:sz w:val="20"/>
          <w:lang w:val="fr-CA"/>
        </w:rPr>
        <w:t>Canada (Procureur général) c. TeleZone Inc.</w:t>
      </w:r>
      <w:r w:rsidRPr="00EE7CE3">
        <w:rPr>
          <w:sz w:val="20"/>
          <w:lang w:val="fr-CA"/>
        </w:rPr>
        <w:t xml:space="preserve">, 2010 CSC 62, la Cour fédérale est compétente pour connaître de l’action.  Au fond, les actes de procédure correspondent à un recours fondé sur de prétendues violations du par. 15(1) de la </w:t>
      </w:r>
      <w:r w:rsidRPr="00EE7CE3">
        <w:rPr>
          <w:i/>
          <w:sz w:val="20"/>
          <w:lang w:val="fr-CA"/>
        </w:rPr>
        <w:t>Charte canadienne des droits et libertés</w:t>
      </w:r>
      <w:r w:rsidRPr="00EE7CE3">
        <w:rPr>
          <w:sz w:val="20"/>
          <w:lang w:val="fr-CA"/>
        </w:rPr>
        <w:t xml:space="preserve">, et il n’est pas nécessaire de suspendre l’action en faveur d’une demande de contrôle judiciaire. </w:t>
      </w:r>
    </w:p>
    <w:p w:rsidR="00EE7CE3" w:rsidRDefault="00EE7CE3" w:rsidP="003B3977">
      <w:pPr>
        <w:rPr>
          <w:sz w:val="20"/>
          <w:szCs w:val="20"/>
          <w:lang w:val="fr-CA"/>
        </w:rPr>
      </w:pPr>
    </w:p>
    <w:p w:rsidR="00EE7CE3" w:rsidRPr="000C0C3D" w:rsidRDefault="00EE7CE3" w:rsidP="00EE7CE3">
      <w:pPr>
        <w:pStyle w:val="SCCNormalDoubleSpacing"/>
        <w:tabs>
          <w:tab w:val="left" w:pos="720"/>
        </w:tabs>
        <w:spacing w:line="240" w:lineRule="auto"/>
        <w:rPr>
          <w:sz w:val="20"/>
          <w:lang w:val="fr-FR"/>
        </w:rPr>
      </w:pPr>
      <w:r w:rsidRPr="000C0C3D">
        <w:rPr>
          <w:sz w:val="20"/>
          <w:lang w:val="fr-FR"/>
        </w:rPr>
        <w:tab/>
      </w:r>
      <w:r w:rsidRPr="00EE7CE3">
        <w:rPr>
          <w:sz w:val="20"/>
          <w:lang w:val="fr-CA"/>
        </w:rPr>
        <w:t>POURVOI contre un arrêt de la Cour d’appel fédérale (les juges Létourneau, Noël et Blais), 2009 CAF 29, [2009] 4 R.C.F. 478, 384 N.R. 313, 73 C.C.P.B. 1, [2009] A.C.F. n</w:t>
      </w:r>
      <w:r w:rsidRPr="00EE7CE3">
        <w:rPr>
          <w:sz w:val="20"/>
          <w:vertAlign w:val="superscript"/>
          <w:lang w:val="fr-CA"/>
        </w:rPr>
        <w:t>o</w:t>
      </w:r>
      <w:r w:rsidRPr="00EE7CE3">
        <w:rPr>
          <w:sz w:val="20"/>
          <w:lang w:val="fr-CA"/>
        </w:rPr>
        <w:t> 73 (QL), 2009 CarswellNat 161, qui a annulé une décision du juge Barnes, 2008 CF 624, [2009] 1 R.C.F. 416, 71 C.C.P.B. 112, 329 F.T.R. 167, [2008] A.C.F. n</w:t>
      </w:r>
      <w:r w:rsidRPr="00EE7CE3">
        <w:rPr>
          <w:sz w:val="20"/>
          <w:vertAlign w:val="superscript"/>
          <w:lang w:val="fr-CA"/>
        </w:rPr>
        <w:t>o</w:t>
      </w:r>
      <w:r w:rsidRPr="00EE7CE3">
        <w:rPr>
          <w:sz w:val="20"/>
          <w:lang w:val="fr-CA"/>
        </w:rPr>
        <w:t xml:space="preserve"> 787 (QL), 2008 CarswellNat 2779.  </w:t>
      </w:r>
      <w:r w:rsidRPr="000C0C3D">
        <w:rPr>
          <w:sz w:val="20"/>
          <w:lang w:val="fr-FR"/>
        </w:rPr>
        <w:t>Pourvoi accueilli.</w:t>
      </w:r>
    </w:p>
    <w:p w:rsidR="00EE7CE3" w:rsidRPr="000C0C3D" w:rsidRDefault="00EE7CE3" w:rsidP="00EE7CE3">
      <w:pPr>
        <w:pStyle w:val="SCCNormalDoubleSpacing"/>
        <w:tabs>
          <w:tab w:val="left" w:pos="720"/>
        </w:tabs>
        <w:spacing w:line="240" w:lineRule="auto"/>
        <w:rPr>
          <w:sz w:val="20"/>
          <w:lang w:val="fr-FR"/>
        </w:rPr>
      </w:pPr>
    </w:p>
    <w:p w:rsidR="00EE7CE3" w:rsidRPr="00EE7CE3" w:rsidRDefault="00EE7CE3" w:rsidP="00EE7CE3">
      <w:pPr>
        <w:pStyle w:val="SCCNormalDoubleSpacing"/>
        <w:tabs>
          <w:tab w:val="left" w:pos="720"/>
        </w:tabs>
        <w:spacing w:line="240" w:lineRule="auto"/>
        <w:rPr>
          <w:sz w:val="20"/>
          <w:lang w:val="fr-CA"/>
        </w:rPr>
      </w:pPr>
      <w:r w:rsidRPr="000C0C3D">
        <w:rPr>
          <w:rStyle w:val="SCCCounselNameChar"/>
          <w:sz w:val="20"/>
          <w:lang w:val="fr-FR"/>
        </w:rPr>
        <w:tab/>
      </w:r>
      <w:r w:rsidRPr="00EE7CE3">
        <w:rPr>
          <w:rStyle w:val="SCCCounselNameChar"/>
          <w:sz w:val="20"/>
          <w:lang w:val="fr-CA"/>
        </w:rPr>
        <w:t>Peter J. Driscoll, Michael Sobkin, Ward K. Branch</w:t>
      </w:r>
      <w:r w:rsidRPr="000C0C3D">
        <w:rPr>
          <w:rStyle w:val="SCCCounselSeparatorChar"/>
          <w:sz w:val="20"/>
        </w:rPr>
        <w:t xml:space="preserve"> et </w:t>
      </w:r>
      <w:r w:rsidRPr="00EE7CE3">
        <w:rPr>
          <w:rStyle w:val="SCCCounselNameChar"/>
          <w:sz w:val="20"/>
          <w:lang w:val="fr-CA"/>
        </w:rPr>
        <w:t>Daniel F. Wallace</w:t>
      </w:r>
      <w:r w:rsidRPr="00EE7CE3">
        <w:rPr>
          <w:rStyle w:val="SCCCounselPartyRoleChar"/>
          <w:sz w:val="20"/>
          <w:lang w:val="fr-CA"/>
        </w:rPr>
        <w:t>, pour l'appelant.</w:t>
      </w:r>
    </w:p>
    <w:p w:rsidR="00EE7CE3" w:rsidRPr="00EE7CE3" w:rsidRDefault="00EE7CE3" w:rsidP="00EE7CE3">
      <w:pPr>
        <w:pStyle w:val="SCCNormalDoubleSpacing"/>
        <w:tabs>
          <w:tab w:val="left" w:pos="720"/>
        </w:tabs>
        <w:spacing w:line="240" w:lineRule="auto"/>
        <w:rPr>
          <w:sz w:val="20"/>
          <w:lang w:val="fr-CA"/>
        </w:rPr>
      </w:pPr>
    </w:p>
    <w:p w:rsidR="00EE7CE3" w:rsidRPr="00EE7CE3" w:rsidRDefault="00EE7CE3" w:rsidP="00EE7CE3">
      <w:pPr>
        <w:pStyle w:val="SCCNormalDoubleSpacing"/>
        <w:tabs>
          <w:tab w:val="left" w:pos="720"/>
        </w:tabs>
        <w:spacing w:line="240" w:lineRule="auto"/>
        <w:rPr>
          <w:sz w:val="20"/>
          <w:lang w:val="fr-CA"/>
        </w:rPr>
      </w:pPr>
      <w:r w:rsidRPr="00EE7CE3">
        <w:rPr>
          <w:rStyle w:val="SCCCounselNameChar"/>
          <w:sz w:val="20"/>
          <w:lang w:val="fr-CA"/>
        </w:rPr>
        <w:tab/>
        <w:t>Christopher M. Rupar</w:t>
      </w:r>
      <w:r w:rsidRPr="000C0C3D">
        <w:rPr>
          <w:rStyle w:val="SCCCounselSeparatorChar"/>
          <w:sz w:val="20"/>
        </w:rPr>
        <w:t xml:space="preserve">, </w:t>
      </w:r>
      <w:r w:rsidRPr="00EE7CE3">
        <w:rPr>
          <w:rStyle w:val="SCCCounselNameChar"/>
          <w:sz w:val="20"/>
          <w:lang w:val="fr-CA"/>
        </w:rPr>
        <w:t>Alain Préfontaine</w:t>
      </w:r>
      <w:r w:rsidRPr="000C0C3D">
        <w:rPr>
          <w:rStyle w:val="SCCCounselSeparatorChar"/>
          <w:sz w:val="20"/>
        </w:rPr>
        <w:t xml:space="preserve"> et </w:t>
      </w:r>
      <w:r w:rsidRPr="00EE7CE3">
        <w:rPr>
          <w:rStyle w:val="SCCCounselNameChar"/>
          <w:sz w:val="20"/>
          <w:lang w:val="fr-CA"/>
        </w:rPr>
        <w:t>Bernard Letarte</w:t>
      </w:r>
      <w:r w:rsidRPr="00EE7CE3">
        <w:rPr>
          <w:rStyle w:val="SCCCounselPartyRoleChar"/>
          <w:sz w:val="20"/>
          <w:lang w:val="fr-CA"/>
        </w:rPr>
        <w:t>, pour l'intimée.</w:t>
      </w:r>
    </w:p>
    <w:p w:rsidR="00EE7CE3" w:rsidRPr="00EE7CE3" w:rsidRDefault="00EE7CE3" w:rsidP="00EE7CE3">
      <w:pPr>
        <w:tabs>
          <w:tab w:val="left" w:pos="720"/>
        </w:tabs>
        <w:rPr>
          <w:rFonts w:cs="Times New Roman"/>
          <w:sz w:val="20"/>
          <w:szCs w:val="20"/>
          <w:lang w:val="fr-CA"/>
        </w:rPr>
      </w:pPr>
    </w:p>
    <w:p w:rsidR="00EE7CE3" w:rsidRPr="00EE7CE3" w:rsidRDefault="00EE7CE3" w:rsidP="00EE7CE3">
      <w:pPr>
        <w:pStyle w:val="SCCLawFirm"/>
        <w:tabs>
          <w:tab w:val="left" w:pos="720"/>
        </w:tabs>
        <w:spacing w:line="240" w:lineRule="auto"/>
        <w:rPr>
          <w:sz w:val="20"/>
          <w:lang w:val="fr-CA"/>
        </w:rPr>
      </w:pPr>
      <w:r w:rsidRPr="00EE7CE3">
        <w:rPr>
          <w:sz w:val="20"/>
          <w:lang w:val="fr-CA"/>
        </w:rPr>
        <w:tab/>
        <w:t>Procureurs de l'appelant : McInnes Cooper, Halifax.</w:t>
      </w:r>
    </w:p>
    <w:p w:rsidR="00EE7CE3" w:rsidRPr="00EE7CE3" w:rsidRDefault="00EE7CE3" w:rsidP="00EE7CE3">
      <w:pPr>
        <w:pStyle w:val="SCCLawFirm"/>
        <w:tabs>
          <w:tab w:val="left" w:pos="720"/>
        </w:tabs>
        <w:spacing w:line="240" w:lineRule="auto"/>
        <w:rPr>
          <w:sz w:val="20"/>
          <w:lang w:val="fr-CA"/>
        </w:rPr>
      </w:pPr>
    </w:p>
    <w:p w:rsidR="00EE7CE3" w:rsidRDefault="00EE7CE3" w:rsidP="00EE7CE3">
      <w:pPr>
        <w:rPr>
          <w:rFonts w:cs="Times New Roman"/>
          <w:i/>
          <w:sz w:val="20"/>
          <w:szCs w:val="20"/>
          <w:lang w:val="fr-CA"/>
        </w:rPr>
      </w:pPr>
      <w:r w:rsidRPr="00EE7CE3">
        <w:rPr>
          <w:rFonts w:cs="Times New Roman"/>
          <w:i/>
          <w:sz w:val="20"/>
          <w:szCs w:val="20"/>
          <w:lang w:val="fr-CA"/>
        </w:rPr>
        <w:tab/>
        <w:t>Procureur de l'intimée : Ministère de la Justice, Ottawa.</w:t>
      </w:r>
    </w:p>
    <w:p w:rsidR="00EE7CE3" w:rsidRPr="00EE7CE3" w:rsidRDefault="00EE7CE3" w:rsidP="00EE7CE3">
      <w:pPr>
        <w:rPr>
          <w:sz w:val="20"/>
          <w:szCs w:val="20"/>
          <w:lang w:val="fr-CA"/>
        </w:rPr>
      </w:pPr>
    </w:p>
    <w:p w:rsidR="00151761" w:rsidRDefault="00D56013" w:rsidP="003B3977">
      <w:pPr>
        <w:rPr>
          <w:sz w:val="20"/>
          <w:szCs w:val="20"/>
        </w:rPr>
      </w:pPr>
      <w:r w:rsidRPr="00D56013">
        <w:rPr>
          <w:rFonts w:cs="Times New Roman"/>
          <w:sz w:val="20"/>
          <w:szCs w:val="20"/>
          <w:lang w:val="fr-CA"/>
        </w:rPr>
        <w:pict>
          <v:rect id="_x0000_i1128" style="width:144.3pt;height:1pt" o:hrpct="300" o:hralign="center" o:hrstd="t" o:hrnoshade="t" o:hr="t" fillcolor="black [3213]" stroked="f"/>
        </w:pict>
      </w:r>
    </w:p>
    <w:p w:rsidR="00151761" w:rsidRDefault="00151761" w:rsidP="003B3977">
      <w:pPr>
        <w:rPr>
          <w:sz w:val="20"/>
          <w:szCs w:val="20"/>
        </w:rPr>
      </w:pPr>
    </w:p>
    <w:p w:rsidR="00412488" w:rsidRDefault="00412488" w:rsidP="003B3977">
      <w:pPr>
        <w:rPr>
          <w:sz w:val="20"/>
          <w:szCs w:val="20"/>
        </w:rPr>
      </w:pPr>
    </w:p>
    <w:p w:rsidR="00412488" w:rsidRPr="003F4721" w:rsidRDefault="00412488" w:rsidP="003B3977">
      <w:pPr>
        <w:rPr>
          <w:sz w:val="20"/>
          <w:szCs w:val="20"/>
        </w:rPr>
      </w:pPr>
    </w:p>
    <w:p w:rsidR="005C6840" w:rsidRPr="00C50A5C" w:rsidRDefault="005C6840" w:rsidP="005C6840">
      <w:pPr>
        <w:jc w:val="both"/>
        <w:rPr>
          <w:sz w:val="20"/>
          <w:szCs w:val="20"/>
        </w:rPr>
      </w:pPr>
    </w:p>
    <w:p w:rsidR="00102926" w:rsidRPr="00C50A5C" w:rsidRDefault="00102926" w:rsidP="00782AE4">
      <w:pPr>
        <w:jc w:val="both"/>
        <w:rPr>
          <w:sz w:val="20"/>
          <w:szCs w:val="20"/>
        </w:rPr>
        <w:sectPr w:rsidR="00102926" w:rsidRPr="00C50A5C" w:rsidSect="00782AE4">
          <w:headerReference w:type="even" r:id="rId50"/>
          <w:headerReference w:type="default" r:id="rId51"/>
          <w:footerReference w:type="even" r:id="rId52"/>
          <w:footerReference w:type="default" r:id="rId53"/>
          <w:headerReference w:type="first" r:id="rId54"/>
          <w:footerReference w:type="first" r:id="rId55"/>
          <w:pgSz w:w="12240" w:h="15840"/>
          <w:pgMar w:top="720" w:right="965" w:bottom="1080" w:left="1656" w:header="576" w:footer="960" w:gutter="0"/>
          <w:cols w:space="720"/>
          <w:titlePg/>
          <w:docGrid w:linePitch="272"/>
        </w:sectPr>
      </w:pPr>
    </w:p>
    <w:tbl>
      <w:tblPr>
        <w:tblW w:w="0" w:type="auto"/>
        <w:tblBorders>
          <w:bottom w:val="single" w:sz="8" w:space="0" w:color="auto"/>
        </w:tblBorders>
        <w:tblLayout w:type="fixed"/>
        <w:tblCellMar>
          <w:left w:w="0" w:type="dxa"/>
          <w:right w:w="0" w:type="dxa"/>
        </w:tblCellMar>
        <w:tblLook w:val="0000"/>
      </w:tblPr>
      <w:tblGrid>
        <w:gridCol w:w="4320"/>
        <w:gridCol w:w="840"/>
        <w:gridCol w:w="4320"/>
      </w:tblGrid>
      <w:tr w:rsidR="0022323B" w:rsidRPr="00C50A5C" w:rsidTr="0085476B">
        <w:tc>
          <w:tcPr>
            <w:tcW w:w="4320" w:type="dxa"/>
            <w:shd w:val="clear" w:color="auto" w:fill="auto"/>
            <w:tcMar>
              <w:left w:w="0" w:type="dxa"/>
              <w:right w:w="0" w:type="dxa"/>
            </w:tcMar>
          </w:tcPr>
          <w:p w:rsidR="0022323B" w:rsidRPr="00C50A5C" w:rsidRDefault="0022323B" w:rsidP="00A857E2">
            <w:pPr>
              <w:keepNext/>
              <w:keepLines/>
              <w:rPr>
                <w:b/>
                <w:szCs w:val="24"/>
              </w:rPr>
            </w:pPr>
            <w:r w:rsidRPr="00C50A5C">
              <w:rPr>
                <w:b/>
                <w:szCs w:val="24"/>
              </w:rPr>
              <w:t>AGENDA</w:t>
            </w:r>
          </w:p>
        </w:tc>
        <w:tc>
          <w:tcPr>
            <w:tcW w:w="840" w:type="dxa"/>
            <w:shd w:val="clear" w:color="auto" w:fill="auto"/>
            <w:tcMar>
              <w:left w:w="0" w:type="dxa"/>
              <w:right w:w="0" w:type="dxa"/>
            </w:tcMar>
          </w:tcPr>
          <w:p w:rsidR="0022323B" w:rsidRPr="00C50A5C" w:rsidRDefault="0022323B" w:rsidP="0022323B">
            <w:pPr>
              <w:keepNext/>
              <w:keepLines/>
              <w:jc w:val="center"/>
              <w:rPr>
                <w:b/>
                <w:szCs w:val="24"/>
              </w:rPr>
            </w:pPr>
          </w:p>
          <w:p w:rsidR="0022323B" w:rsidRPr="00C50A5C" w:rsidRDefault="0022323B" w:rsidP="0022323B">
            <w:pPr>
              <w:keepNext/>
              <w:keepLines/>
              <w:jc w:val="center"/>
              <w:rPr>
                <w:b/>
                <w:szCs w:val="24"/>
              </w:rPr>
            </w:pPr>
          </w:p>
        </w:tc>
        <w:tc>
          <w:tcPr>
            <w:tcW w:w="4320" w:type="dxa"/>
            <w:shd w:val="clear" w:color="auto" w:fill="auto"/>
            <w:tcMar>
              <w:left w:w="0" w:type="dxa"/>
              <w:right w:w="0" w:type="dxa"/>
            </w:tcMar>
          </w:tcPr>
          <w:p w:rsidR="0022323B" w:rsidRPr="00C50A5C" w:rsidRDefault="0022323B" w:rsidP="00A857E2">
            <w:pPr>
              <w:keepNext/>
              <w:keepLines/>
              <w:rPr>
                <w:b/>
                <w:szCs w:val="24"/>
                <w:lang w:val="fr-CA"/>
              </w:rPr>
            </w:pPr>
            <w:r w:rsidRPr="00C50A5C">
              <w:rPr>
                <w:b/>
                <w:szCs w:val="24"/>
                <w:lang w:val="fr-CA"/>
              </w:rPr>
              <w:t>CALENDRIER</w:t>
            </w:r>
          </w:p>
        </w:tc>
      </w:tr>
    </w:tbl>
    <w:p w:rsidR="004B66B4" w:rsidRPr="00DD0B49" w:rsidRDefault="004B66B4" w:rsidP="004B66B4">
      <w:pPr>
        <w:rPr>
          <w:b/>
          <w:sz w:val="20"/>
          <w:szCs w:val="20"/>
        </w:rPr>
      </w:pPr>
    </w:p>
    <w:p w:rsidR="00455913" w:rsidRDefault="00455913" w:rsidP="004B66B4">
      <w:pPr>
        <w:rPr>
          <w:sz w:val="20"/>
          <w:szCs w:val="20"/>
        </w:rPr>
      </w:pPr>
      <w:r>
        <w:rPr>
          <w:sz w:val="20"/>
          <w:szCs w:val="20"/>
        </w:rPr>
        <w:t>The next session of the Supreme Court of Canada commences on January 17, 2011.</w:t>
      </w:r>
    </w:p>
    <w:p w:rsidR="00455913" w:rsidRDefault="00455913" w:rsidP="004B66B4">
      <w:pPr>
        <w:rPr>
          <w:sz w:val="20"/>
          <w:szCs w:val="20"/>
          <w:lang w:val="fr-CA"/>
        </w:rPr>
      </w:pPr>
      <w:r w:rsidRPr="00455913">
        <w:rPr>
          <w:sz w:val="20"/>
          <w:szCs w:val="20"/>
          <w:lang w:val="fr-CA"/>
        </w:rPr>
        <w:t>La prochaine session de la Cour supr</w:t>
      </w:r>
      <w:r>
        <w:rPr>
          <w:sz w:val="20"/>
          <w:szCs w:val="20"/>
          <w:lang w:val="fr-CA"/>
        </w:rPr>
        <w:t>ême du Canada débute le 17 janvier 2011.</w:t>
      </w:r>
    </w:p>
    <w:p w:rsidR="00455913" w:rsidRPr="00455913" w:rsidRDefault="00455913" w:rsidP="004B66B4">
      <w:pPr>
        <w:rPr>
          <w:sz w:val="20"/>
          <w:szCs w:val="20"/>
          <w:lang w:val="fr-CA"/>
        </w:rPr>
      </w:pPr>
    </w:p>
    <w:p w:rsidR="004B66B4" w:rsidRPr="00DD0B49" w:rsidRDefault="00455913" w:rsidP="004B66B4">
      <w:pPr>
        <w:rPr>
          <w:b/>
          <w:sz w:val="20"/>
          <w:szCs w:val="20"/>
        </w:rPr>
      </w:pPr>
      <w:r>
        <w:rPr>
          <w:b/>
          <w:sz w:val="20"/>
          <w:szCs w:val="20"/>
        </w:rPr>
        <w:t xml:space="preserve">The next Bulletin of </w:t>
      </w:r>
      <w:r w:rsidR="007566D7">
        <w:rPr>
          <w:b/>
          <w:sz w:val="20"/>
          <w:szCs w:val="20"/>
        </w:rPr>
        <w:t>P</w:t>
      </w:r>
      <w:r>
        <w:rPr>
          <w:b/>
          <w:sz w:val="20"/>
          <w:szCs w:val="20"/>
        </w:rPr>
        <w:t>roceedings will be published on January 7, 2011</w:t>
      </w:r>
      <w:r w:rsidR="004B66B4" w:rsidRPr="00DD0B49">
        <w:rPr>
          <w:b/>
          <w:sz w:val="20"/>
          <w:szCs w:val="20"/>
        </w:rPr>
        <w:t>.</w:t>
      </w:r>
    </w:p>
    <w:p w:rsidR="004B66B4" w:rsidRDefault="00455913" w:rsidP="004B66B4">
      <w:pPr>
        <w:rPr>
          <w:b/>
          <w:sz w:val="20"/>
          <w:szCs w:val="20"/>
          <w:lang w:val="fr-CA"/>
        </w:rPr>
      </w:pPr>
      <w:r w:rsidRPr="00455913">
        <w:rPr>
          <w:b/>
          <w:sz w:val="20"/>
          <w:szCs w:val="20"/>
          <w:lang w:val="fr-CA"/>
        </w:rPr>
        <w:t>La prochaine Bulletin des proc</w:t>
      </w:r>
      <w:r>
        <w:rPr>
          <w:b/>
          <w:sz w:val="20"/>
          <w:szCs w:val="20"/>
          <w:lang w:val="fr-CA"/>
        </w:rPr>
        <w:t>é</w:t>
      </w:r>
      <w:r w:rsidRPr="00455913">
        <w:rPr>
          <w:b/>
          <w:sz w:val="20"/>
          <w:szCs w:val="20"/>
          <w:lang w:val="fr-CA"/>
        </w:rPr>
        <w:t xml:space="preserve">dures sera publié le 7 janvier </w:t>
      </w:r>
      <w:r w:rsidR="004B66B4" w:rsidRPr="00DD0B49">
        <w:rPr>
          <w:b/>
          <w:sz w:val="20"/>
          <w:szCs w:val="20"/>
          <w:lang w:val="fr-CA"/>
        </w:rPr>
        <w:t>201</w:t>
      </w:r>
      <w:r>
        <w:rPr>
          <w:b/>
          <w:sz w:val="20"/>
          <w:szCs w:val="20"/>
          <w:lang w:val="fr-CA"/>
        </w:rPr>
        <w:t>1</w:t>
      </w:r>
      <w:r w:rsidR="004B66B4" w:rsidRPr="00DD0B49">
        <w:rPr>
          <w:b/>
          <w:sz w:val="20"/>
          <w:szCs w:val="20"/>
          <w:lang w:val="fr-CA"/>
        </w:rPr>
        <w:t>.</w:t>
      </w:r>
    </w:p>
    <w:p w:rsidR="00455913" w:rsidRDefault="00455913" w:rsidP="004B66B4">
      <w:pPr>
        <w:rPr>
          <w:b/>
          <w:sz w:val="20"/>
          <w:szCs w:val="20"/>
          <w:lang w:val="fr-CA"/>
        </w:rPr>
      </w:pPr>
    </w:p>
    <w:p w:rsidR="00455913" w:rsidRDefault="00455913" w:rsidP="004B66B4">
      <w:pPr>
        <w:rPr>
          <w:b/>
          <w:sz w:val="20"/>
          <w:szCs w:val="20"/>
          <w:lang w:val="fr-CA"/>
        </w:rPr>
      </w:pPr>
    </w:p>
    <w:p w:rsidR="00455913" w:rsidRDefault="00455913" w:rsidP="004B66B4">
      <w:pPr>
        <w:rPr>
          <w:b/>
          <w:sz w:val="20"/>
          <w:szCs w:val="20"/>
          <w:lang w:val="fr-CA"/>
        </w:rPr>
      </w:pPr>
    </w:p>
    <w:p w:rsidR="00455913" w:rsidRDefault="00455913" w:rsidP="004B66B4">
      <w:pPr>
        <w:rPr>
          <w:b/>
          <w:sz w:val="20"/>
          <w:szCs w:val="20"/>
          <w:lang w:val="fr-CA"/>
        </w:rPr>
      </w:pPr>
    </w:p>
    <w:p w:rsidR="00455913" w:rsidRDefault="00455913" w:rsidP="004B66B4">
      <w:pPr>
        <w:rPr>
          <w:b/>
          <w:sz w:val="20"/>
          <w:szCs w:val="20"/>
          <w:lang w:val="fr-CA"/>
        </w:rPr>
      </w:pPr>
    </w:p>
    <w:p w:rsidR="00455913" w:rsidRDefault="00455913" w:rsidP="004B66B4">
      <w:pPr>
        <w:rPr>
          <w:b/>
          <w:sz w:val="20"/>
          <w:szCs w:val="20"/>
          <w:lang w:val="fr-CA"/>
        </w:rPr>
      </w:pPr>
    </w:p>
    <w:p w:rsidR="00455913" w:rsidRDefault="00455913" w:rsidP="004B66B4">
      <w:pPr>
        <w:rPr>
          <w:b/>
          <w:sz w:val="20"/>
          <w:szCs w:val="20"/>
          <w:lang w:val="fr-CA"/>
        </w:rPr>
      </w:pPr>
    </w:p>
    <w:p w:rsidR="00455913" w:rsidRDefault="00455913" w:rsidP="004B66B4">
      <w:pPr>
        <w:rPr>
          <w:b/>
          <w:sz w:val="20"/>
          <w:szCs w:val="20"/>
          <w:lang w:val="fr-CA"/>
        </w:rPr>
      </w:pPr>
    </w:p>
    <w:p w:rsidR="00455913" w:rsidRDefault="00455913" w:rsidP="004B66B4">
      <w:pPr>
        <w:rPr>
          <w:b/>
          <w:sz w:val="20"/>
          <w:szCs w:val="20"/>
          <w:lang w:val="fr-CA"/>
        </w:rPr>
      </w:pPr>
    </w:p>
    <w:p w:rsidR="00455913" w:rsidRDefault="00455913" w:rsidP="004B66B4">
      <w:pPr>
        <w:rPr>
          <w:b/>
          <w:sz w:val="20"/>
          <w:szCs w:val="20"/>
          <w:lang w:val="fr-CA"/>
        </w:rPr>
      </w:pPr>
    </w:p>
    <w:p w:rsidR="00455913" w:rsidRDefault="00455913" w:rsidP="004B66B4">
      <w:pPr>
        <w:rPr>
          <w:b/>
          <w:sz w:val="20"/>
          <w:szCs w:val="20"/>
          <w:lang w:val="fr-CA"/>
        </w:rPr>
      </w:pPr>
    </w:p>
    <w:p w:rsidR="00455913" w:rsidRPr="00455913" w:rsidRDefault="00455913" w:rsidP="00455913">
      <w:pPr>
        <w:jc w:val="center"/>
        <w:rPr>
          <w:b/>
          <w:sz w:val="60"/>
          <w:szCs w:val="60"/>
          <w:lang w:val="fr-CA"/>
        </w:rPr>
      </w:pPr>
      <w:r w:rsidRPr="00455913">
        <w:rPr>
          <w:b/>
          <w:sz w:val="60"/>
          <w:szCs w:val="60"/>
          <w:lang w:val="fr-CA"/>
        </w:rPr>
        <w:t>SEASON’S GREETINGS!</w:t>
      </w:r>
    </w:p>
    <w:p w:rsidR="00455913" w:rsidRPr="00455913" w:rsidRDefault="00455913" w:rsidP="004B66B4">
      <w:pPr>
        <w:rPr>
          <w:b/>
          <w:sz w:val="60"/>
          <w:szCs w:val="60"/>
          <w:lang w:val="fr-CA"/>
        </w:rPr>
      </w:pPr>
    </w:p>
    <w:p w:rsidR="00455913" w:rsidRPr="00455913" w:rsidRDefault="00455913" w:rsidP="00455913">
      <w:pPr>
        <w:jc w:val="center"/>
        <w:rPr>
          <w:b/>
          <w:sz w:val="60"/>
          <w:szCs w:val="60"/>
          <w:lang w:val="fr-CA"/>
        </w:rPr>
      </w:pPr>
      <w:r w:rsidRPr="00455913">
        <w:rPr>
          <w:b/>
          <w:sz w:val="60"/>
          <w:szCs w:val="60"/>
          <w:lang w:val="fr-CA"/>
        </w:rPr>
        <w:t xml:space="preserve">MEILLEURS </w:t>
      </w:r>
      <w:r>
        <w:rPr>
          <w:b/>
          <w:sz w:val="60"/>
          <w:szCs w:val="60"/>
          <w:lang w:val="fr-CA"/>
        </w:rPr>
        <w:t>VOE</w:t>
      </w:r>
      <w:r w:rsidRPr="00455913">
        <w:rPr>
          <w:b/>
          <w:sz w:val="60"/>
          <w:szCs w:val="60"/>
          <w:lang w:val="fr-CA"/>
        </w:rPr>
        <w:t>UX !</w:t>
      </w:r>
    </w:p>
    <w:p w:rsidR="00455913" w:rsidRDefault="00455913" w:rsidP="004B66B4">
      <w:pPr>
        <w:rPr>
          <w:b/>
          <w:sz w:val="20"/>
          <w:szCs w:val="20"/>
          <w:lang w:val="fr-CA"/>
        </w:rPr>
      </w:pPr>
    </w:p>
    <w:p w:rsidR="00455913" w:rsidRDefault="00455913" w:rsidP="004B66B4">
      <w:pPr>
        <w:rPr>
          <w:b/>
          <w:sz w:val="20"/>
          <w:szCs w:val="20"/>
          <w:lang w:val="fr-CA"/>
        </w:rPr>
      </w:pPr>
    </w:p>
    <w:p w:rsidR="00455913" w:rsidRDefault="00455913" w:rsidP="004B66B4">
      <w:pPr>
        <w:rPr>
          <w:b/>
          <w:sz w:val="20"/>
          <w:szCs w:val="20"/>
          <w:lang w:val="fr-CA"/>
        </w:rPr>
      </w:pPr>
    </w:p>
    <w:p w:rsidR="00455913" w:rsidRPr="00DD0B49" w:rsidRDefault="00455913" w:rsidP="004B66B4">
      <w:pPr>
        <w:rPr>
          <w:sz w:val="20"/>
          <w:szCs w:val="20"/>
          <w:lang w:val="fr-CA"/>
        </w:rPr>
      </w:pPr>
    </w:p>
    <w:p w:rsidR="00C50A5C" w:rsidRDefault="00C50A5C" w:rsidP="0022323B">
      <w:pPr>
        <w:rPr>
          <w:sz w:val="20"/>
          <w:szCs w:val="20"/>
          <w:lang w:val="fr-CA"/>
        </w:rPr>
      </w:pPr>
    </w:p>
    <w:p w:rsidR="00102926" w:rsidRPr="00C50A5C" w:rsidRDefault="00102926" w:rsidP="00782AE4">
      <w:pPr>
        <w:jc w:val="both"/>
        <w:rPr>
          <w:sz w:val="20"/>
          <w:szCs w:val="20"/>
          <w:lang w:val="fr-CA"/>
        </w:rPr>
      </w:pPr>
    </w:p>
    <w:p w:rsidR="0022323B" w:rsidRPr="00C50A5C" w:rsidRDefault="0022323B" w:rsidP="00782AE4">
      <w:pPr>
        <w:jc w:val="both"/>
        <w:rPr>
          <w:sz w:val="20"/>
          <w:szCs w:val="20"/>
          <w:lang w:val="fr-CA"/>
        </w:rPr>
        <w:sectPr w:rsidR="0022323B" w:rsidRPr="00C50A5C" w:rsidSect="0022323B">
          <w:headerReference w:type="even" r:id="rId56"/>
          <w:headerReference w:type="default" r:id="rId57"/>
          <w:footerReference w:type="even" r:id="rId58"/>
          <w:footerReference w:type="default" r:id="rId59"/>
          <w:headerReference w:type="first" r:id="rId60"/>
          <w:footerReference w:type="first" r:id="rId61"/>
          <w:pgSz w:w="12240" w:h="15840"/>
          <w:pgMar w:top="720" w:right="965" w:bottom="1080" w:left="1656" w:header="720" w:footer="965" w:gutter="0"/>
          <w:cols w:space="720"/>
          <w:titlePg/>
          <w:docGrid w:linePitch="326"/>
        </w:sectPr>
      </w:pPr>
    </w:p>
    <w:bookmarkStart w:id="4" w:name="QuickMark"/>
    <w:bookmarkEnd w:id="4"/>
    <w:p w:rsidR="00924065" w:rsidRPr="00DE5525" w:rsidRDefault="00D56013" w:rsidP="00924065">
      <w:pPr>
        <w:jc w:val="center"/>
        <w:rPr>
          <w:b/>
          <w:szCs w:val="24"/>
        </w:rPr>
      </w:pPr>
      <w:r w:rsidRPr="00DE5525">
        <w:rPr>
          <w:b/>
          <w:szCs w:val="24"/>
        </w:rPr>
        <w:fldChar w:fldCharType="begin"/>
      </w:r>
      <w:r w:rsidR="00924065" w:rsidRPr="00DE5525">
        <w:rPr>
          <w:b/>
          <w:szCs w:val="24"/>
        </w:rPr>
        <w:instrText xml:space="preserve"> SEQ CHAPTER \h \r 1</w:instrText>
      </w:r>
      <w:r w:rsidRPr="00DE5525">
        <w:rPr>
          <w:b/>
          <w:szCs w:val="24"/>
        </w:rPr>
        <w:fldChar w:fldCharType="end"/>
      </w:r>
      <w:r w:rsidR="00924065" w:rsidRPr="00DE5525">
        <w:rPr>
          <w:b/>
          <w:szCs w:val="24"/>
        </w:rPr>
        <w:t>SUPREME COURT OF CANADA SCHEDULE / CALENDRIER DE LA COUR SUPREME</w:t>
      </w:r>
    </w:p>
    <w:p w:rsidR="00924065" w:rsidRPr="00DE5525" w:rsidRDefault="00924065" w:rsidP="00924065">
      <w:pPr>
        <w:widowControl w:val="0"/>
        <w:spacing w:line="180" w:lineRule="auto"/>
        <w:rPr>
          <w:szCs w:val="24"/>
        </w:rPr>
      </w:pPr>
    </w:p>
    <w:p w:rsidR="00924065" w:rsidRPr="00267AE0" w:rsidRDefault="00924065" w:rsidP="00924065">
      <w:pPr>
        <w:widowControl w:val="0"/>
        <w:tabs>
          <w:tab w:val="center" w:pos="5400"/>
          <w:tab w:val="right" w:pos="10440"/>
        </w:tabs>
        <w:rPr>
          <w:rFonts w:ascii="Arial" w:hAnsi="Arial" w:cs="Arial"/>
          <w:sz w:val="18"/>
        </w:rPr>
      </w:pPr>
      <w:r w:rsidRPr="00DE5525">
        <w:rPr>
          <w:sz w:val="18"/>
        </w:rPr>
        <w:tab/>
      </w:r>
      <w:r w:rsidRPr="00267AE0">
        <w:rPr>
          <w:rFonts w:ascii="Arial" w:hAnsi="Arial" w:cs="Arial"/>
          <w:i/>
          <w:sz w:val="36"/>
        </w:rPr>
        <w:t xml:space="preserve">- </w:t>
      </w:r>
      <w:r w:rsidRPr="00267AE0">
        <w:rPr>
          <w:rFonts w:ascii="Arial" w:hAnsi="Arial" w:cs="Arial"/>
          <w:b/>
          <w:i/>
          <w:sz w:val="36"/>
        </w:rPr>
        <w:t>2010</w:t>
      </w:r>
      <w:r w:rsidRPr="00267AE0">
        <w:rPr>
          <w:rFonts w:ascii="Arial" w:hAnsi="Arial" w:cs="Arial"/>
          <w:i/>
          <w:sz w:val="36"/>
        </w:rPr>
        <w:t xml:space="preserve"> -</w:t>
      </w:r>
      <w:r w:rsidRPr="00267AE0">
        <w:rPr>
          <w:rFonts w:ascii="Arial" w:hAnsi="Arial" w:cs="Arial"/>
          <w:sz w:val="18"/>
        </w:rPr>
        <w:tab/>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69"/>
        <w:gridCol w:w="469"/>
        <w:gridCol w:w="463"/>
        <w:gridCol w:w="475"/>
        <w:gridCol w:w="469"/>
        <w:gridCol w:w="469"/>
        <w:gridCol w:w="469"/>
        <w:gridCol w:w="457"/>
        <w:gridCol w:w="506"/>
        <w:gridCol w:w="450"/>
        <w:gridCol w:w="484"/>
        <w:gridCol w:w="449"/>
        <w:gridCol w:w="469"/>
        <w:gridCol w:w="469"/>
        <w:gridCol w:w="536"/>
        <w:gridCol w:w="450"/>
        <w:gridCol w:w="540"/>
        <w:gridCol w:w="450"/>
        <w:gridCol w:w="450"/>
        <w:gridCol w:w="396"/>
        <w:gridCol w:w="470"/>
      </w:tblGrid>
      <w:tr w:rsidR="00924065" w:rsidRPr="00267AE0" w:rsidTr="003B3977">
        <w:trPr>
          <w:cantSplit/>
          <w:jc w:val="center"/>
        </w:trPr>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OCTOBER - OCTOBRE</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84"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NOVEMBER - NOVEMBRE</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92"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DECEMBER - DÉCEMBRE</w:t>
            </w:r>
          </w:p>
        </w:tc>
      </w:tr>
      <w:tr w:rsidR="00924065" w:rsidRPr="00267AE0" w:rsidTr="003B3977">
        <w:trPr>
          <w:cantSplit/>
          <w:trHeight w:val="288"/>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57"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4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r>
      <w:tr w:rsidR="00924065" w:rsidRPr="00267AE0" w:rsidTr="003B3977">
        <w:trPr>
          <w:cantSplit/>
          <w:trHeight w:val="288"/>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20"/>
              </w:rPr>
            </w:pPr>
          </w:p>
          <w:p w:rsidR="00924065" w:rsidRPr="00267AE0" w:rsidRDefault="00924065" w:rsidP="003B3977">
            <w:pPr>
              <w:widowControl w:val="0"/>
              <w:jc w:val="center"/>
              <w:rPr>
                <w:rFonts w:ascii="Arial" w:hAnsi="Arial" w:cs="Arial"/>
                <w:sz w:val="14"/>
              </w:rPr>
            </w:pP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7" w:type="dxa"/>
            <w:tcBorders>
              <w:top w:val="double" w:sz="8" w:space="0" w:color="000000"/>
              <w:left w:val="double" w:sz="8" w:space="0" w:color="000000"/>
              <w:bottom w:val="double" w:sz="8" w:space="0" w:color="000000"/>
              <w:right w:val="double" w:sz="8" w:space="0" w:color="000000"/>
            </w:tcBorders>
            <w:shd w:val="pct30" w:color="000000" w:fill="auto"/>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50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84"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4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r>
      <w:tr w:rsidR="00924065" w:rsidRPr="00267AE0" w:rsidTr="003B3977">
        <w:trPr>
          <w:cantSplit/>
          <w:trHeight w:val="288"/>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69" w:type="dxa"/>
            <w:tcBorders>
              <w:top w:val="single" w:sz="8" w:space="0" w:color="000000"/>
              <w:left w:val="nil"/>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3"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57"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50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84"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4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5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r>
      <w:tr w:rsidR="00924065" w:rsidRPr="00267AE0" w:rsidTr="003B3977">
        <w:trPr>
          <w:cantSplit/>
          <w:trHeight w:val="288"/>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6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57"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50" w:type="dxa"/>
            <w:tcBorders>
              <w:top w:val="nil"/>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4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r>
      <w:tr w:rsidR="00924065" w:rsidRPr="00267AE0" w:rsidTr="003B3977">
        <w:trPr>
          <w:cantSplit/>
          <w:trHeight w:val="288"/>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69" w:type="dxa"/>
            <w:tcBorders>
              <w:top w:val="nil"/>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57"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4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5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70" w:type="dxa"/>
            <w:tcBorders>
              <w:top w:val="single" w:sz="8" w:space="0" w:color="000000"/>
              <w:left w:val="nil"/>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r>
      <w:tr w:rsidR="00924065" w:rsidRPr="00267AE0" w:rsidTr="003B3977">
        <w:trPr>
          <w:cantSplit/>
          <w:trHeight w:val="288"/>
          <w:jc w:val="center"/>
        </w:trPr>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24</w:t>
            </w:r>
          </w:p>
          <w:p w:rsidR="00924065" w:rsidRPr="00267AE0" w:rsidRDefault="00924065" w:rsidP="003B3977">
            <w:pPr>
              <w:widowControl w:val="0"/>
              <w:jc w:val="center"/>
              <w:rPr>
                <w:rFonts w:ascii="Arial" w:hAnsi="Arial" w:cs="Arial"/>
                <w:sz w:val="14"/>
              </w:rPr>
            </w:pPr>
            <w:r w:rsidRPr="00267AE0">
              <w:rPr>
                <w:rFonts w:ascii="Arial" w:hAnsi="Arial" w:cs="Arial"/>
                <w:sz w:val="14"/>
              </w:rPr>
              <w:t>/ 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3"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75"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57"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50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84"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4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5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54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50"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396" w:type="dxa"/>
            <w:tcBorders>
              <w:top w:val="nil"/>
              <w:left w:val="nil"/>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31</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r>
    </w:tbl>
    <w:p w:rsidR="00924065" w:rsidRPr="00267AE0" w:rsidRDefault="00924065" w:rsidP="00924065">
      <w:pPr>
        <w:widowControl w:val="0"/>
        <w:tabs>
          <w:tab w:val="center" w:pos="5400"/>
        </w:tabs>
        <w:rPr>
          <w:rFonts w:ascii="Arial" w:hAnsi="Arial" w:cs="Arial"/>
          <w:sz w:val="16"/>
        </w:rPr>
      </w:pPr>
      <w:r w:rsidRPr="00267AE0">
        <w:rPr>
          <w:rFonts w:ascii="Arial" w:hAnsi="Arial" w:cs="Arial"/>
          <w:sz w:val="18"/>
        </w:rPr>
        <w:tab/>
      </w:r>
      <w:r w:rsidRPr="00267AE0">
        <w:rPr>
          <w:rFonts w:ascii="Arial" w:hAnsi="Arial" w:cs="Arial"/>
          <w:i/>
          <w:sz w:val="36"/>
        </w:rPr>
        <w:t xml:space="preserve">- </w:t>
      </w:r>
      <w:r w:rsidRPr="00267AE0">
        <w:rPr>
          <w:rFonts w:ascii="Arial" w:hAnsi="Arial" w:cs="Arial"/>
          <w:b/>
          <w:i/>
          <w:sz w:val="36"/>
        </w:rPr>
        <w:t>2011</w:t>
      </w:r>
      <w:r w:rsidRPr="00267AE0">
        <w:rPr>
          <w:rFonts w:ascii="Arial" w:hAnsi="Arial" w:cs="Arial"/>
          <w:i/>
          <w:sz w:val="36"/>
        </w:rPr>
        <w:t xml:space="preserve"> -</w:t>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98"/>
        <w:gridCol w:w="440"/>
        <w:gridCol w:w="469"/>
        <w:gridCol w:w="469"/>
        <w:gridCol w:w="469"/>
        <w:gridCol w:w="469"/>
        <w:gridCol w:w="469"/>
        <w:gridCol w:w="469"/>
        <w:gridCol w:w="469"/>
        <w:gridCol w:w="469"/>
        <w:gridCol w:w="486"/>
        <w:gridCol w:w="452"/>
        <w:gridCol w:w="469"/>
        <w:gridCol w:w="469"/>
        <w:gridCol w:w="469"/>
        <w:gridCol w:w="480"/>
        <w:gridCol w:w="458"/>
        <w:gridCol w:w="442"/>
        <w:gridCol w:w="450"/>
        <w:gridCol w:w="516"/>
        <w:gridCol w:w="470"/>
      </w:tblGrid>
      <w:tr w:rsidR="00924065" w:rsidRPr="00267AE0" w:rsidTr="003B3977">
        <w:trPr>
          <w:cantSplit/>
          <w:jc w:val="center"/>
        </w:trPr>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JANUARY - JANVIER</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FEBRUARY - FÉVRIER</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85"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MARCH - MARS</w:t>
            </w:r>
          </w:p>
        </w:tc>
      </w:tr>
      <w:tr w:rsidR="00924065" w:rsidRPr="00267AE0" w:rsidTr="003B3977">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r>
      <w:tr w:rsidR="00924065" w:rsidRPr="00267AE0" w:rsidTr="003B3977">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98"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86"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52"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8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516"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r>
      <w:tr w:rsidR="00924065" w:rsidRPr="00267AE0" w:rsidTr="003B3977">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 xml:space="preserve">   </w:t>
            </w: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69" w:type="dxa"/>
            <w:tcBorders>
              <w:top w:val="single" w:sz="8" w:space="0" w:color="000000"/>
              <w:left w:val="nil"/>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86"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52"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8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58"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42"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50"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516"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r>
      <w:tr w:rsidR="00924065" w:rsidRPr="00267AE0" w:rsidTr="003B3977">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98" w:type="dxa"/>
            <w:tcBorders>
              <w:top w:val="single" w:sz="8" w:space="0" w:color="000000"/>
              <w:left w:val="nil"/>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8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51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r>
      <w:tr w:rsidR="00924065" w:rsidRPr="00267AE0" w:rsidTr="003B3977">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69" w:type="dxa"/>
            <w:tcBorders>
              <w:top w:val="double" w:sz="8" w:space="0" w:color="000000"/>
              <w:left w:val="double" w:sz="8" w:space="0" w:color="000000"/>
              <w:bottom w:val="double" w:sz="6"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9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8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516"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r>
      <w:tr w:rsidR="00924065" w:rsidRPr="00267AE0" w:rsidTr="003B3977">
        <w:trPr>
          <w:cantSplit/>
          <w:jc w:val="center"/>
        </w:trPr>
        <w:tc>
          <w:tcPr>
            <w:tcW w:w="469" w:type="dxa"/>
            <w:tcBorders>
              <w:top w:val="single" w:sz="8" w:space="0" w:color="000000"/>
              <w:left w:val="double" w:sz="8" w:space="0" w:color="000000"/>
              <w:bottom w:val="double" w:sz="8" w:space="0" w:color="000000"/>
              <w:right w:val="single" w:sz="4" w:space="0" w:color="auto"/>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23</w:t>
            </w:r>
          </w:p>
          <w:p w:rsidR="00924065" w:rsidRPr="00267AE0" w:rsidRDefault="00924065" w:rsidP="003B3977">
            <w:pPr>
              <w:widowControl w:val="0"/>
              <w:jc w:val="center"/>
              <w:rPr>
                <w:rFonts w:ascii="Arial" w:hAnsi="Arial" w:cs="Arial"/>
                <w:sz w:val="14"/>
              </w:rPr>
            </w:pPr>
            <w:r w:rsidRPr="00267AE0">
              <w:rPr>
                <w:rFonts w:ascii="Arial" w:hAnsi="Arial" w:cs="Arial"/>
                <w:sz w:val="14"/>
              </w:rPr>
              <w:t>/ 30</w:t>
            </w:r>
          </w:p>
        </w:tc>
        <w:tc>
          <w:tcPr>
            <w:tcW w:w="469" w:type="dxa"/>
            <w:tcBorders>
              <w:top w:val="double" w:sz="6" w:space="0" w:color="000000"/>
              <w:left w:val="single" w:sz="4" w:space="0" w:color="auto"/>
              <w:bottom w:val="double" w:sz="6" w:space="0" w:color="000000"/>
              <w:right w:val="single" w:sz="4" w:space="0" w:color="auto"/>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24</w:t>
            </w:r>
          </w:p>
          <w:p w:rsidR="00924065" w:rsidRPr="00267AE0" w:rsidRDefault="00924065" w:rsidP="003B3977">
            <w:pPr>
              <w:widowControl w:val="0"/>
              <w:jc w:val="center"/>
              <w:rPr>
                <w:rFonts w:ascii="Arial" w:hAnsi="Arial" w:cs="Arial"/>
                <w:sz w:val="14"/>
              </w:rPr>
            </w:pPr>
            <w:r w:rsidRPr="00267AE0">
              <w:rPr>
                <w:rFonts w:ascii="Arial" w:hAnsi="Arial" w:cs="Arial"/>
                <w:sz w:val="14"/>
              </w:rPr>
              <w:t>/ 31</w:t>
            </w:r>
          </w:p>
        </w:tc>
        <w:tc>
          <w:tcPr>
            <w:tcW w:w="498" w:type="dxa"/>
            <w:tcBorders>
              <w:top w:val="single" w:sz="8" w:space="0" w:color="000000"/>
              <w:left w:val="single" w:sz="4" w:space="0" w:color="auto"/>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40"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69"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9"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80"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4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31</w:t>
            </w:r>
          </w:p>
        </w:tc>
        <w:tc>
          <w:tcPr>
            <w:tcW w:w="51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r>
    </w:tbl>
    <w:p w:rsidR="00924065" w:rsidRPr="00267AE0" w:rsidRDefault="00924065" w:rsidP="00924065">
      <w:pPr>
        <w:widowControl w:val="0"/>
        <w:spacing w:before="120" w:after="120"/>
        <w:rPr>
          <w:rFonts w:ascii="Arial" w:hAnsi="Arial" w:cs="Arial"/>
          <w:vanish/>
          <w:sz w:val="22"/>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tblPr>
      <w:tblGrid>
        <w:gridCol w:w="446"/>
        <w:gridCol w:w="492"/>
        <w:gridCol w:w="469"/>
        <w:gridCol w:w="469"/>
        <w:gridCol w:w="469"/>
        <w:gridCol w:w="469"/>
        <w:gridCol w:w="469"/>
        <w:gridCol w:w="469"/>
        <w:gridCol w:w="473"/>
        <w:gridCol w:w="466"/>
        <w:gridCol w:w="469"/>
        <w:gridCol w:w="469"/>
        <w:gridCol w:w="486"/>
        <w:gridCol w:w="450"/>
        <w:gridCol w:w="472"/>
        <w:gridCol w:w="518"/>
        <w:gridCol w:w="450"/>
        <w:gridCol w:w="439"/>
        <w:gridCol w:w="469"/>
        <w:gridCol w:w="469"/>
        <w:gridCol w:w="469"/>
        <w:gridCol w:w="469"/>
        <w:gridCol w:w="470"/>
      </w:tblGrid>
      <w:tr w:rsidR="00924065" w:rsidRPr="00267AE0" w:rsidTr="00924065">
        <w:trPr>
          <w:cantSplit/>
          <w:jc w:val="center"/>
        </w:trPr>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APRIL - AVRIL</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85"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MAY - MAI</w:t>
            </w:r>
          </w:p>
        </w:tc>
        <w:tc>
          <w:tcPr>
            <w:tcW w:w="518"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35"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JUNE - JUIN</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9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6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3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9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9" w:type="dxa"/>
            <w:tcBorders>
              <w:top w:val="single" w:sz="8" w:space="0" w:color="000000"/>
              <w:left w:val="nil"/>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 xml:space="preserve"> </w:t>
            </w: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b/>
                <w:sz w:val="14"/>
              </w:rPr>
            </w:pPr>
          </w:p>
          <w:p w:rsidR="00924065" w:rsidRPr="00267AE0" w:rsidRDefault="00924065" w:rsidP="003B3977">
            <w:pPr>
              <w:widowControl w:val="0"/>
              <w:jc w:val="center"/>
              <w:rPr>
                <w:rFonts w:ascii="Arial" w:hAnsi="Arial" w:cs="Arial"/>
                <w:sz w:val="14"/>
              </w:rPr>
            </w:pPr>
            <w:r w:rsidRPr="00267AE0">
              <w:rPr>
                <w:rFonts w:ascii="Arial" w:hAnsi="Arial" w:cs="Arial"/>
                <w:b/>
                <w:sz w:val="14"/>
              </w:rPr>
              <w:t>6</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3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9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69" w:type="dxa"/>
            <w:tcBorders>
              <w:top w:val="single" w:sz="8" w:space="0" w:color="000000"/>
              <w:left w:val="nil"/>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69" w:type="dxa"/>
            <w:tcBorders>
              <w:top w:val="nil"/>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6"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3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92"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69" w:type="dxa"/>
            <w:tcBorders>
              <w:top w:val="nil"/>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69"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6"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69" w:type="dxa"/>
            <w:tcBorders>
              <w:top w:val="single" w:sz="8" w:space="0" w:color="000000"/>
              <w:left w:val="nil"/>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3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92"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vAlign w:val="cente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9" w:type="dxa"/>
            <w:tcBorders>
              <w:top w:val="single" w:sz="8" w:space="0" w:color="000000"/>
              <w:left w:val="single" w:sz="8" w:space="0" w:color="000000"/>
              <w:bottom w:val="sing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6"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69" w:type="dxa"/>
            <w:tcBorders>
              <w:top w:val="single" w:sz="8" w:space="0" w:color="000000"/>
              <w:left w:val="nil"/>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50"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3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r>
      <w:tr w:rsidR="00924065" w:rsidRPr="00267AE0" w:rsidTr="00924065">
        <w:trPr>
          <w:cantSplit/>
          <w:jc w:val="center"/>
        </w:trPr>
        <w:tc>
          <w:tcPr>
            <w:tcW w:w="446" w:type="dxa"/>
            <w:tcBorders>
              <w:top w:val="sing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92"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66"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72"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3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6"/>
              </w:rPr>
            </w:pPr>
          </w:p>
        </w:tc>
      </w:tr>
    </w:tbl>
    <w:p w:rsidR="00924065" w:rsidRPr="00267AE0" w:rsidRDefault="00924065" w:rsidP="00924065">
      <w:pPr>
        <w:widowControl w:val="0"/>
        <w:rPr>
          <w:rFonts w:ascii="Arial" w:hAnsi="Arial" w:cs="Arial"/>
          <w:sz w:val="16"/>
        </w:rPr>
      </w:pPr>
    </w:p>
    <w:p w:rsidR="008C1CC8" w:rsidRPr="00267AE0" w:rsidRDefault="008C1CC8">
      <w:pPr>
        <w:rPr>
          <w:rFonts w:ascii="Arial" w:hAnsi="Arial" w:cs="Arial"/>
          <w:sz w:val="16"/>
        </w:rPr>
      </w:pPr>
      <w:r w:rsidRPr="00267AE0">
        <w:rPr>
          <w:rFonts w:ascii="Arial" w:hAnsi="Arial" w:cs="Arial"/>
          <w:sz w:val="16"/>
        </w:rPr>
        <w:t>Sittings of the court:</w:t>
      </w: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tblPr>
      <w:tblGrid>
        <w:gridCol w:w="1710"/>
        <w:gridCol w:w="540"/>
        <w:gridCol w:w="8370"/>
      </w:tblGrid>
      <w:tr w:rsidR="00924065" w:rsidRPr="00267AE0" w:rsidTr="003B3977">
        <w:trPr>
          <w:cantSplit/>
          <w:trHeight w:val="368"/>
        </w:trPr>
        <w:tc>
          <w:tcPr>
            <w:tcW w:w="1710" w:type="dxa"/>
            <w:tcBorders>
              <w:top w:val="nil"/>
              <w:left w:val="nil"/>
              <w:bottom w:val="nil"/>
              <w:right w:val="nil"/>
            </w:tcBorders>
            <w:tcMar>
              <w:top w:w="43" w:type="dxa"/>
              <w:left w:w="120" w:type="dxa"/>
              <w:bottom w:w="29" w:type="dxa"/>
              <w:right w:w="120" w:type="dxa"/>
            </w:tcMar>
          </w:tcPr>
          <w:p w:rsidR="008C1CC8" w:rsidRPr="00267AE0" w:rsidRDefault="008C1CC8" w:rsidP="003B3977">
            <w:pPr>
              <w:widowControl w:val="0"/>
              <w:rPr>
                <w:rFonts w:ascii="Arial" w:hAnsi="Arial" w:cs="Arial"/>
                <w:sz w:val="16"/>
              </w:rPr>
            </w:pPr>
            <w:r w:rsidRPr="00267AE0">
              <w:rPr>
                <w:rFonts w:ascii="Arial" w:hAnsi="Arial" w:cs="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8C1CC8" w:rsidRPr="00267AE0" w:rsidRDefault="008C1CC8" w:rsidP="003B3977">
            <w:pPr>
              <w:widowControl w:val="0"/>
              <w:rPr>
                <w:rFonts w:ascii="Arial" w:hAnsi="Arial" w:cs="Arial"/>
                <w:sz w:val="16"/>
              </w:rPr>
            </w:pPr>
          </w:p>
          <w:p w:rsidR="008C1CC8" w:rsidRPr="00267AE0" w:rsidRDefault="008C1CC8" w:rsidP="003B3977">
            <w:pPr>
              <w:widowControl w:val="0"/>
              <w:rPr>
                <w:rFonts w:ascii="Arial" w:hAnsi="Arial" w:cs="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fr-CA"/>
              </w:rPr>
            </w:pPr>
            <w:r w:rsidRPr="00FC5E72">
              <w:rPr>
                <w:rFonts w:ascii="Arial" w:hAnsi="Arial" w:cs="Arial"/>
                <w:b/>
                <w:sz w:val="16"/>
                <w:lang w:val="fr-CA"/>
              </w:rPr>
              <w:tab/>
            </w:r>
            <w:r w:rsidRPr="00267AE0">
              <w:rPr>
                <w:rFonts w:ascii="Arial" w:hAnsi="Arial" w:cs="Arial"/>
                <w:b/>
                <w:sz w:val="16"/>
                <w:lang w:val="fr-CA"/>
              </w:rPr>
              <w:t>18  sitting weeks/semaines séances de la cour</w:t>
            </w:r>
          </w:p>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fr-CA"/>
              </w:rPr>
            </w:pPr>
            <w:r w:rsidRPr="00267AE0">
              <w:rPr>
                <w:rFonts w:ascii="Arial" w:hAnsi="Arial" w:cs="Arial"/>
                <w:b/>
                <w:sz w:val="16"/>
                <w:lang w:val="fr-CA"/>
              </w:rPr>
              <w:tab/>
              <w:t>87  sitting days/journées séances de la cour</w:t>
            </w:r>
          </w:p>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fr-CA"/>
              </w:rPr>
            </w:pPr>
            <w:r w:rsidRPr="00267AE0">
              <w:rPr>
                <w:rFonts w:ascii="Arial" w:hAnsi="Arial" w:cs="Arial"/>
                <w:b/>
                <w:sz w:val="16"/>
                <w:lang w:val="fr-CA"/>
              </w:rPr>
              <w:tab/>
              <w:t>9  motion and conference days/ journées des requêtes et des conférences</w:t>
            </w:r>
          </w:p>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b/>
                <w:sz w:val="16"/>
                <w:lang w:val="fr-CA"/>
              </w:rPr>
              <w:tab/>
            </w:r>
            <w:r w:rsidRPr="00267AE0">
              <w:rPr>
                <w:rFonts w:ascii="Arial" w:hAnsi="Arial" w:cs="Arial"/>
                <w:b/>
                <w:sz w:val="16"/>
              </w:rPr>
              <w:t>3  holidays during sitting days/ jours fériés durant les sessions</w:t>
            </w:r>
          </w:p>
        </w:tc>
      </w:tr>
      <w:tr w:rsidR="00924065" w:rsidRPr="00267AE0" w:rsidTr="003B3977">
        <w:trPr>
          <w:cantSplit/>
          <w:trHeight w:val="368"/>
        </w:trPr>
        <w:tc>
          <w:tcPr>
            <w:tcW w:w="1710" w:type="dxa"/>
            <w:tcBorders>
              <w:top w:val="nil"/>
              <w:left w:val="nil"/>
              <w:bottom w:val="nil"/>
              <w:right w:val="double" w:sz="8" w:space="0" w:color="000000"/>
            </w:tcBorders>
            <w:tcMar>
              <w:top w:w="43" w:type="dxa"/>
              <w:left w:w="120" w:type="dxa"/>
              <w:bottom w:w="29" w:type="dxa"/>
              <w:right w:w="120" w:type="dxa"/>
            </w:tcMa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sz w:val="16"/>
              </w:rPr>
              <w:t>Motions:</w:t>
            </w:r>
          </w:p>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p>
        </w:tc>
      </w:tr>
      <w:tr w:rsidR="00924065" w:rsidRPr="00267AE0" w:rsidTr="003B3977">
        <w:trPr>
          <w:cantSplit/>
          <w:trHeight w:val="368"/>
        </w:trPr>
        <w:tc>
          <w:tcPr>
            <w:tcW w:w="1710" w:type="dxa"/>
            <w:tcBorders>
              <w:top w:val="nil"/>
              <w:left w:val="nil"/>
              <w:bottom w:val="nil"/>
              <w:right w:val="double" w:sz="8" w:space="0" w:color="000000"/>
            </w:tcBorders>
            <w:tcMar>
              <w:top w:w="43" w:type="dxa"/>
              <w:left w:w="120" w:type="dxa"/>
              <w:bottom w:w="29" w:type="dxa"/>
              <w:right w:w="120" w:type="dxa"/>
            </w:tcMa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sz w:val="16"/>
              </w:rPr>
              <w:t>Holidays:</w:t>
            </w:r>
          </w:p>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sz w:val="16"/>
                <w:lang w:val="fr-CA"/>
              </w:rPr>
              <w:t>Jours fériés</w:t>
            </w:r>
            <w:r w:rsidRPr="00267AE0">
              <w:rPr>
                <w:rFonts w:ascii="Arial" w:hAnsi="Arial" w:cs="Arial"/>
                <w:sz w:val="16"/>
              </w:rPr>
              <w:t xml:space="preserve">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924065" w:rsidRPr="00267AE0" w:rsidRDefault="00924065" w:rsidP="003B3977">
            <w:pPr>
              <w:widowControl w:val="0"/>
              <w:tabs>
                <w:tab w:val="center" w:pos="150"/>
              </w:tabs>
              <w:rPr>
                <w:rFonts w:ascii="Arial" w:hAnsi="Arial" w:cs="Arial"/>
                <w:sz w:val="16"/>
              </w:rPr>
            </w:pPr>
            <w:r w:rsidRPr="00267AE0">
              <w:rPr>
                <w:rFonts w:ascii="Arial" w:hAnsi="Arial" w:cs="Arial"/>
                <w:b/>
                <w:sz w:val="16"/>
              </w:rPr>
              <w:tab/>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p>
        </w:tc>
      </w:tr>
    </w:tbl>
    <w:p w:rsidR="002410B8" w:rsidRPr="0022323B" w:rsidRDefault="002410B8" w:rsidP="00924065">
      <w:pPr>
        <w:jc w:val="both"/>
        <w:rPr>
          <w:lang w:val="fr-CA"/>
        </w:rPr>
      </w:pPr>
    </w:p>
    <w:sectPr w:rsidR="002410B8" w:rsidRPr="0022323B" w:rsidSect="00924065">
      <w:headerReference w:type="default" r:id="rId62"/>
      <w:footerReference w:type="default" r:id="rId63"/>
      <w:pgSz w:w="12240" w:h="15840" w:code="1"/>
      <w:pgMar w:top="720" w:right="720" w:bottom="1110" w:left="1080" w:header="144"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878" w:rsidRDefault="00D71878" w:rsidP="00A87207">
      <w:r>
        <w:separator/>
      </w:r>
    </w:p>
  </w:endnote>
  <w:endnote w:type="continuationSeparator" w:id="0">
    <w:p w:rsidR="00D71878" w:rsidRDefault="00D71878" w:rsidP="00A87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878" w:rsidRDefault="00D71878">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878" w:rsidRDefault="00D56013">
    <w:pPr>
      <w:pStyle w:val="Footer"/>
      <w:rPr>
        <w:lang w:val="fr-CA"/>
      </w:rPr>
    </w:pPr>
    <w:r w:rsidRPr="00D56013">
      <w:rPr>
        <w:lang w:val="fr-CA"/>
      </w:rPr>
      <w:pict>
        <v:rect id="_x0000_i1093" style="width:480.95pt;height:1pt" o:hralign="center" o:hrstd="t" o:hrnoshade="t" o:hr="t" fillcolor="black [3213]" stroked="f"/>
      </w:pict>
    </w:r>
  </w:p>
  <w:p w:rsidR="00D71878" w:rsidRDefault="00D71878" w:rsidP="00245129">
    <w:pPr>
      <w:tabs>
        <w:tab w:val="center" w:pos="4680"/>
      </w:tabs>
    </w:pPr>
    <w:r>
      <w:tab/>
    </w:r>
    <w:r w:rsidRPr="0009648D">
      <w:t xml:space="preserve">- </w:t>
    </w:r>
    <w:fldSimple w:instr=" PAGE   \* MERGEFORMAT ">
      <w:r w:rsidR="00CD7923">
        <w:rPr>
          <w:noProof/>
        </w:rPr>
        <w:t>1676</w:t>
      </w:r>
    </w:fldSimple>
    <w:r w:rsidRPr="0009648D">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878" w:rsidRDefault="00D718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D71878" w:rsidRDefault="00D718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71878" w:rsidRDefault="00D71878">
    <w:pPr>
      <w:tabs>
        <w:tab w:val="center" w:pos="4740"/>
      </w:tabs>
    </w:pPr>
    <w:r>
      <w:tab/>
      <w:t xml:space="preserve">- </w:t>
    </w:r>
    <w:r>
      <w:pgNum/>
    </w:r>
    <w: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878" w:rsidRDefault="00D56013" w:rsidP="00755F22">
    <w:pPr>
      <w:tabs>
        <w:tab w:val="left" w:pos="-1440"/>
        <w:tab w:val="left" w:pos="-720"/>
      </w:tabs>
    </w:pPr>
    <w:r>
      <w:pict>
        <v:rect id="_x0000_i1101" style="width:480.95pt;height:1pt" o:hralign="center" o:hrstd="t" o:hrnoshade="t" o:hr="t" fillcolor="black [3213]" stroked="f"/>
      </w:pict>
    </w:r>
  </w:p>
  <w:p w:rsidR="00D71878" w:rsidRDefault="00D71878" w:rsidP="00EB2B90">
    <w:pPr>
      <w:tabs>
        <w:tab w:val="center" w:pos="4680"/>
      </w:tabs>
    </w:pPr>
    <w:r>
      <w:tab/>
      <w:t xml:space="preserve">- </w:t>
    </w:r>
    <w:fldSimple w:instr=" PAGE   \* MERGEFORMAT ">
      <w:r w:rsidR="00CD7923">
        <w:rPr>
          <w:noProof/>
        </w:rPr>
        <w:t>1716</w:t>
      </w:r>
    </w:fldSimple>
    <w:r>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878" w:rsidRDefault="00D56013" w:rsidP="00EB2B90">
    <w:pPr>
      <w:tabs>
        <w:tab w:val="center" w:pos="4680"/>
      </w:tabs>
    </w:pPr>
    <w:r>
      <w:pict>
        <v:rect id="_x0000_i1102" style="width:480.95pt;height:1pt" o:hralign="center" o:hrstd="t" o:hrnoshade="t" o:hr="t" fillcolor="black [3213]" stroked="f"/>
      </w:pict>
    </w:r>
  </w:p>
  <w:p w:rsidR="00D71878" w:rsidRPr="0031432F" w:rsidRDefault="00D71878" w:rsidP="00EB2B90">
    <w:pPr>
      <w:tabs>
        <w:tab w:val="center" w:pos="4680"/>
      </w:tabs>
    </w:pPr>
    <w:r>
      <w:tab/>
      <w:t xml:space="preserve">- </w:t>
    </w:r>
    <w:fldSimple w:instr=" PAGE   \* MERGEFORMAT ">
      <w:r w:rsidR="00CD7923">
        <w:rPr>
          <w:noProof/>
        </w:rPr>
        <w:t>1712</w:t>
      </w:r>
    </w:fldSimple>
    <w: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878" w:rsidRDefault="00D718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D71878" w:rsidRDefault="00D718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71878" w:rsidRDefault="00D71878">
    <w:pPr>
      <w:tabs>
        <w:tab w:val="center" w:pos="4740"/>
      </w:tabs>
    </w:pPr>
    <w:r>
      <w:tab/>
      <w:t xml:space="preserve">- </w:t>
    </w:r>
    <w:r>
      <w:pgNum/>
    </w:r>
    <w: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878" w:rsidRDefault="00D56013" w:rsidP="00732DB7">
    <w:r>
      <w:pict>
        <v:rect id="_x0000_i1104" style="width:480.95pt;height:1pt" o:hralign="center" o:hrstd="t" o:hrnoshade="t" o:hr="t" fillcolor="black" stroked="f"/>
      </w:pict>
    </w:r>
  </w:p>
  <w:p w:rsidR="00D71878" w:rsidRDefault="00D71878">
    <w:pPr>
      <w:tabs>
        <w:tab w:val="center" w:pos="4740"/>
      </w:tabs>
      <w:spacing w:line="0" w:lineRule="atLeast"/>
    </w:pPr>
    <w:r>
      <w:tab/>
      <w:t xml:space="preserve">- </w:t>
    </w:r>
    <w:r>
      <w:pgNum/>
    </w:r>
    <w:r>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878" w:rsidRDefault="00D56013">
    <w:pPr>
      <w:pStyle w:val="Footer"/>
    </w:pPr>
    <w:r>
      <w:pict>
        <v:rect id="_x0000_i1105" style="width:480.95pt;height:1pt" o:hralign="center" o:hrstd="t" o:hrnoshade="t" o:hr="t" fillcolor="black" stroked="f"/>
      </w:pict>
    </w:r>
  </w:p>
  <w:p w:rsidR="00D71878" w:rsidRPr="00283C52" w:rsidRDefault="00D71878">
    <w:pPr>
      <w:pStyle w:val="Footer"/>
    </w:pPr>
    <w:r>
      <w:tab/>
    </w:r>
    <w:r w:rsidRPr="00283C52">
      <w:t xml:space="preserve">- </w:t>
    </w:r>
    <w:r w:rsidRPr="00283C52">
      <w:pgNum/>
    </w:r>
    <w:r w:rsidRPr="00283C52">
      <w:t xml:space="preserve"> -</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878" w:rsidRDefault="00D718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D71878" w:rsidRDefault="00D718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71878" w:rsidRDefault="00D71878">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878" w:rsidRDefault="00D56013" w:rsidP="00732DB7">
    <w:r>
      <w:pict>
        <v:rect id="_x0000_i1113" style="width:480.95pt;height:1pt" o:hralign="center" o:hrstd="t" o:hrnoshade="t" o:hr="t" fillcolor="black" stroked="f"/>
      </w:pict>
    </w:r>
  </w:p>
  <w:p w:rsidR="00D71878" w:rsidRDefault="00D71878">
    <w:pPr>
      <w:tabs>
        <w:tab w:val="center" w:pos="4740"/>
      </w:tabs>
      <w:spacing w:line="0" w:lineRule="atLeast"/>
    </w:pPr>
    <w:r>
      <w:tab/>
      <w:t xml:space="preserve">- </w:t>
    </w:r>
    <w:r>
      <w:pgNum/>
    </w:r>
    <w:r>
      <w:t xml:space="preserve"> -</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878" w:rsidRDefault="00D56013">
    <w:pPr>
      <w:pStyle w:val="Footer"/>
    </w:pPr>
    <w:r>
      <w:pict>
        <v:rect id="_x0000_i1114" style="width:480.95pt;height:1pt" o:hralign="center" o:hrstd="t" o:hrnoshade="t" o:hr="t" fillcolor="black [3213]" stroked="f"/>
      </w:pict>
    </w:r>
  </w:p>
  <w:p w:rsidR="00D71878" w:rsidRPr="003C2C0F" w:rsidRDefault="00D71878" w:rsidP="00697C62">
    <w:pPr>
      <w:tabs>
        <w:tab w:val="center" w:pos="4680"/>
      </w:tabs>
    </w:pPr>
    <w:r>
      <w:tab/>
      <w:t xml:space="preserve">- </w:t>
    </w:r>
    <w:fldSimple w:instr=" PAGE   \* MERGEFORMAT ">
      <w:r w:rsidR="00CD7923">
        <w:rPr>
          <w:noProof/>
        </w:rPr>
        <w:t>1718</w:t>
      </w:r>
    </w:fldSimple>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878" w:rsidRDefault="00D71878">
    <w:pPr>
      <w:pStyle w:val="Foo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878" w:rsidRDefault="00D718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D71878" w:rsidRDefault="00D718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71878" w:rsidRDefault="00D71878">
    <w:pPr>
      <w:tabs>
        <w:tab w:val="center" w:pos="4740"/>
      </w:tabs>
    </w:pPr>
    <w:r>
      <w:tab/>
      <w:t xml:space="preserve">- </w:t>
    </w:r>
    <w:r>
      <w:pgNum/>
    </w:r>
    <w:r>
      <w:t xml:space="preserve"> -</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878" w:rsidRDefault="00D718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D71878" w:rsidRDefault="00D560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129" style="width:480.95pt;height:1pt" o:hralign="center" o:hrstd="t" o:hrnoshade="t" o:hr="t" fillcolor="black [3213]" stroked="f"/>
      </w:pict>
    </w:r>
  </w:p>
  <w:p w:rsidR="00D71878" w:rsidRDefault="00D71878" w:rsidP="00782AE4">
    <w:pPr>
      <w:tabs>
        <w:tab w:val="center" w:pos="4680"/>
      </w:tabs>
    </w:pPr>
    <w:r>
      <w:tab/>
      <w:t xml:space="preserve">- </w:t>
    </w:r>
    <w:r w:rsidR="00D56013" w:rsidRPr="001775C1">
      <w:rPr>
        <w:szCs w:val="24"/>
      </w:rPr>
      <w:fldChar w:fldCharType="begin"/>
    </w:r>
    <w:r w:rsidRPr="001775C1">
      <w:rPr>
        <w:szCs w:val="24"/>
      </w:rPr>
      <w:instrText xml:space="preserve"> PAGE   \* MERGEFORMAT </w:instrText>
    </w:r>
    <w:r w:rsidR="00D56013" w:rsidRPr="001775C1">
      <w:rPr>
        <w:szCs w:val="24"/>
      </w:rPr>
      <w:fldChar w:fldCharType="separate"/>
    </w:r>
    <w:r w:rsidR="00CD7923">
      <w:rPr>
        <w:noProof/>
        <w:szCs w:val="24"/>
      </w:rPr>
      <w:t>1733</w:t>
    </w:r>
    <w:r w:rsidR="00D56013" w:rsidRPr="001775C1">
      <w:rPr>
        <w:szCs w:val="24"/>
      </w:rPr>
      <w:fldChar w:fldCharType="end"/>
    </w:r>
    <w:r>
      <w:t xml:space="preserve"> -</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878" w:rsidRDefault="00D56013" w:rsidP="00782AE4">
    <w:pPr>
      <w:tabs>
        <w:tab w:val="center" w:pos="4680"/>
      </w:tabs>
    </w:pPr>
    <w:r>
      <w:pict>
        <v:rect id="_x0000_i1130" style="width:480.95pt;height:1pt" o:hralign="center" o:hrstd="t" o:hrnoshade="t" o:hr="t" fillcolor="black [3213]" stroked="f"/>
      </w:pict>
    </w:r>
  </w:p>
  <w:p w:rsidR="00D71878" w:rsidRDefault="00D71878" w:rsidP="00782AE4">
    <w:pPr>
      <w:tabs>
        <w:tab w:val="center" w:pos="4680"/>
      </w:tabs>
    </w:pPr>
    <w:r>
      <w:tab/>
      <w:t xml:space="preserve">- </w:t>
    </w:r>
    <w:r w:rsidR="00D56013" w:rsidRPr="001775C1">
      <w:rPr>
        <w:szCs w:val="24"/>
      </w:rPr>
      <w:fldChar w:fldCharType="begin"/>
    </w:r>
    <w:r w:rsidRPr="001775C1">
      <w:rPr>
        <w:szCs w:val="24"/>
      </w:rPr>
      <w:instrText xml:space="preserve"> PAGE   \* MERGEFORMAT </w:instrText>
    </w:r>
    <w:r w:rsidR="00D56013" w:rsidRPr="001775C1">
      <w:rPr>
        <w:szCs w:val="24"/>
      </w:rPr>
      <w:fldChar w:fldCharType="separate"/>
    </w:r>
    <w:r w:rsidR="00CD7923">
      <w:rPr>
        <w:noProof/>
        <w:szCs w:val="24"/>
      </w:rPr>
      <w:t>1721</w:t>
    </w:r>
    <w:r w:rsidR="00D56013" w:rsidRPr="001775C1">
      <w:rPr>
        <w:szCs w:val="24"/>
      </w:rPr>
      <w:fldChar w:fldCharType="end"/>
    </w:r>
    <w:r>
      <w:t xml:space="preserve"> -</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878" w:rsidRDefault="00D71878">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p w:rsidR="00D71878" w:rsidRDefault="00D71878">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0" w:lineRule="atLeast"/>
    </w:pPr>
  </w:p>
  <w:p w:rsidR="00D71878" w:rsidRDefault="00D71878">
    <w:pPr>
      <w:tabs>
        <w:tab w:val="center" w:pos="4740"/>
      </w:tabs>
    </w:pPr>
    <w:r>
      <w:tab/>
      <w:t xml:space="preserve">- </w:t>
    </w:r>
    <w:r>
      <w:pgNum/>
    </w:r>
    <w:r>
      <w:t xml:space="preserve"> -</w: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878" w:rsidRDefault="00D56013" w:rsidP="0022323B">
    <w:r>
      <w:pict>
        <v:rect id="_x0000_i1131" style="width:480.95pt;height:1pt" o:hralign="center" o:hrstd="t" o:hrnoshade="t" o:hr="t" fillcolor="black [3213]" stroked="f"/>
      </w:pict>
    </w:r>
  </w:p>
  <w:p w:rsidR="00D71878" w:rsidRDefault="00D71878">
    <w:pPr>
      <w:tabs>
        <w:tab w:val="center" w:pos="4740"/>
      </w:tabs>
      <w:spacing w:line="0" w:lineRule="atLeast"/>
    </w:pPr>
    <w:r>
      <w:tab/>
      <w:t xml:space="preserve">- </w:t>
    </w:r>
    <w:fldSimple w:instr=" PAGE   \* MERGEFORMAT ">
      <w:r>
        <w:rPr>
          <w:noProof/>
        </w:rPr>
        <w:t>535</w:t>
      </w:r>
    </w:fldSimple>
    <w:r>
      <w:t xml:space="preserve"> -</w: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878" w:rsidRDefault="00D56013" w:rsidP="0022323B">
    <w:r>
      <w:pict>
        <v:rect id="_x0000_i1132" style="width:480.95pt;height:1pt" o:hralign="center" o:hrstd="t" o:hrnoshade="t" o:hr="t" fillcolor="black [3213]" stroked="f"/>
      </w:pict>
    </w:r>
  </w:p>
  <w:p w:rsidR="00D71878" w:rsidRDefault="00D71878" w:rsidP="0022323B">
    <w:pPr>
      <w:tabs>
        <w:tab w:val="center" w:pos="4740"/>
      </w:tabs>
      <w:spacing w:line="0" w:lineRule="atLeast"/>
    </w:pPr>
    <w:r>
      <w:tab/>
      <w:t xml:space="preserve">- </w:t>
    </w:r>
    <w:fldSimple w:instr=" PAGE   \* MERGEFORMAT ">
      <w:r w:rsidR="00850008">
        <w:rPr>
          <w:noProof/>
        </w:rPr>
        <w:t>1749</w:t>
      </w:r>
    </w:fldSimple>
    <w:r>
      <w:t xml:space="preserve"> -</w: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878" w:rsidRPr="00924065" w:rsidRDefault="00D71878" w:rsidP="00924065">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878" w:rsidRDefault="00D7187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878" w:rsidRDefault="00D56013" w:rsidP="00A87207">
    <w:pPr>
      <w:pStyle w:val="Footer"/>
    </w:pPr>
    <w:r>
      <w:pict>
        <v:rect id="_x0000_i1046" style="width:480.95pt;height:1pt" o:hralign="center" o:hrstd="t" o:hrnoshade="t" o:hr="t" fillcolor="black [3213]" stroked="f"/>
      </w:pict>
    </w:r>
  </w:p>
  <w:p w:rsidR="00D71878" w:rsidRPr="00B7374B" w:rsidRDefault="00D71878" w:rsidP="00B7374B">
    <w:pPr>
      <w:tabs>
        <w:tab w:val="center" w:pos="4680"/>
      </w:tabs>
      <w:rPr>
        <w:szCs w:val="24"/>
      </w:rPr>
    </w:pPr>
    <w:r w:rsidRPr="00954D22">
      <w:rPr>
        <w:szCs w:val="24"/>
      </w:rPr>
      <w:tab/>
      <w:t xml:space="preserve">- </w:t>
    </w:r>
    <w:r w:rsidR="00D56013" w:rsidRPr="00954D22">
      <w:rPr>
        <w:szCs w:val="24"/>
      </w:rPr>
      <w:fldChar w:fldCharType="begin"/>
    </w:r>
    <w:r w:rsidRPr="00954D22">
      <w:rPr>
        <w:szCs w:val="24"/>
      </w:rPr>
      <w:instrText xml:space="preserve"> PAGE   \* MERGEFORMAT </w:instrText>
    </w:r>
    <w:r w:rsidR="00D56013" w:rsidRPr="00954D22">
      <w:rPr>
        <w:szCs w:val="24"/>
      </w:rPr>
      <w:fldChar w:fldCharType="separate"/>
    </w:r>
    <w:r w:rsidR="00CD7923">
      <w:rPr>
        <w:noProof/>
        <w:szCs w:val="24"/>
      </w:rPr>
      <w:t>1674</w:t>
    </w:r>
    <w:r w:rsidR="00D56013" w:rsidRPr="00954D22">
      <w:rPr>
        <w:szCs w:val="24"/>
      </w:rPr>
      <w:fldChar w:fldCharType="end"/>
    </w:r>
    <w:r w:rsidRPr="00954D22">
      <w:rPr>
        <w:szCs w:val="24"/>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878" w:rsidRDefault="00D56013" w:rsidP="00755F22">
    <w:pPr>
      <w:tabs>
        <w:tab w:val="left" w:pos="-1440"/>
        <w:tab w:val="left" w:pos="-720"/>
      </w:tabs>
    </w:pPr>
    <w:r>
      <w:pict>
        <v:rect id="_x0000_i1047" style="width:480.95pt;height:1pt" o:hralign="center" o:hrstd="t" o:hrnoshade="t" o:hr="t" fillcolor="black [3213]" stroked="f"/>
      </w:pict>
    </w:r>
  </w:p>
  <w:p w:rsidR="00D71878" w:rsidRPr="00954D22" w:rsidRDefault="00D71878" w:rsidP="00B7374B">
    <w:pPr>
      <w:tabs>
        <w:tab w:val="center" w:pos="4680"/>
      </w:tabs>
      <w:rPr>
        <w:szCs w:val="24"/>
      </w:rPr>
    </w:pPr>
    <w:r w:rsidRPr="00954D22">
      <w:rPr>
        <w:szCs w:val="24"/>
      </w:rPr>
      <w:tab/>
      <w:t xml:space="preserve">- </w:t>
    </w:r>
    <w:r w:rsidR="00D56013">
      <w:rPr>
        <w:szCs w:val="24"/>
      </w:rPr>
      <w:fldChar w:fldCharType="begin"/>
    </w:r>
    <w:r>
      <w:rPr>
        <w:szCs w:val="24"/>
      </w:rPr>
      <w:instrText xml:space="preserve"> PAGE   \* MERGEFORMAT </w:instrText>
    </w:r>
    <w:r w:rsidR="00D56013">
      <w:rPr>
        <w:szCs w:val="24"/>
      </w:rPr>
      <w:fldChar w:fldCharType="separate"/>
    </w:r>
    <w:r w:rsidR="00CD7923">
      <w:rPr>
        <w:noProof/>
        <w:szCs w:val="24"/>
      </w:rPr>
      <w:t>1672</w:t>
    </w:r>
    <w:r w:rsidR="00D56013">
      <w:rPr>
        <w:szCs w:val="24"/>
      </w:rPr>
      <w:fldChar w:fldCharType="end"/>
    </w:r>
    <w:r w:rsidRPr="00954D22">
      <w:rPr>
        <w:szCs w:val="24"/>
      </w:rPr>
      <w:t xml:space="preserve"> -</w:t>
    </w:r>
  </w:p>
  <w:p w:rsidR="00D71878" w:rsidRDefault="00D71878">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878" w:rsidRDefault="00D56013" w:rsidP="00A87207">
    <w:pPr>
      <w:pStyle w:val="Footer"/>
    </w:pPr>
    <w:r>
      <w:pict>
        <v:rect id="_x0000_i1049" style="width:480.95pt;height:1pt" o:hralign="center" o:hrstd="t" o:hrnoshade="t" o:hr="t" fillcolor="black [3213]" stroked="f"/>
      </w:pict>
    </w:r>
  </w:p>
  <w:p w:rsidR="00D71878" w:rsidRPr="00B7374B" w:rsidRDefault="00D71878" w:rsidP="00B7374B">
    <w:pPr>
      <w:tabs>
        <w:tab w:val="center" w:pos="4680"/>
      </w:tabs>
      <w:rPr>
        <w:szCs w:val="24"/>
      </w:rPr>
    </w:pPr>
    <w:r w:rsidRPr="00954D22">
      <w:rPr>
        <w:szCs w:val="24"/>
      </w:rPr>
      <w:tab/>
      <w:t xml:space="preserve">- </w:t>
    </w:r>
    <w:r w:rsidR="00D56013" w:rsidRPr="00954D22">
      <w:rPr>
        <w:szCs w:val="24"/>
      </w:rPr>
      <w:fldChar w:fldCharType="begin"/>
    </w:r>
    <w:r w:rsidRPr="00954D22">
      <w:rPr>
        <w:szCs w:val="24"/>
      </w:rPr>
      <w:instrText xml:space="preserve"> PAGE   \* MERGEFORMAT </w:instrText>
    </w:r>
    <w:r w:rsidR="00D56013" w:rsidRPr="00954D22">
      <w:rPr>
        <w:szCs w:val="24"/>
      </w:rPr>
      <w:fldChar w:fldCharType="separate"/>
    </w:r>
    <w:r>
      <w:rPr>
        <w:noProof/>
        <w:szCs w:val="24"/>
      </w:rPr>
      <w:t>1676</w:t>
    </w:r>
    <w:r w:rsidR="00D56013" w:rsidRPr="00954D22">
      <w:rPr>
        <w:szCs w:val="24"/>
      </w:rPr>
      <w:fldChar w:fldCharType="end"/>
    </w:r>
    <w:r>
      <w:rPr>
        <w:szCs w:val="24"/>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878" w:rsidRDefault="00D56013"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50" style="width:480.95pt;height:1pt" o:hralign="center" o:hrstd="t" o:hrnoshade="t" o:hr="t" fillcolor="black [3213]" stroked="f"/>
      </w:pict>
    </w:r>
  </w:p>
  <w:p w:rsidR="00D71878" w:rsidRPr="00954D22" w:rsidRDefault="00D71878" w:rsidP="00B7374B">
    <w:pPr>
      <w:tabs>
        <w:tab w:val="center" w:pos="4680"/>
      </w:tabs>
      <w:rPr>
        <w:szCs w:val="24"/>
      </w:rPr>
    </w:pPr>
    <w:r w:rsidRPr="00954D22">
      <w:rPr>
        <w:szCs w:val="24"/>
      </w:rPr>
      <w:tab/>
      <w:t xml:space="preserve">- </w:t>
    </w:r>
    <w:r w:rsidR="00D56013" w:rsidRPr="00954D22">
      <w:rPr>
        <w:szCs w:val="24"/>
      </w:rPr>
      <w:fldChar w:fldCharType="begin"/>
    </w:r>
    <w:r w:rsidRPr="00954D22">
      <w:rPr>
        <w:szCs w:val="24"/>
      </w:rPr>
      <w:instrText xml:space="preserve"> PAGE   \* MERGEFORMAT </w:instrText>
    </w:r>
    <w:r w:rsidR="00D56013" w:rsidRPr="00954D22">
      <w:rPr>
        <w:szCs w:val="24"/>
      </w:rPr>
      <w:fldChar w:fldCharType="separate"/>
    </w:r>
    <w:r w:rsidR="00CD7923">
      <w:rPr>
        <w:noProof/>
        <w:szCs w:val="24"/>
      </w:rPr>
      <w:t>1675</w:t>
    </w:r>
    <w:r w:rsidR="00D56013" w:rsidRPr="00954D22">
      <w:rPr>
        <w:szCs w:val="24"/>
      </w:rPr>
      <w:fldChar w:fldCharType="end"/>
    </w:r>
    <w:r w:rsidRPr="00954D22">
      <w:rPr>
        <w:szCs w:val="24"/>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878" w:rsidRDefault="00D718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D71878" w:rsidRDefault="00D718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71878" w:rsidRDefault="00D71878">
    <w:pPr>
      <w:tabs>
        <w:tab w:val="center" w:pos="4740"/>
      </w:tabs>
    </w:pPr>
    <w:r>
      <w:tab/>
      <w:t xml:space="preserve">- </w:t>
    </w:r>
    <w:r>
      <w:pgNum/>
    </w:r>
    <w: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878" w:rsidRDefault="00D560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56013">
      <w:rPr>
        <w:lang w:val="fr-CA"/>
      </w:rPr>
      <w:pict>
        <v:rect id="_x0000_i1092" style="width:480.95pt;height:1pt" o:hralign="center" o:hrstd="t" o:hrnoshade="t" o:hr="t" fillcolor="black [3213]" stroked="f"/>
      </w:pict>
    </w:r>
  </w:p>
  <w:p w:rsidR="00D71878" w:rsidRPr="0009648D" w:rsidRDefault="00D71878" w:rsidP="00ED7E83">
    <w:pPr>
      <w:tabs>
        <w:tab w:val="center" w:pos="4680"/>
      </w:tabs>
    </w:pPr>
    <w:r>
      <w:tab/>
    </w:r>
    <w:r w:rsidRPr="0009648D">
      <w:t xml:space="preserve">- </w:t>
    </w:r>
    <w:fldSimple w:instr=" PAGE   \* MERGEFORMAT ">
      <w:r w:rsidR="00CD7923">
        <w:rPr>
          <w:noProof/>
        </w:rPr>
        <w:t>1711</w:t>
      </w:r>
    </w:fldSimple>
    <w:r w:rsidRPr="0009648D">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878" w:rsidRDefault="00D71878" w:rsidP="00A87207">
      <w:r>
        <w:separator/>
      </w:r>
    </w:p>
  </w:footnote>
  <w:footnote w:type="continuationSeparator" w:id="0">
    <w:p w:rsidR="00D71878" w:rsidRDefault="00D71878" w:rsidP="00A87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878" w:rsidRDefault="00D71878">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878" w:rsidRDefault="00D71878">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D71878">
      <w:tc>
        <w:tcPr>
          <w:tcW w:w="4230" w:type="dxa"/>
          <w:tcMar>
            <w:left w:w="0" w:type="dxa"/>
            <w:right w:w="0" w:type="dxa"/>
          </w:tcMar>
        </w:tcPr>
        <w:p w:rsidR="00D71878" w:rsidRDefault="00D7187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D71878" w:rsidRDefault="00D7187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D71878" w:rsidRDefault="00D7187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D71878">
      <w:trPr>
        <w:gridAfter w:val="2"/>
        <w:wAfter w:w="5250" w:type="dxa"/>
      </w:trPr>
      <w:tc>
        <w:tcPr>
          <w:tcW w:w="4230" w:type="dxa"/>
          <w:tcMar>
            <w:left w:w="0" w:type="dxa"/>
            <w:right w:w="0" w:type="dxa"/>
          </w:tcMar>
        </w:tcPr>
        <w:p w:rsidR="00D71878" w:rsidRDefault="00D718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D71878" w:rsidRDefault="00D718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D71878" w:rsidRPr="00755F22" w:rsidTr="00245129">
      <w:tc>
        <w:tcPr>
          <w:tcW w:w="4230" w:type="dxa"/>
          <w:tcMar>
            <w:left w:w="0" w:type="dxa"/>
            <w:right w:w="0" w:type="dxa"/>
          </w:tcMar>
        </w:tcPr>
        <w:p w:rsidR="00D71878" w:rsidRPr="00755F22" w:rsidRDefault="00D71878" w:rsidP="00831CA9">
          <w:pPr>
            <w:keepNext/>
            <w:keepLines/>
            <w:rPr>
              <w:sz w:val="20"/>
              <w:szCs w:val="20"/>
            </w:rPr>
          </w:pPr>
          <w:r w:rsidRPr="00755F22">
            <w:rPr>
              <w:sz w:val="20"/>
              <w:szCs w:val="20"/>
            </w:rPr>
            <w:t>MOTIONS</w:t>
          </w:r>
        </w:p>
      </w:tc>
      <w:tc>
        <w:tcPr>
          <w:tcW w:w="1170" w:type="dxa"/>
          <w:tcMar>
            <w:left w:w="0" w:type="dxa"/>
            <w:right w:w="0" w:type="dxa"/>
          </w:tcMar>
        </w:tcPr>
        <w:p w:rsidR="00D71878" w:rsidRPr="00755F22" w:rsidRDefault="00D71878" w:rsidP="00831CA9">
          <w:pPr>
            <w:keepLines/>
            <w:jc w:val="center"/>
            <w:rPr>
              <w:sz w:val="20"/>
              <w:szCs w:val="20"/>
            </w:rPr>
          </w:pPr>
        </w:p>
        <w:p w:rsidR="00D71878" w:rsidRPr="00755F22" w:rsidRDefault="00D71878" w:rsidP="00831CA9">
          <w:pPr>
            <w:keepLines/>
            <w:tabs>
              <w:tab w:val="left" w:pos="-1440"/>
              <w:tab w:val="left" w:pos="-720"/>
            </w:tabs>
            <w:jc w:val="center"/>
            <w:rPr>
              <w:sz w:val="20"/>
              <w:szCs w:val="20"/>
            </w:rPr>
          </w:pPr>
        </w:p>
      </w:tc>
      <w:tc>
        <w:tcPr>
          <w:tcW w:w="4080" w:type="dxa"/>
          <w:tcMar>
            <w:left w:w="0" w:type="dxa"/>
            <w:right w:w="0" w:type="dxa"/>
          </w:tcMar>
        </w:tcPr>
        <w:p w:rsidR="00D71878" w:rsidRPr="00BA6468" w:rsidRDefault="00D71878" w:rsidP="00BA6468">
          <w:pPr>
            <w:keepLines/>
            <w:rPr>
              <w:sz w:val="20"/>
              <w:szCs w:val="20"/>
              <w:lang w:val="fr-CA"/>
            </w:rPr>
          </w:pPr>
          <w:r w:rsidRPr="00BA6468">
            <w:rPr>
              <w:sz w:val="20"/>
              <w:szCs w:val="20"/>
              <w:lang w:val="fr-CA"/>
            </w:rPr>
            <w:t>REQUÊTES</w:t>
          </w:r>
        </w:p>
      </w:tc>
    </w:tr>
  </w:tbl>
  <w:p w:rsidR="00D71878" w:rsidRDefault="00D71878" w:rsidP="00831CA9">
    <w:pPr>
      <w:jc w:val="both"/>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878" w:rsidRDefault="00D71878">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D71878" w:rsidRPr="00850008">
      <w:tc>
        <w:tcPr>
          <w:tcW w:w="4200" w:type="dxa"/>
          <w:tcMar>
            <w:left w:w="0" w:type="dxa"/>
            <w:right w:w="0" w:type="dxa"/>
          </w:tcMar>
        </w:tcPr>
        <w:p w:rsidR="00D71878" w:rsidRDefault="00D7187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D71878" w:rsidRDefault="00D7187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D71878" w:rsidRPr="00283C52" w:rsidRDefault="00D7187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D71878" w:rsidRPr="00283C52" w:rsidRDefault="00D718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D71878" w:rsidRPr="00283C52" w:rsidRDefault="00D718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D71878" w:rsidRPr="00850008" w:rsidTr="00245129">
      <w:tc>
        <w:tcPr>
          <w:tcW w:w="4200" w:type="dxa"/>
          <w:tcMar>
            <w:left w:w="0" w:type="dxa"/>
            <w:right w:w="0" w:type="dxa"/>
          </w:tcMar>
        </w:tcPr>
        <w:p w:rsidR="00D71878" w:rsidRPr="00732DB7" w:rsidRDefault="00D71878"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D71878" w:rsidRPr="00732DB7" w:rsidRDefault="00D71878" w:rsidP="00732DB7">
          <w:pPr>
            <w:keepNext/>
            <w:keepLines/>
            <w:tabs>
              <w:tab w:val="left" w:pos="-1440"/>
              <w:tab w:val="left" w:pos="-720"/>
            </w:tabs>
            <w:jc w:val="center"/>
            <w:rPr>
              <w:sz w:val="20"/>
              <w:szCs w:val="20"/>
            </w:rPr>
          </w:pPr>
        </w:p>
        <w:p w:rsidR="00D71878" w:rsidRPr="00732DB7" w:rsidRDefault="00D71878" w:rsidP="00732DB7">
          <w:pPr>
            <w:keepNext/>
            <w:keepLines/>
            <w:tabs>
              <w:tab w:val="left" w:pos="-1440"/>
              <w:tab w:val="left" w:pos="-720"/>
            </w:tabs>
            <w:jc w:val="center"/>
            <w:rPr>
              <w:sz w:val="20"/>
              <w:szCs w:val="20"/>
            </w:rPr>
          </w:pPr>
        </w:p>
        <w:p w:rsidR="00D71878" w:rsidRPr="00732DB7" w:rsidRDefault="00D71878" w:rsidP="00732DB7">
          <w:pPr>
            <w:keepNext/>
            <w:keepLines/>
            <w:tabs>
              <w:tab w:val="left" w:pos="-1440"/>
              <w:tab w:val="left" w:pos="-720"/>
            </w:tabs>
            <w:jc w:val="center"/>
            <w:rPr>
              <w:sz w:val="20"/>
              <w:szCs w:val="20"/>
            </w:rPr>
          </w:pPr>
        </w:p>
      </w:tc>
      <w:tc>
        <w:tcPr>
          <w:tcW w:w="4080" w:type="dxa"/>
          <w:tcMar>
            <w:left w:w="0" w:type="dxa"/>
            <w:right w:w="0" w:type="dxa"/>
          </w:tcMar>
        </w:tcPr>
        <w:p w:rsidR="00D71878" w:rsidRPr="00732DB7" w:rsidRDefault="00D71878"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D71878" w:rsidRPr="00283C52" w:rsidRDefault="00D71878"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878" w:rsidRDefault="00D71878">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D71878" w:rsidRPr="00850008">
      <w:tc>
        <w:tcPr>
          <w:tcW w:w="4200" w:type="dxa"/>
          <w:tcMar>
            <w:left w:w="0" w:type="dxa"/>
            <w:right w:w="0" w:type="dxa"/>
          </w:tcMar>
        </w:tcPr>
        <w:p w:rsidR="00D71878" w:rsidRDefault="00D7187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D71878" w:rsidRDefault="00D7187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D71878" w:rsidRDefault="00D7187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D71878" w:rsidRPr="003C2C0F" w:rsidRDefault="00D7187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D71878" w:rsidRPr="003C2C0F" w:rsidRDefault="00D718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D71878" w:rsidRPr="003C2C0F" w:rsidRDefault="00D718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D71878" w:rsidRPr="00850008" w:rsidTr="00245129">
      <w:tc>
        <w:tcPr>
          <w:tcW w:w="4200" w:type="dxa"/>
          <w:tcMar>
            <w:left w:w="0" w:type="dxa"/>
            <w:right w:w="0" w:type="dxa"/>
          </w:tcMar>
        </w:tcPr>
        <w:p w:rsidR="00D71878" w:rsidRPr="00FF6EEC" w:rsidRDefault="00D71878" w:rsidP="00FF6EEC">
          <w:pPr>
            <w:rPr>
              <w:sz w:val="20"/>
              <w:szCs w:val="20"/>
            </w:rPr>
          </w:pPr>
          <w:r w:rsidRPr="00FF6EEC">
            <w:rPr>
              <w:sz w:val="20"/>
              <w:szCs w:val="20"/>
            </w:rPr>
            <w:t>PRONOUNCEMENTS OF APPEALS RESERVED</w:t>
          </w:r>
        </w:p>
      </w:tc>
      <w:tc>
        <w:tcPr>
          <w:tcW w:w="1200" w:type="dxa"/>
          <w:tcMar>
            <w:left w:w="0" w:type="dxa"/>
            <w:right w:w="0" w:type="dxa"/>
          </w:tcMar>
        </w:tcPr>
        <w:p w:rsidR="00D71878" w:rsidRPr="00FF6EEC" w:rsidRDefault="00D71878" w:rsidP="00FF6EEC">
          <w:pPr>
            <w:jc w:val="center"/>
            <w:rPr>
              <w:sz w:val="20"/>
              <w:szCs w:val="20"/>
            </w:rPr>
          </w:pPr>
        </w:p>
        <w:p w:rsidR="00D71878" w:rsidRPr="00FF6EEC" w:rsidRDefault="00D71878" w:rsidP="00FF6EEC">
          <w:pPr>
            <w:jc w:val="center"/>
            <w:rPr>
              <w:sz w:val="20"/>
              <w:szCs w:val="20"/>
            </w:rPr>
          </w:pPr>
        </w:p>
        <w:p w:rsidR="00D71878" w:rsidRPr="00FF6EEC" w:rsidRDefault="00D71878" w:rsidP="00FF6EEC">
          <w:pPr>
            <w:jc w:val="center"/>
            <w:rPr>
              <w:sz w:val="20"/>
              <w:szCs w:val="20"/>
            </w:rPr>
          </w:pPr>
        </w:p>
      </w:tc>
      <w:tc>
        <w:tcPr>
          <w:tcW w:w="4080" w:type="dxa"/>
          <w:tcMar>
            <w:left w:w="0" w:type="dxa"/>
            <w:right w:w="0" w:type="dxa"/>
          </w:tcMar>
        </w:tcPr>
        <w:p w:rsidR="00D71878" w:rsidRPr="00FF6EEC" w:rsidRDefault="00D71878" w:rsidP="00FF6EEC">
          <w:pPr>
            <w:rPr>
              <w:sz w:val="20"/>
              <w:szCs w:val="20"/>
              <w:lang w:val="fr-CA"/>
            </w:rPr>
          </w:pPr>
          <w:r w:rsidRPr="00FF6EEC">
            <w:rPr>
              <w:sz w:val="20"/>
              <w:szCs w:val="20"/>
              <w:lang w:val="fr-CA"/>
            </w:rPr>
            <w:t>JUGEMENTS RENDUS SUR LES APPELS EN DÉLIBÉRÉ</w:t>
          </w:r>
        </w:p>
      </w:tc>
    </w:tr>
  </w:tbl>
  <w:p w:rsidR="00D71878" w:rsidRPr="003C2C0F" w:rsidRDefault="00D71878"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878" w:rsidRDefault="00D7187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878" w:rsidRDefault="00D71878">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D71878">
      <w:tc>
        <w:tcPr>
          <w:tcW w:w="4230" w:type="dxa"/>
          <w:tcMar>
            <w:left w:w="0" w:type="dxa"/>
            <w:right w:w="0" w:type="dxa"/>
          </w:tcMar>
        </w:tcPr>
        <w:p w:rsidR="00D71878" w:rsidRDefault="00D7187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D71878" w:rsidRDefault="00D7187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D71878" w:rsidRDefault="00D7187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D71878" w:rsidRDefault="00D7187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D71878" w:rsidRDefault="00D7187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D71878" w:rsidRDefault="00D7187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D71878" w:rsidRDefault="00D718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D71878" w:rsidRDefault="00D718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D71878" w:rsidRPr="00782AE4" w:rsidTr="00245129">
      <w:tc>
        <w:tcPr>
          <w:tcW w:w="4230" w:type="dxa"/>
          <w:tcMar>
            <w:left w:w="0" w:type="dxa"/>
            <w:right w:w="0" w:type="dxa"/>
          </w:tcMar>
        </w:tcPr>
        <w:p w:rsidR="00D71878" w:rsidRPr="00782AE4" w:rsidRDefault="00D71878" w:rsidP="00102926">
          <w:pPr>
            <w:keepNext/>
            <w:keepLines/>
            <w:tabs>
              <w:tab w:val="left" w:pos="-1440"/>
              <w:tab w:val="left" w:pos="-720"/>
            </w:tabs>
            <w:rPr>
              <w:sz w:val="20"/>
              <w:szCs w:val="20"/>
            </w:rPr>
          </w:pPr>
          <w:r w:rsidRPr="00782AE4">
            <w:rPr>
              <w:sz w:val="20"/>
              <w:szCs w:val="20"/>
            </w:rPr>
            <w:t xml:space="preserve">HEADNOTES OF RECENT </w:t>
          </w:r>
        </w:p>
        <w:p w:rsidR="00D71878" w:rsidRPr="00782AE4" w:rsidRDefault="00D7187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D71878" w:rsidRDefault="00D71878" w:rsidP="00102926">
          <w:pPr>
            <w:keepNext/>
            <w:keepLines/>
            <w:tabs>
              <w:tab w:val="left" w:pos="-1440"/>
              <w:tab w:val="left" w:pos="-720"/>
            </w:tabs>
            <w:jc w:val="center"/>
            <w:rPr>
              <w:sz w:val="20"/>
              <w:szCs w:val="20"/>
            </w:rPr>
          </w:pPr>
        </w:p>
        <w:p w:rsidR="00D71878" w:rsidRDefault="00D71878" w:rsidP="00102926">
          <w:pPr>
            <w:keepNext/>
            <w:keepLines/>
            <w:tabs>
              <w:tab w:val="left" w:pos="-1440"/>
              <w:tab w:val="left" w:pos="-720"/>
            </w:tabs>
            <w:jc w:val="center"/>
            <w:rPr>
              <w:sz w:val="20"/>
              <w:szCs w:val="20"/>
            </w:rPr>
          </w:pPr>
        </w:p>
        <w:p w:rsidR="00D71878" w:rsidRPr="00782AE4" w:rsidRDefault="00D71878" w:rsidP="00102926">
          <w:pPr>
            <w:keepNext/>
            <w:keepLines/>
            <w:tabs>
              <w:tab w:val="left" w:pos="-1440"/>
              <w:tab w:val="left" w:pos="-720"/>
            </w:tabs>
            <w:jc w:val="center"/>
            <w:rPr>
              <w:sz w:val="20"/>
              <w:szCs w:val="20"/>
            </w:rPr>
          </w:pPr>
        </w:p>
      </w:tc>
      <w:tc>
        <w:tcPr>
          <w:tcW w:w="4080" w:type="dxa"/>
          <w:tcMar>
            <w:left w:w="0" w:type="dxa"/>
            <w:right w:w="0" w:type="dxa"/>
          </w:tcMar>
        </w:tcPr>
        <w:p w:rsidR="00D71878" w:rsidRPr="00102926" w:rsidRDefault="00D7187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D71878" w:rsidRPr="00782AE4" w:rsidRDefault="00D71878" w:rsidP="00102926">
          <w:pPr>
            <w:keepLines/>
            <w:tabs>
              <w:tab w:val="left" w:pos="-1440"/>
              <w:tab w:val="left" w:pos="-720"/>
            </w:tabs>
            <w:rPr>
              <w:sz w:val="20"/>
              <w:szCs w:val="20"/>
            </w:rPr>
          </w:pPr>
          <w:r w:rsidRPr="00102926">
            <w:rPr>
              <w:sz w:val="20"/>
              <w:szCs w:val="20"/>
              <w:lang w:val="fr-CA"/>
            </w:rPr>
            <w:t>RÉCENTS</w:t>
          </w:r>
        </w:p>
      </w:tc>
    </w:tr>
  </w:tbl>
  <w:p w:rsidR="00D71878" w:rsidRDefault="00D71878"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878" w:rsidRDefault="00D71878">
    <w:pPr>
      <w:pStyle w:val="Heade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D71878">
      <w:tc>
        <w:tcPr>
          <w:tcW w:w="4200" w:type="dxa"/>
          <w:tcMar>
            <w:left w:w="0" w:type="dxa"/>
            <w:right w:w="0" w:type="dxa"/>
          </w:tcMar>
        </w:tcPr>
        <w:p w:rsidR="00D71878" w:rsidRDefault="00D71878">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AGENDA FOR DECEMBER 2009</w:t>
          </w:r>
        </w:p>
        <w:p w:rsidR="00D71878" w:rsidRDefault="00D71878">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1200" w:type="dxa"/>
          <w:tcMar>
            <w:left w:w="0" w:type="dxa"/>
            <w:right w:w="0" w:type="dxa"/>
          </w:tcMar>
        </w:tcPr>
        <w:p w:rsidR="00D71878" w:rsidRDefault="00D71878">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4080" w:type="dxa"/>
          <w:tcMar>
            <w:left w:w="0" w:type="dxa"/>
            <w:right w:w="0" w:type="dxa"/>
          </w:tcMar>
        </w:tcPr>
        <w:p w:rsidR="00D71878" w:rsidRDefault="00D71878">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CALENDRIER DE DÉCEMBRE 2009</w:t>
          </w:r>
        </w:p>
        <w:p w:rsidR="00D71878" w:rsidRDefault="00D71878">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r>
  </w:tbl>
  <w:p w:rsidR="00D71878" w:rsidRDefault="00D71878">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D71878" w:rsidRPr="00C50A5C" w:rsidTr="00245129">
      <w:tc>
        <w:tcPr>
          <w:tcW w:w="4200" w:type="dxa"/>
          <w:tcMar>
            <w:left w:w="0" w:type="dxa"/>
            <w:right w:w="0" w:type="dxa"/>
          </w:tcMar>
        </w:tcPr>
        <w:p w:rsidR="00D71878" w:rsidRPr="00C50A5C" w:rsidRDefault="00D71878"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rPr>
          </w:pPr>
          <w:r w:rsidRPr="00C50A5C">
            <w:rPr>
              <w:sz w:val="20"/>
              <w:szCs w:val="20"/>
            </w:rPr>
            <w:t>AGENDA FOR [DATE]</w:t>
          </w:r>
        </w:p>
      </w:tc>
      <w:tc>
        <w:tcPr>
          <w:tcW w:w="1200" w:type="dxa"/>
          <w:tcMar>
            <w:left w:w="0" w:type="dxa"/>
            <w:right w:w="0" w:type="dxa"/>
          </w:tcMar>
        </w:tcPr>
        <w:p w:rsidR="00D71878" w:rsidRPr="00C50A5C" w:rsidRDefault="00D71878"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p w:rsidR="00D71878" w:rsidRPr="00C50A5C" w:rsidRDefault="00D71878"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tc>
      <w:tc>
        <w:tcPr>
          <w:tcW w:w="4080" w:type="dxa"/>
          <w:tcMar>
            <w:left w:w="0" w:type="dxa"/>
            <w:right w:w="0" w:type="dxa"/>
          </w:tcMar>
        </w:tcPr>
        <w:p w:rsidR="00D71878" w:rsidRPr="00C50A5C" w:rsidRDefault="00D71878" w:rsidP="0022323B">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lang w:val="fr-CA"/>
            </w:rPr>
          </w:pPr>
          <w:r w:rsidRPr="00C50A5C">
            <w:rPr>
              <w:sz w:val="20"/>
              <w:szCs w:val="20"/>
              <w:lang w:val="fr-CA"/>
            </w:rPr>
            <w:t>CALENDRIER DE [DATE]</w:t>
          </w:r>
        </w:p>
      </w:tc>
    </w:tr>
  </w:tbl>
  <w:p w:rsidR="00D71878" w:rsidRDefault="00D71878" w:rsidP="0022323B">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878" w:rsidRDefault="00D71878">
    <w:pPr>
      <w:pStyle w:val="Heade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878" w:rsidRDefault="00D7187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878" w:rsidRDefault="00D7187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0" w:type="dxa"/>
      <w:tblInd w:w="-90" w:type="dxa"/>
      <w:tblBorders>
        <w:bottom w:val="single" w:sz="8" w:space="0" w:color="auto"/>
      </w:tblBorders>
      <w:tblLayout w:type="fixed"/>
      <w:tblCellMar>
        <w:left w:w="0" w:type="dxa"/>
        <w:right w:w="0" w:type="dxa"/>
      </w:tblCellMar>
      <w:tblLook w:val="0000"/>
    </w:tblPr>
    <w:tblGrid>
      <w:gridCol w:w="4290"/>
      <w:gridCol w:w="1200"/>
      <w:gridCol w:w="4320"/>
    </w:tblGrid>
    <w:tr w:rsidR="00D71878" w:rsidRPr="0044776A" w:rsidTr="00245129">
      <w:tc>
        <w:tcPr>
          <w:tcW w:w="4290" w:type="dxa"/>
          <w:tcMar>
            <w:left w:w="0" w:type="dxa"/>
            <w:right w:w="0" w:type="dxa"/>
          </w:tcMar>
        </w:tcPr>
        <w:p w:rsidR="00D71878" w:rsidRPr="0044776A" w:rsidRDefault="00D71878"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D71878" w:rsidRPr="0044776A" w:rsidRDefault="00D71878" w:rsidP="002E2327">
          <w:pPr>
            <w:keepNext/>
            <w:keepLines/>
            <w:tabs>
              <w:tab w:val="left" w:pos="-1440"/>
              <w:tab w:val="left" w:pos="-720"/>
            </w:tabs>
            <w:jc w:val="center"/>
            <w:rPr>
              <w:sz w:val="20"/>
              <w:szCs w:val="20"/>
            </w:rPr>
          </w:pPr>
        </w:p>
        <w:p w:rsidR="00D71878" w:rsidRPr="0044776A" w:rsidRDefault="00D71878" w:rsidP="002E2327">
          <w:pPr>
            <w:keepNext/>
            <w:keepLines/>
            <w:tabs>
              <w:tab w:val="left" w:pos="-1440"/>
              <w:tab w:val="left" w:pos="-720"/>
            </w:tabs>
            <w:jc w:val="center"/>
            <w:rPr>
              <w:sz w:val="20"/>
              <w:szCs w:val="20"/>
            </w:rPr>
          </w:pPr>
        </w:p>
        <w:p w:rsidR="00D71878" w:rsidRPr="0044776A" w:rsidRDefault="00D71878" w:rsidP="002E2327">
          <w:pPr>
            <w:keepNext/>
            <w:keepLines/>
            <w:tabs>
              <w:tab w:val="left" w:pos="-1440"/>
              <w:tab w:val="left" w:pos="-720"/>
            </w:tabs>
            <w:jc w:val="center"/>
            <w:rPr>
              <w:sz w:val="20"/>
              <w:szCs w:val="20"/>
            </w:rPr>
          </w:pPr>
        </w:p>
      </w:tc>
      <w:tc>
        <w:tcPr>
          <w:tcW w:w="4320" w:type="dxa"/>
          <w:tcMar>
            <w:left w:w="0" w:type="dxa"/>
            <w:right w:w="0" w:type="dxa"/>
          </w:tcMar>
        </w:tcPr>
        <w:p w:rsidR="00D71878" w:rsidRPr="0044776A" w:rsidRDefault="00D71878" w:rsidP="002E2327">
          <w:pPr>
            <w:keepLines/>
            <w:rPr>
              <w:sz w:val="20"/>
              <w:szCs w:val="20"/>
              <w:lang w:val="fr-CA"/>
            </w:rPr>
          </w:pPr>
          <w:r w:rsidRPr="0044776A">
            <w:rPr>
              <w:sz w:val="20"/>
              <w:szCs w:val="20"/>
              <w:lang w:val="fr-CA"/>
            </w:rPr>
            <w:t>DEMANDES D'AUTORISATION D'APPEL DÉPOSÉES</w:t>
          </w:r>
        </w:p>
      </w:tc>
    </w:tr>
  </w:tbl>
  <w:p w:rsidR="00D71878" w:rsidRDefault="00D71878">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878" w:rsidRDefault="00D71878">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D71878" w:rsidRPr="00850008" w:rsidTr="00245129">
      <w:tc>
        <w:tcPr>
          <w:tcW w:w="4200" w:type="dxa"/>
          <w:tcMar>
            <w:left w:w="0" w:type="dxa"/>
            <w:right w:w="0" w:type="dxa"/>
          </w:tcMar>
        </w:tcPr>
        <w:p w:rsidR="00D71878" w:rsidRPr="0044776A" w:rsidRDefault="00D71878" w:rsidP="0044776A">
          <w:pPr>
            <w:keepNext/>
            <w:keepLines/>
            <w:widowControl w:val="0"/>
            <w:rPr>
              <w:sz w:val="20"/>
              <w:szCs w:val="20"/>
            </w:rPr>
          </w:pPr>
          <w:r>
            <w:rPr>
              <w:sz w:val="20"/>
              <w:szCs w:val="20"/>
            </w:rPr>
            <w:t>APPLICATIONS FOR LEAVE</w:t>
          </w:r>
        </w:p>
        <w:p w:rsidR="00D71878" w:rsidRPr="0044776A" w:rsidRDefault="00D71878"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D71878" w:rsidRPr="0044776A" w:rsidRDefault="00D71878" w:rsidP="0044776A">
          <w:pPr>
            <w:keepNext/>
            <w:keepLines/>
            <w:widowControl w:val="0"/>
            <w:jc w:val="center"/>
            <w:rPr>
              <w:sz w:val="20"/>
              <w:szCs w:val="20"/>
            </w:rPr>
          </w:pPr>
        </w:p>
        <w:p w:rsidR="00D71878" w:rsidRPr="0044776A" w:rsidRDefault="00D71878" w:rsidP="0044776A">
          <w:pPr>
            <w:keepNext/>
            <w:keepLines/>
            <w:widowControl w:val="0"/>
            <w:jc w:val="center"/>
            <w:rPr>
              <w:sz w:val="20"/>
              <w:szCs w:val="20"/>
            </w:rPr>
          </w:pPr>
        </w:p>
        <w:p w:rsidR="00D71878" w:rsidRPr="0044776A" w:rsidRDefault="00D71878" w:rsidP="0044776A">
          <w:pPr>
            <w:keepNext/>
            <w:keepLines/>
            <w:widowControl w:val="0"/>
            <w:jc w:val="center"/>
            <w:rPr>
              <w:sz w:val="20"/>
              <w:szCs w:val="20"/>
            </w:rPr>
          </w:pPr>
        </w:p>
      </w:tc>
      <w:tc>
        <w:tcPr>
          <w:tcW w:w="4080" w:type="dxa"/>
          <w:tcMar>
            <w:left w:w="0" w:type="dxa"/>
            <w:right w:w="0" w:type="dxa"/>
          </w:tcMar>
        </w:tcPr>
        <w:p w:rsidR="00D71878" w:rsidRPr="0044776A" w:rsidRDefault="00D71878" w:rsidP="0044776A">
          <w:pPr>
            <w:keepLines/>
            <w:widowControl w:val="0"/>
            <w:rPr>
              <w:sz w:val="20"/>
              <w:szCs w:val="20"/>
              <w:lang w:val="fr-CA"/>
            </w:rPr>
          </w:pPr>
          <w:r w:rsidRPr="0044776A">
            <w:rPr>
              <w:sz w:val="20"/>
              <w:szCs w:val="20"/>
              <w:lang w:val="fr-CA"/>
            </w:rPr>
            <w:t>DEMANDES SOUMISES À LA COUR DEPUIS LA DERNIÈRE PARUTION</w:t>
          </w:r>
        </w:p>
        <w:p w:rsidR="00D71878" w:rsidRPr="0044776A" w:rsidRDefault="00D71878" w:rsidP="0044776A">
          <w:pPr>
            <w:widowControl w:val="0"/>
            <w:rPr>
              <w:sz w:val="20"/>
              <w:szCs w:val="20"/>
              <w:lang w:val="fr-CA"/>
            </w:rPr>
          </w:pPr>
        </w:p>
      </w:tc>
    </w:tr>
  </w:tbl>
  <w:p w:rsidR="00D71878" w:rsidRPr="002E2327" w:rsidRDefault="00D71878">
    <w:pPr>
      <w:pStyle w:val="Header"/>
      <w:rPr>
        <w:lang w:val="fr-CA"/>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878" w:rsidRDefault="00D71878">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D71878" w:rsidRPr="00850008">
      <w:tc>
        <w:tcPr>
          <w:tcW w:w="4200" w:type="dxa"/>
          <w:tcMar>
            <w:left w:w="0" w:type="dxa"/>
            <w:right w:w="0" w:type="dxa"/>
          </w:tcMar>
        </w:tcPr>
        <w:p w:rsidR="00D71878" w:rsidRDefault="00D7187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D71878" w:rsidRDefault="00D7187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D71878" w:rsidRDefault="00D7187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D71878" w:rsidRPr="00FF6BA5" w:rsidRDefault="00D7187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D71878" w:rsidRPr="00FF6BA5" w:rsidRDefault="00D718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D71878" w:rsidRPr="00FF6BA5" w:rsidRDefault="00D718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D71878" w:rsidRPr="00FF6BA5" w:rsidRDefault="00D718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D71878" w:rsidRPr="00850008" w:rsidTr="00245129">
      <w:tc>
        <w:tcPr>
          <w:tcW w:w="4200" w:type="dxa"/>
          <w:tcMar>
            <w:left w:w="0" w:type="dxa"/>
            <w:right w:w="0" w:type="dxa"/>
          </w:tcMar>
        </w:tcPr>
        <w:p w:rsidR="00D71878" w:rsidRPr="00755F22" w:rsidRDefault="00D7187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D71878" w:rsidRPr="00755F22" w:rsidRDefault="00D7187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D71878" w:rsidRPr="00755F22" w:rsidRDefault="00D71878"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D71878" w:rsidRPr="00755F22" w:rsidRDefault="00D71878"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D71878" w:rsidRPr="00755F22" w:rsidRDefault="00D71878"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D71878" w:rsidRPr="00755F22" w:rsidRDefault="00D7187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D71878" w:rsidRPr="00FF6BA5" w:rsidRDefault="00D71878" w:rsidP="00755F22">
    <w:pPr>
      <w:tabs>
        <w:tab w:val="left" w:pos="-1440"/>
        <w:tab w:val="left" w:pos="-720"/>
      </w:tabs>
      <w:rPr>
        <w:lang w:val="fr-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8A7696A"/>
    <w:multiLevelType w:val="hybridMultilevel"/>
    <w:tmpl w:val="BD32B836"/>
    <w:lvl w:ilvl="0" w:tplc="10090017">
      <w:start w:val="1"/>
      <w:numFmt w:val="lowerLetter"/>
      <w:lvlText w:val="%1)"/>
      <w:lvlJc w:val="left"/>
      <w:pPr>
        <w:ind w:left="1571" w:hanging="360"/>
      </w:pPr>
    </w:lvl>
    <w:lvl w:ilvl="1" w:tplc="10090019" w:tentative="1">
      <w:start w:val="1"/>
      <w:numFmt w:val="lowerLetter"/>
      <w:lvlText w:val="%2."/>
      <w:lvlJc w:val="left"/>
      <w:pPr>
        <w:ind w:left="2291" w:hanging="360"/>
      </w:pPr>
    </w:lvl>
    <w:lvl w:ilvl="2" w:tplc="1009001B" w:tentative="1">
      <w:start w:val="1"/>
      <w:numFmt w:val="lowerRoman"/>
      <w:lvlText w:val="%3."/>
      <w:lvlJc w:val="right"/>
      <w:pPr>
        <w:ind w:left="3011" w:hanging="180"/>
      </w:pPr>
    </w:lvl>
    <w:lvl w:ilvl="3" w:tplc="1009000F" w:tentative="1">
      <w:start w:val="1"/>
      <w:numFmt w:val="decimal"/>
      <w:lvlText w:val="%4."/>
      <w:lvlJc w:val="left"/>
      <w:pPr>
        <w:ind w:left="3731" w:hanging="360"/>
      </w:pPr>
    </w:lvl>
    <w:lvl w:ilvl="4" w:tplc="10090019" w:tentative="1">
      <w:start w:val="1"/>
      <w:numFmt w:val="lowerLetter"/>
      <w:lvlText w:val="%5."/>
      <w:lvlJc w:val="left"/>
      <w:pPr>
        <w:ind w:left="4451" w:hanging="360"/>
      </w:pPr>
    </w:lvl>
    <w:lvl w:ilvl="5" w:tplc="1009001B" w:tentative="1">
      <w:start w:val="1"/>
      <w:numFmt w:val="lowerRoman"/>
      <w:lvlText w:val="%6."/>
      <w:lvlJc w:val="right"/>
      <w:pPr>
        <w:ind w:left="5171" w:hanging="180"/>
      </w:pPr>
    </w:lvl>
    <w:lvl w:ilvl="6" w:tplc="1009000F" w:tentative="1">
      <w:start w:val="1"/>
      <w:numFmt w:val="decimal"/>
      <w:lvlText w:val="%7."/>
      <w:lvlJc w:val="left"/>
      <w:pPr>
        <w:ind w:left="5891" w:hanging="360"/>
      </w:pPr>
    </w:lvl>
    <w:lvl w:ilvl="7" w:tplc="10090019" w:tentative="1">
      <w:start w:val="1"/>
      <w:numFmt w:val="lowerLetter"/>
      <w:lvlText w:val="%8."/>
      <w:lvlJc w:val="left"/>
      <w:pPr>
        <w:ind w:left="6611" w:hanging="360"/>
      </w:pPr>
    </w:lvl>
    <w:lvl w:ilvl="8" w:tplc="1009001B" w:tentative="1">
      <w:start w:val="1"/>
      <w:numFmt w:val="lowerRoman"/>
      <w:lvlText w:val="%9."/>
      <w:lvlJc w:val="right"/>
      <w:pPr>
        <w:ind w:left="7331" w:hanging="180"/>
      </w:pPr>
    </w:lvl>
  </w:abstractNum>
  <w:abstractNum w:abstractNumId="2">
    <w:nsid w:val="49854520"/>
    <w:multiLevelType w:val="hybridMultilevel"/>
    <w:tmpl w:val="1C20659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defaultTabStop w:val="720"/>
  <w:drawingGridHorizontalSpacing w:val="120"/>
  <w:displayHorizontalDrawingGridEvery w:val="2"/>
  <w:characterSpacingControl w:val="doNotCompress"/>
  <w:hdrShapeDefaults>
    <o:shapedefaults v:ext="edit" spidmax="55313"/>
  </w:hdrShapeDefaults>
  <w:footnotePr>
    <w:footnote w:id="-1"/>
    <w:footnote w:id="0"/>
  </w:footnotePr>
  <w:endnotePr>
    <w:endnote w:id="-1"/>
    <w:endnote w:id="0"/>
  </w:endnotePr>
  <w:compat/>
  <w:rsids>
    <w:rsidRoot w:val="00F92879"/>
    <w:rsid w:val="00013565"/>
    <w:rsid w:val="000327B2"/>
    <w:rsid w:val="00047221"/>
    <w:rsid w:val="00050BBE"/>
    <w:rsid w:val="000747EA"/>
    <w:rsid w:val="00096BD9"/>
    <w:rsid w:val="00096E90"/>
    <w:rsid w:val="000B161F"/>
    <w:rsid w:val="000B3C9A"/>
    <w:rsid w:val="000C0ACD"/>
    <w:rsid w:val="000C11B2"/>
    <w:rsid w:val="000C543F"/>
    <w:rsid w:val="000C6FA4"/>
    <w:rsid w:val="000E4952"/>
    <w:rsid w:val="00102926"/>
    <w:rsid w:val="0010587F"/>
    <w:rsid w:val="0011037F"/>
    <w:rsid w:val="00111C6B"/>
    <w:rsid w:val="00114AD1"/>
    <w:rsid w:val="00151761"/>
    <w:rsid w:val="00164E6D"/>
    <w:rsid w:val="0017409F"/>
    <w:rsid w:val="001B5C23"/>
    <w:rsid w:val="001D0D5F"/>
    <w:rsid w:val="001D496C"/>
    <w:rsid w:val="001D6B8C"/>
    <w:rsid w:val="001D7154"/>
    <w:rsid w:val="001F1F83"/>
    <w:rsid w:val="001F236F"/>
    <w:rsid w:val="00206769"/>
    <w:rsid w:val="0021224B"/>
    <w:rsid w:val="002139A7"/>
    <w:rsid w:val="00215F7C"/>
    <w:rsid w:val="0022323B"/>
    <w:rsid w:val="00226087"/>
    <w:rsid w:val="00240C90"/>
    <w:rsid w:val="002410B8"/>
    <w:rsid w:val="00242AEE"/>
    <w:rsid w:val="00245129"/>
    <w:rsid w:val="00245879"/>
    <w:rsid w:val="00250BAC"/>
    <w:rsid w:val="0026524B"/>
    <w:rsid w:val="00267FD5"/>
    <w:rsid w:val="002B516C"/>
    <w:rsid w:val="002D242B"/>
    <w:rsid w:val="002D6684"/>
    <w:rsid w:val="002D72EB"/>
    <w:rsid w:val="002E2327"/>
    <w:rsid w:val="002E2C77"/>
    <w:rsid w:val="002E3583"/>
    <w:rsid w:val="002E5576"/>
    <w:rsid w:val="002F2CA1"/>
    <w:rsid w:val="00331B52"/>
    <w:rsid w:val="0034248B"/>
    <w:rsid w:val="003428B5"/>
    <w:rsid w:val="00355967"/>
    <w:rsid w:val="00382C47"/>
    <w:rsid w:val="00384384"/>
    <w:rsid w:val="0038676D"/>
    <w:rsid w:val="003A39D2"/>
    <w:rsid w:val="003A3AB2"/>
    <w:rsid w:val="003B3977"/>
    <w:rsid w:val="003B464D"/>
    <w:rsid w:val="003D133F"/>
    <w:rsid w:val="003F1419"/>
    <w:rsid w:val="0041141E"/>
    <w:rsid w:val="00412488"/>
    <w:rsid w:val="004159B7"/>
    <w:rsid w:val="00432989"/>
    <w:rsid w:val="004405DE"/>
    <w:rsid w:val="00440E24"/>
    <w:rsid w:val="0044776A"/>
    <w:rsid w:val="00455913"/>
    <w:rsid w:val="00460AFC"/>
    <w:rsid w:val="00473DF7"/>
    <w:rsid w:val="0047471F"/>
    <w:rsid w:val="00485AE1"/>
    <w:rsid w:val="00486B96"/>
    <w:rsid w:val="00490728"/>
    <w:rsid w:val="0049101E"/>
    <w:rsid w:val="00491C2A"/>
    <w:rsid w:val="004B048F"/>
    <w:rsid w:val="004B66B4"/>
    <w:rsid w:val="004C1792"/>
    <w:rsid w:val="004C1AAC"/>
    <w:rsid w:val="004C1C0B"/>
    <w:rsid w:val="004C7FBD"/>
    <w:rsid w:val="004D0B4E"/>
    <w:rsid w:val="004E4375"/>
    <w:rsid w:val="004F090E"/>
    <w:rsid w:val="00527CC7"/>
    <w:rsid w:val="00540214"/>
    <w:rsid w:val="005617B9"/>
    <w:rsid w:val="00570AD0"/>
    <w:rsid w:val="00571CA4"/>
    <w:rsid w:val="005736C2"/>
    <w:rsid w:val="00582136"/>
    <w:rsid w:val="005C4005"/>
    <w:rsid w:val="005C6840"/>
    <w:rsid w:val="005F263E"/>
    <w:rsid w:val="00600252"/>
    <w:rsid w:val="006057C9"/>
    <w:rsid w:val="00612A40"/>
    <w:rsid w:val="006444EE"/>
    <w:rsid w:val="0064487C"/>
    <w:rsid w:val="0065796C"/>
    <w:rsid w:val="00662B2E"/>
    <w:rsid w:val="00675479"/>
    <w:rsid w:val="00681E94"/>
    <w:rsid w:val="00697C62"/>
    <w:rsid w:val="006A329B"/>
    <w:rsid w:val="006A6D7D"/>
    <w:rsid w:val="006A7EB8"/>
    <w:rsid w:val="006B382F"/>
    <w:rsid w:val="006B6926"/>
    <w:rsid w:val="006C3F47"/>
    <w:rsid w:val="006C5F7A"/>
    <w:rsid w:val="006F350F"/>
    <w:rsid w:val="00717CC5"/>
    <w:rsid w:val="00732DB7"/>
    <w:rsid w:val="007520CD"/>
    <w:rsid w:val="00755F22"/>
    <w:rsid w:val="007566D7"/>
    <w:rsid w:val="00766E4A"/>
    <w:rsid w:val="007676BF"/>
    <w:rsid w:val="007820CE"/>
    <w:rsid w:val="00782AE4"/>
    <w:rsid w:val="00796601"/>
    <w:rsid w:val="0079724F"/>
    <w:rsid w:val="007A3EAE"/>
    <w:rsid w:val="007B1AD2"/>
    <w:rsid w:val="007C04FC"/>
    <w:rsid w:val="007D33A3"/>
    <w:rsid w:val="007D3E0F"/>
    <w:rsid w:val="00802863"/>
    <w:rsid w:val="008041F9"/>
    <w:rsid w:val="00811CBC"/>
    <w:rsid w:val="00815B3C"/>
    <w:rsid w:val="00826E22"/>
    <w:rsid w:val="0082783A"/>
    <w:rsid w:val="00831CA9"/>
    <w:rsid w:val="008442EC"/>
    <w:rsid w:val="00850008"/>
    <w:rsid w:val="00850E1F"/>
    <w:rsid w:val="008510D3"/>
    <w:rsid w:val="0085476B"/>
    <w:rsid w:val="00881BB6"/>
    <w:rsid w:val="00890FEB"/>
    <w:rsid w:val="00897A37"/>
    <w:rsid w:val="008C1CC8"/>
    <w:rsid w:val="008D292F"/>
    <w:rsid w:val="008D61D7"/>
    <w:rsid w:val="008E03DC"/>
    <w:rsid w:val="008E7EC9"/>
    <w:rsid w:val="00910A5E"/>
    <w:rsid w:val="0091220B"/>
    <w:rsid w:val="00924065"/>
    <w:rsid w:val="00930D68"/>
    <w:rsid w:val="00931011"/>
    <w:rsid w:val="00932DB4"/>
    <w:rsid w:val="00934DDB"/>
    <w:rsid w:val="00936E85"/>
    <w:rsid w:val="00946242"/>
    <w:rsid w:val="0095096B"/>
    <w:rsid w:val="00951495"/>
    <w:rsid w:val="009723FA"/>
    <w:rsid w:val="00973482"/>
    <w:rsid w:val="00984546"/>
    <w:rsid w:val="009939FD"/>
    <w:rsid w:val="00996510"/>
    <w:rsid w:val="009A5FDE"/>
    <w:rsid w:val="009D1F15"/>
    <w:rsid w:val="009D555E"/>
    <w:rsid w:val="00A0355E"/>
    <w:rsid w:val="00A15173"/>
    <w:rsid w:val="00A375D1"/>
    <w:rsid w:val="00A51D10"/>
    <w:rsid w:val="00A52A83"/>
    <w:rsid w:val="00A63AF9"/>
    <w:rsid w:val="00A63AFA"/>
    <w:rsid w:val="00A857E2"/>
    <w:rsid w:val="00A8644B"/>
    <w:rsid w:val="00A86979"/>
    <w:rsid w:val="00A87207"/>
    <w:rsid w:val="00A878EC"/>
    <w:rsid w:val="00A935AA"/>
    <w:rsid w:val="00AB2201"/>
    <w:rsid w:val="00AF11AE"/>
    <w:rsid w:val="00AF1715"/>
    <w:rsid w:val="00AF3904"/>
    <w:rsid w:val="00B010C0"/>
    <w:rsid w:val="00B143CA"/>
    <w:rsid w:val="00B27764"/>
    <w:rsid w:val="00B40E3B"/>
    <w:rsid w:val="00B4740D"/>
    <w:rsid w:val="00B61629"/>
    <w:rsid w:val="00B6233B"/>
    <w:rsid w:val="00B7374B"/>
    <w:rsid w:val="00BA116A"/>
    <w:rsid w:val="00BA6468"/>
    <w:rsid w:val="00BC3DBB"/>
    <w:rsid w:val="00BD06DA"/>
    <w:rsid w:val="00BD0AB4"/>
    <w:rsid w:val="00BD13EA"/>
    <w:rsid w:val="00BD4217"/>
    <w:rsid w:val="00BF25F3"/>
    <w:rsid w:val="00BF54EE"/>
    <w:rsid w:val="00C1697B"/>
    <w:rsid w:val="00C30817"/>
    <w:rsid w:val="00C3754E"/>
    <w:rsid w:val="00C40117"/>
    <w:rsid w:val="00C50A5C"/>
    <w:rsid w:val="00C50DAD"/>
    <w:rsid w:val="00C50FDF"/>
    <w:rsid w:val="00C52311"/>
    <w:rsid w:val="00C73E1B"/>
    <w:rsid w:val="00C963A0"/>
    <w:rsid w:val="00CC4D84"/>
    <w:rsid w:val="00CC4E9B"/>
    <w:rsid w:val="00CD2DB0"/>
    <w:rsid w:val="00CD7923"/>
    <w:rsid w:val="00CE6CB4"/>
    <w:rsid w:val="00CF3C04"/>
    <w:rsid w:val="00D026F1"/>
    <w:rsid w:val="00D56013"/>
    <w:rsid w:val="00D60B71"/>
    <w:rsid w:val="00D60CC1"/>
    <w:rsid w:val="00D64901"/>
    <w:rsid w:val="00D71878"/>
    <w:rsid w:val="00D76BDF"/>
    <w:rsid w:val="00D77551"/>
    <w:rsid w:val="00D862C1"/>
    <w:rsid w:val="00D91F6E"/>
    <w:rsid w:val="00D92D52"/>
    <w:rsid w:val="00D95052"/>
    <w:rsid w:val="00DC00E0"/>
    <w:rsid w:val="00DC2047"/>
    <w:rsid w:val="00DD0B49"/>
    <w:rsid w:val="00DD4153"/>
    <w:rsid w:val="00E01ABF"/>
    <w:rsid w:val="00E01C5C"/>
    <w:rsid w:val="00E045F7"/>
    <w:rsid w:val="00E06DFA"/>
    <w:rsid w:val="00E356C7"/>
    <w:rsid w:val="00E36514"/>
    <w:rsid w:val="00E42D2B"/>
    <w:rsid w:val="00E505AD"/>
    <w:rsid w:val="00E64B9B"/>
    <w:rsid w:val="00E64FA7"/>
    <w:rsid w:val="00E67860"/>
    <w:rsid w:val="00E770CB"/>
    <w:rsid w:val="00E8250C"/>
    <w:rsid w:val="00E861BA"/>
    <w:rsid w:val="00E940EB"/>
    <w:rsid w:val="00EB2B90"/>
    <w:rsid w:val="00ED7E83"/>
    <w:rsid w:val="00EE3B7C"/>
    <w:rsid w:val="00EE7CE3"/>
    <w:rsid w:val="00EF43C9"/>
    <w:rsid w:val="00EF4B63"/>
    <w:rsid w:val="00F001B3"/>
    <w:rsid w:val="00F0068D"/>
    <w:rsid w:val="00F15EA8"/>
    <w:rsid w:val="00F16C8D"/>
    <w:rsid w:val="00F33CCE"/>
    <w:rsid w:val="00F40249"/>
    <w:rsid w:val="00F46C83"/>
    <w:rsid w:val="00F514EA"/>
    <w:rsid w:val="00F526C8"/>
    <w:rsid w:val="00F537A0"/>
    <w:rsid w:val="00F57DB4"/>
    <w:rsid w:val="00F60B7F"/>
    <w:rsid w:val="00F670F0"/>
    <w:rsid w:val="00F772BC"/>
    <w:rsid w:val="00F838C3"/>
    <w:rsid w:val="00F92879"/>
    <w:rsid w:val="00F9518C"/>
    <w:rsid w:val="00F95BB6"/>
    <w:rsid w:val="00F96423"/>
    <w:rsid w:val="00FA4947"/>
    <w:rsid w:val="00FA59EF"/>
    <w:rsid w:val="00FB19A2"/>
    <w:rsid w:val="00FC5E72"/>
    <w:rsid w:val="00FE1236"/>
    <w:rsid w:val="00FE14A4"/>
    <w:rsid w:val="00FF0367"/>
    <w:rsid w:val="00FF6EE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5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Ind w:w="0" w:type="dxa"/>
      <w:tblCellMar>
        <w:top w:w="0" w:type="dxa"/>
        <w:left w:w="576" w:type="dxa"/>
        <w:bottom w:w="0"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Ind w:w="0" w:type="dxa"/>
      <w:tblCellMar>
        <w:top w:w="0" w:type="dxa"/>
        <w:left w:w="576" w:type="dxa"/>
        <w:bottom w:w="0"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i/>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i/>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lang w:val="fr-CA"/>
    </w:rPr>
  </w:style>
  <w:style w:type="paragraph" w:customStyle="1" w:styleId="SCCSsoc">
    <w:name w:val="SCC.Ssoc"/>
    <w:basedOn w:val="Normal"/>
    <w:next w:val="Normal"/>
    <w:link w:val="SCCSsocChar"/>
    <w:rsid w:val="00226087"/>
    <w:rPr>
      <w:rFonts w:eastAsia="Calibri" w:cs="Times New Roman"/>
      <w:i/>
      <w:sz w:val="20"/>
      <w:szCs w:val="20"/>
    </w:rPr>
  </w:style>
  <w:style w:type="character" w:customStyle="1" w:styleId="SCCSsocChar">
    <w:name w:val="SCC.Ssoc Char"/>
    <w:basedOn w:val="DefaultParagraphFont"/>
    <w:link w:val="SCCSsoc"/>
    <w:rsid w:val="00226087"/>
    <w:rPr>
      <w:rFonts w:eastAsia="Calibri" w:cs="Times New Roman"/>
      <w:i/>
      <w:sz w:val="20"/>
      <w:szCs w:val="20"/>
      <w:lang w:val="en-CA"/>
    </w:rPr>
  </w:style>
  <w:style w:type="paragraph" w:customStyle="1" w:styleId="SCCLsocParty">
    <w:name w:val="SCC.Lsoc.Party"/>
    <w:basedOn w:val="Normal"/>
    <w:next w:val="Normal"/>
    <w:link w:val="SCCLsocPartyChar"/>
    <w:rsid w:val="000B161F"/>
    <w:pPr>
      <w:jc w:val="center"/>
    </w:pPr>
    <w:rPr>
      <w:rFonts w:eastAsia="Calibri" w:cs="Times New Roman"/>
      <w:lang w:val="fr-CA"/>
    </w:rPr>
  </w:style>
  <w:style w:type="character" w:customStyle="1" w:styleId="SCCLsocPartyChar">
    <w:name w:val="SCC.Lsoc.Party Char"/>
    <w:basedOn w:val="DefaultParagraphFont"/>
    <w:link w:val="SCCLsocParty"/>
    <w:rsid w:val="000B161F"/>
    <w:rPr>
      <w:rFonts w:eastAsia="Calibri" w:cs="Times New Roman"/>
      <w:lang w:val="fr-CA"/>
    </w:rPr>
  </w:style>
  <w:style w:type="paragraph" w:customStyle="1" w:styleId="SCCFileNumber">
    <w:name w:val="SCC.FileNumber"/>
    <w:basedOn w:val="Normal"/>
    <w:next w:val="Normal"/>
    <w:link w:val="SCCFileNumberChar"/>
    <w:rsid w:val="000B161F"/>
    <w:pPr>
      <w:jc w:val="both"/>
    </w:pPr>
    <w:rPr>
      <w:rFonts w:eastAsia="Calibri" w:cs="Times New Roman"/>
      <w:b/>
    </w:rPr>
  </w:style>
  <w:style w:type="character" w:customStyle="1" w:styleId="SCCFileNumberChar">
    <w:name w:val="SCC.FileNumber Char"/>
    <w:basedOn w:val="DefaultParagraphFont"/>
    <w:link w:val="SCCFileNumber"/>
    <w:rsid w:val="000B161F"/>
    <w:rPr>
      <w:rFonts w:eastAsia="Calibri" w:cs="Times New Roman"/>
      <w:b/>
      <w:lang w:val="en-CA"/>
    </w:rPr>
  </w:style>
  <w:style w:type="paragraph" w:customStyle="1" w:styleId="SCCAppellantForRunningHead">
    <w:name w:val="SCC.AppellantForRunningHead"/>
    <w:basedOn w:val="Normal"/>
    <w:next w:val="Normal"/>
    <w:link w:val="SCCAppellantForRunningHeadChar"/>
    <w:rsid w:val="007B1AD2"/>
    <w:rPr>
      <w:rFonts w:eastAsia="Times New Roman" w:cs="Times New Roman"/>
      <w:smallCaps/>
      <w:szCs w:val="20"/>
      <w:lang w:val="fr-CA" w:eastAsia="en-CA"/>
    </w:rPr>
  </w:style>
  <w:style w:type="character" w:customStyle="1" w:styleId="SCCAppellantForRunningHeadChar">
    <w:name w:val="SCC.AppellantForRunningHead Char"/>
    <w:basedOn w:val="DefaultParagraphFont"/>
    <w:link w:val="SCCAppellantForRunningHead"/>
    <w:rsid w:val="007B1AD2"/>
    <w:rPr>
      <w:rFonts w:eastAsia="Times New Roman" w:cs="Times New Roman"/>
      <w:smallCaps/>
      <w:szCs w:val="20"/>
      <w:lang w:val="fr-CA" w:eastAsia="en-CA"/>
    </w:rPr>
  </w:style>
  <w:style w:type="paragraph" w:styleId="Quote">
    <w:name w:val="Quote"/>
    <w:basedOn w:val="Normal"/>
    <w:next w:val="Normal"/>
    <w:link w:val="QuoteChar"/>
    <w:uiPriority w:val="29"/>
    <w:qFormat/>
    <w:rsid w:val="007B1AD2"/>
    <w:rPr>
      <w:rFonts w:eastAsia="Times New Roman" w:cs="Times New Roman"/>
      <w:i/>
      <w:iCs/>
      <w:color w:val="000000" w:themeColor="text1"/>
      <w:szCs w:val="20"/>
      <w:lang w:val="fr-CA" w:eastAsia="en-CA"/>
    </w:rPr>
  </w:style>
  <w:style w:type="character" w:customStyle="1" w:styleId="QuoteChar">
    <w:name w:val="Quote Char"/>
    <w:basedOn w:val="DefaultParagraphFont"/>
    <w:link w:val="Quote"/>
    <w:uiPriority w:val="29"/>
    <w:rsid w:val="007B1AD2"/>
    <w:rPr>
      <w:rFonts w:eastAsia="Times New Roman" w:cs="Times New Roman"/>
      <w:i/>
      <w:iCs/>
      <w:color w:val="000000" w:themeColor="text1"/>
      <w:szCs w:val="20"/>
      <w:lang w:val="fr-CA" w:eastAsia="en-CA"/>
    </w:rPr>
  </w:style>
  <w:style w:type="paragraph" w:customStyle="1" w:styleId="SCCBanSummary">
    <w:name w:val="SCC.BanSummary"/>
    <w:basedOn w:val="Normal"/>
    <w:next w:val="Normal"/>
    <w:link w:val="SCCBanSummaryChar"/>
    <w:uiPriority w:val="99"/>
    <w:rsid w:val="006A6D7D"/>
    <w:pPr>
      <w:jc w:val="both"/>
    </w:pPr>
    <w:rPr>
      <w:rFonts w:eastAsia="Calibri" w:cs="Times New Roman"/>
      <w:smallCaps/>
    </w:rPr>
  </w:style>
  <w:style w:type="character" w:customStyle="1" w:styleId="SCCBanSummaryChar">
    <w:name w:val="SCC.BanSummary Char"/>
    <w:basedOn w:val="DefaultParagraphFont"/>
    <w:link w:val="SCCBanSummary"/>
    <w:uiPriority w:val="99"/>
    <w:rsid w:val="006A6D7D"/>
    <w:rPr>
      <w:rFonts w:eastAsia="Calibri" w:cs="Times New Roman"/>
      <w:smallCaps/>
      <w:lang w:val="en-CA"/>
    </w:rPr>
  </w:style>
  <w:style w:type="paragraph" w:customStyle="1" w:styleId="SCCLsoc">
    <w:name w:val="SCC.Lsoc"/>
    <w:basedOn w:val="Normal"/>
    <w:next w:val="Normal"/>
    <w:link w:val="SCCLsocChar"/>
    <w:rsid w:val="00A878EC"/>
    <w:pPr>
      <w:jc w:val="center"/>
    </w:pPr>
    <w:rPr>
      <w:b/>
      <w:szCs w:val="24"/>
      <w:u w:val="single"/>
      <w:lang w:val="fr-CA"/>
    </w:rPr>
  </w:style>
  <w:style w:type="character" w:customStyle="1" w:styleId="SCCLsocChar">
    <w:name w:val="SCC.Lsoc Char"/>
    <w:basedOn w:val="DefaultParagraphFont"/>
    <w:link w:val="SCCLsoc"/>
    <w:rsid w:val="00A878EC"/>
    <w:rPr>
      <w:b/>
      <w:szCs w:val="24"/>
      <w:u w:val="single"/>
      <w:lang w:val="fr-CA"/>
    </w:rPr>
  </w:style>
  <w:style w:type="paragraph" w:customStyle="1" w:styleId="SCCCoram">
    <w:name w:val="SCC.Coram"/>
    <w:basedOn w:val="Normal"/>
    <w:next w:val="Normal"/>
    <w:link w:val="SCCCoramChar"/>
    <w:rsid w:val="00A878EC"/>
    <w:pPr>
      <w:jc w:val="center"/>
    </w:pPr>
    <w:rPr>
      <w:szCs w:val="24"/>
      <w:u w:val="single"/>
      <w:lang w:val="fr-CA"/>
    </w:rPr>
  </w:style>
  <w:style w:type="character" w:customStyle="1" w:styleId="SCCCoramChar">
    <w:name w:val="SCC.Coram Char"/>
    <w:basedOn w:val="DefaultParagraphFont"/>
    <w:link w:val="SCCCoram"/>
    <w:rsid w:val="00A878EC"/>
    <w:rPr>
      <w:szCs w:val="24"/>
      <w:u w:val="single"/>
      <w:lang w:val="fr-CA"/>
    </w:rPr>
  </w:style>
  <w:style w:type="paragraph" w:customStyle="1" w:styleId="SCCShortJudgment">
    <w:name w:val="SCC.ShortJudgment"/>
    <w:basedOn w:val="Normal"/>
    <w:qFormat/>
    <w:rsid w:val="00A878EC"/>
    <w:pPr>
      <w:ind w:firstLine="720"/>
      <w:jc w:val="both"/>
    </w:pPr>
    <w:rPr>
      <w:sz w:val="20"/>
      <w:szCs w:val="24"/>
    </w:rPr>
  </w:style>
  <w:style w:type="paragraph" w:customStyle="1" w:styleId="SCCSsocParty">
    <w:name w:val="SCC.Ssoc.Party"/>
    <w:basedOn w:val="Normal"/>
    <w:next w:val="Normal"/>
    <w:link w:val="SCCSsocPartyChar"/>
    <w:rsid w:val="00A878EC"/>
    <w:rPr>
      <w:rFonts w:cs="Times New Roman"/>
      <w:szCs w:val="24"/>
    </w:rPr>
  </w:style>
  <w:style w:type="character" w:customStyle="1" w:styleId="SCCSsocPartyChar">
    <w:name w:val="SCC.Ssoc.Party Char"/>
    <w:basedOn w:val="DefaultParagraphFont"/>
    <w:link w:val="SCCSsocParty"/>
    <w:rsid w:val="00A878EC"/>
    <w:rPr>
      <w:rFonts w:cs="Times New Roman"/>
      <w:szCs w:val="24"/>
      <w:lang w:val="en-CA"/>
    </w:rPr>
  </w:style>
</w:styles>
</file>

<file path=word/webSettings.xml><?xml version="1.0" encoding="utf-8"?>
<w:webSettings xmlns:r="http://schemas.openxmlformats.org/officeDocument/2006/relationships" xmlns:w="http://schemas.openxmlformats.org/wordprocessingml/2006/main">
  <w:divs>
    <w:div w:id="103831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8.xml"/><Relationship Id="rId39" Type="http://schemas.openxmlformats.org/officeDocument/2006/relationships/header" Target="header15.xml"/><Relationship Id="rId21" Type="http://schemas.openxmlformats.org/officeDocument/2006/relationships/footer" Target="footer7.xml"/><Relationship Id="rId34" Type="http://schemas.openxmlformats.org/officeDocument/2006/relationships/footer" Target="footer11.xml"/><Relationship Id="rId42" Type="http://schemas.openxmlformats.org/officeDocument/2006/relationships/header" Target="header16.xml"/><Relationship Id="rId47" Type="http://schemas.openxmlformats.org/officeDocument/2006/relationships/footer" Target="footer18.xml"/><Relationship Id="rId50" Type="http://schemas.openxmlformats.org/officeDocument/2006/relationships/header" Target="header20.xml"/><Relationship Id="rId55" Type="http://schemas.openxmlformats.org/officeDocument/2006/relationships/footer" Target="footer22.xml"/><Relationship Id="rId63" Type="http://schemas.openxmlformats.org/officeDocument/2006/relationships/footer" Target="footer26.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9.xml"/><Relationship Id="rId41" Type="http://schemas.openxmlformats.org/officeDocument/2006/relationships/footer" Target="footer15.xml"/><Relationship Id="rId54" Type="http://schemas.openxmlformats.org/officeDocument/2006/relationships/header" Target="header22.xml"/><Relationship Id="rId62" Type="http://schemas.openxmlformats.org/officeDocument/2006/relationships/header" Target="header2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www.lexisnexis.com:80/ca/legal/search/runRemoteLink.do?langcountry=CA&amp;linkInfo=F%23CA%23ABQB%23onum%2529%25decisiondate%252009%25year%252009%25sel1%252009%25&amp;risb=21_T10577812489&amp;bct=A&amp;service=citation&amp;A=0.327465123067631" TargetMode="External"/><Relationship Id="rId32" Type="http://schemas.openxmlformats.org/officeDocument/2006/relationships/header" Target="header11.xml"/><Relationship Id="rId37" Type="http://schemas.openxmlformats.org/officeDocument/2006/relationships/footer" Target="footer13.xml"/><Relationship Id="rId40" Type="http://schemas.openxmlformats.org/officeDocument/2006/relationships/footer" Target="footer14.xml"/><Relationship Id="rId45" Type="http://schemas.openxmlformats.org/officeDocument/2006/relationships/header" Target="header18.xml"/><Relationship Id="rId53" Type="http://schemas.openxmlformats.org/officeDocument/2006/relationships/footer" Target="footer21.xml"/><Relationship Id="rId58" Type="http://schemas.openxmlformats.org/officeDocument/2006/relationships/footer" Target="footer23.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http://www.lexisnexis.com:80/ca/legal/search/runRemoteLink.do?langcountry=CA&amp;linkInfo=F%23CA%23ABQB%23onum%25231%25decisiondate%252009%25year%252009%25sel1%252009%25&amp;risb=21_T10577812489&amp;bct=A&amp;service=citation&amp;A=0.38244630739094443" TargetMode="External"/><Relationship Id="rId28" Type="http://schemas.openxmlformats.org/officeDocument/2006/relationships/footer" Target="footer8.xml"/><Relationship Id="rId36" Type="http://schemas.openxmlformats.org/officeDocument/2006/relationships/header" Target="header13.xml"/><Relationship Id="rId49" Type="http://schemas.openxmlformats.org/officeDocument/2006/relationships/footer" Target="footer19.xml"/><Relationship Id="rId57" Type="http://schemas.openxmlformats.org/officeDocument/2006/relationships/header" Target="header24.xml"/><Relationship Id="rId61" Type="http://schemas.openxmlformats.org/officeDocument/2006/relationships/footer" Target="footer2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0.xml"/><Relationship Id="rId44" Type="http://schemas.openxmlformats.org/officeDocument/2006/relationships/header" Target="header17.xml"/><Relationship Id="rId52" Type="http://schemas.openxmlformats.org/officeDocument/2006/relationships/footer" Target="footer20.xml"/><Relationship Id="rId60" Type="http://schemas.openxmlformats.org/officeDocument/2006/relationships/header" Target="header25.xm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lexisnexis.com:80/ca/legal/search/runRemoteLink.do?langcountry=CA&amp;linkInfo=F%23CA%23ABQB%23onum%2529%25decisiondate%252009%25year%252009%25sel1%252009%25&amp;risb=21_T10577812489&amp;bct=A&amp;service=citation&amp;A=0.327465123067631" TargetMode="External"/><Relationship Id="rId27" Type="http://schemas.openxmlformats.org/officeDocument/2006/relationships/header" Target="header9.xml"/><Relationship Id="rId30" Type="http://schemas.openxmlformats.org/officeDocument/2006/relationships/header" Target="header10.xml"/><Relationship Id="rId35" Type="http://schemas.openxmlformats.org/officeDocument/2006/relationships/footer" Target="footer12.xml"/><Relationship Id="rId43" Type="http://schemas.openxmlformats.org/officeDocument/2006/relationships/footer" Target="footer16.xml"/><Relationship Id="rId48" Type="http://schemas.openxmlformats.org/officeDocument/2006/relationships/header" Target="header19.xml"/><Relationship Id="rId56" Type="http://schemas.openxmlformats.org/officeDocument/2006/relationships/header" Target="header23.xml"/><Relationship Id="rId64"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eader" Target="header2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yperlink" Target="http://www.lexisnexis.com:80/ca/legal/search/runRemoteLink.do?langcountry=CA&amp;linkInfo=F%23CA%23ABQB%23onum%25231%25decisiondate%252009%25year%252009%25sel1%252009%25&amp;risb=21_T10577812489&amp;bct=A&amp;service=citation&amp;A=0.38244630739094443" TargetMode="External"/><Relationship Id="rId33" Type="http://schemas.openxmlformats.org/officeDocument/2006/relationships/header" Target="header12.xml"/><Relationship Id="rId38" Type="http://schemas.openxmlformats.org/officeDocument/2006/relationships/header" Target="header14.xml"/><Relationship Id="rId46" Type="http://schemas.openxmlformats.org/officeDocument/2006/relationships/footer" Target="footer17.xml"/><Relationship Id="rId59" Type="http://schemas.openxmlformats.org/officeDocument/2006/relationships/footer" Target="foot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37519</Words>
  <Characters>213859</Characters>
  <Application>Microsoft Office Word</Application>
  <DocSecurity>0</DocSecurity>
  <Lines>1782</Lines>
  <Paragraphs>501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2010-12-24T13:58:00Z</dcterms:created>
  <dcterms:modified xsi:type="dcterms:W3CDTF">2010-12-24T13:58:00Z</dcterms:modified>
</cp:coreProperties>
</file>