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5436BB"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436B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436BB"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5436B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436BB" w:rsidTr="002E5576">
        <w:tc>
          <w:tcPr>
            <w:tcW w:w="4518" w:type="dxa"/>
          </w:tcPr>
          <w:p w:rsidR="00BF25F3" w:rsidRPr="002E2327" w:rsidRDefault="00532939"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532939"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BF6563" w:rsidP="00F0068D">
      <w:pPr>
        <w:pBdr>
          <w:bottom w:val="single" w:sz="6" w:space="1" w:color="auto"/>
        </w:pBdr>
        <w:tabs>
          <w:tab w:val="center" w:pos="4680"/>
          <w:tab w:val="right" w:pos="9360"/>
        </w:tabs>
        <w:rPr>
          <w:lang w:val="fr-CA"/>
        </w:rPr>
      </w:pPr>
      <w:r>
        <w:rPr>
          <w:lang w:val="fr-CA"/>
        </w:rPr>
        <w:t>January 7</w:t>
      </w:r>
      <w:r w:rsidR="00440E24" w:rsidRPr="00675479">
        <w:rPr>
          <w:lang w:val="fr-CA"/>
        </w:rPr>
        <w:t>, 201</w:t>
      </w:r>
      <w:r>
        <w:rPr>
          <w:lang w:val="fr-CA"/>
        </w:rPr>
        <w:t>1</w:t>
      </w:r>
      <w:r w:rsidR="00F0068D" w:rsidRPr="00675479">
        <w:rPr>
          <w:lang w:val="fr-CA"/>
        </w:rPr>
        <w:tab/>
        <w:t xml:space="preserve">1 - </w:t>
      </w:r>
      <w:r w:rsidR="005C233D">
        <w:rPr>
          <w:lang w:val="fr-CA"/>
        </w:rPr>
        <w:t>19</w:t>
      </w:r>
      <w:r w:rsidR="00440E24" w:rsidRPr="00675479">
        <w:rPr>
          <w:lang w:val="fr-CA"/>
        </w:rPr>
        <w:tab/>
      </w:r>
      <w:r w:rsidR="00440E24" w:rsidRPr="002E2327">
        <w:rPr>
          <w:lang w:val="fr-CA"/>
        </w:rPr>
        <w:t xml:space="preserve">Le </w:t>
      </w:r>
      <w:r>
        <w:rPr>
          <w:lang w:val="fr-CA"/>
        </w:rPr>
        <w:t>7 janvier</w:t>
      </w:r>
      <w:r w:rsidR="00440E24" w:rsidRPr="002E2327">
        <w:rPr>
          <w:lang w:val="fr-CA"/>
        </w:rPr>
        <w:t xml:space="preserve"> 201</w:t>
      </w:r>
      <w:r>
        <w:rPr>
          <w:lang w:val="fr-CA"/>
        </w:rPr>
        <w:t>1</w:t>
      </w:r>
    </w:p>
    <w:p w:rsidR="00440E24" w:rsidRPr="00675479" w:rsidRDefault="00440E24" w:rsidP="00440E24">
      <w:pPr>
        <w:pBdr>
          <w:bottom w:val="single" w:sz="6" w:space="1" w:color="auto"/>
        </w:pBdr>
        <w:tabs>
          <w:tab w:val="right" w:pos="9360"/>
        </w:tabs>
        <w:rPr>
          <w:lang w:val="fr-CA"/>
        </w:rPr>
      </w:pP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 Supreme Court of Canada (2010)</w:t>
      </w:r>
      <w:r w:rsidRPr="00675479">
        <w:rPr>
          <w:sz w:val="18"/>
          <w:szCs w:val="18"/>
          <w:lang w:val="fr-CA"/>
        </w:rPr>
        <w:tab/>
        <w:t xml:space="preserve">© </w:t>
      </w:r>
      <w:r w:rsidRPr="002E2327">
        <w:rPr>
          <w:sz w:val="18"/>
          <w:szCs w:val="18"/>
          <w:lang w:val="fr-CA"/>
        </w:rPr>
        <w:t>Cour suprême du Canada (2010)</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A87207" w:rsidRPr="002E2327" w:rsidRDefault="0095096B" w:rsidP="003F5644">
            <w:pPr>
              <w:tabs>
                <w:tab w:val="right" w:pos="9360"/>
              </w:tabs>
              <w:rPr>
                <w:rFonts w:cs="Times New Roman"/>
                <w:sz w:val="20"/>
                <w:szCs w:val="20"/>
              </w:rPr>
            </w:pPr>
            <w:r w:rsidRPr="002E2327">
              <w:rPr>
                <w:rFonts w:cs="Times New Roman"/>
                <w:sz w:val="20"/>
                <w:szCs w:val="20"/>
              </w:rPr>
              <w:t>Summaries of the cases</w:t>
            </w:r>
          </w:p>
        </w:tc>
        <w:tc>
          <w:tcPr>
            <w:tcW w:w="1980" w:type="dxa"/>
          </w:tcPr>
          <w:p w:rsidR="0095096B" w:rsidRPr="002E2327" w:rsidRDefault="00E74710" w:rsidP="0095096B">
            <w:pPr>
              <w:jc w:val="center"/>
              <w:rPr>
                <w:rFonts w:cs="Times New Roman"/>
                <w:sz w:val="20"/>
                <w:szCs w:val="20"/>
              </w:rPr>
            </w:pPr>
            <w:r>
              <w:rPr>
                <w:rFonts w:cs="Times New Roman"/>
                <w:sz w:val="20"/>
                <w:szCs w:val="20"/>
              </w:rPr>
              <w:t>1</w:t>
            </w:r>
            <w:r w:rsidR="00532939" w:rsidRPr="002E2327">
              <w:rPr>
                <w:rFonts w:cs="Times New Roman"/>
                <w:sz w:val="20"/>
                <w:szCs w:val="20"/>
              </w:rPr>
              <w:fldChar w:fldCharType="begin"/>
            </w:r>
            <w:r w:rsidR="0095096B" w:rsidRPr="002E2327">
              <w:rPr>
                <w:rFonts w:cs="Times New Roman"/>
                <w:sz w:val="20"/>
                <w:szCs w:val="20"/>
              </w:rPr>
              <w:instrText xml:space="preserve"> SEQ CHAPTER \h \r 1</w:instrText>
            </w:r>
            <w:r w:rsidR="00532939"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F1EBB" w:rsidP="0095096B">
            <w:pPr>
              <w:jc w:val="center"/>
              <w:rPr>
                <w:rFonts w:cs="Times New Roman"/>
                <w:sz w:val="20"/>
                <w:szCs w:val="20"/>
              </w:rPr>
            </w:pPr>
            <w:r>
              <w:rPr>
                <w:rFonts w:cs="Times New Roman"/>
                <w:sz w:val="20"/>
                <w:szCs w:val="20"/>
              </w:rPr>
              <w:t>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F1EBB" w:rsidP="0095096B">
            <w:pPr>
              <w:jc w:val="center"/>
              <w:rPr>
                <w:rFonts w:cs="Times New Roman"/>
                <w:sz w:val="20"/>
                <w:szCs w:val="20"/>
              </w:rPr>
            </w:pPr>
            <w:r>
              <w:rPr>
                <w:rFonts w:cs="Times New Roman"/>
                <w:sz w:val="20"/>
                <w:szCs w:val="20"/>
              </w:rPr>
              <w:t>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F1EBB" w:rsidP="0095096B">
            <w:pPr>
              <w:jc w:val="center"/>
              <w:rPr>
                <w:rFonts w:cs="Times New Roman"/>
                <w:sz w:val="20"/>
                <w:szCs w:val="20"/>
              </w:rPr>
            </w:pPr>
            <w:r>
              <w:rPr>
                <w:rFonts w:cs="Times New Roman"/>
                <w:sz w:val="20"/>
                <w:szCs w:val="20"/>
              </w:rPr>
              <w:t>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F1EBB" w:rsidP="0095096B">
            <w:pPr>
              <w:jc w:val="center"/>
              <w:rPr>
                <w:rFonts w:cs="Times New Roman"/>
                <w:sz w:val="20"/>
                <w:szCs w:val="20"/>
              </w:rPr>
            </w:pPr>
            <w:r>
              <w:rPr>
                <w:rFonts w:cs="Times New Roman"/>
                <w:sz w:val="20"/>
                <w:szCs w:val="20"/>
              </w:rPr>
              <w:t>5</w:t>
            </w:r>
          </w:p>
          <w:p w:rsidR="0095096B" w:rsidRPr="002E2327" w:rsidRDefault="0095096B" w:rsidP="0095096B">
            <w:pPr>
              <w:jc w:val="center"/>
              <w:rPr>
                <w:rFonts w:cs="Times New Roman"/>
                <w:sz w:val="20"/>
                <w:szCs w:val="20"/>
              </w:rPr>
            </w:pPr>
          </w:p>
          <w:p w:rsidR="00A87207" w:rsidRPr="002E2327" w:rsidRDefault="005F1EBB" w:rsidP="003F5644">
            <w:pPr>
              <w:jc w:val="center"/>
              <w:rPr>
                <w:rFonts w:cs="Times New Roman"/>
                <w:sz w:val="20"/>
                <w:szCs w:val="20"/>
              </w:rPr>
            </w:pPr>
            <w:r>
              <w:rPr>
                <w:rFonts w:cs="Times New Roman"/>
                <w:sz w:val="20"/>
                <w:szCs w:val="20"/>
              </w:rPr>
              <w:t xml:space="preserve">6 </w:t>
            </w:r>
            <w:r w:rsidR="0095096B" w:rsidRPr="002E2327">
              <w:rPr>
                <w:rFonts w:cs="Times New Roman"/>
                <w:sz w:val="20"/>
                <w:szCs w:val="20"/>
              </w:rPr>
              <w:t>-</w:t>
            </w:r>
            <w:r>
              <w:rPr>
                <w:rFonts w:cs="Times New Roman"/>
                <w:sz w:val="20"/>
                <w:szCs w:val="20"/>
              </w:rPr>
              <w:t xml:space="preserve"> 19</w:t>
            </w:r>
          </w:p>
        </w:tc>
        <w:tc>
          <w:tcPr>
            <w:tcW w:w="3888" w:type="dxa"/>
          </w:tcPr>
          <w:p w:rsidR="0095096B" w:rsidRPr="002E2327" w:rsidRDefault="00532939"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A87207" w:rsidRPr="002E2327" w:rsidRDefault="0095096B" w:rsidP="003F5644">
            <w:pPr>
              <w:rPr>
                <w:rFonts w:cs="Times New Roman"/>
                <w:sz w:val="20"/>
                <w:szCs w:val="20"/>
                <w:lang w:val="fr-CA"/>
              </w:rPr>
            </w:pPr>
            <w:r w:rsidRPr="002E2327">
              <w:rPr>
                <w:rFonts w:cs="Times New Roman"/>
                <w:sz w:val="20"/>
                <w:szCs w:val="20"/>
                <w:lang w:val="fr-CA"/>
              </w:rPr>
              <w:t>Résumés des affaires</w:t>
            </w:r>
          </w:p>
        </w:tc>
      </w:tr>
    </w:tbl>
    <w:p w:rsidR="00E74710" w:rsidRDefault="00E74710" w:rsidP="0095096B">
      <w:pPr>
        <w:tabs>
          <w:tab w:val="right" w:pos="9360"/>
        </w:tabs>
      </w:pPr>
    </w:p>
    <w:p w:rsidR="00E74710" w:rsidRDefault="00E74710" w:rsidP="0095096B">
      <w:pPr>
        <w:tabs>
          <w:tab w:val="right" w:pos="9360"/>
        </w:tabs>
      </w:pPr>
    </w:p>
    <w:p w:rsidR="003F5644" w:rsidRDefault="003F5644" w:rsidP="0095096B">
      <w:pPr>
        <w:tabs>
          <w:tab w:val="right" w:pos="9360"/>
        </w:tabs>
      </w:pPr>
    </w:p>
    <w:p w:rsidR="003F5644" w:rsidRDefault="003F5644" w:rsidP="0095096B">
      <w:pPr>
        <w:tabs>
          <w:tab w:val="right" w:pos="9360"/>
        </w:tabs>
      </w:pPr>
    </w:p>
    <w:p w:rsidR="003F5644" w:rsidRDefault="003F5644" w:rsidP="0095096B">
      <w:pPr>
        <w:tabs>
          <w:tab w:val="right" w:pos="9360"/>
        </w:tabs>
      </w:pPr>
    </w:p>
    <w:p w:rsidR="00E74710" w:rsidRPr="002E2327" w:rsidRDefault="00E74710" w:rsidP="0095096B">
      <w:pPr>
        <w:tabs>
          <w:tab w:val="right" w:pos="9360"/>
        </w:tabs>
      </w:pPr>
    </w:p>
    <w:tbl>
      <w:tblPr>
        <w:tblStyle w:val="TableGrid"/>
        <w:tblW w:w="0" w:type="auto"/>
        <w:tblLook w:val="04A0"/>
      </w:tblPr>
      <w:tblGrid>
        <w:gridCol w:w="9576"/>
      </w:tblGrid>
      <w:tr w:rsidR="0079724F" w:rsidRPr="005436BB"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8"/>
          <w:headerReference w:type="default" r:id="rId9"/>
          <w:footerReference w:type="even" r:id="rId10"/>
          <w:footerReference w:type="default" r:id="rId11"/>
          <w:headerReference w:type="first" r:id="rId12"/>
          <w:footerReference w:type="first" r:id="rId13"/>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E74710" w:rsidRDefault="00BF6563" w:rsidP="003B3977">
            <w:pPr>
              <w:rPr>
                <w:b/>
                <w:sz w:val="20"/>
                <w:szCs w:val="20"/>
                <w:lang w:val="fr-CA"/>
              </w:rPr>
            </w:pPr>
            <w:r w:rsidRPr="00E74710">
              <w:rPr>
                <w:b/>
                <w:sz w:val="20"/>
                <w:szCs w:val="20"/>
                <w:lang w:val="fr-CA"/>
              </w:rPr>
              <w:t>K.T.</w:t>
            </w:r>
          </w:p>
          <w:p w:rsidR="00242AEE" w:rsidRPr="00E74710" w:rsidRDefault="00242AEE" w:rsidP="003B3977">
            <w:pPr>
              <w:tabs>
                <w:tab w:val="left" w:pos="-1440"/>
                <w:tab w:val="left" w:pos="-720"/>
              </w:tabs>
              <w:rPr>
                <w:sz w:val="20"/>
                <w:szCs w:val="20"/>
                <w:lang w:val="fr-CA"/>
              </w:rPr>
            </w:pPr>
            <w:r w:rsidRPr="00E74710">
              <w:rPr>
                <w:sz w:val="20"/>
                <w:szCs w:val="20"/>
                <w:lang w:val="fr-CA"/>
              </w:rPr>
              <w:tab/>
            </w:r>
            <w:r w:rsidR="00BF6563" w:rsidRPr="00E74710">
              <w:rPr>
                <w:sz w:val="20"/>
                <w:szCs w:val="20"/>
                <w:lang w:val="fr-CA"/>
              </w:rPr>
              <w:t>Anne MacL. Malick, Q.C.</w:t>
            </w:r>
          </w:p>
          <w:p w:rsidR="00242AEE" w:rsidRPr="00A935AA" w:rsidRDefault="00242AEE" w:rsidP="003B3977">
            <w:pPr>
              <w:tabs>
                <w:tab w:val="left" w:pos="-1440"/>
                <w:tab w:val="left" w:pos="-720"/>
              </w:tabs>
              <w:rPr>
                <w:sz w:val="20"/>
                <w:szCs w:val="20"/>
              </w:rPr>
            </w:pPr>
            <w:r w:rsidRPr="00E74710">
              <w:rPr>
                <w:sz w:val="20"/>
                <w:szCs w:val="20"/>
                <w:lang w:val="fr-CA"/>
              </w:rPr>
              <w:tab/>
            </w:r>
            <w:r w:rsidR="00BF6563">
              <w:rPr>
                <w:sz w:val="20"/>
                <w:szCs w:val="20"/>
              </w:rPr>
              <w:t>Nova Scotia Legal Aid</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(33</w:t>
            </w:r>
            <w:r w:rsidR="00BF6563">
              <w:rPr>
                <w:sz w:val="20"/>
                <w:szCs w:val="20"/>
              </w:rPr>
              <w:t>924</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BF6563" w:rsidP="003B3977">
            <w:pPr>
              <w:tabs>
                <w:tab w:val="left" w:pos="-1440"/>
                <w:tab w:val="left" w:pos="-720"/>
              </w:tabs>
              <w:rPr>
                <w:b/>
                <w:sz w:val="20"/>
                <w:szCs w:val="20"/>
              </w:rPr>
            </w:pPr>
            <w:r>
              <w:rPr>
                <w:b/>
                <w:sz w:val="20"/>
                <w:szCs w:val="20"/>
              </w:rPr>
              <w:t xml:space="preserve">Children and Family Services of Colchester County </w:t>
            </w:r>
            <w:r w:rsidR="00242AEE" w:rsidRPr="00A935AA">
              <w:rPr>
                <w:b/>
                <w:sz w:val="20"/>
                <w:szCs w:val="20"/>
              </w:rPr>
              <w:t>(</w:t>
            </w:r>
            <w:r>
              <w:rPr>
                <w:b/>
                <w:sz w:val="20"/>
                <w:szCs w:val="20"/>
              </w:rPr>
              <w:t>N</w:t>
            </w:r>
            <w:r w:rsidR="00242AEE" w:rsidRPr="00A935AA">
              <w:rPr>
                <w:b/>
                <w:sz w:val="20"/>
                <w:szCs w:val="20"/>
              </w:rPr>
              <w:t>.</w:t>
            </w:r>
            <w:r>
              <w:rPr>
                <w:b/>
                <w:sz w:val="20"/>
                <w:szCs w:val="20"/>
              </w:rPr>
              <w:t>S.</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BF6563">
              <w:rPr>
                <w:sz w:val="20"/>
                <w:szCs w:val="20"/>
              </w:rPr>
              <w:t>Peter C. McVey</w:t>
            </w:r>
          </w:p>
          <w:p w:rsidR="00242AEE" w:rsidRPr="00A935AA" w:rsidRDefault="00242AEE" w:rsidP="003B3977">
            <w:pPr>
              <w:tabs>
                <w:tab w:val="left" w:pos="-1440"/>
                <w:tab w:val="left" w:pos="-720"/>
              </w:tabs>
              <w:rPr>
                <w:sz w:val="20"/>
                <w:szCs w:val="20"/>
              </w:rPr>
            </w:pPr>
            <w:r w:rsidRPr="00A935AA">
              <w:rPr>
                <w:sz w:val="20"/>
                <w:szCs w:val="20"/>
              </w:rPr>
              <w:tab/>
            </w:r>
            <w:r w:rsidR="00BF6563">
              <w:rPr>
                <w:sz w:val="20"/>
                <w:szCs w:val="20"/>
              </w:rPr>
              <w:t>A.G. of Nova Scotia</w:t>
            </w:r>
          </w:p>
          <w:p w:rsidR="00242AEE" w:rsidRPr="00A935AA" w:rsidRDefault="00242AEE" w:rsidP="003B3977">
            <w:pPr>
              <w:tabs>
                <w:tab w:val="left" w:pos="-1440"/>
                <w:tab w:val="left" w:pos="-720"/>
              </w:tabs>
              <w:rPr>
                <w:sz w:val="20"/>
                <w:szCs w:val="20"/>
              </w:rPr>
            </w:pPr>
          </w:p>
          <w:p w:rsidR="00242AEE" w:rsidRPr="00A935AA" w:rsidRDefault="00242AEE" w:rsidP="004D7551">
            <w:pPr>
              <w:rPr>
                <w:sz w:val="20"/>
                <w:szCs w:val="20"/>
              </w:rPr>
            </w:pPr>
            <w:r w:rsidRPr="00A935AA">
              <w:rPr>
                <w:sz w:val="20"/>
                <w:szCs w:val="20"/>
              </w:rPr>
              <w:t xml:space="preserve">FILING DATE: </w:t>
            </w:r>
            <w:r w:rsidR="00BF6563">
              <w:rPr>
                <w:sz w:val="20"/>
                <w:szCs w:val="20"/>
              </w:rPr>
              <w:t>04.11.2010</w: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BF6563" w:rsidP="003B3977">
            <w:pPr>
              <w:keepNext/>
              <w:keepLines/>
              <w:tabs>
                <w:tab w:val="left" w:pos="-1440"/>
                <w:tab w:val="left" w:pos="-720"/>
              </w:tabs>
              <w:rPr>
                <w:b/>
                <w:sz w:val="20"/>
                <w:szCs w:val="20"/>
              </w:rPr>
            </w:pPr>
            <w:r>
              <w:rPr>
                <w:b/>
                <w:sz w:val="20"/>
                <w:szCs w:val="20"/>
              </w:rPr>
              <w:t>Stephen Paul</w:t>
            </w:r>
          </w:p>
          <w:p w:rsidR="00242AEE" w:rsidRPr="00A935AA" w:rsidRDefault="00242AEE" w:rsidP="003B3977">
            <w:pPr>
              <w:keepNext/>
              <w:keepLines/>
              <w:tabs>
                <w:tab w:val="left" w:pos="-1440"/>
                <w:tab w:val="left" w:pos="-720"/>
              </w:tabs>
              <w:rPr>
                <w:sz w:val="20"/>
                <w:szCs w:val="20"/>
              </w:rPr>
            </w:pPr>
            <w:r w:rsidRPr="00A935AA">
              <w:rPr>
                <w:sz w:val="20"/>
                <w:szCs w:val="20"/>
              </w:rPr>
              <w:tab/>
            </w:r>
            <w:r w:rsidR="00BF6563">
              <w:rPr>
                <w:sz w:val="20"/>
                <w:szCs w:val="20"/>
              </w:rPr>
              <w:t>Paul Calarco</w:t>
            </w:r>
          </w:p>
          <w:p w:rsidR="00242AEE" w:rsidRPr="00A935AA" w:rsidRDefault="00242AEE" w:rsidP="003B3977">
            <w:pPr>
              <w:keepNext/>
              <w:keepLines/>
              <w:tabs>
                <w:tab w:val="left" w:pos="-1440"/>
                <w:tab w:val="left" w:pos="-720"/>
              </w:tabs>
              <w:rPr>
                <w:sz w:val="20"/>
                <w:szCs w:val="20"/>
              </w:rPr>
            </w:pPr>
          </w:p>
          <w:p w:rsidR="00242AEE" w:rsidRPr="00BF6563" w:rsidRDefault="00242AEE" w:rsidP="003B3977">
            <w:pPr>
              <w:keepNext/>
              <w:keepLines/>
              <w:tabs>
                <w:tab w:val="left" w:pos="-1440"/>
                <w:tab w:val="left" w:pos="-720"/>
              </w:tabs>
              <w:rPr>
                <w:sz w:val="20"/>
                <w:szCs w:val="20"/>
              </w:rPr>
            </w:pPr>
            <w:r w:rsidRPr="00A935AA">
              <w:rPr>
                <w:sz w:val="20"/>
                <w:szCs w:val="20"/>
              </w:rPr>
              <w:tab/>
            </w:r>
            <w:r w:rsidRPr="00BF6563">
              <w:rPr>
                <w:sz w:val="20"/>
                <w:szCs w:val="20"/>
              </w:rPr>
              <w:t>v. (33</w:t>
            </w:r>
            <w:r w:rsidR="00BF6563">
              <w:rPr>
                <w:sz w:val="20"/>
                <w:szCs w:val="20"/>
              </w:rPr>
              <w:t>961</w:t>
            </w:r>
            <w:r w:rsidRPr="00BF6563">
              <w:rPr>
                <w:sz w:val="20"/>
                <w:szCs w:val="20"/>
              </w:rPr>
              <w:t>)</w:t>
            </w:r>
          </w:p>
          <w:p w:rsidR="00242AEE" w:rsidRPr="00BF6563" w:rsidRDefault="00242AEE" w:rsidP="003B3977">
            <w:pPr>
              <w:keepNext/>
              <w:keepLines/>
              <w:tabs>
                <w:tab w:val="left" w:pos="-1440"/>
                <w:tab w:val="left" w:pos="-720"/>
              </w:tabs>
              <w:rPr>
                <w:sz w:val="20"/>
                <w:szCs w:val="20"/>
              </w:rPr>
            </w:pPr>
          </w:p>
          <w:p w:rsidR="00242AEE" w:rsidRPr="00BF6563" w:rsidRDefault="00BF6563" w:rsidP="003B3977">
            <w:pPr>
              <w:keepNext/>
              <w:keepLines/>
              <w:tabs>
                <w:tab w:val="left" w:pos="-1440"/>
                <w:tab w:val="left" w:pos="-720"/>
              </w:tabs>
              <w:rPr>
                <w:b/>
                <w:sz w:val="20"/>
                <w:szCs w:val="20"/>
              </w:rPr>
            </w:pPr>
            <w:r>
              <w:rPr>
                <w:b/>
                <w:sz w:val="20"/>
                <w:szCs w:val="20"/>
              </w:rPr>
              <w:t xml:space="preserve">Her Majesty the Queen </w:t>
            </w:r>
            <w:r w:rsidR="00242AEE" w:rsidRPr="00BF6563">
              <w:rPr>
                <w:b/>
                <w:sz w:val="20"/>
                <w:szCs w:val="20"/>
              </w:rPr>
              <w:t>(</w:t>
            </w:r>
            <w:r>
              <w:rPr>
                <w:b/>
                <w:sz w:val="20"/>
                <w:szCs w:val="20"/>
              </w:rPr>
              <w:t>Ont</w:t>
            </w:r>
            <w:r w:rsidR="00242AEE" w:rsidRPr="00BF6563">
              <w:rPr>
                <w:b/>
                <w:sz w:val="20"/>
                <w:szCs w:val="20"/>
              </w:rPr>
              <w:t>.)</w:t>
            </w:r>
          </w:p>
          <w:p w:rsidR="00242AEE" w:rsidRPr="00BF6563" w:rsidRDefault="00242AEE" w:rsidP="003B3977">
            <w:pPr>
              <w:keepNext/>
              <w:keepLines/>
              <w:tabs>
                <w:tab w:val="left" w:pos="-1440"/>
                <w:tab w:val="left" w:pos="-720"/>
              </w:tabs>
              <w:rPr>
                <w:sz w:val="20"/>
                <w:szCs w:val="20"/>
              </w:rPr>
            </w:pPr>
            <w:r w:rsidRPr="00BF6563">
              <w:rPr>
                <w:sz w:val="20"/>
                <w:szCs w:val="20"/>
              </w:rPr>
              <w:tab/>
            </w:r>
            <w:r w:rsidR="00BF6563">
              <w:rPr>
                <w:sz w:val="20"/>
                <w:szCs w:val="20"/>
              </w:rPr>
              <w:t>Deborah Krick</w:t>
            </w:r>
          </w:p>
          <w:p w:rsidR="00242AEE" w:rsidRPr="00BF6563" w:rsidRDefault="00242AEE" w:rsidP="003B3977">
            <w:pPr>
              <w:keepNext/>
              <w:keepLines/>
              <w:tabs>
                <w:tab w:val="left" w:pos="-1440"/>
                <w:tab w:val="left" w:pos="-720"/>
              </w:tabs>
              <w:rPr>
                <w:sz w:val="20"/>
                <w:szCs w:val="20"/>
              </w:rPr>
            </w:pPr>
            <w:r w:rsidRPr="00BF6563">
              <w:rPr>
                <w:sz w:val="20"/>
                <w:szCs w:val="20"/>
              </w:rPr>
              <w:tab/>
            </w:r>
            <w:r w:rsidR="00BF6563">
              <w:rPr>
                <w:sz w:val="20"/>
                <w:szCs w:val="20"/>
              </w:rPr>
              <w:t>A.G. of Ontario</w:t>
            </w:r>
          </w:p>
          <w:p w:rsidR="00242AEE" w:rsidRPr="00BF6563" w:rsidRDefault="00242AEE" w:rsidP="003B3977">
            <w:pPr>
              <w:keepNext/>
              <w:keepLines/>
              <w:tabs>
                <w:tab w:val="left" w:pos="-1440"/>
                <w:tab w:val="left" w:pos="-720"/>
              </w:tabs>
              <w:rPr>
                <w:sz w:val="20"/>
                <w:szCs w:val="20"/>
              </w:rPr>
            </w:pPr>
          </w:p>
          <w:p w:rsidR="00BF6563" w:rsidRDefault="00242AEE" w:rsidP="00BF6563">
            <w:pPr>
              <w:rPr>
                <w:sz w:val="20"/>
                <w:szCs w:val="20"/>
              </w:rPr>
            </w:pPr>
            <w:r w:rsidRPr="00A935AA">
              <w:rPr>
                <w:sz w:val="20"/>
                <w:szCs w:val="20"/>
              </w:rPr>
              <w:t>FILING DATE:</w:t>
            </w:r>
            <w:r w:rsidR="00BF6563">
              <w:rPr>
                <w:sz w:val="20"/>
                <w:szCs w:val="20"/>
              </w:rPr>
              <w:t xml:space="preserve"> 29.11.2010</w:t>
            </w:r>
          </w:p>
          <w:p w:rsidR="00242AEE" w:rsidRPr="00A935AA" w:rsidRDefault="00532939" w:rsidP="00BF6563">
            <w:pPr>
              <w:rPr>
                <w:sz w:val="20"/>
                <w:szCs w:val="20"/>
              </w:rPr>
            </w:pPr>
            <w:r w:rsidRPr="00532939">
              <w:rPr>
                <w:sz w:val="20"/>
                <w:szCs w:val="20"/>
                <w:lang w:val="fr-CA"/>
              </w:rPr>
              <w:pict>
                <v:rect id="_x0000_i1025" style="width:108pt;height:1pt" o:hrpct="0" o:hralign="center" o:hrstd="t" o:hrnoshade="t" o:hr="t" fillcolor="black [3213]" stroked="f"/>
              </w:pict>
            </w:r>
          </w:p>
        </w:tc>
      </w:tr>
      <w:tr w:rsidR="00BF6563" w:rsidRPr="004D7551" w:rsidTr="003B3977">
        <w:tc>
          <w:tcPr>
            <w:tcW w:w="4320" w:type="dxa"/>
            <w:shd w:val="clear" w:color="auto" w:fill="auto"/>
          </w:tcPr>
          <w:p w:rsidR="004D7551" w:rsidRDefault="00532939" w:rsidP="009013BB">
            <w:pPr>
              <w:rPr>
                <w:b/>
                <w:sz w:val="20"/>
                <w:szCs w:val="20"/>
              </w:rPr>
            </w:pPr>
            <w:r w:rsidRPr="00532939">
              <w:rPr>
                <w:sz w:val="20"/>
                <w:szCs w:val="20"/>
                <w:lang w:val="fr-CA"/>
              </w:rPr>
              <w:pict>
                <v:rect id="_x0000_i1026" style="width:108pt;height:1pt" o:hrpct="0" o:hralign="center" o:hrstd="t" o:hrnoshade="t" o:hr="t" fillcolor="black [3213]" stroked="f"/>
              </w:pict>
            </w:r>
          </w:p>
          <w:p w:rsidR="004D7551" w:rsidRDefault="004D7551" w:rsidP="009013BB">
            <w:pPr>
              <w:rPr>
                <w:b/>
                <w:sz w:val="20"/>
                <w:szCs w:val="20"/>
              </w:rPr>
            </w:pPr>
          </w:p>
          <w:p w:rsidR="00BF6563" w:rsidRPr="00A935AA" w:rsidRDefault="00BF6563" w:rsidP="009013BB">
            <w:pPr>
              <w:rPr>
                <w:b/>
                <w:sz w:val="20"/>
                <w:szCs w:val="20"/>
              </w:rPr>
            </w:pPr>
            <w:r>
              <w:rPr>
                <w:b/>
                <w:sz w:val="20"/>
                <w:szCs w:val="20"/>
              </w:rPr>
              <w:t>Alfreda Melkowska</w:t>
            </w:r>
          </w:p>
          <w:p w:rsidR="00BF6563" w:rsidRPr="00A935AA" w:rsidRDefault="00BF6563" w:rsidP="009013BB">
            <w:pPr>
              <w:tabs>
                <w:tab w:val="left" w:pos="-1440"/>
                <w:tab w:val="left" w:pos="-720"/>
              </w:tabs>
              <w:rPr>
                <w:sz w:val="20"/>
                <w:szCs w:val="20"/>
              </w:rPr>
            </w:pPr>
            <w:r w:rsidRPr="00A935AA">
              <w:rPr>
                <w:sz w:val="20"/>
                <w:szCs w:val="20"/>
              </w:rPr>
              <w:tab/>
            </w:r>
            <w:r w:rsidR="004D7551">
              <w:rPr>
                <w:sz w:val="20"/>
                <w:szCs w:val="20"/>
              </w:rPr>
              <w:t>Alfreda Melkowska</w:t>
            </w:r>
          </w:p>
          <w:p w:rsidR="00BF6563" w:rsidRPr="00A935AA" w:rsidRDefault="00BF6563" w:rsidP="009013BB">
            <w:pPr>
              <w:tabs>
                <w:tab w:val="left" w:pos="-1440"/>
                <w:tab w:val="left" w:pos="-720"/>
              </w:tabs>
              <w:rPr>
                <w:sz w:val="20"/>
                <w:szCs w:val="20"/>
              </w:rPr>
            </w:pPr>
          </w:p>
          <w:p w:rsidR="00BF6563" w:rsidRPr="00E74710" w:rsidRDefault="00BF6563" w:rsidP="009013BB">
            <w:pPr>
              <w:tabs>
                <w:tab w:val="left" w:pos="-1440"/>
                <w:tab w:val="left" w:pos="-720"/>
              </w:tabs>
              <w:rPr>
                <w:sz w:val="20"/>
                <w:szCs w:val="20"/>
              </w:rPr>
            </w:pPr>
            <w:r w:rsidRPr="00A935AA">
              <w:rPr>
                <w:sz w:val="20"/>
                <w:szCs w:val="20"/>
              </w:rPr>
              <w:tab/>
            </w:r>
            <w:r w:rsidRPr="00E74710">
              <w:rPr>
                <w:sz w:val="20"/>
                <w:szCs w:val="20"/>
              </w:rPr>
              <w:t>v. (33</w:t>
            </w:r>
            <w:r w:rsidR="004D7551" w:rsidRPr="00E74710">
              <w:rPr>
                <w:sz w:val="20"/>
                <w:szCs w:val="20"/>
              </w:rPr>
              <w:t>975</w:t>
            </w:r>
            <w:r w:rsidRPr="00E74710">
              <w:rPr>
                <w:sz w:val="20"/>
                <w:szCs w:val="20"/>
              </w:rPr>
              <w:t>)</w:t>
            </w:r>
          </w:p>
          <w:p w:rsidR="00BF6563" w:rsidRPr="00E74710" w:rsidRDefault="00BF6563" w:rsidP="009013BB">
            <w:pPr>
              <w:tabs>
                <w:tab w:val="left" w:pos="-1440"/>
                <w:tab w:val="left" w:pos="-720"/>
              </w:tabs>
              <w:rPr>
                <w:sz w:val="20"/>
                <w:szCs w:val="20"/>
              </w:rPr>
            </w:pPr>
          </w:p>
          <w:p w:rsidR="00BF6563" w:rsidRPr="004D7551" w:rsidRDefault="004D7551" w:rsidP="009013BB">
            <w:pPr>
              <w:tabs>
                <w:tab w:val="left" w:pos="-1440"/>
                <w:tab w:val="left" w:pos="-720"/>
              </w:tabs>
              <w:rPr>
                <w:b/>
                <w:sz w:val="20"/>
                <w:szCs w:val="20"/>
                <w:lang w:val="fr-CA"/>
              </w:rPr>
            </w:pPr>
            <w:r w:rsidRPr="004D7551">
              <w:rPr>
                <w:b/>
                <w:sz w:val="20"/>
                <w:szCs w:val="20"/>
                <w:lang w:val="fr-CA"/>
              </w:rPr>
              <w:t xml:space="preserve">Lucienne Groulx </w:t>
            </w:r>
            <w:r w:rsidR="00BF6563" w:rsidRPr="004D7551">
              <w:rPr>
                <w:b/>
                <w:sz w:val="20"/>
                <w:szCs w:val="20"/>
                <w:lang w:val="fr-CA"/>
              </w:rPr>
              <w:t>(</w:t>
            </w:r>
            <w:r w:rsidRPr="004D7551">
              <w:rPr>
                <w:b/>
                <w:sz w:val="20"/>
                <w:szCs w:val="20"/>
                <w:lang w:val="fr-CA"/>
              </w:rPr>
              <w:t>Que</w:t>
            </w:r>
            <w:r w:rsidR="00BF6563" w:rsidRPr="004D7551">
              <w:rPr>
                <w:b/>
                <w:sz w:val="20"/>
                <w:szCs w:val="20"/>
                <w:lang w:val="fr-CA"/>
              </w:rPr>
              <w:t>.)</w:t>
            </w:r>
          </w:p>
          <w:p w:rsidR="00BF6563" w:rsidRPr="004D7551" w:rsidRDefault="00BF6563" w:rsidP="009013BB">
            <w:pPr>
              <w:tabs>
                <w:tab w:val="left" w:pos="-1440"/>
                <w:tab w:val="left" w:pos="-720"/>
              </w:tabs>
              <w:rPr>
                <w:sz w:val="20"/>
                <w:szCs w:val="20"/>
                <w:lang w:val="fr-CA"/>
              </w:rPr>
            </w:pPr>
            <w:r w:rsidRPr="004D7551">
              <w:rPr>
                <w:sz w:val="20"/>
                <w:szCs w:val="20"/>
                <w:lang w:val="fr-CA"/>
              </w:rPr>
              <w:tab/>
            </w:r>
            <w:r w:rsidR="004D7551" w:rsidRPr="004D7551">
              <w:rPr>
                <w:sz w:val="20"/>
                <w:szCs w:val="20"/>
                <w:lang w:val="fr-CA"/>
              </w:rPr>
              <w:t>Marc André Cayen</w:t>
            </w:r>
          </w:p>
          <w:p w:rsidR="00BF6563" w:rsidRPr="004D7551" w:rsidRDefault="00BF6563" w:rsidP="009013BB">
            <w:pPr>
              <w:tabs>
                <w:tab w:val="left" w:pos="-1440"/>
                <w:tab w:val="left" w:pos="-720"/>
              </w:tabs>
              <w:rPr>
                <w:sz w:val="20"/>
                <w:szCs w:val="20"/>
                <w:lang w:val="fr-CA"/>
              </w:rPr>
            </w:pPr>
          </w:p>
          <w:p w:rsidR="00BF6563" w:rsidRPr="00A935AA" w:rsidRDefault="00BF6563" w:rsidP="009013BB">
            <w:pPr>
              <w:rPr>
                <w:sz w:val="20"/>
                <w:szCs w:val="20"/>
              </w:rPr>
            </w:pPr>
            <w:r w:rsidRPr="00A935AA">
              <w:rPr>
                <w:sz w:val="20"/>
                <w:szCs w:val="20"/>
              </w:rPr>
              <w:t xml:space="preserve">FILING DATE: </w:t>
            </w:r>
            <w:r w:rsidR="004D7551">
              <w:rPr>
                <w:sz w:val="20"/>
                <w:szCs w:val="20"/>
              </w:rPr>
              <w:t>06.12.2010</w:t>
            </w:r>
          </w:p>
          <w:p w:rsidR="00BF6563" w:rsidRPr="00A935AA" w:rsidRDefault="00532939" w:rsidP="009013BB">
            <w:pPr>
              <w:rPr>
                <w:sz w:val="20"/>
                <w:szCs w:val="20"/>
              </w:rPr>
            </w:pPr>
            <w:r w:rsidRPr="00532939">
              <w:rPr>
                <w:sz w:val="20"/>
                <w:szCs w:val="20"/>
                <w:lang w:val="fr-CA"/>
              </w:rPr>
              <w:pict>
                <v:rect id="_x0000_i1027" style="width:108pt;height:1pt" o:hrpct="0" o:hralign="center" o:hrstd="t" o:hrnoshade="t" o:hr="t" fillcolor="black [3213]" stroked="f"/>
              </w:pict>
            </w:r>
          </w:p>
        </w:tc>
        <w:tc>
          <w:tcPr>
            <w:tcW w:w="1181" w:type="dxa"/>
            <w:shd w:val="clear" w:color="auto" w:fill="auto"/>
          </w:tcPr>
          <w:p w:rsidR="00BF6563" w:rsidRPr="00A935AA" w:rsidRDefault="00BF6563" w:rsidP="009013BB">
            <w:pPr>
              <w:jc w:val="center"/>
              <w:rPr>
                <w:sz w:val="20"/>
                <w:szCs w:val="20"/>
              </w:rPr>
            </w:pPr>
          </w:p>
          <w:p w:rsidR="00BF6563" w:rsidRPr="00A935AA" w:rsidRDefault="00BF6563" w:rsidP="009013BB">
            <w:pPr>
              <w:jc w:val="center"/>
              <w:rPr>
                <w:sz w:val="20"/>
                <w:szCs w:val="20"/>
              </w:rPr>
            </w:pPr>
          </w:p>
          <w:p w:rsidR="00BF6563" w:rsidRPr="00A935AA" w:rsidRDefault="00BF6563" w:rsidP="009013BB">
            <w:pPr>
              <w:jc w:val="center"/>
              <w:rPr>
                <w:sz w:val="20"/>
                <w:szCs w:val="20"/>
              </w:rPr>
            </w:pPr>
          </w:p>
          <w:p w:rsidR="00BF6563" w:rsidRPr="00A935AA" w:rsidRDefault="00BF6563" w:rsidP="009013BB">
            <w:pPr>
              <w:jc w:val="center"/>
              <w:rPr>
                <w:sz w:val="20"/>
                <w:szCs w:val="20"/>
              </w:rPr>
            </w:pPr>
          </w:p>
          <w:p w:rsidR="00BF6563" w:rsidRPr="00A935AA" w:rsidRDefault="00BF6563" w:rsidP="009013BB">
            <w:pPr>
              <w:jc w:val="center"/>
              <w:rPr>
                <w:sz w:val="20"/>
                <w:szCs w:val="20"/>
              </w:rPr>
            </w:pPr>
          </w:p>
          <w:p w:rsidR="00BF6563" w:rsidRPr="00A935AA" w:rsidRDefault="00BF6563" w:rsidP="009013BB">
            <w:pPr>
              <w:jc w:val="center"/>
              <w:rPr>
                <w:sz w:val="20"/>
                <w:szCs w:val="20"/>
              </w:rPr>
            </w:pPr>
          </w:p>
          <w:p w:rsidR="00BF6563" w:rsidRPr="00A935AA" w:rsidRDefault="00BF6563" w:rsidP="009013BB">
            <w:pPr>
              <w:jc w:val="center"/>
              <w:rPr>
                <w:sz w:val="20"/>
                <w:szCs w:val="20"/>
              </w:rPr>
            </w:pPr>
          </w:p>
          <w:p w:rsidR="00BF6563" w:rsidRPr="00A935AA" w:rsidRDefault="00BF6563" w:rsidP="009013BB">
            <w:pPr>
              <w:jc w:val="center"/>
              <w:rPr>
                <w:sz w:val="20"/>
                <w:szCs w:val="20"/>
              </w:rPr>
            </w:pPr>
          </w:p>
          <w:p w:rsidR="00BF6563" w:rsidRPr="00A935AA" w:rsidRDefault="00BF6563" w:rsidP="009013BB">
            <w:pPr>
              <w:jc w:val="center"/>
              <w:rPr>
                <w:sz w:val="20"/>
                <w:szCs w:val="20"/>
              </w:rPr>
            </w:pPr>
          </w:p>
          <w:p w:rsidR="00BF6563" w:rsidRPr="00A935AA" w:rsidRDefault="00BF6563" w:rsidP="009013BB">
            <w:pPr>
              <w:jc w:val="center"/>
              <w:rPr>
                <w:sz w:val="20"/>
                <w:szCs w:val="20"/>
              </w:rPr>
            </w:pPr>
          </w:p>
          <w:p w:rsidR="00BF6563" w:rsidRPr="00A935AA" w:rsidRDefault="00BF6563" w:rsidP="009013BB">
            <w:pPr>
              <w:jc w:val="center"/>
              <w:rPr>
                <w:sz w:val="20"/>
                <w:szCs w:val="20"/>
              </w:rPr>
            </w:pPr>
          </w:p>
          <w:p w:rsidR="00BF6563" w:rsidRPr="00A935AA" w:rsidRDefault="00BF6563" w:rsidP="009013BB">
            <w:pPr>
              <w:jc w:val="center"/>
              <w:rPr>
                <w:sz w:val="20"/>
                <w:szCs w:val="20"/>
              </w:rPr>
            </w:pPr>
          </w:p>
          <w:p w:rsidR="00BF6563" w:rsidRPr="00A935AA" w:rsidRDefault="00BF6563" w:rsidP="009013BB">
            <w:pPr>
              <w:jc w:val="center"/>
              <w:rPr>
                <w:sz w:val="20"/>
                <w:szCs w:val="20"/>
              </w:rPr>
            </w:pPr>
          </w:p>
        </w:tc>
        <w:tc>
          <w:tcPr>
            <w:tcW w:w="4320" w:type="dxa"/>
            <w:shd w:val="clear" w:color="auto" w:fill="auto"/>
          </w:tcPr>
          <w:p w:rsidR="00BF6563" w:rsidRPr="004D7551" w:rsidRDefault="004D7551" w:rsidP="009013BB">
            <w:pPr>
              <w:keepNext/>
              <w:keepLines/>
              <w:tabs>
                <w:tab w:val="left" w:pos="-1440"/>
                <w:tab w:val="left" w:pos="-720"/>
              </w:tabs>
              <w:rPr>
                <w:b/>
                <w:sz w:val="20"/>
                <w:szCs w:val="20"/>
                <w:lang w:val="fr-CA"/>
              </w:rPr>
            </w:pPr>
            <w:r w:rsidRPr="004D7551">
              <w:rPr>
                <w:b/>
                <w:sz w:val="20"/>
                <w:szCs w:val="20"/>
                <w:lang w:val="fr-CA"/>
              </w:rPr>
              <w:t>Michel Dubois</w:t>
            </w:r>
          </w:p>
          <w:p w:rsidR="00BF6563" w:rsidRPr="004D7551" w:rsidRDefault="00BF6563" w:rsidP="009013BB">
            <w:pPr>
              <w:keepNext/>
              <w:keepLines/>
              <w:tabs>
                <w:tab w:val="left" w:pos="-1440"/>
                <w:tab w:val="left" w:pos="-720"/>
              </w:tabs>
              <w:rPr>
                <w:sz w:val="20"/>
                <w:szCs w:val="20"/>
                <w:lang w:val="fr-CA"/>
              </w:rPr>
            </w:pPr>
            <w:r w:rsidRPr="004D7551">
              <w:rPr>
                <w:sz w:val="20"/>
                <w:szCs w:val="20"/>
                <w:lang w:val="fr-CA"/>
              </w:rPr>
              <w:tab/>
            </w:r>
            <w:r w:rsidR="004D7551" w:rsidRPr="004D7551">
              <w:rPr>
                <w:sz w:val="20"/>
                <w:szCs w:val="20"/>
                <w:lang w:val="fr-CA"/>
              </w:rPr>
              <w:t>Gérald R. Tremblay</w:t>
            </w:r>
          </w:p>
          <w:p w:rsidR="00BF6563" w:rsidRPr="004D7551" w:rsidRDefault="00BF6563" w:rsidP="009013BB">
            <w:pPr>
              <w:keepNext/>
              <w:keepLines/>
              <w:tabs>
                <w:tab w:val="left" w:pos="-1440"/>
                <w:tab w:val="left" w:pos="-720"/>
              </w:tabs>
              <w:rPr>
                <w:sz w:val="20"/>
                <w:szCs w:val="20"/>
                <w:lang w:val="fr-CA"/>
              </w:rPr>
            </w:pPr>
            <w:r w:rsidRPr="004D7551">
              <w:rPr>
                <w:sz w:val="20"/>
                <w:szCs w:val="20"/>
                <w:lang w:val="fr-CA"/>
              </w:rPr>
              <w:tab/>
            </w:r>
            <w:r w:rsidR="004D7551" w:rsidRPr="004D7551">
              <w:rPr>
                <w:sz w:val="20"/>
                <w:szCs w:val="20"/>
                <w:lang w:val="fr-CA"/>
              </w:rPr>
              <w:t>McCarthy Tétrault, s.r.l.</w:t>
            </w:r>
          </w:p>
          <w:p w:rsidR="00BF6563" w:rsidRPr="004D7551" w:rsidRDefault="00BF6563" w:rsidP="009013BB">
            <w:pPr>
              <w:keepNext/>
              <w:keepLines/>
              <w:tabs>
                <w:tab w:val="left" w:pos="-1440"/>
                <w:tab w:val="left" w:pos="-720"/>
              </w:tabs>
              <w:rPr>
                <w:sz w:val="20"/>
                <w:szCs w:val="20"/>
                <w:lang w:val="fr-CA"/>
              </w:rPr>
            </w:pPr>
          </w:p>
          <w:p w:rsidR="00BF6563" w:rsidRPr="004D7551" w:rsidRDefault="00BF6563" w:rsidP="009013BB">
            <w:pPr>
              <w:keepNext/>
              <w:keepLines/>
              <w:tabs>
                <w:tab w:val="left" w:pos="-1440"/>
                <w:tab w:val="left" w:pos="-720"/>
              </w:tabs>
              <w:rPr>
                <w:sz w:val="20"/>
                <w:szCs w:val="20"/>
                <w:lang w:val="fr-CA"/>
              </w:rPr>
            </w:pPr>
            <w:r w:rsidRPr="004D7551">
              <w:rPr>
                <w:sz w:val="20"/>
                <w:szCs w:val="20"/>
                <w:lang w:val="fr-CA"/>
              </w:rPr>
              <w:tab/>
            </w:r>
            <w:r w:rsidR="004D7551">
              <w:rPr>
                <w:sz w:val="20"/>
                <w:szCs w:val="20"/>
                <w:lang w:val="fr-CA"/>
              </w:rPr>
              <w:t>c</w:t>
            </w:r>
            <w:r w:rsidRPr="004D7551">
              <w:rPr>
                <w:sz w:val="20"/>
                <w:szCs w:val="20"/>
                <w:lang w:val="fr-CA"/>
              </w:rPr>
              <w:t>. (33</w:t>
            </w:r>
            <w:r w:rsidR="004D7551" w:rsidRPr="004D7551">
              <w:rPr>
                <w:sz w:val="20"/>
                <w:szCs w:val="20"/>
                <w:lang w:val="fr-CA"/>
              </w:rPr>
              <w:t>973</w:t>
            </w:r>
            <w:r w:rsidRPr="004D7551">
              <w:rPr>
                <w:sz w:val="20"/>
                <w:szCs w:val="20"/>
                <w:lang w:val="fr-CA"/>
              </w:rPr>
              <w:t>)</w:t>
            </w:r>
          </w:p>
          <w:p w:rsidR="00BF6563" w:rsidRPr="004D7551" w:rsidRDefault="00BF6563" w:rsidP="009013BB">
            <w:pPr>
              <w:keepNext/>
              <w:keepLines/>
              <w:tabs>
                <w:tab w:val="left" w:pos="-1440"/>
                <w:tab w:val="left" w:pos="-720"/>
              </w:tabs>
              <w:rPr>
                <w:sz w:val="20"/>
                <w:szCs w:val="20"/>
                <w:lang w:val="fr-CA"/>
              </w:rPr>
            </w:pPr>
          </w:p>
          <w:p w:rsidR="00BF6563" w:rsidRPr="004D7551" w:rsidRDefault="004D7551" w:rsidP="009013BB">
            <w:pPr>
              <w:keepNext/>
              <w:keepLines/>
              <w:tabs>
                <w:tab w:val="left" w:pos="-1440"/>
                <w:tab w:val="left" w:pos="-720"/>
              </w:tabs>
              <w:rPr>
                <w:b/>
                <w:sz w:val="20"/>
                <w:szCs w:val="20"/>
                <w:lang w:val="fr-CA"/>
              </w:rPr>
            </w:pPr>
            <w:r w:rsidRPr="004D7551">
              <w:rPr>
                <w:b/>
                <w:sz w:val="20"/>
                <w:szCs w:val="20"/>
                <w:lang w:val="fr-CA"/>
              </w:rPr>
              <w:t xml:space="preserve">Conseil de la Magistrature du Québec </w:t>
            </w:r>
            <w:r w:rsidR="00BF6563" w:rsidRPr="004D7551">
              <w:rPr>
                <w:b/>
                <w:sz w:val="20"/>
                <w:szCs w:val="20"/>
                <w:lang w:val="fr-CA"/>
              </w:rPr>
              <w:t>(</w:t>
            </w:r>
            <w:r w:rsidRPr="004D7551">
              <w:rPr>
                <w:b/>
                <w:sz w:val="20"/>
                <w:szCs w:val="20"/>
                <w:lang w:val="fr-CA"/>
              </w:rPr>
              <w:t>Qc</w:t>
            </w:r>
            <w:r w:rsidR="00BF6563" w:rsidRPr="004D7551">
              <w:rPr>
                <w:b/>
                <w:sz w:val="20"/>
                <w:szCs w:val="20"/>
                <w:lang w:val="fr-CA"/>
              </w:rPr>
              <w:t>)</w:t>
            </w:r>
          </w:p>
          <w:p w:rsidR="00BF6563" w:rsidRPr="004D7551" w:rsidRDefault="00BF6563" w:rsidP="009013BB">
            <w:pPr>
              <w:keepNext/>
              <w:keepLines/>
              <w:tabs>
                <w:tab w:val="left" w:pos="-1440"/>
                <w:tab w:val="left" w:pos="-720"/>
              </w:tabs>
              <w:rPr>
                <w:sz w:val="20"/>
                <w:szCs w:val="20"/>
                <w:lang w:val="fr-CA"/>
              </w:rPr>
            </w:pPr>
            <w:r w:rsidRPr="004D7551">
              <w:rPr>
                <w:sz w:val="20"/>
                <w:szCs w:val="20"/>
                <w:lang w:val="fr-CA"/>
              </w:rPr>
              <w:tab/>
            </w:r>
            <w:r w:rsidR="004D7551">
              <w:rPr>
                <w:sz w:val="20"/>
                <w:szCs w:val="20"/>
                <w:lang w:val="fr-CA"/>
              </w:rPr>
              <w:t>Sylvain Lussier</w:t>
            </w:r>
          </w:p>
          <w:p w:rsidR="00BF6563" w:rsidRPr="004D7551" w:rsidRDefault="00BF6563" w:rsidP="009013BB">
            <w:pPr>
              <w:keepNext/>
              <w:keepLines/>
              <w:tabs>
                <w:tab w:val="left" w:pos="-1440"/>
                <w:tab w:val="left" w:pos="-720"/>
              </w:tabs>
              <w:rPr>
                <w:sz w:val="20"/>
                <w:szCs w:val="20"/>
                <w:lang w:val="fr-CA"/>
              </w:rPr>
            </w:pPr>
            <w:r w:rsidRPr="004D7551">
              <w:rPr>
                <w:sz w:val="20"/>
                <w:szCs w:val="20"/>
                <w:lang w:val="fr-CA"/>
              </w:rPr>
              <w:tab/>
            </w:r>
            <w:r w:rsidR="004D7551">
              <w:rPr>
                <w:sz w:val="20"/>
                <w:szCs w:val="20"/>
                <w:lang w:val="fr-CA"/>
              </w:rPr>
              <w:t>Olser Hoskin &amp; Harcourt, s.r.l.</w:t>
            </w:r>
          </w:p>
          <w:p w:rsidR="00BF6563" w:rsidRPr="004D7551" w:rsidRDefault="00BF6563" w:rsidP="009013BB">
            <w:pPr>
              <w:keepNext/>
              <w:keepLines/>
              <w:tabs>
                <w:tab w:val="left" w:pos="-1440"/>
                <w:tab w:val="left" w:pos="-720"/>
              </w:tabs>
              <w:rPr>
                <w:sz w:val="20"/>
                <w:szCs w:val="20"/>
                <w:lang w:val="fr-CA"/>
              </w:rPr>
            </w:pPr>
          </w:p>
          <w:p w:rsidR="004D7551" w:rsidRPr="00E74710" w:rsidRDefault="00BF6563" w:rsidP="009013BB">
            <w:pPr>
              <w:rPr>
                <w:sz w:val="20"/>
                <w:szCs w:val="20"/>
                <w:lang w:val="fr-CA"/>
              </w:rPr>
            </w:pPr>
            <w:r w:rsidRPr="00E74710">
              <w:rPr>
                <w:sz w:val="20"/>
                <w:szCs w:val="20"/>
                <w:lang w:val="fr-CA"/>
              </w:rPr>
              <w:t>DATE</w:t>
            </w:r>
            <w:r w:rsidR="004D7551" w:rsidRPr="00E74710">
              <w:rPr>
                <w:sz w:val="20"/>
                <w:szCs w:val="20"/>
                <w:lang w:val="fr-CA"/>
              </w:rPr>
              <w:t xml:space="preserve"> DE PRODUCTION </w:t>
            </w:r>
            <w:r w:rsidRPr="00E74710">
              <w:rPr>
                <w:sz w:val="20"/>
                <w:szCs w:val="20"/>
                <w:lang w:val="fr-CA"/>
              </w:rPr>
              <w:t>:</w:t>
            </w:r>
            <w:r w:rsidR="004D7551" w:rsidRPr="00E74710">
              <w:rPr>
                <w:sz w:val="20"/>
                <w:szCs w:val="20"/>
                <w:lang w:val="fr-CA"/>
              </w:rPr>
              <w:t xml:space="preserve"> 07.12.2010</w:t>
            </w:r>
          </w:p>
          <w:p w:rsidR="00BF6563" w:rsidRPr="004D7551" w:rsidRDefault="00532939" w:rsidP="009013BB">
            <w:pPr>
              <w:rPr>
                <w:sz w:val="20"/>
                <w:szCs w:val="20"/>
              </w:rPr>
            </w:pPr>
            <w:r w:rsidRPr="00532939">
              <w:rPr>
                <w:sz w:val="20"/>
                <w:szCs w:val="20"/>
                <w:lang w:val="fr-CA"/>
              </w:rPr>
              <w:pict>
                <v:rect id="_x0000_i1028"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BF6563">
          <w:headerReference w:type="default" r:id="rId14"/>
          <w:footerReference w:type="default" r:id="rId15"/>
          <w:headerReference w:type="first" r:id="rId16"/>
          <w:footerReference w:type="first" r:id="rId17"/>
          <w:pgSz w:w="12240" w:h="15840"/>
          <w:pgMar w:top="720" w:right="965" w:bottom="1080" w:left="1656" w:header="706" w:footer="706" w:gutter="0"/>
          <w:pgNumType w:start="1"/>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5436BB"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2E2327" w:rsidRPr="00C50A5C" w:rsidRDefault="005B3265" w:rsidP="002E2327">
      <w:pPr>
        <w:widowControl w:val="0"/>
        <w:rPr>
          <w:b/>
          <w:sz w:val="20"/>
          <w:szCs w:val="20"/>
        </w:rPr>
      </w:pPr>
      <w:r>
        <w:rPr>
          <w:b/>
          <w:sz w:val="20"/>
          <w:szCs w:val="20"/>
        </w:rPr>
        <w:t>DECEMBER 31</w:t>
      </w:r>
      <w:r w:rsidR="002E2327" w:rsidRPr="00C50A5C">
        <w:rPr>
          <w:b/>
          <w:sz w:val="20"/>
          <w:szCs w:val="20"/>
        </w:rPr>
        <w:t xml:space="preserve">, 2010 / LE </w:t>
      </w:r>
      <w:r>
        <w:rPr>
          <w:b/>
          <w:sz w:val="20"/>
          <w:szCs w:val="20"/>
        </w:rPr>
        <w:t>31</w:t>
      </w:r>
      <w:r w:rsidR="002E2327" w:rsidRPr="00C50A5C">
        <w:rPr>
          <w:b/>
          <w:sz w:val="20"/>
          <w:szCs w:val="20"/>
        </w:rPr>
        <w:t xml:space="preserve"> </w:t>
      </w:r>
      <w:r>
        <w:rPr>
          <w:b/>
          <w:sz w:val="20"/>
          <w:szCs w:val="20"/>
        </w:rPr>
        <w:t>DÉCEMBRE</w:t>
      </w:r>
      <w:r w:rsidR="002E2327" w:rsidRPr="00C50A5C">
        <w:rPr>
          <w:b/>
          <w:sz w:val="20"/>
          <w:szCs w:val="20"/>
        </w:rPr>
        <w:t xml:space="preserve"> 2010</w:t>
      </w:r>
    </w:p>
    <w:p w:rsidR="00C50A5C" w:rsidRPr="00C50A5C" w:rsidRDefault="00C50A5C" w:rsidP="002E2327">
      <w:pPr>
        <w:widowControl w:val="0"/>
        <w:rPr>
          <w:b/>
          <w:sz w:val="20"/>
          <w:szCs w:val="20"/>
        </w:rPr>
      </w:pPr>
    </w:p>
    <w:p w:rsidR="002E2327" w:rsidRPr="00C50A5C" w:rsidRDefault="002E2327" w:rsidP="002E2327">
      <w:pPr>
        <w:widowControl w:val="0"/>
        <w:jc w:val="center"/>
        <w:rPr>
          <w:b/>
          <w:sz w:val="20"/>
          <w:szCs w:val="20"/>
        </w:rPr>
      </w:pPr>
      <w:r w:rsidRPr="00C50A5C">
        <w:rPr>
          <w:b/>
          <w:sz w:val="20"/>
          <w:szCs w:val="20"/>
        </w:rPr>
        <w:t>CORAM:  Chief Justice McLachlin and Abella and Cromwell JJ.</w:t>
      </w:r>
    </w:p>
    <w:p w:rsidR="002E2327" w:rsidRPr="00C50A5C" w:rsidRDefault="002E2327" w:rsidP="002E2327">
      <w:pPr>
        <w:widowControl w:val="0"/>
        <w:jc w:val="center"/>
        <w:rPr>
          <w:sz w:val="20"/>
          <w:szCs w:val="20"/>
          <w:lang w:val="fr-CA"/>
        </w:rPr>
      </w:pPr>
      <w:r w:rsidRPr="00C50A5C">
        <w:rPr>
          <w:b/>
          <w:sz w:val="20"/>
          <w:szCs w:val="20"/>
          <w:lang w:val="fr-CA"/>
        </w:rPr>
        <w:t>La juge en chef McLachlin et les juges Abella et Cromwell</w:t>
      </w:r>
    </w:p>
    <w:p w:rsidR="002E2327" w:rsidRPr="00C50A5C" w:rsidRDefault="002E2327" w:rsidP="002E2327">
      <w:pPr>
        <w:widowControl w:val="0"/>
        <w:rPr>
          <w:sz w:val="20"/>
          <w:szCs w:val="20"/>
          <w:lang w:val="fr-CA"/>
        </w:rPr>
      </w:pPr>
    </w:p>
    <w:p w:rsidR="002E2327" w:rsidRPr="00C50A5C" w:rsidRDefault="009A2FC8" w:rsidP="00C50A5C">
      <w:pPr>
        <w:pStyle w:val="ListParagraph"/>
        <w:widowControl w:val="0"/>
        <w:numPr>
          <w:ilvl w:val="0"/>
          <w:numId w:val="1"/>
        </w:numPr>
        <w:ind w:hanging="720"/>
        <w:jc w:val="both"/>
        <w:rPr>
          <w:sz w:val="20"/>
          <w:szCs w:val="20"/>
        </w:rPr>
      </w:pPr>
      <w:r w:rsidRPr="009A2FC8">
        <w:rPr>
          <w:i/>
          <w:sz w:val="20"/>
          <w:szCs w:val="20"/>
        </w:rPr>
        <w:t xml:space="preserve">Adroit Resources Inc. (formerly known as Rock Resources Inc.) v. Her Majesty the Queen in Right of the Province of British Columbia </w:t>
      </w:r>
      <w:r w:rsidRPr="002364E1">
        <w:rPr>
          <w:sz w:val="20"/>
          <w:szCs w:val="20"/>
        </w:rPr>
        <w:t>(B.C.) (Civil) (By Leave)</w:t>
      </w:r>
      <w:r>
        <w:rPr>
          <w:sz w:val="20"/>
          <w:szCs w:val="20"/>
        </w:rPr>
        <w:t xml:space="preserve"> </w:t>
      </w:r>
      <w:r w:rsidR="002E2327" w:rsidRPr="00C50A5C">
        <w:rPr>
          <w:sz w:val="20"/>
          <w:szCs w:val="20"/>
        </w:rPr>
        <w:t>(33</w:t>
      </w:r>
      <w:r w:rsidR="002364E1">
        <w:rPr>
          <w:sz w:val="20"/>
          <w:szCs w:val="20"/>
        </w:rPr>
        <w:t>8</w:t>
      </w:r>
      <w:r w:rsidR="002E2327" w:rsidRPr="00C50A5C">
        <w:rPr>
          <w:sz w:val="20"/>
          <w:szCs w:val="20"/>
        </w:rPr>
        <w:t>5</w:t>
      </w:r>
      <w:r w:rsidR="002364E1">
        <w:rPr>
          <w:sz w:val="20"/>
          <w:szCs w:val="20"/>
        </w:rPr>
        <w:t>4</w:t>
      </w:r>
      <w:r w:rsidR="002E2327" w:rsidRPr="00C50A5C">
        <w:rPr>
          <w:sz w:val="20"/>
          <w:szCs w:val="20"/>
        </w:rPr>
        <w:t>)</w:t>
      </w:r>
    </w:p>
    <w:p w:rsidR="002E2327" w:rsidRPr="00C50A5C" w:rsidRDefault="002E2327" w:rsidP="00C50A5C">
      <w:pPr>
        <w:widowControl w:val="0"/>
        <w:jc w:val="both"/>
        <w:rPr>
          <w:sz w:val="20"/>
          <w:szCs w:val="20"/>
        </w:rPr>
      </w:pPr>
    </w:p>
    <w:p w:rsidR="002E2327" w:rsidRDefault="002364E1" w:rsidP="00C50A5C">
      <w:pPr>
        <w:pStyle w:val="ListParagraph"/>
        <w:widowControl w:val="0"/>
        <w:numPr>
          <w:ilvl w:val="0"/>
          <w:numId w:val="1"/>
        </w:numPr>
        <w:ind w:hanging="720"/>
        <w:jc w:val="both"/>
        <w:rPr>
          <w:sz w:val="20"/>
          <w:szCs w:val="20"/>
        </w:rPr>
      </w:pPr>
      <w:r w:rsidRPr="002364E1">
        <w:rPr>
          <w:i/>
          <w:sz w:val="20"/>
          <w:szCs w:val="20"/>
        </w:rPr>
        <w:t>Indotan Inc. v. Invincible Resources Corp.</w:t>
      </w:r>
      <w:r w:rsidRPr="002364E1">
        <w:rPr>
          <w:sz w:val="20"/>
          <w:szCs w:val="20"/>
        </w:rPr>
        <w:t xml:space="preserve"> (B.C.) (Civil) (By Leave)</w:t>
      </w:r>
      <w:r>
        <w:rPr>
          <w:sz w:val="20"/>
          <w:szCs w:val="20"/>
        </w:rPr>
        <w:t xml:space="preserve"> </w:t>
      </w:r>
      <w:r w:rsidR="002E2327" w:rsidRPr="00C50A5C">
        <w:rPr>
          <w:sz w:val="20"/>
          <w:szCs w:val="20"/>
        </w:rPr>
        <w:t>(33</w:t>
      </w:r>
      <w:r>
        <w:rPr>
          <w:sz w:val="20"/>
          <w:szCs w:val="20"/>
        </w:rPr>
        <w:t>856</w:t>
      </w:r>
      <w:r w:rsidR="002E2327" w:rsidRPr="00C50A5C">
        <w:rPr>
          <w:sz w:val="20"/>
          <w:szCs w:val="20"/>
        </w:rPr>
        <w:t>)</w:t>
      </w:r>
    </w:p>
    <w:p w:rsidR="009A2FC8" w:rsidRDefault="009A2FC8" w:rsidP="009A2FC8">
      <w:pPr>
        <w:widowControl w:val="0"/>
        <w:jc w:val="both"/>
        <w:rPr>
          <w:sz w:val="20"/>
          <w:szCs w:val="20"/>
        </w:rPr>
      </w:pPr>
    </w:p>
    <w:p w:rsidR="009A2FC8" w:rsidRDefault="009A2FC8" w:rsidP="009A2FC8">
      <w:pPr>
        <w:widowControl w:val="0"/>
        <w:jc w:val="both"/>
        <w:rPr>
          <w:sz w:val="20"/>
          <w:szCs w:val="20"/>
        </w:rPr>
      </w:pPr>
    </w:p>
    <w:p w:rsidR="009A2FC8" w:rsidRPr="00C50A5C" w:rsidRDefault="009A2FC8" w:rsidP="009A2FC8">
      <w:pPr>
        <w:widowControl w:val="0"/>
        <w:jc w:val="center"/>
        <w:rPr>
          <w:b/>
          <w:sz w:val="20"/>
          <w:szCs w:val="20"/>
        </w:rPr>
      </w:pPr>
      <w:r w:rsidRPr="00C50A5C">
        <w:rPr>
          <w:b/>
          <w:sz w:val="20"/>
          <w:szCs w:val="20"/>
        </w:rPr>
        <w:t>CORAM: Binnie, Fish and Rothstein JJ.</w:t>
      </w:r>
    </w:p>
    <w:p w:rsidR="009A2FC8" w:rsidRPr="00C50A5C" w:rsidRDefault="009A2FC8" w:rsidP="009A2FC8">
      <w:pPr>
        <w:widowControl w:val="0"/>
        <w:jc w:val="center"/>
        <w:rPr>
          <w:b/>
          <w:sz w:val="20"/>
          <w:szCs w:val="20"/>
          <w:lang w:val="fr-CA"/>
        </w:rPr>
      </w:pPr>
      <w:r w:rsidRPr="00C50A5C">
        <w:rPr>
          <w:b/>
          <w:sz w:val="20"/>
          <w:szCs w:val="20"/>
          <w:lang w:val="fr-CA"/>
        </w:rPr>
        <w:t>Les juges Binnie, Fish et Rothstein</w:t>
      </w:r>
    </w:p>
    <w:p w:rsidR="009A2FC8" w:rsidRPr="00C50A5C" w:rsidRDefault="009A2FC8" w:rsidP="009A2FC8">
      <w:pPr>
        <w:widowControl w:val="0"/>
        <w:rPr>
          <w:sz w:val="20"/>
          <w:szCs w:val="20"/>
          <w:lang w:val="fr-CA"/>
        </w:rPr>
      </w:pPr>
    </w:p>
    <w:p w:rsidR="009A2FC8" w:rsidRPr="00AA5734" w:rsidRDefault="009A2FC8" w:rsidP="009A2FC8">
      <w:pPr>
        <w:widowControl w:val="0"/>
        <w:jc w:val="both"/>
        <w:rPr>
          <w:sz w:val="20"/>
          <w:szCs w:val="20"/>
          <w:lang w:val="fr-CA"/>
        </w:rPr>
      </w:pPr>
    </w:p>
    <w:p w:rsidR="002E2327" w:rsidRPr="00C50A5C" w:rsidRDefault="009A2FC8" w:rsidP="00C50A5C">
      <w:pPr>
        <w:pStyle w:val="ListParagraph"/>
        <w:widowControl w:val="0"/>
        <w:numPr>
          <w:ilvl w:val="0"/>
          <w:numId w:val="1"/>
        </w:numPr>
        <w:ind w:hanging="720"/>
        <w:jc w:val="both"/>
        <w:rPr>
          <w:sz w:val="20"/>
          <w:szCs w:val="20"/>
        </w:rPr>
      </w:pPr>
      <w:r w:rsidRPr="009A2FC8">
        <w:rPr>
          <w:i/>
          <w:sz w:val="20"/>
          <w:szCs w:val="20"/>
        </w:rPr>
        <w:t>Margarita Stepanova v. Andrei Selivanov</w:t>
      </w:r>
      <w:r w:rsidRPr="002364E1">
        <w:rPr>
          <w:sz w:val="20"/>
          <w:szCs w:val="20"/>
        </w:rPr>
        <w:t xml:space="preserve"> (Ont.) (Civil) (By Leave)</w:t>
      </w:r>
      <w:r w:rsidRPr="00C50A5C">
        <w:rPr>
          <w:sz w:val="20"/>
          <w:szCs w:val="20"/>
        </w:rPr>
        <w:t xml:space="preserve"> </w:t>
      </w:r>
      <w:r w:rsidR="002E2327" w:rsidRPr="00C50A5C">
        <w:rPr>
          <w:sz w:val="20"/>
          <w:szCs w:val="20"/>
        </w:rPr>
        <w:t>(33</w:t>
      </w:r>
      <w:r>
        <w:rPr>
          <w:sz w:val="20"/>
          <w:szCs w:val="20"/>
        </w:rPr>
        <w:t>948</w:t>
      </w:r>
      <w:r w:rsidR="002E2327" w:rsidRPr="00C50A5C">
        <w:rPr>
          <w:sz w:val="20"/>
          <w:szCs w:val="20"/>
        </w:rPr>
        <w:t>)</w:t>
      </w:r>
    </w:p>
    <w:p w:rsidR="002E2327" w:rsidRPr="00C50A5C" w:rsidRDefault="002E2327" w:rsidP="002E2327">
      <w:pPr>
        <w:widowControl w:val="0"/>
        <w:rPr>
          <w:sz w:val="20"/>
          <w:szCs w:val="20"/>
        </w:rPr>
      </w:pPr>
    </w:p>
    <w:p w:rsidR="002E2327" w:rsidRPr="00386489" w:rsidRDefault="009A2FC8" w:rsidP="00C50A5C">
      <w:pPr>
        <w:pStyle w:val="ListParagraph"/>
        <w:widowControl w:val="0"/>
        <w:numPr>
          <w:ilvl w:val="0"/>
          <w:numId w:val="1"/>
        </w:numPr>
        <w:ind w:hanging="720"/>
        <w:jc w:val="both"/>
        <w:rPr>
          <w:sz w:val="20"/>
          <w:szCs w:val="20"/>
          <w:lang w:val="fr-CA"/>
        </w:rPr>
      </w:pPr>
      <w:r w:rsidRPr="009A2FC8">
        <w:rPr>
          <w:i/>
          <w:sz w:val="20"/>
          <w:szCs w:val="20"/>
          <w:lang w:val="fr-CA"/>
        </w:rPr>
        <w:t xml:space="preserve">Quizno's Canada Restaurant Corporation et al. </w:t>
      </w:r>
      <w:r w:rsidR="00386489">
        <w:rPr>
          <w:i/>
          <w:sz w:val="20"/>
          <w:szCs w:val="20"/>
          <w:lang w:val="fr-CA"/>
        </w:rPr>
        <w:t xml:space="preserve">v. </w:t>
      </w:r>
      <w:r w:rsidRPr="009A2FC8">
        <w:rPr>
          <w:i/>
          <w:sz w:val="20"/>
          <w:szCs w:val="20"/>
          <w:lang w:val="fr-CA"/>
        </w:rPr>
        <w:t>2038724 Ontario Ltd. et al.</w:t>
      </w:r>
      <w:r w:rsidRPr="009A2FC8">
        <w:rPr>
          <w:sz w:val="20"/>
          <w:szCs w:val="20"/>
          <w:lang w:val="fr-CA"/>
        </w:rPr>
        <w:t xml:space="preserve"> </w:t>
      </w:r>
      <w:r w:rsidRPr="00386489">
        <w:rPr>
          <w:sz w:val="20"/>
          <w:szCs w:val="20"/>
          <w:lang w:val="fr-CA"/>
        </w:rPr>
        <w:t>(Ont.) (Civil) (By Leave) (</w:t>
      </w:r>
      <w:r w:rsidR="002E2327" w:rsidRPr="00386489">
        <w:rPr>
          <w:sz w:val="20"/>
          <w:szCs w:val="20"/>
          <w:lang w:val="fr-CA"/>
        </w:rPr>
        <w:t>33</w:t>
      </w:r>
      <w:r w:rsidRPr="00386489">
        <w:rPr>
          <w:sz w:val="20"/>
          <w:szCs w:val="20"/>
          <w:lang w:val="fr-CA"/>
        </w:rPr>
        <w:t>865</w:t>
      </w:r>
      <w:r w:rsidR="002E2327" w:rsidRPr="00386489">
        <w:rPr>
          <w:sz w:val="20"/>
          <w:szCs w:val="20"/>
          <w:lang w:val="fr-CA"/>
        </w:rPr>
        <w:t>)</w:t>
      </w:r>
    </w:p>
    <w:p w:rsidR="009A2FC8" w:rsidRPr="00386489" w:rsidRDefault="009A2FC8" w:rsidP="009A2FC8">
      <w:pPr>
        <w:widowControl w:val="0"/>
        <w:jc w:val="both"/>
        <w:rPr>
          <w:sz w:val="20"/>
          <w:szCs w:val="20"/>
          <w:lang w:val="fr-CA"/>
        </w:rPr>
      </w:pPr>
    </w:p>
    <w:p w:rsidR="00386489" w:rsidRPr="00386489" w:rsidRDefault="00386489" w:rsidP="009A2FC8">
      <w:pPr>
        <w:widowControl w:val="0"/>
        <w:jc w:val="both"/>
        <w:rPr>
          <w:sz w:val="20"/>
          <w:szCs w:val="20"/>
          <w:lang w:val="fr-CA"/>
        </w:rPr>
      </w:pPr>
    </w:p>
    <w:p w:rsidR="009A2FC8" w:rsidRPr="00AA5734" w:rsidRDefault="009A2FC8" w:rsidP="009A2FC8">
      <w:pPr>
        <w:widowControl w:val="0"/>
        <w:jc w:val="center"/>
        <w:rPr>
          <w:b/>
          <w:sz w:val="20"/>
          <w:szCs w:val="20"/>
        </w:rPr>
      </w:pPr>
      <w:r w:rsidRPr="00AA5734">
        <w:rPr>
          <w:b/>
          <w:sz w:val="20"/>
          <w:szCs w:val="20"/>
        </w:rPr>
        <w:t>CORAM: LeBel, Deschamps and Charron JJ.</w:t>
      </w:r>
    </w:p>
    <w:p w:rsidR="009A2FC8" w:rsidRPr="00C50A5C" w:rsidRDefault="009A2FC8" w:rsidP="009A2FC8">
      <w:pPr>
        <w:widowControl w:val="0"/>
        <w:jc w:val="center"/>
        <w:rPr>
          <w:b/>
          <w:sz w:val="20"/>
          <w:szCs w:val="20"/>
          <w:lang w:val="fr-CA"/>
        </w:rPr>
      </w:pPr>
      <w:r w:rsidRPr="00C50A5C">
        <w:rPr>
          <w:b/>
          <w:sz w:val="20"/>
          <w:szCs w:val="20"/>
          <w:lang w:val="fr-CA"/>
        </w:rPr>
        <w:t>Les juges LeBel, Deschamps et Charron</w:t>
      </w:r>
    </w:p>
    <w:p w:rsidR="009A2FC8" w:rsidRPr="009A2FC8" w:rsidRDefault="009A2FC8" w:rsidP="009A2FC8">
      <w:pPr>
        <w:widowControl w:val="0"/>
        <w:jc w:val="both"/>
        <w:rPr>
          <w:sz w:val="20"/>
          <w:szCs w:val="20"/>
          <w:lang w:val="fr-CA"/>
        </w:rPr>
      </w:pPr>
    </w:p>
    <w:p w:rsidR="002E2327" w:rsidRPr="009A2FC8" w:rsidRDefault="009A2FC8" w:rsidP="00C50A5C">
      <w:pPr>
        <w:pStyle w:val="ListParagraph"/>
        <w:widowControl w:val="0"/>
        <w:numPr>
          <w:ilvl w:val="0"/>
          <w:numId w:val="1"/>
        </w:numPr>
        <w:ind w:hanging="720"/>
        <w:jc w:val="both"/>
        <w:rPr>
          <w:sz w:val="20"/>
          <w:szCs w:val="20"/>
          <w:lang w:val="fr-CA"/>
        </w:rPr>
      </w:pPr>
      <w:r w:rsidRPr="00386489">
        <w:rPr>
          <w:i/>
          <w:sz w:val="20"/>
          <w:szCs w:val="20"/>
          <w:lang w:val="fr-CA"/>
        </w:rPr>
        <w:t xml:space="preserve">Sa Majesté la Reine </w:t>
      </w:r>
      <w:r w:rsidR="00386489" w:rsidRPr="00386489">
        <w:rPr>
          <w:i/>
          <w:sz w:val="20"/>
          <w:szCs w:val="20"/>
          <w:lang w:val="fr-CA"/>
        </w:rPr>
        <w:t>c. Omar Riahi</w:t>
      </w:r>
      <w:r w:rsidR="00386489" w:rsidRPr="002364E1">
        <w:rPr>
          <w:sz w:val="20"/>
          <w:szCs w:val="20"/>
          <w:lang w:val="fr-CA"/>
        </w:rPr>
        <w:t xml:space="preserve"> </w:t>
      </w:r>
      <w:r w:rsidRPr="002364E1">
        <w:rPr>
          <w:sz w:val="20"/>
          <w:szCs w:val="20"/>
          <w:lang w:val="fr-CA"/>
        </w:rPr>
        <w:t>(Qc) (Crim</w:t>
      </w:r>
      <w:r w:rsidR="00F93DFE">
        <w:rPr>
          <w:sz w:val="20"/>
          <w:szCs w:val="20"/>
          <w:lang w:val="fr-CA"/>
        </w:rPr>
        <w:t>.</w:t>
      </w:r>
      <w:r w:rsidRPr="002364E1">
        <w:rPr>
          <w:sz w:val="20"/>
          <w:szCs w:val="20"/>
          <w:lang w:val="fr-CA"/>
        </w:rPr>
        <w:t>) (Autorisation)</w:t>
      </w:r>
      <w:r w:rsidRPr="009A2FC8">
        <w:rPr>
          <w:sz w:val="20"/>
          <w:szCs w:val="20"/>
          <w:lang w:val="fr-CA"/>
        </w:rPr>
        <w:t xml:space="preserve"> </w:t>
      </w:r>
      <w:r w:rsidR="002E2327" w:rsidRPr="009A2FC8">
        <w:rPr>
          <w:sz w:val="20"/>
          <w:szCs w:val="20"/>
          <w:lang w:val="fr-CA"/>
        </w:rPr>
        <w:t>(33</w:t>
      </w:r>
      <w:r w:rsidRPr="009A2FC8">
        <w:rPr>
          <w:sz w:val="20"/>
          <w:szCs w:val="20"/>
          <w:lang w:val="fr-CA"/>
        </w:rPr>
        <w:t>897</w:t>
      </w:r>
      <w:r w:rsidR="002E2327" w:rsidRPr="009A2FC8">
        <w:rPr>
          <w:sz w:val="20"/>
          <w:szCs w:val="20"/>
          <w:lang w:val="fr-CA"/>
        </w:rPr>
        <w:t>)</w:t>
      </w:r>
    </w:p>
    <w:p w:rsidR="002E2327" w:rsidRPr="00C50A5C" w:rsidRDefault="002E2327" w:rsidP="002E2327">
      <w:pPr>
        <w:widowControl w:val="0"/>
        <w:rPr>
          <w:sz w:val="20"/>
          <w:szCs w:val="20"/>
          <w:lang w:val="fr-CA"/>
        </w:rPr>
      </w:pPr>
    </w:p>
    <w:p w:rsidR="002E2327" w:rsidRPr="00C50A5C" w:rsidRDefault="00386489" w:rsidP="00C50A5C">
      <w:pPr>
        <w:pStyle w:val="ListParagraph"/>
        <w:widowControl w:val="0"/>
        <w:numPr>
          <w:ilvl w:val="0"/>
          <w:numId w:val="1"/>
        </w:numPr>
        <w:ind w:hanging="720"/>
        <w:jc w:val="both"/>
        <w:rPr>
          <w:sz w:val="20"/>
          <w:szCs w:val="20"/>
          <w:lang w:val="fr-CA"/>
        </w:rPr>
      </w:pPr>
      <w:r w:rsidRPr="00386489">
        <w:rPr>
          <w:i/>
          <w:sz w:val="20"/>
          <w:szCs w:val="20"/>
          <w:lang w:val="fr-CA"/>
        </w:rPr>
        <w:t>Christian Larocque et autre</w:t>
      </w:r>
      <w:r>
        <w:rPr>
          <w:i/>
          <w:sz w:val="20"/>
          <w:szCs w:val="20"/>
          <w:lang w:val="fr-CA"/>
        </w:rPr>
        <w:t>s</w:t>
      </w:r>
      <w:r w:rsidRPr="00386489">
        <w:rPr>
          <w:i/>
          <w:sz w:val="20"/>
          <w:szCs w:val="20"/>
          <w:lang w:val="fr-CA"/>
        </w:rPr>
        <w:t xml:space="preserve"> c. Directeur général des élections et autre</w:t>
      </w:r>
      <w:r>
        <w:rPr>
          <w:i/>
          <w:sz w:val="20"/>
          <w:szCs w:val="20"/>
          <w:lang w:val="fr-CA"/>
        </w:rPr>
        <w:t>s</w:t>
      </w:r>
      <w:r w:rsidRPr="00C50A5C">
        <w:rPr>
          <w:sz w:val="20"/>
          <w:szCs w:val="20"/>
          <w:lang w:val="fr-CA"/>
        </w:rPr>
        <w:t xml:space="preserve"> </w:t>
      </w:r>
      <w:r w:rsidRPr="002364E1">
        <w:rPr>
          <w:sz w:val="20"/>
          <w:szCs w:val="20"/>
          <w:lang w:val="fr-CA"/>
        </w:rPr>
        <w:t>(Qc) (Civile) (Autorisation)</w:t>
      </w:r>
      <w:r>
        <w:rPr>
          <w:sz w:val="20"/>
          <w:szCs w:val="20"/>
          <w:lang w:val="fr-CA"/>
        </w:rPr>
        <w:t xml:space="preserve"> </w:t>
      </w:r>
      <w:r w:rsidR="002E2327" w:rsidRPr="00C50A5C">
        <w:rPr>
          <w:sz w:val="20"/>
          <w:szCs w:val="20"/>
          <w:lang w:val="fr-CA"/>
        </w:rPr>
        <w:t>(33</w:t>
      </w:r>
      <w:r>
        <w:rPr>
          <w:sz w:val="20"/>
          <w:szCs w:val="20"/>
          <w:lang w:val="fr-CA"/>
        </w:rPr>
        <w:t>828</w:t>
      </w:r>
      <w:r w:rsidR="002E2327" w:rsidRPr="00C50A5C">
        <w:rPr>
          <w:sz w:val="20"/>
          <w:szCs w:val="20"/>
          <w:lang w:val="fr-CA"/>
        </w:rPr>
        <w:t>)</w:t>
      </w:r>
    </w:p>
    <w:p w:rsidR="002E2327" w:rsidRPr="00C50A5C" w:rsidRDefault="002E2327" w:rsidP="002E2327">
      <w:pPr>
        <w:widowControl w:val="0"/>
        <w:rPr>
          <w:sz w:val="20"/>
          <w:szCs w:val="20"/>
          <w:lang w:val="fr-CA"/>
        </w:rPr>
      </w:pPr>
    </w:p>
    <w:p w:rsidR="002E2327" w:rsidRDefault="00532939" w:rsidP="002E2327">
      <w:pPr>
        <w:widowControl w:val="0"/>
        <w:rPr>
          <w:sz w:val="20"/>
          <w:szCs w:val="20"/>
        </w:rPr>
      </w:pPr>
      <w:r w:rsidRPr="00532939">
        <w:rPr>
          <w:sz w:val="20"/>
          <w:szCs w:val="20"/>
        </w:rPr>
        <w:pict>
          <v:rect id="_x0000_i1031" style="width:2in;height:1pt" o:hrpct="0" o:hralign="center" o:hrstd="t" o:hrnoshade="t" o:hr="t" fillcolor="black [3213]" stroked="f"/>
        </w:pict>
      </w:r>
    </w:p>
    <w:p w:rsidR="002364E1" w:rsidRDefault="002364E1" w:rsidP="002E2327">
      <w:pPr>
        <w:widowControl w:val="0"/>
        <w:rPr>
          <w:sz w:val="20"/>
          <w:szCs w:val="20"/>
        </w:rPr>
      </w:pPr>
    </w:p>
    <w:p w:rsidR="002364E1" w:rsidRPr="002364E1" w:rsidRDefault="002364E1" w:rsidP="002E2327">
      <w:pPr>
        <w:widowControl w:val="0"/>
        <w:rPr>
          <w:sz w:val="20"/>
          <w:szCs w:val="20"/>
          <w:lang w:val="fr-CA"/>
        </w:rPr>
      </w:pPr>
    </w:p>
    <w:p w:rsidR="002364E1" w:rsidRPr="002364E1" w:rsidRDefault="002364E1" w:rsidP="002E2327">
      <w:pPr>
        <w:widowControl w:val="0"/>
        <w:rPr>
          <w:sz w:val="20"/>
          <w:szCs w:val="20"/>
          <w:lang w:val="fr-CA"/>
        </w:rPr>
      </w:pPr>
    </w:p>
    <w:p w:rsidR="002364E1" w:rsidRPr="002364E1" w:rsidRDefault="002364E1" w:rsidP="002E2327">
      <w:pPr>
        <w:widowControl w:val="0"/>
        <w:rPr>
          <w:sz w:val="20"/>
          <w:szCs w:val="20"/>
          <w:lang w:val="fr-CA"/>
        </w:rPr>
      </w:pPr>
    </w:p>
    <w:p w:rsidR="0044776A" w:rsidRPr="002364E1" w:rsidRDefault="0044776A" w:rsidP="002E2327">
      <w:pPr>
        <w:widowControl w:val="0"/>
        <w:spacing w:line="0" w:lineRule="atLeast"/>
        <w:rPr>
          <w:sz w:val="20"/>
          <w:szCs w:val="20"/>
          <w:lang w:val="fr-CA"/>
        </w:rPr>
        <w:sectPr w:rsidR="0044776A" w:rsidRPr="002364E1" w:rsidSect="0044776A">
          <w:headerReference w:type="default" r:id="rId18"/>
          <w:footerReference w:type="default" r:id="rId19"/>
          <w:headerReference w:type="first" r:id="rId20"/>
          <w:footerReference w:type="first" r:id="rId21"/>
          <w:pgSz w:w="12240" w:h="15840"/>
          <w:pgMar w:top="720" w:right="965" w:bottom="1080" w:left="1656" w:header="706" w:footer="706" w:gutter="0"/>
          <w:cols w:space="708"/>
          <w:titlePg/>
          <w:docGrid w:linePitch="360"/>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5436BB" w:rsidTr="00EB2B90">
        <w:tc>
          <w:tcPr>
            <w:tcW w:w="4200" w:type="dxa"/>
            <w:shd w:val="clear" w:color="auto" w:fill="auto"/>
            <w:tcMar>
              <w:left w:w="0" w:type="dxa"/>
              <w:right w:w="0" w:type="dxa"/>
            </w:tcMar>
          </w:tcPr>
          <w:p w:rsidR="00F40249" w:rsidRPr="002D72EB" w:rsidRDefault="00F40249" w:rsidP="00EB2B90">
            <w:pPr>
              <w:rPr>
                <w:b/>
                <w:szCs w:val="24"/>
              </w:rPr>
            </w:pPr>
            <w:bookmarkStart w:id="0" w:name="QuickMark_1"/>
            <w:bookmarkEnd w:id="0"/>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CC21C5" w:rsidP="003B3977">
            <w:pPr>
              <w:rPr>
                <w:sz w:val="20"/>
                <w:szCs w:val="20"/>
              </w:rPr>
            </w:pPr>
            <w:r>
              <w:rPr>
                <w:sz w:val="20"/>
                <w:szCs w:val="20"/>
              </w:rPr>
              <w:t>22</w:t>
            </w:r>
            <w:r w:rsidR="0010587F" w:rsidRPr="003B3977">
              <w:rPr>
                <w:sz w:val="20"/>
                <w:szCs w:val="20"/>
              </w:rPr>
              <w:t>.1</w:t>
            </w:r>
            <w:r>
              <w:rPr>
                <w:sz w:val="20"/>
                <w:szCs w:val="20"/>
              </w:rPr>
              <w:t>2</w:t>
            </w:r>
            <w:r w:rsidR="0010587F" w:rsidRPr="003B3977">
              <w:rPr>
                <w:sz w:val="20"/>
                <w:szCs w:val="20"/>
              </w:rPr>
              <w:t>.2010</w:t>
            </w:r>
          </w:p>
          <w:p w:rsidR="0010587F" w:rsidRPr="003B3977" w:rsidRDefault="0010587F" w:rsidP="003B3977">
            <w:pPr>
              <w:rPr>
                <w:sz w:val="20"/>
                <w:szCs w:val="20"/>
              </w:rPr>
            </w:pPr>
          </w:p>
          <w:p w:rsidR="0010587F" w:rsidRPr="003B3977" w:rsidRDefault="00CC21C5" w:rsidP="003B3977">
            <w:pPr>
              <w:rPr>
                <w:b/>
                <w:sz w:val="20"/>
                <w:szCs w:val="20"/>
              </w:rPr>
            </w:pPr>
            <w:r>
              <w:rPr>
                <w:b/>
                <w:sz w:val="20"/>
                <w:szCs w:val="20"/>
              </w:rPr>
              <w:t xml:space="preserve">Richard C. Breeden et al. </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(339</w:t>
            </w:r>
            <w:r w:rsidR="00CC21C5">
              <w:rPr>
                <w:b/>
                <w:sz w:val="20"/>
                <w:szCs w:val="20"/>
              </w:rPr>
              <w:t>00</w:t>
            </w:r>
            <w:r w:rsidRPr="003B3977">
              <w:rPr>
                <w:b/>
                <w:sz w:val="20"/>
                <w:szCs w:val="20"/>
              </w:rPr>
              <w:t>)</w:t>
            </w:r>
          </w:p>
          <w:p w:rsidR="0010587F" w:rsidRPr="003B3977" w:rsidRDefault="0010587F" w:rsidP="003B3977">
            <w:pPr>
              <w:rPr>
                <w:b/>
                <w:sz w:val="20"/>
                <w:szCs w:val="20"/>
              </w:rPr>
            </w:pPr>
          </w:p>
          <w:p w:rsidR="0010587F" w:rsidRPr="003B3977" w:rsidRDefault="00CC21C5" w:rsidP="003B3977">
            <w:pPr>
              <w:rPr>
                <w:b/>
                <w:sz w:val="20"/>
                <w:szCs w:val="20"/>
              </w:rPr>
            </w:pPr>
            <w:r>
              <w:rPr>
                <w:b/>
                <w:sz w:val="20"/>
                <w:szCs w:val="20"/>
              </w:rPr>
              <w:t>Conrad Bl</w:t>
            </w:r>
            <w:r w:rsidR="0010587F" w:rsidRPr="003B3977">
              <w:rPr>
                <w:b/>
                <w:sz w:val="20"/>
                <w:szCs w:val="20"/>
              </w:rPr>
              <w:t>a</w:t>
            </w:r>
            <w:r>
              <w:rPr>
                <w:b/>
                <w:sz w:val="20"/>
                <w:szCs w:val="20"/>
              </w:rPr>
              <w:t>ck</w:t>
            </w:r>
            <w:r w:rsidR="0010587F" w:rsidRPr="003B3977">
              <w:rPr>
                <w:b/>
                <w:sz w:val="20"/>
                <w:szCs w:val="20"/>
              </w:rPr>
              <w:t xml:space="preserve"> (</w:t>
            </w:r>
            <w:r>
              <w:rPr>
                <w:b/>
                <w:sz w:val="20"/>
                <w:szCs w:val="20"/>
              </w:rPr>
              <w:t>On</w:t>
            </w:r>
            <w:r w:rsidR="0010587F" w:rsidRPr="003B3977">
              <w:rPr>
                <w:b/>
                <w:sz w:val="20"/>
                <w:szCs w:val="20"/>
              </w:rPr>
              <w:t>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CC21C5">
              <w:rPr>
                <w:sz w:val="20"/>
                <w:szCs w:val="20"/>
              </w:rPr>
              <w:t>By Leave</w:t>
            </w:r>
            <w:r w:rsidRPr="003B3977">
              <w:rPr>
                <w:sz w:val="20"/>
                <w:szCs w:val="20"/>
              </w:rPr>
              <w:t>)</w:t>
            </w:r>
          </w:p>
          <w:p w:rsidR="0010587F" w:rsidRPr="003B3977" w:rsidRDefault="0010587F" w:rsidP="003B3977">
            <w:pPr>
              <w:rPr>
                <w:sz w:val="20"/>
                <w:szCs w:val="20"/>
              </w:rPr>
            </w:pPr>
          </w:p>
          <w:p w:rsidR="0010587F" w:rsidRPr="00CC21C5" w:rsidRDefault="00532939" w:rsidP="003B3977">
            <w:pPr>
              <w:rPr>
                <w:sz w:val="20"/>
                <w:szCs w:val="20"/>
              </w:rPr>
            </w:pPr>
            <w:r w:rsidRPr="00532939">
              <w:rPr>
                <w:sz w:val="20"/>
                <w:szCs w:val="20"/>
                <w:lang w:val="fr-CA"/>
              </w:rPr>
              <w:pict>
                <v:rect id="_x0000_i1034"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22"/>
          <w:headerReference w:type="default" r:id="rId23"/>
          <w:footerReference w:type="even" r:id="rId24"/>
          <w:footerReference w:type="default" r:id="rId25"/>
          <w:headerReference w:type="first" r:id="rId26"/>
          <w:footerReference w:type="first" r:id="rId27"/>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tblPr>
      <w:tblGrid>
        <w:gridCol w:w="4230"/>
        <w:gridCol w:w="1080"/>
        <w:gridCol w:w="4410"/>
      </w:tblGrid>
      <w:tr w:rsidR="00802863" w:rsidRPr="005436BB"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080"/>
        <w:gridCol w:w="4417"/>
      </w:tblGrid>
      <w:tr w:rsidR="00802863" w:rsidRPr="00C50A5C" w:rsidTr="00C1697B">
        <w:trPr>
          <w:cantSplit/>
        </w:trPr>
        <w:tc>
          <w:tcPr>
            <w:tcW w:w="4338" w:type="dxa"/>
            <w:shd w:val="clear" w:color="auto" w:fill="auto"/>
          </w:tcPr>
          <w:p w:rsidR="00C1697B" w:rsidRPr="00C50A5C" w:rsidRDefault="0045527C" w:rsidP="00C1697B">
            <w:pPr>
              <w:rPr>
                <w:sz w:val="20"/>
                <w:szCs w:val="20"/>
              </w:rPr>
            </w:pPr>
            <w:r>
              <w:rPr>
                <w:sz w:val="20"/>
                <w:szCs w:val="20"/>
              </w:rPr>
              <w:t>2</w:t>
            </w:r>
            <w:r w:rsidR="00C1697B" w:rsidRPr="00C50A5C">
              <w:rPr>
                <w:sz w:val="20"/>
                <w:szCs w:val="20"/>
              </w:rPr>
              <w:t>1.</w:t>
            </w:r>
            <w:r>
              <w:rPr>
                <w:sz w:val="20"/>
                <w:szCs w:val="20"/>
              </w:rPr>
              <w:t>12</w:t>
            </w:r>
            <w:r w:rsidR="00C1697B" w:rsidRPr="00C50A5C">
              <w:rPr>
                <w:sz w:val="20"/>
                <w:szCs w:val="20"/>
              </w:rPr>
              <w:t>.2010</w:t>
            </w:r>
          </w:p>
          <w:p w:rsidR="00C1697B" w:rsidRPr="00C50A5C" w:rsidRDefault="00C1697B" w:rsidP="00C1697B">
            <w:pPr>
              <w:rPr>
                <w:sz w:val="20"/>
                <w:szCs w:val="20"/>
              </w:rPr>
            </w:pPr>
          </w:p>
          <w:p w:rsidR="00C1697B" w:rsidRPr="00C1697B" w:rsidRDefault="0045527C" w:rsidP="00C1697B">
            <w:pPr>
              <w:rPr>
                <w:b/>
                <w:sz w:val="20"/>
                <w:szCs w:val="20"/>
              </w:rPr>
            </w:pPr>
            <w:r>
              <w:rPr>
                <w:b/>
                <w:sz w:val="20"/>
                <w:szCs w:val="20"/>
              </w:rPr>
              <w:t>Her Majesty the Queen</w:t>
            </w:r>
          </w:p>
          <w:p w:rsidR="00C1697B" w:rsidRPr="00C1697B" w:rsidRDefault="00C1697B" w:rsidP="00C1697B">
            <w:pPr>
              <w:rPr>
                <w:b/>
                <w:sz w:val="20"/>
                <w:szCs w:val="20"/>
              </w:rPr>
            </w:pPr>
          </w:p>
          <w:p w:rsidR="00C1697B" w:rsidRPr="00C1697B" w:rsidRDefault="00C1697B" w:rsidP="00C1697B">
            <w:pPr>
              <w:rPr>
                <w:b/>
                <w:sz w:val="20"/>
                <w:szCs w:val="20"/>
              </w:rPr>
            </w:pPr>
            <w:r w:rsidRPr="00C1697B">
              <w:rPr>
                <w:b/>
                <w:sz w:val="20"/>
                <w:szCs w:val="20"/>
              </w:rPr>
              <w:tab/>
              <w:t>v. (339</w:t>
            </w:r>
            <w:r w:rsidR="00910089">
              <w:rPr>
                <w:b/>
                <w:sz w:val="20"/>
                <w:szCs w:val="20"/>
              </w:rPr>
              <w:t>25</w:t>
            </w:r>
            <w:r w:rsidRPr="00C1697B">
              <w:rPr>
                <w:b/>
                <w:sz w:val="20"/>
                <w:szCs w:val="20"/>
              </w:rPr>
              <w:t>)</w:t>
            </w:r>
          </w:p>
          <w:p w:rsidR="00C1697B" w:rsidRPr="00C1697B" w:rsidRDefault="00C1697B" w:rsidP="00C1697B">
            <w:pPr>
              <w:rPr>
                <w:b/>
                <w:sz w:val="20"/>
                <w:szCs w:val="20"/>
              </w:rPr>
            </w:pPr>
          </w:p>
          <w:p w:rsidR="00C1697B" w:rsidRPr="00C1697B" w:rsidRDefault="0045527C" w:rsidP="00C1697B">
            <w:pPr>
              <w:rPr>
                <w:b/>
                <w:sz w:val="20"/>
                <w:szCs w:val="20"/>
              </w:rPr>
            </w:pPr>
            <w:r>
              <w:rPr>
                <w:b/>
                <w:sz w:val="20"/>
                <w:szCs w:val="20"/>
              </w:rPr>
              <w:t xml:space="preserve">Steve Lanteigne </w:t>
            </w:r>
            <w:r w:rsidR="00C1697B" w:rsidRPr="00C1697B">
              <w:rPr>
                <w:b/>
                <w:sz w:val="20"/>
                <w:szCs w:val="20"/>
              </w:rPr>
              <w:t>(</w:t>
            </w:r>
            <w:r>
              <w:rPr>
                <w:b/>
                <w:sz w:val="20"/>
                <w:szCs w:val="20"/>
              </w:rPr>
              <w:t>N.B.</w:t>
            </w:r>
            <w:r w:rsidR="00C1697B" w:rsidRPr="00C1697B">
              <w:rPr>
                <w:b/>
                <w:sz w:val="20"/>
                <w:szCs w:val="20"/>
              </w:rPr>
              <w:t xml:space="preserve">)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(By Leave)</w:t>
            </w:r>
          </w:p>
          <w:p w:rsidR="00802863" w:rsidRPr="00C50A5C" w:rsidRDefault="00802863" w:rsidP="00697C62">
            <w:pPr>
              <w:rPr>
                <w:sz w:val="20"/>
                <w:szCs w:val="20"/>
              </w:rPr>
            </w:pPr>
          </w:p>
          <w:p w:rsidR="00802863" w:rsidRPr="00C50A5C" w:rsidRDefault="00532939" w:rsidP="00697C62">
            <w:pPr>
              <w:rPr>
                <w:sz w:val="20"/>
                <w:szCs w:val="20"/>
                <w:lang w:val="fr-CA"/>
              </w:rPr>
            </w:pPr>
            <w:r w:rsidRPr="00532939">
              <w:rPr>
                <w:sz w:val="20"/>
                <w:szCs w:val="20"/>
                <w:lang w:val="fr-CA"/>
              </w:rPr>
              <w:pict>
                <v:rect id="_x0000_i1037" style="width:108pt;height:1pt" o:hrpct="0" o:hralign="center" o:hrstd="t" o:hrnoshade="t" o:hr="t" fillcolor="black [3213]" stroked="f"/>
              </w:pict>
            </w:r>
          </w:p>
        </w:tc>
        <w:tc>
          <w:tcPr>
            <w:tcW w:w="1080" w:type="dxa"/>
            <w:shd w:val="clear" w:color="auto" w:fill="auto"/>
          </w:tcPr>
          <w:p w:rsidR="00802863" w:rsidRDefault="00802863"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Pr="00C50A5C" w:rsidRDefault="003B3977" w:rsidP="00802863">
            <w:pPr>
              <w:jc w:val="center"/>
              <w:rPr>
                <w:sz w:val="20"/>
                <w:szCs w:val="20"/>
                <w:lang w:val="fr-CA"/>
              </w:rPr>
            </w:pPr>
          </w:p>
        </w:tc>
        <w:tc>
          <w:tcPr>
            <w:tcW w:w="4417" w:type="dxa"/>
            <w:shd w:val="clear" w:color="auto" w:fill="auto"/>
          </w:tcPr>
          <w:p w:rsidR="00C1697B" w:rsidRPr="00C50A5C" w:rsidRDefault="0045527C" w:rsidP="00C1697B">
            <w:pPr>
              <w:rPr>
                <w:sz w:val="20"/>
                <w:szCs w:val="20"/>
              </w:rPr>
            </w:pPr>
            <w:r>
              <w:rPr>
                <w:sz w:val="20"/>
                <w:szCs w:val="20"/>
              </w:rPr>
              <w:t>22</w:t>
            </w:r>
            <w:r w:rsidR="00C1697B" w:rsidRPr="00C50A5C">
              <w:rPr>
                <w:sz w:val="20"/>
                <w:szCs w:val="20"/>
              </w:rPr>
              <w:t>.</w:t>
            </w:r>
            <w:r>
              <w:rPr>
                <w:sz w:val="20"/>
                <w:szCs w:val="20"/>
              </w:rPr>
              <w:t>12</w:t>
            </w:r>
            <w:r w:rsidR="00C1697B" w:rsidRPr="00C50A5C">
              <w:rPr>
                <w:sz w:val="20"/>
                <w:szCs w:val="20"/>
              </w:rPr>
              <w:t>.2010</w:t>
            </w:r>
          </w:p>
          <w:p w:rsidR="00C1697B" w:rsidRPr="00C50A5C" w:rsidRDefault="00C1697B" w:rsidP="00C1697B">
            <w:pPr>
              <w:rPr>
                <w:sz w:val="20"/>
                <w:szCs w:val="20"/>
              </w:rPr>
            </w:pPr>
          </w:p>
          <w:p w:rsidR="00C1697B" w:rsidRPr="00C1697B" w:rsidRDefault="0045527C" w:rsidP="00C1697B">
            <w:pPr>
              <w:rPr>
                <w:b/>
                <w:sz w:val="20"/>
                <w:szCs w:val="20"/>
              </w:rPr>
            </w:pPr>
            <w:r>
              <w:rPr>
                <w:b/>
                <w:sz w:val="20"/>
                <w:szCs w:val="20"/>
              </w:rPr>
              <w:t>Corporation of the City of Burlington</w:t>
            </w:r>
          </w:p>
          <w:p w:rsidR="00C1697B" w:rsidRPr="00C1697B" w:rsidRDefault="00C1697B" w:rsidP="00C1697B">
            <w:pPr>
              <w:rPr>
                <w:b/>
                <w:sz w:val="20"/>
                <w:szCs w:val="20"/>
              </w:rPr>
            </w:pPr>
          </w:p>
          <w:p w:rsidR="00C1697B" w:rsidRPr="00E74710" w:rsidRDefault="00C1697B" w:rsidP="00C1697B">
            <w:pPr>
              <w:rPr>
                <w:b/>
                <w:sz w:val="20"/>
                <w:szCs w:val="20"/>
                <w:lang w:val="fr-CA"/>
              </w:rPr>
            </w:pPr>
            <w:r w:rsidRPr="00C1697B">
              <w:rPr>
                <w:b/>
                <w:sz w:val="20"/>
                <w:szCs w:val="20"/>
              </w:rPr>
              <w:tab/>
            </w:r>
            <w:r w:rsidRPr="00E74710">
              <w:rPr>
                <w:b/>
                <w:sz w:val="20"/>
                <w:szCs w:val="20"/>
                <w:lang w:val="fr-CA"/>
              </w:rPr>
              <w:t>v. (33</w:t>
            </w:r>
            <w:r w:rsidR="0045527C" w:rsidRPr="00E74710">
              <w:rPr>
                <w:b/>
                <w:sz w:val="20"/>
                <w:szCs w:val="20"/>
                <w:lang w:val="fr-CA"/>
              </w:rPr>
              <w:t>827</w:t>
            </w:r>
            <w:r w:rsidRPr="00E74710">
              <w:rPr>
                <w:b/>
                <w:sz w:val="20"/>
                <w:szCs w:val="20"/>
                <w:lang w:val="fr-CA"/>
              </w:rPr>
              <w:t>)</w:t>
            </w:r>
          </w:p>
          <w:p w:rsidR="00C1697B" w:rsidRPr="00E74710" w:rsidRDefault="00C1697B" w:rsidP="00C1697B">
            <w:pPr>
              <w:rPr>
                <w:b/>
                <w:sz w:val="20"/>
                <w:szCs w:val="20"/>
                <w:lang w:val="fr-CA"/>
              </w:rPr>
            </w:pPr>
          </w:p>
          <w:p w:rsidR="00C1697B" w:rsidRPr="0045527C" w:rsidRDefault="0045527C" w:rsidP="00C1697B">
            <w:pPr>
              <w:rPr>
                <w:b/>
                <w:sz w:val="20"/>
                <w:szCs w:val="20"/>
                <w:lang w:val="fr-CA"/>
              </w:rPr>
            </w:pPr>
            <w:r w:rsidRPr="0045527C">
              <w:rPr>
                <w:b/>
                <w:sz w:val="20"/>
                <w:szCs w:val="20"/>
                <w:lang w:val="fr-CA"/>
              </w:rPr>
              <w:t xml:space="preserve">Majory Arlene Cartner et al. </w:t>
            </w:r>
            <w:r w:rsidR="00C1697B" w:rsidRPr="0045527C">
              <w:rPr>
                <w:b/>
                <w:sz w:val="20"/>
                <w:szCs w:val="20"/>
                <w:lang w:val="fr-CA"/>
              </w:rPr>
              <w:t xml:space="preserve">(Ont.) </w:t>
            </w:r>
          </w:p>
          <w:p w:rsidR="00C1697B" w:rsidRPr="0045527C" w:rsidRDefault="00C1697B" w:rsidP="00C1697B">
            <w:pPr>
              <w:rPr>
                <w:sz w:val="20"/>
                <w:szCs w:val="20"/>
                <w:lang w:val="fr-CA"/>
              </w:rPr>
            </w:pPr>
          </w:p>
          <w:p w:rsidR="00C1697B" w:rsidRPr="00C50A5C" w:rsidRDefault="00C1697B" w:rsidP="00C1697B">
            <w:pPr>
              <w:rPr>
                <w:sz w:val="20"/>
                <w:szCs w:val="20"/>
              </w:rPr>
            </w:pPr>
            <w:r w:rsidRPr="00C50A5C">
              <w:rPr>
                <w:sz w:val="20"/>
                <w:szCs w:val="20"/>
              </w:rPr>
              <w:t>(By Leave)</w:t>
            </w:r>
          </w:p>
          <w:p w:rsidR="00802863" w:rsidRPr="00C50A5C" w:rsidRDefault="00802863" w:rsidP="00802863">
            <w:pPr>
              <w:rPr>
                <w:sz w:val="20"/>
                <w:szCs w:val="20"/>
              </w:rPr>
            </w:pPr>
          </w:p>
          <w:p w:rsidR="00802863" w:rsidRPr="0045527C" w:rsidRDefault="00532939" w:rsidP="00802863">
            <w:pPr>
              <w:rPr>
                <w:sz w:val="20"/>
                <w:szCs w:val="20"/>
              </w:rPr>
            </w:pPr>
            <w:r w:rsidRPr="00532939">
              <w:rPr>
                <w:sz w:val="20"/>
                <w:szCs w:val="20"/>
                <w:lang w:val="fr-CA"/>
              </w:rPr>
              <w:pict>
                <v:rect id="_x0000_i1038" style="width:108pt;height:1pt" o:hrpct="0" o:hralign="center" o:hrstd="t" o:hrnoshade="t" o:hr="t" fillcolor="black [3213]" stroked="f"/>
              </w:pict>
            </w:r>
          </w:p>
        </w:tc>
      </w:tr>
    </w:tbl>
    <w:p w:rsidR="00802863" w:rsidRPr="00C50A5C" w:rsidRDefault="00802863"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77585B">
            <w:pPr>
              <w:keepNext/>
              <w:keepLines/>
              <w:rPr>
                <w:b/>
                <w:szCs w:val="24"/>
              </w:rPr>
            </w:pPr>
            <w:r w:rsidRPr="00C50A5C">
              <w:rPr>
                <w:b/>
                <w:szCs w:val="24"/>
              </w:rPr>
              <w:lastRenderedPageBreak/>
              <w:t xml:space="preserve">AGENDA FOR </w:t>
            </w:r>
            <w:r w:rsidR="0077585B">
              <w:rPr>
                <w:b/>
                <w:szCs w:val="24"/>
              </w:rPr>
              <w:t>JA</w:t>
            </w:r>
            <w:r w:rsidRPr="00C50A5C">
              <w:rPr>
                <w:b/>
                <w:szCs w:val="24"/>
              </w:rPr>
              <w:t>N</w:t>
            </w:r>
            <w:r w:rsidR="0077585B">
              <w:rPr>
                <w:b/>
                <w:szCs w:val="24"/>
              </w:rPr>
              <w:t>UA</w:t>
            </w:r>
            <w:r w:rsidRPr="00C50A5C">
              <w:rPr>
                <w:b/>
                <w:szCs w:val="24"/>
              </w:rPr>
              <w:t>R</w:t>
            </w:r>
            <w:r w:rsidR="0077585B">
              <w:rPr>
                <w:b/>
                <w:szCs w:val="24"/>
              </w:rPr>
              <w:t>Y 2011</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77585B">
            <w:pPr>
              <w:keepNext/>
              <w:keepLines/>
              <w:rPr>
                <w:b/>
                <w:szCs w:val="24"/>
                <w:lang w:val="fr-CA"/>
              </w:rPr>
            </w:pPr>
            <w:r w:rsidRPr="00C50A5C">
              <w:rPr>
                <w:b/>
                <w:szCs w:val="24"/>
                <w:lang w:val="fr-CA"/>
              </w:rPr>
              <w:t xml:space="preserve">CALENDRIER DE </w:t>
            </w:r>
            <w:r w:rsidR="0077585B">
              <w:rPr>
                <w:b/>
                <w:szCs w:val="24"/>
                <w:lang w:val="fr-CA"/>
              </w:rPr>
              <w:t>JANV</w:t>
            </w:r>
            <w:r w:rsidRPr="00C50A5C">
              <w:rPr>
                <w:b/>
                <w:szCs w:val="24"/>
                <w:lang w:val="fr-CA"/>
              </w:rPr>
              <w:t>IER</w:t>
            </w:r>
            <w:r w:rsidR="0077585B">
              <w:rPr>
                <w:b/>
                <w:szCs w:val="24"/>
                <w:lang w:val="fr-CA"/>
              </w:rPr>
              <w:t xml:space="preserve"> 2011</w:t>
            </w:r>
          </w:p>
        </w:tc>
      </w:tr>
    </w:tbl>
    <w:p w:rsidR="004B66B4" w:rsidRPr="00DD0B49" w:rsidRDefault="004B66B4" w:rsidP="004B66B4">
      <w:pPr>
        <w:rPr>
          <w:b/>
          <w:sz w:val="20"/>
          <w:szCs w:val="20"/>
        </w:rPr>
      </w:pPr>
    </w:p>
    <w:p w:rsidR="004B66B4" w:rsidRPr="00DD0B49" w:rsidRDefault="004B66B4" w:rsidP="004B66B4">
      <w:pPr>
        <w:rPr>
          <w:b/>
          <w:sz w:val="20"/>
          <w:szCs w:val="20"/>
        </w:rPr>
      </w:pPr>
      <w:r w:rsidRPr="00DD0B49">
        <w:rPr>
          <w:b/>
          <w:sz w:val="20"/>
          <w:szCs w:val="20"/>
        </w:rPr>
        <w:t xml:space="preserve">AGENDA for the weeks of </w:t>
      </w:r>
      <w:r w:rsidR="0077585B">
        <w:rPr>
          <w:b/>
          <w:sz w:val="20"/>
          <w:szCs w:val="20"/>
        </w:rPr>
        <w:t>January</w:t>
      </w:r>
      <w:r w:rsidRPr="00DD0B49">
        <w:rPr>
          <w:b/>
          <w:sz w:val="20"/>
          <w:szCs w:val="20"/>
        </w:rPr>
        <w:t xml:space="preserve"> 1</w:t>
      </w:r>
      <w:r w:rsidR="0077585B">
        <w:rPr>
          <w:b/>
          <w:sz w:val="20"/>
          <w:szCs w:val="20"/>
        </w:rPr>
        <w:t>7</w:t>
      </w:r>
      <w:r w:rsidRPr="00DD0B49">
        <w:rPr>
          <w:b/>
          <w:sz w:val="20"/>
          <w:szCs w:val="20"/>
        </w:rPr>
        <w:t xml:space="preserve"> and </w:t>
      </w:r>
      <w:r w:rsidR="0077585B">
        <w:rPr>
          <w:b/>
          <w:sz w:val="20"/>
          <w:szCs w:val="20"/>
        </w:rPr>
        <w:t>24</w:t>
      </w:r>
      <w:r w:rsidRPr="00DD0B49">
        <w:rPr>
          <w:b/>
          <w:sz w:val="20"/>
          <w:szCs w:val="20"/>
        </w:rPr>
        <w:t>, 201</w:t>
      </w:r>
      <w:r w:rsidR="0077585B">
        <w:rPr>
          <w:b/>
          <w:sz w:val="20"/>
          <w:szCs w:val="20"/>
        </w:rPr>
        <w:t>1</w:t>
      </w:r>
      <w:r w:rsidRPr="00DD0B49">
        <w:rPr>
          <w:b/>
          <w:sz w:val="20"/>
          <w:szCs w:val="20"/>
        </w:rPr>
        <w:t>.</w:t>
      </w:r>
    </w:p>
    <w:p w:rsidR="004B66B4" w:rsidRPr="00DD0B49" w:rsidRDefault="004B66B4" w:rsidP="004B66B4">
      <w:pPr>
        <w:rPr>
          <w:sz w:val="20"/>
          <w:szCs w:val="20"/>
          <w:lang w:val="fr-CA"/>
        </w:rPr>
      </w:pPr>
      <w:r w:rsidRPr="00DD0B49">
        <w:rPr>
          <w:b/>
          <w:sz w:val="20"/>
          <w:szCs w:val="20"/>
          <w:lang w:val="fr-CA"/>
        </w:rPr>
        <w:t>CALENDRIER de la semaine du 1</w:t>
      </w:r>
      <w:r w:rsidR="0077585B">
        <w:rPr>
          <w:b/>
          <w:sz w:val="20"/>
          <w:szCs w:val="20"/>
          <w:lang w:val="fr-CA"/>
        </w:rPr>
        <w:t xml:space="preserve">7 janvier </w:t>
      </w:r>
      <w:r w:rsidRPr="00DD0B49">
        <w:rPr>
          <w:b/>
          <w:sz w:val="20"/>
          <w:szCs w:val="20"/>
          <w:lang w:val="fr-CA"/>
        </w:rPr>
        <w:t xml:space="preserve">et celle du </w:t>
      </w:r>
      <w:r w:rsidR="0077585B">
        <w:rPr>
          <w:b/>
          <w:sz w:val="20"/>
          <w:szCs w:val="20"/>
          <w:lang w:val="fr-CA"/>
        </w:rPr>
        <w:t>24 janvier</w:t>
      </w:r>
      <w:r w:rsidRPr="00DD0B49">
        <w:rPr>
          <w:b/>
          <w:sz w:val="20"/>
          <w:szCs w:val="20"/>
          <w:lang w:val="fr-CA"/>
        </w:rPr>
        <w:t xml:space="preserve"> 201</w:t>
      </w:r>
      <w:r w:rsidR="0077585B">
        <w:rPr>
          <w:b/>
          <w:sz w:val="20"/>
          <w:szCs w:val="20"/>
          <w:lang w:val="fr-CA"/>
        </w:rPr>
        <w:t>1</w:t>
      </w:r>
      <w:r w:rsidRPr="00DD0B49">
        <w:rPr>
          <w:b/>
          <w:sz w:val="20"/>
          <w:szCs w:val="20"/>
          <w:lang w:val="fr-CA"/>
        </w:rPr>
        <w:t>.</w:t>
      </w:r>
    </w:p>
    <w:p w:rsidR="004B66B4" w:rsidRPr="00DD0B49" w:rsidRDefault="004B66B4" w:rsidP="004B66B4">
      <w:pPr>
        <w:rPr>
          <w:sz w:val="20"/>
          <w:szCs w:val="20"/>
          <w:lang w:val="fr-CA"/>
        </w:rPr>
      </w:pPr>
    </w:p>
    <w:p w:rsidR="004B66B4" w:rsidRPr="00DD0B49" w:rsidRDefault="004B66B4" w:rsidP="004B66B4">
      <w:pPr>
        <w:rPr>
          <w:sz w:val="20"/>
          <w:szCs w:val="20"/>
        </w:rPr>
      </w:pPr>
      <w:r w:rsidRPr="00DD0B49">
        <w:rPr>
          <w:sz w:val="20"/>
          <w:szCs w:val="20"/>
        </w:rPr>
        <w:t xml:space="preserve">The Court will not be sitting during the weeks of </w:t>
      </w:r>
      <w:r w:rsidR="0077585B">
        <w:rPr>
          <w:sz w:val="20"/>
          <w:szCs w:val="20"/>
        </w:rPr>
        <w:t>January</w:t>
      </w:r>
      <w:r w:rsidRPr="00DD0B49">
        <w:rPr>
          <w:sz w:val="20"/>
          <w:szCs w:val="20"/>
        </w:rPr>
        <w:t xml:space="preserve"> </w:t>
      </w:r>
      <w:r w:rsidR="0077585B">
        <w:rPr>
          <w:sz w:val="20"/>
          <w:szCs w:val="20"/>
        </w:rPr>
        <w:t>3</w:t>
      </w:r>
      <w:r w:rsidRPr="00DD0B49">
        <w:rPr>
          <w:sz w:val="20"/>
          <w:szCs w:val="20"/>
        </w:rPr>
        <w:t xml:space="preserve">, </w:t>
      </w:r>
      <w:r w:rsidR="0077585B">
        <w:rPr>
          <w:sz w:val="20"/>
          <w:szCs w:val="20"/>
        </w:rPr>
        <w:t>10</w:t>
      </w:r>
      <w:r w:rsidRPr="00DD0B49">
        <w:rPr>
          <w:sz w:val="20"/>
          <w:szCs w:val="20"/>
        </w:rPr>
        <w:t xml:space="preserve"> and </w:t>
      </w:r>
      <w:r w:rsidR="0077585B">
        <w:rPr>
          <w:sz w:val="20"/>
          <w:szCs w:val="20"/>
        </w:rPr>
        <w:t>31</w:t>
      </w:r>
      <w:r w:rsidRPr="00DD0B49">
        <w:rPr>
          <w:sz w:val="20"/>
          <w:szCs w:val="20"/>
        </w:rPr>
        <w:t>, 201</w:t>
      </w:r>
      <w:r w:rsidR="0077585B">
        <w:rPr>
          <w:sz w:val="20"/>
          <w:szCs w:val="20"/>
        </w:rPr>
        <w:t>1</w:t>
      </w:r>
      <w:r w:rsidRPr="00DD0B49">
        <w:rPr>
          <w:sz w:val="20"/>
          <w:szCs w:val="20"/>
        </w:rPr>
        <w:t>.</w:t>
      </w:r>
    </w:p>
    <w:p w:rsidR="004B66B4" w:rsidRPr="00DD0B49" w:rsidRDefault="004B66B4" w:rsidP="004B66B4">
      <w:pPr>
        <w:rPr>
          <w:sz w:val="20"/>
          <w:szCs w:val="20"/>
          <w:lang w:val="fr-CA"/>
        </w:rPr>
      </w:pPr>
      <w:r w:rsidRPr="00DD0B49">
        <w:rPr>
          <w:sz w:val="20"/>
          <w:szCs w:val="20"/>
          <w:lang w:val="fr-CA"/>
        </w:rPr>
        <w:t xml:space="preserve">La Cour ne siègera pas pendant les semaines du </w:t>
      </w:r>
      <w:r w:rsidR="0077585B">
        <w:rPr>
          <w:sz w:val="20"/>
          <w:szCs w:val="20"/>
          <w:lang w:val="fr-CA"/>
        </w:rPr>
        <w:t>3</w:t>
      </w:r>
      <w:r w:rsidRPr="00DD0B49">
        <w:rPr>
          <w:sz w:val="20"/>
          <w:szCs w:val="20"/>
          <w:lang w:val="fr-CA"/>
        </w:rPr>
        <w:t xml:space="preserve">, </w:t>
      </w:r>
      <w:r w:rsidR="0077585B">
        <w:rPr>
          <w:sz w:val="20"/>
          <w:szCs w:val="20"/>
          <w:lang w:val="fr-CA"/>
        </w:rPr>
        <w:t>10</w:t>
      </w:r>
      <w:r w:rsidRPr="00DD0B49">
        <w:rPr>
          <w:sz w:val="20"/>
          <w:szCs w:val="20"/>
          <w:lang w:val="fr-CA"/>
        </w:rPr>
        <w:t xml:space="preserve"> et du </w:t>
      </w:r>
      <w:r w:rsidR="0077585B">
        <w:rPr>
          <w:sz w:val="20"/>
          <w:szCs w:val="20"/>
          <w:lang w:val="fr-CA"/>
        </w:rPr>
        <w:t>31 janvier</w:t>
      </w:r>
      <w:r w:rsidRPr="00DD0B49">
        <w:rPr>
          <w:sz w:val="20"/>
          <w:szCs w:val="20"/>
          <w:lang w:val="fr-CA"/>
        </w:rPr>
        <w:t xml:space="preserve"> 201</w:t>
      </w:r>
      <w:r w:rsidR="0077585B">
        <w:rPr>
          <w:sz w:val="20"/>
          <w:szCs w:val="20"/>
          <w:lang w:val="fr-CA"/>
        </w:rPr>
        <w:t>1</w:t>
      </w:r>
      <w:r w:rsidRPr="00DD0B49">
        <w:rPr>
          <w:sz w:val="20"/>
          <w:szCs w:val="20"/>
          <w:lang w:val="fr-CA"/>
        </w:rPr>
        <w:t>.</w:t>
      </w:r>
    </w:p>
    <w:p w:rsidR="004B66B4" w:rsidRPr="00DD0B49" w:rsidRDefault="00532939" w:rsidP="004B66B4">
      <w:pPr>
        <w:rPr>
          <w:sz w:val="20"/>
          <w:szCs w:val="20"/>
        </w:rPr>
      </w:pPr>
      <w:r w:rsidRPr="00532939">
        <w:rPr>
          <w:sz w:val="20"/>
          <w:szCs w:val="20"/>
        </w:rPr>
        <w:pict>
          <v:rect id="_x0000_i1041" style="width:480.95pt;height:1pt" o:hralign="center" o:hrstd="t" o:hrnoshade="t" o:hr="t" fillcolor="black [3213]" stroked="f"/>
        </w:pict>
      </w:r>
    </w:p>
    <w:p w:rsidR="004B66B4" w:rsidRPr="00DD0B49" w:rsidRDefault="004B66B4" w:rsidP="004B66B4">
      <w:pPr>
        <w:rPr>
          <w:sz w:val="20"/>
          <w:szCs w:val="20"/>
          <w:lang w:val="fr-CA"/>
        </w:rPr>
      </w:pPr>
    </w:p>
    <w:p w:rsidR="004B66B4" w:rsidRPr="00DD0B49" w:rsidRDefault="004B66B4" w:rsidP="00DD0B49">
      <w:pPr>
        <w:ind w:left="2160" w:hanging="2160"/>
        <w:jc w:val="both"/>
        <w:rPr>
          <w:sz w:val="20"/>
          <w:szCs w:val="20"/>
        </w:rPr>
      </w:pPr>
      <w:r w:rsidRPr="00DD0B49">
        <w:rPr>
          <w:sz w:val="20"/>
          <w:szCs w:val="20"/>
        </w:rPr>
        <w:t>DATE OF HEARING /</w:t>
      </w:r>
      <w:r w:rsidR="00DD0B49">
        <w:rPr>
          <w:sz w:val="20"/>
          <w:szCs w:val="20"/>
        </w:rPr>
        <w:tab/>
      </w:r>
      <w:r w:rsidRPr="00DD0B49">
        <w:rPr>
          <w:sz w:val="20"/>
          <w:szCs w:val="20"/>
        </w:rPr>
        <w:t>NAME AND CASE NUMBER /</w:t>
      </w:r>
    </w:p>
    <w:p w:rsidR="004B66B4" w:rsidRPr="00DD0B49" w:rsidRDefault="004B66B4" w:rsidP="00DD0B49">
      <w:pPr>
        <w:ind w:left="2160" w:hanging="2160"/>
        <w:jc w:val="both"/>
        <w:rPr>
          <w:sz w:val="20"/>
          <w:szCs w:val="20"/>
          <w:lang w:val="fr-CA"/>
        </w:rPr>
      </w:pPr>
      <w:r w:rsidRPr="00DD0B49">
        <w:rPr>
          <w:sz w:val="20"/>
          <w:szCs w:val="20"/>
          <w:lang w:val="fr-CA"/>
        </w:rPr>
        <w:t>DATE D’AUDITION</w:t>
      </w:r>
      <w:r w:rsidRPr="00DD0B49">
        <w:rPr>
          <w:sz w:val="20"/>
          <w:szCs w:val="20"/>
          <w:lang w:val="fr-CA"/>
        </w:rPr>
        <w:tab/>
        <w:t>NOM DE LA CAUSE ET NUMÉRO</w:t>
      </w:r>
    </w:p>
    <w:p w:rsidR="004B66B4" w:rsidRPr="00DD0B49" w:rsidRDefault="004B66B4" w:rsidP="00DD0B49">
      <w:pPr>
        <w:ind w:left="2160" w:hanging="2160"/>
        <w:jc w:val="both"/>
        <w:rPr>
          <w:sz w:val="20"/>
          <w:szCs w:val="20"/>
          <w:lang w:val="fr-CA"/>
        </w:rPr>
      </w:pPr>
    </w:p>
    <w:p w:rsidR="004B66B4" w:rsidRPr="00741567" w:rsidRDefault="004B66B4" w:rsidP="00DD0B49">
      <w:pPr>
        <w:ind w:left="2160" w:hanging="2160"/>
        <w:jc w:val="both"/>
        <w:rPr>
          <w:sz w:val="20"/>
          <w:szCs w:val="20"/>
          <w:lang w:val="fr-CA"/>
        </w:rPr>
      </w:pPr>
      <w:r w:rsidRPr="007B5E8A">
        <w:rPr>
          <w:sz w:val="20"/>
          <w:szCs w:val="20"/>
          <w:lang w:val="fr-CA"/>
        </w:rPr>
        <w:t>201</w:t>
      </w:r>
      <w:r w:rsidR="0077585B" w:rsidRPr="007B5E8A">
        <w:rPr>
          <w:sz w:val="20"/>
          <w:szCs w:val="20"/>
          <w:lang w:val="fr-CA"/>
        </w:rPr>
        <w:t>1</w:t>
      </w:r>
      <w:r w:rsidRPr="007B5E8A">
        <w:rPr>
          <w:sz w:val="20"/>
          <w:szCs w:val="20"/>
          <w:lang w:val="fr-CA"/>
        </w:rPr>
        <w:t>-</w:t>
      </w:r>
      <w:r w:rsidR="0077585B" w:rsidRPr="007B5E8A">
        <w:rPr>
          <w:sz w:val="20"/>
          <w:szCs w:val="20"/>
          <w:lang w:val="fr-CA"/>
        </w:rPr>
        <w:t>0</w:t>
      </w:r>
      <w:r w:rsidRPr="007B5E8A">
        <w:rPr>
          <w:sz w:val="20"/>
          <w:szCs w:val="20"/>
          <w:lang w:val="fr-CA"/>
        </w:rPr>
        <w:t>1-1</w:t>
      </w:r>
      <w:r w:rsidR="0077585B" w:rsidRPr="007B5E8A">
        <w:rPr>
          <w:sz w:val="20"/>
          <w:szCs w:val="20"/>
          <w:lang w:val="fr-CA"/>
        </w:rPr>
        <w:t>8</w:t>
      </w:r>
      <w:r w:rsidRPr="007B5E8A">
        <w:rPr>
          <w:sz w:val="20"/>
          <w:szCs w:val="20"/>
          <w:lang w:val="fr-CA"/>
        </w:rPr>
        <w:tab/>
      </w:r>
      <w:r w:rsidRPr="007B5E8A">
        <w:rPr>
          <w:i/>
          <w:sz w:val="20"/>
          <w:szCs w:val="20"/>
          <w:lang w:val="fr-CA"/>
        </w:rPr>
        <w:t>J</w:t>
      </w:r>
      <w:r w:rsidR="00FF74B7" w:rsidRPr="007B5E8A">
        <w:rPr>
          <w:i/>
          <w:sz w:val="20"/>
          <w:szCs w:val="20"/>
          <w:lang w:val="fr-CA"/>
        </w:rPr>
        <w:t>ean-Marc Richard</w:t>
      </w:r>
      <w:r w:rsidRPr="007B5E8A">
        <w:rPr>
          <w:i/>
          <w:sz w:val="20"/>
          <w:szCs w:val="20"/>
          <w:lang w:val="fr-CA"/>
        </w:rPr>
        <w:t xml:space="preserve">. </w:t>
      </w:r>
      <w:r w:rsidR="007B5E8A" w:rsidRPr="007B5E8A">
        <w:rPr>
          <w:i/>
          <w:sz w:val="20"/>
          <w:szCs w:val="20"/>
          <w:lang w:val="fr-CA"/>
        </w:rPr>
        <w:t>c</w:t>
      </w:r>
      <w:r w:rsidRPr="007B5E8A">
        <w:rPr>
          <w:i/>
          <w:sz w:val="20"/>
          <w:szCs w:val="20"/>
          <w:lang w:val="fr-CA"/>
        </w:rPr>
        <w:t xml:space="preserve">. </w:t>
      </w:r>
      <w:r w:rsidR="007B5E8A" w:rsidRPr="007B5E8A">
        <w:rPr>
          <w:i/>
          <w:sz w:val="20"/>
          <w:szCs w:val="20"/>
          <w:lang w:val="fr-CA"/>
        </w:rPr>
        <w:t>Time Inc. et a</w:t>
      </w:r>
      <w:r w:rsidR="00741567">
        <w:rPr>
          <w:i/>
          <w:sz w:val="20"/>
          <w:szCs w:val="20"/>
          <w:lang w:val="fr-CA"/>
        </w:rPr>
        <w:t>utre</w:t>
      </w:r>
      <w:r w:rsidRPr="007B5E8A">
        <w:rPr>
          <w:sz w:val="20"/>
          <w:szCs w:val="20"/>
          <w:lang w:val="fr-CA"/>
        </w:rPr>
        <w:t xml:space="preserve"> </w:t>
      </w:r>
      <w:r w:rsidRPr="00741567">
        <w:rPr>
          <w:sz w:val="20"/>
          <w:szCs w:val="20"/>
          <w:lang w:val="fr-CA"/>
        </w:rPr>
        <w:t>(</w:t>
      </w:r>
      <w:r w:rsidR="007B5E8A" w:rsidRPr="00741567">
        <w:rPr>
          <w:sz w:val="20"/>
          <w:szCs w:val="20"/>
          <w:lang w:val="fr-CA"/>
        </w:rPr>
        <w:t>Qc</w:t>
      </w:r>
      <w:r w:rsidRPr="00741567">
        <w:rPr>
          <w:sz w:val="20"/>
          <w:szCs w:val="20"/>
          <w:lang w:val="fr-CA"/>
        </w:rPr>
        <w:t>) (Ci</w:t>
      </w:r>
      <w:r w:rsidR="007B5E8A" w:rsidRPr="00741567">
        <w:rPr>
          <w:sz w:val="20"/>
          <w:szCs w:val="20"/>
          <w:lang w:val="fr-CA"/>
        </w:rPr>
        <w:t>v</w:t>
      </w:r>
      <w:r w:rsidRPr="00741567">
        <w:rPr>
          <w:sz w:val="20"/>
          <w:szCs w:val="20"/>
          <w:lang w:val="fr-CA"/>
        </w:rPr>
        <w:t>il</w:t>
      </w:r>
      <w:r w:rsidR="007B5E8A" w:rsidRPr="00741567">
        <w:rPr>
          <w:sz w:val="20"/>
          <w:szCs w:val="20"/>
          <w:lang w:val="fr-CA"/>
        </w:rPr>
        <w:t>e</w:t>
      </w:r>
      <w:r w:rsidRPr="00741567">
        <w:rPr>
          <w:sz w:val="20"/>
          <w:szCs w:val="20"/>
          <w:lang w:val="fr-CA"/>
        </w:rPr>
        <w:t>) (</w:t>
      </w:r>
      <w:r w:rsidR="007B5E8A" w:rsidRPr="00741567">
        <w:rPr>
          <w:sz w:val="20"/>
          <w:szCs w:val="20"/>
          <w:lang w:val="fr-CA"/>
        </w:rPr>
        <w:t>Autorisation</w:t>
      </w:r>
      <w:r w:rsidRPr="00741567">
        <w:rPr>
          <w:sz w:val="20"/>
          <w:szCs w:val="20"/>
          <w:lang w:val="fr-CA"/>
        </w:rPr>
        <w:t>) (33</w:t>
      </w:r>
      <w:r w:rsidR="007B5E8A" w:rsidRPr="00741567">
        <w:rPr>
          <w:sz w:val="20"/>
          <w:szCs w:val="20"/>
          <w:lang w:val="fr-CA"/>
        </w:rPr>
        <w:t>554</w:t>
      </w:r>
      <w:r w:rsidRPr="00741567">
        <w:rPr>
          <w:sz w:val="20"/>
          <w:szCs w:val="20"/>
          <w:lang w:val="fr-CA"/>
        </w:rPr>
        <w:t>)</w:t>
      </w:r>
    </w:p>
    <w:p w:rsidR="004B66B4" w:rsidRPr="00741567" w:rsidRDefault="004B66B4" w:rsidP="00DD0B49">
      <w:pPr>
        <w:ind w:left="2160" w:hanging="2160"/>
        <w:jc w:val="both"/>
        <w:rPr>
          <w:sz w:val="20"/>
          <w:szCs w:val="20"/>
          <w:lang w:val="fr-CA"/>
        </w:rPr>
      </w:pPr>
      <w:r w:rsidRPr="00741567">
        <w:rPr>
          <w:sz w:val="20"/>
          <w:szCs w:val="20"/>
          <w:lang w:val="fr-CA"/>
        </w:rPr>
        <w:tab/>
      </w:r>
    </w:p>
    <w:p w:rsidR="004B66B4" w:rsidRPr="00DD0B49" w:rsidRDefault="004B66B4" w:rsidP="00DD0B49">
      <w:pPr>
        <w:ind w:left="2160" w:hanging="2160"/>
        <w:jc w:val="both"/>
        <w:rPr>
          <w:sz w:val="20"/>
          <w:szCs w:val="20"/>
        </w:rPr>
      </w:pPr>
      <w:r w:rsidRPr="00DD0B49">
        <w:rPr>
          <w:sz w:val="20"/>
          <w:szCs w:val="20"/>
        </w:rPr>
        <w:t>201</w:t>
      </w:r>
      <w:r w:rsidR="0077585B">
        <w:rPr>
          <w:sz w:val="20"/>
          <w:szCs w:val="20"/>
        </w:rPr>
        <w:t>1</w:t>
      </w:r>
      <w:r w:rsidRPr="00DD0B49">
        <w:rPr>
          <w:sz w:val="20"/>
          <w:szCs w:val="20"/>
        </w:rPr>
        <w:t>-</w:t>
      </w:r>
      <w:r w:rsidR="0077585B">
        <w:rPr>
          <w:sz w:val="20"/>
          <w:szCs w:val="20"/>
        </w:rPr>
        <w:t>0</w:t>
      </w:r>
      <w:r w:rsidRPr="00DD0B49">
        <w:rPr>
          <w:sz w:val="20"/>
          <w:szCs w:val="20"/>
        </w:rPr>
        <w:t>1-</w:t>
      </w:r>
      <w:r w:rsidR="0077585B">
        <w:rPr>
          <w:sz w:val="20"/>
          <w:szCs w:val="20"/>
        </w:rPr>
        <w:t>19</w:t>
      </w:r>
      <w:r w:rsidRPr="00DD0B49">
        <w:rPr>
          <w:sz w:val="20"/>
          <w:szCs w:val="20"/>
        </w:rPr>
        <w:tab/>
      </w:r>
      <w:r w:rsidR="007B5E8A">
        <w:rPr>
          <w:i/>
          <w:sz w:val="20"/>
          <w:szCs w:val="20"/>
        </w:rPr>
        <w:t>Derek Dwight Bruce</w:t>
      </w:r>
      <w:r w:rsidRPr="00DD0B49">
        <w:rPr>
          <w:i/>
          <w:sz w:val="20"/>
          <w:szCs w:val="20"/>
        </w:rPr>
        <w:t xml:space="preserve"> v. Her Majesty the Queen</w:t>
      </w:r>
      <w:r w:rsidRPr="00DD0B49">
        <w:rPr>
          <w:sz w:val="20"/>
          <w:szCs w:val="20"/>
        </w:rPr>
        <w:t xml:space="preserve"> (Alta.) (Criminal) (As of Right) (337</w:t>
      </w:r>
      <w:r w:rsidR="007B5E8A">
        <w:rPr>
          <w:sz w:val="20"/>
          <w:szCs w:val="20"/>
        </w:rPr>
        <w:t>3</w:t>
      </w:r>
      <w:r w:rsidRPr="00DD0B49">
        <w:rPr>
          <w:sz w:val="20"/>
          <w:szCs w:val="20"/>
        </w:rPr>
        <w:t>5)</w:t>
      </w:r>
    </w:p>
    <w:p w:rsidR="004B66B4" w:rsidRPr="00DD0B49" w:rsidRDefault="004B66B4" w:rsidP="00DD0B49">
      <w:pPr>
        <w:ind w:left="2160" w:hanging="2160"/>
        <w:jc w:val="both"/>
        <w:rPr>
          <w:sz w:val="20"/>
          <w:szCs w:val="20"/>
        </w:rPr>
      </w:pPr>
    </w:p>
    <w:p w:rsidR="004B66B4" w:rsidRPr="00DD0B49" w:rsidRDefault="004B66B4" w:rsidP="00DD0B49">
      <w:pPr>
        <w:ind w:left="2160" w:hanging="2160"/>
        <w:jc w:val="both"/>
        <w:rPr>
          <w:sz w:val="20"/>
          <w:szCs w:val="20"/>
        </w:rPr>
      </w:pPr>
      <w:r w:rsidRPr="00DD0B49">
        <w:rPr>
          <w:sz w:val="20"/>
          <w:szCs w:val="20"/>
        </w:rPr>
        <w:t>201</w:t>
      </w:r>
      <w:r w:rsidR="0077585B">
        <w:rPr>
          <w:sz w:val="20"/>
          <w:szCs w:val="20"/>
        </w:rPr>
        <w:t>1</w:t>
      </w:r>
      <w:r w:rsidRPr="00DD0B49">
        <w:rPr>
          <w:sz w:val="20"/>
          <w:szCs w:val="20"/>
        </w:rPr>
        <w:t>-</w:t>
      </w:r>
      <w:r w:rsidR="0077585B">
        <w:rPr>
          <w:sz w:val="20"/>
          <w:szCs w:val="20"/>
        </w:rPr>
        <w:t>0</w:t>
      </w:r>
      <w:r w:rsidRPr="00DD0B49">
        <w:rPr>
          <w:sz w:val="20"/>
          <w:szCs w:val="20"/>
        </w:rPr>
        <w:t>1-</w:t>
      </w:r>
      <w:r w:rsidR="0077585B">
        <w:rPr>
          <w:sz w:val="20"/>
          <w:szCs w:val="20"/>
        </w:rPr>
        <w:t>21</w:t>
      </w:r>
      <w:r w:rsidRPr="00DD0B49">
        <w:rPr>
          <w:sz w:val="20"/>
          <w:szCs w:val="20"/>
        </w:rPr>
        <w:tab/>
      </w:r>
      <w:r w:rsidR="007B5E8A">
        <w:rPr>
          <w:i/>
          <w:sz w:val="20"/>
          <w:szCs w:val="20"/>
        </w:rPr>
        <w:t>Copthorne Holdings Ltd.</w:t>
      </w:r>
      <w:r w:rsidRPr="00DD0B49">
        <w:rPr>
          <w:i/>
          <w:sz w:val="20"/>
          <w:szCs w:val="20"/>
        </w:rPr>
        <w:t xml:space="preserve"> v. </w:t>
      </w:r>
      <w:r w:rsidR="007B5E8A">
        <w:rPr>
          <w:i/>
          <w:sz w:val="20"/>
          <w:szCs w:val="20"/>
        </w:rPr>
        <w:t>Her Majesty the Queen</w:t>
      </w:r>
      <w:r w:rsidRPr="00DD0B49">
        <w:rPr>
          <w:sz w:val="20"/>
          <w:szCs w:val="20"/>
        </w:rPr>
        <w:t xml:space="preserve"> (</w:t>
      </w:r>
      <w:r w:rsidR="007B5E8A">
        <w:rPr>
          <w:sz w:val="20"/>
          <w:szCs w:val="20"/>
        </w:rPr>
        <w:t>F.C.</w:t>
      </w:r>
      <w:r w:rsidRPr="00DD0B49">
        <w:rPr>
          <w:sz w:val="20"/>
          <w:szCs w:val="20"/>
        </w:rPr>
        <w:t>) (Civil) (By Leave) (33</w:t>
      </w:r>
      <w:r w:rsidR="007B5E8A">
        <w:rPr>
          <w:sz w:val="20"/>
          <w:szCs w:val="20"/>
        </w:rPr>
        <w:t>28</w:t>
      </w:r>
      <w:r w:rsidRPr="00DD0B49">
        <w:rPr>
          <w:sz w:val="20"/>
          <w:szCs w:val="20"/>
        </w:rPr>
        <w:t>3)</w:t>
      </w:r>
    </w:p>
    <w:p w:rsidR="004B66B4" w:rsidRPr="00DD0B49" w:rsidRDefault="004B66B4" w:rsidP="00DD0B49">
      <w:pPr>
        <w:ind w:left="2160" w:hanging="2160"/>
        <w:jc w:val="both"/>
        <w:rPr>
          <w:sz w:val="20"/>
          <w:szCs w:val="20"/>
        </w:rPr>
      </w:pPr>
    </w:p>
    <w:p w:rsidR="004B66B4" w:rsidRPr="007B5E8A" w:rsidRDefault="004B66B4" w:rsidP="00DD0B49">
      <w:pPr>
        <w:ind w:left="2160" w:hanging="2160"/>
        <w:jc w:val="both"/>
        <w:rPr>
          <w:sz w:val="20"/>
          <w:szCs w:val="20"/>
          <w:lang w:val="fr-CA"/>
        </w:rPr>
      </w:pPr>
      <w:r w:rsidRPr="00DD0B49">
        <w:rPr>
          <w:sz w:val="20"/>
          <w:szCs w:val="20"/>
        </w:rPr>
        <w:t>201</w:t>
      </w:r>
      <w:r w:rsidR="0077585B">
        <w:rPr>
          <w:sz w:val="20"/>
          <w:szCs w:val="20"/>
        </w:rPr>
        <w:t>1</w:t>
      </w:r>
      <w:r w:rsidRPr="00DD0B49">
        <w:rPr>
          <w:sz w:val="20"/>
          <w:szCs w:val="20"/>
        </w:rPr>
        <w:t>-</w:t>
      </w:r>
      <w:r w:rsidR="0077585B">
        <w:rPr>
          <w:sz w:val="20"/>
          <w:szCs w:val="20"/>
        </w:rPr>
        <w:t>0</w:t>
      </w:r>
      <w:r w:rsidRPr="00DD0B49">
        <w:rPr>
          <w:sz w:val="20"/>
          <w:szCs w:val="20"/>
        </w:rPr>
        <w:t>1-</w:t>
      </w:r>
      <w:r w:rsidR="0077585B">
        <w:rPr>
          <w:sz w:val="20"/>
          <w:szCs w:val="20"/>
        </w:rPr>
        <w:t>2</w:t>
      </w:r>
      <w:r w:rsidRPr="00DD0B49">
        <w:rPr>
          <w:sz w:val="20"/>
          <w:szCs w:val="20"/>
        </w:rPr>
        <w:t>5</w:t>
      </w:r>
      <w:r w:rsidRPr="00DD0B49">
        <w:rPr>
          <w:sz w:val="20"/>
          <w:szCs w:val="20"/>
        </w:rPr>
        <w:tab/>
      </w:r>
      <w:r w:rsidR="007B5E8A">
        <w:rPr>
          <w:i/>
          <w:sz w:val="20"/>
          <w:szCs w:val="20"/>
        </w:rPr>
        <w:t>Ross Barros</w:t>
      </w:r>
      <w:r w:rsidRPr="00DD0B49">
        <w:rPr>
          <w:i/>
          <w:sz w:val="20"/>
          <w:szCs w:val="20"/>
        </w:rPr>
        <w:t xml:space="preserve"> v. Her Majesty the Queen</w:t>
      </w:r>
      <w:r w:rsidRPr="00DD0B49">
        <w:rPr>
          <w:sz w:val="20"/>
          <w:szCs w:val="20"/>
        </w:rPr>
        <w:t xml:space="preserve"> (</w:t>
      </w:r>
      <w:r w:rsidR="007B5E8A">
        <w:rPr>
          <w:sz w:val="20"/>
          <w:szCs w:val="20"/>
        </w:rPr>
        <w:t>Alta</w:t>
      </w:r>
      <w:r w:rsidRPr="00DD0B49">
        <w:rPr>
          <w:sz w:val="20"/>
          <w:szCs w:val="20"/>
        </w:rPr>
        <w:t xml:space="preserve">.) </w:t>
      </w:r>
      <w:r w:rsidRPr="007B5E8A">
        <w:rPr>
          <w:sz w:val="20"/>
          <w:szCs w:val="20"/>
          <w:lang w:val="fr-CA"/>
        </w:rPr>
        <w:t>(Criminal) (As of Right) (3372</w:t>
      </w:r>
      <w:r w:rsidR="007B5E8A" w:rsidRPr="007B5E8A">
        <w:rPr>
          <w:sz w:val="20"/>
          <w:szCs w:val="20"/>
          <w:lang w:val="fr-CA"/>
        </w:rPr>
        <w:t>7</w:t>
      </w:r>
      <w:r w:rsidRPr="007B5E8A">
        <w:rPr>
          <w:sz w:val="20"/>
          <w:szCs w:val="20"/>
          <w:lang w:val="fr-CA"/>
        </w:rPr>
        <w:t>)</w:t>
      </w:r>
    </w:p>
    <w:p w:rsidR="004B66B4" w:rsidRPr="007B5E8A" w:rsidRDefault="004B66B4" w:rsidP="00DD0B49">
      <w:pPr>
        <w:ind w:left="2160" w:hanging="2160"/>
        <w:jc w:val="both"/>
        <w:rPr>
          <w:sz w:val="20"/>
          <w:szCs w:val="20"/>
          <w:lang w:val="fr-CA"/>
        </w:rPr>
      </w:pPr>
    </w:p>
    <w:p w:rsidR="004B66B4" w:rsidRPr="007B5E8A" w:rsidRDefault="004B66B4" w:rsidP="00DD0B49">
      <w:pPr>
        <w:ind w:left="2160" w:hanging="2160"/>
        <w:jc w:val="both"/>
        <w:rPr>
          <w:sz w:val="20"/>
          <w:szCs w:val="20"/>
          <w:lang w:val="fr-CA"/>
        </w:rPr>
      </w:pPr>
      <w:r w:rsidRPr="007B5E8A">
        <w:rPr>
          <w:sz w:val="20"/>
          <w:szCs w:val="20"/>
          <w:lang w:val="fr-CA"/>
        </w:rPr>
        <w:t>201</w:t>
      </w:r>
      <w:r w:rsidR="0077585B" w:rsidRPr="007B5E8A">
        <w:rPr>
          <w:sz w:val="20"/>
          <w:szCs w:val="20"/>
          <w:lang w:val="fr-CA"/>
        </w:rPr>
        <w:t>1</w:t>
      </w:r>
      <w:r w:rsidRPr="007B5E8A">
        <w:rPr>
          <w:sz w:val="20"/>
          <w:szCs w:val="20"/>
          <w:lang w:val="fr-CA"/>
        </w:rPr>
        <w:t>-</w:t>
      </w:r>
      <w:r w:rsidR="0077585B" w:rsidRPr="007B5E8A">
        <w:rPr>
          <w:sz w:val="20"/>
          <w:szCs w:val="20"/>
          <w:lang w:val="fr-CA"/>
        </w:rPr>
        <w:t>0</w:t>
      </w:r>
      <w:r w:rsidRPr="007B5E8A">
        <w:rPr>
          <w:sz w:val="20"/>
          <w:szCs w:val="20"/>
          <w:lang w:val="fr-CA"/>
        </w:rPr>
        <w:t>1-</w:t>
      </w:r>
      <w:r w:rsidR="0077585B" w:rsidRPr="007B5E8A">
        <w:rPr>
          <w:sz w:val="20"/>
          <w:szCs w:val="20"/>
          <w:lang w:val="fr-CA"/>
        </w:rPr>
        <w:t>26</w:t>
      </w:r>
      <w:r w:rsidRPr="007B5E8A">
        <w:rPr>
          <w:sz w:val="20"/>
          <w:szCs w:val="20"/>
          <w:lang w:val="fr-CA"/>
        </w:rPr>
        <w:tab/>
      </w:r>
      <w:r w:rsidR="007B5E8A" w:rsidRPr="007B5E8A">
        <w:rPr>
          <w:i/>
          <w:sz w:val="20"/>
          <w:szCs w:val="20"/>
          <w:lang w:val="fr-CA"/>
        </w:rPr>
        <w:t>Gilles Doré</w:t>
      </w:r>
      <w:r w:rsidRPr="007B5E8A">
        <w:rPr>
          <w:i/>
          <w:sz w:val="20"/>
          <w:szCs w:val="20"/>
          <w:lang w:val="fr-CA"/>
        </w:rPr>
        <w:t xml:space="preserve"> </w:t>
      </w:r>
      <w:r w:rsidR="007B5E8A" w:rsidRPr="007B5E8A">
        <w:rPr>
          <w:i/>
          <w:sz w:val="20"/>
          <w:szCs w:val="20"/>
          <w:lang w:val="fr-CA"/>
        </w:rPr>
        <w:t>c</w:t>
      </w:r>
      <w:r w:rsidRPr="007B5E8A">
        <w:rPr>
          <w:i/>
          <w:sz w:val="20"/>
          <w:szCs w:val="20"/>
          <w:lang w:val="fr-CA"/>
        </w:rPr>
        <w:t>.</w:t>
      </w:r>
      <w:r w:rsidR="007B5E8A" w:rsidRPr="007B5E8A">
        <w:rPr>
          <w:i/>
          <w:sz w:val="20"/>
          <w:szCs w:val="20"/>
          <w:lang w:val="fr-CA"/>
        </w:rPr>
        <w:t>Pierre Bernard, ès qualités de syndic adjoint du Barreau du Québec et autre</w:t>
      </w:r>
      <w:r w:rsidR="00741567">
        <w:rPr>
          <w:i/>
          <w:sz w:val="20"/>
          <w:szCs w:val="20"/>
          <w:lang w:val="fr-CA"/>
        </w:rPr>
        <w:t>s</w:t>
      </w:r>
      <w:r w:rsidRPr="007B5E8A">
        <w:rPr>
          <w:sz w:val="20"/>
          <w:szCs w:val="20"/>
          <w:lang w:val="fr-CA"/>
        </w:rPr>
        <w:t xml:space="preserve"> (</w:t>
      </w:r>
      <w:r w:rsidR="007B5E8A">
        <w:rPr>
          <w:sz w:val="20"/>
          <w:szCs w:val="20"/>
          <w:lang w:val="fr-CA"/>
        </w:rPr>
        <w:t>Qc</w:t>
      </w:r>
      <w:r w:rsidRPr="007B5E8A">
        <w:rPr>
          <w:sz w:val="20"/>
          <w:szCs w:val="20"/>
          <w:lang w:val="fr-CA"/>
        </w:rPr>
        <w:t>) (Ci</w:t>
      </w:r>
      <w:r w:rsidR="007B5E8A">
        <w:rPr>
          <w:sz w:val="20"/>
          <w:szCs w:val="20"/>
          <w:lang w:val="fr-CA"/>
        </w:rPr>
        <w:t>v</w:t>
      </w:r>
      <w:r w:rsidRPr="007B5E8A">
        <w:rPr>
          <w:sz w:val="20"/>
          <w:szCs w:val="20"/>
          <w:lang w:val="fr-CA"/>
        </w:rPr>
        <w:t>il</w:t>
      </w:r>
      <w:r w:rsidR="007B5E8A">
        <w:rPr>
          <w:sz w:val="20"/>
          <w:szCs w:val="20"/>
          <w:lang w:val="fr-CA"/>
        </w:rPr>
        <w:t>e</w:t>
      </w:r>
      <w:r w:rsidRPr="007B5E8A">
        <w:rPr>
          <w:sz w:val="20"/>
          <w:szCs w:val="20"/>
          <w:lang w:val="fr-CA"/>
        </w:rPr>
        <w:t>) (A</w:t>
      </w:r>
      <w:r w:rsidR="007B5E8A">
        <w:rPr>
          <w:sz w:val="20"/>
          <w:szCs w:val="20"/>
          <w:lang w:val="fr-CA"/>
        </w:rPr>
        <w:t>utorisation</w:t>
      </w:r>
      <w:r w:rsidRPr="007B5E8A">
        <w:rPr>
          <w:sz w:val="20"/>
          <w:szCs w:val="20"/>
          <w:lang w:val="fr-CA"/>
        </w:rPr>
        <w:t>) (33</w:t>
      </w:r>
      <w:r w:rsidR="007B5E8A">
        <w:rPr>
          <w:sz w:val="20"/>
          <w:szCs w:val="20"/>
          <w:lang w:val="fr-CA"/>
        </w:rPr>
        <w:t>59</w:t>
      </w:r>
      <w:r w:rsidRPr="007B5E8A">
        <w:rPr>
          <w:sz w:val="20"/>
          <w:szCs w:val="20"/>
          <w:lang w:val="fr-CA"/>
        </w:rPr>
        <w:t>4)</w:t>
      </w:r>
    </w:p>
    <w:p w:rsidR="004B66B4" w:rsidRPr="007B5E8A" w:rsidRDefault="004B66B4" w:rsidP="00DD0B49">
      <w:pPr>
        <w:ind w:left="2160" w:hanging="2160"/>
        <w:jc w:val="both"/>
        <w:rPr>
          <w:sz w:val="20"/>
          <w:szCs w:val="20"/>
          <w:lang w:val="fr-CA"/>
        </w:rPr>
      </w:pPr>
    </w:p>
    <w:p w:rsidR="004B66B4" w:rsidRPr="00DD0B49" w:rsidRDefault="004B66B4" w:rsidP="00DD0B49">
      <w:pPr>
        <w:ind w:left="2160" w:hanging="2160"/>
        <w:jc w:val="both"/>
        <w:rPr>
          <w:sz w:val="20"/>
          <w:szCs w:val="20"/>
        </w:rPr>
      </w:pPr>
      <w:r w:rsidRPr="00DD0B49">
        <w:rPr>
          <w:sz w:val="20"/>
          <w:szCs w:val="20"/>
        </w:rPr>
        <w:t>201</w:t>
      </w:r>
      <w:r w:rsidR="0077585B">
        <w:rPr>
          <w:sz w:val="20"/>
          <w:szCs w:val="20"/>
        </w:rPr>
        <w:t>1</w:t>
      </w:r>
      <w:r w:rsidRPr="00DD0B49">
        <w:rPr>
          <w:sz w:val="20"/>
          <w:szCs w:val="20"/>
        </w:rPr>
        <w:t>-</w:t>
      </w:r>
      <w:r w:rsidR="0077585B">
        <w:rPr>
          <w:sz w:val="20"/>
          <w:szCs w:val="20"/>
        </w:rPr>
        <w:t>0</w:t>
      </w:r>
      <w:r w:rsidRPr="00DD0B49">
        <w:rPr>
          <w:sz w:val="20"/>
          <w:szCs w:val="20"/>
        </w:rPr>
        <w:t>1-</w:t>
      </w:r>
      <w:r w:rsidR="0077585B">
        <w:rPr>
          <w:sz w:val="20"/>
          <w:szCs w:val="20"/>
        </w:rPr>
        <w:t>27</w:t>
      </w:r>
      <w:r w:rsidRPr="00DD0B49">
        <w:rPr>
          <w:sz w:val="20"/>
          <w:szCs w:val="20"/>
        </w:rPr>
        <w:tab/>
      </w:r>
      <w:r w:rsidRPr="00DD0B49">
        <w:rPr>
          <w:i/>
          <w:sz w:val="20"/>
          <w:szCs w:val="20"/>
        </w:rPr>
        <w:t>Her Majesty the Quee</w:t>
      </w:r>
      <w:r w:rsidR="007B5E8A">
        <w:rPr>
          <w:i/>
          <w:sz w:val="20"/>
          <w:szCs w:val="20"/>
        </w:rPr>
        <w:t>n in Right of Alberta v.</w:t>
      </w:r>
      <w:r w:rsidR="00741567">
        <w:rPr>
          <w:i/>
          <w:sz w:val="20"/>
          <w:szCs w:val="20"/>
        </w:rPr>
        <w:t xml:space="preserve"> </w:t>
      </w:r>
      <w:r w:rsidR="007B5E8A">
        <w:rPr>
          <w:i/>
          <w:sz w:val="20"/>
          <w:szCs w:val="20"/>
        </w:rPr>
        <w:t>Elder Advocates of Alberta Society et al.</w:t>
      </w:r>
      <w:r w:rsidRPr="00DD0B49">
        <w:rPr>
          <w:sz w:val="20"/>
          <w:szCs w:val="20"/>
        </w:rPr>
        <w:t xml:space="preserve"> (</w:t>
      </w:r>
      <w:r w:rsidR="007B5E8A">
        <w:rPr>
          <w:sz w:val="20"/>
          <w:szCs w:val="20"/>
        </w:rPr>
        <w:t>Alta</w:t>
      </w:r>
      <w:r w:rsidRPr="00DD0B49">
        <w:rPr>
          <w:sz w:val="20"/>
          <w:szCs w:val="20"/>
        </w:rPr>
        <w:t>.) (Ci</w:t>
      </w:r>
      <w:r w:rsidR="007B5E8A">
        <w:rPr>
          <w:sz w:val="20"/>
          <w:szCs w:val="20"/>
        </w:rPr>
        <w:t>vi</w:t>
      </w:r>
      <w:r w:rsidRPr="00DD0B49">
        <w:rPr>
          <w:sz w:val="20"/>
          <w:szCs w:val="20"/>
        </w:rPr>
        <w:t>l) (</w:t>
      </w:r>
      <w:r w:rsidR="007B5E8A">
        <w:rPr>
          <w:sz w:val="20"/>
          <w:szCs w:val="20"/>
        </w:rPr>
        <w:t>By Leave</w:t>
      </w:r>
      <w:r w:rsidRPr="00DD0B49">
        <w:rPr>
          <w:sz w:val="20"/>
          <w:szCs w:val="20"/>
        </w:rPr>
        <w:t>) (33</w:t>
      </w:r>
      <w:r w:rsidR="007B5E8A">
        <w:rPr>
          <w:sz w:val="20"/>
          <w:szCs w:val="20"/>
        </w:rPr>
        <w:t>551</w:t>
      </w:r>
      <w:r w:rsidRPr="00DD0B49">
        <w:rPr>
          <w:sz w:val="20"/>
          <w:szCs w:val="20"/>
        </w:rPr>
        <w:t>)</w:t>
      </w:r>
    </w:p>
    <w:p w:rsidR="004B66B4" w:rsidRPr="00DD0B49" w:rsidRDefault="004B66B4" w:rsidP="00DD0B49">
      <w:pPr>
        <w:ind w:left="2160" w:hanging="2160"/>
        <w:jc w:val="both"/>
        <w:rPr>
          <w:sz w:val="20"/>
          <w:szCs w:val="20"/>
        </w:rPr>
      </w:pPr>
    </w:p>
    <w:p w:rsidR="004B66B4" w:rsidRPr="00DD0B49" w:rsidRDefault="004B66B4" w:rsidP="00DD0B49">
      <w:pPr>
        <w:ind w:left="2160" w:hanging="2160"/>
        <w:jc w:val="both"/>
        <w:rPr>
          <w:sz w:val="20"/>
          <w:szCs w:val="20"/>
        </w:rPr>
      </w:pPr>
      <w:r w:rsidRPr="007B5E8A">
        <w:rPr>
          <w:sz w:val="20"/>
          <w:szCs w:val="20"/>
        </w:rPr>
        <w:t>201</w:t>
      </w:r>
      <w:r w:rsidR="0077585B" w:rsidRPr="007B5E8A">
        <w:rPr>
          <w:sz w:val="20"/>
          <w:szCs w:val="20"/>
        </w:rPr>
        <w:t>1</w:t>
      </w:r>
      <w:r w:rsidRPr="007B5E8A">
        <w:rPr>
          <w:sz w:val="20"/>
          <w:szCs w:val="20"/>
        </w:rPr>
        <w:t>-</w:t>
      </w:r>
      <w:r w:rsidR="0077585B" w:rsidRPr="007B5E8A">
        <w:rPr>
          <w:sz w:val="20"/>
          <w:szCs w:val="20"/>
        </w:rPr>
        <w:t>0</w:t>
      </w:r>
      <w:r w:rsidRPr="007B5E8A">
        <w:rPr>
          <w:sz w:val="20"/>
          <w:szCs w:val="20"/>
        </w:rPr>
        <w:t>1-</w:t>
      </w:r>
      <w:r w:rsidR="0077585B" w:rsidRPr="007B5E8A">
        <w:rPr>
          <w:sz w:val="20"/>
          <w:szCs w:val="20"/>
        </w:rPr>
        <w:t>28</w:t>
      </w:r>
      <w:r w:rsidRPr="007B5E8A">
        <w:rPr>
          <w:sz w:val="20"/>
          <w:szCs w:val="20"/>
        </w:rPr>
        <w:tab/>
      </w:r>
      <w:r w:rsidR="007B5E8A" w:rsidRPr="007B5E8A">
        <w:rPr>
          <w:i/>
          <w:sz w:val="20"/>
          <w:szCs w:val="20"/>
        </w:rPr>
        <w:t xml:space="preserve">Bernard Gerardus Maria Berendsen et al. </w:t>
      </w:r>
      <w:r w:rsidRPr="00DD0B49">
        <w:rPr>
          <w:i/>
          <w:sz w:val="20"/>
          <w:szCs w:val="20"/>
        </w:rPr>
        <w:t xml:space="preserve">v. </w:t>
      </w:r>
      <w:r w:rsidR="007B5E8A">
        <w:rPr>
          <w:i/>
          <w:sz w:val="20"/>
          <w:szCs w:val="20"/>
        </w:rPr>
        <w:t>Her Majesty the Queen in Right of Ontario</w:t>
      </w:r>
      <w:r w:rsidRPr="00DD0B49">
        <w:rPr>
          <w:sz w:val="20"/>
          <w:szCs w:val="20"/>
        </w:rPr>
        <w:t xml:space="preserve"> (</w:t>
      </w:r>
      <w:r w:rsidR="007B5E8A">
        <w:rPr>
          <w:sz w:val="20"/>
          <w:szCs w:val="20"/>
        </w:rPr>
        <w:t>O</w:t>
      </w:r>
      <w:r w:rsidRPr="00DD0B49">
        <w:rPr>
          <w:sz w:val="20"/>
          <w:szCs w:val="20"/>
        </w:rPr>
        <w:t>n</w:t>
      </w:r>
      <w:r w:rsidR="007B5E8A">
        <w:rPr>
          <w:sz w:val="20"/>
          <w:szCs w:val="20"/>
        </w:rPr>
        <w:t>t</w:t>
      </w:r>
      <w:r w:rsidRPr="00DD0B49">
        <w:rPr>
          <w:sz w:val="20"/>
          <w:szCs w:val="20"/>
        </w:rPr>
        <w:t>.) (Civil) (By Leave) (33</w:t>
      </w:r>
      <w:r w:rsidR="007B5E8A">
        <w:rPr>
          <w:sz w:val="20"/>
          <w:szCs w:val="20"/>
        </w:rPr>
        <w:t>5</w:t>
      </w:r>
      <w:r w:rsidRPr="00DD0B49">
        <w:rPr>
          <w:sz w:val="20"/>
          <w:szCs w:val="20"/>
        </w:rPr>
        <w:t>43)</w:t>
      </w:r>
    </w:p>
    <w:p w:rsidR="004B66B4" w:rsidRPr="00DD0B49" w:rsidRDefault="004B66B4" w:rsidP="00DD0B49">
      <w:pPr>
        <w:ind w:left="2160" w:hanging="2160"/>
        <w:jc w:val="both"/>
        <w:rPr>
          <w:sz w:val="20"/>
          <w:szCs w:val="20"/>
        </w:rPr>
      </w:pPr>
    </w:p>
    <w:p w:rsidR="004B66B4" w:rsidRPr="00DD0B49" w:rsidRDefault="004B66B4" w:rsidP="004B66B4">
      <w:pPr>
        <w:ind w:left="1890" w:hanging="1890"/>
        <w:jc w:val="both"/>
        <w:rPr>
          <w:sz w:val="20"/>
          <w:szCs w:val="20"/>
        </w:rPr>
      </w:pP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E50CE1" w:rsidRDefault="005F263E" w:rsidP="005F263E">
      <w:pPr>
        <w:tabs>
          <w:tab w:val="left" w:pos="-1440"/>
          <w:tab w:val="left" w:pos="-720"/>
        </w:tabs>
        <w:ind w:left="720" w:hanging="720"/>
        <w:jc w:val="both"/>
        <w:rPr>
          <w:sz w:val="20"/>
          <w:szCs w:val="20"/>
        </w:rPr>
      </w:pPr>
    </w:p>
    <w:bookmarkStart w:id="1" w:name="1"/>
    <w:bookmarkEnd w:id="1"/>
    <w:p w:rsidR="00E50CE1" w:rsidRPr="00E50CE1" w:rsidRDefault="00532939" w:rsidP="00E50CE1">
      <w:pPr>
        <w:widowControl w:val="0"/>
        <w:ind w:left="720" w:hanging="720"/>
        <w:jc w:val="both"/>
        <w:rPr>
          <w:sz w:val="20"/>
          <w:szCs w:val="20"/>
        </w:rPr>
      </w:pPr>
      <w:r w:rsidRPr="00E50CE1">
        <w:rPr>
          <w:b/>
          <w:sz w:val="20"/>
          <w:szCs w:val="20"/>
        </w:rPr>
        <w:fldChar w:fldCharType="begin"/>
      </w:r>
      <w:r w:rsidR="00E50CE1" w:rsidRPr="00E50CE1">
        <w:rPr>
          <w:b/>
          <w:sz w:val="20"/>
          <w:szCs w:val="20"/>
        </w:rPr>
        <w:instrText xml:space="preserve"> SEQ CHAPTER \h \r 1</w:instrText>
      </w:r>
      <w:r w:rsidRPr="00E50CE1">
        <w:rPr>
          <w:b/>
          <w:sz w:val="20"/>
          <w:szCs w:val="20"/>
        </w:rPr>
        <w:fldChar w:fldCharType="end"/>
      </w:r>
      <w:r w:rsidR="00E50CE1" w:rsidRPr="00E50CE1">
        <w:rPr>
          <w:b/>
          <w:sz w:val="20"/>
          <w:szCs w:val="20"/>
        </w:rPr>
        <w:t>33554</w:t>
      </w:r>
      <w:r w:rsidR="00E50CE1" w:rsidRPr="00E50CE1">
        <w:rPr>
          <w:sz w:val="20"/>
          <w:szCs w:val="20"/>
        </w:rPr>
        <w:tab/>
      </w:r>
      <w:bookmarkStart w:id="2" w:name="3"/>
      <w:bookmarkEnd w:id="2"/>
      <w:r w:rsidR="00E50CE1" w:rsidRPr="00E50CE1">
        <w:rPr>
          <w:b/>
          <w:i/>
          <w:sz w:val="20"/>
          <w:szCs w:val="20"/>
        </w:rPr>
        <w:t>Jean</w:t>
      </w:r>
      <w:r w:rsidR="00E50CE1" w:rsidRPr="00E50CE1">
        <w:rPr>
          <w:b/>
          <w:i/>
          <w:sz w:val="20"/>
          <w:szCs w:val="20"/>
        </w:rPr>
        <w:noBreakHyphen/>
        <w:t>Marc Richard v. Time Inc. and Time Consumer Marketing Inc.</w:t>
      </w:r>
    </w:p>
    <w:p w:rsidR="00E50CE1" w:rsidRPr="00E50CE1" w:rsidRDefault="00E50CE1" w:rsidP="00E50CE1">
      <w:pPr>
        <w:widowControl w:val="0"/>
        <w:jc w:val="both"/>
        <w:rPr>
          <w:sz w:val="20"/>
          <w:szCs w:val="20"/>
        </w:rPr>
      </w:pPr>
    </w:p>
    <w:p w:rsidR="00E50CE1" w:rsidRPr="00E50CE1" w:rsidRDefault="00E50CE1" w:rsidP="00E50CE1">
      <w:pPr>
        <w:jc w:val="both"/>
        <w:rPr>
          <w:sz w:val="20"/>
          <w:szCs w:val="20"/>
        </w:rPr>
      </w:pPr>
      <w:r w:rsidRPr="00E50CE1">
        <w:rPr>
          <w:sz w:val="20"/>
          <w:szCs w:val="20"/>
        </w:rPr>
        <w:t xml:space="preserve">Consumer protection - Advertising - Misleading advertising - Sweepstake - Whether Court of Appeal modified tests for determining average consumer used in interpreting sections of </w:t>
      </w:r>
      <w:r w:rsidRPr="00E50CE1">
        <w:rPr>
          <w:i/>
          <w:sz w:val="20"/>
          <w:szCs w:val="20"/>
        </w:rPr>
        <w:t>Consumer Protection Act</w:t>
      </w:r>
      <w:r w:rsidRPr="00E50CE1">
        <w:rPr>
          <w:sz w:val="20"/>
          <w:szCs w:val="20"/>
        </w:rPr>
        <w:t>, R.S.Q., c. P</w:t>
      </w:r>
      <w:r w:rsidRPr="00E50CE1">
        <w:rPr>
          <w:sz w:val="20"/>
          <w:szCs w:val="20"/>
        </w:rPr>
        <w:noBreakHyphen/>
        <w:t xml:space="preserve">40.1, and, if so, what those tests are now - Having regard to applicable average consumer test, whether Court of Appeal erred in concluding that Respondents had not violated </w:t>
      </w:r>
      <w:r w:rsidRPr="00E50CE1">
        <w:rPr>
          <w:i/>
          <w:sz w:val="20"/>
          <w:szCs w:val="20"/>
        </w:rPr>
        <w:t>Consumer Protection Act</w:t>
      </w:r>
      <w:r w:rsidRPr="00E50CE1">
        <w:rPr>
          <w:sz w:val="20"/>
          <w:szCs w:val="20"/>
        </w:rPr>
        <w:t xml:space="preserve"> and therefore were not required to pay damages - Whether Court of Appeal should have intervened in determination of quantum of punitive damages awarded under s. 272 of </w:t>
      </w:r>
      <w:r w:rsidRPr="00E50CE1">
        <w:rPr>
          <w:i/>
          <w:sz w:val="20"/>
          <w:szCs w:val="20"/>
        </w:rPr>
        <w:t>Consumer Protection Act</w:t>
      </w:r>
      <w:r w:rsidRPr="00E50CE1">
        <w:rPr>
          <w:sz w:val="20"/>
          <w:szCs w:val="20"/>
        </w:rPr>
        <w:t xml:space="preserve"> and in determination of award of costs.</w:t>
      </w:r>
    </w:p>
    <w:p w:rsidR="00E50CE1" w:rsidRPr="00E50CE1" w:rsidRDefault="00E50CE1" w:rsidP="00E50CE1">
      <w:pPr>
        <w:widowControl w:val="0"/>
        <w:jc w:val="both"/>
        <w:rPr>
          <w:sz w:val="20"/>
          <w:szCs w:val="20"/>
        </w:rPr>
      </w:pPr>
    </w:p>
    <w:p w:rsidR="00E50CE1" w:rsidRPr="00E50CE1" w:rsidRDefault="00E50CE1" w:rsidP="00E50CE1">
      <w:pPr>
        <w:jc w:val="both"/>
        <w:rPr>
          <w:sz w:val="20"/>
          <w:szCs w:val="20"/>
        </w:rPr>
      </w:pPr>
      <w:r w:rsidRPr="00E50CE1">
        <w:rPr>
          <w:sz w:val="20"/>
          <w:szCs w:val="20"/>
        </w:rPr>
        <w:t xml:space="preserve">In 1999, Mr. Richard received an envelope sent by the Respondents that contained documents in English, one of which was entitled “Official Sweepstake Notification”.  After reading the documents, Mr. Richard concluded that he had won US$833,337.  He filled out the reply coupon and subscribed to Time magazine.  Since he did not receive his prize, he contacted Time and found out that he would not be receiving a cheque because he did not have the winning number.  He also learned that the person who had signed the documents as the sweepstake manager did not exist.  Time explained to him that the documents were merely an invitation to participate in the sweepstake and that he could win only if he had received the “Grand Prize Winning Entry” (which was not the case) and had returned it in time.  Mr. Richard therefore brought an action in damages against the Respondents alleging breach of contractual obligations and violations of the </w:t>
      </w:r>
      <w:r w:rsidRPr="00E50CE1">
        <w:rPr>
          <w:i/>
          <w:iCs/>
          <w:sz w:val="20"/>
          <w:szCs w:val="20"/>
        </w:rPr>
        <w:t>Consumer Protection Act</w:t>
      </w:r>
      <w:r w:rsidRPr="00E50CE1">
        <w:rPr>
          <w:sz w:val="20"/>
          <w:szCs w:val="20"/>
        </w:rPr>
        <w:t>.</w:t>
      </w:r>
    </w:p>
    <w:p w:rsidR="00E50CE1" w:rsidRPr="00E50CE1" w:rsidRDefault="00E50CE1" w:rsidP="00E50CE1">
      <w:pPr>
        <w:tabs>
          <w:tab w:val="left" w:pos="3901"/>
        </w:tabs>
        <w:jc w:val="both"/>
        <w:rPr>
          <w:sz w:val="20"/>
          <w:szCs w:val="20"/>
        </w:rPr>
      </w:pPr>
    </w:p>
    <w:p w:rsidR="00E50CE1" w:rsidRPr="00E50CE1" w:rsidRDefault="00E50CE1" w:rsidP="00E50CE1">
      <w:pPr>
        <w:jc w:val="both"/>
        <w:rPr>
          <w:sz w:val="20"/>
          <w:szCs w:val="20"/>
        </w:rPr>
      </w:pPr>
      <w:r w:rsidRPr="00E50CE1">
        <w:rPr>
          <w:sz w:val="20"/>
          <w:szCs w:val="20"/>
        </w:rPr>
        <w:t xml:space="preserve">The trial judge dismissed the portion of the action based on contractual liability, finding that it was impossible to conclude from a literal reading of the document at issue that it contained an unconditional offer to pay US$833,337.  However, she held that the document contained several false representations within the meaning of the </w:t>
      </w:r>
      <w:r w:rsidRPr="00E50CE1">
        <w:rPr>
          <w:i/>
          <w:iCs/>
          <w:sz w:val="20"/>
          <w:szCs w:val="20"/>
        </w:rPr>
        <w:t>Consumer Protection Act</w:t>
      </w:r>
      <w:r w:rsidRPr="00E50CE1">
        <w:rPr>
          <w:sz w:val="20"/>
          <w:szCs w:val="20"/>
        </w:rPr>
        <w:t xml:space="preserve"> and had been written with the intent to mislead readers.  In her opinion, the general impression that an average consumer would have from the document was that the recipient had won a large prize, which was not necessarily the case.  She therefore ordered the Respondents to pay Mr. Richard $1,000 in moral damages and $100,000 in exemplary damages.  The Court of Appeal reversed the decision, finding that the document contained no false or misleading representations.  In its opinion, an average consumer reading the document at issue would have understood that it was merely an [</w:t>
      </w:r>
      <w:r w:rsidRPr="00E50CE1">
        <w:rPr>
          <w:smallCaps/>
          <w:sz w:val="20"/>
          <w:szCs w:val="20"/>
        </w:rPr>
        <w:t>translation</w:t>
      </w:r>
      <w:r w:rsidRPr="00E50CE1">
        <w:rPr>
          <w:sz w:val="20"/>
          <w:szCs w:val="20"/>
        </w:rPr>
        <w:t>] “advertising game”.</w:t>
      </w:r>
    </w:p>
    <w:p w:rsidR="00E50CE1" w:rsidRPr="00E50CE1" w:rsidRDefault="00E50CE1" w:rsidP="00E50CE1">
      <w:pPr>
        <w:widowControl w:val="0"/>
        <w:jc w:val="both"/>
        <w:rPr>
          <w:sz w:val="20"/>
          <w:szCs w:val="20"/>
        </w:rPr>
      </w:pPr>
    </w:p>
    <w:p w:rsidR="00E50CE1" w:rsidRPr="00E50CE1" w:rsidRDefault="00E50CE1" w:rsidP="00E50CE1">
      <w:pPr>
        <w:widowControl w:val="0"/>
        <w:jc w:val="both"/>
        <w:rPr>
          <w:sz w:val="20"/>
          <w:szCs w:val="20"/>
        </w:rPr>
      </w:pPr>
    </w:p>
    <w:p w:rsidR="00E50CE1" w:rsidRPr="00E50CE1" w:rsidRDefault="00E50CE1" w:rsidP="00E50CE1">
      <w:pPr>
        <w:widowControl w:val="0"/>
        <w:jc w:val="both"/>
        <w:rPr>
          <w:sz w:val="20"/>
          <w:szCs w:val="20"/>
        </w:rPr>
      </w:pPr>
      <w:r w:rsidRPr="00E50CE1">
        <w:rPr>
          <w:sz w:val="20"/>
          <w:szCs w:val="20"/>
        </w:rPr>
        <w:t>Origin of the case:</w:t>
      </w:r>
      <w:r w:rsidRPr="00E50CE1">
        <w:rPr>
          <w:sz w:val="20"/>
          <w:szCs w:val="20"/>
        </w:rPr>
        <w:tab/>
      </w:r>
      <w:r w:rsidRPr="00E50CE1">
        <w:rPr>
          <w:sz w:val="20"/>
          <w:szCs w:val="20"/>
        </w:rPr>
        <w:tab/>
      </w:r>
      <w:bookmarkStart w:id="3" w:name="4"/>
      <w:bookmarkEnd w:id="3"/>
      <w:r w:rsidRPr="00E50CE1">
        <w:rPr>
          <w:sz w:val="20"/>
          <w:szCs w:val="20"/>
        </w:rPr>
        <w:t>Quebec</w:t>
      </w:r>
    </w:p>
    <w:p w:rsidR="00E50CE1" w:rsidRPr="00E50CE1" w:rsidRDefault="00E50CE1" w:rsidP="00E50CE1">
      <w:pPr>
        <w:widowControl w:val="0"/>
        <w:jc w:val="both"/>
        <w:rPr>
          <w:sz w:val="20"/>
          <w:szCs w:val="20"/>
        </w:rPr>
      </w:pPr>
    </w:p>
    <w:p w:rsidR="00E50CE1" w:rsidRPr="00E50CE1" w:rsidRDefault="00E50CE1" w:rsidP="00E50CE1">
      <w:pPr>
        <w:widowControl w:val="0"/>
        <w:jc w:val="both"/>
        <w:rPr>
          <w:sz w:val="20"/>
          <w:szCs w:val="20"/>
        </w:rPr>
      </w:pPr>
      <w:r w:rsidRPr="00E50CE1">
        <w:rPr>
          <w:sz w:val="20"/>
          <w:szCs w:val="20"/>
        </w:rPr>
        <w:t>File No.:</w:t>
      </w:r>
      <w:r w:rsidRPr="00E50CE1">
        <w:rPr>
          <w:sz w:val="20"/>
          <w:szCs w:val="20"/>
        </w:rPr>
        <w:tab/>
      </w:r>
      <w:r w:rsidRPr="00E50CE1">
        <w:rPr>
          <w:sz w:val="20"/>
          <w:szCs w:val="20"/>
        </w:rPr>
        <w:tab/>
      </w:r>
      <w:r w:rsidRPr="00E50CE1">
        <w:rPr>
          <w:sz w:val="20"/>
          <w:szCs w:val="20"/>
        </w:rPr>
        <w:tab/>
      </w:r>
      <w:r>
        <w:rPr>
          <w:sz w:val="20"/>
          <w:szCs w:val="20"/>
        </w:rPr>
        <w:tab/>
      </w:r>
      <w:bookmarkStart w:id="4" w:name="2"/>
      <w:bookmarkEnd w:id="4"/>
      <w:r w:rsidRPr="00E50CE1">
        <w:rPr>
          <w:sz w:val="20"/>
          <w:szCs w:val="20"/>
        </w:rPr>
        <w:t>33554</w:t>
      </w:r>
    </w:p>
    <w:p w:rsidR="00E50CE1" w:rsidRPr="00E50CE1" w:rsidRDefault="00E50CE1" w:rsidP="00E50CE1">
      <w:pPr>
        <w:widowControl w:val="0"/>
        <w:jc w:val="both"/>
        <w:rPr>
          <w:sz w:val="20"/>
          <w:szCs w:val="20"/>
        </w:rPr>
      </w:pPr>
    </w:p>
    <w:p w:rsidR="00E50CE1" w:rsidRPr="00E50CE1" w:rsidRDefault="00E50CE1" w:rsidP="00E50CE1">
      <w:pPr>
        <w:widowControl w:val="0"/>
        <w:jc w:val="both"/>
        <w:rPr>
          <w:sz w:val="20"/>
          <w:szCs w:val="20"/>
        </w:rPr>
      </w:pPr>
      <w:r w:rsidRPr="00E50CE1">
        <w:rPr>
          <w:sz w:val="20"/>
          <w:szCs w:val="20"/>
        </w:rPr>
        <w:t>Judgment of the Court of Appeal:</w:t>
      </w:r>
      <w:r w:rsidRPr="00E50CE1">
        <w:rPr>
          <w:sz w:val="20"/>
          <w:szCs w:val="20"/>
        </w:rPr>
        <w:tab/>
        <w:t>December 10, 2009</w:t>
      </w:r>
    </w:p>
    <w:p w:rsidR="00E50CE1" w:rsidRPr="00E50CE1" w:rsidRDefault="00E50CE1" w:rsidP="00E50CE1">
      <w:pPr>
        <w:widowControl w:val="0"/>
        <w:jc w:val="both"/>
        <w:rPr>
          <w:sz w:val="20"/>
          <w:szCs w:val="20"/>
        </w:rPr>
      </w:pPr>
    </w:p>
    <w:p w:rsidR="00E50CE1" w:rsidRPr="00E50CE1" w:rsidRDefault="00E50CE1" w:rsidP="000103C9">
      <w:pPr>
        <w:widowControl w:val="0"/>
        <w:jc w:val="both"/>
        <w:rPr>
          <w:sz w:val="20"/>
          <w:szCs w:val="20"/>
        </w:rPr>
      </w:pPr>
      <w:r w:rsidRPr="00E50CE1">
        <w:rPr>
          <w:sz w:val="20"/>
          <w:szCs w:val="20"/>
        </w:rPr>
        <w:t>Counsel:</w:t>
      </w:r>
      <w:r w:rsidRPr="00E50CE1">
        <w:rPr>
          <w:sz w:val="20"/>
          <w:szCs w:val="20"/>
        </w:rPr>
        <w:tab/>
      </w:r>
      <w:bookmarkStart w:id="5" w:name="6"/>
      <w:bookmarkEnd w:id="5"/>
      <w:r w:rsidR="000103C9">
        <w:rPr>
          <w:sz w:val="20"/>
          <w:szCs w:val="20"/>
        </w:rPr>
        <w:tab/>
      </w:r>
      <w:r w:rsidR="000103C9">
        <w:rPr>
          <w:sz w:val="20"/>
          <w:szCs w:val="20"/>
        </w:rPr>
        <w:tab/>
      </w:r>
      <w:r w:rsidR="000103C9">
        <w:rPr>
          <w:sz w:val="20"/>
          <w:szCs w:val="20"/>
        </w:rPr>
        <w:tab/>
      </w:r>
      <w:r w:rsidRPr="00E50CE1">
        <w:rPr>
          <w:sz w:val="20"/>
          <w:szCs w:val="20"/>
        </w:rPr>
        <w:t>Hubert Sibre and Annie Claude Beauchemin for the Appellant</w:t>
      </w:r>
    </w:p>
    <w:p w:rsidR="00E50CE1" w:rsidRPr="00E50CE1" w:rsidRDefault="00E50CE1" w:rsidP="00E50CE1">
      <w:pPr>
        <w:widowControl w:val="0"/>
        <w:jc w:val="both"/>
        <w:rPr>
          <w:sz w:val="20"/>
          <w:szCs w:val="20"/>
        </w:rPr>
      </w:pPr>
      <w:r w:rsidRPr="00E50CE1">
        <w:rPr>
          <w:sz w:val="20"/>
          <w:szCs w:val="20"/>
        </w:rPr>
        <w:tab/>
      </w:r>
      <w:r w:rsidRPr="00E50CE1">
        <w:rPr>
          <w:sz w:val="20"/>
          <w:szCs w:val="20"/>
        </w:rPr>
        <w:tab/>
      </w:r>
      <w:r w:rsidRPr="00E50CE1">
        <w:rPr>
          <w:sz w:val="20"/>
          <w:szCs w:val="20"/>
        </w:rPr>
        <w:tab/>
      </w:r>
      <w:r w:rsidRPr="00E50CE1">
        <w:rPr>
          <w:sz w:val="20"/>
          <w:szCs w:val="20"/>
        </w:rPr>
        <w:tab/>
      </w:r>
      <w:bookmarkStart w:id="6" w:name="7"/>
      <w:bookmarkEnd w:id="6"/>
      <w:r w:rsidRPr="00E50CE1">
        <w:rPr>
          <w:sz w:val="20"/>
          <w:szCs w:val="20"/>
        </w:rPr>
        <w:t>Pascale Cloutier and Fadi Amine for the Respondents</w:t>
      </w:r>
    </w:p>
    <w:p w:rsidR="00E50CE1" w:rsidRDefault="00E50CE1" w:rsidP="005F263E">
      <w:pPr>
        <w:tabs>
          <w:tab w:val="left" w:pos="-1440"/>
          <w:tab w:val="left" w:pos="-720"/>
        </w:tabs>
        <w:ind w:left="720" w:hanging="720"/>
        <w:jc w:val="both"/>
        <w:rPr>
          <w:sz w:val="20"/>
          <w:szCs w:val="20"/>
        </w:rPr>
      </w:pPr>
    </w:p>
    <w:p w:rsidR="000B3C9A" w:rsidRDefault="00532939" w:rsidP="000B3C9A">
      <w:pPr>
        <w:tabs>
          <w:tab w:val="left" w:pos="-1440"/>
          <w:tab w:val="left" w:pos="-720"/>
        </w:tabs>
        <w:jc w:val="both"/>
        <w:rPr>
          <w:sz w:val="20"/>
          <w:szCs w:val="20"/>
          <w:lang w:val="fr-CA"/>
        </w:rPr>
      </w:pPr>
      <w:r w:rsidRPr="00532939">
        <w:rPr>
          <w:sz w:val="20"/>
          <w:szCs w:val="20"/>
          <w:lang w:val="fr-CA"/>
        </w:rPr>
        <w:pict>
          <v:rect id="_x0000_i1044" style="width:2in;height:1pt" o:hrpct="0" o:hralign="center" o:hrstd="t" o:hrnoshade="t" o:hr="t" fillcolor="black [3213]" stroked="f"/>
        </w:pict>
      </w:r>
    </w:p>
    <w:p w:rsidR="000103C9" w:rsidRDefault="000103C9">
      <w:pPr>
        <w:rPr>
          <w:sz w:val="20"/>
          <w:szCs w:val="20"/>
          <w:lang w:val="fr-CA"/>
        </w:rPr>
      </w:pPr>
      <w:r>
        <w:rPr>
          <w:sz w:val="20"/>
          <w:szCs w:val="20"/>
          <w:lang w:val="fr-CA"/>
        </w:rPr>
        <w:br w:type="page"/>
      </w:r>
    </w:p>
    <w:p w:rsidR="000103C9" w:rsidRPr="000103C9" w:rsidRDefault="00532939" w:rsidP="000103C9">
      <w:pPr>
        <w:widowControl w:val="0"/>
        <w:ind w:left="720" w:hanging="720"/>
        <w:jc w:val="both"/>
        <w:rPr>
          <w:sz w:val="20"/>
          <w:szCs w:val="20"/>
          <w:lang w:val="fr-CA"/>
        </w:rPr>
      </w:pPr>
      <w:r w:rsidRPr="00532939">
        <w:rPr>
          <w:b/>
          <w:sz w:val="20"/>
          <w:szCs w:val="20"/>
          <w:lang w:val="fr-CA"/>
        </w:rPr>
        <w:lastRenderedPageBreak/>
        <w:fldChar w:fldCharType="begin"/>
      </w:r>
      <w:r w:rsidR="000103C9" w:rsidRPr="000103C9">
        <w:rPr>
          <w:b/>
          <w:sz w:val="20"/>
          <w:szCs w:val="20"/>
          <w:lang w:val="fr-CA"/>
        </w:rPr>
        <w:instrText xml:space="preserve"> SEQ CHAPTER \h \r 1</w:instrText>
      </w:r>
      <w:r w:rsidRPr="000103C9">
        <w:rPr>
          <w:b/>
          <w:sz w:val="20"/>
          <w:szCs w:val="20"/>
        </w:rPr>
        <w:fldChar w:fldCharType="end"/>
      </w:r>
      <w:r w:rsidR="000103C9" w:rsidRPr="000103C9">
        <w:rPr>
          <w:b/>
          <w:sz w:val="20"/>
          <w:szCs w:val="20"/>
          <w:lang w:val="fr-CA"/>
        </w:rPr>
        <w:t>33554</w:t>
      </w:r>
      <w:r w:rsidR="000103C9" w:rsidRPr="000103C9">
        <w:rPr>
          <w:sz w:val="20"/>
          <w:szCs w:val="20"/>
          <w:lang w:val="fr-CA"/>
        </w:rPr>
        <w:tab/>
      </w:r>
      <w:r w:rsidR="000103C9" w:rsidRPr="000103C9">
        <w:rPr>
          <w:b/>
          <w:i/>
          <w:sz w:val="20"/>
          <w:szCs w:val="20"/>
          <w:lang w:val="fr-CA"/>
        </w:rPr>
        <w:t>Jean</w:t>
      </w:r>
      <w:r w:rsidR="000103C9" w:rsidRPr="000103C9">
        <w:rPr>
          <w:b/>
          <w:i/>
          <w:sz w:val="20"/>
          <w:szCs w:val="20"/>
          <w:lang w:val="fr-CA"/>
        </w:rPr>
        <w:noBreakHyphen/>
        <w:t>Marc Richard c. Time Inc. et Time Consumer Marketing Inc.</w:t>
      </w:r>
    </w:p>
    <w:p w:rsidR="000103C9" w:rsidRPr="000103C9" w:rsidRDefault="000103C9" w:rsidP="000103C9">
      <w:pPr>
        <w:widowControl w:val="0"/>
        <w:jc w:val="both"/>
        <w:rPr>
          <w:sz w:val="20"/>
          <w:szCs w:val="20"/>
          <w:lang w:val="fr-CA"/>
        </w:rPr>
      </w:pPr>
    </w:p>
    <w:p w:rsidR="000103C9" w:rsidRPr="000103C9" w:rsidRDefault="00532939" w:rsidP="000103C9">
      <w:pPr>
        <w:jc w:val="both"/>
        <w:rPr>
          <w:sz w:val="20"/>
          <w:szCs w:val="20"/>
          <w:lang w:val="fr-CA"/>
        </w:rPr>
      </w:pPr>
      <w:r w:rsidRPr="000103C9">
        <w:rPr>
          <w:sz w:val="20"/>
          <w:szCs w:val="20"/>
        </w:rPr>
        <w:fldChar w:fldCharType="begin"/>
      </w:r>
      <w:r w:rsidR="000103C9" w:rsidRPr="000103C9">
        <w:rPr>
          <w:sz w:val="20"/>
          <w:szCs w:val="20"/>
          <w:lang w:val="fr-CA"/>
        </w:rPr>
        <w:instrText xml:space="preserve"> SEQ CHAPTER \h \r 1</w:instrText>
      </w:r>
      <w:r w:rsidRPr="000103C9">
        <w:rPr>
          <w:sz w:val="20"/>
          <w:szCs w:val="20"/>
        </w:rPr>
        <w:fldChar w:fldCharType="end"/>
      </w:r>
      <w:r w:rsidR="000103C9" w:rsidRPr="000103C9">
        <w:rPr>
          <w:sz w:val="20"/>
          <w:szCs w:val="20"/>
          <w:lang w:val="fr-CA"/>
        </w:rPr>
        <w:t>Protection du consommateur - Publicité - Publicité trompeuse - Sweepstake - La Cour d’appel a</w:t>
      </w:r>
      <w:r w:rsidR="000103C9" w:rsidRPr="000103C9">
        <w:rPr>
          <w:sz w:val="20"/>
          <w:szCs w:val="20"/>
          <w:lang w:val="fr-CA"/>
        </w:rPr>
        <w:noBreakHyphen/>
        <w:t>t</w:t>
      </w:r>
      <w:r w:rsidR="000103C9" w:rsidRPr="000103C9">
        <w:rPr>
          <w:sz w:val="20"/>
          <w:szCs w:val="20"/>
          <w:lang w:val="fr-CA"/>
        </w:rPr>
        <w:noBreakHyphen/>
        <w:t xml:space="preserve">elle modifié les critères applicables à la détermination du consommateur moyen utilisés dans le cadre de l’interprétation des articles de la </w:t>
      </w:r>
      <w:r w:rsidR="000103C9" w:rsidRPr="000103C9">
        <w:rPr>
          <w:i/>
          <w:sz w:val="20"/>
          <w:szCs w:val="20"/>
          <w:lang w:val="fr-CA"/>
        </w:rPr>
        <w:t>Loi sur la protection du consommateur</w:t>
      </w:r>
      <w:r w:rsidR="000103C9" w:rsidRPr="000103C9">
        <w:rPr>
          <w:sz w:val="20"/>
          <w:szCs w:val="20"/>
          <w:lang w:val="fr-CA"/>
        </w:rPr>
        <w:t>, L.R.Q., ch. P</w:t>
      </w:r>
      <w:r w:rsidR="000103C9" w:rsidRPr="000103C9">
        <w:rPr>
          <w:sz w:val="20"/>
          <w:szCs w:val="20"/>
          <w:lang w:val="fr-CA"/>
        </w:rPr>
        <w:noBreakHyphen/>
        <w:t>40.1, et si oui, quels sont maintenant ces critères? - Considérant le critère du consommateur moyen applicable, la Cour d’appel a</w:t>
      </w:r>
      <w:r w:rsidR="000103C9" w:rsidRPr="000103C9">
        <w:rPr>
          <w:sz w:val="20"/>
          <w:szCs w:val="20"/>
          <w:lang w:val="fr-CA"/>
        </w:rPr>
        <w:noBreakHyphen/>
        <w:t>t</w:t>
      </w:r>
      <w:r w:rsidR="000103C9" w:rsidRPr="000103C9">
        <w:rPr>
          <w:sz w:val="20"/>
          <w:szCs w:val="20"/>
          <w:lang w:val="fr-CA"/>
        </w:rPr>
        <w:noBreakHyphen/>
        <w:t xml:space="preserve">elle erré lorsqu’elle a conclu que les intimées n’ont pas contrevenu à la </w:t>
      </w:r>
      <w:r w:rsidR="000103C9" w:rsidRPr="000103C9">
        <w:rPr>
          <w:i/>
          <w:sz w:val="20"/>
          <w:szCs w:val="20"/>
          <w:lang w:val="fr-CA"/>
        </w:rPr>
        <w:t>Loi sur la protection du consommateur</w:t>
      </w:r>
      <w:r w:rsidR="000103C9" w:rsidRPr="000103C9">
        <w:rPr>
          <w:sz w:val="20"/>
          <w:szCs w:val="20"/>
          <w:lang w:val="fr-CA"/>
        </w:rPr>
        <w:t xml:space="preserve"> et qu’elles n’étaient donc pas tenues au paiement de dommages</w:t>
      </w:r>
      <w:r w:rsidR="000103C9" w:rsidRPr="000103C9">
        <w:rPr>
          <w:sz w:val="20"/>
          <w:szCs w:val="20"/>
          <w:lang w:val="fr-CA"/>
        </w:rPr>
        <w:noBreakHyphen/>
        <w:t>intérêts? - La Cour d’appel devait</w:t>
      </w:r>
      <w:r w:rsidR="000103C9" w:rsidRPr="000103C9">
        <w:rPr>
          <w:sz w:val="20"/>
          <w:szCs w:val="20"/>
          <w:lang w:val="fr-CA"/>
        </w:rPr>
        <w:noBreakHyphen/>
        <w:t>elle intervenir dans la détermination du quantum des dommages</w:t>
      </w:r>
      <w:r w:rsidR="000103C9" w:rsidRPr="000103C9">
        <w:rPr>
          <w:sz w:val="20"/>
          <w:szCs w:val="20"/>
          <w:lang w:val="fr-CA"/>
        </w:rPr>
        <w:noBreakHyphen/>
        <w:t xml:space="preserve">intérêts punitifs octroyés en vertu de l’art. 272 de la </w:t>
      </w:r>
      <w:r w:rsidR="000103C9" w:rsidRPr="000103C9">
        <w:rPr>
          <w:i/>
          <w:sz w:val="20"/>
          <w:szCs w:val="20"/>
          <w:lang w:val="fr-CA"/>
        </w:rPr>
        <w:t>Loi sur la protection du consommateur</w:t>
      </w:r>
      <w:r w:rsidR="000103C9" w:rsidRPr="000103C9">
        <w:rPr>
          <w:sz w:val="20"/>
          <w:szCs w:val="20"/>
          <w:lang w:val="fr-CA"/>
        </w:rPr>
        <w:t xml:space="preserve"> et dans la détermination de l’attribution des dépens?</w:t>
      </w:r>
    </w:p>
    <w:p w:rsidR="000103C9" w:rsidRPr="000103C9" w:rsidRDefault="000103C9" w:rsidP="000103C9">
      <w:pPr>
        <w:widowControl w:val="0"/>
        <w:jc w:val="both"/>
        <w:rPr>
          <w:sz w:val="20"/>
          <w:szCs w:val="20"/>
          <w:lang w:val="fr-CA"/>
        </w:rPr>
      </w:pPr>
    </w:p>
    <w:p w:rsidR="000103C9" w:rsidRPr="000103C9" w:rsidRDefault="000103C9" w:rsidP="000103C9">
      <w:pPr>
        <w:jc w:val="both"/>
        <w:rPr>
          <w:sz w:val="20"/>
          <w:szCs w:val="20"/>
          <w:lang w:val="fr-CA"/>
        </w:rPr>
      </w:pPr>
      <w:r w:rsidRPr="000103C9">
        <w:rPr>
          <w:sz w:val="20"/>
          <w:szCs w:val="20"/>
          <w:lang w:val="fr-CA"/>
        </w:rPr>
        <w:t>En 1999, M. Richard reçoit une enveloppe envoyée par les intimées contenant des documents rédigés en anglais dont l’un est intitulé « Official Sweepstake Notification ».  À la lecture des documents, M. Richard conclut qu’il a gagné une somme de 833 337 $US.  Il remplit le coupon</w:t>
      </w:r>
      <w:r w:rsidRPr="000103C9">
        <w:rPr>
          <w:sz w:val="20"/>
          <w:szCs w:val="20"/>
          <w:lang w:val="fr-CA"/>
        </w:rPr>
        <w:noBreakHyphen/>
        <w:t>réponse et s’abonne à la revue Time.  N’ayant pas reçu son prix, M. Richard contacte Time et apprend qu’il ne recevra pas de chèque puisqu’il ne détenait pas le numéro gagnant.  Il apprend aussi que la personne ayant signé les documents à titre de directrice du sweepstake n’existe pas.  Time lui explique que les documents ne constituaient qu’une invitation à participer au sweepstake et que, pour gagner, il devait avoir reçu le « Grand Prize Winning Entry » (ce qui n’était pas le cas) et l’avoir retourné à temps.  Monsieur Richard intente alors une action en dommages</w:t>
      </w:r>
      <w:r w:rsidRPr="000103C9">
        <w:rPr>
          <w:sz w:val="20"/>
          <w:szCs w:val="20"/>
          <w:lang w:val="fr-CA"/>
        </w:rPr>
        <w:noBreakHyphen/>
        <w:t xml:space="preserve">intérêts contre les intimées.  Il allègue des violations d’obligations contractuelles ainsi que des contraventions à la </w:t>
      </w:r>
      <w:r w:rsidRPr="000103C9">
        <w:rPr>
          <w:i/>
          <w:sz w:val="20"/>
          <w:szCs w:val="20"/>
          <w:lang w:val="fr-CA"/>
        </w:rPr>
        <w:t>Loi sur la protection du consommateur</w:t>
      </w:r>
      <w:r w:rsidRPr="000103C9">
        <w:rPr>
          <w:sz w:val="20"/>
          <w:szCs w:val="20"/>
          <w:lang w:val="fr-CA"/>
        </w:rPr>
        <w:t>.</w:t>
      </w:r>
    </w:p>
    <w:p w:rsidR="000103C9" w:rsidRPr="000103C9" w:rsidRDefault="000103C9" w:rsidP="000103C9">
      <w:pPr>
        <w:tabs>
          <w:tab w:val="left" w:pos="3901"/>
        </w:tabs>
        <w:jc w:val="both"/>
        <w:rPr>
          <w:sz w:val="20"/>
          <w:szCs w:val="20"/>
          <w:lang w:val="fr-CA"/>
        </w:rPr>
      </w:pPr>
      <w:r w:rsidRPr="000103C9">
        <w:rPr>
          <w:sz w:val="20"/>
          <w:szCs w:val="20"/>
          <w:lang w:val="fr-CA"/>
        </w:rPr>
        <w:tab/>
      </w:r>
    </w:p>
    <w:p w:rsidR="000103C9" w:rsidRPr="000103C9" w:rsidRDefault="000103C9" w:rsidP="000103C9">
      <w:pPr>
        <w:jc w:val="both"/>
        <w:rPr>
          <w:sz w:val="20"/>
          <w:szCs w:val="20"/>
          <w:lang w:val="fr-CA"/>
        </w:rPr>
      </w:pPr>
      <w:r w:rsidRPr="000103C9">
        <w:rPr>
          <w:sz w:val="20"/>
          <w:szCs w:val="20"/>
          <w:lang w:val="fr-CA"/>
        </w:rPr>
        <w:t xml:space="preserve">La juge de première instance rejette la portion du recours fondée sur la responsabilité contractuelle.  Elle estime que selon une lecture littérale du texte en litige, il est impossible de conclure qu’il s’agissait d’une offre inconditionnelle de payer 833 337 $US.  Elle juge toutefois que le texte contenait plusieurs fausses représentations au sens de la </w:t>
      </w:r>
      <w:r w:rsidRPr="000103C9">
        <w:rPr>
          <w:i/>
          <w:sz w:val="20"/>
          <w:szCs w:val="20"/>
          <w:lang w:val="fr-CA"/>
        </w:rPr>
        <w:t>Loi sur la protection du consommateur</w:t>
      </w:r>
      <w:r w:rsidRPr="000103C9">
        <w:rPr>
          <w:sz w:val="20"/>
          <w:szCs w:val="20"/>
          <w:lang w:val="fr-CA"/>
        </w:rPr>
        <w:t xml:space="preserve"> et qu’il était rédigé dans le but de tromper le lecteur.  Selon elle, l’impression générale qui se dégage du texte, selon la perspective du consommateur moyen, est que le destinataire a gagné un prix important, alors que tel n’est pas nécessairement le cas en réalité.  Elle condamne en conséquence les intimées à payer à M. Richard 1 000 $ à titre de dommages moraux et 100 000 $ à titre de dommages</w:t>
      </w:r>
      <w:r w:rsidRPr="000103C9">
        <w:rPr>
          <w:sz w:val="20"/>
          <w:szCs w:val="20"/>
          <w:lang w:val="fr-CA"/>
        </w:rPr>
        <w:noBreakHyphen/>
        <w:t>intérêts exemplaires.  La Cour d’appel renverse la décision.  Elle juge que le texte ne comporte pas de déclarations fausses ou trompeuses.  Selon elle, le consommateur moyen qui aurait lu le texte en litige aurait compris qu’il ne s’agissait que d’un « jeu à saveur publicitaire ».</w:t>
      </w:r>
    </w:p>
    <w:p w:rsidR="000103C9" w:rsidRPr="000103C9" w:rsidRDefault="000103C9" w:rsidP="000103C9">
      <w:pPr>
        <w:widowControl w:val="0"/>
        <w:jc w:val="both"/>
        <w:rPr>
          <w:sz w:val="20"/>
          <w:szCs w:val="20"/>
          <w:lang w:val="fr-CA"/>
        </w:rPr>
      </w:pPr>
    </w:p>
    <w:p w:rsidR="000103C9" w:rsidRPr="000103C9" w:rsidRDefault="000103C9" w:rsidP="000103C9">
      <w:pPr>
        <w:widowControl w:val="0"/>
        <w:jc w:val="both"/>
        <w:rPr>
          <w:sz w:val="20"/>
          <w:szCs w:val="20"/>
          <w:lang w:val="fr-CA"/>
        </w:rPr>
      </w:pPr>
    </w:p>
    <w:p w:rsidR="000103C9" w:rsidRPr="000103C9" w:rsidRDefault="000103C9" w:rsidP="000103C9">
      <w:pPr>
        <w:widowControl w:val="0"/>
        <w:jc w:val="both"/>
        <w:rPr>
          <w:sz w:val="20"/>
          <w:szCs w:val="20"/>
          <w:lang w:val="fr-CA"/>
        </w:rPr>
      </w:pPr>
      <w:r w:rsidRPr="000103C9">
        <w:rPr>
          <w:sz w:val="20"/>
          <w:szCs w:val="20"/>
          <w:lang w:val="fr-CA"/>
        </w:rPr>
        <w:t>Origine :</w:t>
      </w:r>
      <w:r w:rsidRPr="000103C9">
        <w:rPr>
          <w:sz w:val="20"/>
          <w:szCs w:val="20"/>
          <w:lang w:val="fr-CA"/>
        </w:rPr>
        <w:tab/>
      </w:r>
      <w:r w:rsidRPr="000103C9">
        <w:rPr>
          <w:sz w:val="20"/>
          <w:szCs w:val="20"/>
          <w:lang w:val="fr-CA"/>
        </w:rPr>
        <w:tab/>
      </w:r>
      <w:r w:rsidRPr="000103C9">
        <w:rPr>
          <w:sz w:val="20"/>
          <w:szCs w:val="20"/>
          <w:lang w:val="fr-CA"/>
        </w:rPr>
        <w:tab/>
      </w:r>
      <w:r w:rsidRPr="000103C9">
        <w:rPr>
          <w:sz w:val="20"/>
          <w:szCs w:val="20"/>
          <w:lang w:val="fr-CA"/>
        </w:rPr>
        <w:tab/>
        <w:t>Québec</w:t>
      </w:r>
    </w:p>
    <w:p w:rsidR="000103C9" w:rsidRPr="000103C9" w:rsidRDefault="000103C9" w:rsidP="000103C9">
      <w:pPr>
        <w:widowControl w:val="0"/>
        <w:jc w:val="both"/>
        <w:rPr>
          <w:sz w:val="20"/>
          <w:szCs w:val="20"/>
          <w:lang w:val="fr-CA"/>
        </w:rPr>
      </w:pPr>
    </w:p>
    <w:p w:rsidR="000103C9" w:rsidRPr="000103C9" w:rsidRDefault="000103C9" w:rsidP="000103C9">
      <w:pPr>
        <w:widowControl w:val="0"/>
        <w:jc w:val="both"/>
        <w:rPr>
          <w:sz w:val="20"/>
          <w:szCs w:val="20"/>
          <w:lang w:val="fr-CA"/>
        </w:rPr>
      </w:pPr>
      <w:r w:rsidRPr="000103C9">
        <w:rPr>
          <w:sz w:val="20"/>
          <w:szCs w:val="20"/>
          <w:lang w:val="fr-CA"/>
        </w:rPr>
        <w:t>N</w:t>
      </w:r>
      <w:r w:rsidRPr="000103C9">
        <w:rPr>
          <w:sz w:val="20"/>
          <w:szCs w:val="20"/>
          <w:vertAlign w:val="superscript"/>
          <w:lang w:val="fr-CA"/>
        </w:rPr>
        <w:t>o</w:t>
      </w:r>
      <w:r w:rsidRPr="000103C9">
        <w:rPr>
          <w:sz w:val="20"/>
          <w:szCs w:val="20"/>
          <w:lang w:val="fr-CA"/>
        </w:rPr>
        <w:t xml:space="preserve"> du greffe :</w:t>
      </w:r>
      <w:r w:rsidRPr="000103C9">
        <w:rPr>
          <w:sz w:val="20"/>
          <w:szCs w:val="20"/>
          <w:lang w:val="fr-CA"/>
        </w:rPr>
        <w:tab/>
      </w:r>
      <w:r w:rsidRPr="000103C9">
        <w:rPr>
          <w:sz w:val="20"/>
          <w:szCs w:val="20"/>
          <w:lang w:val="fr-CA"/>
        </w:rPr>
        <w:tab/>
      </w:r>
      <w:r w:rsidRPr="000103C9">
        <w:rPr>
          <w:sz w:val="20"/>
          <w:szCs w:val="20"/>
          <w:lang w:val="fr-CA"/>
        </w:rPr>
        <w:tab/>
        <w:t>33554</w:t>
      </w:r>
    </w:p>
    <w:p w:rsidR="000103C9" w:rsidRPr="000103C9" w:rsidRDefault="000103C9" w:rsidP="000103C9">
      <w:pPr>
        <w:widowControl w:val="0"/>
        <w:jc w:val="both"/>
        <w:rPr>
          <w:sz w:val="20"/>
          <w:szCs w:val="20"/>
          <w:lang w:val="fr-CA"/>
        </w:rPr>
      </w:pPr>
    </w:p>
    <w:p w:rsidR="000103C9" w:rsidRPr="000103C9" w:rsidRDefault="000103C9" w:rsidP="000103C9">
      <w:pPr>
        <w:widowControl w:val="0"/>
        <w:jc w:val="both"/>
        <w:rPr>
          <w:sz w:val="20"/>
          <w:szCs w:val="20"/>
          <w:lang w:val="fr-CA"/>
        </w:rPr>
      </w:pPr>
      <w:r w:rsidRPr="000103C9">
        <w:rPr>
          <w:sz w:val="20"/>
          <w:szCs w:val="20"/>
          <w:lang w:val="fr-CA"/>
        </w:rPr>
        <w:t>Arrêt de la Cour d’appel :</w:t>
      </w:r>
      <w:r w:rsidRPr="000103C9">
        <w:rPr>
          <w:sz w:val="20"/>
          <w:szCs w:val="20"/>
          <w:lang w:val="fr-CA"/>
        </w:rPr>
        <w:tab/>
      </w:r>
      <w:r w:rsidRPr="000103C9">
        <w:rPr>
          <w:sz w:val="20"/>
          <w:szCs w:val="20"/>
          <w:lang w:val="fr-CA"/>
        </w:rPr>
        <w:tab/>
        <w:t xml:space="preserve">Le </w:t>
      </w:r>
      <w:bookmarkStart w:id="7" w:name="5"/>
      <w:bookmarkEnd w:id="7"/>
      <w:r w:rsidRPr="000103C9">
        <w:rPr>
          <w:sz w:val="20"/>
          <w:szCs w:val="20"/>
          <w:lang w:val="fr-CA"/>
        </w:rPr>
        <w:t>10 décembre 2009</w:t>
      </w:r>
    </w:p>
    <w:p w:rsidR="000103C9" w:rsidRPr="000103C9" w:rsidRDefault="000103C9" w:rsidP="000103C9">
      <w:pPr>
        <w:widowControl w:val="0"/>
        <w:jc w:val="both"/>
        <w:rPr>
          <w:sz w:val="20"/>
          <w:szCs w:val="20"/>
          <w:lang w:val="fr-CA"/>
        </w:rPr>
      </w:pPr>
    </w:p>
    <w:p w:rsidR="000103C9" w:rsidRPr="000103C9" w:rsidRDefault="000103C9" w:rsidP="000103C9">
      <w:pPr>
        <w:widowControl w:val="0"/>
        <w:jc w:val="both"/>
        <w:rPr>
          <w:sz w:val="20"/>
          <w:szCs w:val="20"/>
          <w:lang w:val="fr-CA"/>
        </w:rPr>
      </w:pPr>
      <w:r w:rsidRPr="000103C9">
        <w:rPr>
          <w:sz w:val="20"/>
          <w:szCs w:val="20"/>
          <w:lang w:val="fr-CA"/>
        </w:rPr>
        <w:t>Avocats :</w:t>
      </w:r>
      <w:r w:rsidRPr="000103C9">
        <w:rPr>
          <w:sz w:val="20"/>
          <w:szCs w:val="20"/>
          <w:lang w:val="fr-CA"/>
        </w:rPr>
        <w:tab/>
      </w:r>
      <w:r w:rsidRPr="000103C9">
        <w:rPr>
          <w:sz w:val="20"/>
          <w:szCs w:val="20"/>
          <w:lang w:val="fr-CA"/>
        </w:rPr>
        <w:tab/>
      </w:r>
      <w:r w:rsidRPr="000103C9">
        <w:rPr>
          <w:sz w:val="20"/>
          <w:szCs w:val="20"/>
          <w:lang w:val="fr-CA"/>
        </w:rPr>
        <w:tab/>
        <w:t>Hubert Sibre et Annie Claude Beauchemin pour l’appelant</w:t>
      </w:r>
    </w:p>
    <w:p w:rsidR="000103C9" w:rsidRPr="000103C9" w:rsidRDefault="000103C9" w:rsidP="000103C9">
      <w:pPr>
        <w:widowControl w:val="0"/>
        <w:jc w:val="both"/>
        <w:rPr>
          <w:sz w:val="20"/>
          <w:szCs w:val="20"/>
          <w:lang w:val="fr-CA"/>
        </w:rPr>
      </w:pPr>
      <w:r w:rsidRPr="000103C9">
        <w:rPr>
          <w:sz w:val="20"/>
          <w:szCs w:val="20"/>
          <w:lang w:val="fr-CA"/>
        </w:rPr>
        <w:tab/>
      </w:r>
      <w:r w:rsidRPr="000103C9">
        <w:rPr>
          <w:sz w:val="20"/>
          <w:szCs w:val="20"/>
          <w:lang w:val="fr-CA"/>
        </w:rPr>
        <w:tab/>
      </w:r>
      <w:r w:rsidRPr="000103C9">
        <w:rPr>
          <w:sz w:val="20"/>
          <w:szCs w:val="20"/>
          <w:lang w:val="fr-CA"/>
        </w:rPr>
        <w:tab/>
      </w:r>
      <w:r w:rsidRPr="000103C9">
        <w:rPr>
          <w:sz w:val="20"/>
          <w:szCs w:val="20"/>
          <w:lang w:val="fr-CA"/>
        </w:rPr>
        <w:tab/>
        <w:t>Pascale Cloutier et Fadi Amine pour les intimées</w:t>
      </w:r>
    </w:p>
    <w:p w:rsidR="000103C9" w:rsidRDefault="000103C9" w:rsidP="000B3C9A">
      <w:pPr>
        <w:tabs>
          <w:tab w:val="left" w:pos="-1440"/>
          <w:tab w:val="left" w:pos="-720"/>
        </w:tabs>
        <w:jc w:val="both"/>
        <w:rPr>
          <w:sz w:val="20"/>
          <w:szCs w:val="20"/>
          <w:lang w:val="fr-CA"/>
        </w:rPr>
      </w:pPr>
    </w:p>
    <w:p w:rsidR="000103C9" w:rsidRDefault="00532939" w:rsidP="000B3C9A">
      <w:pPr>
        <w:tabs>
          <w:tab w:val="left" w:pos="-1440"/>
          <w:tab w:val="left" w:pos="-720"/>
        </w:tabs>
        <w:jc w:val="both"/>
        <w:rPr>
          <w:sz w:val="20"/>
          <w:szCs w:val="20"/>
          <w:lang w:val="fr-CA"/>
        </w:rPr>
      </w:pPr>
      <w:r w:rsidRPr="00532939">
        <w:rPr>
          <w:sz w:val="20"/>
          <w:szCs w:val="20"/>
          <w:lang w:val="fr-CA"/>
        </w:rPr>
        <w:pict>
          <v:rect id="_x0000_i1045" style="width:2in;height:1pt" o:hrpct="0" o:hralign="center" o:hrstd="t" o:hrnoshade="t" o:hr="t" fillcolor="black [3213]" stroked="f"/>
        </w:pict>
      </w:r>
    </w:p>
    <w:p w:rsidR="000103C9" w:rsidRDefault="000103C9">
      <w:pPr>
        <w:rPr>
          <w:sz w:val="20"/>
          <w:szCs w:val="20"/>
          <w:lang w:val="fr-CA"/>
        </w:rPr>
      </w:pPr>
      <w:r>
        <w:rPr>
          <w:sz w:val="20"/>
          <w:szCs w:val="20"/>
          <w:lang w:val="fr-CA"/>
        </w:rPr>
        <w:br w:type="page"/>
      </w:r>
    </w:p>
    <w:p w:rsidR="000103C9" w:rsidRPr="000103C9" w:rsidRDefault="00532939" w:rsidP="000103C9">
      <w:pPr>
        <w:widowControl w:val="0"/>
        <w:ind w:left="720" w:hanging="720"/>
        <w:jc w:val="both"/>
        <w:rPr>
          <w:sz w:val="20"/>
          <w:szCs w:val="20"/>
        </w:rPr>
      </w:pPr>
      <w:r w:rsidRPr="000103C9">
        <w:rPr>
          <w:sz w:val="20"/>
          <w:szCs w:val="20"/>
        </w:rPr>
        <w:lastRenderedPageBreak/>
        <w:fldChar w:fldCharType="begin"/>
      </w:r>
      <w:r w:rsidR="000103C9" w:rsidRPr="000103C9">
        <w:rPr>
          <w:sz w:val="20"/>
          <w:szCs w:val="20"/>
        </w:rPr>
        <w:instrText xml:space="preserve"> SEQ CHAPTER \h \r 1</w:instrText>
      </w:r>
      <w:r w:rsidRPr="000103C9">
        <w:rPr>
          <w:sz w:val="20"/>
          <w:szCs w:val="20"/>
        </w:rPr>
        <w:fldChar w:fldCharType="end"/>
      </w:r>
      <w:r w:rsidR="000103C9" w:rsidRPr="000103C9">
        <w:rPr>
          <w:b/>
          <w:sz w:val="20"/>
          <w:szCs w:val="20"/>
        </w:rPr>
        <w:t>33735</w:t>
      </w:r>
      <w:r w:rsidR="000103C9" w:rsidRPr="000103C9">
        <w:rPr>
          <w:sz w:val="20"/>
          <w:szCs w:val="20"/>
        </w:rPr>
        <w:tab/>
      </w:r>
      <w:r w:rsidR="000103C9" w:rsidRPr="000103C9">
        <w:rPr>
          <w:b/>
          <w:i/>
          <w:sz w:val="20"/>
          <w:szCs w:val="20"/>
        </w:rPr>
        <w:t>Derek Dwight Bruce v. Her Majesty the Queen</w:t>
      </w:r>
    </w:p>
    <w:p w:rsidR="000103C9" w:rsidRPr="000103C9" w:rsidRDefault="000103C9" w:rsidP="000103C9">
      <w:pPr>
        <w:widowControl w:val="0"/>
        <w:jc w:val="both"/>
        <w:rPr>
          <w:sz w:val="20"/>
          <w:szCs w:val="20"/>
        </w:rPr>
      </w:pPr>
    </w:p>
    <w:p w:rsidR="000103C9" w:rsidRPr="000103C9" w:rsidRDefault="000103C9" w:rsidP="000103C9">
      <w:pPr>
        <w:widowControl w:val="0"/>
        <w:jc w:val="both"/>
        <w:rPr>
          <w:sz w:val="20"/>
          <w:szCs w:val="20"/>
        </w:rPr>
      </w:pPr>
      <w:r w:rsidRPr="000103C9">
        <w:rPr>
          <w:sz w:val="20"/>
          <w:szCs w:val="20"/>
        </w:rPr>
        <w:t>Criminal law - Evidence - Identification - Whether the trial judge erred by drawing inferences from evidence which did not flow logically and reasonably from that evidence - Whether the trial judge erred in drawing factual conclusions based on speculation and not reasonable inferences - Whether the trial judge failed to properly apply the standard of reasonable doubt - Whether the trial judge erred in limiting his assessment to the credibility of the complainant instead of considering whether, apart from credibility, the complainant’s evidence was sufficiently reliable to warrant convictions - Whether the trial judge erred by failing to appreciate the evidence.</w:t>
      </w:r>
    </w:p>
    <w:p w:rsidR="000103C9" w:rsidRPr="000103C9" w:rsidRDefault="000103C9" w:rsidP="000103C9">
      <w:pPr>
        <w:widowControl w:val="0"/>
        <w:jc w:val="both"/>
        <w:rPr>
          <w:sz w:val="20"/>
          <w:szCs w:val="20"/>
        </w:rPr>
      </w:pPr>
    </w:p>
    <w:p w:rsidR="000103C9" w:rsidRPr="000103C9" w:rsidRDefault="000103C9" w:rsidP="000103C9">
      <w:pPr>
        <w:widowControl w:val="0"/>
        <w:jc w:val="both"/>
        <w:rPr>
          <w:sz w:val="20"/>
          <w:szCs w:val="20"/>
        </w:rPr>
      </w:pPr>
      <w:r w:rsidRPr="000103C9">
        <w:rPr>
          <w:sz w:val="20"/>
          <w:szCs w:val="20"/>
        </w:rPr>
        <w:t>The Appellant was tried by judge alone and convicted of breaking and entering a dwelling house and committing the indictable offence of assault causing bodily harm.  He was also convicted of having in his possession a weapon for a purpose dangerous to the public peace.  On appeal, the Appellant challenged the adequacy of the evidence identifying him as an assailant.  The majority of the Court of Appeal dismissed the appeal on the basis that the trial judge’s decision was reasonable and supported by the evidence.  Berger J.A., dissenting, would have allowed the appeal and ordered a new trial on the basis that the trial judge failed to address or take in to account evidence which cast doubt on the identification of the Appellant.</w:t>
      </w:r>
    </w:p>
    <w:p w:rsidR="000103C9" w:rsidRPr="000103C9" w:rsidRDefault="000103C9" w:rsidP="000103C9">
      <w:pPr>
        <w:widowControl w:val="0"/>
        <w:jc w:val="both"/>
        <w:rPr>
          <w:sz w:val="20"/>
          <w:szCs w:val="20"/>
        </w:rPr>
      </w:pPr>
    </w:p>
    <w:p w:rsidR="000103C9" w:rsidRPr="000103C9" w:rsidRDefault="000103C9" w:rsidP="000103C9">
      <w:pPr>
        <w:widowControl w:val="0"/>
        <w:jc w:val="both"/>
        <w:rPr>
          <w:sz w:val="20"/>
          <w:szCs w:val="20"/>
        </w:rPr>
      </w:pPr>
    </w:p>
    <w:p w:rsidR="000103C9" w:rsidRPr="000103C9" w:rsidRDefault="000103C9" w:rsidP="000103C9">
      <w:pPr>
        <w:widowControl w:val="0"/>
        <w:jc w:val="both"/>
        <w:rPr>
          <w:sz w:val="20"/>
          <w:szCs w:val="20"/>
        </w:rPr>
      </w:pPr>
      <w:r w:rsidRPr="000103C9">
        <w:rPr>
          <w:sz w:val="20"/>
          <w:szCs w:val="20"/>
        </w:rPr>
        <w:t>Origin of the case:</w:t>
      </w:r>
      <w:r w:rsidRPr="000103C9">
        <w:rPr>
          <w:sz w:val="20"/>
          <w:szCs w:val="20"/>
        </w:rPr>
        <w:tab/>
      </w:r>
      <w:r w:rsidRPr="000103C9">
        <w:rPr>
          <w:sz w:val="20"/>
          <w:szCs w:val="20"/>
        </w:rPr>
        <w:tab/>
        <w:t>Alberta</w:t>
      </w:r>
    </w:p>
    <w:p w:rsidR="000103C9" w:rsidRPr="000103C9" w:rsidRDefault="000103C9" w:rsidP="000103C9">
      <w:pPr>
        <w:widowControl w:val="0"/>
        <w:jc w:val="both"/>
        <w:rPr>
          <w:sz w:val="20"/>
          <w:szCs w:val="20"/>
        </w:rPr>
      </w:pPr>
    </w:p>
    <w:p w:rsidR="000103C9" w:rsidRPr="000103C9" w:rsidRDefault="000103C9" w:rsidP="000103C9">
      <w:pPr>
        <w:widowControl w:val="0"/>
        <w:jc w:val="both"/>
        <w:rPr>
          <w:sz w:val="20"/>
          <w:szCs w:val="20"/>
        </w:rPr>
      </w:pPr>
      <w:r w:rsidRPr="000103C9">
        <w:rPr>
          <w:sz w:val="20"/>
          <w:szCs w:val="20"/>
        </w:rPr>
        <w:t>File No.:</w:t>
      </w:r>
      <w:r w:rsidRPr="000103C9">
        <w:rPr>
          <w:sz w:val="20"/>
          <w:szCs w:val="20"/>
        </w:rPr>
        <w:tab/>
      </w:r>
      <w:r w:rsidRPr="000103C9">
        <w:rPr>
          <w:sz w:val="20"/>
          <w:szCs w:val="20"/>
        </w:rPr>
        <w:tab/>
      </w:r>
      <w:r w:rsidRPr="000103C9">
        <w:rPr>
          <w:sz w:val="20"/>
          <w:szCs w:val="20"/>
        </w:rPr>
        <w:tab/>
      </w:r>
      <w:r w:rsidRPr="000103C9">
        <w:rPr>
          <w:sz w:val="20"/>
          <w:szCs w:val="20"/>
        </w:rPr>
        <w:tab/>
        <w:t>33735</w:t>
      </w:r>
    </w:p>
    <w:p w:rsidR="000103C9" w:rsidRPr="000103C9" w:rsidRDefault="000103C9" w:rsidP="000103C9">
      <w:pPr>
        <w:widowControl w:val="0"/>
        <w:jc w:val="both"/>
        <w:rPr>
          <w:sz w:val="20"/>
          <w:szCs w:val="20"/>
        </w:rPr>
      </w:pPr>
    </w:p>
    <w:p w:rsidR="000103C9" w:rsidRPr="000103C9" w:rsidRDefault="000103C9" w:rsidP="000103C9">
      <w:pPr>
        <w:widowControl w:val="0"/>
        <w:jc w:val="both"/>
        <w:rPr>
          <w:sz w:val="20"/>
          <w:szCs w:val="20"/>
        </w:rPr>
      </w:pPr>
      <w:r w:rsidRPr="000103C9">
        <w:rPr>
          <w:sz w:val="20"/>
          <w:szCs w:val="20"/>
        </w:rPr>
        <w:t>Judgment of the Court of Appeal:</w:t>
      </w:r>
      <w:r w:rsidRPr="000103C9">
        <w:rPr>
          <w:sz w:val="20"/>
          <w:szCs w:val="20"/>
        </w:rPr>
        <w:tab/>
        <w:t>April 22, 2010</w:t>
      </w:r>
    </w:p>
    <w:p w:rsidR="000103C9" w:rsidRPr="000103C9" w:rsidRDefault="000103C9" w:rsidP="000103C9">
      <w:pPr>
        <w:widowControl w:val="0"/>
        <w:jc w:val="both"/>
        <w:rPr>
          <w:sz w:val="20"/>
          <w:szCs w:val="20"/>
        </w:rPr>
      </w:pPr>
    </w:p>
    <w:p w:rsidR="000103C9" w:rsidRPr="000103C9" w:rsidRDefault="000103C9" w:rsidP="000103C9">
      <w:pPr>
        <w:widowControl w:val="0"/>
        <w:jc w:val="both"/>
        <w:rPr>
          <w:sz w:val="20"/>
          <w:szCs w:val="20"/>
        </w:rPr>
      </w:pPr>
      <w:r w:rsidRPr="000103C9">
        <w:rPr>
          <w:sz w:val="20"/>
          <w:szCs w:val="20"/>
        </w:rPr>
        <w:t>Counsel:</w:t>
      </w:r>
      <w:r w:rsidRPr="000103C9">
        <w:rPr>
          <w:sz w:val="20"/>
          <w:szCs w:val="20"/>
        </w:rPr>
        <w:tab/>
      </w:r>
      <w:r w:rsidRPr="000103C9">
        <w:rPr>
          <w:sz w:val="20"/>
          <w:szCs w:val="20"/>
        </w:rPr>
        <w:tab/>
      </w:r>
      <w:r w:rsidRPr="000103C9">
        <w:rPr>
          <w:sz w:val="20"/>
          <w:szCs w:val="20"/>
        </w:rPr>
        <w:tab/>
      </w:r>
      <w:r w:rsidRPr="000103C9">
        <w:rPr>
          <w:sz w:val="20"/>
          <w:szCs w:val="20"/>
        </w:rPr>
        <w:tab/>
        <w:t>Akram Attia and Daryl J. Royer for the Appellant</w:t>
      </w:r>
    </w:p>
    <w:p w:rsidR="000103C9" w:rsidRPr="000103C9" w:rsidRDefault="000103C9" w:rsidP="000103C9">
      <w:pPr>
        <w:widowControl w:val="0"/>
        <w:jc w:val="both"/>
        <w:rPr>
          <w:sz w:val="20"/>
          <w:szCs w:val="20"/>
        </w:rPr>
      </w:pPr>
      <w:r w:rsidRPr="000103C9">
        <w:rPr>
          <w:sz w:val="20"/>
          <w:szCs w:val="20"/>
        </w:rPr>
        <w:tab/>
      </w:r>
      <w:r w:rsidRPr="000103C9">
        <w:rPr>
          <w:sz w:val="20"/>
          <w:szCs w:val="20"/>
        </w:rPr>
        <w:tab/>
      </w:r>
      <w:r w:rsidRPr="000103C9">
        <w:rPr>
          <w:sz w:val="20"/>
          <w:szCs w:val="20"/>
        </w:rPr>
        <w:tab/>
      </w:r>
      <w:r w:rsidRPr="000103C9">
        <w:rPr>
          <w:sz w:val="20"/>
          <w:szCs w:val="20"/>
        </w:rPr>
        <w:tab/>
        <w:t>Troy Couillard for the Respondent</w:t>
      </w:r>
    </w:p>
    <w:p w:rsidR="000103C9" w:rsidRDefault="000103C9" w:rsidP="000B3C9A">
      <w:pPr>
        <w:tabs>
          <w:tab w:val="left" w:pos="-1440"/>
          <w:tab w:val="left" w:pos="-720"/>
        </w:tabs>
        <w:jc w:val="both"/>
        <w:rPr>
          <w:sz w:val="20"/>
          <w:szCs w:val="20"/>
          <w:lang w:val="fr-CA"/>
        </w:rPr>
      </w:pPr>
    </w:p>
    <w:p w:rsidR="000103C9" w:rsidRDefault="00532939" w:rsidP="000B3C9A">
      <w:pPr>
        <w:tabs>
          <w:tab w:val="left" w:pos="-1440"/>
          <w:tab w:val="left" w:pos="-720"/>
        </w:tabs>
        <w:jc w:val="both"/>
        <w:rPr>
          <w:sz w:val="20"/>
          <w:szCs w:val="20"/>
          <w:lang w:val="fr-CA"/>
        </w:rPr>
      </w:pPr>
      <w:r w:rsidRPr="00532939">
        <w:rPr>
          <w:sz w:val="20"/>
          <w:szCs w:val="20"/>
          <w:lang w:val="fr-CA"/>
        </w:rPr>
        <w:pict>
          <v:rect id="_x0000_i1046" style="width:2in;height:1pt" o:hrpct="0" o:hralign="center" o:hrstd="t" o:hrnoshade="t" o:hr="t" fillcolor="black [3213]" stroked="f"/>
        </w:pict>
      </w:r>
    </w:p>
    <w:p w:rsidR="000103C9" w:rsidRDefault="000103C9">
      <w:pPr>
        <w:rPr>
          <w:sz w:val="20"/>
          <w:szCs w:val="20"/>
          <w:lang w:val="fr-CA"/>
        </w:rPr>
      </w:pPr>
      <w:r>
        <w:rPr>
          <w:sz w:val="20"/>
          <w:szCs w:val="20"/>
          <w:lang w:val="fr-CA"/>
        </w:rPr>
        <w:br w:type="page"/>
      </w:r>
    </w:p>
    <w:p w:rsidR="000103C9" w:rsidRPr="000103C9" w:rsidRDefault="00532939" w:rsidP="000103C9">
      <w:pPr>
        <w:widowControl w:val="0"/>
        <w:ind w:left="720" w:hanging="720"/>
        <w:jc w:val="both"/>
        <w:rPr>
          <w:sz w:val="20"/>
          <w:szCs w:val="20"/>
          <w:lang w:val="fr-CA"/>
        </w:rPr>
      </w:pPr>
      <w:r w:rsidRPr="00532939">
        <w:rPr>
          <w:sz w:val="20"/>
          <w:szCs w:val="20"/>
          <w:lang w:val="fr-CA"/>
        </w:rPr>
        <w:lastRenderedPageBreak/>
        <w:fldChar w:fldCharType="begin"/>
      </w:r>
      <w:r w:rsidR="000103C9" w:rsidRPr="000103C9">
        <w:rPr>
          <w:sz w:val="20"/>
          <w:szCs w:val="20"/>
          <w:lang w:val="fr-CA"/>
        </w:rPr>
        <w:instrText xml:space="preserve"> SEQ CHAPTER \h \r 1</w:instrText>
      </w:r>
      <w:r w:rsidRPr="000103C9">
        <w:rPr>
          <w:sz w:val="20"/>
          <w:szCs w:val="20"/>
        </w:rPr>
        <w:fldChar w:fldCharType="end"/>
      </w:r>
      <w:r w:rsidR="000103C9" w:rsidRPr="000103C9">
        <w:rPr>
          <w:b/>
          <w:sz w:val="20"/>
          <w:szCs w:val="20"/>
          <w:lang w:val="fr-CA"/>
        </w:rPr>
        <w:t>33735</w:t>
      </w:r>
      <w:r w:rsidR="000103C9" w:rsidRPr="000103C9">
        <w:rPr>
          <w:sz w:val="20"/>
          <w:szCs w:val="20"/>
          <w:lang w:val="fr-CA"/>
        </w:rPr>
        <w:tab/>
      </w:r>
      <w:r w:rsidR="000103C9" w:rsidRPr="000103C9">
        <w:rPr>
          <w:b/>
          <w:i/>
          <w:sz w:val="20"/>
          <w:szCs w:val="20"/>
          <w:lang w:val="fr-CA"/>
        </w:rPr>
        <w:t>Derek Dwight Bruce c. Sa Majesté la Reine</w:t>
      </w:r>
    </w:p>
    <w:p w:rsidR="000103C9" w:rsidRPr="000103C9" w:rsidRDefault="000103C9" w:rsidP="000103C9">
      <w:pPr>
        <w:widowControl w:val="0"/>
        <w:jc w:val="both"/>
        <w:rPr>
          <w:sz w:val="20"/>
          <w:szCs w:val="20"/>
          <w:lang w:val="fr-CA"/>
        </w:rPr>
      </w:pPr>
    </w:p>
    <w:p w:rsidR="000103C9" w:rsidRPr="000103C9" w:rsidRDefault="000103C9" w:rsidP="000103C9">
      <w:pPr>
        <w:widowControl w:val="0"/>
        <w:jc w:val="both"/>
        <w:rPr>
          <w:sz w:val="20"/>
          <w:szCs w:val="20"/>
          <w:lang w:val="fr-CA"/>
        </w:rPr>
      </w:pPr>
      <w:r w:rsidRPr="000103C9">
        <w:rPr>
          <w:sz w:val="20"/>
          <w:szCs w:val="20"/>
          <w:lang w:val="fr-CA"/>
        </w:rPr>
        <w:t>Droit criminel - Preuve - Identification - Le juge du procès a-t-il eu tort de tirer des conclusions de la preuve qui ne découlaient pas logiquement et raisonnablement de cette preuve? - Le juge du procès a-t-il eu tort de tirer des conclusions de fait fondées sur des conjectures et non sur des inférences raisonnables? - Le juge du procès a-t-il omis d’appliquer correctement la norme du doute raisonnable? - Le juge du procès a-t-il eu tort de limiter son évaluation de la crédibilité du plaignant plutôt que de se demander si, indépendamment de la crédibilité, la preuve du plaignant était suffisamment fiable pour justifier des déclarations de culpabilité? - Le juge du procès a-t-il commis une erreur en n’appréciant pas la preuve?</w:t>
      </w:r>
    </w:p>
    <w:p w:rsidR="000103C9" w:rsidRPr="000103C9" w:rsidRDefault="000103C9" w:rsidP="000103C9">
      <w:pPr>
        <w:widowControl w:val="0"/>
        <w:jc w:val="both"/>
        <w:rPr>
          <w:sz w:val="20"/>
          <w:szCs w:val="20"/>
          <w:lang w:val="fr-CA"/>
        </w:rPr>
      </w:pPr>
    </w:p>
    <w:p w:rsidR="000103C9" w:rsidRPr="000103C9" w:rsidRDefault="000103C9" w:rsidP="000103C9">
      <w:pPr>
        <w:widowControl w:val="0"/>
        <w:jc w:val="both"/>
        <w:rPr>
          <w:sz w:val="20"/>
          <w:szCs w:val="20"/>
          <w:lang w:val="fr-CA"/>
        </w:rPr>
      </w:pPr>
      <w:r w:rsidRPr="000103C9">
        <w:rPr>
          <w:sz w:val="20"/>
          <w:szCs w:val="20"/>
          <w:lang w:val="fr-CA"/>
        </w:rPr>
        <w:t>L’appelant a subi son procès devant juge seul et a été déclaré coupable d’introduction par effraction dans une maison d’habitation et d’avoir commis l’infraction punissable par mise en accusation de voies de fait causant des lésions corporelles.  Il a également été déclaré coupable d’avoir eu en sa possession une arme dans un dessein dangereux pour la paix publique.  En appel, l’appelant a contesté la suffisance de la preuve qui l’identifiait comme l’agresseur.  Les juges majoritaires de la Cour d’appel ont rejeté l’appel au motif que la décision du juge du procès était raisonnable et appuyée par la preuve.  Le juge Berger, dissident, aurait accueilli l’appel et ordonné un nouveau procès au motif que le juge du procès n’avait pas considéré ou pris en compte une preuve qui mettait en doute l’identification de l’appelant.</w:t>
      </w:r>
    </w:p>
    <w:p w:rsidR="000103C9" w:rsidRPr="000103C9" w:rsidRDefault="000103C9" w:rsidP="000103C9">
      <w:pPr>
        <w:widowControl w:val="0"/>
        <w:jc w:val="both"/>
        <w:rPr>
          <w:sz w:val="20"/>
          <w:szCs w:val="20"/>
          <w:lang w:val="fr-CA"/>
        </w:rPr>
      </w:pPr>
    </w:p>
    <w:p w:rsidR="000103C9" w:rsidRPr="000103C9" w:rsidRDefault="000103C9" w:rsidP="000103C9">
      <w:pPr>
        <w:widowControl w:val="0"/>
        <w:jc w:val="both"/>
        <w:rPr>
          <w:sz w:val="20"/>
          <w:szCs w:val="20"/>
          <w:lang w:val="fr-CA"/>
        </w:rPr>
      </w:pPr>
    </w:p>
    <w:p w:rsidR="000103C9" w:rsidRPr="000103C9" w:rsidRDefault="000103C9" w:rsidP="000103C9">
      <w:pPr>
        <w:widowControl w:val="0"/>
        <w:jc w:val="both"/>
        <w:rPr>
          <w:sz w:val="20"/>
          <w:szCs w:val="20"/>
          <w:lang w:val="fr-CA"/>
        </w:rPr>
      </w:pPr>
      <w:r w:rsidRPr="000103C9">
        <w:rPr>
          <w:sz w:val="20"/>
          <w:szCs w:val="20"/>
          <w:lang w:val="fr-CA"/>
        </w:rPr>
        <w:t>Origine :</w:t>
      </w:r>
      <w:r w:rsidRPr="000103C9">
        <w:rPr>
          <w:sz w:val="20"/>
          <w:szCs w:val="20"/>
          <w:lang w:val="fr-CA"/>
        </w:rPr>
        <w:tab/>
      </w:r>
      <w:r>
        <w:rPr>
          <w:sz w:val="20"/>
          <w:szCs w:val="20"/>
          <w:lang w:val="fr-CA"/>
        </w:rPr>
        <w:tab/>
      </w:r>
      <w:r>
        <w:rPr>
          <w:sz w:val="20"/>
          <w:szCs w:val="20"/>
          <w:lang w:val="fr-CA"/>
        </w:rPr>
        <w:tab/>
      </w:r>
      <w:r>
        <w:rPr>
          <w:sz w:val="20"/>
          <w:szCs w:val="20"/>
          <w:lang w:val="fr-CA"/>
        </w:rPr>
        <w:tab/>
      </w:r>
      <w:r w:rsidRPr="000103C9">
        <w:rPr>
          <w:sz w:val="20"/>
          <w:szCs w:val="20"/>
          <w:lang w:val="fr-CA"/>
        </w:rPr>
        <w:t>Alberta</w:t>
      </w:r>
    </w:p>
    <w:p w:rsidR="000103C9" w:rsidRPr="000103C9" w:rsidRDefault="000103C9" w:rsidP="000103C9">
      <w:pPr>
        <w:widowControl w:val="0"/>
        <w:jc w:val="both"/>
        <w:rPr>
          <w:sz w:val="20"/>
          <w:szCs w:val="20"/>
          <w:lang w:val="fr-CA"/>
        </w:rPr>
      </w:pPr>
    </w:p>
    <w:p w:rsidR="000103C9" w:rsidRPr="000103C9" w:rsidRDefault="000103C9" w:rsidP="000103C9">
      <w:pPr>
        <w:widowControl w:val="0"/>
        <w:jc w:val="both"/>
        <w:rPr>
          <w:sz w:val="20"/>
          <w:szCs w:val="20"/>
          <w:lang w:val="fr-CA"/>
        </w:rPr>
      </w:pPr>
      <w:r w:rsidRPr="000103C9">
        <w:rPr>
          <w:sz w:val="20"/>
          <w:szCs w:val="20"/>
          <w:lang w:val="fr-CA"/>
        </w:rPr>
        <w:t>No du greffe :</w:t>
      </w:r>
      <w:r>
        <w:rPr>
          <w:sz w:val="20"/>
          <w:szCs w:val="20"/>
          <w:lang w:val="fr-CA"/>
        </w:rPr>
        <w:tab/>
      </w:r>
      <w:r>
        <w:rPr>
          <w:sz w:val="20"/>
          <w:szCs w:val="20"/>
          <w:lang w:val="fr-CA"/>
        </w:rPr>
        <w:tab/>
      </w:r>
      <w:r>
        <w:rPr>
          <w:sz w:val="20"/>
          <w:szCs w:val="20"/>
          <w:lang w:val="fr-CA"/>
        </w:rPr>
        <w:tab/>
      </w:r>
      <w:r w:rsidRPr="000103C9">
        <w:rPr>
          <w:sz w:val="20"/>
          <w:szCs w:val="20"/>
          <w:lang w:val="fr-CA"/>
        </w:rPr>
        <w:t>33735</w:t>
      </w:r>
    </w:p>
    <w:p w:rsidR="000103C9" w:rsidRPr="000103C9" w:rsidRDefault="000103C9" w:rsidP="000103C9">
      <w:pPr>
        <w:widowControl w:val="0"/>
        <w:jc w:val="both"/>
        <w:rPr>
          <w:sz w:val="20"/>
          <w:szCs w:val="20"/>
          <w:lang w:val="fr-CA"/>
        </w:rPr>
      </w:pPr>
    </w:p>
    <w:p w:rsidR="000103C9" w:rsidRPr="000103C9" w:rsidRDefault="000103C9" w:rsidP="000103C9">
      <w:pPr>
        <w:widowControl w:val="0"/>
        <w:jc w:val="both"/>
        <w:rPr>
          <w:sz w:val="20"/>
          <w:szCs w:val="20"/>
          <w:lang w:val="fr-CA"/>
        </w:rPr>
      </w:pPr>
      <w:r w:rsidRPr="000103C9">
        <w:rPr>
          <w:sz w:val="20"/>
          <w:szCs w:val="20"/>
          <w:lang w:val="fr-CA"/>
        </w:rPr>
        <w:t>Arrêt de la Cour d’appel :</w:t>
      </w:r>
      <w:r>
        <w:rPr>
          <w:sz w:val="20"/>
          <w:szCs w:val="20"/>
          <w:lang w:val="fr-CA"/>
        </w:rPr>
        <w:tab/>
      </w:r>
      <w:r>
        <w:rPr>
          <w:sz w:val="20"/>
          <w:szCs w:val="20"/>
          <w:lang w:val="fr-CA"/>
        </w:rPr>
        <w:tab/>
      </w:r>
      <w:r w:rsidRPr="000103C9">
        <w:rPr>
          <w:sz w:val="20"/>
          <w:szCs w:val="20"/>
          <w:lang w:val="fr-CA"/>
        </w:rPr>
        <w:t>le 22 avril 2010</w:t>
      </w:r>
    </w:p>
    <w:p w:rsidR="000103C9" w:rsidRPr="000103C9" w:rsidRDefault="000103C9" w:rsidP="000103C9">
      <w:pPr>
        <w:widowControl w:val="0"/>
        <w:jc w:val="both"/>
        <w:rPr>
          <w:sz w:val="20"/>
          <w:szCs w:val="20"/>
          <w:lang w:val="fr-CA"/>
        </w:rPr>
      </w:pPr>
    </w:p>
    <w:p w:rsidR="000103C9" w:rsidRPr="000103C9" w:rsidRDefault="000103C9" w:rsidP="000103C9">
      <w:pPr>
        <w:widowControl w:val="0"/>
        <w:jc w:val="both"/>
        <w:rPr>
          <w:sz w:val="20"/>
          <w:szCs w:val="20"/>
          <w:lang w:val="fr-CA"/>
        </w:rPr>
      </w:pPr>
      <w:r w:rsidRPr="000103C9">
        <w:rPr>
          <w:sz w:val="20"/>
          <w:szCs w:val="20"/>
          <w:lang w:val="fr-CA"/>
        </w:rPr>
        <w:t>Avocats :</w:t>
      </w:r>
      <w:r w:rsidRPr="000103C9">
        <w:rPr>
          <w:sz w:val="20"/>
          <w:szCs w:val="20"/>
          <w:lang w:val="fr-CA"/>
        </w:rPr>
        <w:tab/>
      </w:r>
      <w:r w:rsidRPr="000103C9">
        <w:rPr>
          <w:sz w:val="20"/>
          <w:szCs w:val="20"/>
          <w:lang w:val="fr-CA"/>
        </w:rPr>
        <w:tab/>
      </w:r>
      <w:r w:rsidRPr="000103C9">
        <w:rPr>
          <w:sz w:val="20"/>
          <w:szCs w:val="20"/>
          <w:lang w:val="fr-CA"/>
        </w:rPr>
        <w:tab/>
        <w:t>Akram Attia et Daryl J. Royer pour l’appelant</w:t>
      </w:r>
    </w:p>
    <w:p w:rsidR="000103C9" w:rsidRPr="000103C9" w:rsidRDefault="000103C9" w:rsidP="000103C9">
      <w:pPr>
        <w:widowControl w:val="0"/>
        <w:jc w:val="both"/>
        <w:rPr>
          <w:sz w:val="20"/>
          <w:szCs w:val="20"/>
          <w:lang w:val="fr-CA"/>
        </w:rPr>
      </w:pPr>
      <w:r>
        <w:rPr>
          <w:sz w:val="20"/>
          <w:szCs w:val="20"/>
          <w:lang w:val="fr-CA"/>
        </w:rPr>
        <w:tab/>
      </w:r>
      <w:r>
        <w:rPr>
          <w:sz w:val="20"/>
          <w:szCs w:val="20"/>
          <w:lang w:val="fr-CA"/>
        </w:rPr>
        <w:tab/>
      </w:r>
      <w:r>
        <w:rPr>
          <w:sz w:val="20"/>
          <w:szCs w:val="20"/>
          <w:lang w:val="fr-CA"/>
        </w:rPr>
        <w:tab/>
      </w:r>
      <w:r>
        <w:rPr>
          <w:sz w:val="20"/>
          <w:szCs w:val="20"/>
          <w:lang w:val="fr-CA"/>
        </w:rPr>
        <w:tab/>
      </w:r>
      <w:r w:rsidRPr="000103C9">
        <w:rPr>
          <w:sz w:val="20"/>
          <w:szCs w:val="20"/>
          <w:lang w:val="fr-CA"/>
        </w:rPr>
        <w:t>Troy Couillard pour l’intimée</w:t>
      </w:r>
    </w:p>
    <w:p w:rsidR="000103C9" w:rsidRDefault="000103C9" w:rsidP="000B3C9A">
      <w:pPr>
        <w:tabs>
          <w:tab w:val="left" w:pos="-1440"/>
          <w:tab w:val="left" w:pos="-720"/>
        </w:tabs>
        <w:jc w:val="both"/>
        <w:rPr>
          <w:sz w:val="20"/>
          <w:szCs w:val="20"/>
          <w:lang w:val="fr-CA"/>
        </w:rPr>
      </w:pPr>
    </w:p>
    <w:p w:rsidR="000103C9" w:rsidRDefault="00532939" w:rsidP="000B3C9A">
      <w:pPr>
        <w:tabs>
          <w:tab w:val="left" w:pos="-1440"/>
          <w:tab w:val="left" w:pos="-720"/>
        </w:tabs>
        <w:jc w:val="both"/>
        <w:rPr>
          <w:sz w:val="20"/>
          <w:szCs w:val="20"/>
          <w:lang w:val="fr-CA"/>
        </w:rPr>
      </w:pPr>
      <w:r w:rsidRPr="00532939">
        <w:rPr>
          <w:sz w:val="20"/>
          <w:szCs w:val="20"/>
          <w:lang w:val="fr-CA"/>
        </w:rPr>
        <w:pict>
          <v:rect id="_x0000_i1047" style="width:2in;height:1pt" o:hrpct="0" o:hralign="center" o:hrstd="t" o:hrnoshade="t" o:hr="t" fillcolor="black [3213]" stroked="f"/>
        </w:pict>
      </w:r>
    </w:p>
    <w:p w:rsidR="000103C9" w:rsidRDefault="000103C9">
      <w:pPr>
        <w:rPr>
          <w:sz w:val="20"/>
          <w:szCs w:val="20"/>
          <w:lang w:val="fr-CA"/>
        </w:rPr>
      </w:pPr>
      <w:r>
        <w:rPr>
          <w:sz w:val="20"/>
          <w:szCs w:val="20"/>
          <w:lang w:val="fr-CA"/>
        </w:rPr>
        <w:br w:type="page"/>
      </w:r>
    </w:p>
    <w:p w:rsidR="002D304F" w:rsidRPr="002D304F" w:rsidRDefault="00532939" w:rsidP="002D304F">
      <w:pPr>
        <w:widowControl w:val="0"/>
        <w:ind w:left="720" w:hanging="720"/>
        <w:jc w:val="both"/>
        <w:rPr>
          <w:sz w:val="20"/>
          <w:szCs w:val="20"/>
        </w:rPr>
      </w:pPr>
      <w:r w:rsidRPr="002D304F">
        <w:rPr>
          <w:sz w:val="20"/>
          <w:szCs w:val="20"/>
        </w:rPr>
        <w:lastRenderedPageBreak/>
        <w:fldChar w:fldCharType="begin"/>
      </w:r>
      <w:r w:rsidR="002D304F" w:rsidRPr="002D304F">
        <w:rPr>
          <w:sz w:val="20"/>
          <w:szCs w:val="20"/>
        </w:rPr>
        <w:instrText xml:space="preserve"> SEQ CHAPTER \h \r 1</w:instrText>
      </w:r>
      <w:r w:rsidRPr="002D304F">
        <w:rPr>
          <w:sz w:val="20"/>
          <w:szCs w:val="20"/>
        </w:rPr>
        <w:fldChar w:fldCharType="end"/>
      </w:r>
      <w:r w:rsidR="002D304F" w:rsidRPr="002D304F">
        <w:rPr>
          <w:b/>
          <w:sz w:val="20"/>
          <w:szCs w:val="20"/>
        </w:rPr>
        <w:t>33283</w:t>
      </w:r>
      <w:r w:rsidR="002D304F" w:rsidRPr="002D304F">
        <w:rPr>
          <w:sz w:val="20"/>
          <w:szCs w:val="20"/>
        </w:rPr>
        <w:tab/>
      </w:r>
      <w:r w:rsidR="002D304F" w:rsidRPr="002D304F">
        <w:rPr>
          <w:b/>
          <w:i/>
          <w:sz w:val="20"/>
          <w:szCs w:val="20"/>
        </w:rPr>
        <w:t>Copthorne Holdings Ltd. v. Her Majesty the Queen</w:t>
      </w:r>
    </w:p>
    <w:p w:rsidR="002D304F" w:rsidRPr="002D304F" w:rsidRDefault="002D304F" w:rsidP="002D304F">
      <w:pPr>
        <w:widowControl w:val="0"/>
        <w:jc w:val="both"/>
        <w:rPr>
          <w:sz w:val="20"/>
          <w:szCs w:val="20"/>
        </w:rPr>
      </w:pPr>
    </w:p>
    <w:p w:rsidR="002D304F" w:rsidRPr="002D304F" w:rsidRDefault="002D304F" w:rsidP="002D304F">
      <w:pPr>
        <w:widowControl w:val="0"/>
        <w:jc w:val="both"/>
        <w:rPr>
          <w:sz w:val="20"/>
          <w:szCs w:val="20"/>
        </w:rPr>
      </w:pPr>
      <w:r w:rsidRPr="002D304F">
        <w:rPr>
          <w:sz w:val="20"/>
          <w:szCs w:val="20"/>
        </w:rPr>
        <w:t xml:space="preserve">Taxation - Income Tax - Assessment - Tax Avoidance - Series of Transactions - Whether GAAR applicable to deny tax benefit - Whether there are conflicting trends in the case law arising from a misinterpretation of the Court’s statements in </w:t>
      </w:r>
      <w:r w:rsidRPr="002D304F">
        <w:rPr>
          <w:i/>
          <w:sz w:val="20"/>
          <w:szCs w:val="20"/>
        </w:rPr>
        <w:t>Canada Trustco Mortgage Co. v. Canada</w:t>
      </w:r>
      <w:r w:rsidRPr="002D304F">
        <w:rPr>
          <w:sz w:val="20"/>
          <w:szCs w:val="20"/>
        </w:rPr>
        <w:t xml:space="preserve">, [2005] 2 S.C.R. 601 with respect to the concept of "series of transactions" as defined in subsection 248(10) of the </w:t>
      </w:r>
      <w:r w:rsidRPr="002D304F">
        <w:rPr>
          <w:i/>
          <w:sz w:val="20"/>
          <w:szCs w:val="20"/>
        </w:rPr>
        <w:t>Income Tax Act</w:t>
      </w:r>
      <w:r w:rsidRPr="002D304F">
        <w:rPr>
          <w:sz w:val="20"/>
          <w:szCs w:val="20"/>
        </w:rPr>
        <w:t xml:space="preserve"> - Interaction of the GAAR with other statutory schemes - Whether the courts below erred in finding that the Share Sale, or the series of transactions including the Share Sale, resulted in a misuse and abuse within the meaning of ss. 245(4) - Whether the courts below erred in finding that the Share Sale was an “avoidance transaction” within the meaning of ss. 245(3) - Whether the lower courts erred in finding that the series of transactions including the Share Sale resulted in a “tax benefit” within the meaning of ss. 245(1)</w:t>
      </w:r>
    </w:p>
    <w:p w:rsidR="002D304F" w:rsidRPr="002D304F" w:rsidRDefault="002D304F" w:rsidP="002D304F">
      <w:pPr>
        <w:widowControl w:val="0"/>
        <w:jc w:val="both"/>
        <w:rPr>
          <w:sz w:val="20"/>
          <w:szCs w:val="20"/>
        </w:rPr>
      </w:pPr>
    </w:p>
    <w:p w:rsidR="002D304F" w:rsidRPr="002D304F" w:rsidRDefault="002D304F" w:rsidP="002D304F">
      <w:pPr>
        <w:widowControl w:val="0"/>
        <w:jc w:val="both"/>
        <w:rPr>
          <w:sz w:val="20"/>
          <w:szCs w:val="20"/>
        </w:rPr>
      </w:pPr>
      <w:r w:rsidRPr="002D304F">
        <w:rPr>
          <w:sz w:val="20"/>
          <w:szCs w:val="20"/>
        </w:rPr>
        <w:t xml:space="preserve">The assessment arose out of a 1996 redemption of preferred shares in the capital of the appellant, Copthorne Holdings Ltd., that were held by a related non-resident corporation.  Because the appellant believed that the paid-up capital ("PUC"), as defined in subsection 89(1), of the redeemed shares was equal to the proceeds that it paid to the non-resident corporation, the appellant did not withhold any amount of income tax in respect of the redemption proceeds.  The Minister of National Revenue applied the General Anti-Avoidance Rule (the "GAAR"), s. 245 of the </w:t>
      </w:r>
      <w:r w:rsidRPr="002D304F">
        <w:rPr>
          <w:i/>
          <w:sz w:val="20"/>
          <w:szCs w:val="20"/>
        </w:rPr>
        <w:t>Income Tax Act</w:t>
      </w:r>
      <w:r w:rsidRPr="002D304F">
        <w:rPr>
          <w:sz w:val="20"/>
          <w:szCs w:val="20"/>
        </w:rPr>
        <w:t>, to transactions that facilitated the preservation of paid-up capital ("PUC") in respect to certain shares.  The Minister determined that the deemed dividend that arose on the 1995 Redemption was $58,325,223 and that 15% of that amount should have been withheld by Copthorne III pursuant to subsection 215(1).  Accordingly, the Minister assessed Copthorne III Part XIII tax in the amount of $8,748,783.40 pursuant to subsection 215(6).  In addition, the Minister assessed a penalty of 10% of that amount pursuant to subsection 227(8).</w:t>
      </w:r>
    </w:p>
    <w:p w:rsidR="002D304F" w:rsidRPr="002D304F" w:rsidRDefault="002D304F" w:rsidP="002D304F">
      <w:pPr>
        <w:widowControl w:val="0"/>
        <w:jc w:val="both"/>
        <w:rPr>
          <w:sz w:val="20"/>
          <w:szCs w:val="20"/>
        </w:rPr>
      </w:pPr>
    </w:p>
    <w:p w:rsidR="002D304F" w:rsidRPr="002D304F" w:rsidRDefault="002D304F" w:rsidP="002D304F">
      <w:pPr>
        <w:widowControl w:val="0"/>
        <w:jc w:val="both"/>
        <w:rPr>
          <w:sz w:val="20"/>
          <w:szCs w:val="20"/>
        </w:rPr>
      </w:pPr>
    </w:p>
    <w:p w:rsidR="002D304F" w:rsidRPr="002D304F" w:rsidRDefault="002D304F" w:rsidP="002D304F">
      <w:pPr>
        <w:widowControl w:val="0"/>
        <w:jc w:val="both"/>
        <w:rPr>
          <w:sz w:val="20"/>
          <w:szCs w:val="20"/>
        </w:rPr>
      </w:pPr>
      <w:r w:rsidRPr="002D304F">
        <w:rPr>
          <w:sz w:val="20"/>
          <w:szCs w:val="20"/>
        </w:rPr>
        <w:t>Origin of the case:</w:t>
      </w:r>
      <w:r w:rsidRPr="002D304F">
        <w:rPr>
          <w:sz w:val="20"/>
          <w:szCs w:val="20"/>
        </w:rPr>
        <w:tab/>
      </w:r>
      <w:r w:rsidRPr="002D304F">
        <w:rPr>
          <w:sz w:val="20"/>
          <w:szCs w:val="20"/>
        </w:rPr>
        <w:tab/>
        <w:t>Federal Court of Appeal</w:t>
      </w:r>
    </w:p>
    <w:p w:rsidR="002D304F" w:rsidRPr="002D304F" w:rsidRDefault="002D304F" w:rsidP="002D304F">
      <w:pPr>
        <w:widowControl w:val="0"/>
        <w:jc w:val="both"/>
        <w:rPr>
          <w:sz w:val="20"/>
          <w:szCs w:val="20"/>
        </w:rPr>
      </w:pPr>
    </w:p>
    <w:p w:rsidR="002D304F" w:rsidRPr="002D304F" w:rsidRDefault="002D304F" w:rsidP="002D304F">
      <w:pPr>
        <w:widowControl w:val="0"/>
        <w:jc w:val="both"/>
        <w:rPr>
          <w:sz w:val="20"/>
          <w:szCs w:val="20"/>
        </w:rPr>
      </w:pPr>
      <w:r w:rsidRPr="002D304F">
        <w:rPr>
          <w:sz w:val="20"/>
          <w:szCs w:val="20"/>
        </w:rPr>
        <w:t>File No.:</w:t>
      </w:r>
      <w:r w:rsidRPr="002D304F">
        <w:rPr>
          <w:sz w:val="20"/>
          <w:szCs w:val="20"/>
        </w:rPr>
        <w:tab/>
      </w:r>
      <w:r w:rsidRPr="002D304F">
        <w:rPr>
          <w:sz w:val="20"/>
          <w:szCs w:val="20"/>
        </w:rPr>
        <w:tab/>
      </w:r>
      <w:r w:rsidRPr="002D304F">
        <w:rPr>
          <w:sz w:val="20"/>
          <w:szCs w:val="20"/>
        </w:rPr>
        <w:tab/>
      </w:r>
      <w:r w:rsidRPr="002D304F">
        <w:rPr>
          <w:sz w:val="20"/>
          <w:szCs w:val="20"/>
        </w:rPr>
        <w:tab/>
        <w:t>33283</w:t>
      </w:r>
    </w:p>
    <w:p w:rsidR="002D304F" w:rsidRPr="002D304F" w:rsidRDefault="002D304F" w:rsidP="002D304F">
      <w:pPr>
        <w:widowControl w:val="0"/>
        <w:jc w:val="both"/>
        <w:rPr>
          <w:sz w:val="20"/>
          <w:szCs w:val="20"/>
        </w:rPr>
      </w:pPr>
    </w:p>
    <w:p w:rsidR="002D304F" w:rsidRPr="002D304F" w:rsidRDefault="002D304F" w:rsidP="002D304F">
      <w:pPr>
        <w:widowControl w:val="0"/>
        <w:jc w:val="both"/>
        <w:rPr>
          <w:sz w:val="20"/>
          <w:szCs w:val="20"/>
        </w:rPr>
      </w:pPr>
      <w:r w:rsidRPr="002D304F">
        <w:rPr>
          <w:sz w:val="20"/>
          <w:szCs w:val="20"/>
        </w:rPr>
        <w:t>Judgment of the Court of Appeal:</w:t>
      </w:r>
      <w:r w:rsidRPr="002D304F">
        <w:rPr>
          <w:sz w:val="20"/>
          <w:szCs w:val="20"/>
        </w:rPr>
        <w:tab/>
        <w:t>May 21, 2009</w:t>
      </w:r>
    </w:p>
    <w:p w:rsidR="002D304F" w:rsidRPr="002D304F" w:rsidRDefault="002D304F" w:rsidP="002D304F">
      <w:pPr>
        <w:widowControl w:val="0"/>
        <w:jc w:val="both"/>
        <w:rPr>
          <w:sz w:val="20"/>
          <w:szCs w:val="20"/>
        </w:rPr>
      </w:pPr>
    </w:p>
    <w:p w:rsidR="002D304F" w:rsidRPr="002D304F" w:rsidRDefault="002D304F" w:rsidP="002D304F">
      <w:pPr>
        <w:widowControl w:val="0"/>
        <w:jc w:val="both"/>
        <w:rPr>
          <w:sz w:val="20"/>
          <w:szCs w:val="20"/>
        </w:rPr>
      </w:pPr>
      <w:r w:rsidRPr="002D304F">
        <w:rPr>
          <w:sz w:val="20"/>
          <w:szCs w:val="20"/>
        </w:rPr>
        <w:t>Counsel:</w:t>
      </w:r>
      <w:r w:rsidRPr="002D304F">
        <w:rPr>
          <w:sz w:val="20"/>
          <w:szCs w:val="20"/>
        </w:rPr>
        <w:tab/>
      </w:r>
      <w:r w:rsidRPr="002D304F">
        <w:rPr>
          <w:sz w:val="20"/>
          <w:szCs w:val="20"/>
        </w:rPr>
        <w:tab/>
      </w:r>
      <w:r w:rsidRPr="002D304F">
        <w:rPr>
          <w:sz w:val="20"/>
          <w:szCs w:val="20"/>
        </w:rPr>
        <w:tab/>
      </w:r>
      <w:r w:rsidRPr="002D304F">
        <w:rPr>
          <w:sz w:val="20"/>
          <w:szCs w:val="20"/>
        </w:rPr>
        <w:tab/>
        <w:t>Richard W. Pound, Pierre-Louis Le Saunier, Jonathan M. Charron for the appellant</w:t>
      </w:r>
    </w:p>
    <w:p w:rsidR="002D304F" w:rsidRPr="002D304F" w:rsidRDefault="002D304F" w:rsidP="002D304F">
      <w:pPr>
        <w:widowControl w:val="0"/>
        <w:jc w:val="both"/>
        <w:rPr>
          <w:sz w:val="20"/>
          <w:szCs w:val="20"/>
        </w:rPr>
      </w:pPr>
      <w:r>
        <w:rPr>
          <w:sz w:val="20"/>
          <w:szCs w:val="20"/>
        </w:rPr>
        <w:tab/>
      </w:r>
      <w:r>
        <w:rPr>
          <w:sz w:val="20"/>
          <w:szCs w:val="20"/>
        </w:rPr>
        <w:tab/>
      </w:r>
      <w:r>
        <w:rPr>
          <w:sz w:val="20"/>
          <w:szCs w:val="20"/>
        </w:rPr>
        <w:tab/>
      </w:r>
      <w:r>
        <w:rPr>
          <w:sz w:val="20"/>
          <w:szCs w:val="20"/>
        </w:rPr>
        <w:tab/>
      </w:r>
      <w:r w:rsidRPr="002D304F">
        <w:rPr>
          <w:sz w:val="20"/>
          <w:szCs w:val="20"/>
        </w:rPr>
        <w:t>Wendy Burnham, Franco Calabrese, Martin Beaudry for the respondent</w:t>
      </w:r>
    </w:p>
    <w:p w:rsidR="000103C9" w:rsidRPr="002D304F" w:rsidRDefault="000103C9" w:rsidP="000B3C9A">
      <w:pPr>
        <w:tabs>
          <w:tab w:val="left" w:pos="-1440"/>
          <w:tab w:val="left" w:pos="-720"/>
        </w:tabs>
        <w:jc w:val="both"/>
        <w:rPr>
          <w:sz w:val="20"/>
          <w:szCs w:val="20"/>
        </w:rPr>
      </w:pPr>
    </w:p>
    <w:p w:rsidR="000103C9" w:rsidRDefault="00532939" w:rsidP="000B3C9A">
      <w:pPr>
        <w:tabs>
          <w:tab w:val="left" w:pos="-1440"/>
          <w:tab w:val="left" w:pos="-720"/>
        </w:tabs>
        <w:jc w:val="both"/>
        <w:rPr>
          <w:sz w:val="20"/>
          <w:szCs w:val="20"/>
          <w:lang w:val="fr-CA"/>
        </w:rPr>
      </w:pPr>
      <w:r w:rsidRPr="00532939">
        <w:rPr>
          <w:sz w:val="20"/>
          <w:szCs w:val="20"/>
          <w:lang w:val="fr-CA"/>
        </w:rPr>
        <w:pict>
          <v:rect id="_x0000_i1048" style="width:2in;height:1pt" o:hrpct="0" o:hralign="center" o:hrstd="t" o:hrnoshade="t" o:hr="t" fillcolor="black [3213]" stroked="f"/>
        </w:pict>
      </w:r>
    </w:p>
    <w:p w:rsidR="000103C9" w:rsidRDefault="000103C9">
      <w:pPr>
        <w:rPr>
          <w:sz w:val="20"/>
          <w:szCs w:val="20"/>
          <w:lang w:val="fr-CA"/>
        </w:rPr>
      </w:pPr>
      <w:r>
        <w:rPr>
          <w:sz w:val="20"/>
          <w:szCs w:val="20"/>
          <w:lang w:val="fr-CA"/>
        </w:rPr>
        <w:br w:type="page"/>
      </w:r>
    </w:p>
    <w:p w:rsidR="002D304F" w:rsidRPr="002D304F" w:rsidRDefault="00532939" w:rsidP="002D304F">
      <w:pPr>
        <w:widowControl w:val="0"/>
        <w:ind w:left="720" w:hanging="720"/>
        <w:jc w:val="both"/>
        <w:rPr>
          <w:sz w:val="20"/>
          <w:szCs w:val="20"/>
          <w:lang w:val="fr-CA"/>
        </w:rPr>
      </w:pPr>
      <w:r w:rsidRPr="00532939">
        <w:rPr>
          <w:sz w:val="20"/>
          <w:szCs w:val="20"/>
          <w:lang w:val="fr-CA"/>
        </w:rPr>
        <w:lastRenderedPageBreak/>
        <w:fldChar w:fldCharType="begin"/>
      </w:r>
      <w:r w:rsidR="002D304F" w:rsidRPr="002D304F">
        <w:rPr>
          <w:sz w:val="20"/>
          <w:szCs w:val="20"/>
          <w:lang w:val="fr-CA"/>
        </w:rPr>
        <w:instrText xml:space="preserve"> SEQ CHAPTER \h \r 1</w:instrText>
      </w:r>
      <w:r w:rsidRPr="002D304F">
        <w:rPr>
          <w:sz w:val="20"/>
          <w:szCs w:val="20"/>
        </w:rPr>
        <w:fldChar w:fldCharType="end"/>
      </w:r>
      <w:r w:rsidR="002D304F" w:rsidRPr="002D304F">
        <w:rPr>
          <w:b/>
          <w:sz w:val="20"/>
          <w:szCs w:val="20"/>
          <w:lang w:val="fr-CA"/>
        </w:rPr>
        <w:t>33283</w:t>
      </w:r>
      <w:r w:rsidR="002D304F" w:rsidRPr="002D304F">
        <w:rPr>
          <w:sz w:val="20"/>
          <w:szCs w:val="20"/>
          <w:lang w:val="fr-CA"/>
        </w:rPr>
        <w:tab/>
      </w:r>
      <w:r w:rsidR="002D304F" w:rsidRPr="002D304F">
        <w:rPr>
          <w:b/>
          <w:i/>
          <w:sz w:val="20"/>
          <w:szCs w:val="20"/>
          <w:lang w:val="fr-CA"/>
        </w:rPr>
        <w:t>Copthorne Holdings Ltd. c. Sa Majesté la Reine</w:t>
      </w:r>
    </w:p>
    <w:p w:rsidR="002D304F" w:rsidRPr="002D304F" w:rsidRDefault="002D304F" w:rsidP="002D304F">
      <w:pPr>
        <w:widowControl w:val="0"/>
        <w:jc w:val="both"/>
        <w:rPr>
          <w:sz w:val="20"/>
          <w:szCs w:val="20"/>
          <w:lang w:val="fr-CA"/>
        </w:rPr>
      </w:pPr>
    </w:p>
    <w:p w:rsidR="002D304F" w:rsidRPr="002D304F" w:rsidRDefault="002D304F" w:rsidP="002D304F">
      <w:pPr>
        <w:widowControl w:val="0"/>
        <w:jc w:val="both"/>
        <w:rPr>
          <w:sz w:val="20"/>
          <w:szCs w:val="20"/>
          <w:lang w:val="fr-CA"/>
        </w:rPr>
      </w:pPr>
      <w:r w:rsidRPr="002D304F">
        <w:rPr>
          <w:sz w:val="20"/>
          <w:szCs w:val="20"/>
          <w:lang w:val="fr-CA"/>
        </w:rPr>
        <w:t xml:space="preserve">Droit fiscal - Impôt sur le revenu - Cotisation - Évitement fiscal - Série d’opérations - La DGAÉ est-elle applicable de manière à supprimer un avantage fiscal? - Y a-t-il des courants jurisprudentiels contradictoires découlant d’une mauvaise interprétation des affirmations de la Cour dans l’arrêt </w:t>
      </w:r>
      <w:r w:rsidRPr="002D304F">
        <w:rPr>
          <w:i/>
          <w:sz w:val="20"/>
          <w:szCs w:val="20"/>
          <w:lang w:val="fr-CA"/>
        </w:rPr>
        <w:t>Hypothèques Trustco Canada c. Canada</w:t>
      </w:r>
      <w:r w:rsidRPr="002D304F">
        <w:rPr>
          <w:sz w:val="20"/>
          <w:szCs w:val="20"/>
          <w:lang w:val="fr-CA"/>
        </w:rPr>
        <w:t xml:space="preserve">, [2005] 2 R.C.S. 601 relativement au concept de « série d’opérations » définie au par. 248(10) de la </w:t>
      </w:r>
      <w:r w:rsidRPr="002D304F">
        <w:rPr>
          <w:i/>
          <w:sz w:val="20"/>
          <w:szCs w:val="20"/>
          <w:lang w:val="fr-CA"/>
        </w:rPr>
        <w:t>Loi de l’impôt sur le revenu</w:t>
      </w:r>
      <w:r w:rsidRPr="002D304F">
        <w:rPr>
          <w:sz w:val="20"/>
          <w:szCs w:val="20"/>
          <w:lang w:val="fr-CA"/>
        </w:rPr>
        <w:t>? - Interaction de la DGAÉ avec d’autres régimes prévus par la loi - Les juridictions inférieures ont-elles eu tort de conclure que la vente d’actions, ou la série d’opérations y compris la vente d’actions, a donné lieu à un abus au sens du par. 245(4)? - Les juridictions inférieures ont elles eu tort de conclure que la vente d’actions était une « opération d’évitement » au sens du par. 245(3)? - Les juridictions inférieures ont elles eu tort de conclure que la séries d’opérations, y compris la vente d’actions, a donné lieu à un « avantage fiscal » au sens du par. 245(1)?</w:t>
      </w:r>
    </w:p>
    <w:p w:rsidR="002D304F" w:rsidRPr="002D304F" w:rsidRDefault="002D304F" w:rsidP="002D304F">
      <w:pPr>
        <w:widowControl w:val="0"/>
        <w:jc w:val="both"/>
        <w:rPr>
          <w:sz w:val="20"/>
          <w:szCs w:val="20"/>
          <w:lang w:val="fr-CA"/>
        </w:rPr>
      </w:pPr>
    </w:p>
    <w:p w:rsidR="002D304F" w:rsidRPr="002D304F" w:rsidRDefault="002D304F" w:rsidP="002D304F">
      <w:pPr>
        <w:widowControl w:val="0"/>
        <w:jc w:val="both"/>
        <w:rPr>
          <w:sz w:val="20"/>
          <w:szCs w:val="20"/>
          <w:lang w:val="fr-CA"/>
        </w:rPr>
      </w:pPr>
      <w:r w:rsidRPr="002D304F">
        <w:rPr>
          <w:sz w:val="20"/>
          <w:szCs w:val="20"/>
          <w:lang w:val="fr-CA"/>
        </w:rPr>
        <w:t xml:space="preserve">La cotisation découle du rachat, en 1996, d’actions privilégiées du capital-actions de l’appelante, Copthorne Holdings Ltd., qui étaient détenues par une société liée non résidante.  Parce que l’appelante croyait que le capital versé (« CV »), défini au par. 89(1), des actions rachetées était égal au produit qu’elle avait payé à la société non résidante, l’appelante n’a pas retenu de montant d’impôt sur le revenu à l’égard du produit de rachat.  Le ministre du Revenu a appliqué la disposition générale anti-évitement (la « DGAÉ »), art. 245 de la </w:t>
      </w:r>
      <w:r w:rsidRPr="002D304F">
        <w:rPr>
          <w:i/>
          <w:sz w:val="20"/>
          <w:szCs w:val="20"/>
          <w:lang w:val="fr-CA"/>
        </w:rPr>
        <w:t>Loi de l’impôt sur le revenu</w:t>
      </w:r>
      <w:r w:rsidRPr="002D304F">
        <w:rPr>
          <w:sz w:val="20"/>
          <w:szCs w:val="20"/>
          <w:lang w:val="fr-CA"/>
        </w:rPr>
        <w:t>, aux opérations qui facilitaient la conservation du capital versé (« CV ») à l’égard de certaines actions.  Le ministre a statué que le dividende réputé qui a découlé du rachat de 1995 était de 58 325 223 $ et que Copthorne III aurait dû retenir 15 % de ce montant en vertu du par. 215(1).  Par conséquent, le ministre a établi une cotisation en vertu de laquelle Copthorne III devait payer l’impôt de la partie XIII au montant de 8 748 783,40 $ en vertu du par. 215(6).  En outre, le ministre a imposé une pénalité de 10 % de ce montant en vertu du par. 227(8).</w:t>
      </w:r>
    </w:p>
    <w:p w:rsidR="002D304F" w:rsidRPr="002D304F" w:rsidRDefault="002D304F" w:rsidP="002D304F">
      <w:pPr>
        <w:widowControl w:val="0"/>
        <w:jc w:val="both"/>
        <w:rPr>
          <w:sz w:val="20"/>
          <w:szCs w:val="20"/>
          <w:lang w:val="fr-CA"/>
        </w:rPr>
      </w:pPr>
    </w:p>
    <w:p w:rsidR="002D304F" w:rsidRPr="002D304F" w:rsidRDefault="002D304F" w:rsidP="002D304F">
      <w:pPr>
        <w:widowControl w:val="0"/>
        <w:jc w:val="both"/>
        <w:rPr>
          <w:sz w:val="20"/>
          <w:szCs w:val="20"/>
          <w:lang w:val="fr-CA"/>
        </w:rPr>
      </w:pPr>
    </w:p>
    <w:p w:rsidR="002D304F" w:rsidRPr="002D304F" w:rsidRDefault="002D304F" w:rsidP="002D304F">
      <w:pPr>
        <w:widowControl w:val="0"/>
        <w:jc w:val="both"/>
        <w:rPr>
          <w:sz w:val="20"/>
          <w:szCs w:val="20"/>
          <w:lang w:val="fr-CA"/>
        </w:rPr>
      </w:pPr>
      <w:r w:rsidRPr="002D304F">
        <w:rPr>
          <w:sz w:val="20"/>
          <w:szCs w:val="20"/>
          <w:lang w:val="fr-CA"/>
        </w:rPr>
        <w:t>Origine :</w:t>
      </w:r>
      <w:r w:rsidRPr="002D304F">
        <w:rPr>
          <w:sz w:val="20"/>
          <w:szCs w:val="20"/>
          <w:lang w:val="fr-CA"/>
        </w:rPr>
        <w:tab/>
      </w:r>
      <w:r w:rsidRPr="002D304F">
        <w:rPr>
          <w:sz w:val="20"/>
          <w:szCs w:val="20"/>
          <w:lang w:val="fr-CA"/>
        </w:rPr>
        <w:tab/>
      </w:r>
      <w:r w:rsidRPr="002D304F">
        <w:rPr>
          <w:sz w:val="20"/>
          <w:szCs w:val="20"/>
          <w:lang w:val="fr-CA"/>
        </w:rPr>
        <w:tab/>
      </w:r>
      <w:r w:rsidRPr="002D304F">
        <w:rPr>
          <w:sz w:val="20"/>
          <w:szCs w:val="20"/>
          <w:lang w:val="fr-CA"/>
        </w:rPr>
        <w:tab/>
        <w:t>Cour d’appel fédérale</w:t>
      </w:r>
    </w:p>
    <w:p w:rsidR="002D304F" w:rsidRPr="002D304F" w:rsidRDefault="002D304F" w:rsidP="002D304F">
      <w:pPr>
        <w:widowControl w:val="0"/>
        <w:jc w:val="both"/>
        <w:rPr>
          <w:sz w:val="20"/>
          <w:szCs w:val="20"/>
          <w:lang w:val="fr-CA"/>
        </w:rPr>
      </w:pPr>
    </w:p>
    <w:p w:rsidR="002D304F" w:rsidRPr="002D304F" w:rsidRDefault="002D304F" w:rsidP="002D304F">
      <w:pPr>
        <w:widowControl w:val="0"/>
        <w:jc w:val="both"/>
        <w:rPr>
          <w:sz w:val="20"/>
          <w:szCs w:val="20"/>
          <w:lang w:val="fr-CA"/>
        </w:rPr>
      </w:pPr>
      <w:r w:rsidRPr="002D304F">
        <w:rPr>
          <w:sz w:val="20"/>
          <w:szCs w:val="20"/>
          <w:lang w:val="fr-CA"/>
        </w:rPr>
        <w:t>N</w:t>
      </w:r>
      <w:r w:rsidRPr="002D304F">
        <w:rPr>
          <w:sz w:val="20"/>
          <w:szCs w:val="20"/>
          <w:vertAlign w:val="superscript"/>
          <w:lang w:val="fr-CA"/>
        </w:rPr>
        <w:t>o</w:t>
      </w:r>
      <w:r w:rsidRPr="002D304F">
        <w:rPr>
          <w:sz w:val="20"/>
          <w:szCs w:val="20"/>
          <w:lang w:val="fr-CA"/>
        </w:rPr>
        <w:t xml:space="preserve"> du greffe :</w:t>
      </w:r>
      <w:r w:rsidRPr="002D304F">
        <w:rPr>
          <w:sz w:val="20"/>
          <w:szCs w:val="20"/>
          <w:lang w:val="fr-CA"/>
        </w:rPr>
        <w:tab/>
      </w:r>
      <w:r w:rsidRPr="002D304F">
        <w:rPr>
          <w:sz w:val="20"/>
          <w:szCs w:val="20"/>
          <w:lang w:val="fr-CA"/>
        </w:rPr>
        <w:tab/>
      </w:r>
      <w:r w:rsidRPr="002D304F">
        <w:rPr>
          <w:sz w:val="20"/>
          <w:szCs w:val="20"/>
          <w:lang w:val="fr-CA"/>
        </w:rPr>
        <w:tab/>
        <w:t>33283</w:t>
      </w:r>
    </w:p>
    <w:p w:rsidR="002D304F" w:rsidRPr="002D304F" w:rsidRDefault="002D304F" w:rsidP="002D304F">
      <w:pPr>
        <w:widowControl w:val="0"/>
        <w:jc w:val="both"/>
        <w:rPr>
          <w:sz w:val="20"/>
          <w:szCs w:val="20"/>
          <w:lang w:val="fr-CA"/>
        </w:rPr>
      </w:pPr>
    </w:p>
    <w:p w:rsidR="002D304F" w:rsidRPr="002D304F" w:rsidRDefault="002D304F" w:rsidP="002D304F">
      <w:pPr>
        <w:widowControl w:val="0"/>
        <w:jc w:val="both"/>
        <w:rPr>
          <w:sz w:val="20"/>
          <w:szCs w:val="20"/>
          <w:lang w:val="fr-CA"/>
        </w:rPr>
      </w:pPr>
      <w:r w:rsidRPr="002D304F">
        <w:rPr>
          <w:sz w:val="20"/>
          <w:szCs w:val="20"/>
          <w:lang w:val="fr-CA"/>
        </w:rPr>
        <w:t>Arrêt de la Cour d’appel :</w:t>
      </w:r>
      <w:r w:rsidRPr="002D304F">
        <w:rPr>
          <w:sz w:val="20"/>
          <w:szCs w:val="20"/>
          <w:lang w:val="fr-CA"/>
        </w:rPr>
        <w:tab/>
      </w:r>
      <w:r w:rsidRPr="002D304F">
        <w:rPr>
          <w:sz w:val="20"/>
          <w:szCs w:val="20"/>
          <w:lang w:val="fr-CA"/>
        </w:rPr>
        <w:tab/>
        <w:t>21 mai 2009</w:t>
      </w:r>
    </w:p>
    <w:p w:rsidR="002D304F" w:rsidRPr="002D304F" w:rsidRDefault="002D304F" w:rsidP="002D304F">
      <w:pPr>
        <w:widowControl w:val="0"/>
        <w:jc w:val="both"/>
        <w:rPr>
          <w:sz w:val="20"/>
          <w:szCs w:val="20"/>
          <w:lang w:val="fr-CA"/>
        </w:rPr>
      </w:pPr>
    </w:p>
    <w:p w:rsidR="002D304F" w:rsidRPr="002D304F" w:rsidRDefault="002D304F" w:rsidP="002D304F">
      <w:pPr>
        <w:widowControl w:val="0"/>
        <w:jc w:val="both"/>
        <w:rPr>
          <w:sz w:val="20"/>
          <w:szCs w:val="20"/>
          <w:lang w:val="fr-CA"/>
        </w:rPr>
      </w:pPr>
      <w:r w:rsidRPr="002D304F">
        <w:rPr>
          <w:sz w:val="20"/>
          <w:szCs w:val="20"/>
          <w:lang w:val="fr-CA"/>
        </w:rPr>
        <w:t>Avocats :</w:t>
      </w:r>
      <w:r w:rsidRPr="002D304F">
        <w:rPr>
          <w:sz w:val="20"/>
          <w:szCs w:val="20"/>
          <w:lang w:val="fr-CA"/>
        </w:rPr>
        <w:tab/>
      </w:r>
      <w:r w:rsidRPr="002D304F">
        <w:rPr>
          <w:sz w:val="20"/>
          <w:szCs w:val="20"/>
          <w:lang w:val="fr-CA"/>
        </w:rPr>
        <w:tab/>
      </w:r>
      <w:r w:rsidRPr="002D304F">
        <w:rPr>
          <w:sz w:val="20"/>
          <w:szCs w:val="20"/>
          <w:lang w:val="fr-CA"/>
        </w:rPr>
        <w:tab/>
        <w:t>Richard W. Pound, Pierre-Louis Le Saunier, Jonathan M. Charron pour l’appelante</w:t>
      </w:r>
    </w:p>
    <w:p w:rsidR="002D304F" w:rsidRPr="002D304F" w:rsidRDefault="002D304F" w:rsidP="002D304F">
      <w:pPr>
        <w:widowControl w:val="0"/>
        <w:jc w:val="both"/>
        <w:rPr>
          <w:sz w:val="20"/>
          <w:szCs w:val="20"/>
          <w:lang w:val="fr-CA"/>
        </w:rPr>
      </w:pPr>
      <w:r>
        <w:rPr>
          <w:sz w:val="20"/>
          <w:szCs w:val="20"/>
          <w:lang w:val="fr-CA"/>
        </w:rPr>
        <w:tab/>
      </w:r>
      <w:r>
        <w:rPr>
          <w:sz w:val="20"/>
          <w:szCs w:val="20"/>
          <w:lang w:val="fr-CA"/>
        </w:rPr>
        <w:tab/>
      </w:r>
      <w:r>
        <w:rPr>
          <w:sz w:val="20"/>
          <w:szCs w:val="20"/>
          <w:lang w:val="fr-CA"/>
        </w:rPr>
        <w:tab/>
      </w:r>
      <w:r>
        <w:rPr>
          <w:sz w:val="20"/>
          <w:szCs w:val="20"/>
          <w:lang w:val="fr-CA"/>
        </w:rPr>
        <w:tab/>
      </w:r>
      <w:r w:rsidRPr="002D304F">
        <w:rPr>
          <w:sz w:val="20"/>
          <w:szCs w:val="20"/>
          <w:lang w:val="fr-CA"/>
        </w:rPr>
        <w:t>Wendy Burnham, Franco Calabrese, Martin Beaudry pour l’intimée</w:t>
      </w:r>
    </w:p>
    <w:p w:rsidR="000103C9" w:rsidRDefault="000103C9" w:rsidP="002D304F">
      <w:pPr>
        <w:tabs>
          <w:tab w:val="left" w:pos="-1440"/>
          <w:tab w:val="left" w:pos="-720"/>
        </w:tabs>
        <w:jc w:val="both"/>
        <w:rPr>
          <w:sz w:val="20"/>
          <w:szCs w:val="20"/>
          <w:lang w:val="fr-CA"/>
        </w:rPr>
      </w:pPr>
    </w:p>
    <w:p w:rsidR="000103C9" w:rsidRDefault="00532939" w:rsidP="000B3C9A">
      <w:pPr>
        <w:tabs>
          <w:tab w:val="left" w:pos="-1440"/>
          <w:tab w:val="left" w:pos="-720"/>
        </w:tabs>
        <w:jc w:val="both"/>
        <w:rPr>
          <w:sz w:val="20"/>
          <w:szCs w:val="20"/>
          <w:lang w:val="fr-CA"/>
        </w:rPr>
      </w:pPr>
      <w:r w:rsidRPr="00532939">
        <w:rPr>
          <w:sz w:val="20"/>
          <w:szCs w:val="20"/>
          <w:lang w:val="fr-CA"/>
        </w:rPr>
        <w:pict>
          <v:rect id="_x0000_i1049" style="width:2in;height:1pt" o:hrpct="0" o:hralign="center" o:hrstd="t" o:hrnoshade="t" o:hr="t" fillcolor="black [3213]" stroked="f"/>
        </w:pict>
      </w:r>
    </w:p>
    <w:p w:rsidR="000103C9" w:rsidRDefault="000103C9">
      <w:pPr>
        <w:rPr>
          <w:sz w:val="20"/>
          <w:szCs w:val="20"/>
          <w:lang w:val="fr-CA"/>
        </w:rPr>
      </w:pPr>
      <w:r>
        <w:rPr>
          <w:sz w:val="20"/>
          <w:szCs w:val="20"/>
          <w:lang w:val="fr-CA"/>
        </w:rPr>
        <w:br w:type="page"/>
      </w:r>
    </w:p>
    <w:p w:rsidR="00175C25" w:rsidRPr="00175C25" w:rsidRDefault="00532939" w:rsidP="00175C25">
      <w:pPr>
        <w:widowControl w:val="0"/>
        <w:ind w:left="720" w:hanging="720"/>
        <w:jc w:val="both"/>
        <w:rPr>
          <w:sz w:val="20"/>
          <w:szCs w:val="20"/>
        </w:rPr>
      </w:pPr>
      <w:r w:rsidRPr="00175C25">
        <w:rPr>
          <w:b/>
          <w:sz w:val="20"/>
          <w:szCs w:val="20"/>
        </w:rPr>
        <w:lastRenderedPageBreak/>
        <w:fldChar w:fldCharType="begin"/>
      </w:r>
      <w:r w:rsidR="00175C25" w:rsidRPr="00175C25">
        <w:rPr>
          <w:b/>
          <w:sz w:val="20"/>
          <w:szCs w:val="20"/>
        </w:rPr>
        <w:instrText xml:space="preserve"> SEQ CHAPTER \h \r 1</w:instrText>
      </w:r>
      <w:r w:rsidRPr="00175C25">
        <w:rPr>
          <w:b/>
          <w:sz w:val="20"/>
          <w:szCs w:val="20"/>
        </w:rPr>
        <w:fldChar w:fldCharType="end"/>
      </w:r>
      <w:r w:rsidR="00175C25" w:rsidRPr="00175C25">
        <w:rPr>
          <w:b/>
          <w:sz w:val="20"/>
          <w:szCs w:val="20"/>
        </w:rPr>
        <w:t>33727</w:t>
      </w:r>
      <w:r w:rsidR="00175C25" w:rsidRPr="00175C25">
        <w:rPr>
          <w:sz w:val="20"/>
          <w:szCs w:val="20"/>
        </w:rPr>
        <w:tab/>
      </w:r>
      <w:r w:rsidR="00175C25" w:rsidRPr="00175C25">
        <w:rPr>
          <w:b/>
          <w:i/>
          <w:sz w:val="20"/>
          <w:szCs w:val="20"/>
        </w:rPr>
        <w:t>Ross Barros v. Her Majesty the Queen</w:t>
      </w:r>
    </w:p>
    <w:p w:rsidR="00175C25" w:rsidRPr="00175C25" w:rsidRDefault="00175C25" w:rsidP="00175C25">
      <w:pPr>
        <w:widowControl w:val="0"/>
        <w:jc w:val="both"/>
        <w:rPr>
          <w:sz w:val="20"/>
          <w:szCs w:val="20"/>
        </w:rPr>
      </w:pPr>
    </w:p>
    <w:p w:rsidR="00175C25" w:rsidRPr="00175C25" w:rsidRDefault="00175C25" w:rsidP="00175C25">
      <w:pPr>
        <w:widowControl w:val="0"/>
        <w:jc w:val="both"/>
        <w:rPr>
          <w:smallCaps/>
          <w:sz w:val="20"/>
          <w:szCs w:val="20"/>
        </w:rPr>
      </w:pPr>
      <w:r w:rsidRPr="00175C25">
        <w:rPr>
          <w:smallCaps/>
          <w:sz w:val="20"/>
          <w:szCs w:val="20"/>
        </w:rPr>
        <w:t>(Publication ban in case)</w:t>
      </w:r>
    </w:p>
    <w:p w:rsidR="00175C25" w:rsidRPr="00175C25" w:rsidRDefault="00175C25" w:rsidP="00175C25">
      <w:pPr>
        <w:widowControl w:val="0"/>
        <w:jc w:val="both"/>
        <w:rPr>
          <w:sz w:val="20"/>
          <w:szCs w:val="20"/>
        </w:rPr>
      </w:pPr>
    </w:p>
    <w:p w:rsidR="00175C25" w:rsidRPr="00175C25" w:rsidRDefault="00175C25" w:rsidP="00175C25">
      <w:pPr>
        <w:widowControl w:val="0"/>
        <w:jc w:val="both"/>
        <w:rPr>
          <w:sz w:val="20"/>
          <w:szCs w:val="20"/>
        </w:rPr>
      </w:pPr>
      <w:r w:rsidRPr="00175C25">
        <w:rPr>
          <w:sz w:val="20"/>
          <w:szCs w:val="20"/>
        </w:rPr>
        <w:t xml:space="preserve">Criminal law - Appeals - Findings of fact - Questions of mixed fact and law - Offences - Offences against the administration of law and justice - Obstruction of justice - Extortion - Evidence - Police informants - Whether it is an error of law to determine that the scope of protection afforded to alleged confidential police informers extends to preclude otherwise lawful investigative steps by the defence - Whether it is an error of law to transform the prohibition against revelation of the identity of an alleged informer by the state to a prohibition against discovery by anyone - Whether it is an error of law to foreclose legitimate investigation by defence counsel, or agent, to ascertain whether an alleged informer is in fact an agent of the state, a material witness, a fictional source fabricated for illegal purposes or whether there is evidence of a </w:t>
      </w:r>
      <w:r w:rsidRPr="00175C25">
        <w:rPr>
          <w:i/>
          <w:sz w:val="20"/>
          <w:szCs w:val="20"/>
        </w:rPr>
        <w:t>Charter</w:t>
      </w:r>
      <w:r w:rsidRPr="00175C25">
        <w:rPr>
          <w:sz w:val="20"/>
          <w:szCs w:val="20"/>
        </w:rPr>
        <w:t xml:space="preserve"> breach - Whether it is an error of law for a Court of Appeal to substitute its view of the facts and, thereby, overturn findings of fact made by a trial judge in order to find a right of appeal for the Attorney General.</w:t>
      </w:r>
    </w:p>
    <w:p w:rsidR="00175C25" w:rsidRPr="00175C25" w:rsidRDefault="00175C25" w:rsidP="00175C25">
      <w:pPr>
        <w:widowControl w:val="0"/>
        <w:jc w:val="both"/>
        <w:rPr>
          <w:sz w:val="20"/>
          <w:szCs w:val="20"/>
        </w:rPr>
      </w:pPr>
    </w:p>
    <w:p w:rsidR="00175C25" w:rsidRPr="00175C25" w:rsidRDefault="00175C25" w:rsidP="00175C25">
      <w:pPr>
        <w:widowControl w:val="0"/>
        <w:jc w:val="both"/>
        <w:rPr>
          <w:sz w:val="20"/>
          <w:szCs w:val="20"/>
        </w:rPr>
      </w:pPr>
      <w:r w:rsidRPr="00175C25">
        <w:rPr>
          <w:sz w:val="20"/>
          <w:szCs w:val="20"/>
        </w:rPr>
        <w:t>The appellant, an ex</w:t>
      </w:r>
      <w:r w:rsidRPr="00175C25">
        <w:rPr>
          <w:sz w:val="20"/>
          <w:szCs w:val="20"/>
        </w:rPr>
        <w:noBreakHyphen/>
        <w:t>police officer turned private investigator, was charged with one count of obstruction of justice and two counts of extortion.  It was the Crown’s theory that the means used by him to obtain the name of a person alleged to be a police informant, and the use of that name to obtain the withdrawal of criminal charges, constituted obstruction of justice and extortion.  On the obstruction charges, the appellant applied for a directed verdict, which was granted by the trial judge on the basis that there was no evidence upon which a properly instructed jury could convict.  The appellant was subsequently acquitted of extortion.  The Crown appealed the directed verdict and the acquittals.  The majority of the Court of Appeal allowed the appeal and ordered a new trial on all three counts.  Berger J.A., dissenting, would have dismissed the appeal.</w:t>
      </w:r>
    </w:p>
    <w:p w:rsidR="00175C25" w:rsidRPr="00175C25" w:rsidRDefault="00175C25" w:rsidP="00175C25">
      <w:pPr>
        <w:widowControl w:val="0"/>
        <w:jc w:val="both"/>
        <w:rPr>
          <w:sz w:val="20"/>
          <w:szCs w:val="20"/>
        </w:rPr>
      </w:pPr>
    </w:p>
    <w:p w:rsidR="00175C25" w:rsidRPr="00175C25" w:rsidRDefault="00175C25" w:rsidP="00175C25">
      <w:pPr>
        <w:widowControl w:val="0"/>
        <w:jc w:val="both"/>
        <w:rPr>
          <w:sz w:val="20"/>
          <w:szCs w:val="20"/>
        </w:rPr>
      </w:pPr>
    </w:p>
    <w:p w:rsidR="00175C25" w:rsidRPr="00175C25" w:rsidRDefault="00175C25" w:rsidP="005A1C7B">
      <w:pPr>
        <w:widowControl w:val="0"/>
        <w:tabs>
          <w:tab w:val="left" w:pos="3060"/>
        </w:tabs>
        <w:jc w:val="both"/>
        <w:rPr>
          <w:sz w:val="20"/>
          <w:szCs w:val="20"/>
        </w:rPr>
      </w:pPr>
      <w:r w:rsidRPr="00175C25">
        <w:rPr>
          <w:sz w:val="20"/>
          <w:szCs w:val="20"/>
        </w:rPr>
        <w:t>Origin of the case:</w:t>
      </w:r>
      <w:r w:rsidRPr="00175C25">
        <w:rPr>
          <w:sz w:val="20"/>
          <w:szCs w:val="20"/>
        </w:rPr>
        <w:tab/>
        <w:t>Alberta</w:t>
      </w:r>
    </w:p>
    <w:p w:rsidR="00175C25" w:rsidRPr="00175C25" w:rsidRDefault="00175C25" w:rsidP="005A1C7B">
      <w:pPr>
        <w:widowControl w:val="0"/>
        <w:tabs>
          <w:tab w:val="left" w:pos="3060"/>
        </w:tabs>
        <w:jc w:val="both"/>
        <w:rPr>
          <w:sz w:val="20"/>
          <w:szCs w:val="20"/>
        </w:rPr>
      </w:pPr>
    </w:p>
    <w:p w:rsidR="00175C25" w:rsidRPr="00175C25" w:rsidRDefault="00175C25" w:rsidP="005A1C7B">
      <w:pPr>
        <w:widowControl w:val="0"/>
        <w:tabs>
          <w:tab w:val="left" w:pos="3060"/>
        </w:tabs>
        <w:jc w:val="both"/>
        <w:rPr>
          <w:sz w:val="20"/>
          <w:szCs w:val="20"/>
        </w:rPr>
      </w:pPr>
      <w:r w:rsidRPr="00175C25">
        <w:rPr>
          <w:sz w:val="20"/>
          <w:szCs w:val="20"/>
        </w:rPr>
        <w:t>File No.:</w:t>
      </w:r>
      <w:r w:rsidRPr="00175C25">
        <w:rPr>
          <w:sz w:val="20"/>
          <w:szCs w:val="20"/>
        </w:rPr>
        <w:tab/>
        <w:t>33727</w:t>
      </w:r>
    </w:p>
    <w:p w:rsidR="00175C25" w:rsidRPr="00175C25" w:rsidRDefault="00175C25" w:rsidP="005A1C7B">
      <w:pPr>
        <w:widowControl w:val="0"/>
        <w:tabs>
          <w:tab w:val="left" w:pos="3060"/>
        </w:tabs>
        <w:jc w:val="both"/>
        <w:rPr>
          <w:sz w:val="20"/>
          <w:szCs w:val="20"/>
        </w:rPr>
      </w:pPr>
    </w:p>
    <w:p w:rsidR="00175C25" w:rsidRPr="00175C25" w:rsidRDefault="00175C25" w:rsidP="005A1C7B">
      <w:pPr>
        <w:widowControl w:val="0"/>
        <w:tabs>
          <w:tab w:val="left" w:pos="3060"/>
        </w:tabs>
        <w:jc w:val="both"/>
        <w:rPr>
          <w:sz w:val="20"/>
          <w:szCs w:val="20"/>
        </w:rPr>
      </w:pPr>
      <w:r w:rsidRPr="00175C25">
        <w:rPr>
          <w:sz w:val="20"/>
          <w:szCs w:val="20"/>
        </w:rPr>
        <w:t>Judgments of the Court of Appeal:</w:t>
      </w:r>
      <w:r w:rsidRPr="00175C25">
        <w:rPr>
          <w:sz w:val="20"/>
          <w:szCs w:val="20"/>
        </w:rPr>
        <w:tab/>
        <w:t>June 25, 2007 and December 21, 2007</w:t>
      </w:r>
    </w:p>
    <w:p w:rsidR="00175C25" w:rsidRPr="00175C25" w:rsidRDefault="00175C25" w:rsidP="005A1C7B">
      <w:pPr>
        <w:widowControl w:val="0"/>
        <w:tabs>
          <w:tab w:val="left" w:pos="3060"/>
        </w:tabs>
        <w:jc w:val="both"/>
        <w:rPr>
          <w:sz w:val="20"/>
          <w:szCs w:val="20"/>
        </w:rPr>
      </w:pPr>
    </w:p>
    <w:p w:rsidR="00175C25" w:rsidRPr="00175C25" w:rsidRDefault="00175C25" w:rsidP="005A1C7B">
      <w:pPr>
        <w:widowControl w:val="0"/>
        <w:tabs>
          <w:tab w:val="left" w:pos="3060"/>
        </w:tabs>
        <w:jc w:val="both"/>
        <w:rPr>
          <w:sz w:val="20"/>
          <w:szCs w:val="20"/>
        </w:rPr>
      </w:pPr>
      <w:r w:rsidRPr="00175C25">
        <w:rPr>
          <w:sz w:val="20"/>
          <w:szCs w:val="20"/>
        </w:rPr>
        <w:t>Counsel:</w:t>
      </w:r>
      <w:r w:rsidRPr="00175C25">
        <w:rPr>
          <w:sz w:val="20"/>
          <w:szCs w:val="20"/>
        </w:rPr>
        <w:tab/>
        <w:t>Hersh Wolch, Q.C. for the appellant</w:t>
      </w:r>
    </w:p>
    <w:p w:rsidR="00175C25" w:rsidRPr="00175C25" w:rsidRDefault="00175C25" w:rsidP="005A1C7B">
      <w:pPr>
        <w:widowControl w:val="0"/>
        <w:tabs>
          <w:tab w:val="left" w:pos="3060"/>
        </w:tabs>
        <w:jc w:val="both"/>
        <w:rPr>
          <w:sz w:val="20"/>
          <w:szCs w:val="20"/>
        </w:rPr>
      </w:pPr>
      <w:r w:rsidRPr="00175C25">
        <w:rPr>
          <w:sz w:val="20"/>
          <w:szCs w:val="20"/>
        </w:rPr>
        <w:tab/>
        <w:t>James C. Robb, Q.C. for the respondent</w:t>
      </w:r>
    </w:p>
    <w:p w:rsidR="000103C9" w:rsidRPr="00175C25" w:rsidRDefault="000103C9" w:rsidP="00175C25">
      <w:pPr>
        <w:tabs>
          <w:tab w:val="left" w:pos="-1440"/>
          <w:tab w:val="left" w:pos="-720"/>
          <w:tab w:val="left" w:pos="3240"/>
        </w:tabs>
        <w:jc w:val="both"/>
        <w:rPr>
          <w:sz w:val="20"/>
          <w:szCs w:val="20"/>
        </w:rPr>
      </w:pPr>
    </w:p>
    <w:p w:rsidR="000103C9" w:rsidRDefault="00532939" w:rsidP="000B3C9A">
      <w:pPr>
        <w:tabs>
          <w:tab w:val="left" w:pos="-1440"/>
          <w:tab w:val="left" w:pos="-720"/>
        </w:tabs>
        <w:jc w:val="both"/>
        <w:rPr>
          <w:sz w:val="20"/>
          <w:szCs w:val="20"/>
          <w:lang w:val="fr-CA"/>
        </w:rPr>
      </w:pPr>
      <w:r w:rsidRPr="00532939">
        <w:rPr>
          <w:sz w:val="20"/>
          <w:szCs w:val="20"/>
          <w:lang w:val="fr-CA"/>
        </w:rPr>
        <w:pict>
          <v:rect id="_x0000_i1050" style="width:2in;height:1pt" o:hrpct="0" o:hralign="center" o:hrstd="t" o:hrnoshade="t" o:hr="t" fillcolor="black [3213]" stroked="f"/>
        </w:pict>
      </w:r>
    </w:p>
    <w:p w:rsidR="000103C9" w:rsidRDefault="000103C9">
      <w:pPr>
        <w:rPr>
          <w:sz w:val="20"/>
          <w:szCs w:val="20"/>
          <w:lang w:val="fr-CA"/>
        </w:rPr>
      </w:pPr>
      <w:r>
        <w:rPr>
          <w:sz w:val="20"/>
          <w:szCs w:val="20"/>
          <w:lang w:val="fr-CA"/>
        </w:rPr>
        <w:br w:type="page"/>
      </w:r>
    </w:p>
    <w:p w:rsidR="00175C25" w:rsidRPr="00175C25" w:rsidRDefault="00532939" w:rsidP="00175C25">
      <w:pPr>
        <w:widowControl w:val="0"/>
        <w:ind w:left="720" w:hanging="720"/>
        <w:jc w:val="both"/>
        <w:rPr>
          <w:sz w:val="20"/>
          <w:szCs w:val="20"/>
          <w:lang w:val="fr-CA"/>
        </w:rPr>
      </w:pPr>
      <w:r w:rsidRPr="00175C25">
        <w:rPr>
          <w:b/>
          <w:sz w:val="20"/>
          <w:szCs w:val="20"/>
        </w:rPr>
        <w:lastRenderedPageBreak/>
        <w:fldChar w:fldCharType="begin"/>
      </w:r>
      <w:r w:rsidR="00175C25" w:rsidRPr="00175C25">
        <w:rPr>
          <w:b/>
          <w:sz w:val="20"/>
          <w:szCs w:val="20"/>
          <w:lang w:val="fr-CA"/>
        </w:rPr>
        <w:instrText xml:space="preserve"> SEQ CHAPTER \h \r 1</w:instrText>
      </w:r>
      <w:r w:rsidRPr="00175C25">
        <w:rPr>
          <w:b/>
          <w:sz w:val="20"/>
          <w:szCs w:val="20"/>
        </w:rPr>
        <w:fldChar w:fldCharType="end"/>
      </w:r>
      <w:r w:rsidR="00175C25" w:rsidRPr="00175C25">
        <w:rPr>
          <w:b/>
          <w:sz w:val="20"/>
          <w:szCs w:val="20"/>
          <w:lang w:val="fr-CA"/>
        </w:rPr>
        <w:t>33727</w:t>
      </w:r>
      <w:r w:rsidR="00175C25" w:rsidRPr="00175C25">
        <w:rPr>
          <w:sz w:val="20"/>
          <w:szCs w:val="20"/>
          <w:lang w:val="fr-CA"/>
        </w:rPr>
        <w:tab/>
      </w:r>
      <w:r w:rsidR="00175C25" w:rsidRPr="00175C25">
        <w:rPr>
          <w:b/>
          <w:i/>
          <w:sz w:val="20"/>
          <w:szCs w:val="20"/>
          <w:lang w:val="fr-CA"/>
        </w:rPr>
        <w:t>Ross Barros c. Sa Majesté la Reine</w:t>
      </w:r>
    </w:p>
    <w:p w:rsidR="00175C25" w:rsidRPr="00175C25" w:rsidRDefault="00175C25" w:rsidP="00175C25">
      <w:pPr>
        <w:widowControl w:val="0"/>
        <w:jc w:val="both"/>
        <w:rPr>
          <w:sz w:val="20"/>
          <w:szCs w:val="20"/>
          <w:lang w:val="fr-CA"/>
        </w:rPr>
      </w:pPr>
    </w:p>
    <w:p w:rsidR="00175C25" w:rsidRPr="00175C25" w:rsidRDefault="00175C25" w:rsidP="00175C25">
      <w:pPr>
        <w:widowControl w:val="0"/>
        <w:jc w:val="both"/>
        <w:rPr>
          <w:smallCaps/>
          <w:sz w:val="20"/>
          <w:szCs w:val="20"/>
          <w:lang w:val="fr-CA"/>
        </w:rPr>
      </w:pPr>
      <w:r w:rsidRPr="00175C25">
        <w:rPr>
          <w:smallCaps/>
          <w:sz w:val="20"/>
          <w:szCs w:val="20"/>
          <w:lang w:val="fr-CA"/>
        </w:rPr>
        <w:t>(Ordonnance de non</w:t>
      </w:r>
      <w:r w:rsidRPr="00175C25">
        <w:rPr>
          <w:smallCaps/>
          <w:sz w:val="20"/>
          <w:szCs w:val="20"/>
          <w:lang w:val="fr-CA"/>
        </w:rPr>
        <w:noBreakHyphen/>
        <w:t>publication dans le dossier)</w:t>
      </w:r>
    </w:p>
    <w:p w:rsidR="00175C25" w:rsidRPr="00175C25" w:rsidRDefault="00175C25" w:rsidP="00175C25">
      <w:pPr>
        <w:widowControl w:val="0"/>
        <w:jc w:val="both"/>
        <w:rPr>
          <w:sz w:val="20"/>
          <w:szCs w:val="20"/>
          <w:lang w:val="fr-CA"/>
        </w:rPr>
      </w:pPr>
    </w:p>
    <w:p w:rsidR="00175C25" w:rsidRPr="00175C25" w:rsidRDefault="00532939" w:rsidP="00175C25">
      <w:pPr>
        <w:jc w:val="both"/>
        <w:rPr>
          <w:sz w:val="20"/>
          <w:szCs w:val="20"/>
          <w:lang w:val="fr-CA"/>
        </w:rPr>
      </w:pPr>
      <w:r w:rsidRPr="00175C25">
        <w:rPr>
          <w:sz w:val="20"/>
          <w:szCs w:val="20"/>
        </w:rPr>
        <w:fldChar w:fldCharType="begin"/>
      </w:r>
      <w:r w:rsidR="00175C25" w:rsidRPr="00175C25">
        <w:rPr>
          <w:sz w:val="20"/>
          <w:szCs w:val="20"/>
          <w:lang w:val="fr-CA"/>
        </w:rPr>
        <w:instrText xml:space="preserve"> SEQ CHAPTER \h \r 1</w:instrText>
      </w:r>
      <w:r w:rsidRPr="00175C25">
        <w:rPr>
          <w:sz w:val="20"/>
          <w:szCs w:val="20"/>
        </w:rPr>
        <w:fldChar w:fldCharType="end"/>
      </w:r>
      <w:r w:rsidR="00175C25" w:rsidRPr="00175C25">
        <w:rPr>
          <w:sz w:val="20"/>
          <w:szCs w:val="20"/>
          <w:lang w:val="fr-CA"/>
        </w:rPr>
        <w:t>Droit criminel - Appels - Conclusions de fait - Questions mixtes de fait et de droit - Infractions - Infractions contre l’application de la loi et l’administration de la justice - Entrave à la justice - Extorsion - Preuve - Indicateurs de police – Est</w:t>
      </w:r>
      <w:r w:rsidR="00175C25" w:rsidRPr="00175C25">
        <w:rPr>
          <w:sz w:val="20"/>
          <w:szCs w:val="20"/>
          <w:lang w:val="fr-CA"/>
        </w:rPr>
        <w:noBreakHyphen/>
        <w:t>ce une erreur de droit de conclure que la portée de la protection donnée aux indicateurs confidentiels de police présumés va jusqu’à exclure des mesures prises par la défense qui seraient légales par ailleurs? – Est</w:t>
      </w:r>
      <w:r w:rsidR="00175C25" w:rsidRPr="00175C25">
        <w:rPr>
          <w:sz w:val="20"/>
          <w:szCs w:val="20"/>
          <w:lang w:val="fr-CA"/>
        </w:rPr>
        <w:noBreakHyphen/>
        <w:t>ce une erreur de droit de transformer l’interdiction pour l’État de révéler l’identité d’un indicateur présumé en interdiction générale relative à la communication préalable de la preuve? – Est</w:t>
      </w:r>
      <w:r w:rsidR="00175C25" w:rsidRPr="00175C25">
        <w:rPr>
          <w:sz w:val="20"/>
          <w:szCs w:val="20"/>
          <w:lang w:val="fr-CA"/>
        </w:rPr>
        <w:noBreakHyphen/>
        <w:t xml:space="preserve">ce une erreur de droit de faire obstacle à une enquête légitime par l’avocat de la défense, ou son mandataire, visant à vérifier si l’indicateur présumé est effectivement un mandataire de l’État, un témoin essentiel, s’il est une source fictive conçue à des fins illicites ou si la preuve révèle une violation de la </w:t>
      </w:r>
      <w:r w:rsidR="00175C25" w:rsidRPr="00175C25">
        <w:rPr>
          <w:i/>
          <w:sz w:val="20"/>
          <w:szCs w:val="20"/>
          <w:lang w:val="fr-CA"/>
        </w:rPr>
        <w:t>Charte</w:t>
      </w:r>
      <w:r w:rsidR="00175C25" w:rsidRPr="00175C25">
        <w:rPr>
          <w:sz w:val="20"/>
          <w:szCs w:val="20"/>
          <w:lang w:val="fr-CA"/>
        </w:rPr>
        <w:t>? - Une cour d’appel commet</w:t>
      </w:r>
      <w:r w:rsidR="00175C25" w:rsidRPr="00175C25">
        <w:rPr>
          <w:sz w:val="20"/>
          <w:szCs w:val="20"/>
          <w:lang w:val="fr-CA"/>
        </w:rPr>
        <w:noBreakHyphen/>
        <w:t>elle une erreur de droit si elle substitue sa propre appréciation des faits et, ainsi, infirme les conclusions de fait tirées par le juge du procès pour donner au procureur général un droit d’appel?</w:t>
      </w:r>
    </w:p>
    <w:p w:rsidR="00175C25" w:rsidRPr="00175C25" w:rsidRDefault="00175C25" w:rsidP="00175C25">
      <w:pPr>
        <w:widowControl w:val="0"/>
        <w:jc w:val="both"/>
        <w:rPr>
          <w:sz w:val="20"/>
          <w:szCs w:val="20"/>
          <w:lang w:val="fr-CA"/>
        </w:rPr>
      </w:pPr>
    </w:p>
    <w:p w:rsidR="00175C25" w:rsidRPr="00175C25" w:rsidRDefault="00532939" w:rsidP="00175C25">
      <w:pPr>
        <w:widowControl w:val="0"/>
        <w:jc w:val="both"/>
        <w:rPr>
          <w:sz w:val="20"/>
          <w:szCs w:val="20"/>
          <w:lang w:val="fr-FR"/>
        </w:rPr>
      </w:pPr>
      <w:r w:rsidRPr="00175C25">
        <w:rPr>
          <w:sz w:val="20"/>
          <w:szCs w:val="20"/>
        </w:rPr>
        <w:fldChar w:fldCharType="begin"/>
      </w:r>
      <w:r w:rsidR="00175C25" w:rsidRPr="00175C25">
        <w:rPr>
          <w:sz w:val="20"/>
          <w:szCs w:val="20"/>
          <w:lang w:val="fr-CA"/>
        </w:rPr>
        <w:instrText xml:space="preserve"> SEQ CHAPTER \h \r 1</w:instrText>
      </w:r>
      <w:r w:rsidRPr="00175C25">
        <w:rPr>
          <w:sz w:val="20"/>
          <w:szCs w:val="20"/>
        </w:rPr>
        <w:fldChar w:fldCharType="end"/>
      </w:r>
      <w:r w:rsidR="00175C25" w:rsidRPr="00175C25">
        <w:rPr>
          <w:sz w:val="20"/>
          <w:szCs w:val="20"/>
          <w:lang w:val="fr-CA"/>
        </w:rPr>
        <w:t>L’appelant, un ex</w:t>
      </w:r>
      <w:r w:rsidR="00175C25" w:rsidRPr="00175C25">
        <w:rPr>
          <w:sz w:val="20"/>
          <w:szCs w:val="20"/>
          <w:lang w:val="fr-CA"/>
        </w:rPr>
        <w:noBreakHyphen/>
        <w:t>policier devenu détective privé, a été accusé d’un chef d’entrave à la justice et de deux chefs d’extorsion.  Le ministère public a fait valoir que les moyens utilisés par l’appelant pour découvrir l’identité d’une personne qui serait un indicateur de police ainsi que l’utilisation de cette identité pour faire retirer des accusations criminelles constituaient une entrave à la justice et de l’extorsion.  En ce qui a trait à l’accusation d’entrave, l’appelant a demandé un verdict imposé, que le juge du procès a accordé au motif que la preuve n’aurait pas permis à un jury ayant reçu des directives appropriées de rendre une déclaration de culpabilité.  L’appelant a été acquitté par la suite sur le chef d’extorsion.  Le ministère public a interjeté appel du verdict imposé et des acquittements.  Les juges majoritaires de la Cour d’appel ont accueilli l’appel et ordonné la tenue d’un nouveau procès relativement aux trois chefs.  Le juge Berger, dissident, aurait rejeté l’appel.</w:t>
      </w:r>
    </w:p>
    <w:p w:rsidR="00175C25" w:rsidRPr="00175C25" w:rsidRDefault="00175C25" w:rsidP="00175C25">
      <w:pPr>
        <w:widowControl w:val="0"/>
        <w:jc w:val="both"/>
        <w:rPr>
          <w:sz w:val="20"/>
          <w:szCs w:val="20"/>
          <w:lang w:val="fr-FR"/>
        </w:rPr>
      </w:pPr>
    </w:p>
    <w:p w:rsidR="00175C25" w:rsidRPr="00175C25" w:rsidRDefault="00175C25" w:rsidP="00175C25">
      <w:pPr>
        <w:widowControl w:val="0"/>
        <w:jc w:val="both"/>
        <w:rPr>
          <w:sz w:val="20"/>
          <w:szCs w:val="20"/>
          <w:lang w:val="fr-FR"/>
        </w:rPr>
      </w:pPr>
    </w:p>
    <w:p w:rsidR="00175C25" w:rsidRPr="00175C25" w:rsidRDefault="00175C25" w:rsidP="005A1C7B">
      <w:pPr>
        <w:widowControl w:val="0"/>
        <w:tabs>
          <w:tab w:val="left" w:pos="3060"/>
        </w:tabs>
        <w:jc w:val="both"/>
        <w:rPr>
          <w:sz w:val="20"/>
          <w:szCs w:val="20"/>
          <w:lang w:val="fr-FR"/>
        </w:rPr>
      </w:pPr>
      <w:r w:rsidRPr="00175C25">
        <w:rPr>
          <w:sz w:val="20"/>
          <w:szCs w:val="20"/>
          <w:lang w:val="fr-FR"/>
        </w:rPr>
        <w:t>Origine :</w:t>
      </w:r>
      <w:r w:rsidRPr="00175C25">
        <w:rPr>
          <w:sz w:val="20"/>
          <w:szCs w:val="20"/>
          <w:lang w:val="fr-FR"/>
        </w:rPr>
        <w:tab/>
        <w:t>Alberta</w:t>
      </w:r>
    </w:p>
    <w:p w:rsidR="00175C25" w:rsidRPr="00175C25" w:rsidRDefault="00175C25" w:rsidP="005A1C7B">
      <w:pPr>
        <w:widowControl w:val="0"/>
        <w:tabs>
          <w:tab w:val="left" w:pos="3060"/>
        </w:tabs>
        <w:jc w:val="both"/>
        <w:rPr>
          <w:sz w:val="20"/>
          <w:szCs w:val="20"/>
          <w:lang w:val="fr-FR"/>
        </w:rPr>
      </w:pPr>
    </w:p>
    <w:p w:rsidR="00175C25" w:rsidRPr="00175C25" w:rsidRDefault="00175C25" w:rsidP="005A1C7B">
      <w:pPr>
        <w:widowControl w:val="0"/>
        <w:tabs>
          <w:tab w:val="left" w:pos="3060"/>
        </w:tabs>
        <w:jc w:val="both"/>
        <w:rPr>
          <w:sz w:val="20"/>
          <w:szCs w:val="20"/>
          <w:lang w:val="fr-FR"/>
        </w:rPr>
      </w:pPr>
      <w:r w:rsidRPr="00175C25">
        <w:rPr>
          <w:sz w:val="20"/>
          <w:szCs w:val="20"/>
          <w:lang w:val="fr-FR"/>
        </w:rPr>
        <w:t>N</w:t>
      </w:r>
      <w:r w:rsidRPr="00175C25">
        <w:rPr>
          <w:sz w:val="20"/>
          <w:szCs w:val="20"/>
          <w:vertAlign w:val="superscript"/>
          <w:lang w:val="fr-FR"/>
        </w:rPr>
        <w:t>o</w:t>
      </w:r>
      <w:r w:rsidRPr="00175C25">
        <w:rPr>
          <w:sz w:val="20"/>
          <w:szCs w:val="20"/>
          <w:lang w:val="fr-FR"/>
        </w:rPr>
        <w:t xml:space="preserve"> du greffe :</w:t>
      </w:r>
      <w:r w:rsidRPr="00175C25">
        <w:rPr>
          <w:sz w:val="20"/>
          <w:szCs w:val="20"/>
          <w:lang w:val="fr-FR"/>
        </w:rPr>
        <w:tab/>
        <w:t>33727</w:t>
      </w:r>
    </w:p>
    <w:p w:rsidR="00175C25" w:rsidRPr="00175C25" w:rsidRDefault="00175C25" w:rsidP="005A1C7B">
      <w:pPr>
        <w:widowControl w:val="0"/>
        <w:tabs>
          <w:tab w:val="left" w:pos="3060"/>
        </w:tabs>
        <w:jc w:val="both"/>
        <w:rPr>
          <w:sz w:val="20"/>
          <w:szCs w:val="20"/>
          <w:lang w:val="fr-FR"/>
        </w:rPr>
      </w:pPr>
    </w:p>
    <w:p w:rsidR="00175C25" w:rsidRPr="00175C25" w:rsidRDefault="00175C25" w:rsidP="005A1C7B">
      <w:pPr>
        <w:widowControl w:val="0"/>
        <w:tabs>
          <w:tab w:val="left" w:pos="3060"/>
        </w:tabs>
        <w:jc w:val="both"/>
        <w:rPr>
          <w:sz w:val="20"/>
          <w:szCs w:val="20"/>
          <w:lang w:val="fr-CA"/>
        </w:rPr>
      </w:pPr>
      <w:r w:rsidRPr="00175C25">
        <w:rPr>
          <w:sz w:val="20"/>
          <w:szCs w:val="20"/>
          <w:lang w:val="fr-CA"/>
        </w:rPr>
        <w:t>Arrêts de la Cour d’appel :</w:t>
      </w:r>
      <w:r w:rsidRPr="00175C25">
        <w:rPr>
          <w:sz w:val="20"/>
          <w:szCs w:val="20"/>
          <w:lang w:val="fr-CA"/>
        </w:rPr>
        <w:tab/>
        <w:t>le 25 juin 2007 et le 21 décembre 2007</w:t>
      </w:r>
    </w:p>
    <w:p w:rsidR="00175C25" w:rsidRPr="00175C25" w:rsidRDefault="00175C25" w:rsidP="005A1C7B">
      <w:pPr>
        <w:widowControl w:val="0"/>
        <w:tabs>
          <w:tab w:val="left" w:pos="3060"/>
        </w:tabs>
        <w:jc w:val="both"/>
        <w:rPr>
          <w:sz w:val="20"/>
          <w:szCs w:val="20"/>
          <w:lang w:val="fr-CA"/>
        </w:rPr>
      </w:pPr>
    </w:p>
    <w:p w:rsidR="00175C25" w:rsidRPr="00175C25" w:rsidRDefault="00175C25" w:rsidP="005A1C7B">
      <w:pPr>
        <w:widowControl w:val="0"/>
        <w:tabs>
          <w:tab w:val="left" w:pos="3060"/>
        </w:tabs>
        <w:jc w:val="both"/>
        <w:rPr>
          <w:sz w:val="20"/>
          <w:szCs w:val="20"/>
          <w:lang w:val="fr-CA"/>
        </w:rPr>
      </w:pPr>
      <w:r w:rsidRPr="00175C25">
        <w:rPr>
          <w:sz w:val="20"/>
          <w:szCs w:val="20"/>
          <w:lang w:val="fr-CA"/>
        </w:rPr>
        <w:t>Avocats :</w:t>
      </w:r>
      <w:r w:rsidRPr="00175C25">
        <w:rPr>
          <w:sz w:val="20"/>
          <w:szCs w:val="20"/>
          <w:lang w:val="fr-CA"/>
        </w:rPr>
        <w:tab/>
        <w:t>Hersh Wolch, c.r. pour l’appelant</w:t>
      </w:r>
    </w:p>
    <w:p w:rsidR="000103C9" w:rsidRDefault="00175C25" w:rsidP="005A1C7B">
      <w:pPr>
        <w:tabs>
          <w:tab w:val="left" w:pos="-1440"/>
          <w:tab w:val="left" w:pos="-720"/>
          <w:tab w:val="left" w:pos="3060"/>
        </w:tabs>
        <w:jc w:val="both"/>
        <w:rPr>
          <w:sz w:val="20"/>
          <w:szCs w:val="20"/>
          <w:lang w:val="fr-FR"/>
        </w:rPr>
      </w:pPr>
      <w:r w:rsidRPr="00175C25">
        <w:rPr>
          <w:sz w:val="20"/>
          <w:szCs w:val="20"/>
          <w:lang w:val="fr-CA"/>
        </w:rPr>
        <w:tab/>
      </w:r>
      <w:r w:rsidRPr="00175C25">
        <w:rPr>
          <w:sz w:val="20"/>
          <w:szCs w:val="20"/>
          <w:lang w:val="fr-FR"/>
        </w:rPr>
        <w:t>James C. Robb, c.r. pour l’intimée</w:t>
      </w:r>
    </w:p>
    <w:p w:rsidR="00175C25" w:rsidRPr="00175C25" w:rsidRDefault="00175C25" w:rsidP="005A1C7B">
      <w:pPr>
        <w:tabs>
          <w:tab w:val="left" w:pos="-1440"/>
          <w:tab w:val="left" w:pos="-720"/>
          <w:tab w:val="left" w:pos="3060"/>
        </w:tabs>
        <w:jc w:val="both"/>
        <w:rPr>
          <w:sz w:val="20"/>
          <w:szCs w:val="20"/>
          <w:lang w:val="fr-CA"/>
        </w:rPr>
      </w:pPr>
    </w:p>
    <w:p w:rsidR="000103C9" w:rsidRDefault="00532939" w:rsidP="000B3C9A">
      <w:pPr>
        <w:tabs>
          <w:tab w:val="left" w:pos="-1440"/>
          <w:tab w:val="left" w:pos="-720"/>
        </w:tabs>
        <w:jc w:val="both"/>
        <w:rPr>
          <w:sz w:val="20"/>
          <w:szCs w:val="20"/>
          <w:lang w:val="fr-CA"/>
        </w:rPr>
      </w:pPr>
      <w:r w:rsidRPr="00532939">
        <w:rPr>
          <w:sz w:val="20"/>
          <w:szCs w:val="20"/>
          <w:lang w:val="fr-CA"/>
        </w:rPr>
        <w:pict>
          <v:rect id="_x0000_i1051" style="width:2in;height:1pt" o:hrpct="0" o:hralign="center" o:hrstd="t" o:hrnoshade="t" o:hr="t" fillcolor="black [3213]" stroked="f"/>
        </w:pict>
      </w:r>
    </w:p>
    <w:p w:rsidR="000103C9" w:rsidRDefault="000103C9">
      <w:pPr>
        <w:rPr>
          <w:sz w:val="20"/>
          <w:szCs w:val="20"/>
          <w:lang w:val="fr-CA"/>
        </w:rPr>
      </w:pPr>
      <w:r>
        <w:rPr>
          <w:sz w:val="20"/>
          <w:szCs w:val="20"/>
          <w:lang w:val="fr-CA"/>
        </w:rPr>
        <w:br w:type="page"/>
      </w:r>
    </w:p>
    <w:p w:rsidR="00175C25" w:rsidRPr="00175C25" w:rsidRDefault="00532939" w:rsidP="00175C25">
      <w:pPr>
        <w:widowControl w:val="0"/>
        <w:tabs>
          <w:tab w:val="left" w:pos="720"/>
        </w:tabs>
        <w:ind w:left="720" w:hanging="720"/>
        <w:jc w:val="both"/>
        <w:rPr>
          <w:sz w:val="20"/>
          <w:szCs w:val="20"/>
        </w:rPr>
      </w:pPr>
      <w:r w:rsidRPr="00175C25">
        <w:rPr>
          <w:b/>
          <w:sz w:val="20"/>
          <w:szCs w:val="20"/>
        </w:rPr>
        <w:lastRenderedPageBreak/>
        <w:fldChar w:fldCharType="begin"/>
      </w:r>
      <w:r w:rsidR="00175C25" w:rsidRPr="00175C25">
        <w:rPr>
          <w:b/>
          <w:sz w:val="20"/>
          <w:szCs w:val="20"/>
        </w:rPr>
        <w:instrText xml:space="preserve"> SEQ CHAPTER \h \r 1</w:instrText>
      </w:r>
      <w:r w:rsidRPr="00175C25">
        <w:rPr>
          <w:b/>
          <w:sz w:val="20"/>
          <w:szCs w:val="20"/>
        </w:rPr>
        <w:fldChar w:fldCharType="end"/>
      </w:r>
      <w:r w:rsidR="00175C25" w:rsidRPr="00175C25">
        <w:rPr>
          <w:b/>
          <w:sz w:val="20"/>
          <w:szCs w:val="20"/>
        </w:rPr>
        <w:t>33594</w:t>
      </w:r>
      <w:r w:rsidR="00175C25" w:rsidRPr="00175C25">
        <w:rPr>
          <w:sz w:val="20"/>
          <w:szCs w:val="20"/>
        </w:rPr>
        <w:tab/>
      </w:r>
      <w:r w:rsidR="00175C25" w:rsidRPr="00175C25">
        <w:rPr>
          <w:b/>
          <w:i/>
          <w:sz w:val="20"/>
          <w:szCs w:val="20"/>
        </w:rPr>
        <w:t>Gilles Doré v. Pierre Bernard, in his capacity as Assistant Syndic of the Barreau du Québec, Professions Tribunal and Attorney General of Quebec</w:t>
      </w:r>
    </w:p>
    <w:p w:rsidR="00175C25" w:rsidRPr="00175C25" w:rsidRDefault="00175C25" w:rsidP="00175C25">
      <w:pPr>
        <w:widowControl w:val="0"/>
        <w:jc w:val="both"/>
        <w:rPr>
          <w:sz w:val="20"/>
          <w:szCs w:val="20"/>
        </w:rPr>
      </w:pPr>
    </w:p>
    <w:p w:rsidR="00175C25" w:rsidRPr="00175C25" w:rsidRDefault="00175C25" w:rsidP="00175C25">
      <w:pPr>
        <w:widowControl w:val="0"/>
        <w:jc w:val="both"/>
        <w:rPr>
          <w:sz w:val="20"/>
          <w:szCs w:val="20"/>
        </w:rPr>
      </w:pPr>
      <w:r w:rsidRPr="00175C25">
        <w:rPr>
          <w:i/>
          <w:sz w:val="20"/>
          <w:szCs w:val="20"/>
        </w:rPr>
        <w:t>Canadian Charter</w:t>
      </w:r>
      <w:r w:rsidRPr="00175C25">
        <w:rPr>
          <w:sz w:val="20"/>
          <w:szCs w:val="20"/>
        </w:rPr>
        <w:t xml:space="preserve"> - Law of professions - Freedom of expression - Lawyers - Discipline - Whether Court of Appeal erred in affirming that impairment of freedom of expression by decision of committee on discipline was justified under s. 1 of </w:t>
      </w:r>
      <w:r w:rsidRPr="00175C25">
        <w:rPr>
          <w:i/>
          <w:sz w:val="20"/>
          <w:szCs w:val="20"/>
        </w:rPr>
        <w:t>Canadian Charter</w:t>
      </w:r>
      <w:r w:rsidRPr="00175C25">
        <w:rPr>
          <w:sz w:val="20"/>
          <w:szCs w:val="20"/>
        </w:rPr>
        <w:t xml:space="preserve"> - Standards of review applicable to decision of committee on discipline and courts that considered lawfulness of that decision.</w:t>
      </w:r>
    </w:p>
    <w:p w:rsidR="00175C25" w:rsidRPr="00175C25" w:rsidRDefault="00175C25" w:rsidP="00175C25">
      <w:pPr>
        <w:widowControl w:val="0"/>
        <w:jc w:val="both"/>
        <w:rPr>
          <w:sz w:val="20"/>
          <w:szCs w:val="20"/>
        </w:rPr>
      </w:pPr>
    </w:p>
    <w:p w:rsidR="00175C25" w:rsidRPr="00175C25" w:rsidRDefault="00175C25" w:rsidP="00175C25">
      <w:pPr>
        <w:widowControl w:val="0"/>
        <w:jc w:val="both"/>
        <w:rPr>
          <w:sz w:val="20"/>
          <w:szCs w:val="20"/>
        </w:rPr>
      </w:pPr>
      <w:r w:rsidRPr="00175C25">
        <w:rPr>
          <w:sz w:val="20"/>
          <w:szCs w:val="20"/>
        </w:rPr>
        <w:t>The Appellant, Gilles Doré, was found guilty of having committed acts derogatory to the honour and dignity of the Barreau by sending a judge a letter whose content lacked objectivity, moderation and dignity.  The letter was sent in response to a decision Justice Jean</w:t>
      </w:r>
      <w:r w:rsidRPr="00175C25">
        <w:rPr>
          <w:sz w:val="20"/>
          <w:szCs w:val="20"/>
        </w:rPr>
        <w:noBreakHyphen/>
        <w:t>Guy Boilard had just rendered in a case in which Mr. Doré had acted as counsel.  After finding Mr. Doré guilty, the Barreau du Québec’s committee on discipline struck him off the roll for 21 days.  The Professions Tribunal dismissed his appeal from the committee’s two decisions.  The Superior Court then dismissed Mr. Doré’s motion for judicial review of the judgment of the Professions Tribunal.  The Court of Appeal dismissed Mr. Doré’s appeal.</w:t>
      </w:r>
    </w:p>
    <w:p w:rsidR="00175C25" w:rsidRPr="00175C25" w:rsidRDefault="00175C25" w:rsidP="00175C25">
      <w:pPr>
        <w:widowControl w:val="0"/>
        <w:jc w:val="both"/>
        <w:rPr>
          <w:sz w:val="20"/>
          <w:szCs w:val="20"/>
        </w:rPr>
      </w:pPr>
    </w:p>
    <w:p w:rsidR="00175C25" w:rsidRPr="00175C25" w:rsidRDefault="00175C25" w:rsidP="00175C25">
      <w:pPr>
        <w:widowControl w:val="0"/>
        <w:jc w:val="both"/>
        <w:rPr>
          <w:sz w:val="20"/>
          <w:szCs w:val="20"/>
        </w:rPr>
      </w:pPr>
    </w:p>
    <w:p w:rsidR="00175C25" w:rsidRPr="00175C25" w:rsidRDefault="00175C25" w:rsidP="00175C25">
      <w:pPr>
        <w:widowControl w:val="0"/>
        <w:jc w:val="both"/>
        <w:rPr>
          <w:sz w:val="20"/>
          <w:szCs w:val="20"/>
        </w:rPr>
      </w:pPr>
      <w:r w:rsidRPr="00175C25">
        <w:rPr>
          <w:sz w:val="20"/>
          <w:szCs w:val="20"/>
        </w:rPr>
        <w:t>Origin of the case:</w:t>
      </w:r>
      <w:r w:rsidRPr="00175C25">
        <w:rPr>
          <w:sz w:val="20"/>
          <w:szCs w:val="20"/>
        </w:rPr>
        <w:tab/>
      </w:r>
      <w:r w:rsidRPr="00175C25">
        <w:rPr>
          <w:sz w:val="20"/>
          <w:szCs w:val="20"/>
        </w:rPr>
        <w:tab/>
        <w:t>Quebec</w:t>
      </w:r>
    </w:p>
    <w:p w:rsidR="00175C25" w:rsidRPr="00175C25" w:rsidRDefault="00175C25" w:rsidP="00175C25">
      <w:pPr>
        <w:widowControl w:val="0"/>
        <w:jc w:val="both"/>
        <w:rPr>
          <w:sz w:val="20"/>
          <w:szCs w:val="20"/>
        </w:rPr>
      </w:pPr>
    </w:p>
    <w:p w:rsidR="00175C25" w:rsidRPr="00175C25" w:rsidRDefault="00175C25" w:rsidP="00175C25">
      <w:pPr>
        <w:widowControl w:val="0"/>
        <w:jc w:val="both"/>
        <w:rPr>
          <w:sz w:val="20"/>
          <w:szCs w:val="20"/>
        </w:rPr>
      </w:pPr>
      <w:r w:rsidRPr="00175C25">
        <w:rPr>
          <w:sz w:val="20"/>
          <w:szCs w:val="20"/>
        </w:rPr>
        <w:t>File No.:</w:t>
      </w:r>
      <w:r w:rsidRPr="00175C25">
        <w:rPr>
          <w:sz w:val="20"/>
          <w:szCs w:val="20"/>
        </w:rPr>
        <w:tab/>
      </w:r>
      <w:r w:rsidRPr="00175C25">
        <w:rPr>
          <w:sz w:val="20"/>
          <w:szCs w:val="20"/>
        </w:rPr>
        <w:tab/>
      </w:r>
      <w:r w:rsidRPr="00175C25">
        <w:rPr>
          <w:sz w:val="20"/>
          <w:szCs w:val="20"/>
        </w:rPr>
        <w:tab/>
      </w:r>
      <w:r w:rsidRPr="00175C25">
        <w:rPr>
          <w:sz w:val="20"/>
          <w:szCs w:val="20"/>
        </w:rPr>
        <w:tab/>
        <w:t>33594</w:t>
      </w:r>
    </w:p>
    <w:p w:rsidR="00175C25" w:rsidRPr="00175C25" w:rsidRDefault="00175C25" w:rsidP="00175C25">
      <w:pPr>
        <w:widowControl w:val="0"/>
        <w:jc w:val="both"/>
        <w:rPr>
          <w:sz w:val="20"/>
          <w:szCs w:val="20"/>
        </w:rPr>
      </w:pPr>
    </w:p>
    <w:p w:rsidR="00175C25" w:rsidRPr="00175C25" w:rsidRDefault="00175C25" w:rsidP="00175C25">
      <w:pPr>
        <w:widowControl w:val="0"/>
        <w:jc w:val="both"/>
        <w:rPr>
          <w:sz w:val="20"/>
          <w:szCs w:val="20"/>
        </w:rPr>
      </w:pPr>
      <w:r w:rsidRPr="00175C25">
        <w:rPr>
          <w:sz w:val="20"/>
          <w:szCs w:val="20"/>
        </w:rPr>
        <w:t>Judgment of the Court of Appeal:</w:t>
      </w:r>
      <w:r w:rsidRPr="00175C25">
        <w:rPr>
          <w:sz w:val="20"/>
          <w:szCs w:val="20"/>
        </w:rPr>
        <w:tab/>
        <w:t xml:space="preserve">January 13, 2010 </w:t>
      </w:r>
    </w:p>
    <w:p w:rsidR="00175C25" w:rsidRPr="00175C25" w:rsidRDefault="00175C25" w:rsidP="00175C25">
      <w:pPr>
        <w:widowControl w:val="0"/>
        <w:jc w:val="both"/>
        <w:rPr>
          <w:sz w:val="20"/>
          <w:szCs w:val="20"/>
        </w:rPr>
      </w:pPr>
    </w:p>
    <w:p w:rsidR="00175C25" w:rsidRPr="00175C25" w:rsidRDefault="00175C25" w:rsidP="00175C25">
      <w:pPr>
        <w:widowControl w:val="0"/>
        <w:jc w:val="both"/>
        <w:rPr>
          <w:sz w:val="20"/>
          <w:szCs w:val="20"/>
        </w:rPr>
      </w:pPr>
      <w:r w:rsidRPr="00175C25">
        <w:rPr>
          <w:sz w:val="20"/>
          <w:szCs w:val="20"/>
        </w:rPr>
        <w:t>Counsel:</w:t>
      </w:r>
      <w:r w:rsidRPr="00175C25">
        <w:rPr>
          <w:sz w:val="20"/>
          <w:szCs w:val="20"/>
        </w:rPr>
        <w:tab/>
      </w:r>
      <w:r w:rsidRPr="00175C25">
        <w:rPr>
          <w:sz w:val="20"/>
          <w:szCs w:val="20"/>
        </w:rPr>
        <w:tab/>
      </w:r>
      <w:r w:rsidRPr="00175C25">
        <w:rPr>
          <w:sz w:val="20"/>
          <w:szCs w:val="20"/>
        </w:rPr>
        <w:tab/>
      </w:r>
      <w:r>
        <w:rPr>
          <w:sz w:val="20"/>
          <w:szCs w:val="20"/>
        </w:rPr>
        <w:tab/>
      </w:r>
      <w:r w:rsidRPr="00175C25">
        <w:rPr>
          <w:sz w:val="20"/>
          <w:szCs w:val="20"/>
        </w:rPr>
        <w:t>Sophie Dormeau for the Appellant</w:t>
      </w:r>
    </w:p>
    <w:p w:rsidR="00175C25" w:rsidRPr="00175C25" w:rsidRDefault="00175C25" w:rsidP="00175C25">
      <w:pPr>
        <w:widowControl w:val="0"/>
        <w:jc w:val="both"/>
        <w:rPr>
          <w:sz w:val="20"/>
          <w:szCs w:val="20"/>
        </w:rPr>
      </w:pPr>
      <w:r w:rsidRPr="00175C25">
        <w:rPr>
          <w:sz w:val="20"/>
          <w:szCs w:val="20"/>
        </w:rPr>
        <w:tab/>
      </w:r>
      <w:r w:rsidRPr="00175C25">
        <w:rPr>
          <w:sz w:val="20"/>
          <w:szCs w:val="20"/>
        </w:rPr>
        <w:tab/>
      </w:r>
      <w:r w:rsidRPr="00175C25">
        <w:rPr>
          <w:sz w:val="20"/>
          <w:szCs w:val="20"/>
        </w:rPr>
        <w:tab/>
      </w:r>
      <w:r w:rsidRPr="00175C25">
        <w:rPr>
          <w:sz w:val="20"/>
          <w:szCs w:val="20"/>
        </w:rPr>
        <w:tab/>
        <w:t>Claude G. Leduc for the Respondent Pierre Bernard</w:t>
      </w:r>
    </w:p>
    <w:p w:rsidR="00175C25" w:rsidRPr="00175C25" w:rsidRDefault="00175C25" w:rsidP="00175C25">
      <w:pPr>
        <w:widowControl w:val="0"/>
        <w:jc w:val="both"/>
        <w:rPr>
          <w:sz w:val="20"/>
          <w:szCs w:val="20"/>
        </w:rPr>
      </w:pPr>
      <w:r>
        <w:rPr>
          <w:sz w:val="20"/>
          <w:szCs w:val="20"/>
        </w:rPr>
        <w:tab/>
      </w:r>
      <w:r>
        <w:rPr>
          <w:sz w:val="20"/>
          <w:szCs w:val="20"/>
        </w:rPr>
        <w:tab/>
      </w:r>
      <w:r>
        <w:rPr>
          <w:sz w:val="20"/>
          <w:szCs w:val="20"/>
        </w:rPr>
        <w:tab/>
      </w:r>
      <w:r>
        <w:rPr>
          <w:sz w:val="20"/>
          <w:szCs w:val="20"/>
        </w:rPr>
        <w:tab/>
      </w:r>
      <w:r w:rsidRPr="00175C25">
        <w:rPr>
          <w:sz w:val="20"/>
          <w:szCs w:val="20"/>
        </w:rPr>
        <w:t xml:space="preserve">Dominique A. Jobin for the Respondents Professions Tribunal and Attorney </w:t>
      </w:r>
      <w:r>
        <w:rPr>
          <w:sz w:val="20"/>
          <w:szCs w:val="20"/>
        </w:rPr>
        <w:tab/>
      </w:r>
      <w:r>
        <w:rPr>
          <w:sz w:val="20"/>
          <w:szCs w:val="20"/>
        </w:rPr>
        <w:tab/>
      </w:r>
      <w:r>
        <w:rPr>
          <w:sz w:val="20"/>
          <w:szCs w:val="20"/>
        </w:rPr>
        <w:tab/>
      </w:r>
      <w:r>
        <w:rPr>
          <w:sz w:val="20"/>
          <w:szCs w:val="20"/>
        </w:rPr>
        <w:tab/>
      </w:r>
      <w:r>
        <w:rPr>
          <w:sz w:val="20"/>
          <w:szCs w:val="20"/>
        </w:rPr>
        <w:tab/>
      </w:r>
      <w:r w:rsidRPr="00175C25">
        <w:rPr>
          <w:sz w:val="20"/>
          <w:szCs w:val="20"/>
        </w:rPr>
        <w:t>General of Quebec</w:t>
      </w:r>
    </w:p>
    <w:p w:rsidR="000103C9" w:rsidRPr="00175C25" w:rsidRDefault="000103C9" w:rsidP="00175C25">
      <w:pPr>
        <w:tabs>
          <w:tab w:val="left" w:pos="-1440"/>
          <w:tab w:val="left" w:pos="-720"/>
        </w:tabs>
        <w:jc w:val="both"/>
        <w:rPr>
          <w:sz w:val="20"/>
          <w:szCs w:val="20"/>
        </w:rPr>
      </w:pPr>
    </w:p>
    <w:p w:rsidR="000103C9" w:rsidRDefault="00532939" w:rsidP="000B3C9A">
      <w:pPr>
        <w:tabs>
          <w:tab w:val="left" w:pos="-1440"/>
          <w:tab w:val="left" w:pos="-720"/>
        </w:tabs>
        <w:jc w:val="both"/>
        <w:rPr>
          <w:sz w:val="20"/>
          <w:szCs w:val="20"/>
          <w:lang w:val="fr-CA"/>
        </w:rPr>
      </w:pPr>
      <w:r w:rsidRPr="00532939">
        <w:rPr>
          <w:sz w:val="20"/>
          <w:szCs w:val="20"/>
          <w:lang w:val="fr-CA"/>
        </w:rPr>
        <w:pict>
          <v:rect id="_x0000_i1052" style="width:2in;height:1pt" o:hrpct="0" o:hralign="center" o:hrstd="t" o:hrnoshade="t" o:hr="t" fillcolor="black [3213]" stroked="f"/>
        </w:pict>
      </w:r>
    </w:p>
    <w:p w:rsidR="000103C9" w:rsidRDefault="000103C9" w:rsidP="000B3C9A">
      <w:pPr>
        <w:tabs>
          <w:tab w:val="left" w:pos="-1440"/>
          <w:tab w:val="left" w:pos="-720"/>
        </w:tabs>
        <w:jc w:val="both"/>
        <w:rPr>
          <w:sz w:val="20"/>
          <w:szCs w:val="20"/>
          <w:lang w:val="fr-CA"/>
        </w:rPr>
      </w:pPr>
    </w:p>
    <w:p w:rsidR="000103C9" w:rsidRDefault="000103C9">
      <w:pPr>
        <w:rPr>
          <w:sz w:val="20"/>
          <w:szCs w:val="20"/>
          <w:lang w:val="fr-CA"/>
        </w:rPr>
      </w:pPr>
      <w:r>
        <w:rPr>
          <w:sz w:val="20"/>
          <w:szCs w:val="20"/>
          <w:lang w:val="fr-CA"/>
        </w:rPr>
        <w:br w:type="page"/>
      </w:r>
    </w:p>
    <w:p w:rsidR="00175C25" w:rsidRPr="00175C25" w:rsidRDefault="00532939" w:rsidP="00175C25">
      <w:pPr>
        <w:widowControl w:val="0"/>
        <w:tabs>
          <w:tab w:val="left" w:pos="720"/>
        </w:tabs>
        <w:ind w:left="720" w:hanging="720"/>
        <w:jc w:val="both"/>
        <w:rPr>
          <w:sz w:val="20"/>
          <w:szCs w:val="20"/>
          <w:lang w:val="fr-CA"/>
        </w:rPr>
      </w:pPr>
      <w:r w:rsidRPr="00532939">
        <w:rPr>
          <w:b/>
          <w:sz w:val="20"/>
          <w:szCs w:val="20"/>
          <w:lang w:val="fr-CA"/>
        </w:rPr>
        <w:lastRenderedPageBreak/>
        <w:fldChar w:fldCharType="begin"/>
      </w:r>
      <w:r w:rsidR="00175C25" w:rsidRPr="00175C25">
        <w:rPr>
          <w:b/>
          <w:sz w:val="20"/>
          <w:szCs w:val="20"/>
          <w:lang w:val="fr-CA"/>
        </w:rPr>
        <w:instrText xml:space="preserve"> SEQ CHAPTER \h \r 1</w:instrText>
      </w:r>
      <w:r w:rsidRPr="00175C25">
        <w:rPr>
          <w:b/>
          <w:sz w:val="20"/>
          <w:szCs w:val="20"/>
        </w:rPr>
        <w:fldChar w:fldCharType="end"/>
      </w:r>
      <w:r w:rsidR="00175C25" w:rsidRPr="00175C25">
        <w:rPr>
          <w:b/>
          <w:sz w:val="20"/>
          <w:szCs w:val="20"/>
          <w:lang w:val="fr-CA"/>
        </w:rPr>
        <w:t>33594</w:t>
      </w:r>
      <w:r w:rsidR="00175C25" w:rsidRPr="00175C25">
        <w:rPr>
          <w:sz w:val="20"/>
          <w:szCs w:val="20"/>
          <w:lang w:val="fr-CA"/>
        </w:rPr>
        <w:tab/>
      </w:r>
      <w:r w:rsidR="00175C25" w:rsidRPr="00175C25">
        <w:rPr>
          <w:b/>
          <w:i/>
          <w:sz w:val="20"/>
          <w:szCs w:val="20"/>
          <w:lang w:val="fr-CA"/>
        </w:rPr>
        <w:t>Gilles Doré c. Pierre Bernard, ès qualités de syndic adjoint du Barreau du Québec, Tribunal des professions et le Procureur général du Québec</w:t>
      </w:r>
    </w:p>
    <w:p w:rsidR="00175C25" w:rsidRPr="00175C25" w:rsidRDefault="00175C25" w:rsidP="00175C25">
      <w:pPr>
        <w:widowControl w:val="0"/>
        <w:jc w:val="both"/>
        <w:rPr>
          <w:sz w:val="20"/>
          <w:szCs w:val="20"/>
          <w:lang w:val="fr-CA"/>
        </w:rPr>
      </w:pPr>
    </w:p>
    <w:p w:rsidR="00175C25" w:rsidRPr="00175C25" w:rsidRDefault="00175C25" w:rsidP="00175C25">
      <w:pPr>
        <w:widowControl w:val="0"/>
        <w:jc w:val="both"/>
        <w:rPr>
          <w:sz w:val="20"/>
          <w:szCs w:val="20"/>
          <w:lang w:val="fr-CA"/>
        </w:rPr>
      </w:pPr>
      <w:r w:rsidRPr="00175C25">
        <w:rPr>
          <w:i/>
          <w:sz w:val="20"/>
          <w:szCs w:val="20"/>
          <w:lang w:val="fr-CA"/>
        </w:rPr>
        <w:t>Charte canadienne</w:t>
      </w:r>
      <w:r w:rsidRPr="00175C25">
        <w:rPr>
          <w:sz w:val="20"/>
          <w:szCs w:val="20"/>
          <w:lang w:val="fr-CA"/>
        </w:rPr>
        <w:t xml:space="preserve"> - Droit des professions - Liberté d’expression - Avocats - Discipline - La Cour d’appel a</w:t>
      </w:r>
      <w:r w:rsidRPr="00175C25">
        <w:rPr>
          <w:sz w:val="20"/>
          <w:szCs w:val="20"/>
          <w:lang w:val="fr-CA"/>
        </w:rPr>
        <w:noBreakHyphen/>
        <w:t>t</w:t>
      </w:r>
      <w:r w:rsidRPr="00175C25">
        <w:rPr>
          <w:sz w:val="20"/>
          <w:szCs w:val="20"/>
          <w:lang w:val="fr-CA"/>
        </w:rPr>
        <w:noBreakHyphen/>
        <w:t xml:space="preserve">elle fait erreur en confirmant que l’atteinte à la liberté d’expression que constitue la décision du Comité de discipline était justifiée par l’application de l’article premier de la </w:t>
      </w:r>
      <w:r w:rsidRPr="00175C25">
        <w:rPr>
          <w:i/>
          <w:sz w:val="20"/>
          <w:szCs w:val="20"/>
          <w:lang w:val="fr-CA"/>
        </w:rPr>
        <w:t>Charte canadienne</w:t>
      </w:r>
      <w:r w:rsidRPr="00175C25">
        <w:rPr>
          <w:sz w:val="20"/>
          <w:szCs w:val="20"/>
          <w:lang w:val="fr-CA"/>
        </w:rPr>
        <w:t>? - Quelles sont les normes de contrôle applicables à la décision du Comité de discipline et aux instances judiciaires qui se sont penchées sur la légalité de cette décision?</w:t>
      </w:r>
    </w:p>
    <w:p w:rsidR="00175C25" w:rsidRPr="00175C25" w:rsidRDefault="00175C25" w:rsidP="00175C25">
      <w:pPr>
        <w:widowControl w:val="0"/>
        <w:jc w:val="both"/>
        <w:rPr>
          <w:sz w:val="20"/>
          <w:szCs w:val="20"/>
          <w:lang w:val="fr-CA"/>
        </w:rPr>
      </w:pPr>
    </w:p>
    <w:p w:rsidR="00175C25" w:rsidRPr="00175C25" w:rsidRDefault="00175C25" w:rsidP="00175C25">
      <w:pPr>
        <w:widowControl w:val="0"/>
        <w:jc w:val="both"/>
        <w:rPr>
          <w:sz w:val="20"/>
          <w:szCs w:val="20"/>
          <w:lang w:val="fr-CA"/>
        </w:rPr>
      </w:pPr>
      <w:r w:rsidRPr="00175C25">
        <w:rPr>
          <w:sz w:val="20"/>
          <w:szCs w:val="20"/>
          <w:lang w:val="fr-CA"/>
        </w:rPr>
        <w:t>Gilles Doré, appelant, a été déclaré coupable d’avoir commis des actes dérogatoires à l’honneur et à la dignité du Barreau en faisant parvenir, à un juge, une lettre dont la teneur manquait d’objectivité, de modération et de dignité.  En effet, la lettre a été acheminée suite à une décision que venait de rendre le juge Jean</w:t>
      </w:r>
      <w:r w:rsidRPr="00175C25">
        <w:rPr>
          <w:sz w:val="20"/>
          <w:szCs w:val="20"/>
          <w:lang w:val="fr-CA"/>
        </w:rPr>
        <w:noBreakHyphen/>
        <w:t>Guy Boilard dans un dossier où M. Doré était impliqué à titre de procureur.  Après avoir reconnu la culpabilité de M. Doré, le Comité de discipline du Barreau du Québec l’a radié pour 21 jours.  Le Tribunal des professions a rejeté l’appel formé à l'encontre des deux décisions du Comité.  À son tour, la Cour supérieure a rejeté la requête en révision judiciaire de M. Doré à l’encontre du jugement du Tribunal des professions.  La Cour d’appel a rejeté le pourvoi de M. Doré.</w:t>
      </w:r>
    </w:p>
    <w:p w:rsidR="00175C25" w:rsidRPr="00175C25" w:rsidRDefault="00175C25" w:rsidP="00175C25">
      <w:pPr>
        <w:widowControl w:val="0"/>
        <w:jc w:val="both"/>
        <w:rPr>
          <w:sz w:val="20"/>
          <w:szCs w:val="20"/>
          <w:lang w:val="fr-CA"/>
        </w:rPr>
      </w:pPr>
    </w:p>
    <w:p w:rsidR="00175C25" w:rsidRPr="00175C25" w:rsidRDefault="00175C25" w:rsidP="00175C25">
      <w:pPr>
        <w:widowControl w:val="0"/>
        <w:jc w:val="both"/>
        <w:rPr>
          <w:sz w:val="20"/>
          <w:szCs w:val="20"/>
          <w:lang w:val="fr-CA"/>
        </w:rPr>
      </w:pPr>
    </w:p>
    <w:p w:rsidR="00175C25" w:rsidRPr="00175C25" w:rsidRDefault="00175C25" w:rsidP="00175C25">
      <w:pPr>
        <w:widowControl w:val="0"/>
        <w:jc w:val="both"/>
        <w:rPr>
          <w:sz w:val="20"/>
          <w:szCs w:val="20"/>
          <w:lang w:val="fr-CA"/>
        </w:rPr>
      </w:pPr>
      <w:r w:rsidRPr="00175C25">
        <w:rPr>
          <w:sz w:val="20"/>
          <w:szCs w:val="20"/>
          <w:lang w:val="fr-CA"/>
        </w:rPr>
        <w:t>Origine :</w:t>
      </w:r>
      <w:r w:rsidRPr="00175C25">
        <w:rPr>
          <w:sz w:val="20"/>
          <w:szCs w:val="20"/>
          <w:lang w:val="fr-CA"/>
        </w:rPr>
        <w:tab/>
      </w:r>
      <w:r w:rsidRPr="00175C25">
        <w:rPr>
          <w:sz w:val="20"/>
          <w:szCs w:val="20"/>
          <w:lang w:val="fr-CA"/>
        </w:rPr>
        <w:tab/>
      </w:r>
      <w:r w:rsidRPr="00175C25">
        <w:rPr>
          <w:sz w:val="20"/>
          <w:szCs w:val="20"/>
          <w:lang w:val="fr-CA"/>
        </w:rPr>
        <w:tab/>
      </w:r>
      <w:r w:rsidRPr="00175C25">
        <w:rPr>
          <w:sz w:val="20"/>
          <w:szCs w:val="20"/>
          <w:lang w:val="fr-CA"/>
        </w:rPr>
        <w:tab/>
        <w:t>Québec</w:t>
      </w:r>
    </w:p>
    <w:p w:rsidR="00175C25" w:rsidRPr="00175C25" w:rsidRDefault="00175C25" w:rsidP="00175C25">
      <w:pPr>
        <w:widowControl w:val="0"/>
        <w:jc w:val="both"/>
        <w:rPr>
          <w:sz w:val="20"/>
          <w:szCs w:val="20"/>
          <w:lang w:val="fr-CA"/>
        </w:rPr>
      </w:pPr>
    </w:p>
    <w:p w:rsidR="00175C25" w:rsidRPr="00175C25" w:rsidRDefault="00175C25" w:rsidP="00175C25">
      <w:pPr>
        <w:widowControl w:val="0"/>
        <w:jc w:val="both"/>
        <w:rPr>
          <w:sz w:val="20"/>
          <w:szCs w:val="20"/>
          <w:lang w:val="fr-CA"/>
        </w:rPr>
      </w:pPr>
      <w:r w:rsidRPr="00175C25">
        <w:rPr>
          <w:sz w:val="20"/>
          <w:szCs w:val="20"/>
          <w:lang w:val="fr-CA"/>
        </w:rPr>
        <w:t>N</w:t>
      </w:r>
      <w:r w:rsidRPr="00175C25">
        <w:rPr>
          <w:sz w:val="20"/>
          <w:szCs w:val="20"/>
          <w:vertAlign w:val="superscript"/>
          <w:lang w:val="fr-CA"/>
        </w:rPr>
        <w:t>o</w:t>
      </w:r>
      <w:r w:rsidRPr="00175C25">
        <w:rPr>
          <w:sz w:val="20"/>
          <w:szCs w:val="20"/>
          <w:lang w:val="fr-CA"/>
        </w:rPr>
        <w:t xml:space="preserve"> du greffe :</w:t>
      </w:r>
      <w:r w:rsidRPr="00175C25">
        <w:rPr>
          <w:sz w:val="20"/>
          <w:szCs w:val="20"/>
          <w:lang w:val="fr-CA"/>
        </w:rPr>
        <w:tab/>
      </w:r>
      <w:r w:rsidRPr="00175C25">
        <w:rPr>
          <w:sz w:val="20"/>
          <w:szCs w:val="20"/>
          <w:lang w:val="fr-CA"/>
        </w:rPr>
        <w:tab/>
      </w:r>
      <w:r w:rsidRPr="00175C25">
        <w:rPr>
          <w:sz w:val="20"/>
          <w:szCs w:val="20"/>
          <w:lang w:val="fr-CA"/>
        </w:rPr>
        <w:tab/>
        <w:t>33594</w:t>
      </w:r>
    </w:p>
    <w:p w:rsidR="00175C25" w:rsidRPr="00175C25" w:rsidRDefault="00175C25" w:rsidP="00175C25">
      <w:pPr>
        <w:widowControl w:val="0"/>
        <w:jc w:val="both"/>
        <w:rPr>
          <w:sz w:val="20"/>
          <w:szCs w:val="20"/>
          <w:lang w:val="fr-CA"/>
        </w:rPr>
      </w:pPr>
    </w:p>
    <w:p w:rsidR="00175C25" w:rsidRPr="00175C25" w:rsidRDefault="00175C25" w:rsidP="00175C25">
      <w:pPr>
        <w:widowControl w:val="0"/>
        <w:jc w:val="both"/>
        <w:rPr>
          <w:sz w:val="20"/>
          <w:szCs w:val="20"/>
          <w:lang w:val="fr-CA"/>
        </w:rPr>
      </w:pPr>
      <w:r w:rsidRPr="00175C25">
        <w:rPr>
          <w:sz w:val="20"/>
          <w:szCs w:val="20"/>
          <w:lang w:val="fr-CA"/>
        </w:rPr>
        <w:t>Arrêt de la Cour d’appel :</w:t>
      </w:r>
      <w:r w:rsidRPr="00175C25">
        <w:rPr>
          <w:sz w:val="20"/>
          <w:szCs w:val="20"/>
          <w:lang w:val="fr-CA"/>
        </w:rPr>
        <w:tab/>
      </w:r>
      <w:r w:rsidRPr="00175C25">
        <w:rPr>
          <w:sz w:val="20"/>
          <w:szCs w:val="20"/>
          <w:lang w:val="fr-CA"/>
        </w:rPr>
        <w:tab/>
        <w:t xml:space="preserve">Le 13 janvier 2010 </w:t>
      </w:r>
    </w:p>
    <w:p w:rsidR="00175C25" w:rsidRPr="00175C25" w:rsidRDefault="00175C25" w:rsidP="00175C25">
      <w:pPr>
        <w:widowControl w:val="0"/>
        <w:jc w:val="both"/>
        <w:rPr>
          <w:sz w:val="20"/>
          <w:szCs w:val="20"/>
          <w:lang w:val="fr-CA"/>
        </w:rPr>
      </w:pPr>
    </w:p>
    <w:p w:rsidR="00175C25" w:rsidRPr="00175C25" w:rsidRDefault="00175C25" w:rsidP="00175C25">
      <w:pPr>
        <w:widowControl w:val="0"/>
        <w:jc w:val="both"/>
        <w:rPr>
          <w:sz w:val="20"/>
          <w:szCs w:val="20"/>
          <w:lang w:val="fr-CA"/>
        </w:rPr>
      </w:pPr>
      <w:r w:rsidRPr="00175C25">
        <w:rPr>
          <w:sz w:val="20"/>
          <w:szCs w:val="20"/>
          <w:lang w:val="fr-CA"/>
        </w:rPr>
        <w:t>Avocats :</w:t>
      </w:r>
      <w:r w:rsidRPr="00175C25">
        <w:rPr>
          <w:sz w:val="20"/>
          <w:szCs w:val="20"/>
          <w:lang w:val="fr-CA"/>
        </w:rPr>
        <w:tab/>
      </w:r>
      <w:r w:rsidRPr="00175C25">
        <w:rPr>
          <w:sz w:val="20"/>
          <w:szCs w:val="20"/>
          <w:lang w:val="fr-CA"/>
        </w:rPr>
        <w:tab/>
      </w:r>
      <w:r w:rsidRPr="00175C25">
        <w:rPr>
          <w:sz w:val="20"/>
          <w:szCs w:val="20"/>
          <w:lang w:val="fr-CA"/>
        </w:rPr>
        <w:tab/>
        <w:t>Sophie Dormeau pour l’appelant</w:t>
      </w:r>
    </w:p>
    <w:p w:rsidR="00175C25" w:rsidRPr="00175C25" w:rsidRDefault="00175C25" w:rsidP="00175C25">
      <w:pPr>
        <w:widowControl w:val="0"/>
        <w:jc w:val="both"/>
        <w:rPr>
          <w:sz w:val="20"/>
          <w:szCs w:val="20"/>
          <w:lang w:val="fr-CA"/>
        </w:rPr>
      </w:pPr>
      <w:r w:rsidRPr="00175C25">
        <w:rPr>
          <w:sz w:val="20"/>
          <w:szCs w:val="20"/>
          <w:lang w:val="fr-CA"/>
        </w:rPr>
        <w:tab/>
      </w:r>
      <w:r w:rsidRPr="00175C25">
        <w:rPr>
          <w:sz w:val="20"/>
          <w:szCs w:val="20"/>
          <w:lang w:val="fr-CA"/>
        </w:rPr>
        <w:tab/>
      </w:r>
      <w:r w:rsidRPr="00175C25">
        <w:rPr>
          <w:sz w:val="20"/>
          <w:szCs w:val="20"/>
          <w:lang w:val="fr-CA"/>
        </w:rPr>
        <w:tab/>
      </w:r>
      <w:r w:rsidRPr="00175C25">
        <w:rPr>
          <w:sz w:val="20"/>
          <w:szCs w:val="20"/>
          <w:lang w:val="fr-CA"/>
        </w:rPr>
        <w:tab/>
        <w:t>Claude G. Leduc pour l’intimé Pierre Bernard</w:t>
      </w:r>
    </w:p>
    <w:p w:rsidR="00175C25" w:rsidRPr="00175C25" w:rsidRDefault="00175C25" w:rsidP="00175C25">
      <w:pPr>
        <w:widowControl w:val="0"/>
        <w:jc w:val="both"/>
        <w:rPr>
          <w:sz w:val="20"/>
          <w:szCs w:val="20"/>
          <w:lang w:val="fr-CA"/>
        </w:rPr>
      </w:pPr>
      <w:r>
        <w:rPr>
          <w:sz w:val="20"/>
          <w:szCs w:val="20"/>
          <w:lang w:val="fr-CA"/>
        </w:rPr>
        <w:tab/>
      </w:r>
      <w:r>
        <w:rPr>
          <w:sz w:val="20"/>
          <w:szCs w:val="20"/>
          <w:lang w:val="fr-CA"/>
        </w:rPr>
        <w:tab/>
      </w:r>
      <w:r>
        <w:rPr>
          <w:sz w:val="20"/>
          <w:szCs w:val="20"/>
          <w:lang w:val="fr-CA"/>
        </w:rPr>
        <w:tab/>
      </w:r>
      <w:r>
        <w:rPr>
          <w:sz w:val="20"/>
          <w:szCs w:val="20"/>
          <w:lang w:val="fr-CA"/>
        </w:rPr>
        <w:tab/>
      </w:r>
      <w:r w:rsidRPr="00175C25">
        <w:rPr>
          <w:sz w:val="20"/>
          <w:szCs w:val="20"/>
          <w:lang w:val="fr-CA"/>
        </w:rPr>
        <w:t xml:space="preserve">Dominique A. Jobin pour les intimés Tribunal des professions et le Procureur </w:t>
      </w:r>
      <w:r>
        <w:rPr>
          <w:sz w:val="20"/>
          <w:szCs w:val="20"/>
          <w:lang w:val="fr-CA"/>
        </w:rPr>
        <w:tab/>
      </w:r>
      <w:r>
        <w:rPr>
          <w:sz w:val="20"/>
          <w:szCs w:val="20"/>
          <w:lang w:val="fr-CA"/>
        </w:rPr>
        <w:tab/>
      </w:r>
      <w:r>
        <w:rPr>
          <w:sz w:val="20"/>
          <w:szCs w:val="20"/>
          <w:lang w:val="fr-CA"/>
        </w:rPr>
        <w:tab/>
      </w:r>
      <w:r>
        <w:rPr>
          <w:sz w:val="20"/>
          <w:szCs w:val="20"/>
          <w:lang w:val="fr-CA"/>
        </w:rPr>
        <w:tab/>
      </w:r>
      <w:r>
        <w:rPr>
          <w:sz w:val="20"/>
          <w:szCs w:val="20"/>
          <w:lang w:val="fr-CA"/>
        </w:rPr>
        <w:tab/>
      </w:r>
      <w:r w:rsidRPr="00175C25">
        <w:rPr>
          <w:sz w:val="20"/>
          <w:szCs w:val="20"/>
          <w:lang w:val="fr-CA"/>
        </w:rPr>
        <w:t>général du Québec</w:t>
      </w:r>
    </w:p>
    <w:p w:rsidR="000103C9" w:rsidRDefault="000103C9" w:rsidP="000B3C9A">
      <w:pPr>
        <w:tabs>
          <w:tab w:val="left" w:pos="-1440"/>
          <w:tab w:val="left" w:pos="-720"/>
        </w:tabs>
        <w:jc w:val="both"/>
        <w:rPr>
          <w:sz w:val="20"/>
          <w:szCs w:val="20"/>
          <w:lang w:val="fr-CA"/>
        </w:rPr>
      </w:pPr>
    </w:p>
    <w:p w:rsidR="000103C9" w:rsidRDefault="00532939" w:rsidP="000B3C9A">
      <w:pPr>
        <w:tabs>
          <w:tab w:val="left" w:pos="-1440"/>
          <w:tab w:val="left" w:pos="-720"/>
        </w:tabs>
        <w:jc w:val="both"/>
        <w:rPr>
          <w:sz w:val="20"/>
          <w:szCs w:val="20"/>
          <w:lang w:val="fr-CA"/>
        </w:rPr>
      </w:pPr>
      <w:r w:rsidRPr="00532939">
        <w:rPr>
          <w:sz w:val="20"/>
          <w:szCs w:val="20"/>
          <w:lang w:val="fr-CA"/>
        </w:rPr>
        <w:pict>
          <v:rect id="_x0000_i1053" style="width:2in;height:1pt" o:hrpct="0" o:hralign="center" o:hrstd="t" o:hrnoshade="t" o:hr="t" fillcolor="black [3213]" stroked="f"/>
        </w:pict>
      </w:r>
    </w:p>
    <w:p w:rsidR="00293E37" w:rsidRDefault="00293E37">
      <w:pPr>
        <w:rPr>
          <w:sz w:val="20"/>
          <w:szCs w:val="20"/>
          <w:lang w:val="fr-CA"/>
        </w:rPr>
      </w:pPr>
      <w:r>
        <w:rPr>
          <w:sz w:val="20"/>
          <w:szCs w:val="20"/>
          <w:lang w:val="fr-CA"/>
        </w:rPr>
        <w:br w:type="page"/>
      </w:r>
    </w:p>
    <w:p w:rsidR="00484B65" w:rsidRPr="00484B65" w:rsidRDefault="00532939" w:rsidP="00484B65">
      <w:pPr>
        <w:widowControl w:val="0"/>
        <w:ind w:left="720" w:hanging="720"/>
        <w:jc w:val="both"/>
        <w:rPr>
          <w:sz w:val="20"/>
          <w:szCs w:val="20"/>
        </w:rPr>
      </w:pPr>
      <w:r w:rsidRPr="00484B65">
        <w:rPr>
          <w:b/>
          <w:sz w:val="20"/>
          <w:szCs w:val="20"/>
        </w:rPr>
        <w:lastRenderedPageBreak/>
        <w:fldChar w:fldCharType="begin"/>
      </w:r>
      <w:r w:rsidR="00484B65" w:rsidRPr="00484B65">
        <w:rPr>
          <w:b/>
          <w:sz w:val="20"/>
          <w:szCs w:val="20"/>
        </w:rPr>
        <w:instrText xml:space="preserve"> SEQ CHAPTER \h \r 1</w:instrText>
      </w:r>
      <w:r w:rsidRPr="00484B65">
        <w:rPr>
          <w:b/>
          <w:sz w:val="20"/>
          <w:szCs w:val="20"/>
        </w:rPr>
        <w:fldChar w:fldCharType="end"/>
      </w:r>
      <w:r w:rsidR="00484B65" w:rsidRPr="00484B65">
        <w:rPr>
          <w:b/>
          <w:sz w:val="20"/>
          <w:szCs w:val="20"/>
        </w:rPr>
        <w:t>33551</w:t>
      </w:r>
      <w:r w:rsidR="00484B65" w:rsidRPr="00484B65">
        <w:rPr>
          <w:sz w:val="20"/>
          <w:szCs w:val="20"/>
        </w:rPr>
        <w:tab/>
      </w:r>
      <w:r w:rsidR="00484B65" w:rsidRPr="00484B65">
        <w:rPr>
          <w:b/>
          <w:i/>
          <w:sz w:val="20"/>
          <w:szCs w:val="20"/>
        </w:rPr>
        <w:t>Her Majesty the Queen in Right of the Province of Alberta v. Elder Advocates of Alberta Society et al.</w:t>
      </w:r>
    </w:p>
    <w:p w:rsidR="00484B65" w:rsidRPr="00484B65" w:rsidRDefault="00484B65" w:rsidP="00484B65">
      <w:pPr>
        <w:widowControl w:val="0"/>
        <w:jc w:val="both"/>
        <w:rPr>
          <w:sz w:val="20"/>
          <w:szCs w:val="20"/>
        </w:rPr>
      </w:pPr>
    </w:p>
    <w:p w:rsidR="00484B65" w:rsidRPr="00484B65" w:rsidRDefault="00484B65" w:rsidP="00484B65">
      <w:pPr>
        <w:jc w:val="both"/>
        <w:rPr>
          <w:sz w:val="20"/>
          <w:szCs w:val="20"/>
        </w:rPr>
      </w:pPr>
      <w:r w:rsidRPr="00484B65">
        <w:rPr>
          <w:sz w:val="20"/>
          <w:szCs w:val="20"/>
        </w:rPr>
        <w:t xml:space="preserve">Civil procedure - Class actions - Crown - Fiduciary duty - Duty of care - Unjust enrichment - What is the test for imposing a fiduciary duty upon the Crown outside the Aboriginal context? - Does the province owe a private law duty to “exercise all reasonable care, skill and diligence with respect to the administration, monitoring and auditing of the public funding provided to operators and the accommodation charges paid to operators by residents”? - If the province does not owe a fiduciary duty or duty of care with respect to setting the maximum accommodation charge, can dismissal of the common law claims against the province be avoided by pleading unjust enrichment? - Do the pleadings support a </w:t>
      </w:r>
      <w:r w:rsidRPr="00484B65">
        <w:rPr>
          <w:i/>
          <w:sz w:val="20"/>
          <w:szCs w:val="20"/>
        </w:rPr>
        <w:t>Charter</w:t>
      </w:r>
      <w:r w:rsidRPr="00484B65">
        <w:rPr>
          <w:sz w:val="20"/>
          <w:szCs w:val="20"/>
        </w:rPr>
        <w:t xml:space="preserve"> damages claim? - Should a class action be certified based on any surviving cause of action?</w:t>
      </w:r>
    </w:p>
    <w:p w:rsidR="00484B65" w:rsidRPr="00484B65" w:rsidRDefault="00484B65" w:rsidP="00484B65">
      <w:pPr>
        <w:widowControl w:val="0"/>
        <w:jc w:val="both"/>
        <w:rPr>
          <w:sz w:val="20"/>
          <w:szCs w:val="20"/>
        </w:rPr>
      </w:pPr>
    </w:p>
    <w:p w:rsidR="00484B65" w:rsidRPr="00484B65" w:rsidRDefault="00484B65" w:rsidP="00484B65">
      <w:pPr>
        <w:jc w:val="both"/>
        <w:rPr>
          <w:sz w:val="20"/>
          <w:szCs w:val="20"/>
        </w:rPr>
      </w:pPr>
      <w:r w:rsidRPr="00484B65">
        <w:rPr>
          <w:sz w:val="20"/>
          <w:szCs w:val="20"/>
        </w:rPr>
        <w:t>A directive from the provincial Health Minister dated August 1991 indicted that the operators of long</w:t>
      </w:r>
      <w:r w:rsidRPr="00484B65">
        <w:rPr>
          <w:sz w:val="20"/>
          <w:szCs w:val="20"/>
        </w:rPr>
        <w:noBreakHyphen/>
        <w:t xml:space="preserve">term care facilities (LTCF’s) were to charge and collect the maximum accommodation charge permitted by s. 3(1) of the </w:t>
      </w:r>
      <w:r w:rsidRPr="00484B65">
        <w:rPr>
          <w:i/>
          <w:sz w:val="20"/>
          <w:szCs w:val="20"/>
        </w:rPr>
        <w:t>Nursing Homes Operation Regulation</w:t>
      </w:r>
      <w:r w:rsidRPr="00484B65">
        <w:rPr>
          <w:sz w:val="20"/>
          <w:szCs w:val="20"/>
        </w:rPr>
        <w:t>.</w:t>
      </w:r>
    </w:p>
    <w:p w:rsidR="00484B65" w:rsidRPr="00484B65" w:rsidRDefault="00484B65" w:rsidP="00484B65">
      <w:pPr>
        <w:jc w:val="both"/>
        <w:rPr>
          <w:sz w:val="20"/>
          <w:szCs w:val="20"/>
        </w:rPr>
      </w:pPr>
    </w:p>
    <w:p w:rsidR="00484B65" w:rsidRPr="00484B65" w:rsidRDefault="00484B65" w:rsidP="00484B65">
      <w:pPr>
        <w:jc w:val="both"/>
        <w:rPr>
          <w:sz w:val="20"/>
          <w:szCs w:val="20"/>
        </w:rPr>
      </w:pPr>
      <w:r w:rsidRPr="00484B65">
        <w:rPr>
          <w:sz w:val="20"/>
          <w:szCs w:val="20"/>
        </w:rPr>
        <w:t xml:space="preserve">The representative plaintiffs sought to certify class proceedings under the </w:t>
      </w:r>
      <w:r w:rsidRPr="00484B65">
        <w:rPr>
          <w:i/>
          <w:sz w:val="20"/>
          <w:szCs w:val="20"/>
        </w:rPr>
        <w:t>Class Proceedings Act</w:t>
      </w:r>
      <w:r w:rsidRPr="00484B65">
        <w:rPr>
          <w:sz w:val="20"/>
          <w:szCs w:val="20"/>
        </w:rPr>
        <w:t>, contending that the Crown and nine Regional Health Authorities (RHA) do not ensure that the monies paid by the residents of long</w:t>
      </w:r>
      <w:r w:rsidRPr="00484B65">
        <w:rPr>
          <w:sz w:val="20"/>
          <w:szCs w:val="20"/>
        </w:rPr>
        <w:noBreakHyphen/>
        <w:t>term care facilities for the “accommodation charge” is used solely for accommodation and meals.  As such, they claimed that long</w:t>
      </w:r>
      <w:r w:rsidRPr="00484B65">
        <w:rPr>
          <w:sz w:val="20"/>
          <w:szCs w:val="20"/>
        </w:rPr>
        <w:noBreakHyphen/>
        <w:t>term care facility residents had been overcharged.  They further argue that it is not efficient for the residents of the long</w:t>
      </w:r>
      <w:r w:rsidRPr="00484B65">
        <w:rPr>
          <w:sz w:val="20"/>
          <w:szCs w:val="20"/>
        </w:rPr>
        <w:noBreakHyphen/>
        <w:t>term care facilities to bring separate lawsuits and that enormous time and resources would be saved if the claims were brought together.</w:t>
      </w:r>
    </w:p>
    <w:p w:rsidR="00484B65" w:rsidRPr="00484B65" w:rsidRDefault="00484B65" w:rsidP="00484B65">
      <w:pPr>
        <w:jc w:val="both"/>
        <w:rPr>
          <w:sz w:val="20"/>
          <w:szCs w:val="20"/>
        </w:rPr>
      </w:pPr>
    </w:p>
    <w:p w:rsidR="00484B65" w:rsidRPr="00484B65" w:rsidRDefault="00484B65" w:rsidP="00484B65">
      <w:pPr>
        <w:jc w:val="both"/>
        <w:rPr>
          <w:sz w:val="20"/>
          <w:szCs w:val="20"/>
        </w:rPr>
      </w:pPr>
      <w:r w:rsidRPr="00484B65">
        <w:rPr>
          <w:sz w:val="20"/>
          <w:szCs w:val="20"/>
        </w:rPr>
        <w:t xml:space="preserve">The certification judge struck out causes of action for, </w:t>
      </w:r>
      <w:r w:rsidRPr="00484B65">
        <w:rPr>
          <w:i/>
          <w:sz w:val="20"/>
          <w:szCs w:val="20"/>
        </w:rPr>
        <w:t>inter alia</w:t>
      </w:r>
      <w:r w:rsidRPr="00484B65">
        <w:rPr>
          <w:sz w:val="20"/>
          <w:szCs w:val="20"/>
        </w:rPr>
        <w:t>, breach of fiduciary duty, but concluded that the action could proceed on several other causes of action.  She certified 60 common questions, determined that the class proceeding is the preferable procedure for the fair and efficient resolution of the common issues, and approved of the chosen representative plaintiffs.  The Court of Appeal dismissed an appeal but allowed the representative plaintiffs’ cross</w:t>
      </w:r>
      <w:r w:rsidRPr="00484B65">
        <w:rPr>
          <w:sz w:val="20"/>
          <w:szCs w:val="20"/>
        </w:rPr>
        <w:noBreakHyphen/>
        <w:t>appeal in part, reinstating the allegation that the appellant had breached its fiduciary duty.</w:t>
      </w:r>
    </w:p>
    <w:p w:rsidR="00484B65" w:rsidRPr="00484B65" w:rsidRDefault="00484B65" w:rsidP="00484B65">
      <w:pPr>
        <w:widowControl w:val="0"/>
        <w:jc w:val="both"/>
        <w:rPr>
          <w:sz w:val="20"/>
          <w:szCs w:val="20"/>
        </w:rPr>
      </w:pPr>
    </w:p>
    <w:p w:rsidR="00484B65" w:rsidRPr="00484B65" w:rsidRDefault="00484B65" w:rsidP="00484B65">
      <w:pPr>
        <w:widowControl w:val="0"/>
        <w:jc w:val="both"/>
        <w:rPr>
          <w:sz w:val="20"/>
          <w:szCs w:val="20"/>
        </w:rPr>
      </w:pPr>
    </w:p>
    <w:p w:rsidR="00484B65" w:rsidRPr="00484B65" w:rsidRDefault="00484B65" w:rsidP="00484B65">
      <w:pPr>
        <w:widowControl w:val="0"/>
        <w:jc w:val="both"/>
        <w:rPr>
          <w:sz w:val="20"/>
          <w:szCs w:val="20"/>
        </w:rPr>
      </w:pPr>
      <w:r w:rsidRPr="00484B65">
        <w:rPr>
          <w:sz w:val="20"/>
          <w:szCs w:val="20"/>
        </w:rPr>
        <w:t>Origin of the case:</w:t>
      </w:r>
      <w:r w:rsidRPr="00484B65">
        <w:rPr>
          <w:sz w:val="20"/>
          <w:szCs w:val="20"/>
        </w:rPr>
        <w:tab/>
      </w:r>
      <w:r w:rsidRPr="00484B65">
        <w:rPr>
          <w:sz w:val="20"/>
          <w:szCs w:val="20"/>
        </w:rPr>
        <w:tab/>
        <w:t>Alberta</w:t>
      </w:r>
    </w:p>
    <w:p w:rsidR="00484B65" w:rsidRPr="00484B65" w:rsidRDefault="00484B65" w:rsidP="00484B65">
      <w:pPr>
        <w:widowControl w:val="0"/>
        <w:jc w:val="both"/>
        <w:rPr>
          <w:sz w:val="20"/>
          <w:szCs w:val="20"/>
        </w:rPr>
      </w:pPr>
    </w:p>
    <w:p w:rsidR="00484B65" w:rsidRPr="00484B65" w:rsidRDefault="00484B65" w:rsidP="00484B65">
      <w:pPr>
        <w:widowControl w:val="0"/>
        <w:jc w:val="both"/>
        <w:rPr>
          <w:sz w:val="20"/>
          <w:szCs w:val="20"/>
        </w:rPr>
      </w:pPr>
      <w:r w:rsidRPr="00484B65">
        <w:rPr>
          <w:sz w:val="20"/>
          <w:szCs w:val="20"/>
        </w:rPr>
        <w:t>File No.:</w:t>
      </w:r>
      <w:r w:rsidRPr="00484B65">
        <w:rPr>
          <w:sz w:val="20"/>
          <w:szCs w:val="20"/>
        </w:rPr>
        <w:tab/>
      </w:r>
      <w:r w:rsidRPr="00484B65">
        <w:rPr>
          <w:sz w:val="20"/>
          <w:szCs w:val="20"/>
        </w:rPr>
        <w:tab/>
      </w:r>
      <w:r w:rsidRPr="00484B65">
        <w:rPr>
          <w:sz w:val="20"/>
          <w:szCs w:val="20"/>
        </w:rPr>
        <w:tab/>
      </w:r>
      <w:r w:rsidRPr="00484B65">
        <w:rPr>
          <w:sz w:val="20"/>
          <w:szCs w:val="20"/>
        </w:rPr>
        <w:tab/>
        <w:t>33551</w:t>
      </w:r>
    </w:p>
    <w:p w:rsidR="00484B65" w:rsidRPr="00484B65" w:rsidRDefault="00484B65" w:rsidP="00484B65">
      <w:pPr>
        <w:widowControl w:val="0"/>
        <w:jc w:val="both"/>
        <w:rPr>
          <w:sz w:val="20"/>
          <w:szCs w:val="20"/>
        </w:rPr>
      </w:pPr>
    </w:p>
    <w:p w:rsidR="00484B65" w:rsidRPr="00484B65" w:rsidRDefault="00484B65" w:rsidP="00484B65">
      <w:pPr>
        <w:rPr>
          <w:sz w:val="20"/>
          <w:szCs w:val="20"/>
        </w:rPr>
      </w:pPr>
      <w:r w:rsidRPr="00484B65">
        <w:rPr>
          <w:sz w:val="20"/>
          <w:szCs w:val="20"/>
        </w:rPr>
        <w:t>Judgment of the Court of Appeal:</w:t>
      </w:r>
      <w:r w:rsidRPr="00484B65">
        <w:rPr>
          <w:sz w:val="20"/>
          <w:szCs w:val="20"/>
        </w:rPr>
        <w:tab/>
      </w:r>
      <w:r w:rsidR="00532939" w:rsidRPr="00484B65">
        <w:rPr>
          <w:sz w:val="20"/>
          <w:szCs w:val="20"/>
        </w:rPr>
        <w:fldChar w:fldCharType="begin"/>
      </w:r>
      <w:r w:rsidRPr="00484B65">
        <w:rPr>
          <w:sz w:val="20"/>
          <w:szCs w:val="20"/>
        </w:rPr>
        <w:instrText xml:space="preserve"> SEQ CHAPTER \h \r 1</w:instrText>
      </w:r>
      <w:r w:rsidR="00532939" w:rsidRPr="00484B65">
        <w:rPr>
          <w:sz w:val="20"/>
          <w:szCs w:val="20"/>
        </w:rPr>
        <w:fldChar w:fldCharType="end"/>
      </w:r>
      <w:r w:rsidRPr="00484B65">
        <w:rPr>
          <w:sz w:val="20"/>
          <w:szCs w:val="20"/>
        </w:rPr>
        <w:t>December 4, 2009</w:t>
      </w:r>
    </w:p>
    <w:p w:rsidR="00484B65" w:rsidRPr="00484B65" w:rsidRDefault="00484B65" w:rsidP="00484B65">
      <w:pPr>
        <w:widowControl w:val="0"/>
        <w:jc w:val="both"/>
        <w:rPr>
          <w:sz w:val="20"/>
          <w:szCs w:val="20"/>
        </w:rPr>
      </w:pPr>
    </w:p>
    <w:p w:rsidR="00484B65" w:rsidRPr="00484B65" w:rsidRDefault="00484B65" w:rsidP="00484B65">
      <w:pPr>
        <w:widowControl w:val="0"/>
        <w:jc w:val="both"/>
        <w:rPr>
          <w:sz w:val="20"/>
          <w:szCs w:val="20"/>
        </w:rPr>
      </w:pPr>
      <w:r w:rsidRPr="00484B65">
        <w:rPr>
          <w:sz w:val="20"/>
          <w:szCs w:val="20"/>
        </w:rPr>
        <w:t>Counsel:</w:t>
      </w:r>
      <w:r w:rsidRPr="00484B65">
        <w:rPr>
          <w:sz w:val="20"/>
          <w:szCs w:val="20"/>
        </w:rPr>
        <w:tab/>
      </w:r>
      <w:r w:rsidRPr="00484B65">
        <w:rPr>
          <w:sz w:val="20"/>
          <w:szCs w:val="20"/>
        </w:rPr>
        <w:tab/>
      </w:r>
      <w:r w:rsidRPr="00484B65">
        <w:rPr>
          <w:sz w:val="20"/>
          <w:szCs w:val="20"/>
        </w:rPr>
        <w:tab/>
      </w:r>
      <w:r w:rsidRPr="00484B65">
        <w:rPr>
          <w:sz w:val="20"/>
          <w:szCs w:val="20"/>
        </w:rPr>
        <w:tab/>
        <w:t>G. Alan Meikle, Q.C. and Ward K. Branch for the appellant</w:t>
      </w:r>
    </w:p>
    <w:p w:rsidR="00484B65" w:rsidRPr="00484B65" w:rsidRDefault="00484B65" w:rsidP="00484B65">
      <w:pPr>
        <w:widowControl w:val="0"/>
        <w:jc w:val="both"/>
        <w:rPr>
          <w:sz w:val="20"/>
          <w:szCs w:val="20"/>
        </w:rPr>
      </w:pPr>
      <w:r w:rsidRPr="00484B65">
        <w:rPr>
          <w:sz w:val="20"/>
          <w:szCs w:val="20"/>
        </w:rPr>
        <w:tab/>
      </w:r>
      <w:r w:rsidRPr="00484B65">
        <w:rPr>
          <w:sz w:val="20"/>
          <w:szCs w:val="20"/>
        </w:rPr>
        <w:tab/>
      </w:r>
      <w:r w:rsidRPr="00484B65">
        <w:rPr>
          <w:sz w:val="20"/>
          <w:szCs w:val="20"/>
        </w:rPr>
        <w:tab/>
      </w:r>
      <w:r w:rsidRPr="00484B65">
        <w:rPr>
          <w:sz w:val="20"/>
          <w:szCs w:val="20"/>
        </w:rPr>
        <w:tab/>
        <w:t>Allan A. Garber and Nathan J. Whitling for the respondents</w:t>
      </w:r>
    </w:p>
    <w:p w:rsidR="00293E37" w:rsidRPr="00293E37" w:rsidRDefault="00293E37" w:rsidP="00293E37">
      <w:pPr>
        <w:tabs>
          <w:tab w:val="left" w:pos="-1440"/>
          <w:tab w:val="left" w:pos="-720"/>
        </w:tabs>
        <w:jc w:val="both"/>
        <w:rPr>
          <w:sz w:val="20"/>
          <w:szCs w:val="20"/>
        </w:rPr>
      </w:pPr>
    </w:p>
    <w:p w:rsidR="00293E37" w:rsidRDefault="00532939" w:rsidP="000B3C9A">
      <w:pPr>
        <w:tabs>
          <w:tab w:val="left" w:pos="-1440"/>
          <w:tab w:val="left" w:pos="-720"/>
        </w:tabs>
        <w:jc w:val="both"/>
        <w:rPr>
          <w:sz w:val="20"/>
          <w:szCs w:val="20"/>
          <w:lang w:val="fr-CA"/>
        </w:rPr>
      </w:pPr>
      <w:r w:rsidRPr="00532939">
        <w:rPr>
          <w:sz w:val="20"/>
          <w:szCs w:val="20"/>
          <w:lang w:val="fr-CA"/>
        </w:rPr>
        <w:pict>
          <v:rect id="_x0000_i1054" style="width:2in;height:1pt" o:hrpct="0" o:hralign="center" o:hrstd="t" o:hrnoshade="t" o:hr="t" fillcolor="black [3213]" stroked="f"/>
        </w:pict>
      </w:r>
    </w:p>
    <w:p w:rsidR="00175C25" w:rsidRDefault="00175C25">
      <w:pPr>
        <w:rPr>
          <w:sz w:val="20"/>
          <w:szCs w:val="20"/>
          <w:lang w:val="fr-CA"/>
        </w:rPr>
      </w:pPr>
      <w:r>
        <w:rPr>
          <w:sz w:val="20"/>
          <w:szCs w:val="20"/>
          <w:lang w:val="fr-CA"/>
        </w:rPr>
        <w:br w:type="page"/>
      </w:r>
    </w:p>
    <w:p w:rsidR="00BF287F" w:rsidRPr="00BF287F" w:rsidRDefault="00532939" w:rsidP="00BF287F">
      <w:pPr>
        <w:widowControl w:val="0"/>
        <w:ind w:left="720" w:hanging="720"/>
        <w:jc w:val="both"/>
        <w:rPr>
          <w:sz w:val="20"/>
          <w:szCs w:val="20"/>
          <w:lang w:val="fr-CA"/>
        </w:rPr>
      </w:pPr>
      <w:r w:rsidRPr="00BF287F">
        <w:rPr>
          <w:b/>
          <w:sz w:val="20"/>
          <w:szCs w:val="20"/>
          <w:lang w:val="fr-CA"/>
        </w:rPr>
        <w:lastRenderedPageBreak/>
        <w:fldChar w:fldCharType="begin"/>
      </w:r>
      <w:r w:rsidR="00BF287F" w:rsidRPr="00BF287F">
        <w:rPr>
          <w:b/>
          <w:sz w:val="20"/>
          <w:szCs w:val="20"/>
          <w:lang w:val="fr-CA"/>
        </w:rPr>
        <w:instrText xml:space="preserve"> SEQ CHAPTER \h \r 1</w:instrText>
      </w:r>
      <w:r w:rsidRPr="00BF287F">
        <w:rPr>
          <w:b/>
          <w:sz w:val="20"/>
          <w:szCs w:val="20"/>
          <w:lang w:val="fr-CA"/>
        </w:rPr>
        <w:fldChar w:fldCharType="end"/>
      </w:r>
      <w:r w:rsidR="00BF287F" w:rsidRPr="00BF287F">
        <w:rPr>
          <w:b/>
          <w:sz w:val="20"/>
          <w:szCs w:val="20"/>
          <w:lang w:val="fr-CA"/>
        </w:rPr>
        <w:t>33551</w:t>
      </w:r>
      <w:r w:rsidR="00BF287F" w:rsidRPr="00BF287F">
        <w:rPr>
          <w:sz w:val="20"/>
          <w:szCs w:val="20"/>
          <w:lang w:val="fr-CA"/>
        </w:rPr>
        <w:tab/>
      </w:r>
      <w:r w:rsidR="00BF287F" w:rsidRPr="00BF287F">
        <w:rPr>
          <w:b/>
          <w:i/>
          <w:sz w:val="20"/>
          <w:szCs w:val="20"/>
          <w:lang w:val="fr-CA"/>
        </w:rPr>
        <w:t>Sa Majesté la Reine du chef de la province de l’Alberta c. Elder Advocates of Alberta Society et autres</w:t>
      </w:r>
    </w:p>
    <w:p w:rsidR="00BF287F" w:rsidRPr="00BF287F" w:rsidRDefault="00BF287F" w:rsidP="00BF287F">
      <w:pPr>
        <w:widowControl w:val="0"/>
        <w:jc w:val="both"/>
        <w:rPr>
          <w:sz w:val="20"/>
          <w:szCs w:val="20"/>
          <w:lang w:val="fr-CA"/>
        </w:rPr>
      </w:pPr>
    </w:p>
    <w:p w:rsidR="00BF287F" w:rsidRPr="00BF287F" w:rsidRDefault="00532939" w:rsidP="00BF287F">
      <w:pPr>
        <w:jc w:val="both"/>
        <w:rPr>
          <w:sz w:val="20"/>
          <w:szCs w:val="20"/>
          <w:lang w:val="fr-CA"/>
        </w:rPr>
      </w:pPr>
      <w:r w:rsidRPr="00BF287F">
        <w:rPr>
          <w:sz w:val="20"/>
          <w:szCs w:val="20"/>
          <w:lang w:val="fr-CA"/>
        </w:rPr>
        <w:fldChar w:fldCharType="begin"/>
      </w:r>
      <w:r w:rsidR="00BF287F" w:rsidRPr="00BF287F">
        <w:rPr>
          <w:sz w:val="20"/>
          <w:szCs w:val="20"/>
          <w:lang w:val="fr-CA"/>
        </w:rPr>
        <w:instrText xml:space="preserve"> SEQ CHAPTER \h \r 1</w:instrText>
      </w:r>
      <w:r w:rsidRPr="00BF287F">
        <w:rPr>
          <w:sz w:val="20"/>
          <w:szCs w:val="20"/>
          <w:lang w:val="fr-CA"/>
        </w:rPr>
        <w:fldChar w:fldCharType="end"/>
      </w:r>
      <w:r w:rsidR="00BF287F" w:rsidRPr="00BF287F">
        <w:rPr>
          <w:sz w:val="20"/>
          <w:szCs w:val="20"/>
          <w:lang w:val="fr-CA"/>
        </w:rPr>
        <w:t>Procédure civile - Recours collectifs - Couronne - Obligation fiduciaire - Obligation de diligence - Enrichissement injustifié - Quel critère permet de déterminer s’il faut imposer à la Couronne une obligation fiduciaire dans un contexte non autochtone? - La province a</w:t>
      </w:r>
      <w:r w:rsidR="00BF287F" w:rsidRPr="00BF287F">
        <w:rPr>
          <w:sz w:val="20"/>
          <w:szCs w:val="20"/>
          <w:lang w:val="fr-CA"/>
        </w:rPr>
        <w:noBreakHyphen/>
        <w:t>t</w:t>
      </w:r>
      <w:r w:rsidR="00BF287F" w:rsidRPr="00BF287F">
        <w:rPr>
          <w:sz w:val="20"/>
          <w:szCs w:val="20"/>
          <w:lang w:val="fr-CA"/>
        </w:rPr>
        <w:noBreakHyphen/>
        <w:t xml:space="preserve">elle une obligation de droit privé prévoyant qu’elle doit </w:t>
      </w:r>
      <w:r w:rsidR="00BF287F" w:rsidRPr="00BF287F">
        <w:rPr>
          <w:smallCaps/>
          <w:sz w:val="20"/>
          <w:szCs w:val="20"/>
          <w:lang w:val="fr-CA"/>
        </w:rPr>
        <w:t>[traduction]</w:t>
      </w:r>
      <w:r w:rsidR="00BF287F" w:rsidRPr="00BF287F">
        <w:rPr>
          <w:sz w:val="20"/>
          <w:szCs w:val="20"/>
          <w:lang w:val="fr-CA"/>
        </w:rPr>
        <w:t xml:space="preserve"> « faire montre de toute la diligence raisonnable et de toute la compétence nécessaire quant à l’administration, le contrôle et la vérification des fonds publics versés aux exploitants et quant aux frais d’hébergement payés par les pensionnaires aux exploitants? » - Si la province n’a pas d’obligation fiduciaire ou  d’obligation de fixer le montant maximal des frais d’hébergement, le rejet des actions en common law intentées contre la province peut</w:t>
      </w:r>
      <w:r w:rsidR="00BF287F" w:rsidRPr="00BF287F">
        <w:rPr>
          <w:sz w:val="20"/>
          <w:szCs w:val="20"/>
          <w:lang w:val="fr-CA"/>
        </w:rPr>
        <w:noBreakHyphen/>
        <w:t>il être évité en plaidant l’enrichissement injustifié? - Les plaidoiries justifient</w:t>
      </w:r>
      <w:r w:rsidR="00BF287F" w:rsidRPr="00BF287F">
        <w:rPr>
          <w:sz w:val="20"/>
          <w:szCs w:val="20"/>
          <w:lang w:val="fr-CA"/>
        </w:rPr>
        <w:noBreakHyphen/>
        <w:t>elles que l’on intente une action en dommages</w:t>
      </w:r>
      <w:r w:rsidR="00BF287F" w:rsidRPr="00BF287F">
        <w:rPr>
          <w:sz w:val="20"/>
          <w:szCs w:val="20"/>
          <w:lang w:val="fr-CA"/>
        </w:rPr>
        <w:noBreakHyphen/>
        <w:t xml:space="preserve">intérêts fondée sur la </w:t>
      </w:r>
      <w:r w:rsidR="00BF287F" w:rsidRPr="00BF287F">
        <w:rPr>
          <w:i/>
          <w:sz w:val="20"/>
          <w:szCs w:val="20"/>
          <w:lang w:val="fr-CA"/>
        </w:rPr>
        <w:t>Charte</w:t>
      </w:r>
      <w:r w:rsidR="00BF287F" w:rsidRPr="00BF287F">
        <w:rPr>
          <w:sz w:val="20"/>
          <w:szCs w:val="20"/>
          <w:lang w:val="fr-CA"/>
        </w:rPr>
        <w:t>? - Est</w:t>
      </w:r>
      <w:r w:rsidR="00BF287F" w:rsidRPr="00BF287F">
        <w:rPr>
          <w:sz w:val="20"/>
          <w:szCs w:val="20"/>
          <w:lang w:val="fr-CA"/>
        </w:rPr>
        <w:noBreakHyphen/>
        <w:t>ce qu’un recours collectif devrait être autorisé à l’égard de quelque cause d’action subsistante ?</w:t>
      </w:r>
    </w:p>
    <w:p w:rsidR="00BF287F" w:rsidRPr="00BF287F" w:rsidRDefault="00BF287F" w:rsidP="00BF287F">
      <w:pPr>
        <w:widowControl w:val="0"/>
        <w:jc w:val="both"/>
        <w:rPr>
          <w:sz w:val="20"/>
          <w:szCs w:val="20"/>
          <w:lang w:val="fr-CA"/>
        </w:rPr>
      </w:pPr>
    </w:p>
    <w:p w:rsidR="00BF287F" w:rsidRPr="00BF287F" w:rsidRDefault="00532939" w:rsidP="00BF287F">
      <w:pPr>
        <w:jc w:val="both"/>
        <w:rPr>
          <w:sz w:val="20"/>
          <w:szCs w:val="20"/>
          <w:lang w:val="fr-CA"/>
        </w:rPr>
      </w:pPr>
      <w:r w:rsidRPr="00BF287F">
        <w:rPr>
          <w:sz w:val="20"/>
          <w:szCs w:val="20"/>
          <w:lang w:val="fr-CA"/>
        </w:rPr>
        <w:fldChar w:fldCharType="begin"/>
      </w:r>
      <w:r w:rsidR="00BF287F" w:rsidRPr="00BF287F">
        <w:rPr>
          <w:sz w:val="20"/>
          <w:szCs w:val="20"/>
          <w:lang w:val="fr-CA"/>
        </w:rPr>
        <w:instrText xml:space="preserve"> SEQ CHAPTER \h \r 1</w:instrText>
      </w:r>
      <w:r w:rsidRPr="00BF287F">
        <w:rPr>
          <w:sz w:val="20"/>
          <w:szCs w:val="20"/>
          <w:lang w:val="fr-CA"/>
        </w:rPr>
        <w:fldChar w:fldCharType="end"/>
      </w:r>
      <w:r w:rsidR="00BF287F" w:rsidRPr="00BF287F">
        <w:rPr>
          <w:sz w:val="20"/>
          <w:szCs w:val="20"/>
          <w:lang w:val="fr-CA"/>
        </w:rPr>
        <w:t xml:space="preserve">En vertu d’une directive du ministre provincial de la Santé en date d’août 1991, les exploitants d’établissements de soins de longue durée (ÉSLD) devaient facturer et percevoir les frais d’hébergement maximaux autorisés par le par. 3(1) du </w:t>
      </w:r>
      <w:r w:rsidR="00BF287F" w:rsidRPr="00BF287F">
        <w:rPr>
          <w:i/>
          <w:iCs/>
          <w:sz w:val="20"/>
          <w:szCs w:val="20"/>
          <w:lang w:val="fr-CA"/>
        </w:rPr>
        <w:t>Nursing Homes Operation Regulation</w:t>
      </w:r>
      <w:r w:rsidR="00BF287F" w:rsidRPr="00BF287F">
        <w:rPr>
          <w:sz w:val="20"/>
          <w:szCs w:val="20"/>
          <w:lang w:val="fr-CA"/>
        </w:rPr>
        <w:t xml:space="preserve">. </w:t>
      </w:r>
    </w:p>
    <w:p w:rsidR="00BF287F" w:rsidRPr="00BF287F" w:rsidRDefault="00BF287F" w:rsidP="00BF287F">
      <w:pPr>
        <w:jc w:val="both"/>
        <w:rPr>
          <w:sz w:val="20"/>
          <w:szCs w:val="20"/>
          <w:lang w:val="fr-CA"/>
        </w:rPr>
      </w:pPr>
    </w:p>
    <w:p w:rsidR="00BF287F" w:rsidRPr="00BF287F" w:rsidRDefault="00532939" w:rsidP="00BF287F">
      <w:pPr>
        <w:jc w:val="both"/>
        <w:rPr>
          <w:sz w:val="20"/>
          <w:szCs w:val="20"/>
          <w:lang w:val="fr-CA"/>
        </w:rPr>
      </w:pPr>
      <w:r w:rsidRPr="00BF287F">
        <w:rPr>
          <w:sz w:val="20"/>
          <w:szCs w:val="20"/>
          <w:lang w:val="fr-CA"/>
        </w:rPr>
        <w:fldChar w:fldCharType="begin"/>
      </w:r>
      <w:r w:rsidR="00BF287F" w:rsidRPr="00BF287F">
        <w:rPr>
          <w:sz w:val="20"/>
          <w:szCs w:val="20"/>
          <w:lang w:val="fr-CA"/>
        </w:rPr>
        <w:instrText xml:space="preserve"> SEQ CHAPTER \h \r 1</w:instrText>
      </w:r>
      <w:r w:rsidRPr="00BF287F">
        <w:rPr>
          <w:sz w:val="20"/>
          <w:szCs w:val="20"/>
          <w:lang w:val="fr-CA"/>
        </w:rPr>
        <w:fldChar w:fldCharType="end"/>
      </w:r>
      <w:r w:rsidR="00BF287F" w:rsidRPr="00BF287F">
        <w:rPr>
          <w:sz w:val="20"/>
          <w:szCs w:val="20"/>
          <w:lang w:val="fr-CA"/>
        </w:rPr>
        <w:t xml:space="preserve">Les représentants des demandeurs en première instance ont demandé l’autorisation d’intenter un recours collectif en vertu de la </w:t>
      </w:r>
      <w:r w:rsidR="00BF287F" w:rsidRPr="00BF287F">
        <w:rPr>
          <w:i/>
          <w:iCs/>
          <w:sz w:val="20"/>
          <w:szCs w:val="20"/>
          <w:lang w:val="fr-CA"/>
        </w:rPr>
        <w:t>Class Proceedings Act</w:t>
      </w:r>
      <w:r w:rsidR="00BF287F" w:rsidRPr="00BF287F">
        <w:rPr>
          <w:sz w:val="20"/>
          <w:szCs w:val="20"/>
          <w:lang w:val="fr-CA"/>
        </w:rPr>
        <w:t>, alléguant que la Couronne et neuf autorités régionales de la santé (ARS) ne veillent pas à ce que les sommes d’argent payées par les pensionnaires des établissements de soins de longue durée au titre des « frais d’hébergement » soient utilisées exclusivement pour l’hébergement et les repas.  De ce fait, prétendent</w:t>
      </w:r>
      <w:r w:rsidR="00BF287F" w:rsidRPr="00BF287F">
        <w:rPr>
          <w:sz w:val="20"/>
          <w:szCs w:val="20"/>
          <w:lang w:val="fr-CA"/>
        </w:rPr>
        <w:noBreakHyphen/>
        <w:t xml:space="preserve">ils, ils auraient été facturés en trop.  Ils plaident en outre qu’il n’est pas pratique pour les pensionnaires des établissements de soins de longue durée d’intenter des poursuites distinctes et qu’il y aurait moyen de réaliser d’énormes économies de temps et de ressources si les demandes étaient réunies. </w:t>
      </w:r>
    </w:p>
    <w:p w:rsidR="00BF287F" w:rsidRPr="00BF287F" w:rsidRDefault="00BF287F" w:rsidP="00BF287F">
      <w:pPr>
        <w:jc w:val="both"/>
        <w:rPr>
          <w:sz w:val="20"/>
          <w:szCs w:val="20"/>
          <w:lang w:val="fr-CA"/>
        </w:rPr>
      </w:pPr>
    </w:p>
    <w:p w:rsidR="00BF287F" w:rsidRPr="00BF287F" w:rsidRDefault="00532939" w:rsidP="00BF287F">
      <w:pPr>
        <w:jc w:val="both"/>
        <w:rPr>
          <w:sz w:val="20"/>
          <w:szCs w:val="20"/>
          <w:lang w:val="fr-CA"/>
        </w:rPr>
      </w:pPr>
      <w:r w:rsidRPr="00BF287F">
        <w:rPr>
          <w:sz w:val="20"/>
          <w:szCs w:val="20"/>
          <w:lang w:val="fr-CA"/>
        </w:rPr>
        <w:fldChar w:fldCharType="begin"/>
      </w:r>
      <w:r w:rsidR="00BF287F" w:rsidRPr="00BF287F">
        <w:rPr>
          <w:sz w:val="20"/>
          <w:szCs w:val="20"/>
          <w:lang w:val="fr-CA"/>
        </w:rPr>
        <w:instrText xml:space="preserve"> SEQ CHAPTER \h \r 1</w:instrText>
      </w:r>
      <w:r w:rsidRPr="00BF287F">
        <w:rPr>
          <w:sz w:val="20"/>
          <w:szCs w:val="20"/>
          <w:lang w:val="fr-CA"/>
        </w:rPr>
        <w:fldChar w:fldCharType="end"/>
      </w:r>
      <w:r w:rsidR="00BF287F" w:rsidRPr="00BF287F">
        <w:rPr>
          <w:sz w:val="20"/>
          <w:szCs w:val="20"/>
          <w:lang w:val="fr-CA"/>
        </w:rPr>
        <w:t xml:space="preserve">La juge chargée d’autoriser le recours collectif a radié certaines causes d’action, notamment en ce qui a trait à la violation d’une obligation fiduciaire, mais a conclu que le recours pourrait procéder relativement à plusieurs autres causes d’action.  Elle a certifié 60 questions communes, a jugé que le recours collectif était la procédure de choix pour le règlement juste et efficace des questions communes et a approuvé les représentants des demandeurs en première instance.  La Cour d’appel a rejeté l’appel, mais a accueilli en partie l’appel incident des représentants des demandeurs en première instance, réintégrant l’allégation selon laquelle l’appelante avait violé son obligation fiduciaire. </w:t>
      </w:r>
    </w:p>
    <w:p w:rsidR="00BF287F" w:rsidRPr="00BF287F" w:rsidRDefault="00BF287F" w:rsidP="00BF287F">
      <w:pPr>
        <w:widowControl w:val="0"/>
        <w:jc w:val="both"/>
        <w:rPr>
          <w:sz w:val="20"/>
          <w:szCs w:val="20"/>
          <w:lang w:val="fr-CA"/>
        </w:rPr>
      </w:pPr>
    </w:p>
    <w:p w:rsidR="00BF287F" w:rsidRPr="00BF287F" w:rsidRDefault="00BF287F" w:rsidP="00BF287F">
      <w:pPr>
        <w:widowControl w:val="0"/>
        <w:jc w:val="both"/>
        <w:rPr>
          <w:sz w:val="20"/>
          <w:szCs w:val="20"/>
          <w:lang w:val="fr-CA"/>
        </w:rPr>
      </w:pPr>
    </w:p>
    <w:p w:rsidR="00BF287F" w:rsidRPr="00BF287F" w:rsidRDefault="00BF287F" w:rsidP="00BF287F">
      <w:pPr>
        <w:widowControl w:val="0"/>
        <w:jc w:val="both"/>
        <w:rPr>
          <w:sz w:val="20"/>
          <w:szCs w:val="20"/>
          <w:lang w:val="fr-CA"/>
        </w:rPr>
      </w:pPr>
      <w:r w:rsidRPr="00BF287F">
        <w:rPr>
          <w:sz w:val="20"/>
          <w:szCs w:val="20"/>
          <w:lang w:val="fr-CA"/>
        </w:rPr>
        <w:t>Origine :</w:t>
      </w:r>
      <w:r w:rsidRPr="00BF287F">
        <w:rPr>
          <w:sz w:val="20"/>
          <w:szCs w:val="20"/>
          <w:lang w:val="fr-CA"/>
        </w:rPr>
        <w:tab/>
      </w:r>
      <w:r w:rsidRPr="00BF287F">
        <w:rPr>
          <w:sz w:val="20"/>
          <w:szCs w:val="20"/>
          <w:lang w:val="fr-CA"/>
        </w:rPr>
        <w:tab/>
      </w:r>
      <w:r w:rsidRPr="00BF287F">
        <w:rPr>
          <w:sz w:val="20"/>
          <w:szCs w:val="20"/>
          <w:lang w:val="fr-CA"/>
        </w:rPr>
        <w:tab/>
      </w:r>
      <w:r w:rsidRPr="00BF287F">
        <w:rPr>
          <w:sz w:val="20"/>
          <w:szCs w:val="20"/>
          <w:lang w:val="fr-CA"/>
        </w:rPr>
        <w:tab/>
        <w:t>Alberta</w:t>
      </w:r>
    </w:p>
    <w:p w:rsidR="00BF287F" w:rsidRPr="00BF287F" w:rsidRDefault="00BF287F" w:rsidP="00BF287F">
      <w:pPr>
        <w:widowControl w:val="0"/>
        <w:jc w:val="both"/>
        <w:rPr>
          <w:sz w:val="20"/>
          <w:szCs w:val="20"/>
          <w:lang w:val="fr-CA"/>
        </w:rPr>
      </w:pPr>
    </w:p>
    <w:p w:rsidR="00BF287F" w:rsidRPr="00BF287F" w:rsidRDefault="00BF287F" w:rsidP="00BF287F">
      <w:pPr>
        <w:widowControl w:val="0"/>
        <w:jc w:val="both"/>
        <w:rPr>
          <w:sz w:val="20"/>
          <w:szCs w:val="20"/>
          <w:lang w:val="fr-CA"/>
        </w:rPr>
      </w:pPr>
      <w:r w:rsidRPr="00BF287F">
        <w:rPr>
          <w:sz w:val="20"/>
          <w:szCs w:val="20"/>
          <w:lang w:val="fr-CA"/>
        </w:rPr>
        <w:t>N</w:t>
      </w:r>
      <w:r w:rsidRPr="00BF287F">
        <w:rPr>
          <w:sz w:val="20"/>
          <w:szCs w:val="20"/>
          <w:vertAlign w:val="superscript"/>
          <w:lang w:val="fr-CA"/>
        </w:rPr>
        <w:t>o</w:t>
      </w:r>
      <w:r w:rsidRPr="00BF287F">
        <w:rPr>
          <w:sz w:val="20"/>
          <w:szCs w:val="20"/>
          <w:lang w:val="fr-CA"/>
        </w:rPr>
        <w:t xml:space="preserve"> de greffe :</w:t>
      </w:r>
      <w:r w:rsidRPr="00BF287F">
        <w:rPr>
          <w:sz w:val="20"/>
          <w:szCs w:val="20"/>
          <w:lang w:val="fr-CA"/>
        </w:rPr>
        <w:tab/>
      </w:r>
      <w:r w:rsidRPr="00BF287F">
        <w:rPr>
          <w:sz w:val="20"/>
          <w:szCs w:val="20"/>
          <w:lang w:val="fr-CA"/>
        </w:rPr>
        <w:tab/>
      </w:r>
      <w:r w:rsidRPr="00BF287F">
        <w:rPr>
          <w:sz w:val="20"/>
          <w:szCs w:val="20"/>
          <w:lang w:val="fr-CA"/>
        </w:rPr>
        <w:tab/>
        <w:t>33551</w:t>
      </w:r>
    </w:p>
    <w:p w:rsidR="00BF287F" w:rsidRPr="00BF287F" w:rsidRDefault="00BF287F" w:rsidP="00BF287F">
      <w:pPr>
        <w:widowControl w:val="0"/>
        <w:jc w:val="both"/>
        <w:rPr>
          <w:sz w:val="20"/>
          <w:szCs w:val="20"/>
          <w:lang w:val="fr-CA"/>
        </w:rPr>
      </w:pPr>
    </w:p>
    <w:p w:rsidR="00BF287F" w:rsidRPr="00BF287F" w:rsidRDefault="00BF287F" w:rsidP="00BF287F">
      <w:pPr>
        <w:rPr>
          <w:sz w:val="20"/>
          <w:szCs w:val="20"/>
          <w:lang w:val="fr-CA"/>
        </w:rPr>
      </w:pPr>
      <w:r w:rsidRPr="00BF287F">
        <w:rPr>
          <w:sz w:val="20"/>
          <w:szCs w:val="20"/>
          <w:lang w:val="fr-CA"/>
        </w:rPr>
        <w:t>Arrêt de la Cour d’appel :</w:t>
      </w:r>
      <w:r w:rsidRPr="00BF287F">
        <w:rPr>
          <w:sz w:val="20"/>
          <w:szCs w:val="20"/>
          <w:lang w:val="fr-CA"/>
        </w:rPr>
        <w:tab/>
      </w:r>
      <w:r w:rsidRPr="00BF287F">
        <w:rPr>
          <w:sz w:val="20"/>
          <w:szCs w:val="20"/>
          <w:lang w:val="fr-CA"/>
        </w:rPr>
        <w:tab/>
        <w:t xml:space="preserve">le 4 décembre </w:t>
      </w:r>
      <w:r w:rsidR="00532939" w:rsidRPr="00BF287F">
        <w:rPr>
          <w:sz w:val="20"/>
          <w:szCs w:val="20"/>
          <w:lang w:val="fr-CA"/>
        </w:rPr>
        <w:fldChar w:fldCharType="begin"/>
      </w:r>
      <w:r w:rsidRPr="00BF287F">
        <w:rPr>
          <w:sz w:val="20"/>
          <w:szCs w:val="20"/>
          <w:lang w:val="fr-CA"/>
        </w:rPr>
        <w:instrText xml:space="preserve"> SEQ CHAPTER \h \r 1</w:instrText>
      </w:r>
      <w:r w:rsidR="00532939" w:rsidRPr="00BF287F">
        <w:rPr>
          <w:sz w:val="20"/>
          <w:szCs w:val="20"/>
          <w:lang w:val="fr-CA"/>
        </w:rPr>
        <w:fldChar w:fldCharType="end"/>
      </w:r>
      <w:r w:rsidRPr="00BF287F">
        <w:rPr>
          <w:sz w:val="20"/>
          <w:szCs w:val="20"/>
          <w:lang w:val="fr-CA"/>
        </w:rPr>
        <w:t>2009</w:t>
      </w:r>
    </w:p>
    <w:p w:rsidR="00BF287F" w:rsidRPr="00BF287F" w:rsidRDefault="00BF287F" w:rsidP="00BF287F">
      <w:pPr>
        <w:widowControl w:val="0"/>
        <w:jc w:val="both"/>
        <w:rPr>
          <w:sz w:val="20"/>
          <w:szCs w:val="20"/>
          <w:lang w:val="fr-CA"/>
        </w:rPr>
      </w:pPr>
    </w:p>
    <w:p w:rsidR="00BF287F" w:rsidRPr="00BF287F" w:rsidRDefault="00BF287F" w:rsidP="00BF287F">
      <w:pPr>
        <w:widowControl w:val="0"/>
        <w:jc w:val="both"/>
        <w:rPr>
          <w:sz w:val="20"/>
          <w:szCs w:val="20"/>
          <w:lang w:val="fr-CA"/>
        </w:rPr>
      </w:pPr>
      <w:r w:rsidRPr="00BF287F">
        <w:rPr>
          <w:sz w:val="20"/>
          <w:szCs w:val="20"/>
          <w:lang w:val="fr-CA"/>
        </w:rPr>
        <w:t>Avocats :</w:t>
      </w:r>
      <w:r w:rsidRPr="00BF287F">
        <w:rPr>
          <w:sz w:val="20"/>
          <w:szCs w:val="20"/>
          <w:lang w:val="fr-CA"/>
        </w:rPr>
        <w:tab/>
      </w:r>
      <w:r w:rsidRPr="00BF287F">
        <w:rPr>
          <w:sz w:val="20"/>
          <w:szCs w:val="20"/>
          <w:lang w:val="fr-CA"/>
        </w:rPr>
        <w:tab/>
      </w:r>
      <w:r w:rsidRPr="00BF287F">
        <w:rPr>
          <w:sz w:val="20"/>
          <w:szCs w:val="20"/>
          <w:lang w:val="fr-CA"/>
        </w:rPr>
        <w:tab/>
        <w:t>G. Alan Meikle, c.r. et Ward K. Branch pour l’appelante</w:t>
      </w:r>
    </w:p>
    <w:p w:rsidR="00175C25" w:rsidRDefault="00BF287F" w:rsidP="00BF287F">
      <w:pPr>
        <w:tabs>
          <w:tab w:val="left" w:pos="-1440"/>
          <w:tab w:val="left" w:pos="-720"/>
        </w:tabs>
        <w:jc w:val="both"/>
        <w:rPr>
          <w:sz w:val="20"/>
          <w:szCs w:val="20"/>
          <w:lang w:val="fr-CA"/>
        </w:rPr>
      </w:pPr>
      <w:r w:rsidRPr="00BF287F">
        <w:rPr>
          <w:sz w:val="20"/>
          <w:szCs w:val="20"/>
          <w:lang w:val="fr-CA"/>
        </w:rPr>
        <w:tab/>
      </w:r>
      <w:r w:rsidRPr="00BF287F">
        <w:rPr>
          <w:sz w:val="20"/>
          <w:szCs w:val="20"/>
          <w:lang w:val="fr-CA"/>
        </w:rPr>
        <w:tab/>
      </w:r>
      <w:r w:rsidRPr="00BF287F">
        <w:rPr>
          <w:sz w:val="20"/>
          <w:szCs w:val="20"/>
          <w:lang w:val="fr-CA"/>
        </w:rPr>
        <w:tab/>
      </w:r>
      <w:r w:rsidRPr="00BF287F">
        <w:rPr>
          <w:sz w:val="20"/>
          <w:szCs w:val="20"/>
          <w:lang w:val="fr-CA"/>
        </w:rPr>
        <w:tab/>
        <w:t>Allan A. Garber et Nathan J. Whitling pour les intimés</w:t>
      </w:r>
    </w:p>
    <w:p w:rsidR="00BF287F" w:rsidRPr="00BF287F" w:rsidRDefault="00BF287F" w:rsidP="00BF287F">
      <w:pPr>
        <w:tabs>
          <w:tab w:val="left" w:pos="-1440"/>
          <w:tab w:val="left" w:pos="-720"/>
        </w:tabs>
        <w:jc w:val="both"/>
        <w:rPr>
          <w:sz w:val="20"/>
          <w:szCs w:val="20"/>
          <w:lang w:val="fr-CA"/>
        </w:rPr>
      </w:pPr>
    </w:p>
    <w:p w:rsidR="00175C25" w:rsidRDefault="00532939" w:rsidP="000B3C9A">
      <w:pPr>
        <w:tabs>
          <w:tab w:val="left" w:pos="-1440"/>
          <w:tab w:val="left" w:pos="-720"/>
        </w:tabs>
        <w:jc w:val="both"/>
        <w:rPr>
          <w:sz w:val="20"/>
          <w:szCs w:val="20"/>
          <w:lang w:val="fr-CA"/>
        </w:rPr>
      </w:pPr>
      <w:r w:rsidRPr="00532939">
        <w:rPr>
          <w:sz w:val="20"/>
          <w:szCs w:val="20"/>
          <w:lang w:val="fr-CA"/>
        </w:rPr>
        <w:pict>
          <v:rect id="_x0000_i1055" style="width:2in;height:1pt" o:hrpct="0" o:hralign="center" o:hrstd="t" o:hrnoshade="t" o:hr="t" fillcolor="black [3213]" stroked="f"/>
        </w:pict>
      </w:r>
    </w:p>
    <w:p w:rsidR="00175C25" w:rsidRDefault="00175C25">
      <w:pPr>
        <w:rPr>
          <w:sz w:val="20"/>
          <w:szCs w:val="20"/>
          <w:lang w:val="fr-CA"/>
        </w:rPr>
      </w:pPr>
      <w:r>
        <w:rPr>
          <w:sz w:val="20"/>
          <w:szCs w:val="20"/>
          <w:lang w:val="fr-CA"/>
        </w:rPr>
        <w:br w:type="page"/>
      </w:r>
    </w:p>
    <w:p w:rsidR="00293E37" w:rsidRPr="00293E37" w:rsidRDefault="00532939" w:rsidP="00293E37">
      <w:pPr>
        <w:widowControl w:val="0"/>
        <w:ind w:left="720" w:hanging="720"/>
        <w:jc w:val="both"/>
        <w:rPr>
          <w:b/>
          <w:sz w:val="20"/>
          <w:szCs w:val="20"/>
        </w:rPr>
      </w:pPr>
      <w:r w:rsidRPr="00293E37">
        <w:rPr>
          <w:b/>
          <w:sz w:val="20"/>
          <w:szCs w:val="20"/>
        </w:rPr>
        <w:lastRenderedPageBreak/>
        <w:fldChar w:fldCharType="begin"/>
      </w:r>
      <w:r w:rsidR="00293E37" w:rsidRPr="00293E37">
        <w:rPr>
          <w:b/>
          <w:sz w:val="20"/>
          <w:szCs w:val="20"/>
        </w:rPr>
        <w:instrText xml:space="preserve"> SEQ CHAPTER \h \r 1</w:instrText>
      </w:r>
      <w:r w:rsidRPr="00293E37">
        <w:rPr>
          <w:b/>
          <w:sz w:val="20"/>
          <w:szCs w:val="20"/>
        </w:rPr>
        <w:fldChar w:fldCharType="end"/>
      </w:r>
      <w:r w:rsidR="00293E37" w:rsidRPr="00293E37">
        <w:rPr>
          <w:b/>
          <w:sz w:val="20"/>
          <w:szCs w:val="20"/>
        </w:rPr>
        <w:t>33543</w:t>
      </w:r>
      <w:r w:rsidR="00293E37" w:rsidRPr="00293E37">
        <w:rPr>
          <w:sz w:val="20"/>
          <w:szCs w:val="20"/>
        </w:rPr>
        <w:tab/>
      </w:r>
      <w:r w:rsidR="00293E37" w:rsidRPr="00293E37">
        <w:rPr>
          <w:b/>
          <w:i/>
          <w:sz w:val="20"/>
          <w:szCs w:val="20"/>
        </w:rPr>
        <w:t>Bernard Gerardus Maria Berendsen, et al. v. Her Majesty the Queen in Right of Ontario</w:t>
      </w:r>
    </w:p>
    <w:p w:rsidR="00293E37" w:rsidRPr="00293E37" w:rsidRDefault="00293E37" w:rsidP="00293E37">
      <w:pPr>
        <w:widowControl w:val="0"/>
        <w:jc w:val="both"/>
        <w:rPr>
          <w:sz w:val="20"/>
          <w:szCs w:val="20"/>
        </w:rPr>
      </w:pPr>
    </w:p>
    <w:p w:rsidR="00293E37" w:rsidRPr="00293E37" w:rsidRDefault="00293E37" w:rsidP="00293E37">
      <w:pPr>
        <w:jc w:val="both"/>
        <w:rPr>
          <w:sz w:val="20"/>
          <w:szCs w:val="20"/>
        </w:rPr>
      </w:pPr>
      <w:r w:rsidRPr="00293E37">
        <w:rPr>
          <w:sz w:val="20"/>
          <w:szCs w:val="20"/>
        </w:rPr>
        <w:t>Torts - Historical environmental damage - Responsibilities of public authority - Foreseeability of harm - Adequacy of investigation - Adequacy of remediation - What is the proper test for determining foreseeability of harm in the context of the standard of care owed in negligence cases involving historic environmental contamination? - Under what circumstances should a public authority be held liable in negligence for site</w:t>
      </w:r>
      <w:r w:rsidRPr="00293E37">
        <w:rPr>
          <w:sz w:val="20"/>
          <w:szCs w:val="20"/>
        </w:rPr>
        <w:noBreakHyphen/>
        <w:t>specific investigations and/or remediation activities carried out by agents and servants of the public authority? - Is it appropriate for an appellate court to overturn a trial judge’s findings of fact, or mixed fact and law, in the absence of palpable and overriding errors by the trial judge?</w:t>
      </w:r>
    </w:p>
    <w:p w:rsidR="00293E37" w:rsidRPr="00293E37" w:rsidRDefault="00293E37" w:rsidP="00293E37">
      <w:pPr>
        <w:widowControl w:val="0"/>
        <w:jc w:val="both"/>
        <w:rPr>
          <w:sz w:val="20"/>
          <w:szCs w:val="20"/>
        </w:rPr>
      </w:pPr>
    </w:p>
    <w:p w:rsidR="00293E37" w:rsidRPr="00293E37" w:rsidRDefault="00293E37" w:rsidP="00293E37">
      <w:pPr>
        <w:jc w:val="both"/>
        <w:rPr>
          <w:sz w:val="20"/>
          <w:szCs w:val="20"/>
        </w:rPr>
      </w:pPr>
      <w:r w:rsidRPr="00293E37">
        <w:rPr>
          <w:sz w:val="20"/>
          <w:szCs w:val="20"/>
        </w:rPr>
        <w:t>In the mid</w:t>
      </w:r>
      <w:r w:rsidRPr="00293E37">
        <w:rPr>
          <w:sz w:val="20"/>
          <w:szCs w:val="20"/>
        </w:rPr>
        <w:noBreakHyphen/>
        <w:t>1960s, the Ontario Ministry of Transportation buried asphalt and concrete waste from a highway reconstruction project in an unlined pit on a nearby dairy farm with the owner’s consent.  The appellants, experienced dairy farmers, purchased the farm in 1981.  Shortly thereafter, their cows began to suffer serious health problems, to have a high cull rate, and to produce an unusually low quantity of milk.  The immediate cause of the problems was the cows’ unwillingness to drink enough water, but the appellants claimed that the waste was the root cause.  They alleged that chemicals in the waste had migrated to their well, contaminating the water and making it unpalatable for the cows.  Testing showed that the chemicals in the water from the well did not exceed the Ontario Drinking Water Objectives, which set the levels allowed for human consumption.  A new well 400 feet from the burial site was also rejected by the herd.  When the appellants complained to the Ontario government, it arranged for an alternate water source.  The herd’s water intake, milk production increased, and overall health improved.  Meanwhile, the Ministry of the Environment did some water quality testing of the water in the wells, the barn troughs and the ditch, from which it concluded that the water met the Ontario Drinking Water Objectives and that it was not responsible for the problems.  It stopped providing alternate water.  The appellants sued Ontario in negligence for depositing the waste and then failing to remove the contamination.  The trial judge allowed the action and awarded damages of $1,732,400 plus pre</w:t>
      </w:r>
      <w:r w:rsidRPr="00293E37">
        <w:rPr>
          <w:sz w:val="20"/>
          <w:szCs w:val="20"/>
        </w:rPr>
        <w:noBreakHyphen/>
        <w:t>judgment interest and costs.  The Court of Appeal allowed the appeal, set aside the trial judgment and dismissed the action.</w:t>
      </w:r>
    </w:p>
    <w:p w:rsidR="00293E37" w:rsidRPr="00293E37" w:rsidRDefault="00293E37" w:rsidP="00293E37">
      <w:pPr>
        <w:widowControl w:val="0"/>
        <w:jc w:val="both"/>
        <w:rPr>
          <w:sz w:val="20"/>
          <w:szCs w:val="20"/>
        </w:rPr>
      </w:pPr>
    </w:p>
    <w:p w:rsidR="00293E37" w:rsidRPr="00293E37" w:rsidRDefault="00293E37" w:rsidP="00293E37">
      <w:pPr>
        <w:widowControl w:val="0"/>
        <w:jc w:val="both"/>
        <w:rPr>
          <w:sz w:val="20"/>
          <w:szCs w:val="20"/>
        </w:rPr>
      </w:pPr>
    </w:p>
    <w:p w:rsidR="00293E37" w:rsidRPr="00293E37" w:rsidRDefault="00293E37" w:rsidP="00293E37">
      <w:pPr>
        <w:widowControl w:val="0"/>
        <w:jc w:val="both"/>
        <w:rPr>
          <w:sz w:val="20"/>
          <w:szCs w:val="20"/>
        </w:rPr>
      </w:pPr>
      <w:r w:rsidRPr="00293E37">
        <w:rPr>
          <w:sz w:val="20"/>
          <w:szCs w:val="20"/>
        </w:rPr>
        <w:t>Origin of the case:</w:t>
      </w:r>
      <w:r w:rsidRPr="00293E37">
        <w:rPr>
          <w:sz w:val="20"/>
          <w:szCs w:val="20"/>
        </w:rPr>
        <w:tab/>
      </w:r>
      <w:r w:rsidRPr="00293E37">
        <w:rPr>
          <w:sz w:val="20"/>
          <w:szCs w:val="20"/>
        </w:rPr>
        <w:tab/>
        <w:t>Ontario</w:t>
      </w:r>
    </w:p>
    <w:p w:rsidR="00293E37" w:rsidRPr="00293E37" w:rsidRDefault="00293E37" w:rsidP="00293E37">
      <w:pPr>
        <w:widowControl w:val="0"/>
        <w:jc w:val="both"/>
        <w:rPr>
          <w:sz w:val="20"/>
          <w:szCs w:val="20"/>
        </w:rPr>
      </w:pPr>
    </w:p>
    <w:p w:rsidR="00293E37" w:rsidRPr="00293E37" w:rsidRDefault="00293E37" w:rsidP="00293E37">
      <w:pPr>
        <w:widowControl w:val="0"/>
        <w:jc w:val="both"/>
        <w:rPr>
          <w:sz w:val="20"/>
          <w:szCs w:val="20"/>
        </w:rPr>
      </w:pPr>
      <w:r w:rsidRPr="00293E37">
        <w:rPr>
          <w:sz w:val="20"/>
          <w:szCs w:val="20"/>
        </w:rPr>
        <w:t>File No.:</w:t>
      </w:r>
      <w:r w:rsidRPr="00293E37">
        <w:rPr>
          <w:sz w:val="20"/>
          <w:szCs w:val="20"/>
        </w:rPr>
        <w:tab/>
      </w:r>
      <w:r w:rsidRPr="00293E37">
        <w:rPr>
          <w:sz w:val="20"/>
          <w:szCs w:val="20"/>
        </w:rPr>
        <w:tab/>
      </w:r>
      <w:r w:rsidRPr="00293E37">
        <w:rPr>
          <w:sz w:val="20"/>
          <w:szCs w:val="20"/>
        </w:rPr>
        <w:tab/>
      </w:r>
      <w:r w:rsidRPr="00293E37">
        <w:rPr>
          <w:sz w:val="20"/>
          <w:szCs w:val="20"/>
        </w:rPr>
        <w:tab/>
        <w:t>33543</w:t>
      </w:r>
    </w:p>
    <w:p w:rsidR="00293E37" w:rsidRPr="00293E37" w:rsidRDefault="00293E37" w:rsidP="00293E37">
      <w:pPr>
        <w:widowControl w:val="0"/>
        <w:jc w:val="both"/>
        <w:rPr>
          <w:sz w:val="20"/>
          <w:szCs w:val="20"/>
        </w:rPr>
      </w:pPr>
    </w:p>
    <w:p w:rsidR="00293E37" w:rsidRPr="00293E37" w:rsidRDefault="00293E37" w:rsidP="00293E37">
      <w:pPr>
        <w:widowControl w:val="0"/>
        <w:jc w:val="both"/>
        <w:rPr>
          <w:sz w:val="20"/>
          <w:szCs w:val="20"/>
        </w:rPr>
      </w:pPr>
      <w:r w:rsidRPr="00293E37">
        <w:rPr>
          <w:sz w:val="20"/>
          <w:szCs w:val="20"/>
        </w:rPr>
        <w:t>Judgment of the Court of Appeal:</w:t>
      </w:r>
      <w:r w:rsidRPr="00293E37">
        <w:rPr>
          <w:sz w:val="20"/>
          <w:szCs w:val="20"/>
        </w:rPr>
        <w:tab/>
        <w:t>December 1, 2009</w:t>
      </w:r>
    </w:p>
    <w:p w:rsidR="00293E37" w:rsidRPr="00293E37" w:rsidRDefault="00293E37" w:rsidP="00293E37">
      <w:pPr>
        <w:widowControl w:val="0"/>
        <w:jc w:val="both"/>
        <w:rPr>
          <w:sz w:val="20"/>
          <w:szCs w:val="20"/>
        </w:rPr>
      </w:pPr>
    </w:p>
    <w:p w:rsidR="00293E37" w:rsidRPr="00293E37" w:rsidRDefault="00293E37" w:rsidP="00293E37">
      <w:pPr>
        <w:widowControl w:val="0"/>
        <w:jc w:val="both"/>
        <w:rPr>
          <w:sz w:val="20"/>
          <w:szCs w:val="20"/>
        </w:rPr>
      </w:pPr>
      <w:r w:rsidRPr="00293E37">
        <w:rPr>
          <w:sz w:val="20"/>
          <w:szCs w:val="20"/>
        </w:rPr>
        <w:t>Counsel:</w:t>
      </w:r>
      <w:r w:rsidRPr="00293E37">
        <w:rPr>
          <w:sz w:val="20"/>
          <w:szCs w:val="20"/>
        </w:rPr>
        <w:tab/>
      </w:r>
      <w:r w:rsidRPr="00293E37">
        <w:rPr>
          <w:sz w:val="20"/>
          <w:szCs w:val="20"/>
        </w:rPr>
        <w:tab/>
      </w:r>
      <w:r w:rsidRPr="00293E37">
        <w:rPr>
          <w:sz w:val="20"/>
          <w:szCs w:val="20"/>
        </w:rPr>
        <w:tab/>
      </w:r>
      <w:r w:rsidRPr="00293E37">
        <w:rPr>
          <w:sz w:val="20"/>
          <w:szCs w:val="20"/>
        </w:rPr>
        <w:tab/>
        <w:t>Richard D. Lindgren and Donald Good for the appellants</w:t>
      </w:r>
    </w:p>
    <w:p w:rsidR="00293E37" w:rsidRPr="00293E37" w:rsidRDefault="00293E37" w:rsidP="00293E37">
      <w:pPr>
        <w:widowControl w:val="0"/>
        <w:jc w:val="both"/>
        <w:rPr>
          <w:sz w:val="20"/>
          <w:szCs w:val="20"/>
        </w:rPr>
      </w:pPr>
      <w:r>
        <w:rPr>
          <w:sz w:val="20"/>
          <w:szCs w:val="20"/>
        </w:rPr>
        <w:tab/>
      </w:r>
      <w:r>
        <w:rPr>
          <w:sz w:val="20"/>
          <w:szCs w:val="20"/>
        </w:rPr>
        <w:tab/>
      </w:r>
      <w:r>
        <w:rPr>
          <w:sz w:val="20"/>
          <w:szCs w:val="20"/>
        </w:rPr>
        <w:tab/>
      </w:r>
      <w:r>
        <w:rPr>
          <w:sz w:val="20"/>
          <w:szCs w:val="20"/>
        </w:rPr>
        <w:tab/>
      </w:r>
      <w:r w:rsidRPr="00293E37">
        <w:rPr>
          <w:sz w:val="20"/>
          <w:szCs w:val="20"/>
        </w:rPr>
        <w:t>William J. Manuel, Lise G. Favreau and Kristin Smith for the respondent</w:t>
      </w:r>
    </w:p>
    <w:p w:rsidR="00175C25" w:rsidRPr="00293E37" w:rsidRDefault="00175C25" w:rsidP="000B3C9A">
      <w:pPr>
        <w:tabs>
          <w:tab w:val="left" w:pos="-1440"/>
          <w:tab w:val="left" w:pos="-720"/>
        </w:tabs>
        <w:jc w:val="both"/>
        <w:rPr>
          <w:sz w:val="20"/>
          <w:szCs w:val="20"/>
        </w:rPr>
      </w:pPr>
    </w:p>
    <w:p w:rsidR="00175C25" w:rsidRDefault="00532939" w:rsidP="000B3C9A">
      <w:pPr>
        <w:tabs>
          <w:tab w:val="left" w:pos="-1440"/>
          <w:tab w:val="left" w:pos="-720"/>
        </w:tabs>
        <w:jc w:val="both"/>
        <w:rPr>
          <w:sz w:val="20"/>
          <w:szCs w:val="20"/>
          <w:lang w:val="fr-CA"/>
        </w:rPr>
      </w:pPr>
      <w:r w:rsidRPr="00532939">
        <w:rPr>
          <w:sz w:val="20"/>
          <w:szCs w:val="20"/>
          <w:lang w:val="fr-CA"/>
        </w:rPr>
        <w:pict>
          <v:rect id="_x0000_i1056" style="width:2in;height:1pt" o:hrpct="0" o:hralign="center" o:hrstd="t" o:hrnoshade="t" o:hr="t" fillcolor="black [3213]" stroked="f"/>
        </w:pict>
      </w:r>
    </w:p>
    <w:p w:rsidR="00175C25" w:rsidRDefault="00175C25" w:rsidP="000B3C9A">
      <w:pPr>
        <w:tabs>
          <w:tab w:val="left" w:pos="-1440"/>
          <w:tab w:val="left" w:pos="-720"/>
        </w:tabs>
        <w:jc w:val="both"/>
        <w:rPr>
          <w:sz w:val="20"/>
          <w:szCs w:val="20"/>
          <w:lang w:val="fr-CA"/>
        </w:rPr>
      </w:pPr>
    </w:p>
    <w:p w:rsidR="00175C25" w:rsidRDefault="00175C25">
      <w:pPr>
        <w:rPr>
          <w:sz w:val="20"/>
          <w:szCs w:val="20"/>
          <w:lang w:val="fr-CA"/>
        </w:rPr>
      </w:pPr>
      <w:r>
        <w:rPr>
          <w:sz w:val="20"/>
          <w:szCs w:val="20"/>
          <w:lang w:val="fr-CA"/>
        </w:rPr>
        <w:br w:type="page"/>
      </w:r>
    </w:p>
    <w:p w:rsidR="00293E37" w:rsidRPr="00293E37" w:rsidRDefault="00532939" w:rsidP="00293E37">
      <w:pPr>
        <w:widowControl w:val="0"/>
        <w:ind w:left="720" w:hanging="720"/>
        <w:jc w:val="both"/>
        <w:rPr>
          <w:b/>
          <w:sz w:val="20"/>
          <w:szCs w:val="20"/>
          <w:lang w:val="fr-CA"/>
        </w:rPr>
      </w:pPr>
      <w:r w:rsidRPr="00293E37">
        <w:rPr>
          <w:b/>
          <w:sz w:val="20"/>
          <w:szCs w:val="20"/>
          <w:lang w:val="fr-CA"/>
        </w:rPr>
        <w:lastRenderedPageBreak/>
        <w:fldChar w:fldCharType="begin"/>
      </w:r>
      <w:r w:rsidR="00293E37" w:rsidRPr="00293E37">
        <w:rPr>
          <w:b/>
          <w:sz w:val="20"/>
          <w:szCs w:val="20"/>
          <w:lang w:val="fr-CA"/>
        </w:rPr>
        <w:instrText xml:space="preserve"> SEQ CHAPTER \h \r 1</w:instrText>
      </w:r>
      <w:r w:rsidRPr="00293E37">
        <w:rPr>
          <w:b/>
          <w:sz w:val="20"/>
          <w:szCs w:val="20"/>
          <w:lang w:val="fr-CA"/>
        </w:rPr>
        <w:fldChar w:fldCharType="end"/>
      </w:r>
      <w:r w:rsidR="00293E37" w:rsidRPr="00293E37">
        <w:rPr>
          <w:b/>
          <w:sz w:val="20"/>
          <w:szCs w:val="20"/>
          <w:lang w:val="fr-CA"/>
        </w:rPr>
        <w:t>33543</w:t>
      </w:r>
      <w:r w:rsidR="00293E37" w:rsidRPr="00293E37">
        <w:rPr>
          <w:sz w:val="20"/>
          <w:szCs w:val="20"/>
          <w:lang w:val="fr-CA"/>
        </w:rPr>
        <w:tab/>
      </w:r>
      <w:r w:rsidR="00293E37" w:rsidRPr="00293E37">
        <w:rPr>
          <w:b/>
          <w:i/>
          <w:sz w:val="20"/>
          <w:szCs w:val="20"/>
          <w:lang w:val="fr-CA"/>
        </w:rPr>
        <w:t>Bernard Gerardus Maria Berendsen, et autres c. Sa Majesté la Reine du chef de l’Ontario</w:t>
      </w:r>
    </w:p>
    <w:p w:rsidR="00293E37" w:rsidRPr="00293E37" w:rsidRDefault="00293E37" w:rsidP="00293E37">
      <w:pPr>
        <w:widowControl w:val="0"/>
        <w:jc w:val="both"/>
        <w:rPr>
          <w:sz w:val="20"/>
          <w:szCs w:val="20"/>
          <w:lang w:val="fr-CA"/>
        </w:rPr>
      </w:pPr>
    </w:p>
    <w:p w:rsidR="00293E37" w:rsidRPr="00293E37" w:rsidRDefault="00532939" w:rsidP="00293E37">
      <w:pPr>
        <w:jc w:val="both"/>
        <w:rPr>
          <w:sz w:val="20"/>
          <w:szCs w:val="20"/>
          <w:lang w:val="fr-CA"/>
        </w:rPr>
      </w:pPr>
      <w:r w:rsidRPr="00293E37">
        <w:rPr>
          <w:sz w:val="20"/>
          <w:szCs w:val="20"/>
          <w:lang w:val="fr-CA"/>
        </w:rPr>
        <w:fldChar w:fldCharType="begin"/>
      </w:r>
      <w:r w:rsidR="00293E37" w:rsidRPr="00293E37">
        <w:rPr>
          <w:sz w:val="20"/>
          <w:szCs w:val="20"/>
          <w:lang w:val="fr-CA"/>
        </w:rPr>
        <w:instrText xml:space="preserve"> SEQ CHAPTER \h \r 1</w:instrText>
      </w:r>
      <w:r w:rsidRPr="00293E37">
        <w:rPr>
          <w:sz w:val="20"/>
          <w:szCs w:val="20"/>
          <w:lang w:val="fr-CA"/>
        </w:rPr>
        <w:fldChar w:fldCharType="end"/>
      </w:r>
      <w:r w:rsidR="00293E37" w:rsidRPr="00293E37">
        <w:rPr>
          <w:sz w:val="20"/>
          <w:szCs w:val="20"/>
          <w:lang w:val="fr-CA"/>
        </w:rPr>
        <w:t>Responsabilité délictuelle - Dommage environnemental de longue date - Responsabilités de l’autorité publique - Prévisibilité du préjudice - Caractère adéquat de l’enquête - Caractère adéquat des mesures de réparation - Quel critère faut</w:t>
      </w:r>
      <w:r w:rsidR="00293E37" w:rsidRPr="00293E37">
        <w:rPr>
          <w:sz w:val="20"/>
          <w:szCs w:val="20"/>
          <w:lang w:val="fr-CA"/>
        </w:rPr>
        <w:noBreakHyphen/>
        <w:t>il appliquer pour déterminer la prévisibilité du préjudice, compte tenu de la norme de diligence pertinente, dans les actions en négligence portant sur une contamination environnementale de longue date? - Dans quelles circonstances l’autorité publique devrait</w:t>
      </w:r>
      <w:r w:rsidR="00293E37" w:rsidRPr="00293E37">
        <w:rPr>
          <w:sz w:val="20"/>
          <w:szCs w:val="20"/>
          <w:lang w:val="fr-CA"/>
        </w:rPr>
        <w:noBreakHyphen/>
        <w:t>elle être tenue responsable d’avoir fait preuve de négligence lors des enquêtes menées sur place ou des mesures de réparation prises par ses mandataires et ses employés? - Convient</w:t>
      </w:r>
      <w:r w:rsidR="00293E37" w:rsidRPr="00293E37">
        <w:rPr>
          <w:sz w:val="20"/>
          <w:szCs w:val="20"/>
          <w:lang w:val="fr-CA"/>
        </w:rPr>
        <w:noBreakHyphen/>
        <w:t>il qu’une cour d’appel infirme les conclusions de fait du juge du procès, ou ses conclusions mixtes de fait et de droit, lorsque le juge du procès n’a pas commis d’erreur manifeste et dominante?</w:t>
      </w:r>
    </w:p>
    <w:p w:rsidR="00293E37" w:rsidRPr="00293E37" w:rsidRDefault="00293E37" w:rsidP="00293E37">
      <w:pPr>
        <w:widowControl w:val="0"/>
        <w:jc w:val="both"/>
        <w:rPr>
          <w:sz w:val="20"/>
          <w:szCs w:val="20"/>
          <w:lang w:val="fr-CA"/>
        </w:rPr>
      </w:pPr>
    </w:p>
    <w:p w:rsidR="00293E37" w:rsidRPr="00293E37" w:rsidRDefault="00532939" w:rsidP="00293E37">
      <w:pPr>
        <w:jc w:val="both"/>
        <w:rPr>
          <w:sz w:val="20"/>
          <w:szCs w:val="20"/>
          <w:lang w:val="fr-CA"/>
        </w:rPr>
      </w:pPr>
      <w:r w:rsidRPr="00293E37">
        <w:rPr>
          <w:sz w:val="20"/>
          <w:szCs w:val="20"/>
          <w:lang w:val="fr-CA"/>
        </w:rPr>
        <w:fldChar w:fldCharType="begin"/>
      </w:r>
      <w:r w:rsidR="00293E37" w:rsidRPr="00293E37">
        <w:rPr>
          <w:sz w:val="20"/>
          <w:szCs w:val="20"/>
          <w:lang w:val="fr-CA"/>
        </w:rPr>
        <w:instrText xml:space="preserve"> SEQ CHAPTER \h \r 1</w:instrText>
      </w:r>
      <w:r w:rsidRPr="00293E37">
        <w:rPr>
          <w:sz w:val="20"/>
          <w:szCs w:val="20"/>
          <w:lang w:val="fr-CA"/>
        </w:rPr>
        <w:fldChar w:fldCharType="end"/>
      </w:r>
      <w:r w:rsidR="00293E37" w:rsidRPr="00293E37">
        <w:rPr>
          <w:sz w:val="20"/>
          <w:szCs w:val="20"/>
          <w:lang w:val="fr-CA"/>
        </w:rPr>
        <w:t>Au milieu des années 60, le ministère des Transports de l’Ontario a enterré les résidus d’asphalte et de béton d’un projet de réfection routière dans une fosse sans revêtement creusée sur le terrain d’une ferme laitière située près du chantier avec le consentement du propriétaire.  Les appelants, des producteurs laitiers d’expérience, ont acheté la ferme en 1981.  Peu après, des problèmes de santé graves sont apparus dans le troupeau, un grand nombre de bêtes ont dû être abattues et la production laitière a considérablement chuté.  La quantité insuffisante d’eau ingérée par les vaches constituait la cause immédiate des problèmes, mais, selon les appelants, la cause profonde avait trait aux résidus.  Ils prétendaient que les produits chimiques contenus dans les résidus avaient contaminé l’eau de leur puits et en avaient altéré le goût pour les vaches.  Les résultats d’analyses ont révélé que les produits chimiques présents dans l’eau du puits n’excédaient pas la limite permise par les Ontario Drinking Water Objectives, qui déterminent la proportion propre à la consommation humaine.  Le troupeau a également dédaigné l’eau provenant d’un nouveau puits creusé à 400 pieds de la fosse.  Lorsque les appelants ont porté plainte auprès du gouvernement de l’Ontario, ce dernier a pris des mesures pour leur assurer une autre source d’eau.  La consommation d’eau par le troupeau a augmenté, de même que sa production laitière, et sa santé générale s’est améliorée.  Pendant ce temps, le ministère de l’Environnement a fait analyser l’eau des puits, des abreuvoirs dans l’étable et du fossé et est arrivé à la conclusion que l’eau respectait les Ontario Drinking Water Objectives et n’était donc pas la cause des problèmes.  Il a cessé de fournir une autre source d'eau.  Les appelants ont intenté une action en négligence contre la province pour l’enfouissement des résidus et le défaut d’enlever la contamination ainsi causée.  Le juge du procès a accueilli l’action et a accordé des dommages</w:t>
      </w:r>
      <w:r w:rsidR="00293E37" w:rsidRPr="00293E37">
        <w:rPr>
          <w:sz w:val="20"/>
          <w:szCs w:val="20"/>
          <w:lang w:val="fr-CA"/>
        </w:rPr>
        <w:noBreakHyphen/>
        <w:t>intérêts de 1 732 400 $, plus les intérêts avant jugement et les dépens.  La cour d’appel a accueilli l’appel, annulé le jugement de première instance et rejeté l’action.</w:t>
      </w:r>
    </w:p>
    <w:p w:rsidR="00293E37" w:rsidRPr="00293E37" w:rsidRDefault="00293E37" w:rsidP="00293E37">
      <w:pPr>
        <w:widowControl w:val="0"/>
        <w:jc w:val="both"/>
        <w:rPr>
          <w:sz w:val="20"/>
          <w:szCs w:val="20"/>
          <w:lang w:val="fr-CA"/>
        </w:rPr>
      </w:pPr>
    </w:p>
    <w:p w:rsidR="00293E37" w:rsidRPr="00293E37" w:rsidRDefault="00293E37" w:rsidP="00293E37">
      <w:pPr>
        <w:widowControl w:val="0"/>
        <w:jc w:val="both"/>
        <w:rPr>
          <w:sz w:val="20"/>
          <w:szCs w:val="20"/>
          <w:lang w:val="fr-CA"/>
        </w:rPr>
      </w:pPr>
    </w:p>
    <w:p w:rsidR="00293E37" w:rsidRPr="00293E37" w:rsidRDefault="00293E37" w:rsidP="00293E37">
      <w:pPr>
        <w:widowControl w:val="0"/>
        <w:jc w:val="both"/>
        <w:rPr>
          <w:sz w:val="20"/>
          <w:szCs w:val="20"/>
          <w:lang w:val="fr-CA"/>
        </w:rPr>
      </w:pPr>
      <w:r w:rsidRPr="00293E37">
        <w:rPr>
          <w:sz w:val="20"/>
          <w:szCs w:val="20"/>
          <w:lang w:val="fr-CA"/>
        </w:rPr>
        <w:t>Origine :</w:t>
      </w:r>
      <w:r w:rsidRPr="00293E37">
        <w:rPr>
          <w:sz w:val="20"/>
          <w:szCs w:val="20"/>
          <w:lang w:val="fr-CA"/>
        </w:rPr>
        <w:tab/>
      </w:r>
      <w:r w:rsidRPr="00293E37">
        <w:rPr>
          <w:sz w:val="20"/>
          <w:szCs w:val="20"/>
          <w:lang w:val="fr-CA"/>
        </w:rPr>
        <w:tab/>
      </w:r>
      <w:r w:rsidRPr="00293E37">
        <w:rPr>
          <w:sz w:val="20"/>
          <w:szCs w:val="20"/>
          <w:lang w:val="fr-CA"/>
        </w:rPr>
        <w:tab/>
      </w:r>
      <w:r w:rsidRPr="00293E37">
        <w:rPr>
          <w:sz w:val="20"/>
          <w:szCs w:val="20"/>
          <w:lang w:val="fr-CA"/>
        </w:rPr>
        <w:tab/>
        <w:t>Ontario</w:t>
      </w:r>
    </w:p>
    <w:p w:rsidR="00293E37" w:rsidRPr="00293E37" w:rsidRDefault="00293E37" w:rsidP="00293E37">
      <w:pPr>
        <w:widowControl w:val="0"/>
        <w:jc w:val="both"/>
        <w:rPr>
          <w:sz w:val="20"/>
          <w:szCs w:val="20"/>
          <w:lang w:val="fr-CA"/>
        </w:rPr>
      </w:pPr>
    </w:p>
    <w:p w:rsidR="00293E37" w:rsidRPr="00293E37" w:rsidRDefault="00293E37" w:rsidP="00293E37">
      <w:pPr>
        <w:widowControl w:val="0"/>
        <w:jc w:val="both"/>
        <w:rPr>
          <w:sz w:val="20"/>
          <w:szCs w:val="20"/>
          <w:lang w:val="fr-CA"/>
        </w:rPr>
      </w:pPr>
      <w:r w:rsidRPr="00293E37">
        <w:rPr>
          <w:sz w:val="20"/>
          <w:szCs w:val="20"/>
          <w:lang w:val="fr-CA"/>
        </w:rPr>
        <w:t>N</w:t>
      </w:r>
      <w:r w:rsidRPr="00293E37">
        <w:rPr>
          <w:sz w:val="20"/>
          <w:szCs w:val="20"/>
          <w:vertAlign w:val="superscript"/>
          <w:lang w:val="fr-CA"/>
        </w:rPr>
        <w:t>o</w:t>
      </w:r>
      <w:r w:rsidRPr="00293E37">
        <w:rPr>
          <w:sz w:val="20"/>
          <w:szCs w:val="20"/>
          <w:lang w:val="fr-CA"/>
        </w:rPr>
        <w:t xml:space="preserve"> du greffe :</w:t>
      </w:r>
      <w:r w:rsidRPr="00293E37">
        <w:rPr>
          <w:sz w:val="20"/>
          <w:szCs w:val="20"/>
          <w:lang w:val="fr-CA"/>
        </w:rPr>
        <w:tab/>
      </w:r>
      <w:r w:rsidRPr="00293E37">
        <w:rPr>
          <w:sz w:val="20"/>
          <w:szCs w:val="20"/>
          <w:lang w:val="fr-CA"/>
        </w:rPr>
        <w:tab/>
      </w:r>
      <w:r w:rsidRPr="00293E37">
        <w:rPr>
          <w:sz w:val="20"/>
          <w:szCs w:val="20"/>
          <w:lang w:val="fr-CA"/>
        </w:rPr>
        <w:tab/>
        <w:t>33543</w:t>
      </w:r>
    </w:p>
    <w:p w:rsidR="00293E37" w:rsidRPr="00293E37" w:rsidRDefault="00293E37" w:rsidP="00293E37">
      <w:pPr>
        <w:widowControl w:val="0"/>
        <w:jc w:val="both"/>
        <w:rPr>
          <w:sz w:val="20"/>
          <w:szCs w:val="20"/>
          <w:lang w:val="fr-CA"/>
        </w:rPr>
      </w:pPr>
    </w:p>
    <w:p w:rsidR="00293E37" w:rsidRPr="00293E37" w:rsidRDefault="00293E37" w:rsidP="00293E37">
      <w:pPr>
        <w:widowControl w:val="0"/>
        <w:jc w:val="both"/>
        <w:rPr>
          <w:sz w:val="20"/>
          <w:szCs w:val="20"/>
          <w:lang w:val="fr-CA"/>
        </w:rPr>
      </w:pPr>
      <w:r w:rsidRPr="00293E37">
        <w:rPr>
          <w:sz w:val="20"/>
          <w:szCs w:val="20"/>
          <w:lang w:val="fr-CA"/>
        </w:rPr>
        <w:t>Arrêt de la Cour d’appel :</w:t>
      </w:r>
      <w:r w:rsidRPr="00293E37">
        <w:rPr>
          <w:sz w:val="20"/>
          <w:szCs w:val="20"/>
          <w:lang w:val="fr-CA"/>
        </w:rPr>
        <w:tab/>
      </w:r>
      <w:r w:rsidRPr="00293E37">
        <w:rPr>
          <w:sz w:val="20"/>
          <w:szCs w:val="20"/>
          <w:lang w:val="fr-CA"/>
        </w:rPr>
        <w:tab/>
        <w:t>le 1</w:t>
      </w:r>
      <w:r w:rsidRPr="00293E37">
        <w:rPr>
          <w:sz w:val="20"/>
          <w:szCs w:val="20"/>
          <w:vertAlign w:val="superscript"/>
          <w:lang w:val="fr-CA"/>
        </w:rPr>
        <w:t>er</w:t>
      </w:r>
      <w:r w:rsidRPr="00293E37">
        <w:rPr>
          <w:sz w:val="20"/>
          <w:szCs w:val="20"/>
          <w:lang w:val="fr-CA"/>
        </w:rPr>
        <w:t> décembre 2009</w:t>
      </w:r>
    </w:p>
    <w:p w:rsidR="00175C25" w:rsidRPr="00BC060D" w:rsidRDefault="00175C25" w:rsidP="000B3C9A">
      <w:pPr>
        <w:tabs>
          <w:tab w:val="left" w:pos="-1440"/>
          <w:tab w:val="left" w:pos="-720"/>
        </w:tabs>
        <w:jc w:val="both"/>
        <w:rPr>
          <w:sz w:val="20"/>
          <w:szCs w:val="20"/>
          <w:lang w:val="fr-CA"/>
        </w:rPr>
      </w:pPr>
    </w:p>
    <w:p w:rsidR="00BC060D" w:rsidRPr="00BC060D" w:rsidRDefault="00BC060D" w:rsidP="00BC060D">
      <w:pPr>
        <w:widowControl w:val="0"/>
        <w:jc w:val="both"/>
        <w:rPr>
          <w:sz w:val="20"/>
          <w:szCs w:val="20"/>
          <w:lang w:val="fr-CA"/>
        </w:rPr>
      </w:pPr>
      <w:r w:rsidRPr="00BC060D">
        <w:rPr>
          <w:sz w:val="20"/>
          <w:szCs w:val="20"/>
          <w:lang w:val="fr-CA"/>
        </w:rPr>
        <w:t>Avocats :</w:t>
      </w:r>
      <w:r w:rsidRPr="00BC060D">
        <w:rPr>
          <w:sz w:val="20"/>
          <w:szCs w:val="20"/>
          <w:lang w:val="fr-CA"/>
        </w:rPr>
        <w:tab/>
      </w:r>
      <w:r w:rsidRPr="00BC060D">
        <w:rPr>
          <w:sz w:val="20"/>
          <w:szCs w:val="20"/>
          <w:lang w:val="fr-CA"/>
        </w:rPr>
        <w:tab/>
      </w:r>
      <w:r w:rsidRPr="00BC060D">
        <w:rPr>
          <w:sz w:val="20"/>
          <w:szCs w:val="20"/>
          <w:lang w:val="fr-CA"/>
        </w:rPr>
        <w:tab/>
        <w:t xml:space="preserve">Richard D. Lindgren et Donald Good pour les appelants </w:t>
      </w:r>
    </w:p>
    <w:p w:rsidR="00BC060D" w:rsidRPr="00BC060D" w:rsidRDefault="00BC060D" w:rsidP="00BC060D">
      <w:pPr>
        <w:widowControl w:val="0"/>
        <w:jc w:val="both"/>
        <w:rPr>
          <w:sz w:val="20"/>
          <w:szCs w:val="20"/>
          <w:lang w:val="fr-CA"/>
        </w:rPr>
      </w:pPr>
      <w:r>
        <w:rPr>
          <w:sz w:val="20"/>
          <w:szCs w:val="20"/>
          <w:lang w:val="fr-CA"/>
        </w:rPr>
        <w:tab/>
      </w:r>
      <w:r>
        <w:rPr>
          <w:sz w:val="20"/>
          <w:szCs w:val="20"/>
          <w:lang w:val="fr-CA"/>
        </w:rPr>
        <w:tab/>
      </w:r>
      <w:r>
        <w:rPr>
          <w:sz w:val="20"/>
          <w:szCs w:val="20"/>
          <w:lang w:val="fr-CA"/>
        </w:rPr>
        <w:tab/>
      </w:r>
      <w:r>
        <w:rPr>
          <w:sz w:val="20"/>
          <w:szCs w:val="20"/>
          <w:lang w:val="fr-CA"/>
        </w:rPr>
        <w:tab/>
      </w:r>
      <w:r w:rsidRPr="00BC060D">
        <w:rPr>
          <w:sz w:val="20"/>
          <w:szCs w:val="20"/>
          <w:lang w:val="fr-CA"/>
        </w:rPr>
        <w:t>William J. Manuel, Lise G. Favreau et Kristin Smith pour l’intimée</w:t>
      </w:r>
    </w:p>
    <w:p w:rsidR="00BC060D" w:rsidRDefault="00BC060D" w:rsidP="000B3C9A">
      <w:pPr>
        <w:tabs>
          <w:tab w:val="left" w:pos="-1440"/>
          <w:tab w:val="left" w:pos="-720"/>
        </w:tabs>
        <w:jc w:val="both"/>
        <w:rPr>
          <w:sz w:val="20"/>
          <w:szCs w:val="20"/>
          <w:lang w:val="fr-CA"/>
        </w:rPr>
      </w:pPr>
    </w:p>
    <w:p w:rsidR="00BC060D" w:rsidRDefault="00BC060D" w:rsidP="000B3C9A">
      <w:pPr>
        <w:tabs>
          <w:tab w:val="left" w:pos="-1440"/>
          <w:tab w:val="left" w:pos="-720"/>
        </w:tabs>
        <w:jc w:val="both"/>
        <w:rPr>
          <w:sz w:val="20"/>
          <w:szCs w:val="20"/>
          <w:lang w:val="fr-CA"/>
        </w:rPr>
      </w:pPr>
    </w:p>
    <w:p w:rsidR="00175C25" w:rsidRDefault="00532939" w:rsidP="000B3C9A">
      <w:pPr>
        <w:tabs>
          <w:tab w:val="left" w:pos="-1440"/>
          <w:tab w:val="left" w:pos="-720"/>
        </w:tabs>
        <w:jc w:val="both"/>
        <w:rPr>
          <w:sz w:val="20"/>
          <w:szCs w:val="20"/>
          <w:lang w:val="fr-CA"/>
        </w:rPr>
      </w:pPr>
      <w:r w:rsidRPr="00532939">
        <w:rPr>
          <w:sz w:val="20"/>
          <w:szCs w:val="20"/>
          <w:lang w:val="fr-CA"/>
        </w:rPr>
        <w:pict>
          <v:rect id="_x0000_i1057" style="width:2in;height:1pt" o:hrpct="0" o:hralign="center" o:hrstd="t" o:hrnoshade="t" o:hr="t" fillcolor="black [3213]" stroked="f"/>
        </w:pict>
      </w:r>
    </w:p>
    <w:p w:rsidR="00175C25" w:rsidRDefault="00175C25" w:rsidP="000B3C9A">
      <w:pPr>
        <w:tabs>
          <w:tab w:val="left" w:pos="-1440"/>
          <w:tab w:val="left" w:pos="-720"/>
        </w:tabs>
        <w:jc w:val="both"/>
        <w:rPr>
          <w:sz w:val="20"/>
          <w:szCs w:val="20"/>
          <w:lang w:val="fr-CA"/>
        </w:rPr>
      </w:pPr>
    </w:p>
    <w:p w:rsidR="00175C25" w:rsidRPr="00DD0B49" w:rsidRDefault="00175C25"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40"/>
          <w:footerReference w:type="default" r:id="rId41"/>
          <w:headerReference w:type="first" r:id="rId42"/>
          <w:footerReference w:type="first" r:id="rId43"/>
          <w:pgSz w:w="12240" w:h="15840"/>
          <w:pgMar w:top="720" w:right="965" w:bottom="1080" w:left="1656" w:header="720" w:footer="965" w:gutter="0"/>
          <w:cols w:space="720"/>
          <w:titlePg/>
          <w:docGrid w:linePitch="326"/>
        </w:sectPr>
      </w:pPr>
    </w:p>
    <w:p w:rsidR="00924065" w:rsidRPr="00DE5525" w:rsidRDefault="00532939" w:rsidP="00924065">
      <w:pPr>
        <w:jc w:val="center"/>
        <w:rPr>
          <w:b/>
          <w:szCs w:val="24"/>
        </w:rPr>
      </w:pPr>
      <w:r w:rsidRPr="00DE5525">
        <w:rPr>
          <w:b/>
          <w:szCs w:val="24"/>
        </w:rPr>
        <w:lastRenderedPageBreak/>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18  sitting weeks/semaines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3  holidays during sitting days/ jours fériés durant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44"/>
      <w:footerReference w:type="default" r:id="rId45"/>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6BB" w:rsidRDefault="005436BB" w:rsidP="00A87207">
      <w:r>
        <w:separator/>
      </w:r>
    </w:p>
  </w:endnote>
  <w:endnote w:type="continuationSeparator" w:id="0">
    <w:p w:rsidR="005436BB" w:rsidRDefault="005436BB"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8FC" w:rsidRDefault="006008FC">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BB" w:rsidRDefault="00532939">
    <w:pPr>
      <w:pStyle w:val="Footer"/>
      <w:rPr>
        <w:lang w:val="fr-CA"/>
      </w:rPr>
    </w:pPr>
    <w:r w:rsidRPr="00532939">
      <w:rPr>
        <w:lang w:val="fr-CA"/>
      </w:rPr>
      <w:pict>
        <v:rect id="_x0000_i1036" style="width:480.95pt;height:1pt" o:hralign="center" o:hrstd="t" o:hrnoshade="t" o:hr="t" fillcolor="black [3213]" stroked="f"/>
      </w:pict>
    </w:r>
  </w:p>
  <w:p w:rsidR="005436BB" w:rsidRDefault="005436BB" w:rsidP="00EB2B90">
    <w:pPr>
      <w:tabs>
        <w:tab w:val="center" w:pos="4680"/>
      </w:tabs>
    </w:pPr>
    <w:r>
      <w:tab/>
      <w:t xml:space="preserve">- </w:t>
    </w:r>
    <w:fldSimple w:instr=" PAGE   \* MERGEFORMAT ">
      <w:r w:rsidR="00EF5628">
        <w:rPr>
          <w:noProof/>
        </w:rPr>
        <w:t>3</w:t>
      </w:r>
    </w:fldSimple>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BB" w:rsidRDefault="005436B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436BB" w:rsidRDefault="005436B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436BB" w:rsidRDefault="005436BB">
    <w:pPr>
      <w:widowControl w:val="0"/>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BB" w:rsidRDefault="005329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32939">
      <w:rPr>
        <w:lang w:val="fr-CA"/>
      </w:rPr>
      <w:pict>
        <v:rect id="_x0000_i1039" style="width:480.95pt;height:1pt" o:hralign="center" o:hrstd="t" o:hrnoshade="t" o:hr="t" fillcolor="black [3213]" stroked="f"/>
      </w:pict>
    </w:r>
  </w:p>
  <w:p w:rsidR="005436BB" w:rsidRDefault="005436BB" w:rsidP="00697C62">
    <w:pPr>
      <w:tabs>
        <w:tab w:val="center" w:pos="4680"/>
      </w:tabs>
    </w:pPr>
    <w:r>
      <w:tab/>
      <w:t xml:space="preserve">- </w:t>
    </w:r>
    <w:r w:rsidR="00532939" w:rsidRPr="00B74FED">
      <w:rPr>
        <w:szCs w:val="24"/>
      </w:rPr>
      <w:fldChar w:fldCharType="begin"/>
    </w:r>
    <w:r w:rsidRPr="00B74FED">
      <w:rPr>
        <w:szCs w:val="24"/>
      </w:rPr>
      <w:instrText xml:space="preserve"> PAGE   \* MERGEFORMAT </w:instrText>
    </w:r>
    <w:r w:rsidR="00532939" w:rsidRPr="00B74FED">
      <w:rPr>
        <w:szCs w:val="24"/>
      </w:rPr>
      <w:fldChar w:fldCharType="separate"/>
    </w:r>
    <w:r>
      <w:rPr>
        <w:noProof/>
        <w:szCs w:val="24"/>
      </w:rPr>
      <w:t>25</w:t>
    </w:r>
    <w:r w:rsidR="00532939" w:rsidRPr="00B74FED">
      <w:rPr>
        <w:szCs w:val="24"/>
      </w:rPr>
      <w:fldChar w:fldCharType="end"/>
    </w:r>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BB" w:rsidRDefault="00532939" w:rsidP="00802863">
    <w:pPr>
      <w:widowControl w:val="0"/>
      <w:tabs>
        <w:tab w:val="left" w:pos="-1440"/>
        <w:tab w:val="left" w:pos="-720"/>
      </w:tabs>
    </w:pPr>
    <w:r w:rsidRPr="00532939">
      <w:rPr>
        <w:lang w:val="fr-CA"/>
      </w:rPr>
      <w:pict>
        <v:rect id="_x0000_i1040" style="width:480.95pt;height:1pt" o:hralign="center" o:hrstd="t" o:hrnoshade="t" o:hr="t" fillcolor="black [3213]" stroked="f"/>
      </w:pict>
    </w:r>
  </w:p>
  <w:p w:rsidR="005436BB" w:rsidRPr="00180897" w:rsidRDefault="005436BB" w:rsidP="00697C62">
    <w:pPr>
      <w:tabs>
        <w:tab w:val="center" w:pos="4680"/>
      </w:tabs>
    </w:pPr>
    <w:r>
      <w:tab/>
      <w:t xml:space="preserve">- </w:t>
    </w:r>
    <w:r w:rsidR="00532939" w:rsidRPr="00B74FED">
      <w:rPr>
        <w:szCs w:val="24"/>
      </w:rPr>
      <w:fldChar w:fldCharType="begin"/>
    </w:r>
    <w:r w:rsidRPr="00B74FED">
      <w:rPr>
        <w:szCs w:val="24"/>
      </w:rPr>
      <w:instrText xml:space="preserve"> PAGE   \* MERGEFORMAT </w:instrText>
    </w:r>
    <w:r w:rsidR="00532939" w:rsidRPr="00B74FED">
      <w:rPr>
        <w:szCs w:val="24"/>
      </w:rPr>
      <w:fldChar w:fldCharType="separate"/>
    </w:r>
    <w:r w:rsidR="00EF5628">
      <w:rPr>
        <w:noProof/>
        <w:szCs w:val="24"/>
      </w:rPr>
      <w:t>4</w:t>
    </w:r>
    <w:r w:rsidR="00532939" w:rsidRPr="00B74FED">
      <w:rPr>
        <w:szCs w:val="24"/>
      </w:rPr>
      <w:fldChar w:fldCharType="end"/>
    </w:r>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BB" w:rsidRDefault="005436B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5436BB" w:rsidRDefault="005436B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5436BB" w:rsidRDefault="005436BB">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BB" w:rsidRDefault="00532939" w:rsidP="0022323B">
    <w:r>
      <w:pict>
        <v:rect id="_x0000_i1042" style="width:480.95pt;height:1pt" o:hralign="center" o:hrstd="t" o:hrnoshade="t" o:hr="t" fillcolor="black [3213]" stroked="f"/>
      </w:pict>
    </w:r>
  </w:p>
  <w:p w:rsidR="005436BB" w:rsidRDefault="005436BB">
    <w:pPr>
      <w:tabs>
        <w:tab w:val="center" w:pos="4740"/>
      </w:tabs>
      <w:spacing w:line="0" w:lineRule="atLeast"/>
    </w:pPr>
    <w:r>
      <w:tab/>
      <w:t xml:space="preserve">- </w:t>
    </w:r>
    <w:fldSimple w:instr=" PAGE   \* MERGEFORMAT ">
      <w:r>
        <w:rPr>
          <w:noProof/>
        </w:rPr>
        <w:t>535</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BB" w:rsidRDefault="00532939" w:rsidP="0022323B">
    <w:r>
      <w:pict>
        <v:rect id="_x0000_i1043" style="width:480.95pt;height:1pt" o:hralign="center" o:hrstd="t" o:hrnoshade="t" o:hr="t" fillcolor="black [3213]" stroked="f"/>
      </w:pict>
    </w:r>
  </w:p>
  <w:p w:rsidR="005436BB" w:rsidRDefault="005436BB" w:rsidP="0022323B">
    <w:pPr>
      <w:tabs>
        <w:tab w:val="center" w:pos="4740"/>
      </w:tabs>
      <w:spacing w:line="0" w:lineRule="atLeast"/>
    </w:pPr>
    <w:r>
      <w:tab/>
      <w:t xml:space="preserve">- </w:t>
    </w:r>
    <w:fldSimple w:instr=" PAGE   \* MERGEFORMAT ">
      <w:r w:rsidR="00EF5628">
        <w:rPr>
          <w:noProof/>
        </w:rPr>
        <w:t>5</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BB" w:rsidRDefault="00532939" w:rsidP="0022323B">
    <w:r>
      <w:pict>
        <v:rect id="_x0000_i1058" style="width:480.95pt;height:1pt" o:hralign="center" o:hrstd="t" o:hrnoshade="t" o:hr="t" fillcolor="black [3213]" stroked="f"/>
      </w:pict>
    </w:r>
  </w:p>
  <w:p w:rsidR="005436BB" w:rsidRDefault="005436BB">
    <w:pPr>
      <w:tabs>
        <w:tab w:val="center" w:pos="4740"/>
      </w:tabs>
      <w:spacing w:line="0" w:lineRule="atLeast"/>
    </w:pPr>
    <w:r>
      <w:tab/>
      <w:t xml:space="preserve">- </w:t>
    </w:r>
    <w:fldSimple w:instr=" PAGE   \* MERGEFORMAT ">
      <w:r w:rsidR="00EF5628">
        <w:rPr>
          <w:noProof/>
        </w:rPr>
        <w:t>19</w:t>
      </w:r>
    </w:fldSimple>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BB" w:rsidRDefault="00532939" w:rsidP="0022323B">
    <w:r>
      <w:pict>
        <v:rect id="_x0000_i1059" style="width:480.95pt;height:1pt" o:hralign="center" o:hrstd="t" o:hrnoshade="t" o:hr="t" fillcolor="black [3213]" stroked="f"/>
      </w:pict>
    </w:r>
  </w:p>
  <w:p w:rsidR="005436BB" w:rsidRDefault="005436BB" w:rsidP="0022323B">
    <w:pPr>
      <w:tabs>
        <w:tab w:val="center" w:pos="4740"/>
      </w:tabs>
      <w:spacing w:line="0" w:lineRule="atLeast"/>
    </w:pPr>
    <w:r>
      <w:tab/>
      <w:t xml:space="preserve">- </w:t>
    </w:r>
    <w:fldSimple w:instr=" PAGE   \* MERGEFORMAT ">
      <w:r w:rsidR="00EF5628">
        <w:rPr>
          <w:noProof/>
        </w:rPr>
        <w:t>6</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BB" w:rsidRPr="00924065" w:rsidRDefault="005436BB" w:rsidP="0092406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8FC" w:rsidRDefault="006008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8FC" w:rsidRDefault="006008F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BB" w:rsidRDefault="00532939" w:rsidP="00A87207">
    <w:pPr>
      <w:pStyle w:val="Footer"/>
    </w:pPr>
    <w:r>
      <w:pict>
        <v:rect id="_x0000_i1029" style="width:480.95pt;height:1pt" o:hralign="center" o:hrstd="t" o:hrnoshade="t" o:hr="t" fillcolor="black [3213]" stroked="f"/>
      </w:pict>
    </w:r>
  </w:p>
  <w:p w:rsidR="005436BB" w:rsidRPr="00B7374B" w:rsidRDefault="005436BB" w:rsidP="00B7374B">
    <w:pPr>
      <w:tabs>
        <w:tab w:val="center" w:pos="4680"/>
      </w:tabs>
      <w:rPr>
        <w:szCs w:val="24"/>
      </w:rPr>
    </w:pPr>
    <w:r w:rsidRPr="00954D22">
      <w:rPr>
        <w:szCs w:val="24"/>
      </w:rPr>
      <w:tab/>
      <w:t xml:space="preserve">- </w:t>
    </w:r>
    <w:r w:rsidR="00532939" w:rsidRPr="00954D22">
      <w:rPr>
        <w:szCs w:val="24"/>
      </w:rPr>
      <w:fldChar w:fldCharType="begin"/>
    </w:r>
    <w:r w:rsidRPr="00954D22">
      <w:rPr>
        <w:szCs w:val="24"/>
      </w:rPr>
      <w:instrText xml:space="preserve"> PAGE   \* MERGEFORMAT </w:instrText>
    </w:r>
    <w:r w:rsidR="00532939" w:rsidRPr="00954D22">
      <w:rPr>
        <w:szCs w:val="24"/>
      </w:rPr>
      <w:fldChar w:fldCharType="separate"/>
    </w:r>
    <w:r>
      <w:rPr>
        <w:noProof/>
        <w:szCs w:val="24"/>
      </w:rPr>
      <w:t>2</w:t>
    </w:r>
    <w:r w:rsidR="00532939"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BB" w:rsidRDefault="00532939" w:rsidP="00755F22">
    <w:pPr>
      <w:tabs>
        <w:tab w:val="left" w:pos="-1440"/>
        <w:tab w:val="left" w:pos="-720"/>
      </w:tabs>
    </w:pPr>
    <w:r>
      <w:pict>
        <v:rect id="_x0000_i1030" style="width:480.95pt;height:1pt" o:hralign="center" o:hrstd="t" o:hrnoshade="t" o:hr="t" fillcolor="black [3213]" stroked="f"/>
      </w:pict>
    </w:r>
  </w:p>
  <w:p w:rsidR="005436BB" w:rsidRPr="00954D22" w:rsidRDefault="005436BB" w:rsidP="00B7374B">
    <w:pPr>
      <w:tabs>
        <w:tab w:val="center" w:pos="4680"/>
      </w:tabs>
      <w:rPr>
        <w:szCs w:val="24"/>
      </w:rPr>
    </w:pPr>
    <w:r w:rsidRPr="00954D22">
      <w:rPr>
        <w:szCs w:val="24"/>
      </w:rPr>
      <w:tab/>
      <w:t xml:space="preserve">- </w:t>
    </w:r>
    <w:r w:rsidR="00532939">
      <w:rPr>
        <w:szCs w:val="24"/>
      </w:rPr>
      <w:fldChar w:fldCharType="begin"/>
    </w:r>
    <w:r>
      <w:rPr>
        <w:szCs w:val="24"/>
      </w:rPr>
      <w:instrText xml:space="preserve"> PAGE   \* MERGEFORMAT </w:instrText>
    </w:r>
    <w:r w:rsidR="00532939">
      <w:rPr>
        <w:szCs w:val="24"/>
      </w:rPr>
      <w:fldChar w:fldCharType="separate"/>
    </w:r>
    <w:r w:rsidR="00EF5628">
      <w:rPr>
        <w:noProof/>
        <w:szCs w:val="24"/>
      </w:rPr>
      <w:t>1</w:t>
    </w:r>
    <w:r w:rsidR="00532939">
      <w:rPr>
        <w:szCs w:val="24"/>
      </w:rPr>
      <w:fldChar w:fldCharType="end"/>
    </w:r>
    <w:r w:rsidRPr="00954D22">
      <w:rPr>
        <w:szCs w:val="24"/>
      </w:rPr>
      <w:t xml:space="preserve"> -</w:t>
    </w:r>
  </w:p>
  <w:p w:rsidR="005436BB" w:rsidRDefault="005436B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BB" w:rsidRDefault="00532939" w:rsidP="00A87207">
    <w:pPr>
      <w:pStyle w:val="Footer"/>
    </w:pPr>
    <w:r>
      <w:pict>
        <v:rect id="_x0000_i1032" style="width:480.95pt;height:1pt" o:hralign="center" o:hrstd="t" o:hrnoshade="t" o:hr="t" fillcolor="black [3213]" stroked="f"/>
      </w:pict>
    </w:r>
  </w:p>
  <w:p w:rsidR="005436BB" w:rsidRPr="00B7374B" w:rsidRDefault="005436BB" w:rsidP="00B7374B">
    <w:pPr>
      <w:tabs>
        <w:tab w:val="center" w:pos="4680"/>
      </w:tabs>
      <w:rPr>
        <w:szCs w:val="24"/>
      </w:rPr>
    </w:pPr>
    <w:r w:rsidRPr="00954D22">
      <w:rPr>
        <w:szCs w:val="24"/>
      </w:rPr>
      <w:tab/>
      <w:t xml:space="preserve">- </w:t>
    </w:r>
    <w:r w:rsidR="00532939" w:rsidRPr="00954D22">
      <w:rPr>
        <w:szCs w:val="24"/>
      </w:rPr>
      <w:fldChar w:fldCharType="begin"/>
    </w:r>
    <w:r w:rsidRPr="00954D22">
      <w:rPr>
        <w:szCs w:val="24"/>
      </w:rPr>
      <w:instrText xml:space="preserve"> PAGE   \* MERGEFORMAT </w:instrText>
    </w:r>
    <w:r w:rsidR="00532939" w:rsidRPr="00954D22">
      <w:rPr>
        <w:szCs w:val="24"/>
      </w:rPr>
      <w:fldChar w:fldCharType="separate"/>
    </w:r>
    <w:r>
      <w:rPr>
        <w:noProof/>
        <w:szCs w:val="24"/>
      </w:rPr>
      <w:t>3</w:t>
    </w:r>
    <w:r w:rsidR="00532939"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BB" w:rsidRDefault="00532939"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3" style="width:480.95pt;height:1pt" o:hralign="center" o:hrstd="t" o:hrnoshade="t" o:hr="t" fillcolor="black [3213]" stroked="f"/>
      </w:pict>
    </w:r>
  </w:p>
  <w:p w:rsidR="005436BB" w:rsidRPr="00954D22" w:rsidRDefault="005436BB" w:rsidP="00B7374B">
    <w:pPr>
      <w:tabs>
        <w:tab w:val="center" w:pos="4680"/>
      </w:tabs>
      <w:rPr>
        <w:szCs w:val="24"/>
      </w:rPr>
    </w:pPr>
    <w:r w:rsidRPr="00954D22">
      <w:rPr>
        <w:szCs w:val="24"/>
      </w:rPr>
      <w:tab/>
      <w:t xml:space="preserve">- </w:t>
    </w:r>
    <w:r w:rsidR="00532939" w:rsidRPr="00954D22">
      <w:rPr>
        <w:szCs w:val="24"/>
      </w:rPr>
      <w:fldChar w:fldCharType="begin"/>
    </w:r>
    <w:r w:rsidRPr="00954D22">
      <w:rPr>
        <w:szCs w:val="24"/>
      </w:rPr>
      <w:instrText xml:space="preserve"> PAGE   \* MERGEFORMAT </w:instrText>
    </w:r>
    <w:r w:rsidR="00532939" w:rsidRPr="00954D22">
      <w:rPr>
        <w:szCs w:val="24"/>
      </w:rPr>
      <w:fldChar w:fldCharType="separate"/>
    </w:r>
    <w:r w:rsidR="00EF5628">
      <w:rPr>
        <w:noProof/>
        <w:szCs w:val="24"/>
      </w:rPr>
      <w:t>2</w:t>
    </w:r>
    <w:r w:rsidR="00532939"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BB" w:rsidRDefault="005436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436BB" w:rsidRDefault="005436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436BB" w:rsidRDefault="005436BB">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BB" w:rsidRDefault="005329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32939">
      <w:rPr>
        <w:lang w:val="fr-CA"/>
      </w:rPr>
      <w:pict>
        <v:rect id="_x0000_i1035" style="width:480.95pt;height:1pt" o:hralign="center" o:hrstd="t" o:hrnoshade="t" o:hr="t" fillcolor="black [3213]" stroked="f"/>
      </w:pict>
    </w:r>
  </w:p>
  <w:p w:rsidR="005436BB" w:rsidRDefault="005436BB" w:rsidP="00EB2B90">
    <w:pPr>
      <w:tabs>
        <w:tab w:val="center" w:pos="4680"/>
      </w:tabs>
    </w:pPr>
    <w:r>
      <w:tab/>
      <w:t xml:space="preserve">- </w:t>
    </w:r>
    <w:fldSimple w:instr=" PAGE   \* MERGEFORMAT ">
      <w:r>
        <w:rPr>
          <w:noProof/>
        </w:rPr>
        <w:t>519</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6BB" w:rsidRDefault="005436BB" w:rsidP="00A87207">
      <w:r>
        <w:separator/>
      </w:r>
    </w:p>
  </w:footnote>
  <w:footnote w:type="continuationSeparator" w:id="0">
    <w:p w:rsidR="005436BB" w:rsidRDefault="005436BB"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8FC" w:rsidRDefault="006008FC">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BB" w:rsidRDefault="005436BB">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436BB" w:rsidRPr="005436BB">
      <w:tc>
        <w:tcPr>
          <w:tcW w:w="4200" w:type="dxa"/>
          <w:tcMar>
            <w:left w:w="0" w:type="dxa"/>
            <w:right w:w="0" w:type="dxa"/>
          </w:tcMar>
        </w:tcPr>
        <w:p w:rsidR="005436BB" w:rsidRDefault="005436BB">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5436BB" w:rsidRDefault="005436BB">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5436BB" w:rsidRDefault="005436BB">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436BB" w:rsidRPr="009256DC" w:rsidRDefault="005436BB">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5436BB" w:rsidRPr="009256DC" w:rsidRDefault="005436B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436BB" w:rsidRPr="009256DC" w:rsidRDefault="005436B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436BB" w:rsidRPr="005436BB" w:rsidTr="00245129">
      <w:tc>
        <w:tcPr>
          <w:tcW w:w="4200" w:type="dxa"/>
          <w:tcMar>
            <w:left w:w="0" w:type="dxa"/>
            <w:right w:w="0" w:type="dxa"/>
          </w:tcMar>
        </w:tcPr>
        <w:p w:rsidR="005436BB" w:rsidRPr="00802863" w:rsidRDefault="005436BB"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5436BB" w:rsidRPr="00802863" w:rsidRDefault="005436BB" w:rsidP="00802863">
          <w:pPr>
            <w:keepNext/>
            <w:keepLines/>
            <w:widowControl w:val="0"/>
            <w:tabs>
              <w:tab w:val="left" w:pos="-1440"/>
              <w:tab w:val="left" w:pos="-720"/>
            </w:tabs>
            <w:jc w:val="center"/>
            <w:rPr>
              <w:sz w:val="20"/>
              <w:szCs w:val="20"/>
            </w:rPr>
          </w:pPr>
        </w:p>
        <w:p w:rsidR="005436BB" w:rsidRPr="00802863" w:rsidRDefault="005436BB" w:rsidP="00802863">
          <w:pPr>
            <w:keepNext/>
            <w:keepLines/>
            <w:widowControl w:val="0"/>
            <w:tabs>
              <w:tab w:val="left" w:pos="-1440"/>
              <w:tab w:val="left" w:pos="-720"/>
            </w:tabs>
            <w:jc w:val="center"/>
            <w:rPr>
              <w:sz w:val="20"/>
              <w:szCs w:val="20"/>
            </w:rPr>
          </w:pPr>
        </w:p>
        <w:p w:rsidR="005436BB" w:rsidRPr="00802863" w:rsidRDefault="005436BB"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5436BB" w:rsidRPr="00802863" w:rsidRDefault="005436BB"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5436BB" w:rsidRPr="009256DC" w:rsidRDefault="005436BB"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BB" w:rsidRDefault="005436BB">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436BB">
      <w:tc>
        <w:tcPr>
          <w:tcW w:w="4200" w:type="dxa"/>
          <w:tcMar>
            <w:left w:w="0" w:type="dxa"/>
            <w:right w:w="0" w:type="dxa"/>
          </w:tcMar>
        </w:tcPr>
        <w:p w:rsidR="005436BB" w:rsidRDefault="005436B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5436BB" w:rsidRDefault="005436B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5436BB" w:rsidRDefault="005436B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5436BB" w:rsidRDefault="005436B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5436BB" w:rsidRDefault="005436B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5436BB" w:rsidRDefault="005436B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436BB" w:rsidRPr="00C50A5C" w:rsidTr="00245129">
      <w:tc>
        <w:tcPr>
          <w:tcW w:w="4200" w:type="dxa"/>
          <w:tcMar>
            <w:left w:w="0" w:type="dxa"/>
            <w:right w:w="0" w:type="dxa"/>
          </w:tcMar>
        </w:tcPr>
        <w:p w:rsidR="005436BB" w:rsidRPr="00C50A5C" w:rsidRDefault="005436BB"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5436BB" w:rsidRPr="00C50A5C" w:rsidRDefault="005436BB"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5436BB" w:rsidRPr="00C50A5C" w:rsidRDefault="005436BB"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5436BB" w:rsidRPr="00C50A5C" w:rsidRDefault="005436BB"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5436BB" w:rsidRDefault="005436BB"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BB" w:rsidRDefault="005436BB">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436BB" w:rsidRPr="005F263E" w:rsidTr="00245129">
      <w:tc>
        <w:tcPr>
          <w:tcW w:w="4200" w:type="dxa"/>
          <w:tcMar>
            <w:left w:w="0" w:type="dxa"/>
            <w:right w:w="0" w:type="dxa"/>
          </w:tcMar>
        </w:tcPr>
        <w:p w:rsidR="005436BB" w:rsidRPr="005F263E" w:rsidRDefault="005436BB"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5436BB" w:rsidRPr="005F263E" w:rsidRDefault="005436BB" w:rsidP="00245129">
          <w:pPr>
            <w:keepNext/>
            <w:keepLines/>
            <w:tabs>
              <w:tab w:val="left" w:pos="-1440"/>
              <w:tab w:val="left" w:pos="-720"/>
            </w:tabs>
            <w:jc w:val="center"/>
            <w:rPr>
              <w:sz w:val="20"/>
              <w:szCs w:val="20"/>
            </w:rPr>
          </w:pPr>
        </w:p>
        <w:p w:rsidR="005436BB" w:rsidRPr="005F263E" w:rsidRDefault="005436BB" w:rsidP="00245129">
          <w:pPr>
            <w:keepNext/>
            <w:keepLines/>
            <w:tabs>
              <w:tab w:val="left" w:pos="-1440"/>
              <w:tab w:val="left" w:pos="-720"/>
            </w:tabs>
            <w:jc w:val="center"/>
            <w:rPr>
              <w:sz w:val="20"/>
              <w:szCs w:val="20"/>
            </w:rPr>
          </w:pPr>
        </w:p>
      </w:tc>
      <w:tc>
        <w:tcPr>
          <w:tcW w:w="4080" w:type="dxa"/>
          <w:tcMar>
            <w:left w:w="0" w:type="dxa"/>
            <w:right w:w="0" w:type="dxa"/>
          </w:tcMar>
        </w:tcPr>
        <w:p w:rsidR="005436BB" w:rsidRPr="005F263E" w:rsidRDefault="005436BB" w:rsidP="00245129">
          <w:pPr>
            <w:keepLines/>
            <w:tabs>
              <w:tab w:val="left" w:pos="-1440"/>
              <w:tab w:val="left" w:pos="-720"/>
            </w:tabs>
            <w:rPr>
              <w:sz w:val="20"/>
              <w:szCs w:val="20"/>
            </w:rPr>
          </w:pPr>
          <w:r w:rsidRPr="005F263E">
            <w:rPr>
              <w:sz w:val="20"/>
              <w:szCs w:val="20"/>
            </w:rPr>
            <w:t>RÉSUMÉS DES AFFAIRES</w:t>
          </w:r>
        </w:p>
      </w:tc>
    </w:tr>
  </w:tbl>
  <w:p w:rsidR="005436BB" w:rsidRDefault="005436BB" w:rsidP="005F263E"/>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BB" w:rsidRDefault="005436BB">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BB" w:rsidRDefault="005436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8FC" w:rsidRDefault="006008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8FC" w:rsidRDefault="006008F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5436BB" w:rsidRPr="0044776A" w:rsidTr="00245129">
      <w:tc>
        <w:tcPr>
          <w:tcW w:w="4290" w:type="dxa"/>
          <w:tcMar>
            <w:left w:w="0" w:type="dxa"/>
            <w:right w:w="0" w:type="dxa"/>
          </w:tcMar>
        </w:tcPr>
        <w:p w:rsidR="005436BB" w:rsidRPr="0044776A" w:rsidRDefault="005436BB"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5436BB" w:rsidRPr="0044776A" w:rsidRDefault="005436BB" w:rsidP="002E2327">
          <w:pPr>
            <w:keepNext/>
            <w:keepLines/>
            <w:tabs>
              <w:tab w:val="left" w:pos="-1440"/>
              <w:tab w:val="left" w:pos="-720"/>
            </w:tabs>
            <w:jc w:val="center"/>
            <w:rPr>
              <w:sz w:val="20"/>
              <w:szCs w:val="20"/>
            </w:rPr>
          </w:pPr>
        </w:p>
        <w:p w:rsidR="005436BB" w:rsidRPr="0044776A" w:rsidRDefault="005436BB" w:rsidP="002E2327">
          <w:pPr>
            <w:keepNext/>
            <w:keepLines/>
            <w:tabs>
              <w:tab w:val="left" w:pos="-1440"/>
              <w:tab w:val="left" w:pos="-720"/>
            </w:tabs>
            <w:jc w:val="center"/>
            <w:rPr>
              <w:sz w:val="20"/>
              <w:szCs w:val="20"/>
            </w:rPr>
          </w:pPr>
        </w:p>
        <w:p w:rsidR="005436BB" w:rsidRPr="0044776A" w:rsidRDefault="005436BB" w:rsidP="002E2327">
          <w:pPr>
            <w:keepNext/>
            <w:keepLines/>
            <w:tabs>
              <w:tab w:val="left" w:pos="-1440"/>
              <w:tab w:val="left" w:pos="-720"/>
            </w:tabs>
            <w:jc w:val="center"/>
            <w:rPr>
              <w:sz w:val="20"/>
              <w:szCs w:val="20"/>
            </w:rPr>
          </w:pPr>
        </w:p>
      </w:tc>
      <w:tc>
        <w:tcPr>
          <w:tcW w:w="4320" w:type="dxa"/>
          <w:tcMar>
            <w:left w:w="0" w:type="dxa"/>
            <w:right w:w="0" w:type="dxa"/>
          </w:tcMar>
        </w:tcPr>
        <w:p w:rsidR="005436BB" w:rsidRPr="0044776A" w:rsidRDefault="005436BB" w:rsidP="002E2327">
          <w:pPr>
            <w:keepLines/>
            <w:rPr>
              <w:sz w:val="20"/>
              <w:szCs w:val="20"/>
              <w:lang w:val="fr-CA"/>
            </w:rPr>
          </w:pPr>
          <w:r w:rsidRPr="0044776A">
            <w:rPr>
              <w:sz w:val="20"/>
              <w:szCs w:val="20"/>
              <w:lang w:val="fr-CA"/>
            </w:rPr>
            <w:t>DEMANDES D'AUTORISATION D'APPEL DÉPOSÉES</w:t>
          </w:r>
        </w:p>
      </w:tc>
    </w:tr>
  </w:tbl>
  <w:p w:rsidR="005436BB" w:rsidRDefault="005436B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BB" w:rsidRDefault="005436B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436BB" w:rsidRPr="005436BB" w:rsidTr="00245129">
      <w:tc>
        <w:tcPr>
          <w:tcW w:w="4200" w:type="dxa"/>
          <w:tcMar>
            <w:left w:w="0" w:type="dxa"/>
            <w:right w:w="0" w:type="dxa"/>
          </w:tcMar>
        </w:tcPr>
        <w:p w:rsidR="005436BB" w:rsidRPr="0044776A" w:rsidRDefault="005436BB" w:rsidP="0044776A">
          <w:pPr>
            <w:keepNext/>
            <w:keepLines/>
            <w:widowControl w:val="0"/>
            <w:rPr>
              <w:sz w:val="20"/>
              <w:szCs w:val="20"/>
            </w:rPr>
          </w:pPr>
          <w:r>
            <w:rPr>
              <w:sz w:val="20"/>
              <w:szCs w:val="20"/>
            </w:rPr>
            <w:t>APPLICATIONS FOR LEAVE</w:t>
          </w:r>
        </w:p>
        <w:p w:rsidR="005436BB" w:rsidRPr="0044776A" w:rsidRDefault="005436BB"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5436BB" w:rsidRPr="0044776A" w:rsidRDefault="005436BB" w:rsidP="0044776A">
          <w:pPr>
            <w:keepNext/>
            <w:keepLines/>
            <w:widowControl w:val="0"/>
            <w:jc w:val="center"/>
            <w:rPr>
              <w:sz w:val="20"/>
              <w:szCs w:val="20"/>
            </w:rPr>
          </w:pPr>
        </w:p>
        <w:p w:rsidR="005436BB" w:rsidRPr="0044776A" w:rsidRDefault="005436BB" w:rsidP="0044776A">
          <w:pPr>
            <w:keepNext/>
            <w:keepLines/>
            <w:widowControl w:val="0"/>
            <w:jc w:val="center"/>
            <w:rPr>
              <w:sz w:val="20"/>
              <w:szCs w:val="20"/>
            </w:rPr>
          </w:pPr>
        </w:p>
        <w:p w:rsidR="005436BB" w:rsidRPr="0044776A" w:rsidRDefault="005436BB" w:rsidP="0044776A">
          <w:pPr>
            <w:keepNext/>
            <w:keepLines/>
            <w:widowControl w:val="0"/>
            <w:jc w:val="center"/>
            <w:rPr>
              <w:sz w:val="20"/>
              <w:szCs w:val="20"/>
            </w:rPr>
          </w:pPr>
        </w:p>
      </w:tc>
      <w:tc>
        <w:tcPr>
          <w:tcW w:w="4080" w:type="dxa"/>
          <w:tcMar>
            <w:left w:w="0" w:type="dxa"/>
            <w:right w:w="0" w:type="dxa"/>
          </w:tcMar>
        </w:tcPr>
        <w:p w:rsidR="005436BB" w:rsidRPr="0044776A" w:rsidRDefault="005436BB" w:rsidP="0044776A">
          <w:pPr>
            <w:keepLines/>
            <w:widowControl w:val="0"/>
            <w:rPr>
              <w:sz w:val="20"/>
              <w:szCs w:val="20"/>
              <w:lang w:val="fr-CA"/>
            </w:rPr>
          </w:pPr>
          <w:r w:rsidRPr="0044776A">
            <w:rPr>
              <w:sz w:val="20"/>
              <w:szCs w:val="20"/>
              <w:lang w:val="fr-CA"/>
            </w:rPr>
            <w:t>DEMANDES SOUMISES À LA COUR DEPUIS LA DERNIÈRE PARUTION</w:t>
          </w:r>
        </w:p>
        <w:p w:rsidR="005436BB" w:rsidRPr="0044776A" w:rsidRDefault="005436BB" w:rsidP="0044776A">
          <w:pPr>
            <w:widowControl w:val="0"/>
            <w:rPr>
              <w:sz w:val="20"/>
              <w:szCs w:val="20"/>
              <w:lang w:val="fr-CA"/>
            </w:rPr>
          </w:pPr>
        </w:p>
      </w:tc>
    </w:tr>
  </w:tbl>
  <w:p w:rsidR="005436BB" w:rsidRPr="002E2327" w:rsidRDefault="005436BB">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BB" w:rsidRDefault="005436B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436BB" w:rsidRPr="005436BB">
      <w:tc>
        <w:tcPr>
          <w:tcW w:w="4200" w:type="dxa"/>
          <w:tcMar>
            <w:left w:w="0" w:type="dxa"/>
            <w:right w:w="0" w:type="dxa"/>
          </w:tcMar>
        </w:tcPr>
        <w:p w:rsidR="005436BB" w:rsidRDefault="005436B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5436BB" w:rsidRDefault="005436B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436BB" w:rsidRPr="00B01A03" w:rsidRDefault="005436B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5436BB" w:rsidRPr="00B01A03" w:rsidRDefault="005436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436BB" w:rsidRPr="00B01A03" w:rsidRDefault="005436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5436BB" w:rsidRPr="005436BB" w:rsidTr="00245129">
      <w:tc>
        <w:tcPr>
          <w:tcW w:w="4200" w:type="dxa"/>
          <w:tcMar>
            <w:left w:w="0" w:type="dxa"/>
            <w:right w:w="0" w:type="dxa"/>
          </w:tcMar>
        </w:tcPr>
        <w:p w:rsidR="005436BB" w:rsidRPr="00F40249" w:rsidRDefault="005436BB"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5436BB" w:rsidRDefault="005436BB" w:rsidP="00102926">
          <w:pPr>
            <w:keepNext/>
            <w:keepLines/>
            <w:tabs>
              <w:tab w:val="left" w:pos="-1440"/>
              <w:tab w:val="left" w:pos="-720"/>
            </w:tabs>
            <w:jc w:val="center"/>
            <w:rPr>
              <w:sz w:val="20"/>
              <w:szCs w:val="20"/>
            </w:rPr>
          </w:pPr>
        </w:p>
        <w:p w:rsidR="005436BB" w:rsidRDefault="005436BB" w:rsidP="00102926">
          <w:pPr>
            <w:keepNext/>
            <w:keepLines/>
            <w:tabs>
              <w:tab w:val="left" w:pos="-1440"/>
              <w:tab w:val="left" w:pos="-720"/>
            </w:tabs>
            <w:jc w:val="center"/>
            <w:rPr>
              <w:sz w:val="20"/>
              <w:szCs w:val="20"/>
            </w:rPr>
          </w:pPr>
        </w:p>
        <w:p w:rsidR="005436BB" w:rsidRPr="00F40249" w:rsidRDefault="005436BB" w:rsidP="00102926">
          <w:pPr>
            <w:keepNext/>
            <w:keepLines/>
            <w:tabs>
              <w:tab w:val="left" w:pos="-1440"/>
              <w:tab w:val="left" w:pos="-720"/>
            </w:tabs>
            <w:jc w:val="center"/>
            <w:rPr>
              <w:sz w:val="20"/>
              <w:szCs w:val="20"/>
            </w:rPr>
          </w:pPr>
        </w:p>
      </w:tc>
      <w:tc>
        <w:tcPr>
          <w:tcW w:w="4230" w:type="dxa"/>
          <w:tcMar>
            <w:left w:w="0" w:type="dxa"/>
            <w:right w:w="0" w:type="dxa"/>
          </w:tcMar>
        </w:tcPr>
        <w:p w:rsidR="005436BB" w:rsidRPr="00F40249" w:rsidRDefault="005436BB"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5436BB" w:rsidRPr="00B01A03" w:rsidRDefault="005436BB"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defaultTabStop w:val="720"/>
  <w:drawingGridHorizontalSpacing w:val="120"/>
  <w:displayHorizontalDrawingGridEvery w:val="2"/>
  <w:characterSpacingControl w:val="doNotCompress"/>
  <w:hdrShapeDefaults>
    <o:shapedefaults v:ext="edit" spidmax="25613"/>
  </w:hdrShapeDefaults>
  <w:footnotePr>
    <w:footnote w:id="-1"/>
    <w:footnote w:id="0"/>
  </w:footnotePr>
  <w:endnotePr>
    <w:endnote w:id="-1"/>
    <w:endnote w:id="0"/>
  </w:endnotePr>
  <w:compat/>
  <w:rsids>
    <w:rsidRoot w:val="00BF6563"/>
    <w:rsid w:val="000103C9"/>
    <w:rsid w:val="000327B2"/>
    <w:rsid w:val="00096BD9"/>
    <w:rsid w:val="000B3C9A"/>
    <w:rsid w:val="000C0ACD"/>
    <w:rsid w:val="000D4BFA"/>
    <w:rsid w:val="000E1415"/>
    <w:rsid w:val="00102926"/>
    <w:rsid w:val="0010587F"/>
    <w:rsid w:val="00111C6B"/>
    <w:rsid w:val="00164E6D"/>
    <w:rsid w:val="00175C25"/>
    <w:rsid w:val="001A05FC"/>
    <w:rsid w:val="001B5C23"/>
    <w:rsid w:val="001D0D5F"/>
    <w:rsid w:val="001D6B8C"/>
    <w:rsid w:val="001F1F83"/>
    <w:rsid w:val="002139A7"/>
    <w:rsid w:val="00215F7C"/>
    <w:rsid w:val="0022323B"/>
    <w:rsid w:val="002364E1"/>
    <w:rsid w:val="002410B8"/>
    <w:rsid w:val="00242AEE"/>
    <w:rsid w:val="00245129"/>
    <w:rsid w:val="00245879"/>
    <w:rsid w:val="00267FD5"/>
    <w:rsid w:val="00293E37"/>
    <w:rsid w:val="002B516C"/>
    <w:rsid w:val="002D304F"/>
    <w:rsid w:val="002D72EB"/>
    <w:rsid w:val="002E2327"/>
    <w:rsid w:val="002E3583"/>
    <w:rsid w:val="002E5576"/>
    <w:rsid w:val="00311CCF"/>
    <w:rsid w:val="00331B52"/>
    <w:rsid w:val="00355967"/>
    <w:rsid w:val="00382C47"/>
    <w:rsid w:val="00384384"/>
    <w:rsid w:val="00386489"/>
    <w:rsid w:val="00396E14"/>
    <w:rsid w:val="003B3977"/>
    <w:rsid w:val="003F5644"/>
    <w:rsid w:val="00432989"/>
    <w:rsid w:val="00440E24"/>
    <w:rsid w:val="0044776A"/>
    <w:rsid w:val="0045527C"/>
    <w:rsid w:val="00460AFC"/>
    <w:rsid w:val="0047471F"/>
    <w:rsid w:val="00484B65"/>
    <w:rsid w:val="004B66B4"/>
    <w:rsid w:val="004C1AAC"/>
    <w:rsid w:val="004D7551"/>
    <w:rsid w:val="004E2BC1"/>
    <w:rsid w:val="004F090E"/>
    <w:rsid w:val="00527CC7"/>
    <w:rsid w:val="00532939"/>
    <w:rsid w:val="005436BB"/>
    <w:rsid w:val="00545939"/>
    <w:rsid w:val="00571CA4"/>
    <w:rsid w:val="00582136"/>
    <w:rsid w:val="005A1C7B"/>
    <w:rsid w:val="005B3265"/>
    <w:rsid w:val="005C233D"/>
    <w:rsid w:val="005C6840"/>
    <w:rsid w:val="005F1EBB"/>
    <w:rsid w:val="005F263E"/>
    <w:rsid w:val="00600252"/>
    <w:rsid w:val="006008FC"/>
    <w:rsid w:val="00612A40"/>
    <w:rsid w:val="00644AB1"/>
    <w:rsid w:val="00675479"/>
    <w:rsid w:val="00697C62"/>
    <w:rsid w:val="006A329B"/>
    <w:rsid w:val="006A7EB8"/>
    <w:rsid w:val="006B6926"/>
    <w:rsid w:val="006C3F47"/>
    <w:rsid w:val="006C5F7A"/>
    <w:rsid w:val="006E7D50"/>
    <w:rsid w:val="006F350F"/>
    <w:rsid w:val="00732DB7"/>
    <w:rsid w:val="00741567"/>
    <w:rsid w:val="00750B49"/>
    <w:rsid w:val="00755F22"/>
    <w:rsid w:val="00766E4A"/>
    <w:rsid w:val="0077585B"/>
    <w:rsid w:val="007820CE"/>
    <w:rsid w:val="00782AE4"/>
    <w:rsid w:val="0079724F"/>
    <w:rsid w:val="007A3EAE"/>
    <w:rsid w:val="007B5E8A"/>
    <w:rsid w:val="007C04FC"/>
    <w:rsid w:val="007D3E0F"/>
    <w:rsid w:val="00802863"/>
    <w:rsid w:val="00815B3C"/>
    <w:rsid w:val="0082783A"/>
    <w:rsid w:val="00831CA9"/>
    <w:rsid w:val="00850E1F"/>
    <w:rsid w:val="0085476B"/>
    <w:rsid w:val="00890FEB"/>
    <w:rsid w:val="008D292F"/>
    <w:rsid w:val="008E03DC"/>
    <w:rsid w:val="009013BB"/>
    <w:rsid w:val="00910089"/>
    <w:rsid w:val="009165E7"/>
    <w:rsid w:val="00924065"/>
    <w:rsid w:val="00930D68"/>
    <w:rsid w:val="00932DB4"/>
    <w:rsid w:val="00946242"/>
    <w:rsid w:val="0095096B"/>
    <w:rsid w:val="009723FA"/>
    <w:rsid w:val="00984546"/>
    <w:rsid w:val="00994B5E"/>
    <w:rsid w:val="00996510"/>
    <w:rsid w:val="009A2FC8"/>
    <w:rsid w:val="009B2F25"/>
    <w:rsid w:val="009D1F15"/>
    <w:rsid w:val="009D555E"/>
    <w:rsid w:val="00A0355E"/>
    <w:rsid w:val="00A14454"/>
    <w:rsid w:val="00A375D1"/>
    <w:rsid w:val="00A51D10"/>
    <w:rsid w:val="00A52A83"/>
    <w:rsid w:val="00A87207"/>
    <w:rsid w:val="00A935AA"/>
    <w:rsid w:val="00A962F2"/>
    <w:rsid w:val="00AA173D"/>
    <w:rsid w:val="00AA5734"/>
    <w:rsid w:val="00AB2201"/>
    <w:rsid w:val="00AC3E57"/>
    <w:rsid w:val="00AF1715"/>
    <w:rsid w:val="00AF3904"/>
    <w:rsid w:val="00B010C0"/>
    <w:rsid w:val="00B44C65"/>
    <w:rsid w:val="00B4740D"/>
    <w:rsid w:val="00B61629"/>
    <w:rsid w:val="00B7374B"/>
    <w:rsid w:val="00B73787"/>
    <w:rsid w:val="00B91CB2"/>
    <w:rsid w:val="00BA116A"/>
    <w:rsid w:val="00BA6468"/>
    <w:rsid w:val="00BC060D"/>
    <w:rsid w:val="00BC4906"/>
    <w:rsid w:val="00BD06DA"/>
    <w:rsid w:val="00BD4217"/>
    <w:rsid w:val="00BF25F3"/>
    <w:rsid w:val="00BF287F"/>
    <w:rsid w:val="00BF6563"/>
    <w:rsid w:val="00C03A10"/>
    <w:rsid w:val="00C15B83"/>
    <w:rsid w:val="00C1697B"/>
    <w:rsid w:val="00C50A5C"/>
    <w:rsid w:val="00C50FDF"/>
    <w:rsid w:val="00C73E1B"/>
    <w:rsid w:val="00CC21C5"/>
    <w:rsid w:val="00CC4D84"/>
    <w:rsid w:val="00D64901"/>
    <w:rsid w:val="00D76BDF"/>
    <w:rsid w:val="00D862C1"/>
    <w:rsid w:val="00DD0B49"/>
    <w:rsid w:val="00DD70EE"/>
    <w:rsid w:val="00E06DFA"/>
    <w:rsid w:val="00E356C7"/>
    <w:rsid w:val="00E50CE1"/>
    <w:rsid w:val="00E64FA7"/>
    <w:rsid w:val="00E74710"/>
    <w:rsid w:val="00E770CB"/>
    <w:rsid w:val="00E940EB"/>
    <w:rsid w:val="00EB2B90"/>
    <w:rsid w:val="00ED7E83"/>
    <w:rsid w:val="00EF4B63"/>
    <w:rsid w:val="00EF5628"/>
    <w:rsid w:val="00F0068D"/>
    <w:rsid w:val="00F15EA8"/>
    <w:rsid w:val="00F16C8D"/>
    <w:rsid w:val="00F33CCE"/>
    <w:rsid w:val="00F40249"/>
    <w:rsid w:val="00F526C8"/>
    <w:rsid w:val="00F93DFE"/>
    <w:rsid w:val="00F9518C"/>
    <w:rsid w:val="00FA59EF"/>
    <w:rsid w:val="00FB19A2"/>
    <w:rsid w:val="00FF6EEC"/>
    <w:rsid w:val="00FF74B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56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6606</Words>
  <Characters>37659</Characters>
  <Application>Microsoft Office Word</Application>
  <DocSecurity>0</DocSecurity>
  <Lines>313</Lines>
  <Paragraphs>88</Paragraphs>
  <ScaleCrop>false</ScaleCrop>
  <Company/>
  <LinksUpToDate>false</LinksUpToDate>
  <CharactersWithSpaces>44177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2011-01-10T13:34:00Z</dcterms:created>
  <dcterms:modified xsi:type="dcterms:W3CDTF">2011-01-10T13:34:00Z</dcterms:modified>
</cp:coreProperties>
</file>