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B7F3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B7F3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B7F3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AB7F3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B7F34" w:rsidTr="002E5576">
        <w:tc>
          <w:tcPr>
            <w:tcW w:w="4518" w:type="dxa"/>
          </w:tcPr>
          <w:p w:rsidR="00BF25F3" w:rsidRPr="002E2327" w:rsidRDefault="003E529C"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3E529C"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343ED8" w:rsidP="00F0068D">
      <w:pPr>
        <w:pBdr>
          <w:bottom w:val="single" w:sz="6" w:space="1" w:color="auto"/>
        </w:pBdr>
        <w:tabs>
          <w:tab w:val="center" w:pos="4680"/>
          <w:tab w:val="right" w:pos="9360"/>
        </w:tabs>
        <w:rPr>
          <w:lang w:val="fr-CA"/>
        </w:rPr>
      </w:pPr>
      <w:proofErr w:type="spellStart"/>
      <w:r>
        <w:rPr>
          <w:lang w:val="fr-CA"/>
        </w:rPr>
        <w:t>February</w:t>
      </w:r>
      <w:proofErr w:type="spellEnd"/>
      <w:r w:rsidR="00440E24" w:rsidRPr="00675479">
        <w:rPr>
          <w:lang w:val="fr-CA"/>
        </w:rPr>
        <w:t xml:space="preserve"> </w:t>
      </w:r>
      <w:r>
        <w:rPr>
          <w:lang w:val="fr-CA"/>
        </w:rPr>
        <w:t>11</w:t>
      </w:r>
      <w:r w:rsidR="00440E24" w:rsidRPr="00675479">
        <w:rPr>
          <w:lang w:val="fr-CA"/>
        </w:rPr>
        <w:t>, 201</w:t>
      </w:r>
      <w:r>
        <w:rPr>
          <w:lang w:val="fr-CA"/>
        </w:rPr>
        <w:t>1</w:t>
      </w:r>
      <w:r w:rsidR="00F0068D" w:rsidRPr="00675479">
        <w:rPr>
          <w:lang w:val="fr-CA"/>
        </w:rPr>
        <w:tab/>
        <w:t>1</w:t>
      </w:r>
      <w:r>
        <w:rPr>
          <w:lang w:val="fr-CA"/>
        </w:rPr>
        <w:t>86</w:t>
      </w:r>
      <w:r w:rsidR="00F0068D" w:rsidRPr="00675479">
        <w:rPr>
          <w:lang w:val="fr-CA"/>
        </w:rPr>
        <w:t xml:space="preserve"> - </w:t>
      </w:r>
      <w:r w:rsidR="006731C9">
        <w:rPr>
          <w:lang w:val="fr-CA"/>
        </w:rPr>
        <w:t>224</w:t>
      </w:r>
      <w:r w:rsidR="00440E24" w:rsidRPr="00675479">
        <w:rPr>
          <w:lang w:val="fr-CA"/>
        </w:rPr>
        <w:tab/>
      </w:r>
      <w:r w:rsidR="00440E24" w:rsidRPr="002E2327">
        <w:rPr>
          <w:lang w:val="fr-CA"/>
        </w:rPr>
        <w:t xml:space="preserve">Le </w:t>
      </w:r>
      <w:r>
        <w:rPr>
          <w:lang w:val="fr-CA"/>
        </w:rPr>
        <w:t>11</w:t>
      </w:r>
      <w:r w:rsidR="00440E24" w:rsidRPr="002E2327">
        <w:rPr>
          <w:lang w:val="fr-CA"/>
        </w:rPr>
        <w:t xml:space="preserve"> </w:t>
      </w:r>
      <w:r>
        <w:rPr>
          <w:lang w:val="fr-CA"/>
        </w:rPr>
        <w:t>février</w:t>
      </w:r>
      <w:r w:rsidR="00440E24" w:rsidRPr="002E2327">
        <w:rPr>
          <w:lang w:val="fr-CA"/>
        </w:rPr>
        <w:t xml:space="preserve"> 201</w:t>
      </w:r>
      <w:r>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1B7F1C">
            <w:pPr>
              <w:tabs>
                <w:tab w:val="right" w:pos="9360"/>
              </w:tabs>
              <w:rPr>
                <w:rFonts w:cs="Times New Roman"/>
                <w:sz w:val="20"/>
                <w:szCs w:val="20"/>
              </w:rPr>
            </w:pPr>
          </w:p>
        </w:tc>
        <w:tc>
          <w:tcPr>
            <w:tcW w:w="1980" w:type="dxa"/>
          </w:tcPr>
          <w:p w:rsidR="0095096B" w:rsidRPr="002E2327" w:rsidRDefault="00444EFC" w:rsidP="0095096B">
            <w:pPr>
              <w:jc w:val="center"/>
              <w:rPr>
                <w:rFonts w:cs="Times New Roman"/>
                <w:sz w:val="20"/>
                <w:szCs w:val="20"/>
              </w:rPr>
            </w:pPr>
            <w:r>
              <w:rPr>
                <w:rFonts w:cs="Times New Roman"/>
                <w:sz w:val="20"/>
                <w:szCs w:val="20"/>
              </w:rPr>
              <w:t xml:space="preserve">186 </w:t>
            </w:r>
            <w:r w:rsidR="003E529C" w:rsidRPr="002E2327">
              <w:rPr>
                <w:rFonts w:cs="Times New Roman"/>
                <w:sz w:val="20"/>
                <w:szCs w:val="20"/>
              </w:rPr>
              <w:fldChar w:fldCharType="begin"/>
            </w:r>
            <w:r w:rsidR="0095096B" w:rsidRPr="002E2327">
              <w:rPr>
                <w:rFonts w:cs="Times New Roman"/>
                <w:sz w:val="20"/>
                <w:szCs w:val="20"/>
              </w:rPr>
              <w:instrText xml:space="preserve"> SEQ CHAPTER \h \r 1</w:instrText>
            </w:r>
            <w:r w:rsidR="003E529C" w:rsidRPr="002E2327">
              <w:rPr>
                <w:rFonts w:cs="Times New Roman"/>
                <w:sz w:val="20"/>
                <w:szCs w:val="20"/>
              </w:rPr>
              <w:fldChar w:fldCharType="end"/>
            </w:r>
            <w:r w:rsidR="0095096B" w:rsidRPr="002E2327">
              <w:rPr>
                <w:rFonts w:cs="Times New Roman"/>
                <w:sz w:val="20"/>
                <w:szCs w:val="20"/>
              </w:rPr>
              <w:t>-</w:t>
            </w:r>
            <w:r w:rsidR="001E60EC">
              <w:rPr>
                <w:rFonts w:cs="Times New Roman"/>
                <w:sz w:val="20"/>
                <w:szCs w:val="20"/>
              </w:rPr>
              <w:t xml:space="preserve"> 187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E60EC" w:rsidP="0095096B">
            <w:pPr>
              <w:jc w:val="center"/>
              <w:rPr>
                <w:rFonts w:cs="Times New Roman"/>
                <w:sz w:val="20"/>
                <w:szCs w:val="20"/>
              </w:rPr>
            </w:pPr>
            <w:r>
              <w:rPr>
                <w:rFonts w:cs="Times New Roman"/>
                <w:sz w:val="20"/>
                <w:szCs w:val="20"/>
              </w:rPr>
              <w:t>188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51FCB" w:rsidP="0095096B">
            <w:pPr>
              <w:jc w:val="center"/>
              <w:rPr>
                <w:rFonts w:cs="Times New Roman"/>
                <w:sz w:val="20"/>
                <w:szCs w:val="20"/>
              </w:rPr>
            </w:pPr>
            <w:r>
              <w:rPr>
                <w:rFonts w:cs="Times New Roman"/>
                <w:sz w:val="20"/>
                <w:szCs w:val="20"/>
              </w:rPr>
              <w:t xml:space="preserve">189 </w:t>
            </w:r>
            <w:r w:rsidR="0095096B" w:rsidRPr="002E2327">
              <w:rPr>
                <w:rFonts w:cs="Times New Roman"/>
                <w:sz w:val="20"/>
                <w:szCs w:val="20"/>
              </w:rPr>
              <w:t>-</w:t>
            </w:r>
            <w:r>
              <w:rPr>
                <w:rFonts w:cs="Times New Roman"/>
                <w:sz w:val="20"/>
                <w:szCs w:val="20"/>
              </w:rPr>
              <w:t xml:space="preserve"> </w:t>
            </w:r>
            <w:r w:rsidR="006731C9">
              <w:rPr>
                <w:rFonts w:cs="Times New Roman"/>
                <w:sz w:val="20"/>
                <w:szCs w:val="20"/>
              </w:rPr>
              <w:t>210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731C9" w:rsidP="0095096B">
            <w:pPr>
              <w:jc w:val="center"/>
              <w:rPr>
                <w:rFonts w:cs="Times New Roman"/>
                <w:sz w:val="20"/>
                <w:szCs w:val="20"/>
              </w:rPr>
            </w:pPr>
            <w:r>
              <w:rPr>
                <w:rFonts w:cs="Times New Roman"/>
                <w:sz w:val="20"/>
                <w:szCs w:val="20"/>
              </w:rPr>
              <w:t xml:space="preserve">211 </w:t>
            </w:r>
            <w:r w:rsidR="0095096B" w:rsidRPr="002E2327">
              <w:rPr>
                <w:rFonts w:cs="Times New Roman"/>
                <w:sz w:val="20"/>
                <w:szCs w:val="20"/>
              </w:rPr>
              <w:t>-</w:t>
            </w:r>
            <w:r>
              <w:rPr>
                <w:rFonts w:cs="Times New Roman"/>
                <w:sz w:val="20"/>
                <w:szCs w:val="20"/>
              </w:rPr>
              <w:t xml:space="preserve"> 212</w:t>
            </w:r>
          </w:p>
          <w:p w:rsidR="0095096B" w:rsidRPr="002E2327" w:rsidRDefault="0095096B" w:rsidP="0095096B">
            <w:pPr>
              <w:jc w:val="center"/>
              <w:rPr>
                <w:rFonts w:cs="Times New Roman"/>
                <w:sz w:val="20"/>
                <w:szCs w:val="20"/>
              </w:rPr>
            </w:pPr>
          </w:p>
          <w:p w:rsidR="0095096B" w:rsidRPr="002E2327" w:rsidRDefault="006731C9" w:rsidP="0095096B">
            <w:pPr>
              <w:jc w:val="center"/>
              <w:rPr>
                <w:rFonts w:cs="Times New Roman"/>
                <w:sz w:val="20"/>
                <w:szCs w:val="20"/>
              </w:rPr>
            </w:pPr>
            <w:r>
              <w:rPr>
                <w:rFonts w:cs="Times New Roman"/>
                <w:sz w:val="20"/>
                <w:szCs w:val="20"/>
              </w:rPr>
              <w:t xml:space="preserve">213 </w:t>
            </w:r>
            <w:r w:rsidR="0095096B" w:rsidRPr="002E2327">
              <w:rPr>
                <w:rFonts w:cs="Times New Roman"/>
                <w:sz w:val="20"/>
                <w:szCs w:val="20"/>
              </w:rPr>
              <w:t>-</w:t>
            </w:r>
            <w:r>
              <w:rPr>
                <w:rFonts w:cs="Times New Roman"/>
                <w:sz w:val="20"/>
                <w:szCs w:val="20"/>
              </w:rPr>
              <w:t xml:space="preserve"> 214</w:t>
            </w:r>
          </w:p>
          <w:p w:rsidR="0095096B" w:rsidRPr="002E2327" w:rsidRDefault="0095096B" w:rsidP="0095096B">
            <w:pPr>
              <w:jc w:val="center"/>
              <w:rPr>
                <w:rFonts w:cs="Times New Roman"/>
                <w:sz w:val="20"/>
                <w:szCs w:val="20"/>
              </w:rPr>
            </w:pPr>
          </w:p>
          <w:p w:rsidR="006731C9" w:rsidRDefault="006731C9" w:rsidP="0095096B">
            <w:pPr>
              <w:jc w:val="center"/>
              <w:rPr>
                <w:rFonts w:cs="Times New Roman"/>
                <w:sz w:val="20"/>
                <w:szCs w:val="20"/>
              </w:rPr>
            </w:pPr>
          </w:p>
          <w:p w:rsidR="0095096B" w:rsidRPr="002E2327" w:rsidRDefault="006731C9" w:rsidP="0095096B">
            <w:pPr>
              <w:jc w:val="center"/>
              <w:rPr>
                <w:rFonts w:cs="Times New Roman"/>
                <w:sz w:val="20"/>
                <w:szCs w:val="20"/>
              </w:rPr>
            </w:pPr>
            <w:r>
              <w:rPr>
                <w:rFonts w:cs="Times New Roman"/>
                <w:sz w:val="20"/>
                <w:szCs w:val="20"/>
              </w:rPr>
              <w:t xml:space="preserve">215 </w:t>
            </w:r>
            <w:r w:rsidR="0095096B" w:rsidRPr="002E2327">
              <w:rPr>
                <w:rFonts w:cs="Times New Roman"/>
                <w:sz w:val="20"/>
                <w:szCs w:val="20"/>
              </w:rPr>
              <w:t>-</w:t>
            </w:r>
            <w:r>
              <w:rPr>
                <w:rFonts w:cs="Times New Roman"/>
                <w:sz w:val="20"/>
                <w:szCs w:val="20"/>
              </w:rPr>
              <w:t xml:space="preserve"> 224</w:t>
            </w:r>
          </w:p>
          <w:p w:rsidR="00A87207" w:rsidRPr="002E2327" w:rsidRDefault="00A87207" w:rsidP="00851FCB">
            <w:pPr>
              <w:jc w:val="center"/>
              <w:rPr>
                <w:rFonts w:cs="Times New Roman"/>
                <w:sz w:val="20"/>
                <w:szCs w:val="20"/>
              </w:rPr>
            </w:pPr>
          </w:p>
        </w:tc>
        <w:tc>
          <w:tcPr>
            <w:tcW w:w="3888" w:type="dxa"/>
          </w:tcPr>
          <w:p w:rsidR="0095096B" w:rsidRPr="002E2327" w:rsidRDefault="003E529C"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1B7F1C">
            <w:pPr>
              <w:tabs>
                <w:tab w:val="right" w:pos="9360"/>
              </w:tabs>
              <w:rPr>
                <w:rFonts w:cs="Times New Roman"/>
                <w:sz w:val="20"/>
                <w:szCs w:val="20"/>
                <w:lang w:val="fr-CA"/>
              </w:rPr>
            </w:pPr>
          </w:p>
        </w:tc>
      </w:tr>
    </w:tbl>
    <w:p w:rsidR="0095096B" w:rsidRDefault="0095096B" w:rsidP="0095096B">
      <w:pPr>
        <w:tabs>
          <w:tab w:val="right" w:pos="9360"/>
        </w:tabs>
      </w:pPr>
    </w:p>
    <w:p w:rsidR="001E60EC" w:rsidRDefault="001E60EC" w:rsidP="0095096B">
      <w:pPr>
        <w:tabs>
          <w:tab w:val="right" w:pos="9360"/>
        </w:tabs>
      </w:pPr>
    </w:p>
    <w:p w:rsidR="001E60EC" w:rsidRDefault="001E60EC" w:rsidP="0095096B">
      <w:pPr>
        <w:tabs>
          <w:tab w:val="right" w:pos="9360"/>
        </w:tabs>
      </w:pPr>
    </w:p>
    <w:p w:rsidR="001E60EC" w:rsidRDefault="001E60EC" w:rsidP="0095096B">
      <w:pPr>
        <w:tabs>
          <w:tab w:val="right" w:pos="9360"/>
        </w:tabs>
      </w:pPr>
    </w:p>
    <w:p w:rsidR="001E60EC" w:rsidRDefault="001E60EC" w:rsidP="0095096B">
      <w:pPr>
        <w:tabs>
          <w:tab w:val="right" w:pos="9360"/>
        </w:tabs>
      </w:pPr>
    </w:p>
    <w:p w:rsidR="001E60EC" w:rsidRPr="002E2327" w:rsidRDefault="001E60EC" w:rsidP="0095096B">
      <w:pPr>
        <w:tabs>
          <w:tab w:val="right" w:pos="9360"/>
        </w:tabs>
      </w:pPr>
    </w:p>
    <w:tbl>
      <w:tblPr>
        <w:tblStyle w:val="TableGrid"/>
        <w:tblW w:w="0" w:type="auto"/>
        <w:tblLook w:val="04A0"/>
      </w:tblPr>
      <w:tblGrid>
        <w:gridCol w:w="9576"/>
      </w:tblGrid>
      <w:tr w:rsidR="0079724F" w:rsidRPr="00AB7F3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5C461D" w:rsidP="003B3977">
            <w:pPr>
              <w:rPr>
                <w:b/>
                <w:sz w:val="20"/>
                <w:szCs w:val="20"/>
              </w:rPr>
            </w:pPr>
            <w:r w:rsidRPr="005C461D">
              <w:rPr>
                <w:b/>
                <w:sz w:val="20"/>
                <w:szCs w:val="20"/>
              </w:rPr>
              <w:t>Russell Wayne</w:t>
            </w:r>
            <w:r>
              <w:rPr>
                <w:b/>
                <w:sz w:val="20"/>
                <w:szCs w:val="20"/>
              </w:rPr>
              <w:t xml:space="preserve"> </w:t>
            </w:r>
            <w:proofErr w:type="spellStart"/>
            <w:r>
              <w:rPr>
                <w:b/>
                <w:sz w:val="20"/>
                <w:szCs w:val="20"/>
              </w:rPr>
              <w:t>Widsten</w:t>
            </w:r>
            <w:proofErr w:type="spellEnd"/>
          </w:p>
          <w:p w:rsidR="005C461D" w:rsidRPr="005C461D" w:rsidRDefault="00242AEE" w:rsidP="005C461D">
            <w:pPr>
              <w:rPr>
                <w:sz w:val="20"/>
                <w:szCs w:val="20"/>
              </w:rPr>
            </w:pPr>
            <w:r w:rsidRPr="00A935AA">
              <w:rPr>
                <w:sz w:val="20"/>
                <w:szCs w:val="20"/>
              </w:rPr>
              <w:tab/>
            </w:r>
            <w:r w:rsidR="005C461D" w:rsidRPr="005C461D">
              <w:rPr>
                <w:sz w:val="20"/>
                <w:szCs w:val="20"/>
              </w:rPr>
              <w:t xml:space="preserve">Russell Wayne </w:t>
            </w:r>
            <w:proofErr w:type="spellStart"/>
            <w:r w:rsidR="005C461D" w:rsidRPr="005C461D">
              <w:rPr>
                <w:sz w:val="20"/>
                <w:szCs w:val="20"/>
              </w:rPr>
              <w:t>Widsten</w:t>
            </w:r>
            <w:proofErr w:type="spellEnd"/>
          </w:p>
          <w:p w:rsidR="00242AEE" w:rsidRPr="00A935AA" w:rsidRDefault="00242AEE" w:rsidP="003B3977">
            <w:pPr>
              <w:tabs>
                <w:tab w:val="left" w:pos="-1440"/>
                <w:tab w:val="left" w:pos="-720"/>
              </w:tabs>
              <w:rPr>
                <w:sz w:val="20"/>
                <w:szCs w:val="20"/>
              </w:rPr>
            </w:pPr>
          </w:p>
          <w:p w:rsidR="00242AEE" w:rsidRPr="005C461D" w:rsidRDefault="00242AEE" w:rsidP="003B3977">
            <w:pPr>
              <w:tabs>
                <w:tab w:val="left" w:pos="-1440"/>
                <w:tab w:val="left" w:pos="-720"/>
              </w:tabs>
              <w:rPr>
                <w:sz w:val="20"/>
                <w:szCs w:val="20"/>
                <w:lang w:val="fr-CA"/>
              </w:rPr>
            </w:pPr>
            <w:r w:rsidRPr="00A935AA">
              <w:rPr>
                <w:sz w:val="20"/>
                <w:szCs w:val="20"/>
              </w:rPr>
              <w:tab/>
            </w:r>
            <w:r w:rsidRPr="005C461D">
              <w:rPr>
                <w:sz w:val="20"/>
                <w:szCs w:val="20"/>
                <w:lang w:val="fr-CA"/>
              </w:rPr>
              <w:t>v. (33</w:t>
            </w:r>
            <w:r w:rsidR="005C461D" w:rsidRPr="005C461D">
              <w:rPr>
                <w:sz w:val="20"/>
                <w:szCs w:val="20"/>
                <w:lang w:val="fr-CA"/>
              </w:rPr>
              <w:t>955</w:t>
            </w:r>
            <w:r w:rsidRPr="005C461D">
              <w:rPr>
                <w:sz w:val="20"/>
                <w:szCs w:val="20"/>
                <w:lang w:val="fr-CA"/>
              </w:rPr>
              <w:t>)</w:t>
            </w:r>
          </w:p>
          <w:p w:rsidR="00242AEE" w:rsidRPr="005C461D" w:rsidRDefault="00242AEE" w:rsidP="003B3977">
            <w:pPr>
              <w:tabs>
                <w:tab w:val="left" w:pos="-1440"/>
                <w:tab w:val="left" w:pos="-720"/>
              </w:tabs>
              <w:rPr>
                <w:sz w:val="20"/>
                <w:szCs w:val="20"/>
                <w:lang w:val="fr-CA"/>
              </w:rPr>
            </w:pPr>
          </w:p>
          <w:p w:rsidR="00242AEE" w:rsidRPr="00745CFE" w:rsidRDefault="005C461D" w:rsidP="003B3977">
            <w:pPr>
              <w:tabs>
                <w:tab w:val="left" w:pos="-1440"/>
                <w:tab w:val="left" w:pos="-720"/>
              </w:tabs>
              <w:rPr>
                <w:b/>
                <w:sz w:val="20"/>
                <w:szCs w:val="20"/>
                <w:lang w:val="en-US"/>
              </w:rPr>
            </w:pPr>
            <w:r w:rsidRPr="005C461D">
              <w:rPr>
                <w:b/>
                <w:sz w:val="20"/>
                <w:szCs w:val="20"/>
                <w:lang w:val="fr-CA"/>
              </w:rPr>
              <w:t>Charles Dale Gainer</w:t>
            </w:r>
            <w:r w:rsidR="00242AEE" w:rsidRPr="005C461D">
              <w:rPr>
                <w:b/>
                <w:sz w:val="20"/>
                <w:szCs w:val="20"/>
                <w:lang w:val="fr-CA"/>
              </w:rPr>
              <w:t xml:space="preserve"> </w:t>
            </w:r>
            <w:r>
              <w:rPr>
                <w:b/>
                <w:sz w:val="20"/>
                <w:szCs w:val="20"/>
                <w:lang w:val="fr-CA"/>
              </w:rPr>
              <w:t xml:space="preserve">et al. </w:t>
            </w:r>
            <w:r w:rsidR="00242AEE" w:rsidRPr="00745CFE">
              <w:rPr>
                <w:b/>
                <w:sz w:val="20"/>
                <w:szCs w:val="20"/>
                <w:lang w:val="en-US"/>
              </w:rPr>
              <w:t>(B.C.)</w:t>
            </w:r>
          </w:p>
          <w:p w:rsidR="00242AEE" w:rsidRPr="00A935AA" w:rsidRDefault="00242AEE" w:rsidP="003B3977">
            <w:pPr>
              <w:tabs>
                <w:tab w:val="left" w:pos="-1440"/>
                <w:tab w:val="left" w:pos="-720"/>
              </w:tabs>
              <w:rPr>
                <w:sz w:val="20"/>
                <w:szCs w:val="20"/>
              </w:rPr>
            </w:pPr>
            <w:r w:rsidRPr="00745CFE">
              <w:rPr>
                <w:sz w:val="20"/>
                <w:szCs w:val="20"/>
                <w:lang w:val="en-US"/>
              </w:rPr>
              <w:tab/>
            </w:r>
            <w:r w:rsidR="005C461D">
              <w:rPr>
                <w:sz w:val="20"/>
                <w:szCs w:val="20"/>
              </w:rPr>
              <w:t>Peter C.M. Freeman, Q.C.</w:t>
            </w:r>
          </w:p>
          <w:p w:rsidR="00242AEE" w:rsidRPr="00A935AA" w:rsidRDefault="00242AEE" w:rsidP="003B3977">
            <w:pPr>
              <w:tabs>
                <w:tab w:val="left" w:pos="-1440"/>
                <w:tab w:val="left" w:pos="-720"/>
              </w:tabs>
              <w:rPr>
                <w:sz w:val="20"/>
                <w:szCs w:val="20"/>
              </w:rPr>
            </w:pPr>
            <w:r w:rsidRPr="00A935AA">
              <w:rPr>
                <w:sz w:val="20"/>
                <w:szCs w:val="20"/>
              </w:rPr>
              <w:tab/>
            </w:r>
            <w:r w:rsidR="005C461D">
              <w:rPr>
                <w:sz w:val="20"/>
                <w:szCs w:val="20"/>
              </w:rPr>
              <w:t>Cook, Roberts LLP</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5C461D">
              <w:rPr>
                <w:sz w:val="20"/>
                <w:szCs w:val="20"/>
              </w:rPr>
              <w:t>4</w:t>
            </w:r>
            <w:r w:rsidRPr="00A935AA">
              <w:rPr>
                <w:sz w:val="20"/>
                <w:szCs w:val="20"/>
              </w:rPr>
              <w:t>.09.2010</w:t>
            </w:r>
          </w:p>
          <w:p w:rsidR="00242AEE" w:rsidRPr="00A935AA" w:rsidRDefault="003E529C" w:rsidP="003B3977">
            <w:pPr>
              <w:rPr>
                <w:sz w:val="20"/>
                <w:szCs w:val="20"/>
              </w:rPr>
            </w:pPr>
            <w:r w:rsidRPr="003E529C">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242AEE" w:rsidP="003B3977">
            <w:pPr>
              <w:keepNext/>
              <w:keepLines/>
              <w:tabs>
                <w:tab w:val="left" w:pos="-1440"/>
                <w:tab w:val="left" w:pos="-720"/>
              </w:tabs>
              <w:rPr>
                <w:b/>
                <w:sz w:val="20"/>
                <w:szCs w:val="20"/>
              </w:rPr>
            </w:pPr>
            <w:r w:rsidRPr="00A935AA">
              <w:rPr>
                <w:b/>
                <w:sz w:val="20"/>
                <w:szCs w:val="20"/>
              </w:rPr>
              <w:t>Al</w:t>
            </w:r>
            <w:r w:rsidR="005C461D">
              <w:rPr>
                <w:b/>
                <w:sz w:val="20"/>
                <w:szCs w:val="20"/>
              </w:rPr>
              <w:t xml:space="preserve">freda </w:t>
            </w:r>
            <w:r w:rsidR="005C461D" w:rsidRPr="005C461D">
              <w:rPr>
                <w:b/>
                <w:sz w:val="20"/>
                <w:szCs w:val="20"/>
              </w:rPr>
              <w:t>Melkowska</w:t>
            </w:r>
          </w:p>
          <w:p w:rsidR="00242AEE" w:rsidRPr="005C461D" w:rsidRDefault="00242AEE" w:rsidP="003B3977">
            <w:pPr>
              <w:keepNext/>
              <w:keepLines/>
              <w:tabs>
                <w:tab w:val="left" w:pos="-1440"/>
                <w:tab w:val="left" w:pos="-720"/>
              </w:tabs>
              <w:rPr>
                <w:sz w:val="20"/>
                <w:szCs w:val="20"/>
              </w:rPr>
            </w:pPr>
            <w:r w:rsidRPr="00A935AA">
              <w:rPr>
                <w:sz w:val="20"/>
                <w:szCs w:val="20"/>
              </w:rPr>
              <w:tab/>
            </w:r>
            <w:r w:rsidR="005C461D" w:rsidRPr="005C461D">
              <w:rPr>
                <w:sz w:val="20"/>
                <w:szCs w:val="20"/>
              </w:rPr>
              <w:t>Alfreda Melkowska</w:t>
            </w:r>
          </w:p>
          <w:p w:rsidR="00242AEE" w:rsidRPr="00A935AA" w:rsidRDefault="00242AEE" w:rsidP="003B3977">
            <w:pPr>
              <w:keepNext/>
              <w:keepLines/>
              <w:tabs>
                <w:tab w:val="left" w:pos="-1440"/>
                <w:tab w:val="left" w:pos="-720"/>
              </w:tabs>
              <w:rPr>
                <w:sz w:val="20"/>
                <w:szCs w:val="20"/>
              </w:rPr>
            </w:pPr>
            <w:r w:rsidRPr="00A935AA">
              <w:rPr>
                <w:sz w:val="20"/>
                <w:szCs w:val="20"/>
              </w:rPr>
              <w:tab/>
            </w:r>
          </w:p>
          <w:p w:rsidR="00242AEE" w:rsidRPr="00AF3B72" w:rsidRDefault="00242AEE" w:rsidP="003B3977">
            <w:pPr>
              <w:keepNext/>
              <w:keepLines/>
              <w:tabs>
                <w:tab w:val="left" w:pos="-1440"/>
                <w:tab w:val="left" w:pos="-720"/>
              </w:tabs>
              <w:rPr>
                <w:sz w:val="20"/>
                <w:szCs w:val="20"/>
              </w:rPr>
            </w:pPr>
            <w:r w:rsidRPr="00A935AA">
              <w:rPr>
                <w:sz w:val="20"/>
                <w:szCs w:val="20"/>
              </w:rPr>
              <w:tab/>
            </w:r>
            <w:r w:rsidRPr="00AF3B72">
              <w:rPr>
                <w:sz w:val="20"/>
                <w:szCs w:val="20"/>
              </w:rPr>
              <w:t>v. (33</w:t>
            </w:r>
            <w:r w:rsidR="005C461D" w:rsidRPr="00AF3B72">
              <w:rPr>
                <w:sz w:val="20"/>
                <w:szCs w:val="20"/>
              </w:rPr>
              <w:t>969</w:t>
            </w:r>
            <w:r w:rsidRPr="00AF3B72">
              <w:rPr>
                <w:sz w:val="20"/>
                <w:szCs w:val="20"/>
              </w:rPr>
              <w:t>)</w:t>
            </w:r>
          </w:p>
          <w:p w:rsidR="00242AEE" w:rsidRPr="00AF3B72" w:rsidRDefault="00242AEE" w:rsidP="003B3977">
            <w:pPr>
              <w:keepNext/>
              <w:keepLines/>
              <w:tabs>
                <w:tab w:val="left" w:pos="-1440"/>
                <w:tab w:val="left" w:pos="-720"/>
              </w:tabs>
              <w:rPr>
                <w:sz w:val="20"/>
                <w:szCs w:val="20"/>
              </w:rPr>
            </w:pPr>
          </w:p>
          <w:p w:rsidR="00242AEE" w:rsidRPr="00A935AA" w:rsidRDefault="005C461D" w:rsidP="003B3977">
            <w:pPr>
              <w:keepNext/>
              <w:keepLines/>
              <w:tabs>
                <w:tab w:val="left" w:pos="-1440"/>
                <w:tab w:val="left" w:pos="-720"/>
              </w:tabs>
              <w:rPr>
                <w:b/>
                <w:sz w:val="20"/>
                <w:szCs w:val="20"/>
                <w:lang w:val="fr-CA"/>
              </w:rPr>
            </w:pPr>
            <w:r w:rsidRPr="005C461D">
              <w:rPr>
                <w:b/>
                <w:sz w:val="20"/>
                <w:szCs w:val="20"/>
                <w:lang w:val="fr-CA"/>
              </w:rPr>
              <w:t>Office Municipal d'Habitation de Gatineau</w:t>
            </w:r>
            <w:r>
              <w:rPr>
                <w:b/>
                <w:sz w:val="20"/>
                <w:szCs w:val="20"/>
                <w:lang w:val="fr-CA"/>
              </w:rPr>
              <w:t xml:space="preserve"> </w:t>
            </w:r>
            <w:r w:rsidR="00242AEE" w:rsidRPr="00A935AA">
              <w:rPr>
                <w:b/>
                <w:sz w:val="20"/>
                <w:szCs w:val="20"/>
                <w:lang w:val="fr-CA"/>
              </w:rPr>
              <w:t>(</w:t>
            </w:r>
            <w:r>
              <w:rPr>
                <w:b/>
                <w:sz w:val="20"/>
                <w:szCs w:val="20"/>
                <w:lang w:val="fr-CA"/>
              </w:rPr>
              <w:t>Que.</w:t>
            </w:r>
            <w:r w:rsidR="00242AEE" w:rsidRPr="00A935AA">
              <w:rPr>
                <w:b/>
                <w:sz w:val="20"/>
                <w:szCs w:val="20"/>
                <w:lang w:val="fr-CA"/>
              </w:rPr>
              <w:t>)</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r w:rsidR="005C461D">
              <w:rPr>
                <w:sz w:val="20"/>
                <w:szCs w:val="20"/>
                <w:lang w:val="fr-CA"/>
              </w:rPr>
              <w:t>Monique Bourgon</w:t>
            </w:r>
          </w:p>
          <w:p w:rsidR="00242AEE" w:rsidRPr="00A935AA" w:rsidRDefault="00242AEE" w:rsidP="003B3977">
            <w:pPr>
              <w:keepNext/>
              <w:keepLines/>
              <w:tabs>
                <w:tab w:val="left" w:pos="-1440"/>
                <w:tab w:val="left" w:pos="-720"/>
              </w:tabs>
              <w:rPr>
                <w:sz w:val="20"/>
                <w:szCs w:val="20"/>
                <w:lang w:val="fr-CA"/>
              </w:rPr>
            </w:pPr>
            <w:r w:rsidRPr="00A935AA">
              <w:rPr>
                <w:sz w:val="20"/>
                <w:szCs w:val="20"/>
                <w:lang w:val="fr-CA"/>
              </w:rPr>
              <w:tab/>
            </w:r>
          </w:p>
          <w:p w:rsidR="00242AEE" w:rsidRPr="00A935AA" w:rsidRDefault="00242AEE" w:rsidP="005C461D">
            <w:pPr>
              <w:rPr>
                <w:sz w:val="20"/>
                <w:szCs w:val="20"/>
              </w:rPr>
            </w:pPr>
            <w:r w:rsidRPr="00A935AA">
              <w:rPr>
                <w:sz w:val="20"/>
                <w:szCs w:val="20"/>
              </w:rPr>
              <w:t xml:space="preserve">FILING DATE: </w:t>
            </w:r>
            <w:r w:rsidR="005C461D">
              <w:rPr>
                <w:sz w:val="20"/>
                <w:szCs w:val="20"/>
              </w:rPr>
              <w:t>06</w:t>
            </w:r>
            <w:r w:rsidRPr="00A935AA">
              <w:rPr>
                <w:sz w:val="20"/>
                <w:szCs w:val="20"/>
              </w:rPr>
              <w:t>.</w:t>
            </w:r>
            <w:r w:rsidR="005C461D">
              <w:rPr>
                <w:sz w:val="20"/>
                <w:szCs w:val="20"/>
              </w:rPr>
              <w:t>12</w:t>
            </w:r>
            <w:r w:rsidRPr="00A935AA">
              <w:rPr>
                <w:sz w:val="20"/>
                <w:szCs w:val="20"/>
              </w:rPr>
              <w:t>.2010</w:t>
            </w:r>
            <w:r w:rsidR="003E529C" w:rsidRPr="003E529C">
              <w:rPr>
                <w:sz w:val="20"/>
                <w:szCs w:val="20"/>
                <w:lang w:val="fr-CA"/>
              </w:rPr>
              <w:pict>
                <v:rect id="_x0000_i1026" style="width:108pt;height:1pt" o:hrpct="0" o:hralign="center" o:hrstd="t" o:hrnoshade="t" o:hr="t" fillcolor="black [3213]" stroked="f"/>
              </w:pict>
            </w:r>
          </w:p>
        </w:tc>
      </w:tr>
      <w:tr w:rsidR="00242AEE" w:rsidRPr="00A935AA" w:rsidTr="003B3977">
        <w:tc>
          <w:tcPr>
            <w:tcW w:w="4320" w:type="dxa"/>
            <w:shd w:val="clear" w:color="auto" w:fill="auto"/>
          </w:tcPr>
          <w:p w:rsidR="005C461D" w:rsidRDefault="005C461D" w:rsidP="003B3977">
            <w:pPr>
              <w:tabs>
                <w:tab w:val="left" w:pos="-1440"/>
                <w:tab w:val="left" w:pos="-720"/>
              </w:tabs>
              <w:rPr>
                <w:b/>
                <w:sz w:val="20"/>
                <w:szCs w:val="20"/>
              </w:rPr>
            </w:pPr>
            <w:r w:rsidRPr="005C461D">
              <w:rPr>
                <w:b/>
                <w:sz w:val="20"/>
                <w:szCs w:val="20"/>
              </w:rPr>
              <w:t>Joseph Alexander</w:t>
            </w:r>
            <w:r>
              <w:rPr>
                <w:b/>
                <w:sz w:val="20"/>
                <w:szCs w:val="20"/>
              </w:rPr>
              <w:t xml:space="preserve"> Gordon</w:t>
            </w:r>
          </w:p>
          <w:p w:rsidR="005C461D" w:rsidRPr="005C461D" w:rsidRDefault="00242AEE" w:rsidP="005C461D">
            <w:pPr>
              <w:tabs>
                <w:tab w:val="left" w:pos="-1440"/>
                <w:tab w:val="left" w:pos="-720"/>
              </w:tabs>
              <w:rPr>
                <w:sz w:val="20"/>
                <w:szCs w:val="20"/>
              </w:rPr>
            </w:pPr>
            <w:r w:rsidRPr="00A935AA">
              <w:rPr>
                <w:sz w:val="20"/>
                <w:szCs w:val="20"/>
              </w:rPr>
              <w:tab/>
            </w:r>
            <w:r w:rsidR="005C461D" w:rsidRPr="005C461D">
              <w:rPr>
                <w:sz w:val="20"/>
                <w:szCs w:val="20"/>
              </w:rPr>
              <w:t>Joseph Alexander Gordon</w:t>
            </w:r>
          </w:p>
          <w:p w:rsidR="00242AEE" w:rsidRPr="00A935AA" w:rsidRDefault="00242AEE" w:rsidP="003B3977">
            <w:pPr>
              <w:tabs>
                <w:tab w:val="left" w:pos="-1440"/>
                <w:tab w:val="left" w:pos="-720"/>
              </w:tabs>
              <w:rPr>
                <w:sz w:val="20"/>
                <w:szCs w:val="20"/>
              </w:rPr>
            </w:pPr>
            <w:r w:rsidRPr="00A935AA">
              <w:rPr>
                <w:sz w:val="20"/>
                <w:szCs w:val="20"/>
              </w:rPr>
              <w:tab/>
            </w:r>
          </w:p>
          <w:p w:rsidR="00242AEE" w:rsidRPr="00A935AA" w:rsidRDefault="00242AEE" w:rsidP="003B3977">
            <w:pPr>
              <w:tabs>
                <w:tab w:val="left" w:pos="-1440"/>
                <w:tab w:val="left" w:pos="-720"/>
              </w:tabs>
              <w:rPr>
                <w:sz w:val="20"/>
                <w:szCs w:val="20"/>
              </w:rPr>
            </w:pPr>
            <w:r w:rsidRPr="00A935AA">
              <w:rPr>
                <w:sz w:val="20"/>
                <w:szCs w:val="20"/>
              </w:rPr>
              <w:tab/>
              <w:t>v. (3</w:t>
            </w:r>
            <w:r w:rsidR="009B7E09">
              <w:rPr>
                <w:sz w:val="20"/>
                <w:szCs w:val="20"/>
              </w:rPr>
              <w:t>4065</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9B7E09" w:rsidP="003B3977">
            <w:pPr>
              <w:tabs>
                <w:tab w:val="left" w:pos="-1440"/>
                <w:tab w:val="left" w:pos="-720"/>
              </w:tabs>
              <w:rPr>
                <w:b/>
                <w:sz w:val="20"/>
                <w:szCs w:val="20"/>
              </w:rPr>
            </w:pPr>
            <w:r w:rsidRPr="009B7E09">
              <w:rPr>
                <w:b/>
                <w:sz w:val="20"/>
                <w:szCs w:val="20"/>
              </w:rPr>
              <w:t>Ashley Margaret Kathleen</w:t>
            </w:r>
            <w:r>
              <w:rPr>
                <w:b/>
                <w:sz w:val="20"/>
                <w:szCs w:val="20"/>
              </w:rPr>
              <w:t xml:space="preserve"> McGuire</w:t>
            </w:r>
            <w:r w:rsidR="00242AEE" w:rsidRPr="00A935AA">
              <w:rPr>
                <w:b/>
                <w:sz w:val="20"/>
                <w:szCs w:val="20"/>
              </w:rPr>
              <w:t xml:space="preserve"> (</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9B7E09">
              <w:rPr>
                <w:sz w:val="20"/>
                <w:szCs w:val="20"/>
              </w:rPr>
              <w:t>Kate Bennett</w:t>
            </w:r>
          </w:p>
          <w:p w:rsidR="00242AEE" w:rsidRPr="00A935AA" w:rsidRDefault="00242AEE" w:rsidP="003B3977">
            <w:pPr>
              <w:tabs>
                <w:tab w:val="left" w:pos="-1440"/>
                <w:tab w:val="left" w:pos="-720"/>
              </w:tabs>
              <w:rPr>
                <w:sz w:val="20"/>
                <w:szCs w:val="20"/>
              </w:rPr>
            </w:pPr>
            <w:r w:rsidRPr="00A935AA">
              <w:rPr>
                <w:sz w:val="20"/>
                <w:szCs w:val="20"/>
              </w:rPr>
              <w:tab/>
            </w:r>
            <w:r w:rsidR="009B7E09">
              <w:rPr>
                <w:sz w:val="20"/>
                <w:szCs w:val="20"/>
              </w:rPr>
              <w:t>Harrison Pensa LLP</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9B7E09">
              <w:rPr>
                <w:sz w:val="20"/>
                <w:szCs w:val="20"/>
              </w:rPr>
              <w:t>10</w:t>
            </w:r>
            <w:r w:rsidRPr="00A935AA">
              <w:rPr>
                <w:sz w:val="20"/>
                <w:szCs w:val="20"/>
              </w:rPr>
              <w:t>.0</w:t>
            </w:r>
            <w:r w:rsidR="009B7E09">
              <w:rPr>
                <w:sz w:val="20"/>
                <w:szCs w:val="20"/>
              </w:rPr>
              <w:t>1</w:t>
            </w:r>
            <w:r w:rsidRPr="00A935AA">
              <w:rPr>
                <w:sz w:val="20"/>
                <w:szCs w:val="20"/>
              </w:rPr>
              <w:t>.201</w:t>
            </w:r>
            <w:r w:rsidR="009B7E09">
              <w:rPr>
                <w:sz w:val="20"/>
                <w:szCs w:val="20"/>
              </w:rPr>
              <w:t>1</w:t>
            </w:r>
          </w:p>
          <w:p w:rsidR="00242AEE" w:rsidRPr="00A935AA" w:rsidRDefault="003E529C" w:rsidP="003B3977">
            <w:pPr>
              <w:rPr>
                <w:sz w:val="20"/>
                <w:szCs w:val="20"/>
              </w:rPr>
            </w:pPr>
            <w:r w:rsidRPr="003E529C">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9B7E09" w:rsidP="003B3977">
            <w:pPr>
              <w:keepNext/>
              <w:keepLines/>
              <w:tabs>
                <w:tab w:val="left" w:pos="-1440"/>
                <w:tab w:val="left" w:pos="-720"/>
              </w:tabs>
              <w:rPr>
                <w:b/>
                <w:sz w:val="20"/>
                <w:szCs w:val="20"/>
                <w:lang w:val="fr-CA"/>
              </w:rPr>
            </w:pPr>
            <w:r>
              <w:rPr>
                <w:b/>
                <w:sz w:val="20"/>
                <w:szCs w:val="20"/>
                <w:lang w:val="fr-CA"/>
              </w:rPr>
              <w:t>Yen Thai et al.</w:t>
            </w:r>
          </w:p>
          <w:p w:rsidR="00242AEE" w:rsidRPr="009B7E09" w:rsidRDefault="00242AEE" w:rsidP="003B3977">
            <w:pPr>
              <w:keepNext/>
              <w:keepLines/>
              <w:tabs>
                <w:tab w:val="left" w:pos="-1440"/>
                <w:tab w:val="left" w:pos="-720"/>
              </w:tabs>
              <w:rPr>
                <w:sz w:val="20"/>
                <w:szCs w:val="20"/>
                <w:lang w:val="fr-CA"/>
              </w:rPr>
            </w:pPr>
            <w:r w:rsidRPr="00A935AA">
              <w:rPr>
                <w:sz w:val="20"/>
                <w:szCs w:val="20"/>
                <w:lang w:val="fr-CA"/>
              </w:rPr>
              <w:tab/>
            </w:r>
            <w:r w:rsidR="009B7E09" w:rsidRPr="009B7E09">
              <w:rPr>
                <w:sz w:val="20"/>
                <w:szCs w:val="20"/>
                <w:lang w:val="fr-CA"/>
              </w:rPr>
              <w:t>Yen Thai</w:t>
            </w:r>
          </w:p>
          <w:p w:rsidR="00242AEE" w:rsidRPr="00AF3B72" w:rsidRDefault="00242AEE" w:rsidP="003B3977">
            <w:pPr>
              <w:keepNext/>
              <w:keepLines/>
              <w:tabs>
                <w:tab w:val="left" w:pos="-1440"/>
                <w:tab w:val="left" w:pos="-720"/>
              </w:tabs>
              <w:rPr>
                <w:sz w:val="20"/>
                <w:szCs w:val="20"/>
                <w:lang w:val="fr-CA"/>
              </w:rPr>
            </w:pPr>
            <w:r w:rsidRPr="00A935AA">
              <w:rPr>
                <w:sz w:val="20"/>
                <w:szCs w:val="20"/>
                <w:lang w:val="fr-CA"/>
              </w:rPr>
              <w:tab/>
            </w:r>
          </w:p>
          <w:p w:rsidR="00242AEE" w:rsidRPr="00A935AA" w:rsidRDefault="00242AEE" w:rsidP="003B3977">
            <w:pPr>
              <w:keepNext/>
              <w:keepLines/>
              <w:tabs>
                <w:tab w:val="left" w:pos="-1440"/>
                <w:tab w:val="left" w:pos="-720"/>
              </w:tabs>
              <w:rPr>
                <w:sz w:val="20"/>
                <w:szCs w:val="20"/>
              </w:rPr>
            </w:pPr>
            <w:r w:rsidRPr="00AF3B72">
              <w:rPr>
                <w:sz w:val="20"/>
                <w:szCs w:val="20"/>
                <w:lang w:val="fr-CA"/>
              </w:rPr>
              <w:tab/>
            </w:r>
            <w:r w:rsidRPr="00A935AA">
              <w:rPr>
                <w:sz w:val="20"/>
                <w:szCs w:val="20"/>
              </w:rPr>
              <w:t>v. (3</w:t>
            </w:r>
            <w:r w:rsidR="009B7E09">
              <w:rPr>
                <w:sz w:val="20"/>
                <w:szCs w:val="20"/>
              </w:rPr>
              <w:t>4062</w:t>
            </w:r>
            <w:r w:rsidRPr="00A935AA">
              <w:rPr>
                <w:sz w:val="20"/>
                <w:szCs w:val="20"/>
              </w:rPr>
              <w:t>)</w:t>
            </w:r>
          </w:p>
          <w:p w:rsidR="00242AEE" w:rsidRPr="00A935AA" w:rsidRDefault="00242AEE" w:rsidP="003B3977">
            <w:pPr>
              <w:keepNext/>
              <w:keepLines/>
              <w:tabs>
                <w:tab w:val="left" w:pos="-1440"/>
                <w:tab w:val="left" w:pos="-720"/>
              </w:tabs>
              <w:rPr>
                <w:sz w:val="20"/>
                <w:szCs w:val="20"/>
              </w:rPr>
            </w:pPr>
          </w:p>
          <w:p w:rsidR="00242AEE" w:rsidRPr="00AF3B72" w:rsidRDefault="009B7E09" w:rsidP="003B3977">
            <w:pPr>
              <w:keepNext/>
              <w:keepLines/>
              <w:tabs>
                <w:tab w:val="left" w:pos="-1440"/>
                <w:tab w:val="left" w:pos="-720"/>
              </w:tabs>
              <w:rPr>
                <w:b/>
                <w:sz w:val="20"/>
                <w:szCs w:val="20"/>
                <w:lang w:val="fr-CA"/>
              </w:rPr>
            </w:pPr>
            <w:r>
              <w:rPr>
                <w:b/>
                <w:sz w:val="20"/>
                <w:szCs w:val="20"/>
              </w:rPr>
              <w:t xml:space="preserve">Doug </w:t>
            </w:r>
            <w:r w:rsidRPr="009B7E09">
              <w:rPr>
                <w:b/>
                <w:sz w:val="20"/>
                <w:szCs w:val="20"/>
              </w:rPr>
              <w:t xml:space="preserve">Poffenroth </w:t>
            </w:r>
            <w:r w:rsidR="00242AEE" w:rsidRPr="00A935AA">
              <w:rPr>
                <w:b/>
                <w:sz w:val="20"/>
                <w:szCs w:val="20"/>
              </w:rPr>
              <w:t xml:space="preserve">et al. </w:t>
            </w:r>
            <w:r w:rsidR="00242AEE" w:rsidRPr="00AF3B72">
              <w:rPr>
                <w:b/>
                <w:sz w:val="20"/>
                <w:szCs w:val="20"/>
                <w:lang w:val="fr-CA"/>
              </w:rPr>
              <w:t>(</w:t>
            </w:r>
            <w:r w:rsidRPr="00AF3B72">
              <w:rPr>
                <w:b/>
                <w:sz w:val="20"/>
                <w:szCs w:val="20"/>
                <w:lang w:val="fr-CA"/>
              </w:rPr>
              <w:t>Al</w:t>
            </w:r>
            <w:r w:rsidR="00242AEE" w:rsidRPr="00AF3B72">
              <w:rPr>
                <w:b/>
                <w:sz w:val="20"/>
                <w:szCs w:val="20"/>
                <w:lang w:val="fr-CA"/>
              </w:rPr>
              <w:t>t</w:t>
            </w:r>
            <w:r w:rsidRPr="00AF3B72">
              <w:rPr>
                <w:b/>
                <w:sz w:val="20"/>
                <w:szCs w:val="20"/>
                <w:lang w:val="fr-CA"/>
              </w:rPr>
              <w:t>a</w:t>
            </w:r>
            <w:r w:rsidR="00242AEE" w:rsidRPr="00AF3B72">
              <w:rPr>
                <w:b/>
                <w:sz w:val="20"/>
                <w:szCs w:val="20"/>
                <w:lang w:val="fr-CA"/>
              </w:rPr>
              <w:t>.)</w:t>
            </w:r>
          </w:p>
          <w:p w:rsidR="00242AEE" w:rsidRPr="00AF3B72" w:rsidRDefault="00242AEE" w:rsidP="003B3977">
            <w:pPr>
              <w:keepNext/>
              <w:keepLines/>
              <w:tabs>
                <w:tab w:val="left" w:pos="-1440"/>
                <w:tab w:val="left" w:pos="-720"/>
              </w:tabs>
              <w:rPr>
                <w:sz w:val="20"/>
                <w:szCs w:val="20"/>
                <w:lang w:val="fr-CA"/>
              </w:rPr>
            </w:pPr>
            <w:r w:rsidRPr="00AF3B72">
              <w:rPr>
                <w:sz w:val="20"/>
                <w:szCs w:val="20"/>
                <w:lang w:val="fr-CA"/>
              </w:rPr>
              <w:tab/>
            </w:r>
            <w:r w:rsidR="009B7E09" w:rsidRPr="00AF3B72">
              <w:rPr>
                <w:sz w:val="20"/>
                <w:szCs w:val="20"/>
                <w:lang w:val="fr-CA"/>
              </w:rPr>
              <w:t>Dale O. Ellert</w:t>
            </w:r>
          </w:p>
          <w:p w:rsidR="00242AEE" w:rsidRPr="00AF3B72" w:rsidRDefault="00242AEE" w:rsidP="003B3977">
            <w:pPr>
              <w:keepNext/>
              <w:keepLines/>
              <w:tabs>
                <w:tab w:val="left" w:pos="-1440"/>
                <w:tab w:val="left" w:pos="-720"/>
              </w:tabs>
              <w:rPr>
                <w:sz w:val="20"/>
                <w:szCs w:val="20"/>
                <w:lang w:val="fr-CA"/>
              </w:rPr>
            </w:pPr>
            <w:r w:rsidRPr="00AF3B72">
              <w:rPr>
                <w:sz w:val="20"/>
                <w:szCs w:val="20"/>
                <w:lang w:val="fr-CA"/>
              </w:rPr>
              <w:tab/>
            </w:r>
            <w:r w:rsidR="009B7E09" w:rsidRPr="00AF3B72">
              <w:rPr>
                <w:sz w:val="20"/>
                <w:szCs w:val="20"/>
                <w:lang w:val="fr-CA"/>
              </w:rPr>
              <w:t>Ellert Law</w:t>
            </w:r>
          </w:p>
          <w:p w:rsidR="00242AEE" w:rsidRPr="00AF3B72" w:rsidRDefault="00242AEE" w:rsidP="003B3977">
            <w:pPr>
              <w:keepNext/>
              <w:keepLines/>
              <w:tabs>
                <w:tab w:val="left" w:pos="-1440"/>
                <w:tab w:val="left" w:pos="-720"/>
              </w:tabs>
              <w:rPr>
                <w:sz w:val="20"/>
                <w:szCs w:val="20"/>
                <w:lang w:val="fr-CA"/>
              </w:rPr>
            </w:pPr>
          </w:p>
          <w:p w:rsidR="00242AEE" w:rsidRPr="00A935AA" w:rsidRDefault="00242AEE" w:rsidP="009B7E09">
            <w:pPr>
              <w:rPr>
                <w:sz w:val="20"/>
                <w:szCs w:val="20"/>
              </w:rPr>
            </w:pPr>
            <w:r w:rsidRPr="00A935AA">
              <w:rPr>
                <w:sz w:val="20"/>
                <w:szCs w:val="20"/>
              </w:rPr>
              <w:t xml:space="preserve">FILING DATE: </w:t>
            </w:r>
            <w:r w:rsidR="009B7E09">
              <w:rPr>
                <w:sz w:val="20"/>
                <w:szCs w:val="20"/>
              </w:rPr>
              <w:t>14</w:t>
            </w:r>
            <w:r w:rsidRPr="00A935AA">
              <w:rPr>
                <w:sz w:val="20"/>
                <w:szCs w:val="20"/>
              </w:rPr>
              <w:t>.0</w:t>
            </w:r>
            <w:r w:rsidR="009B7E09">
              <w:rPr>
                <w:sz w:val="20"/>
                <w:szCs w:val="20"/>
              </w:rPr>
              <w:t>1</w:t>
            </w:r>
            <w:r w:rsidRPr="00A935AA">
              <w:rPr>
                <w:sz w:val="20"/>
                <w:szCs w:val="20"/>
              </w:rPr>
              <w:t>.201</w:t>
            </w:r>
            <w:r w:rsidR="009B7E09">
              <w:rPr>
                <w:sz w:val="20"/>
                <w:szCs w:val="20"/>
              </w:rPr>
              <w:t>1</w:t>
            </w:r>
            <w:r w:rsidR="003E529C" w:rsidRPr="003E529C">
              <w:rPr>
                <w:sz w:val="20"/>
                <w:szCs w:val="20"/>
                <w:lang w:val="fr-CA"/>
              </w:rPr>
              <w:pict>
                <v:rect id="_x0000_i1028" style="width:108pt;height:1pt" o:hrpct="0" o:hralign="center" o:hrstd="t" o:hrnoshade="t" o:hr="t" fillcolor="black [3213]" stroked="f"/>
              </w:pict>
            </w:r>
          </w:p>
        </w:tc>
      </w:tr>
      <w:tr w:rsidR="00242AEE" w:rsidRPr="009122D4" w:rsidTr="003B3977">
        <w:tc>
          <w:tcPr>
            <w:tcW w:w="4320" w:type="dxa"/>
            <w:shd w:val="clear" w:color="auto" w:fill="auto"/>
          </w:tcPr>
          <w:p w:rsidR="00242AEE" w:rsidRPr="00A935AA" w:rsidRDefault="00745CFE" w:rsidP="003B3977">
            <w:pPr>
              <w:rPr>
                <w:b/>
                <w:sz w:val="20"/>
                <w:szCs w:val="20"/>
              </w:rPr>
            </w:pPr>
            <w:r>
              <w:rPr>
                <w:b/>
                <w:sz w:val="20"/>
                <w:szCs w:val="20"/>
              </w:rPr>
              <w:t xml:space="preserve">Betty </w:t>
            </w:r>
            <w:r w:rsidRPr="00745CFE">
              <w:rPr>
                <w:b/>
                <w:sz w:val="20"/>
                <w:szCs w:val="20"/>
              </w:rPr>
              <w:t xml:space="preserve">Krawczyk </w:t>
            </w:r>
          </w:p>
          <w:p w:rsidR="00745CFE" w:rsidRPr="00745CFE" w:rsidRDefault="00242AEE" w:rsidP="00745CFE">
            <w:pPr>
              <w:rPr>
                <w:sz w:val="20"/>
                <w:szCs w:val="20"/>
              </w:rPr>
            </w:pPr>
            <w:r w:rsidRPr="00A935AA">
              <w:rPr>
                <w:sz w:val="20"/>
                <w:szCs w:val="20"/>
              </w:rPr>
              <w:tab/>
            </w:r>
            <w:r w:rsidR="00745CFE" w:rsidRPr="00745CFE">
              <w:rPr>
                <w:sz w:val="20"/>
                <w:szCs w:val="20"/>
              </w:rPr>
              <w:t>Betty Krawczyk</w:t>
            </w:r>
          </w:p>
          <w:p w:rsidR="00242AEE" w:rsidRPr="00A935AA" w:rsidRDefault="00242AEE" w:rsidP="003B3977">
            <w:pPr>
              <w:tabs>
                <w:tab w:val="left" w:pos="-1440"/>
                <w:tab w:val="left" w:pos="-720"/>
              </w:tabs>
              <w:rPr>
                <w:sz w:val="20"/>
                <w:szCs w:val="20"/>
              </w:rPr>
            </w:pPr>
            <w:r w:rsidRPr="00A935AA">
              <w:rPr>
                <w:sz w:val="20"/>
                <w:szCs w:val="20"/>
              </w:rPr>
              <w:tab/>
            </w:r>
          </w:p>
          <w:p w:rsidR="00242AEE" w:rsidRPr="00A935AA" w:rsidRDefault="00242AEE" w:rsidP="003B3977">
            <w:pPr>
              <w:tabs>
                <w:tab w:val="left" w:pos="-1440"/>
                <w:tab w:val="left" w:pos="-720"/>
              </w:tabs>
              <w:rPr>
                <w:sz w:val="20"/>
                <w:szCs w:val="20"/>
              </w:rPr>
            </w:pPr>
            <w:r w:rsidRPr="00A935AA">
              <w:rPr>
                <w:sz w:val="20"/>
                <w:szCs w:val="20"/>
              </w:rPr>
              <w:tab/>
              <w:t>v. (3</w:t>
            </w:r>
            <w:r w:rsidR="00745CFE">
              <w:rPr>
                <w:sz w:val="20"/>
                <w:szCs w:val="20"/>
              </w:rPr>
              <w:t>4063</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745CFE" w:rsidP="003B3977">
            <w:pPr>
              <w:tabs>
                <w:tab w:val="left" w:pos="-1440"/>
                <w:tab w:val="left" w:pos="-720"/>
              </w:tabs>
              <w:rPr>
                <w:b/>
                <w:sz w:val="20"/>
                <w:szCs w:val="20"/>
              </w:rPr>
            </w:pPr>
            <w:r w:rsidRPr="00A935AA">
              <w:rPr>
                <w:b/>
                <w:sz w:val="20"/>
                <w:szCs w:val="20"/>
              </w:rPr>
              <w:t>Her Majesty the Queen</w:t>
            </w:r>
            <w:r w:rsidR="00242AEE" w:rsidRPr="00A935AA">
              <w:rPr>
                <w:b/>
                <w:sz w:val="20"/>
                <w:szCs w:val="20"/>
              </w:rPr>
              <w:t>. (</w:t>
            </w:r>
            <w:r>
              <w:rPr>
                <w:b/>
                <w:sz w:val="20"/>
                <w:szCs w:val="20"/>
              </w:rPr>
              <w:t>B</w:t>
            </w:r>
            <w:r w:rsidR="00242AEE" w:rsidRPr="00A935AA">
              <w:rPr>
                <w:b/>
                <w:sz w:val="20"/>
                <w:szCs w:val="20"/>
              </w:rPr>
              <w:t>.C.)</w:t>
            </w:r>
          </w:p>
          <w:p w:rsidR="00242AEE" w:rsidRPr="00A935AA" w:rsidRDefault="00242AEE" w:rsidP="003B3977">
            <w:pPr>
              <w:tabs>
                <w:tab w:val="left" w:pos="-1440"/>
                <w:tab w:val="left" w:pos="-720"/>
              </w:tabs>
              <w:rPr>
                <w:sz w:val="20"/>
                <w:szCs w:val="20"/>
              </w:rPr>
            </w:pPr>
            <w:r w:rsidRPr="00A935AA">
              <w:rPr>
                <w:sz w:val="20"/>
                <w:szCs w:val="20"/>
              </w:rPr>
              <w:tab/>
            </w:r>
            <w:r w:rsidR="00745CFE">
              <w:rPr>
                <w:sz w:val="20"/>
                <w:szCs w:val="20"/>
              </w:rPr>
              <w:t>Michael Brundrett</w:t>
            </w:r>
          </w:p>
          <w:p w:rsidR="00242AEE" w:rsidRPr="00A935AA" w:rsidRDefault="00242AEE" w:rsidP="003B3977">
            <w:pPr>
              <w:tabs>
                <w:tab w:val="left" w:pos="-1440"/>
                <w:tab w:val="left" w:pos="-720"/>
              </w:tabs>
              <w:rPr>
                <w:sz w:val="20"/>
                <w:szCs w:val="20"/>
              </w:rPr>
            </w:pPr>
            <w:r w:rsidRPr="00A935AA">
              <w:rPr>
                <w:sz w:val="20"/>
                <w:szCs w:val="20"/>
              </w:rPr>
              <w:tab/>
            </w:r>
            <w:r w:rsidR="00745CFE">
              <w:rPr>
                <w:sz w:val="20"/>
                <w:szCs w:val="20"/>
              </w:rPr>
              <w:t>A.G. of British Columbia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745CFE">
              <w:rPr>
                <w:sz w:val="20"/>
                <w:szCs w:val="20"/>
              </w:rPr>
              <w:t>14</w:t>
            </w:r>
            <w:r w:rsidRPr="00A935AA">
              <w:rPr>
                <w:sz w:val="20"/>
                <w:szCs w:val="20"/>
              </w:rPr>
              <w:t>.0</w:t>
            </w:r>
            <w:r w:rsidR="00745CFE">
              <w:rPr>
                <w:sz w:val="20"/>
                <w:szCs w:val="20"/>
              </w:rPr>
              <w:t>1</w:t>
            </w:r>
            <w:r w:rsidRPr="00A935AA">
              <w:rPr>
                <w:sz w:val="20"/>
                <w:szCs w:val="20"/>
              </w:rPr>
              <w:t>.201</w:t>
            </w:r>
            <w:r w:rsidR="00745CFE">
              <w:rPr>
                <w:sz w:val="20"/>
                <w:szCs w:val="20"/>
              </w:rPr>
              <w:t>1</w:t>
            </w:r>
          </w:p>
          <w:p w:rsidR="00242AEE" w:rsidRPr="00A935AA" w:rsidRDefault="003E529C" w:rsidP="003B3977">
            <w:pPr>
              <w:rPr>
                <w:sz w:val="20"/>
                <w:szCs w:val="20"/>
              </w:rPr>
            </w:pPr>
            <w:r w:rsidRPr="003E529C">
              <w:rPr>
                <w:sz w:val="20"/>
                <w:szCs w:val="20"/>
                <w:lang w:val="fr-CA"/>
              </w:rPr>
              <w:pict>
                <v:rect id="_x0000_i1029"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Default="00242AEE" w:rsidP="00242AEE">
            <w:pPr>
              <w:jc w:val="center"/>
              <w:rPr>
                <w:sz w:val="20"/>
                <w:szCs w:val="20"/>
              </w:rPr>
            </w:pPr>
          </w:p>
          <w:p w:rsidR="00A935AA" w:rsidRPr="00A935AA" w:rsidRDefault="00A935AA" w:rsidP="00242AEE">
            <w:pPr>
              <w:jc w:val="center"/>
              <w:rPr>
                <w:sz w:val="20"/>
                <w:szCs w:val="20"/>
              </w:rPr>
            </w:pPr>
          </w:p>
        </w:tc>
        <w:tc>
          <w:tcPr>
            <w:tcW w:w="4320" w:type="dxa"/>
            <w:shd w:val="clear" w:color="auto" w:fill="auto"/>
          </w:tcPr>
          <w:p w:rsidR="00242AEE" w:rsidRPr="00AF3B72" w:rsidRDefault="00745CFE" w:rsidP="003B3977">
            <w:pPr>
              <w:keepNext/>
              <w:keepLines/>
              <w:tabs>
                <w:tab w:val="left" w:pos="-1440"/>
                <w:tab w:val="left" w:pos="-720"/>
              </w:tabs>
              <w:rPr>
                <w:b/>
                <w:sz w:val="20"/>
                <w:szCs w:val="20"/>
                <w:lang w:val="fr-CA"/>
              </w:rPr>
            </w:pPr>
            <w:r w:rsidRPr="00AF3B72">
              <w:rPr>
                <w:b/>
                <w:sz w:val="20"/>
                <w:szCs w:val="20"/>
                <w:lang w:val="fr-CA"/>
              </w:rPr>
              <w:t>Maurice Tétrault</w:t>
            </w:r>
          </w:p>
          <w:p w:rsidR="00745CFE" w:rsidRPr="00AF3B72" w:rsidRDefault="00242AEE" w:rsidP="00745CFE">
            <w:pPr>
              <w:keepNext/>
              <w:keepLines/>
              <w:tabs>
                <w:tab w:val="left" w:pos="-1440"/>
                <w:tab w:val="left" w:pos="-720"/>
              </w:tabs>
              <w:rPr>
                <w:sz w:val="20"/>
                <w:szCs w:val="20"/>
                <w:lang w:val="fr-CA"/>
              </w:rPr>
            </w:pPr>
            <w:r w:rsidRPr="00AF3B72">
              <w:rPr>
                <w:sz w:val="20"/>
                <w:szCs w:val="20"/>
                <w:lang w:val="fr-CA"/>
              </w:rPr>
              <w:tab/>
            </w:r>
            <w:r w:rsidR="00745CFE" w:rsidRPr="00AF3B72">
              <w:rPr>
                <w:sz w:val="20"/>
                <w:szCs w:val="20"/>
                <w:lang w:val="fr-CA"/>
              </w:rPr>
              <w:t>Maurice Tétrault</w:t>
            </w:r>
          </w:p>
          <w:p w:rsidR="00242AEE" w:rsidRPr="00AF3B72" w:rsidRDefault="00242AEE" w:rsidP="003B3977">
            <w:pPr>
              <w:keepNext/>
              <w:keepLines/>
              <w:tabs>
                <w:tab w:val="left" w:pos="-1440"/>
                <w:tab w:val="left" w:pos="-720"/>
              </w:tabs>
              <w:rPr>
                <w:sz w:val="20"/>
                <w:szCs w:val="20"/>
                <w:lang w:val="fr-CA"/>
              </w:rPr>
            </w:pPr>
            <w:r w:rsidRPr="00AF3B72">
              <w:rPr>
                <w:sz w:val="20"/>
                <w:szCs w:val="20"/>
                <w:lang w:val="fr-CA"/>
              </w:rPr>
              <w:tab/>
            </w:r>
          </w:p>
          <w:p w:rsidR="00242AEE" w:rsidRPr="00AF3B72" w:rsidRDefault="00242AEE" w:rsidP="003B3977">
            <w:pPr>
              <w:keepNext/>
              <w:keepLines/>
              <w:tabs>
                <w:tab w:val="left" w:pos="-1440"/>
                <w:tab w:val="left" w:pos="-720"/>
              </w:tabs>
              <w:rPr>
                <w:sz w:val="20"/>
                <w:szCs w:val="20"/>
                <w:lang w:val="fr-CA"/>
              </w:rPr>
            </w:pPr>
            <w:r w:rsidRPr="00AF3B72">
              <w:rPr>
                <w:sz w:val="20"/>
                <w:szCs w:val="20"/>
                <w:lang w:val="fr-CA"/>
              </w:rPr>
              <w:tab/>
            </w:r>
            <w:r w:rsidR="00745CFE" w:rsidRPr="00AF3B72">
              <w:rPr>
                <w:sz w:val="20"/>
                <w:szCs w:val="20"/>
                <w:lang w:val="fr-CA"/>
              </w:rPr>
              <w:t>c</w:t>
            </w:r>
            <w:r w:rsidRPr="00AF3B72">
              <w:rPr>
                <w:sz w:val="20"/>
                <w:szCs w:val="20"/>
                <w:lang w:val="fr-CA"/>
              </w:rPr>
              <w:t>. (3</w:t>
            </w:r>
            <w:r w:rsidR="00745CFE" w:rsidRPr="00AF3B72">
              <w:rPr>
                <w:sz w:val="20"/>
                <w:szCs w:val="20"/>
                <w:lang w:val="fr-CA"/>
              </w:rPr>
              <w:t>4064</w:t>
            </w:r>
            <w:r w:rsidRPr="00AF3B72">
              <w:rPr>
                <w:sz w:val="20"/>
                <w:szCs w:val="20"/>
                <w:lang w:val="fr-CA"/>
              </w:rPr>
              <w:t>)</w:t>
            </w:r>
          </w:p>
          <w:p w:rsidR="00242AEE" w:rsidRPr="00AF3B72" w:rsidRDefault="00242AEE" w:rsidP="003B3977">
            <w:pPr>
              <w:keepNext/>
              <w:keepLines/>
              <w:tabs>
                <w:tab w:val="left" w:pos="-1440"/>
                <w:tab w:val="left" w:pos="-720"/>
              </w:tabs>
              <w:rPr>
                <w:sz w:val="20"/>
                <w:szCs w:val="20"/>
                <w:lang w:val="fr-CA"/>
              </w:rPr>
            </w:pPr>
          </w:p>
          <w:p w:rsidR="00242AEE" w:rsidRPr="00745CFE" w:rsidRDefault="00745CFE" w:rsidP="003B3977">
            <w:pPr>
              <w:keepNext/>
              <w:keepLines/>
              <w:tabs>
                <w:tab w:val="left" w:pos="-1440"/>
                <w:tab w:val="left" w:pos="-720"/>
              </w:tabs>
              <w:rPr>
                <w:b/>
                <w:sz w:val="20"/>
                <w:szCs w:val="20"/>
                <w:lang w:val="fr-CA"/>
              </w:rPr>
            </w:pPr>
            <w:r w:rsidRPr="00745CFE">
              <w:rPr>
                <w:b/>
                <w:sz w:val="20"/>
                <w:szCs w:val="20"/>
                <w:lang w:val="fr-CA"/>
              </w:rPr>
              <w:t xml:space="preserve">Robert Alfred Harnell et autre </w:t>
            </w:r>
            <w:r w:rsidR="00242AEE" w:rsidRPr="00745CFE">
              <w:rPr>
                <w:b/>
                <w:sz w:val="20"/>
                <w:szCs w:val="20"/>
                <w:lang w:val="fr-CA"/>
              </w:rPr>
              <w:t>(</w:t>
            </w:r>
            <w:r w:rsidRPr="00745CFE">
              <w:rPr>
                <w:b/>
                <w:sz w:val="20"/>
                <w:szCs w:val="20"/>
                <w:lang w:val="fr-CA"/>
              </w:rPr>
              <w:t>Qc</w:t>
            </w:r>
            <w:r w:rsidR="00242AEE" w:rsidRPr="00745CFE">
              <w:rPr>
                <w:b/>
                <w:sz w:val="20"/>
                <w:szCs w:val="20"/>
                <w:lang w:val="fr-CA"/>
              </w:rPr>
              <w:t>)</w:t>
            </w:r>
          </w:p>
          <w:p w:rsidR="00242AEE" w:rsidRPr="00745CFE" w:rsidRDefault="00242AEE" w:rsidP="003B3977">
            <w:pPr>
              <w:keepNext/>
              <w:keepLines/>
              <w:tabs>
                <w:tab w:val="left" w:pos="-1440"/>
                <w:tab w:val="left" w:pos="-720"/>
              </w:tabs>
              <w:rPr>
                <w:sz w:val="20"/>
                <w:szCs w:val="20"/>
                <w:lang w:val="fr-CA"/>
              </w:rPr>
            </w:pPr>
            <w:r w:rsidRPr="00745CFE">
              <w:rPr>
                <w:sz w:val="20"/>
                <w:szCs w:val="20"/>
                <w:lang w:val="fr-CA"/>
              </w:rPr>
              <w:tab/>
            </w:r>
            <w:r w:rsidR="00745CFE" w:rsidRPr="00745CFE">
              <w:rPr>
                <w:sz w:val="20"/>
                <w:szCs w:val="20"/>
                <w:lang w:val="fr-CA"/>
              </w:rPr>
              <w:t>Stéphane Tremblay</w:t>
            </w:r>
          </w:p>
          <w:p w:rsidR="00242AEE" w:rsidRPr="00745CFE" w:rsidRDefault="00242AEE" w:rsidP="003B3977">
            <w:pPr>
              <w:keepNext/>
              <w:keepLines/>
              <w:tabs>
                <w:tab w:val="left" w:pos="-1440"/>
                <w:tab w:val="left" w:pos="-720"/>
              </w:tabs>
              <w:rPr>
                <w:sz w:val="20"/>
                <w:szCs w:val="20"/>
                <w:lang w:val="fr-CA"/>
              </w:rPr>
            </w:pPr>
            <w:r w:rsidRPr="00745CFE">
              <w:rPr>
                <w:sz w:val="20"/>
                <w:szCs w:val="20"/>
                <w:lang w:val="fr-CA"/>
              </w:rPr>
              <w:tab/>
            </w:r>
            <w:r w:rsidR="00745CFE" w:rsidRPr="00745CFE">
              <w:rPr>
                <w:sz w:val="20"/>
                <w:szCs w:val="20"/>
                <w:lang w:val="fr-CA"/>
              </w:rPr>
              <w:t>Nadeau, Tremblay &amp; Associés</w:t>
            </w:r>
          </w:p>
          <w:p w:rsidR="00242AEE" w:rsidRPr="00745CFE" w:rsidRDefault="00242AEE" w:rsidP="003B3977">
            <w:pPr>
              <w:keepNext/>
              <w:keepLines/>
              <w:tabs>
                <w:tab w:val="left" w:pos="-1440"/>
                <w:tab w:val="left" w:pos="-720"/>
              </w:tabs>
              <w:rPr>
                <w:sz w:val="20"/>
                <w:szCs w:val="20"/>
                <w:lang w:val="fr-CA"/>
              </w:rPr>
            </w:pPr>
          </w:p>
          <w:p w:rsidR="00242AEE" w:rsidRPr="00745CFE" w:rsidRDefault="00745CFE" w:rsidP="00745CFE">
            <w:pPr>
              <w:keepNext/>
              <w:keepLines/>
              <w:tabs>
                <w:tab w:val="left" w:pos="-1440"/>
                <w:tab w:val="left" w:pos="-720"/>
              </w:tabs>
              <w:rPr>
                <w:sz w:val="20"/>
                <w:szCs w:val="20"/>
                <w:lang w:val="fr-CA"/>
              </w:rPr>
            </w:pPr>
            <w:r w:rsidRPr="00A935AA">
              <w:rPr>
                <w:sz w:val="20"/>
                <w:szCs w:val="20"/>
                <w:lang w:val="fr-CA"/>
              </w:rPr>
              <w:t>DATE DE PRODUCTION</w:t>
            </w:r>
            <w:r>
              <w:rPr>
                <w:sz w:val="20"/>
                <w:szCs w:val="20"/>
                <w:lang w:val="fr-CA"/>
              </w:rPr>
              <w:t xml:space="preserve"> </w:t>
            </w:r>
            <w:r w:rsidR="00242AEE" w:rsidRPr="00745CFE">
              <w:rPr>
                <w:sz w:val="20"/>
                <w:szCs w:val="20"/>
                <w:lang w:val="fr-CA"/>
              </w:rPr>
              <w:t xml:space="preserve">: </w:t>
            </w:r>
            <w:r w:rsidRPr="00745CFE">
              <w:rPr>
                <w:sz w:val="20"/>
                <w:szCs w:val="20"/>
                <w:lang w:val="fr-CA"/>
              </w:rPr>
              <w:t>17</w:t>
            </w:r>
            <w:r w:rsidR="00242AEE" w:rsidRPr="00745CFE">
              <w:rPr>
                <w:sz w:val="20"/>
                <w:szCs w:val="20"/>
                <w:lang w:val="fr-CA"/>
              </w:rPr>
              <w:t>.0</w:t>
            </w:r>
            <w:r w:rsidRPr="00745CFE">
              <w:rPr>
                <w:sz w:val="20"/>
                <w:szCs w:val="20"/>
                <w:lang w:val="fr-CA"/>
              </w:rPr>
              <w:t>1</w:t>
            </w:r>
            <w:r w:rsidR="00242AEE" w:rsidRPr="00745CFE">
              <w:rPr>
                <w:sz w:val="20"/>
                <w:szCs w:val="20"/>
                <w:lang w:val="fr-CA"/>
              </w:rPr>
              <w:t>.201</w:t>
            </w:r>
            <w:r w:rsidRPr="00745CFE">
              <w:rPr>
                <w:sz w:val="20"/>
                <w:szCs w:val="20"/>
                <w:lang w:val="fr-CA"/>
              </w:rPr>
              <w:t>1</w:t>
            </w:r>
            <w:r w:rsidR="003E529C" w:rsidRPr="003E529C">
              <w:rPr>
                <w:sz w:val="20"/>
                <w:szCs w:val="20"/>
                <w:lang w:val="fr-CA"/>
              </w:rPr>
              <w:pict>
                <v:rect id="_x0000_i1030" style="width:108pt;height:1pt" o:hrpct="0" o:hralign="center" o:hrstd="t" o:hrnoshade="t" o:hr="t" fillcolor="black [3213]" stroked="f"/>
              </w:pict>
            </w:r>
          </w:p>
        </w:tc>
      </w:tr>
      <w:tr w:rsidR="00242AEE" w:rsidRPr="00A935AA" w:rsidTr="003B3977">
        <w:trPr>
          <w:cantSplit/>
        </w:trPr>
        <w:tc>
          <w:tcPr>
            <w:tcW w:w="4320" w:type="dxa"/>
            <w:shd w:val="clear" w:color="auto" w:fill="auto"/>
          </w:tcPr>
          <w:p w:rsidR="00242AEE" w:rsidRPr="00AF3B72" w:rsidRDefault="00745CFE" w:rsidP="003B3977">
            <w:pPr>
              <w:rPr>
                <w:b/>
                <w:sz w:val="20"/>
                <w:szCs w:val="20"/>
                <w:lang w:val="fr-CA"/>
              </w:rPr>
            </w:pPr>
            <w:r w:rsidRPr="00745CFE">
              <w:rPr>
                <w:b/>
                <w:sz w:val="20"/>
                <w:szCs w:val="20"/>
                <w:lang w:val="fr-CA"/>
              </w:rPr>
              <w:t xml:space="preserve">Ville de Westmount </w:t>
            </w:r>
          </w:p>
          <w:p w:rsidR="00242AEE" w:rsidRPr="00745CFE" w:rsidRDefault="00242AEE" w:rsidP="003B3977">
            <w:pPr>
              <w:tabs>
                <w:tab w:val="left" w:pos="-1440"/>
                <w:tab w:val="left" w:pos="-720"/>
              </w:tabs>
              <w:rPr>
                <w:sz w:val="20"/>
                <w:szCs w:val="20"/>
                <w:lang w:val="fr-CA"/>
              </w:rPr>
            </w:pPr>
            <w:r w:rsidRPr="00AF3B72">
              <w:rPr>
                <w:sz w:val="20"/>
                <w:szCs w:val="20"/>
                <w:lang w:val="fr-CA"/>
              </w:rPr>
              <w:tab/>
            </w:r>
            <w:r w:rsidR="00745CFE" w:rsidRPr="00745CFE">
              <w:rPr>
                <w:sz w:val="20"/>
                <w:szCs w:val="20"/>
                <w:lang w:val="fr-CA"/>
              </w:rPr>
              <w:t>André Legrand</w:t>
            </w:r>
          </w:p>
          <w:p w:rsidR="00242AEE" w:rsidRPr="00745CFE" w:rsidRDefault="00242AEE" w:rsidP="003B3977">
            <w:pPr>
              <w:tabs>
                <w:tab w:val="left" w:pos="-1440"/>
                <w:tab w:val="left" w:pos="-720"/>
              </w:tabs>
              <w:rPr>
                <w:sz w:val="20"/>
                <w:szCs w:val="20"/>
                <w:lang w:val="fr-CA"/>
              </w:rPr>
            </w:pPr>
            <w:r w:rsidRPr="00745CFE">
              <w:rPr>
                <w:sz w:val="20"/>
                <w:szCs w:val="20"/>
                <w:lang w:val="fr-CA"/>
              </w:rPr>
              <w:tab/>
            </w:r>
            <w:r w:rsidR="00745CFE" w:rsidRPr="00745CFE">
              <w:rPr>
                <w:sz w:val="20"/>
                <w:szCs w:val="20"/>
                <w:lang w:val="fr-CA"/>
              </w:rPr>
              <w:t>Ogilvy Renault LLP</w:t>
            </w:r>
          </w:p>
          <w:p w:rsidR="00242AEE" w:rsidRPr="00745CFE" w:rsidRDefault="00242AEE" w:rsidP="003B3977">
            <w:pPr>
              <w:tabs>
                <w:tab w:val="left" w:pos="-1440"/>
                <w:tab w:val="left" w:pos="-720"/>
              </w:tabs>
              <w:rPr>
                <w:sz w:val="20"/>
                <w:szCs w:val="20"/>
                <w:lang w:val="fr-CA"/>
              </w:rPr>
            </w:pPr>
          </w:p>
          <w:p w:rsidR="00242AEE" w:rsidRPr="00745CFE" w:rsidRDefault="00242AEE" w:rsidP="003B3977">
            <w:pPr>
              <w:tabs>
                <w:tab w:val="left" w:pos="-1440"/>
                <w:tab w:val="left" w:pos="-720"/>
              </w:tabs>
              <w:rPr>
                <w:sz w:val="20"/>
                <w:szCs w:val="20"/>
                <w:lang w:val="fr-CA"/>
              </w:rPr>
            </w:pPr>
            <w:r w:rsidRPr="00745CFE">
              <w:rPr>
                <w:sz w:val="20"/>
                <w:szCs w:val="20"/>
                <w:lang w:val="fr-CA"/>
              </w:rPr>
              <w:tab/>
            </w:r>
            <w:r w:rsidR="00745CFE" w:rsidRPr="00745CFE">
              <w:rPr>
                <w:sz w:val="20"/>
                <w:szCs w:val="20"/>
                <w:lang w:val="fr-CA"/>
              </w:rPr>
              <w:t>c</w:t>
            </w:r>
            <w:r w:rsidRPr="00745CFE">
              <w:rPr>
                <w:sz w:val="20"/>
                <w:szCs w:val="20"/>
                <w:lang w:val="fr-CA"/>
              </w:rPr>
              <w:t>. (3</w:t>
            </w:r>
            <w:r w:rsidR="00745CFE">
              <w:rPr>
                <w:sz w:val="20"/>
                <w:szCs w:val="20"/>
                <w:lang w:val="fr-CA"/>
              </w:rPr>
              <w:t>4060</w:t>
            </w:r>
            <w:r w:rsidRPr="00745CFE">
              <w:rPr>
                <w:sz w:val="20"/>
                <w:szCs w:val="20"/>
                <w:lang w:val="fr-CA"/>
              </w:rPr>
              <w:t>)</w:t>
            </w:r>
          </w:p>
          <w:p w:rsidR="00242AEE" w:rsidRPr="00745CFE" w:rsidRDefault="00242AEE" w:rsidP="003B3977">
            <w:pPr>
              <w:tabs>
                <w:tab w:val="left" w:pos="-1440"/>
                <w:tab w:val="left" w:pos="-720"/>
              </w:tabs>
              <w:rPr>
                <w:sz w:val="20"/>
                <w:szCs w:val="20"/>
                <w:lang w:val="fr-CA"/>
              </w:rPr>
            </w:pPr>
          </w:p>
          <w:p w:rsidR="00242AEE" w:rsidRPr="00745CFE" w:rsidRDefault="00745CFE" w:rsidP="003B3977">
            <w:pPr>
              <w:tabs>
                <w:tab w:val="left" w:pos="-1440"/>
                <w:tab w:val="left" w:pos="-720"/>
              </w:tabs>
              <w:rPr>
                <w:b/>
                <w:sz w:val="20"/>
                <w:szCs w:val="20"/>
                <w:lang w:val="fr-CA"/>
              </w:rPr>
            </w:pPr>
            <w:r w:rsidRPr="00745CFE">
              <w:rPr>
                <w:b/>
                <w:sz w:val="20"/>
                <w:szCs w:val="20"/>
                <w:lang w:val="fr-CA"/>
              </w:rPr>
              <w:t>Richard Rossy et autres</w:t>
            </w:r>
            <w:r w:rsidR="00242AEE" w:rsidRPr="00745CFE">
              <w:rPr>
                <w:b/>
                <w:sz w:val="20"/>
                <w:szCs w:val="20"/>
                <w:lang w:val="fr-CA"/>
              </w:rPr>
              <w:t xml:space="preserve"> (</w:t>
            </w:r>
            <w:r w:rsidRPr="00745CFE">
              <w:rPr>
                <w:b/>
                <w:sz w:val="20"/>
                <w:szCs w:val="20"/>
                <w:lang w:val="fr-CA"/>
              </w:rPr>
              <w:t>Qc</w:t>
            </w:r>
            <w:r w:rsidR="00242AEE" w:rsidRPr="00745CFE">
              <w:rPr>
                <w:b/>
                <w:sz w:val="20"/>
                <w:szCs w:val="20"/>
                <w:lang w:val="fr-CA"/>
              </w:rPr>
              <w:t>)</w:t>
            </w:r>
          </w:p>
          <w:p w:rsidR="00242AEE" w:rsidRPr="00A935AA" w:rsidRDefault="00242AEE" w:rsidP="003B3977">
            <w:pPr>
              <w:tabs>
                <w:tab w:val="left" w:pos="-1440"/>
                <w:tab w:val="left" w:pos="-720"/>
              </w:tabs>
              <w:rPr>
                <w:sz w:val="20"/>
                <w:szCs w:val="20"/>
              </w:rPr>
            </w:pPr>
            <w:r w:rsidRPr="00745CFE">
              <w:rPr>
                <w:sz w:val="20"/>
                <w:szCs w:val="20"/>
                <w:lang w:val="fr-CA"/>
              </w:rPr>
              <w:tab/>
            </w:r>
            <w:r w:rsidR="00745CFE">
              <w:rPr>
                <w:sz w:val="20"/>
                <w:szCs w:val="20"/>
              </w:rPr>
              <w:t>Julius H. Grey</w:t>
            </w:r>
          </w:p>
          <w:p w:rsidR="00242AEE" w:rsidRPr="00A935AA" w:rsidRDefault="00242AEE" w:rsidP="003B3977">
            <w:pPr>
              <w:tabs>
                <w:tab w:val="left" w:pos="-1440"/>
                <w:tab w:val="left" w:pos="-720"/>
              </w:tabs>
              <w:rPr>
                <w:sz w:val="20"/>
                <w:szCs w:val="20"/>
              </w:rPr>
            </w:pPr>
            <w:r w:rsidRPr="00A935AA">
              <w:rPr>
                <w:sz w:val="20"/>
                <w:szCs w:val="20"/>
              </w:rPr>
              <w:tab/>
            </w:r>
            <w:r w:rsidR="00745CFE">
              <w:rPr>
                <w:sz w:val="20"/>
                <w:szCs w:val="20"/>
              </w:rPr>
              <w:t>Grey, Casgrain</w:t>
            </w:r>
          </w:p>
          <w:p w:rsidR="00242AEE" w:rsidRPr="00A935AA" w:rsidRDefault="00242AEE" w:rsidP="003B3977">
            <w:pPr>
              <w:tabs>
                <w:tab w:val="left" w:pos="-1440"/>
                <w:tab w:val="left" w:pos="-720"/>
              </w:tabs>
              <w:rPr>
                <w:sz w:val="20"/>
                <w:szCs w:val="20"/>
              </w:rPr>
            </w:pPr>
          </w:p>
          <w:p w:rsidR="00242AEE" w:rsidRPr="00A935AA" w:rsidRDefault="00745CFE" w:rsidP="003B3977">
            <w:pPr>
              <w:rPr>
                <w:sz w:val="20"/>
                <w:szCs w:val="20"/>
              </w:rPr>
            </w:pPr>
            <w:r w:rsidRPr="00A935AA">
              <w:rPr>
                <w:sz w:val="20"/>
                <w:szCs w:val="20"/>
                <w:lang w:val="fr-CA"/>
              </w:rPr>
              <w:t>DATE DE PRODUCTION :</w:t>
            </w:r>
            <w:r w:rsidR="00242AEE" w:rsidRPr="00A935AA">
              <w:rPr>
                <w:sz w:val="20"/>
                <w:szCs w:val="20"/>
              </w:rPr>
              <w:t xml:space="preserve"> 2</w:t>
            </w:r>
            <w:r>
              <w:rPr>
                <w:sz w:val="20"/>
                <w:szCs w:val="20"/>
              </w:rPr>
              <w:t>1</w:t>
            </w:r>
            <w:r w:rsidR="00242AEE" w:rsidRPr="00A935AA">
              <w:rPr>
                <w:sz w:val="20"/>
                <w:szCs w:val="20"/>
              </w:rPr>
              <w:t>.0</w:t>
            </w:r>
            <w:r>
              <w:rPr>
                <w:sz w:val="20"/>
                <w:szCs w:val="20"/>
              </w:rPr>
              <w:t>1</w:t>
            </w:r>
            <w:r w:rsidR="00242AEE" w:rsidRPr="00A935AA">
              <w:rPr>
                <w:sz w:val="20"/>
                <w:szCs w:val="20"/>
              </w:rPr>
              <w:t>.201</w:t>
            </w:r>
            <w:r>
              <w:rPr>
                <w:sz w:val="20"/>
                <w:szCs w:val="20"/>
              </w:rPr>
              <w:t>1</w:t>
            </w:r>
          </w:p>
          <w:p w:rsidR="00242AEE" w:rsidRPr="00A935AA" w:rsidRDefault="003E529C" w:rsidP="003B3977">
            <w:pPr>
              <w:rPr>
                <w:sz w:val="20"/>
                <w:szCs w:val="20"/>
              </w:rPr>
            </w:pPr>
            <w:r w:rsidRPr="003E529C">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5B6444" w:rsidRDefault="005B6444" w:rsidP="005B6444">
            <w:pPr>
              <w:tabs>
                <w:tab w:val="left" w:pos="-1440"/>
                <w:tab w:val="left" w:pos="-720"/>
              </w:tabs>
              <w:rPr>
                <w:b/>
                <w:sz w:val="20"/>
                <w:szCs w:val="20"/>
              </w:rPr>
            </w:pPr>
            <w:r w:rsidRPr="005B6444">
              <w:rPr>
                <w:b/>
                <w:sz w:val="20"/>
                <w:szCs w:val="20"/>
              </w:rPr>
              <w:t>Cobalt Pharmaceuticals Inc.</w:t>
            </w:r>
          </w:p>
          <w:p w:rsidR="005B6444" w:rsidRPr="00A935AA" w:rsidRDefault="005B6444" w:rsidP="005B6444">
            <w:pPr>
              <w:keepNext/>
              <w:keepLines/>
              <w:tabs>
                <w:tab w:val="left" w:pos="-1440"/>
                <w:tab w:val="left" w:pos="-720"/>
              </w:tabs>
              <w:rPr>
                <w:sz w:val="20"/>
                <w:szCs w:val="20"/>
              </w:rPr>
            </w:pPr>
            <w:r w:rsidRPr="00A935AA">
              <w:rPr>
                <w:sz w:val="20"/>
                <w:szCs w:val="20"/>
              </w:rPr>
              <w:tab/>
            </w:r>
            <w:r>
              <w:rPr>
                <w:sz w:val="20"/>
                <w:szCs w:val="20"/>
              </w:rPr>
              <w:t>Douglas N. Deeth</w:t>
            </w:r>
          </w:p>
          <w:p w:rsidR="005B6444" w:rsidRPr="00A935AA" w:rsidRDefault="005B6444" w:rsidP="005B6444">
            <w:pPr>
              <w:tabs>
                <w:tab w:val="left" w:pos="-1440"/>
                <w:tab w:val="left" w:pos="-720"/>
              </w:tabs>
              <w:rPr>
                <w:sz w:val="20"/>
                <w:szCs w:val="20"/>
              </w:rPr>
            </w:pPr>
            <w:r w:rsidRPr="00A935AA">
              <w:rPr>
                <w:sz w:val="20"/>
                <w:szCs w:val="20"/>
              </w:rPr>
              <w:tab/>
            </w:r>
            <w:r>
              <w:rPr>
                <w:sz w:val="20"/>
                <w:szCs w:val="20"/>
              </w:rPr>
              <w:t>Deeth Williams Wall LLP</w:t>
            </w:r>
          </w:p>
          <w:p w:rsidR="005B6444" w:rsidRPr="00A935AA" w:rsidRDefault="005B6444" w:rsidP="005B6444">
            <w:pPr>
              <w:tabs>
                <w:tab w:val="left" w:pos="-1440"/>
                <w:tab w:val="left" w:pos="-720"/>
              </w:tabs>
              <w:rPr>
                <w:sz w:val="20"/>
                <w:szCs w:val="20"/>
              </w:rPr>
            </w:pPr>
          </w:p>
          <w:p w:rsidR="005B6444" w:rsidRPr="005B6444" w:rsidRDefault="005B6444" w:rsidP="005B6444">
            <w:pPr>
              <w:tabs>
                <w:tab w:val="left" w:pos="-1440"/>
                <w:tab w:val="left" w:pos="-720"/>
              </w:tabs>
              <w:rPr>
                <w:sz w:val="20"/>
                <w:szCs w:val="20"/>
                <w:lang w:val="en-US"/>
              </w:rPr>
            </w:pPr>
            <w:r w:rsidRPr="00A935AA">
              <w:rPr>
                <w:sz w:val="20"/>
                <w:szCs w:val="20"/>
              </w:rPr>
              <w:tab/>
            </w:r>
            <w:r w:rsidRPr="005B6444">
              <w:rPr>
                <w:sz w:val="20"/>
                <w:szCs w:val="20"/>
                <w:lang w:val="en-US"/>
              </w:rPr>
              <w:t>v. (34066)</w:t>
            </w:r>
          </w:p>
          <w:p w:rsidR="005B6444" w:rsidRPr="005B6444" w:rsidRDefault="005B6444" w:rsidP="005B6444">
            <w:pPr>
              <w:tabs>
                <w:tab w:val="left" w:pos="-1440"/>
                <w:tab w:val="left" w:pos="-720"/>
              </w:tabs>
              <w:rPr>
                <w:sz w:val="20"/>
                <w:szCs w:val="20"/>
                <w:lang w:val="en-US"/>
              </w:rPr>
            </w:pPr>
          </w:p>
          <w:p w:rsidR="005B6444" w:rsidRPr="005B6444" w:rsidRDefault="005B6444" w:rsidP="005B6444">
            <w:pPr>
              <w:tabs>
                <w:tab w:val="left" w:pos="-1440"/>
                <w:tab w:val="left" w:pos="-720"/>
              </w:tabs>
              <w:rPr>
                <w:b/>
                <w:sz w:val="20"/>
                <w:szCs w:val="20"/>
                <w:lang w:val="fr-CA"/>
              </w:rPr>
            </w:pPr>
            <w:r w:rsidRPr="005B6444">
              <w:rPr>
                <w:b/>
                <w:sz w:val="20"/>
                <w:szCs w:val="20"/>
                <w:lang w:val="fr-CA"/>
              </w:rPr>
              <w:t>Lundbeck Canada Inc. et al. (F.C.)</w:t>
            </w:r>
          </w:p>
          <w:p w:rsidR="005B6444" w:rsidRPr="005B6444" w:rsidRDefault="005B6444" w:rsidP="005B6444">
            <w:pPr>
              <w:tabs>
                <w:tab w:val="left" w:pos="-1440"/>
                <w:tab w:val="left" w:pos="-720"/>
              </w:tabs>
              <w:rPr>
                <w:sz w:val="20"/>
                <w:szCs w:val="20"/>
                <w:lang w:val="fr-CA"/>
              </w:rPr>
            </w:pPr>
            <w:r w:rsidRPr="005B6444">
              <w:rPr>
                <w:sz w:val="20"/>
                <w:szCs w:val="20"/>
                <w:lang w:val="fr-CA"/>
              </w:rPr>
              <w:tab/>
              <w:t>Marie Lafleur</w:t>
            </w:r>
          </w:p>
          <w:p w:rsidR="005B6444" w:rsidRPr="005B6444" w:rsidRDefault="005B6444" w:rsidP="005B6444">
            <w:pPr>
              <w:tabs>
                <w:tab w:val="left" w:pos="-1440"/>
                <w:tab w:val="left" w:pos="-720"/>
              </w:tabs>
              <w:rPr>
                <w:sz w:val="20"/>
                <w:szCs w:val="20"/>
                <w:lang w:val="en-US"/>
              </w:rPr>
            </w:pPr>
            <w:r w:rsidRPr="005B6444">
              <w:rPr>
                <w:sz w:val="20"/>
                <w:szCs w:val="20"/>
                <w:lang w:val="fr-CA"/>
              </w:rPr>
              <w:tab/>
            </w:r>
            <w:r>
              <w:rPr>
                <w:sz w:val="20"/>
                <w:szCs w:val="20"/>
                <w:lang w:val="en-US"/>
              </w:rPr>
              <w:t>Fasken Martineau DuMoulin LLP</w:t>
            </w:r>
          </w:p>
          <w:p w:rsidR="005B6444" w:rsidRPr="005B6444" w:rsidRDefault="005B6444" w:rsidP="005B6444">
            <w:pPr>
              <w:tabs>
                <w:tab w:val="left" w:pos="-1440"/>
                <w:tab w:val="left" w:pos="-720"/>
              </w:tabs>
              <w:rPr>
                <w:sz w:val="20"/>
                <w:szCs w:val="20"/>
                <w:lang w:val="en-US"/>
              </w:rPr>
            </w:pPr>
          </w:p>
          <w:p w:rsidR="005B6444" w:rsidRDefault="005B6444" w:rsidP="005B6444">
            <w:pPr>
              <w:keepNext/>
              <w:keepLines/>
              <w:tabs>
                <w:tab w:val="left" w:pos="-1440"/>
                <w:tab w:val="left" w:pos="-720"/>
              </w:tabs>
              <w:rPr>
                <w:sz w:val="20"/>
                <w:szCs w:val="20"/>
              </w:rPr>
            </w:pPr>
            <w:r w:rsidRPr="00A935AA">
              <w:rPr>
                <w:sz w:val="20"/>
                <w:szCs w:val="20"/>
              </w:rPr>
              <w:t>FILING DATE: 2</w:t>
            </w:r>
            <w:r>
              <w:rPr>
                <w:sz w:val="20"/>
                <w:szCs w:val="20"/>
              </w:rPr>
              <w:t>4</w:t>
            </w:r>
            <w:r w:rsidRPr="00A935AA">
              <w:rPr>
                <w:sz w:val="20"/>
                <w:szCs w:val="20"/>
              </w:rPr>
              <w:t>.0</w:t>
            </w:r>
            <w:r>
              <w:rPr>
                <w:sz w:val="20"/>
                <w:szCs w:val="20"/>
              </w:rPr>
              <w:t>1</w:t>
            </w:r>
            <w:r w:rsidRPr="00A935AA">
              <w:rPr>
                <w:sz w:val="20"/>
                <w:szCs w:val="20"/>
              </w:rPr>
              <w:t>.201</w:t>
            </w:r>
            <w:r>
              <w:rPr>
                <w:sz w:val="20"/>
                <w:szCs w:val="20"/>
              </w:rPr>
              <w:t>1</w:t>
            </w:r>
          </w:p>
          <w:p w:rsidR="00242AEE" w:rsidRPr="00A935AA" w:rsidRDefault="003E529C" w:rsidP="003B3977">
            <w:pPr>
              <w:rPr>
                <w:sz w:val="20"/>
                <w:szCs w:val="20"/>
              </w:rPr>
            </w:pPr>
            <w:r w:rsidRPr="003E529C">
              <w:rPr>
                <w:sz w:val="20"/>
                <w:szCs w:val="20"/>
                <w:lang w:val="fr-CA"/>
              </w:rPr>
              <w:pict>
                <v:rect id="_x0000_i1032" style="width:108pt;height:1pt" o:hrpct="0" o:hralign="center" o:hrstd="t" o:hrnoshade="t" o:hr="t" fillcolor="black [3213]" stroked="f"/>
              </w:pict>
            </w:r>
          </w:p>
        </w:tc>
      </w:tr>
      <w:tr w:rsidR="00242AEE" w:rsidRPr="00A935AA" w:rsidTr="003B3977">
        <w:trPr>
          <w:cantSplit/>
        </w:trPr>
        <w:tc>
          <w:tcPr>
            <w:tcW w:w="4320" w:type="dxa"/>
            <w:shd w:val="clear" w:color="auto" w:fill="auto"/>
          </w:tcPr>
          <w:p w:rsidR="00242AEE" w:rsidRPr="00214711" w:rsidRDefault="00214711" w:rsidP="003B3977">
            <w:pPr>
              <w:rPr>
                <w:b/>
                <w:sz w:val="20"/>
                <w:szCs w:val="20"/>
              </w:rPr>
            </w:pPr>
            <w:r w:rsidRPr="00214711">
              <w:rPr>
                <w:b/>
                <w:sz w:val="20"/>
                <w:szCs w:val="20"/>
              </w:rPr>
              <w:lastRenderedPageBreak/>
              <w:t>Cary Ulmer</w:t>
            </w:r>
          </w:p>
          <w:p w:rsidR="00214711" w:rsidRDefault="00214711" w:rsidP="00214711">
            <w:pPr>
              <w:rPr>
                <w:sz w:val="20"/>
                <w:szCs w:val="20"/>
              </w:rPr>
            </w:pPr>
            <w:r>
              <w:rPr>
                <w:sz w:val="20"/>
                <w:szCs w:val="20"/>
              </w:rPr>
              <w:tab/>
              <w:t>Ryan D.W. Dalziel</w:t>
            </w:r>
          </w:p>
          <w:p w:rsidR="00214711" w:rsidRPr="00745CFE" w:rsidRDefault="00214711" w:rsidP="00214711">
            <w:pPr>
              <w:keepNext/>
              <w:keepLines/>
              <w:tabs>
                <w:tab w:val="left" w:pos="-1440"/>
                <w:tab w:val="left" w:pos="-720"/>
              </w:tabs>
              <w:rPr>
                <w:sz w:val="20"/>
                <w:szCs w:val="20"/>
                <w:lang w:val="en-US"/>
              </w:rPr>
            </w:pPr>
            <w:r w:rsidRPr="00745CFE">
              <w:rPr>
                <w:sz w:val="20"/>
                <w:szCs w:val="20"/>
                <w:lang w:val="en-US"/>
              </w:rPr>
              <w:tab/>
              <w:t>Bull, Housser &amp; Tupper LLP</w:t>
            </w:r>
          </w:p>
          <w:p w:rsidR="00214711" w:rsidRPr="00745CFE" w:rsidRDefault="00214711" w:rsidP="00214711">
            <w:pPr>
              <w:keepNext/>
              <w:keepLines/>
              <w:tabs>
                <w:tab w:val="left" w:pos="-1440"/>
                <w:tab w:val="left" w:pos="-720"/>
              </w:tabs>
              <w:rPr>
                <w:sz w:val="20"/>
                <w:szCs w:val="20"/>
                <w:lang w:val="en-US"/>
              </w:rPr>
            </w:pPr>
          </w:p>
          <w:p w:rsidR="00214711" w:rsidRPr="00745CFE" w:rsidRDefault="00214711" w:rsidP="00214711">
            <w:pPr>
              <w:keepNext/>
              <w:keepLines/>
              <w:tabs>
                <w:tab w:val="left" w:pos="-1440"/>
                <w:tab w:val="left" w:pos="-720"/>
              </w:tabs>
              <w:rPr>
                <w:sz w:val="20"/>
                <w:szCs w:val="20"/>
                <w:lang w:val="en-US"/>
              </w:rPr>
            </w:pPr>
            <w:r w:rsidRPr="00745CFE">
              <w:rPr>
                <w:sz w:val="20"/>
                <w:szCs w:val="20"/>
                <w:lang w:val="en-US"/>
              </w:rPr>
              <w:tab/>
              <w:t>v. (34061)</w:t>
            </w:r>
          </w:p>
          <w:p w:rsidR="00214711" w:rsidRDefault="00214711" w:rsidP="00214711">
            <w:pPr>
              <w:rPr>
                <w:sz w:val="20"/>
                <w:szCs w:val="20"/>
                <w:lang w:val="en-US"/>
              </w:rPr>
            </w:pPr>
          </w:p>
          <w:p w:rsidR="00214711" w:rsidRPr="00745CFE" w:rsidRDefault="00214711" w:rsidP="00214711">
            <w:pPr>
              <w:keepNext/>
              <w:keepLines/>
              <w:tabs>
                <w:tab w:val="left" w:pos="-1440"/>
                <w:tab w:val="left" w:pos="-720"/>
              </w:tabs>
              <w:rPr>
                <w:b/>
                <w:sz w:val="20"/>
                <w:szCs w:val="20"/>
                <w:lang w:val="en-US"/>
              </w:rPr>
            </w:pPr>
            <w:r w:rsidRPr="00745CFE">
              <w:rPr>
                <w:b/>
                <w:sz w:val="20"/>
                <w:szCs w:val="20"/>
                <w:lang w:val="en-US"/>
              </w:rPr>
              <w:t>British Columbia Society for the Prevention of Cruelty to Animals (</w:t>
            </w:r>
            <w:r>
              <w:rPr>
                <w:b/>
                <w:sz w:val="20"/>
                <w:szCs w:val="20"/>
                <w:lang w:val="en-US"/>
              </w:rPr>
              <w:t>B.C.</w:t>
            </w:r>
            <w:r w:rsidRPr="00745CFE">
              <w:rPr>
                <w:b/>
                <w:sz w:val="20"/>
                <w:szCs w:val="20"/>
                <w:lang w:val="en-US"/>
              </w:rPr>
              <w:t>)</w:t>
            </w:r>
          </w:p>
          <w:p w:rsidR="00214711" w:rsidRPr="00745CFE" w:rsidRDefault="00214711" w:rsidP="00214711">
            <w:pPr>
              <w:keepNext/>
              <w:keepLines/>
              <w:tabs>
                <w:tab w:val="left" w:pos="-1440"/>
                <w:tab w:val="left" w:pos="-720"/>
              </w:tabs>
              <w:rPr>
                <w:sz w:val="20"/>
                <w:szCs w:val="20"/>
                <w:lang w:val="en-US"/>
              </w:rPr>
            </w:pPr>
            <w:r w:rsidRPr="00745CFE">
              <w:rPr>
                <w:sz w:val="20"/>
                <w:szCs w:val="20"/>
                <w:lang w:val="en-US"/>
              </w:rPr>
              <w:tab/>
              <w:t>Christopher A. Rhone</w:t>
            </w:r>
          </w:p>
          <w:p w:rsidR="00214711" w:rsidRPr="00745CFE" w:rsidRDefault="00214711" w:rsidP="00214711">
            <w:pPr>
              <w:keepNext/>
              <w:keepLines/>
              <w:tabs>
                <w:tab w:val="left" w:pos="-1440"/>
                <w:tab w:val="left" w:pos="-720"/>
              </w:tabs>
              <w:rPr>
                <w:sz w:val="20"/>
                <w:szCs w:val="20"/>
                <w:lang w:val="en-US"/>
              </w:rPr>
            </w:pPr>
            <w:r w:rsidRPr="00745CFE">
              <w:rPr>
                <w:sz w:val="20"/>
                <w:szCs w:val="20"/>
                <w:lang w:val="en-US"/>
              </w:rPr>
              <w:tab/>
              <w:t>Branch, MacMaster LLP</w:t>
            </w:r>
          </w:p>
          <w:p w:rsidR="00214711" w:rsidRPr="00745CFE" w:rsidRDefault="00214711" w:rsidP="00214711">
            <w:pPr>
              <w:keepNext/>
              <w:keepLines/>
              <w:tabs>
                <w:tab w:val="left" w:pos="-1440"/>
                <w:tab w:val="left" w:pos="-720"/>
              </w:tabs>
              <w:rPr>
                <w:sz w:val="20"/>
                <w:szCs w:val="20"/>
                <w:lang w:val="en-US"/>
              </w:rPr>
            </w:pPr>
          </w:p>
          <w:p w:rsidR="00214711" w:rsidRPr="00A935AA" w:rsidRDefault="00214711" w:rsidP="00214711">
            <w:pPr>
              <w:rPr>
                <w:sz w:val="20"/>
                <w:szCs w:val="20"/>
              </w:rPr>
            </w:pPr>
            <w:r w:rsidRPr="00A935AA">
              <w:rPr>
                <w:sz w:val="20"/>
                <w:szCs w:val="20"/>
              </w:rPr>
              <w:t>FILING DATE:</w:t>
            </w:r>
            <w:r w:rsidRPr="00A935AA">
              <w:rPr>
                <w:sz w:val="20"/>
                <w:szCs w:val="20"/>
                <w:lang w:val="fr-CA"/>
              </w:rPr>
              <w:t xml:space="preserve"> </w:t>
            </w:r>
            <w:r>
              <w:rPr>
                <w:sz w:val="20"/>
                <w:szCs w:val="20"/>
                <w:lang w:val="fr-CA"/>
              </w:rPr>
              <w:t>24</w:t>
            </w:r>
            <w:r w:rsidRPr="00A935AA">
              <w:rPr>
                <w:sz w:val="20"/>
                <w:szCs w:val="20"/>
                <w:lang w:val="fr-CA"/>
              </w:rPr>
              <w:t>.</w:t>
            </w:r>
            <w:r>
              <w:rPr>
                <w:sz w:val="20"/>
                <w:szCs w:val="20"/>
                <w:lang w:val="fr-CA"/>
              </w:rPr>
              <w:t>0</w:t>
            </w:r>
            <w:r w:rsidRPr="00A935AA">
              <w:rPr>
                <w:sz w:val="20"/>
                <w:szCs w:val="20"/>
                <w:lang w:val="fr-CA"/>
              </w:rPr>
              <w:t>1.201</w:t>
            </w:r>
            <w:r>
              <w:rPr>
                <w:sz w:val="20"/>
                <w:szCs w:val="20"/>
                <w:lang w:val="fr-CA"/>
              </w:rPr>
              <w:t>1</w:t>
            </w:r>
          </w:p>
          <w:p w:rsidR="00214711" w:rsidRDefault="003E529C" w:rsidP="00214711">
            <w:pPr>
              <w:rPr>
                <w:sz w:val="20"/>
                <w:szCs w:val="20"/>
                <w:lang w:val="en-US"/>
              </w:rPr>
            </w:pPr>
            <w:r w:rsidRPr="003E529C">
              <w:rPr>
                <w:sz w:val="20"/>
                <w:szCs w:val="20"/>
                <w:lang w:val="fr-CA"/>
              </w:rPr>
              <w:pict>
                <v:rect id="_x0000_i1033" style="width:108pt;height:1pt" o:hrpct="0" o:hralign="center" o:hrstd="t" o:hrnoshade="t" o:hr="t" fillcolor="black [3213]" stroked="f"/>
              </w:pict>
            </w:r>
          </w:p>
          <w:p w:rsidR="00214711" w:rsidRPr="00214711" w:rsidRDefault="00214711" w:rsidP="00214711">
            <w:pPr>
              <w:rPr>
                <w:sz w:val="20"/>
                <w:szCs w:val="20"/>
                <w:lang w:val="en-US"/>
              </w:rPr>
            </w:pP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242AEE" w:rsidP="003B3977">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444EFC">
          <w:headerReference w:type="default" r:id="rId15"/>
          <w:footerReference w:type="default" r:id="rId16"/>
          <w:headerReference w:type="first" r:id="rId17"/>
          <w:footerReference w:type="first" r:id="rId18"/>
          <w:pgSz w:w="12240" w:h="15840"/>
          <w:pgMar w:top="720" w:right="965" w:bottom="1080" w:left="1656" w:header="706" w:footer="706" w:gutter="0"/>
          <w:pgNumType w:start="18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9122D4"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AF63D3" w:rsidP="002E2327">
      <w:pPr>
        <w:widowControl w:val="0"/>
        <w:rPr>
          <w:b/>
          <w:sz w:val="20"/>
          <w:szCs w:val="20"/>
        </w:rPr>
      </w:pPr>
      <w:r>
        <w:rPr>
          <w:b/>
          <w:sz w:val="20"/>
          <w:szCs w:val="20"/>
        </w:rPr>
        <w:t>FEBRUARY</w:t>
      </w:r>
      <w:r w:rsidR="002E2327" w:rsidRPr="00C50A5C">
        <w:rPr>
          <w:b/>
          <w:sz w:val="20"/>
          <w:szCs w:val="20"/>
        </w:rPr>
        <w:t xml:space="preserve"> </w:t>
      </w:r>
      <w:r>
        <w:rPr>
          <w:b/>
          <w:sz w:val="20"/>
          <w:szCs w:val="20"/>
        </w:rPr>
        <w:t>7</w:t>
      </w:r>
      <w:r w:rsidR="002E2327" w:rsidRPr="00C50A5C">
        <w:rPr>
          <w:b/>
          <w:sz w:val="20"/>
          <w:szCs w:val="20"/>
        </w:rPr>
        <w:t>, 201</w:t>
      </w:r>
      <w:r>
        <w:rPr>
          <w:b/>
          <w:sz w:val="20"/>
          <w:szCs w:val="20"/>
        </w:rPr>
        <w:t>1</w:t>
      </w:r>
      <w:r w:rsidR="002E2327" w:rsidRPr="00C50A5C">
        <w:rPr>
          <w:b/>
          <w:sz w:val="20"/>
          <w:szCs w:val="20"/>
        </w:rPr>
        <w:t xml:space="preserve"> / LE </w:t>
      </w:r>
      <w:r>
        <w:rPr>
          <w:b/>
          <w:sz w:val="20"/>
          <w:szCs w:val="20"/>
        </w:rPr>
        <w:t>7 FÉVRIER</w:t>
      </w:r>
      <w:r w:rsidR="002E2327" w:rsidRPr="00C50A5C">
        <w:rPr>
          <w:b/>
          <w:sz w:val="20"/>
          <w:szCs w:val="20"/>
        </w:rPr>
        <w:t xml:space="preserve"> 201</w:t>
      </w:r>
      <w:r>
        <w:rPr>
          <w:b/>
          <w:sz w:val="20"/>
          <w:szCs w:val="20"/>
        </w:rPr>
        <w:t>1</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CORAM:  Chief Justice McLachlin and Abella and Cromwell JJ.</w:t>
      </w:r>
    </w:p>
    <w:p w:rsidR="002E2327" w:rsidRPr="00C50A5C" w:rsidRDefault="002E2327" w:rsidP="002E2327">
      <w:pPr>
        <w:widowControl w:val="0"/>
        <w:jc w:val="center"/>
        <w:rPr>
          <w:sz w:val="20"/>
          <w:szCs w:val="20"/>
          <w:lang w:val="fr-CA"/>
        </w:rPr>
      </w:pPr>
      <w:r w:rsidRPr="00C50A5C">
        <w:rPr>
          <w:b/>
          <w:sz w:val="20"/>
          <w:szCs w:val="20"/>
          <w:lang w:val="fr-CA"/>
        </w:rPr>
        <w:t>La juge en chef McLachlin et les juges Abella et Cromwell</w:t>
      </w:r>
    </w:p>
    <w:p w:rsidR="002E2327" w:rsidRPr="00C50A5C" w:rsidRDefault="002E2327" w:rsidP="002E2327">
      <w:pPr>
        <w:widowControl w:val="0"/>
        <w:rPr>
          <w:sz w:val="20"/>
          <w:szCs w:val="20"/>
          <w:lang w:val="fr-CA"/>
        </w:rPr>
      </w:pPr>
    </w:p>
    <w:p w:rsidR="002E2327" w:rsidRPr="00D02375" w:rsidRDefault="00D02375" w:rsidP="00C50A5C">
      <w:pPr>
        <w:pStyle w:val="ListParagraph"/>
        <w:widowControl w:val="0"/>
        <w:numPr>
          <w:ilvl w:val="0"/>
          <w:numId w:val="1"/>
        </w:numPr>
        <w:ind w:hanging="720"/>
        <w:jc w:val="both"/>
        <w:rPr>
          <w:sz w:val="20"/>
          <w:szCs w:val="20"/>
          <w:lang w:val="fr-CA"/>
        </w:rPr>
      </w:pPr>
      <w:r w:rsidRPr="00AE09A3">
        <w:rPr>
          <w:rFonts w:cs="Times New Roman"/>
          <w:i/>
          <w:sz w:val="20"/>
          <w:szCs w:val="20"/>
          <w:lang w:val="fr-CA"/>
        </w:rPr>
        <w:t>Sa Majesté la Reine et autre c. Anic St-Onge Lamoureux</w:t>
      </w:r>
      <w:r w:rsidRPr="00AF63D3">
        <w:rPr>
          <w:rFonts w:cs="Times New Roman"/>
          <w:sz w:val="20"/>
          <w:szCs w:val="20"/>
          <w:lang w:val="fr-CA"/>
        </w:rPr>
        <w:t xml:space="preserve"> (Qc) (Crim</w:t>
      </w:r>
      <w:r>
        <w:rPr>
          <w:rFonts w:cs="Times New Roman"/>
          <w:sz w:val="20"/>
          <w:szCs w:val="20"/>
          <w:lang w:val="fr-CA"/>
        </w:rPr>
        <w:t>.</w:t>
      </w:r>
      <w:r w:rsidRPr="00AF63D3">
        <w:rPr>
          <w:rFonts w:cs="Times New Roman"/>
          <w:sz w:val="20"/>
          <w:szCs w:val="20"/>
          <w:lang w:val="fr-CA"/>
        </w:rPr>
        <w:t xml:space="preserve">) </w:t>
      </w:r>
      <w:r w:rsidRPr="00D02375">
        <w:rPr>
          <w:rFonts w:cs="Times New Roman"/>
          <w:sz w:val="20"/>
          <w:szCs w:val="20"/>
          <w:lang w:val="fr-CA"/>
        </w:rPr>
        <w:t>(Autorisation)</w:t>
      </w:r>
      <w:r w:rsidRPr="00D02375">
        <w:rPr>
          <w:sz w:val="20"/>
          <w:szCs w:val="20"/>
          <w:lang w:val="fr-CA"/>
        </w:rPr>
        <w:t xml:space="preserve"> </w:t>
      </w:r>
      <w:r w:rsidR="002E2327" w:rsidRPr="00D02375">
        <w:rPr>
          <w:sz w:val="20"/>
          <w:szCs w:val="20"/>
          <w:lang w:val="fr-CA"/>
        </w:rPr>
        <w:t>(33</w:t>
      </w:r>
      <w:r w:rsidR="00AF63D3" w:rsidRPr="00D02375">
        <w:rPr>
          <w:sz w:val="20"/>
          <w:szCs w:val="20"/>
          <w:lang w:val="fr-CA"/>
        </w:rPr>
        <w:t>970</w:t>
      </w:r>
      <w:r w:rsidR="002E2327" w:rsidRPr="00D02375">
        <w:rPr>
          <w:sz w:val="20"/>
          <w:szCs w:val="20"/>
          <w:lang w:val="fr-CA"/>
        </w:rPr>
        <w:t>)</w:t>
      </w:r>
    </w:p>
    <w:p w:rsidR="002E2327" w:rsidRPr="00D02375" w:rsidRDefault="002E2327" w:rsidP="00C50A5C">
      <w:pPr>
        <w:widowControl w:val="0"/>
        <w:jc w:val="both"/>
        <w:rPr>
          <w:sz w:val="20"/>
          <w:szCs w:val="20"/>
          <w:lang w:val="fr-CA"/>
        </w:rPr>
      </w:pPr>
    </w:p>
    <w:p w:rsidR="002E2327" w:rsidRPr="00C50A5C" w:rsidRDefault="00D02375" w:rsidP="00C50A5C">
      <w:pPr>
        <w:pStyle w:val="ListParagraph"/>
        <w:widowControl w:val="0"/>
        <w:numPr>
          <w:ilvl w:val="0"/>
          <w:numId w:val="1"/>
        </w:numPr>
        <w:ind w:hanging="720"/>
        <w:jc w:val="both"/>
        <w:rPr>
          <w:sz w:val="20"/>
          <w:szCs w:val="20"/>
        </w:rPr>
      </w:pPr>
      <w:r w:rsidRPr="00AE09A3">
        <w:rPr>
          <w:rFonts w:cs="Times New Roman"/>
          <w:i/>
          <w:sz w:val="20"/>
          <w:szCs w:val="20"/>
        </w:rPr>
        <w:t>Alan Geoffrey Steele v. Her Majesty the Queen</w:t>
      </w:r>
      <w:r w:rsidRPr="00AF63D3">
        <w:rPr>
          <w:rFonts w:cs="Times New Roman"/>
          <w:sz w:val="20"/>
          <w:szCs w:val="20"/>
        </w:rPr>
        <w:t xml:space="preserve"> (B.C.) (Crim</w:t>
      </w:r>
      <w:r>
        <w:rPr>
          <w:rFonts w:cs="Times New Roman"/>
          <w:sz w:val="20"/>
          <w:szCs w:val="20"/>
        </w:rPr>
        <w:t>.</w:t>
      </w:r>
      <w:r w:rsidRPr="00AF63D3">
        <w:rPr>
          <w:rFonts w:cs="Times New Roman"/>
          <w:sz w:val="20"/>
          <w:szCs w:val="20"/>
        </w:rPr>
        <w:t>) (By Leave)</w:t>
      </w:r>
      <w:r w:rsidRPr="00C50A5C">
        <w:rPr>
          <w:sz w:val="20"/>
          <w:szCs w:val="20"/>
        </w:rPr>
        <w:t xml:space="preserve"> </w:t>
      </w:r>
      <w:r w:rsidR="002E2327" w:rsidRPr="00C50A5C">
        <w:rPr>
          <w:sz w:val="20"/>
          <w:szCs w:val="20"/>
        </w:rPr>
        <w:t>(34</w:t>
      </w:r>
      <w:r w:rsidR="00AF63D3">
        <w:rPr>
          <w:sz w:val="20"/>
          <w:szCs w:val="20"/>
        </w:rPr>
        <w:t>030</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D02375" w:rsidP="00C50A5C">
      <w:pPr>
        <w:pStyle w:val="ListParagraph"/>
        <w:widowControl w:val="0"/>
        <w:numPr>
          <w:ilvl w:val="0"/>
          <w:numId w:val="1"/>
        </w:numPr>
        <w:ind w:hanging="720"/>
        <w:jc w:val="both"/>
        <w:rPr>
          <w:sz w:val="20"/>
          <w:szCs w:val="20"/>
        </w:rPr>
      </w:pPr>
      <w:r w:rsidRPr="00AE09A3">
        <w:rPr>
          <w:rFonts w:cs="Times New Roman"/>
          <w:i/>
          <w:sz w:val="20"/>
          <w:szCs w:val="20"/>
        </w:rPr>
        <w:t>Merchant Law Group v. Her Majesty the Queen</w:t>
      </w:r>
      <w:r w:rsidRPr="00AF63D3">
        <w:rPr>
          <w:rFonts w:cs="Times New Roman"/>
          <w:sz w:val="20"/>
          <w:szCs w:val="20"/>
        </w:rPr>
        <w:t xml:space="preserve"> (F</w:t>
      </w:r>
      <w:r>
        <w:rPr>
          <w:rFonts w:cs="Times New Roman"/>
          <w:sz w:val="20"/>
          <w:szCs w:val="20"/>
        </w:rPr>
        <w:t>.</w:t>
      </w:r>
      <w:r w:rsidRPr="00AF63D3">
        <w:rPr>
          <w:rFonts w:cs="Times New Roman"/>
          <w:sz w:val="20"/>
          <w:szCs w:val="20"/>
        </w:rPr>
        <w:t>C</w:t>
      </w:r>
      <w:r>
        <w:rPr>
          <w:rFonts w:cs="Times New Roman"/>
          <w:sz w:val="20"/>
          <w:szCs w:val="20"/>
        </w:rPr>
        <w:t>.</w:t>
      </w:r>
      <w:r w:rsidRPr="00AF63D3">
        <w:rPr>
          <w:rFonts w:cs="Times New Roman"/>
          <w:sz w:val="20"/>
          <w:szCs w:val="20"/>
        </w:rPr>
        <w:t>) (Civil) (By Leave)</w:t>
      </w:r>
      <w:r w:rsidRPr="00C50A5C">
        <w:rPr>
          <w:sz w:val="20"/>
          <w:szCs w:val="20"/>
        </w:rPr>
        <w:t xml:space="preserve"> </w:t>
      </w:r>
      <w:r w:rsidR="002E2327" w:rsidRPr="00C50A5C">
        <w:rPr>
          <w:sz w:val="20"/>
          <w:szCs w:val="20"/>
        </w:rPr>
        <w:t>(338</w:t>
      </w:r>
      <w:r w:rsidR="00AF63D3">
        <w:rPr>
          <w:sz w:val="20"/>
          <w:szCs w:val="20"/>
        </w:rPr>
        <w:t>95</w:t>
      </w:r>
      <w:r w:rsidR="002E2327" w:rsidRPr="00C50A5C">
        <w:rPr>
          <w:sz w:val="20"/>
          <w:szCs w:val="20"/>
        </w:rPr>
        <w:t>)</w:t>
      </w:r>
    </w:p>
    <w:p w:rsidR="002E2327" w:rsidRPr="00C50A5C" w:rsidRDefault="002E2327" w:rsidP="002E2327">
      <w:pPr>
        <w:widowControl w:val="0"/>
        <w:rPr>
          <w:sz w:val="20"/>
          <w:szCs w:val="20"/>
        </w:rPr>
      </w:pPr>
    </w:p>
    <w:p w:rsidR="002E2327" w:rsidRPr="00C50A5C" w:rsidRDefault="002E2327" w:rsidP="002E2327">
      <w:pPr>
        <w:widowControl w:val="0"/>
        <w:rPr>
          <w:sz w:val="20"/>
          <w:szCs w:val="20"/>
        </w:rPr>
      </w:pPr>
    </w:p>
    <w:p w:rsidR="002E2327" w:rsidRPr="00C50A5C" w:rsidRDefault="002E2327" w:rsidP="002E2327">
      <w:pPr>
        <w:widowControl w:val="0"/>
        <w:jc w:val="center"/>
        <w:rPr>
          <w:b/>
          <w:sz w:val="20"/>
          <w:szCs w:val="20"/>
        </w:rPr>
      </w:pPr>
      <w:r w:rsidRPr="00C50A5C">
        <w:rPr>
          <w:b/>
          <w:sz w:val="20"/>
          <w:szCs w:val="20"/>
        </w:rPr>
        <w:t>CORAM: Binnie, Fish and Rothstein JJ.</w:t>
      </w:r>
    </w:p>
    <w:p w:rsidR="002E2327" w:rsidRPr="00C50A5C" w:rsidRDefault="002E2327" w:rsidP="002E2327">
      <w:pPr>
        <w:widowControl w:val="0"/>
        <w:jc w:val="center"/>
        <w:rPr>
          <w:b/>
          <w:sz w:val="20"/>
          <w:szCs w:val="20"/>
          <w:lang w:val="fr-CA"/>
        </w:rPr>
      </w:pPr>
      <w:r w:rsidRPr="00C50A5C">
        <w:rPr>
          <w:b/>
          <w:sz w:val="20"/>
          <w:szCs w:val="20"/>
          <w:lang w:val="fr-CA"/>
        </w:rPr>
        <w:t>Les juges Binnie, Fish et Rothstein</w:t>
      </w:r>
    </w:p>
    <w:p w:rsidR="002E2327" w:rsidRPr="00C50A5C" w:rsidRDefault="002E2327" w:rsidP="002E2327">
      <w:pPr>
        <w:widowControl w:val="0"/>
        <w:rPr>
          <w:sz w:val="20"/>
          <w:szCs w:val="20"/>
          <w:lang w:val="fr-CA"/>
        </w:rPr>
      </w:pPr>
    </w:p>
    <w:p w:rsidR="002E2327" w:rsidRPr="00C50A5C" w:rsidRDefault="00D02375" w:rsidP="00C50A5C">
      <w:pPr>
        <w:pStyle w:val="ListParagraph"/>
        <w:widowControl w:val="0"/>
        <w:numPr>
          <w:ilvl w:val="0"/>
          <w:numId w:val="1"/>
        </w:numPr>
        <w:ind w:hanging="720"/>
        <w:jc w:val="both"/>
        <w:rPr>
          <w:sz w:val="20"/>
          <w:szCs w:val="20"/>
        </w:rPr>
      </w:pPr>
      <w:r w:rsidRPr="00AE09A3">
        <w:rPr>
          <w:rFonts w:cs="Times New Roman"/>
          <w:i/>
          <w:sz w:val="20"/>
          <w:szCs w:val="20"/>
        </w:rPr>
        <w:t xml:space="preserve">Stephen Paul </w:t>
      </w:r>
      <w:r w:rsidR="00E4122F" w:rsidRPr="00AE09A3">
        <w:rPr>
          <w:rFonts w:cs="Times New Roman"/>
          <w:i/>
          <w:sz w:val="20"/>
          <w:szCs w:val="20"/>
        </w:rPr>
        <w:t>v. Her Majesty the Queen</w:t>
      </w:r>
      <w:r w:rsidR="00E4122F" w:rsidRPr="00C50A5C">
        <w:rPr>
          <w:sz w:val="20"/>
          <w:szCs w:val="20"/>
        </w:rPr>
        <w:t xml:space="preserve"> </w:t>
      </w:r>
      <w:r w:rsidRPr="00AF63D3">
        <w:rPr>
          <w:rFonts w:cs="Times New Roman"/>
          <w:sz w:val="20"/>
          <w:szCs w:val="20"/>
        </w:rPr>
        <w:t>(Ont.) (Crim</w:t>
      </w:r>
      <w:r>
        <w:rPr>
          <w:rFonts w:cs="Times New Roman"/>
          <w:sz w:val="20"/>
          <w:szCs w:val="20"/>
        </w:rPr>
        <w:t>.</w:t>
      </w:r>
      <w:r w:rsidRPr="00AF63D3">
        <w:rPr>
          <w:rFonts w:cs="Times New Roman"/>
          <w:sz w:val="20"/>
          <w:szCs w:val="20"/>
        </w:rPr>
        <w:t>) (By Leave)</w:t>
      </w:r>
      <w:r w:rsidRPr="00C50A5C">
        <w:rPr>
          <w:sz w:val="20"/>
          <w:szCs w:val="20"/>
        </w:rPr>
        <w:t xml:space="preserve"> </w:t>
      </w:r>
      <w:r w:rsidR="002E2327" w:rsidRPr="00C50A5C">
        <w:rPr>
          <w:sz w:val="20"/>
          <w:szCs w:val="20"/>
        </w:rPr>
        <w:t>(33</w:t>
      </w:r>
      <w:r w:rsidR="00AF63D3">
        <w:rPr>
          <w:sz w:val="20"/>
          <w:szCs w:val="20"/>
        </w:rPr>
        <w:t>9</w:t>
      </w:r>
      <w:r w:rsidR="002E2327" w:rsidRPr="00C50A5C">
        <w:rPr>
          <w:sz w:val="20"/>
          <w:szCs w:val="20"/>
        </w:rPr>
        <w:t>6</w:t>
      </w:r>
      <w:r w:rsidR="00AF63D3">
        <w:rPr>
          <w:sz w:val="20"/>
          <w:szCs w:val="20"/>
        </w:rPr>
        <w:t>1</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D02375" w:rsidP="00C50A5C">
      <w:pPr>
        <w:pStyle w:val="ListParagraph"/>
        <w:widowControl w:val="0"/>
        <w:numPr>
          <w:ilvl w:val="0"/>
          <w:numId w:val="1"/>
        </w:numPr>
        <w:ind w:hanging="720"/>
        <w:jc w:val="both"/>
        <w:rPr>
          <w:sz w:val="20"/>
          <w:szCs w:val="20"/>
        </w:rPr>
      </w:pPr>
      <w:r w:rsidRPr="00AE09A3">
        <w:rPr>
          <w:rFonts w:cs="Times New Roman"/>
          <w:i/>
          <w:sz w:val="20"/>
          <w:szCs w:val="20"/>
          <w:lang w:val="fr-CA"/>
        </w:rPr>
        <w:t>Kenneth Tan et al. v. Joseph Fedel</w:t>
      </w:r>
      <w:r w:rsidRPr="00D02375">
        <w:rPr>
          <w:rFonts w:cs="Times New Roman"/>
          <w:sz w:val="20"/>
          <w:szCs w:val="20"/>
          <w:lang w:val="fr-CA"/>
        </w:rPr>
        <w:t xml:space="preserve"> (Ont.) </w:t>
      </w:r>
      <w:r w:rsidRPr="00AF63D3">
        <w:rPr>
          <w:rFonts w:cs="Times New Roman"/>
          <w:sz w:val="20"/>
          <w:szCs w:val="20"/>
        </w:rPr>
        <w:t>(Civil) (By Leave)</w:t>
      </w:r>
      <w:r>
        <w:rPr>
          <w:sz w:val="20"/>
          <w:szCs w:val="20"/>
        </w:rPr>
        <w:t xml:space="preserve"> </w:t>
      </w:r>
      <w:r w:rsidR="00AF63D3">
        <w:rPr>
          <w:sz w:val="20"/>
          <w:szCs w:val="20"/>
        </w:rPr>
        <w:t>(</w:t>
      </w:r>
      <w:r w:rsidR="002E2327" w:rsidRPr="00C50A5C">
        <w:rPr>
          <w:sz w:val="20"/>
          <w:szCs w:val="20"/>
        </w:rPr>
        <w:t>33</w:t>
      </w:r>
      <w:r w:rsidR="00AF63D3">
        <w:rPr>
          <w:sz w:val="20"/>
          <w:szCs w:val="20"/>
        </w:rPr>
        <w:t>890</w:t>
      </w:r>
      <w:r w:rsidR="002E2327" w:rsidRPr="00C50A5C">
        <w:rPr>
          <w:sz w:val="20"/>
          <w:szCs w:val="20"/>
        </w:rPr>
        <w:t>)</w:t>
      </w:r>
    </w:p>
    <w:p w:rsidR="002E2327" w:rsidRPr="00C50A5C" w:rsidRDefault="002E2327" w:rsidP="002E2327">
      <w:pPr>
        <w:widowControl w:val="0"/>
        <w:rPr>
          <w:sz w:val="20"/>
          <w:szCs w:val="20"/>
        </w:rPr>
      </w:pPr>
    </w:p>
    <w:p w:rsidR="002E2327" w:rsidRPr="00C50A5C" w:rsidRDefault="002E2327" w:rsidP="002E2327">
      <w:pPr>
        <w:widowControl w:val="0"/>
        <w:rPr>
          <w:sz w:val="20"/>
          <w:szCs w:val="20"/>
        </w:rPr>
      </w:pPr>
    </w:p>
    <w:p w:rsidR="002E2327" w:rsidRPr="00C50A5C" w:rsidRDefault="002E2327" w:rsidP="002E2327">
      <w:pPr>
        <w:widowControl w:val="0"/>
        <w:jc w:val="center"/>
        <w:rPr>
          <w:b/>
          <w:sz w:val="20"/>
          <w:szCs w:val="20"/>
        </w:rPr>
      </w:pPr>
      <w:r w:rsidRPr="00C50A5C">
        <w:rPr>
          <w:b/>
          <w:sz w:val="20"/>
          <w:szCs w:val="20"/>
        </w:rPr>
        <w:t>CORAM: LeBel, Deschamps and Charron JJ.</w:t>
      </w:r>
    </w:p>
    <w:p w:rsidR="002E2327" w:rsidRPr="00C50A5C" w:rsidRDefault="002E2327" w:rsidP="002E2327">
      <w:pPr>
        <w:widowControl w:val="0"/>
        <w:jc w:val="center"/>
        <w:rPr>
          <w:b/>
          <w:sz w:val="20"/>
          <w:szCs w:val="20"/>
          <w:lang w:val="fr-CA"/>
        </w:rPr>
      </w:pPr>
      <w:r w:rsidRPr="00C50A5C">
        <w:rPr>
          <w:b/>
          <w:sz w:val="20"/>
          <w:szCs w:val="20"/>
          <w:lang w:val="fr-CA"/>
        </w:rPr>
        <w:t>Les juges LeBel, Deschamps et Charron</w:t>
      </w:r>
    </w:p>
    <w:p w:rsidR="002E2327" w:rsidRPr="00C50A5C" w:rsidRDefault="002E2327" w:rsidP="002E2327">
      <w:pPr>
        <w:widowControl w:val="0"/>
        <w:rPr>
          <w:sz w:val="20"/>
          <w:szCs w:val="20"/>
          <w:lang w:val="fr-CA"/>
        </w:rPr>
      </w:pPr>
    </w:p>
    <w:p w:rsidR="002E2327" w:rsidRPr="00C50A5C" w:rsidRDefault="00D02375" w:rsidP="00C50A5C">
      <w:pPr>
        <w:pStyle w:val="ListParagraph"/>
        <w:widowControl w:val="0"/>
        <w:numPr>
          <w:ilvl w:val="0"/>
          <w:numId w:val="1"/>
        </w:numPr>
        <w:ind w:hanging="720"/>
        <w:jc w:val="both"/>
        <w:rPr>
          <w:sz w:val="20"/>
          <w:szCs w:val="20"/>
          <w:lang w:val="fr-CA"/>
        </w:rPr>
      </w:pPr>
      <w:r w:rsidRPr="00AE09A3">
        <w:rPr>
          <w:rFonts w:cs="Times New Roman"/>
          <w:i/>
          <w:sz w:val="20"/>
          <w:szCs w:val="20"/>
          <w:lang w:val="fr-CA"/>
        </w:rPr>
        <w:t>Aumita Bose c. Sa Majesté la Reine</w:t>
      </w:r>
      <w:r w:rsidRPr="00AF63D3">
        <w:rPr>
          <w:rFonts w:cs="Times New Roman"/>
          <w:sz w:val="20"/>
          <w:szCs w:val="20"/>
          <w:lang w:val="fr-CA"/>
        </w:rPr>
        <w:t xml:space="preserve"> (Qc) (Crim</w:t>
      </w:r>
      <w:r>
        <w:rPr>
          <w:rFonts w:cs="Times New Roman"/>
          <w:sz w:val="20"/>
          <w:szCs w:val="20"/>
          <w:lang w:val="fr-CA"/>
        </w:rPr>
        <w:t>.</w:t>
      </w:r>
      <w:r w:rsidRPr="00AF63D3">
        <w:rPr>
          <w:rFonts w:cs="Times New Roman"/>
          <w:sz w:val="20"/>
          <w:szCs w:val="20"/>
          <w:lang w:val="fr-CA"/>
        </w:rPr>
        <w:t>) (Autorisation)</w:t>
      </w:r>
      <w:r>
        <w:rPr>
          <w:rFonts w:cs="Times New Roman"/>
          <w:sz w:val="20"/>
          <w:szCs w:val="20"/>
          <w:lang w:val="fr-CA"/>
        </w:rPr>
        <w:t xml:space="preserve"> </w:t>
      </w:r>
      <w:r w:rsidR="002E2327" w:rsidRPr="00C50A5C">
        <w:rPr>
          <w:sz w:val="20"/>
          <w:szCs w:val="20"/>
          <w:lang w:val="fr-CA"/>
        </w:rPr>
        <w:t>(33</w:t>
      </w:r>
      <w:r w:rsidR="00AF63D3">
        <w:rPr>
          <w:sz w:val="20"/>
          <w:szCs w:val="20"/>
          <w:lang w:val="fr-CA"/>
        </w:rPr>
        <w:t>929</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D02375" w:rsidRDefault="00D02375" w:rsidP="00C50A5C">
      <w:pPr>
        <w:pStyle w:val="ListParagraph"/>
        <w:widowControl w:val="0"/>
        <w:numPr>
          <w:ilvl w:val="0"/>
          <w:numId w:val="1"/>
        </w:numPr>
        <w:ind w:hanging="720"/>
        <w:jc w:val="both"/>
        <w:rPr>
          <w:sz w:val="20"/>
          <w:szCs w:val="20"/>
        </w:rPr>
      </w:pPr>
      <w:r w:rsidRPr="00AE09A3">
        <w:rPr>
          <w:rFonts w:cs="Times New Roman"/>
          <w:i/>
          <w:sz w:val="20"/>
          <w:szCs w:val="20"/>
          <w:lang w:val="fr-CA"/>
        </w:rPr>
        <w:t>Ivanco Keremelevski v. Bozidar Vujicic et al.</w:t>
      </w:r>
      <w:r w:rsidRPr="00D02375">
        <w:rPr>
          <w:rFonts w:cs="Times New Roman"/>
          <w:sz w:val="20"/>
          <w:szCs w:val="20"/>
          <w:lang w:val="fr-CA"/>
        </w:rPr>
        <w:t xml:space="preserve"> </w:t>
      </w:r>
      <w:r w:rsidRPr="00AF63D3">
        <w:rPr>
          <w:rFonts w:cs="Times New Roman"/>
          <w:sz w:val="20"/>
          <w:szCs w:val="20"/>
        </w:rPr>
        <w:t>(B.C.) (Civil) (By Leave)</w:t>
      </w:r>
      <w:r w:rsidRPr="00D02375">
        <w:rPr>
          <w:sz w:val="20"/>
          <w:szCs w:val="20"/>
        </w:rPr>
        <w:t xml:space="preserve"> </w:t>
      </w:r>
      <w:r w:rsidR="00AF63D3" w:rsidRPr="00D02375">
        <w:rPr>
          <w:sz w:val="20"/>
          <w:szCs w:val="20"/>
        </w:rPr>
        <w:t>(</w:t>
      </w:r>
      <w:r w:rsidR="002E2327" w:rsidRPr="00D02375">
        <w:rPr>
          <w:sz w:val="20"/>
          <w:szCs w:val="20"/>
        </w:rPr>
        <w:t>34</w:t>
      </w:r>
      <w:r w:rsidR="00AF63D3" w:rsidRPr="00D02375">
        <w:rPr>
          <w:sz w:val="20"/>
          <w:szCs w:val="20"/>
        </w:rPr>
        <w:t>034</w:t>
      </w:r>
      <w:r w:rsidR="002E2327" w:rsidRPr="00D02375">
        <w:rPr>
          <w:sz w:val="20"/>
          <w:szCs w:val="20"/>
        </w:rPr>
        <w:t>)</w:t>
      </w:r>
    </w:p>
    <w:p w:rsidR="002E2327" w:rsidRPr="00D02375" w:rsidRDefault="002E2327" w:rsidP="00C50A5C">
      <w:pPr>
        <w:widowControl w:val="0"/>
        <w:jc w:val="both"/>
        <w:rPr>
          <w:sz w:val="20"/>
          <w:szCs w:val="20"/>
        </w:rPr>
      </w:pPr>
    </w:p>
    <w:p w:rsidR="002E2327" w:rsidRPr="00D02375" w:rsidRDefault="00D02375" w:rsidP="00C50A5C">
      <w:pPr>
        <w:pStyle w:val="ListParagraph"/>
        <w:widowControl w:val="0"/>
        <w:numPr>
          <w:ilvl w:val="0"/>
          <w:numId w:val="1"/>
        </w:numPr>
        <w:ind w:hanging="720"/>
        <w:jc w:val="both"/>
        <w:rPr>
          <w:sz w:val="20"/>
          <w:szCs w:val="20"/>
        </w:rPr>
      </w:pPr>
      <w:r w:rsidRPr="00AE09A3">
        <w:rPr>
          <w:rFonts w:cs="Times New Roman"/>
          <w:i/>
          <w:sz w:val="20"/>
          <w:szCs w:val="20"/>
        </w:rPr>
        <w:t>Gurbaksh Kaur Dhaliwal et al. v. David Ross Lindsay et al.</w:t>
      </w:r>
      <w:r w:rsidRPr="00AF63D3">
        <w:rPr>
          <w:rFonts w:cs="Times New Roman"/>
          <w:sz w:val="20"/>
          <w:szCs w:val="20"/>
        </w:rPr>
        <w:t xml:space="preserve"> (Ont.) (Civil) (By Leave)</w:t>
      </w:r>
      <w:r w:rsidRPr="00D02375">
        <w:rPr>
          <w:sz w:val="20"/>
          <w:szCs w:val="20"/>
        </w:rPr>
        <w:t xml:space="preserve"> </w:t>
      </w:r>
      <w:r w:rsidR="002E2327" w:rsidRPr="00D02375">
        <w:rPr>
          <w:sz w:val="20"/>
          <w:szCs w:val="20"/>
        </w:rPr>
        <w:t>(33</w:t>
      </w:r>
      <w:r w:rsidR="00AF63D3" w:rsidRPr="00D02375">
        <w:rPr>
          <w:sz w:val="20"/>
          <w:szCs w:val="20"/>
        </w:rPr>
        <w:t>92</w:t>
      </w:r>
      <w:r w:rsidR="002E2327" w:rsidRPr="00D02375">
        <w:rPr>
          <w:sz w:val="20"/>
          <w:szCs w:val="20"/>
        </w:rPr>
        <w:t>0)</w:t>
      </w:r>
    </w:p>
    <w:p w:rsidR="002E2327" w:rsidRPr="00D02375" w:rsidRDefault="002E2327" w:rsidP="002E2327">
      <w:pPr>
        <w:widowControl w:val="0"/>
        <w:rPr>
          <w:sz w:val="20"/>
          <w:szCs w:val="20"/>
        </w:rPr>
      </w:pPr>
    </w:p>
    <w:p w:rsidR="002E2327" w:rsidRDefault="003E529C" w:rsidP="002E2327">
      <w:pPr>
        <w:widowControl w:val="0"/>
        <w:rPr>
          <w:sz w:val="20"/>
          <w:szCs w:val="20"/>
        </w:rPr>
      </w:pPr>
      <w:r w:rsidRPr="003E529C">
        <w:rPr>
          <w:sz w:val="20"/>
          <w:szCs w:val="20"/>
        </w:rPr>
        <w:pict>
          <v:rect id="_x0000_i1036" style="width:2in;height:1pt" o:hrpct="0" o:hralign="center" o:hrstd="t" o:hrnoshade="t" o:hr="t" fillcolor="black [3213]" stroked="f"/>
        </w:pict>
      </w:r>
    </w:p>
    <w:p w:rsidR="00AF63D3" w:rsidRPr="00AF63D3" w:rsidRDefault="00AF63D3" w:rsidP="002E2327">
      <w:pPr>
        <w:widowControl w:val="0"/>
        <w:rPr>
          <w:rFonts w:cs="Times New Roman"/>
          <w:sz w:val="20"/>
          <w:szCs w:val="20"/>
        </w:rPr>
      </w:pPr>
    </w:p>
    <w:p w:rsidR="00AF63D3" w:rsidRDefault="00AF63D3" w:rsidP="002E2327">
      <w:pPr>
        <w:widowControl w:val="0"/>
        <w:rPr>
          <w:sz w:val="20"/>
          <w:szCs w:val="20"/>
        </w:rPr>
      </w:pPr>
    </w:p>
    <w:p w:rsidR="00AF63D3" w:rsidRDefault="00AF63D3" w:rsidP="002E2327">
      <w:pPr>
        <w:widowControl w:val="0"/>
        <w:rPr>
          <w:sz w:val="20"/>
          <w:szCs w:val="20"/>
        </w:rPr>
      </w:pPr>
    </w:p>
    <w:p w:rsidR="00AF63D3" w:rsidRPr="00C50A5C" w:rsidRDefault="00AF63D3"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9122D4"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BA161A" w:rsidP="008D292F">
      <w:pPr>
        <w:rPr>
          <w:b/>
          <w:sz w:val="20"/>
          <w:szCs w:val="20"/>
        </w:rPr>
      </w:pPr>
      <w:r>
        <w:rPr>
          <w:b/>
          <w:sz w:val="20"/>
          <w:szCs w:val="20"/>
        </w:rPr>
        <w:t>FEBRUARY</w:t>
      </w:r>
      <w:r w:rsidR="008D292F" w:rsidRPr="00C50A5C">
        <w:rPr>
          <w:b/>
          <w:sz w:val="20"/>
          <w:szCs w:val="20"/>
        </w:rPr>
        <w:t xml:space="preserve"> </w:t>
      </w:r>
      <w:r>
        <w:rPr>
          <w:b/>
          <w:sz w:val="20"/>
          <w:szCs w:val="20"/>
        </w:rPr>
        <w:t>10</w:t>
      </w:r>
      <w:r w:rsidR="008D292F" w:rsidRPr="00C50A5C">
        <w:rPr>
          <w:b/>
          <w:sz w:val="20"/>
          <w:szCs w:val="20"/>
        </w:rPr>
        <w:t>, 201</w:t>
      </w:r>
      <w:r>
        <w:rPr>
          <w:b/>
          <w:sz w:val="20"/>
          <w:szCs w:val="20"/>
        </w:rPr>
        <w:t>1</w:t>
      </w:r>
      <w:r w:rsidR="008D292F" w:rsidRPr="00C50A5C">
        <w:rPr>
          <w:b/>
          <w:sz w:val="20"/>
          <w:szCs w:val="20"/>
        </w:rPr>
        <w:t xml:space="preserve"> / LE </w:t>
      </w:r>
      <w:r>
        <w:rPr>
          <w:b/>
          <w:sz w:val="20"/>
          <w:szCs w:val="20"/>
        </w:rPr>
        <w:t>10 FÉ</w:t>
      </w:r>
      <w:r w:rsidR="008D292F" w:rsidRPr="00C50A5C">
        <w:rPr>
          <w:b/>
          <w:sz w:val="20"/>
          <w:szCs w:val="20"/>
        </w:rPr>
        <w:t>VR</w:t>
      </w:r>
      <w:r>
        <w:rPr>
          <w:b/>
          <w:sz w:val="20"/>
          <w:szCs w:val="20"/>
        </w:rPr>
        <w:t>IER</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F3FC7" w:rsidRPr="008F3FC7" w:rsidTr="00E022C0">
        <w:trPr>
          <w:cantSplit/>
        </w:trPr>
        <w:tc>
          <w:tcPr>
            <w:tcW w:w="1458" w:type="dxa"/>
          </w:tcPr>
          <w:p w:rsidR="008F3FC7" w:rsidRPr="008F3FC7" w:rsidRDefault="008F3FC7" w:rsidP="00E022C0">
            <w:pPr>
              <w:rPr>
                <w:sz w:val="20"/>
                <w:szCs w:val="20"/>
              </w:rPr>
            </w:pPr>
            <w:r w:rsidRPr="008F3FC7">
              <w:rPr>
                <w:rStyle w:val="SCCFileNumberChar"/>
                <w:sz w:val="20"/>
                <w:szCs w:val="20"/>
              </w:rPr>
              <w:t>33769</w:t>
            </w:r>
          </w:p>
          <w:p w:rsidR="008F3FC7" w:rsidRPr="008F3FC7" w:rsidRDefault="008F3FC7" w:rsidP="00E022C0">
            <w:pPr>
              <w:rPr>
                <w:b/>
                <w:sz w:val="20"/>
                <w:szCs w:val="20"/>
                <w:lang w:val="fr-CA"/>
              </w:rPr>
            </w:pPr>
          </w:p>
        </w:tc>
        <w:tc>
          <w:tcPr>
            <w:tcW w:w="8118" w:type="dxa"/>
          </w:tcPr>
          <w:p w:rsidR="008F3FC7" w:rsidRPr="008F3FC7" w:rsidRDefault="008F3FC7" w:rsidP="00E022C0">
            <w:pPr>
              <w:rPr>
                <w:sz w:val="20"/>
                <w:szCs w:val="20"/>
              </w:rPr>
            </w:pPr>
            <w:r w:rsidRPr="008F3FC7">
              <w:rPr>
                <w:rStyle w:val="SCCLsocChar"/>
                <w:sz w:val="20"/>
                <w:szCs w:val="20"/>
                <w:lang w:val="en-CA"/>
              </w:rPr>
              <w:t>Miles Rapkin v. Her Majesty the Queen</w:t>
            </w:r>
            <w:r w:rsidRPr="008F3FC7">
              <w:rPr>
                <w:sz w:val="20"/>
                <w:szCs w:val="20"/>
              </w:rPr>
              <w:t xml:space="preserve"> (Ont.) (Criminal) (By Leave)</w:t>
            </w:r>
          </w:p>
          <w:p w:rsidR="008F3FC7" w:rsidRPr="008F3FC7" w:rsidRDefault="008F3FC7" w:rsidP="00E022C0">
            <w:pPr>
              <w:rPr>
                <w:sz w:val="20"/>
                <w:szCs w:val="20"/>
              </w:rPr>
            </w:pPr>
          </w:p>
        </w:tc>
      </w:tr>
      <w:tr w:rsidR="008F3FC7" w:rsidRPr="008F3FC7" w:rsidTr="00E022C0">
        <w:trPr>
          <w:cantSplit/>
        </w:trPr>
        <w:tc>
          <w:tcPr>
            <w:tcW w:w="1458" w:type="dxa"/>
          </w:tcPr>
          <w:p w:rsidR="008F3FC7" w:rsidRPr="008F3FC7" w:rsidRDefault="008F3FC7" w:rsidP="00E022C0">
            <w:pPr>
              <w:rPr>
                <w:sz w:val="20"/>
                <w:szCs w:val="20"/>
              </w:rPr>
            </w:pPr>
            <w:r w:rsidRPr="008F3FC7">
              <w:rPr>
                <w:sz w:val="20"/>
                <w:szCs w:val="20"/>
              </w:rPr>
              <w:t>Coram :</w:t>
            </w:r>
          </w:p>
        </w:tc>
        <w:tc>
          <w:tcPr>
            <w:tcW w:w="8118" w:type="dxa"/>
          </w:tcPr>
          <w:p w:rsidR="008F3FC7" w:rsidRPr="008F3FC7" w:rsidRDefault="008F3FC7" w:rsidP="00E022C0">
            <w:pPr>
              <w:rPr>
                <w:sz w:val="20"/>
                <w:szCs w:val="20"/>
              </w:rPr>
            </w:pPr>
            <w:r w:rsidRPr="008F3FC7">
              <w:rPr>
                <w:rStyle w:val="SCCCoramChar"/>
                <w:sz w:val="20"/>
                <w:szCs w:val="20"/>
                <w:lang w:val="en-CA"/>
              </w:rPr>
              <w:t>McLachlin C.J. and Abella and Cromwell JJ.</w:t>
            </w:r>
          </w:p>
          <w:p w:rsidR="008F3FC7" w:rsidRPr="008F3FC7" w:rsidRDefault="008F3FC7" w:rsidP="00E022C0">
            <w:pPr>
              <w:rPr>
                <w:sz w:val="20"/>
                <w:szCs w:val="20"/>
                <w:u w:val="single"/>
              </w:rPr>
            </w:pPr>
          </w:p>
        </w:tc>
      </w:tr>
      <w:tr w:rsidR="008F3FC7" w:rsidRPr="009122D4" w:rsidTr="00E022C0">
        <w:trPr>
          <w:cantSplit/>
        </w:trPr>
        <w:tc>
          <w:tcPr>
            <w:tcW w:w="9576" w:type="dxa"/>
            <w:gridSpan w:val="2"/>
          </w:tcPr>
          <w:p w:rsidR="008F3FC7" w:rsidRPr="008F3FC7" w:rsidRDefault="008F3FC7" w:rsidP="00E022C0">
            <w:pPr>
              <w:pStyle w:val="SCCShortJudgment"/>
              <w:rPr>
                <w:szCs w:val="20"/>
              </w:rPr>
            </w:pPr>
            <w:r w:rsidRPr="008F3FC7">
              <w:rPr>
                <w:szCs w:val="20"/>
              </w:rPr>
              <w:t>The application for leave to appeal from the judgment of the Court of Appeal for Ontario, Number C50152, 2010 ONCA 521, dated July 21, 2010, is dismissed without costs.</w:t>
            </w:r>
          </w:p>
          <w:p w:rsidR="008F3FC7" w:rsidRPr="008F3FC7" w:rsidRDefault="008F3FC7" w:rsidP="00E022C0">
            <w:pPr>
              <w:pStyle w:val="SCCShortJudgment"/>
              <w:ind w:firstLine="0"/>
              <w:rPr>
                <w:szCs w:val="20"/>
              </w:rPr>
            </w:pPr>
          </w:p>
          <w:p w:rsidR="008F3FC7" w:rsidRPr="008F3FC7" w:rsidRDefault="008F3FC7" w:rsidP="008F3FC7">
            <w:pPr>
              <w:pStyle w:val="SCCShortJudgment"/>
              <w:rPr>
                <w:szCs w:val="20"/>
                <w:lang w:val="fr-CA"/>
              </w:rPr>
            </w:pPr>
            <w:r w:rsidRPr="008F3FC7">
              <w:rPr>
                <w:szCs w:val="20"/>
                <w:lang w:val="fr-CA"/>
              </w:rPr>
              <w:t>La demande d’autorisation d’appel de l’arrêt de la Cour d’appel de l’Ontario, numéro C50152, 2010 ONCA 521, daté du 21 juillet 2010, est rejetée sans dépens.</w:t>
            </w:r>
          </w:p>
        </w:tc>
      </w:tr>
    </w:tbl>
    <w:p w:rsidR="008F3FC7" w:rsidRPr="008F3FC7" w:rsidRDefault="008F3FC7" w:rsidP="008D292F">
      <w:pPr>
        <w:rPr>
          <w:sz w:val="20"/>
          <w:szCs w:val="20"/>
          <w:lang w:val="fr-CA"/>
        </w:rPr>
      </w:pPr>
    </w:p>
    <w:p w:rsidR="00BA161A" w:rsidRDefault="00BA161A" w:rsidP="008D292F">
      <w:pPr>
        <w:rPr>
          <w:sz w:val="20"/>
          <w:szCs w:val="20"/>
        </w:rPr>
      </w:pPr>
      <w:r>
        <w:rPr>
          <w:sz w:val="20"/>
          <w:szCs w:val="20"/>
          <w:u w:val="single"/>
        </w:rPr>
        <w:t>CASE SUMMARY</w:t>
      </w:r>
    </w:p>
    <w:p w:rsidR="00BA161A" w:rsidRDefault="00BA161A"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22C82" w:rsidRPr="001667A2" w:rsidTr="0010431F">
        <w:tc>
          <w:tcPr>
            <w:tcW w:w="5000" w:type="pct"/>
            <w:gridSpan w:val="3"/>
          </w:tcPr>
          <w:p w:rsidR="00C22C82" w:rsidRPr="001667A2" w:rsidRDefault="00C22C82" w:rsidP="0010431F">
            <w:pPr>
              <w:contextualSpacing/>
              <w:jc w:val="both"/>
              <w:rPr>
                <w:rFonts w:cs="Times New Roman"/>
                <w:sz w:val="20"/>
                <w:szCs w:val="20"/>
                <w:lang w:eastAsia="en-CA"/>
              </w:rPr>
            </w:pPr>
            <w:r w:rsidRPr="001667A2">
              <w:rPr>
                <w:rFonts w:cs="Times New Roman"/>
                <w:i/>
                <w:sz w:val="20"/>
                <w:szCs w:val="20"/>
                <w:lang w:eastAsia="en-CA"/>
              </w:rPr>
              <w:t>Canadian Charter of Rights and Freedoms</w:t>
            </w:r>
            <w:r w:rsidRPr="001667A2">
              <w:rPr>
                <w:rFonts w:cs="Times New Roman"/>
                <w:sz w:val="20"/>
                <w:szCs w:val="20"/>
                <w:lang w:eastAsia="en-CA"/>
              </w:rPr>
              <w:t xml:space="preserve"> – Criminal law – Evidence – Exclusion - Whether there is a presumption of police good faith where a </w:t>
            </w:r>
            <w:r w:rsidRPr="001667A2">
              <w:rPr>
                <w:rFonts w:cs="Times New Roman"/>
                <w:i/>
                <w:sz w:val="20"/>
                <w:szCs w:val="20"/>
                <w:lang w:eastAsia="en-CA"/>
              </w:rPr>
              <w:t>Charter</w:t>
            </w:r>
            <w:r w:rsidRPr="001667A2">
              <w:rPr>
                <w:rFonts w:cs="Times New Roman"/>
                <w:sz w:val="20"/>
                <w:szCs w:val="20"/>
                <w:lang w:eastAsia="en-CA"/>
              </w:rPr>
              <w:t xml:space="preserve"> breach results from a warranted search – Whether defence bears the burden of demonstrating otherwise for the purpose of s. 24(2) – Correctness of the decision in </w:t>
            </w:r>
            <w:r w:rsidRPr="001667A2">
              <w:rPr>
                <w:rFonts w:cs="Times New Roman"/>
                <w:i/>
                <w:sz w:val="20"/>
                <w:szCs w:val="20"/>
                <w:lang w:eastAsia="en-CA"/>
              </w:rPr>
              <w:t>R. v. Blake,</w:t>
            </w:r>
            <w:r w:rsidRPr="001667A2">
              <w:rPr>
                <w:rFonts w:cs="Times New Roman"/>
                <w:sz w:val="20"/>
                <w:szCs w:val="20"/>
                <w:lang w:eastAsia="en-CA"/>
              </w:rPr>
              <w:t xml:space="preserve"> </w:t>
            </w:r>
            <w:r w:rsidRPr="001667A2">
              <w:rPr>
                <w:rFonts w:cs="Times New Roman"/>
                <w:color w:val="000000"/>
                <w:sz w:val="20"/>
                <w:szCs w:val="20"/>
                <w:lang w:eastAsia="en-CA"/>
              </w:rPr>
              <w:t>2010 ONCA 1</w:t>
            </w:r>
            <w:r w:rsidRPr="001667A2">
              <w:rPr>
                <w:rFonts w:cs="Times New Roman"/>
                <w:sz w:val="20"/>
                <w:szCs w:val="20"/>
                <w:lang w:eastAsia="en-CA"/>
              </w:rPr>
              <w:t xml:space="preserve">.  </w:t>
            </w:r>
          </w:p>
          <w:p w:rsidR="00C22C82" w:rsidRPr="001667A2" w:rsidRDefault="00C22C82" w:rsidP="0010431F">
            <w:pPr>
              <w:contextualSpacing/>
              <w:jc w:val="both"/>
              <w:rPr>
                <w:rFonts w:cs="Times New Roman"/>
                <w:sz w:val="20"/>
                <w:szCs w:val="20"/>
                <w:lang w:eastAsia="en-CA"/>
              </w:rPr>
            </w:pPr>
          </w:p>
        </w:tc>
      </w:tr>
      <w:tr w:rsidR="00C22C82" w:rsidRPr="001667A2" w:rsidTr="0010431F">
        <w:tc>
          <w:tcPr>
            <w:tcW w:w="5000" w:type="pct"/>
            <w:gridSpan w:val="3"/>
          </w:tcPr>
          <w:p w:rsidR="00C22C82" w:rsidRPr="001667A2" w:rsidRDefault="00C22C82" w:rsidP="0010431F">
            <w:pPr>
              <w:jc w:val="both"/>
              <w:rPr>
                <w:rFonts w:eastAsia="Calibri" w:cs="Times New Roman"/>
                <w:sz w:val="20"/>
                <w:szCs w:val="20"/>
              </w:rPr>
            </w:pPr>
            <w:r w:rsidRPr="001667A2">
              <w:rPr>
                <w:rFonts w:eastAsia="Calibri" w:cs="Times New Roman"/>
                <w:sz w:val="20"/>
                <w:szCs w:val="20"/>
              </w:rPr>
              <w:t xml:space="preserve">Miles Rapkin was charged with four counts of possession of drugs for the purpose of trafficking and one count of careless storage of a firearm.  Police executing a warrant found drugs, cash and guns at his apartment.  The telewarrant was issued on the basis of an Information to Obtain (the ITO) sworn by a Peel police officer. The ITO had been sealed to protect a confidential informant.  An extensively edited copy was provided to the defence by the Crown as part of its disclosure.  Rapkin brought a motion to exclude the evidence under s. 24(2) of the </w:t>
            </w:r>
            <w:r w:rsidRPr="001667A2">
              <w:rPr>
                <w:rFonts w:eastAsia="Calibri" w:cs="Times New Roman"/>
                <w:i/>
                <w:sz w:val="20"/>
                <w:szCs w:val="20"/>
              </w:rPr>
              <w:t>Canadian Charter of Rights and Freedoms.</w:t>
            </w:r>
            <w:r w:rsidRPr="001667A2">
              <w:rPr>
                <w:rFonts w:eastAsia="Calibri" w:cs="Times New Roman"/>
                <w:sz w:val="20"/>
                <w:szCs w:val="20"/>
              </w:rPr>
              <w:t xml:space="preserve">  The motion was based on a agreed statements of facts.  Rapkin argued that, in its edited form, the ITO did not provide sufficient grounds for the issuance of the warrant.  The trial judge agreed and held that Rapkin’s s. 8 rights had been infringed.  However, he concluded that the evidence could nonetheless be admitted.  Rapkin was convicted, and his appeal to the Court of Appeal for Ontario was dismissed. </w:t>
            </w:r>
          </w:p>
          <w:p w:rsidR="00C22C82" w:rsidRPr="001667A2" w:rsidRDefault="00C22C82" w:rsidP="0010431F">
            <w:pPr>
              <w:jc w:val="both"/>
              <w:rPr>
                <w:rFonts w:eastAsia="Calibri" w:cs="Times New Roman"/>
                <w:sz w:val="20"/>
                <w:szCs w:val="20"/>
              </w:rPr>
            </w:pPr>
          </w:p>
        </w:tc>
      </w:tr>
      <w:tr w:rsidR="00C22C82" w:rsidRPr="001667A2" w:rsidTr="0010431F">
        <w:tc>
          <w:tcPr>
            <w:tcW w:w="2427" w:type="pct"/>
          </w:tcPr>
          <w:p w:rsidR="00C22C82" w:rsidRPr="001667A2" w:rsidRDefault="00C22C82" w:rsidP="0010431F">
            <w:pPr>
              <w:jc w:val="both"/>
              <w:rPr>
                <w:rFonts w:eastAsia="Calibri" w:cs="Times New Roman"/>
                <w:sz w:val="20"/>
                <w:szCs w:val="20"/>
              </w:rPr>
            </w:pPr>
            <w:r w:rsidRPr="001667A2">
              <w:rPr>
                <w:rFonts w:eastAsia="Calibri" w:cs="Times New Roman"/>
                <w:sz w:val="20"/>
                <w:szCs w:val="20"/>
              </w:rPr>
              <w:t>March 2, 2009</w:t>
            </w:r>
          </w:p>
          <w:p w:rsidR="00C22C82" w:rsidRPr="001667A2" w:rsidRDefault="00C22C82" w:rsidP="0010431F">
            <w:pPr>
              <w:jc w:val="both"/>
              <w:rPr>
                <w:rFonts w:eastAsia="Calibri" w:cs="Times New Roman"/>
                <w:sz w:val="20"/>
                <w:szCs w:val="20"/>
              </w:rPr>
            </w:pPr>
            <w:r w:rsidRPr="001667A2">
              <w:rPr>
                <w:rFonts w:eastAsia="Calibri" w:cs="Times New Roman"/>
                <w:sz w:val="20"/>
                <w:szCs w:val="20"/>
              </w:rPr>
              <w:t>Ontario Superior Court of Justice</w:t>
            </w:r>
          </w:p>
          <w:p w:rsidR="00C22C82" w:rsidRPr="001667A2" w:rsidRDefault="00C22C82" w:rsidP="0010431F">
            <w:pPr>
              <w:jc w:val="both"/>
              <w:rPr>
                <w:rFonts w:eastAsia="Calibri" w:cs="Times New Roman"/>
                <w:sz w:val="20"/>
                <w:szCs w:val="20"/>
              </w:rPr>
            </w:pPr>
            <w:r w:rsidRPr="001667A2">
              <w:rPr>
                <w:rFonts w:eastAsia="Calibri" w:cs="Times New Roman"/>
                <w:sz w:val="20"/>
                <w:szCs w:val="20"/>
              </w:rPr>
              <w:t>(MacKenzie J.)</w:t>
            </w:r>
          </w:p>
          <w:p w:rsidR="00C22C82" w:rsidRPr="001667A2" w:rsidRDefault="00C22C82" w:rsidP="0010431F">
            <w:pPr>
              <w:jc w:val="both"/>
              <w:rPr>
                <w:rFonts w:eastAsia="Calibri" w:cs="Times New Roman"/>
                <w:sz w:val="20"/>
                <w:szCs w:val="20"/>
              </w:rPr>
            </w:pPr>
          </w:p>
        </w:tc>
        <w:tc>
          <w:tcPr>
            <w:tcW w:w="243" w:type="pct"/>
          </w:tcPr>
          <w:p w:rsidR="00C22C82" w:rsidRPr="001667A2" w:rsidRDefault="00C22C82" w:rsidP="0010431F">
            <w:pPr>
              <w:jc w:val="both"/>
              <w:rPr>
                <w:rFonts w:eastAsia="Calibri" w:cs="Times New Roman"/>
                <w:sz w:val="20"/>
                <w:szCs w:val="20"/>
              </w:rPr>
            </w:pPr>
          </w:p>
        </w:tc>
        <w:tc>
          <w:tcPr>
            <w:tcW w:w="2330" w:type="pct"/>
          </w:tcPr>
          <w:p w:rsidR="00C22C82" w:rsidRPr="001667A2" w:rsidRDefault="00C22C82" w:rsidP="0010431F">
            <w:pPr>
              <w:jc w:val="both"/>
              <w:rPr>
                <w:rFonts w:eastAsia="Calibri" w:cs="Times New Roman"/>
                <w:sz w:val="20"/>
                <w:szCs w:val="20"/>
              </w:rPr>
            </w:pPr>
            <w:r w:rsidRPr="001667A2">
              <w:rPr>
                <w:rFonts w:eastAsia="Calibri" w:cs="Times New Roman"/>
                <w:sz w:val="20"/>
                <w:szCs w:val="20"/>
              </w:rPr>
              <w:t>Conviction: possession of cocaine and marijuana for the purposes of trafficking and careless storage of a firearm</w:t>
            </w:r>
          </w:p>
          <w:p w:rsidR="00C22C82" w:rsidRPr="001667A2" w:rsidRDefault="00C22C82" w:rsidP="0010431F">
            <w:pPr>
              <w:jc w:val="both"/>
              <w:rPr>
                <w:rFonts w:eastAsia="Calibri" w:cs="Times New Roman"/>
                <w:sz w:val="20"/>
                <w:szCs w:val="20"/>
              </w:rPr>
            </w:pPr>
          </w:p>
        </w:tc>
      </w:tr>
      <w:tr w:rsidR="00C22C82" w:rsidRPr="001667A2" w:rsidTr="0010431F">
        <w:tc>
          <w:tcPr>
            <w:tcW w:w="2427" w:type="pct"/>
          </w:tcPr>
          <w:p w:rsidR="00C22C82" w:rsidRPr="001667A2" w:rsidRDefault="00C22C82" w:rsidP="0010431F">
            <w:pPr>
              <w:jc w:val="both"/>
              <w:rPr>
                <w:rFonts w:eastAsia="Calibri" w:cs="Times New Roman"/>
                <w:sz w:val="20"/>
                <w:szCs w:val="20"/>
              </w:rPr>
            </w:pPr>
            <w:r w:rsidRPr="001667A2">
              <w:rPr>
                <w:rFonts w:eastAsia="Calibri" w:cs="Times New Roman"/>
                <w:sz w:val="20"/>
                <w:szCs w:val="20"/>
              </w:rPr>
              <w:t>July 21, 2010</w:t>
            </w:r>
          </w:p>
          <w:p w:rsidR="00C22C82" w:rsidRPr="001667A2" w:rsidRDefault="00C22C82" w:rsidP="0010431F">
            <w:pPr>
              <w:jc w:val="both"/>
              <w:rPr>
                <w:rFonts w:eastAsia="Calibri" w:cs="Times New Roman"/>
                <w:sz w:val="20"/>
                <w:szCs w:val="20"/>
              </w:rPr>
            </w:pPr>
            <w:r w:rsidRPr="001667A2">
              <w:rPr>
                <w:rFonts w:eastAsia="Calibri" w:cs="Times New Roman"/>
                <w:sz w:val="20"/>
                <w:szCs w:val="20"/>
              </w:rPr>
              <w:t>Court of Appeal for Ontario</w:t>
            </w:r>
          </w:p>
          <w:p w:rsidR="00C22C82" w:rsidRPr="001667A2" w:rsidRDefault="00C22C82" w:rsidP="0010431F">
            <w:pPr>
              <w:jc w:val="both"/>
              <w:rPr>
                <w:rFonts w:eastAsia="Calibri" w:cs="Times New Roman"/>
                <w:sz w:val="20"/>
                <w:szCs w:val="20"/>
              </w:rPr>
            </w:pPr>
            <w:r w:rsidRPr="001667A2">
              <w:rPr>
                <w:rFonts w:eastAsia="Calibri" w:cs="Times New Roman"/>
                <w:sz w:val="20"/>
                <w:szCs w:val="20"/>
              </w:rPr>
              <w:t>(Gillese, Doherty and Armstrong JJ.A.)</w:t>
            </w:r>
          </w:p>
          <w:p w:rsidR="00C22C82" w:rsidRPr="001667A2" w:rsidRDefault="00C22C82" w:rsidP="0010431F">
            <w:pPr>
              <w:jc w:val="both"/>
              <w:rPr>
                <w:rFonts w:eastAsia="Calibri" w:cs="Times New Roman"/>
                <w:sz w:val="20"/>
                <w:szCs w:val="20"/>
              </w:rPr>
            </w:pPr>
          </w:p>
        </w:tc>
        <w:tc>
          <w:tcPr>
            <w:tcW w:w="243" w:type="pct"/>
          </w:tcPr>
          <w:p w:rsidR="00C22C82" w:rsidRPr="001667A2" w:rsidRDefault="00C22C82" w:rsidP="0010431F">
            <w:pPr>
              <w:jc w:val="both"/>
              <w:rPr>
                <w:rFonts w:eastAsia="Calibri" w:cs="Times New Roman"/>
                <w:sz w:val="20"/>
                <w:szCs w:val="20"/>
              </w:rPr>
            </w:pPr>
          </w:p>
        </w:tc>
        <w:tc>
          <w:tcPr>
            <w:tcW w:w="2330" w:type="pct"/>
          </w:tcPr>
          <w:p w:rsidR="00C22C82" w:rsidRPr="001667A2" w:rsidRDefault="00C22C82" w:rsidP="0010431F">
            <w:pPr>
              <w:jc w:val="both"/>
              <w:rPr>
                <w:rFonts w:eastAsia="Calibri" w:cs="Times New Roman"/>
                <w:sz w:val="20"/>
                <w:szCs w:val="20"/>
              </w:rPr>
            </w:pPr>
            <w:r w:rsidRPr="001667A2">
              <w:rPr>
                <w:rFonts w:eastAsia="Calibri" w:cs="Times New Roman"/>
                <w:sz w:val="20"/>
                <w:szCs w:val="20"/>
              </w:rPr>
              <w:t>Appeal dismissed</w:t>
            </w:r>
          </w:p>
          <w:p w:rsidR="00C22C82" w:rsidRPr="001667A2" w:rsidRDefault="00C22C82" w:rsidP="0010431F">
            <w:pPr>
              <w:jc w:val="both"/>
              <w:rPr>
                <w:rFonts w:eastAsia="Calibri" w:cs="Times New Roman"/>
                <w:sz w:val="20"/>
                <w:szCs w:val="20"/>
              </w:rPr>
            </w:pPr>
          </w:p>
        </w:tc>
      </w:tr>
      <w:tr w:rsidR="00C22C82" w:rsidRPr="001667A2" w:rsidTr="0010431F">
        <w:tc>
          <w:tcPr>
            <w:tcW w:w="2427" w:type="pct"/>
          </w:tcPr>
          <w:p w:rsidR="00C22C82" w:rsidRPr="001667A2" w:rsidRDefault="00C22C82" w:rsidP="0010431F">
            <w:pPr>
              <w:jc w:val="both"/>
              <w:rPr>
                <w:rFonts w:eastAsia="Calibri" w:cs="Times New Roman"/>
                <w:sz w:val="20"/>
                <w:szCs w:val="20"/>
              </w:rPr>
            </w:pPr>
            <w:r w:rsidRPr="001667A2">
              <w:rPr>
                <w:rFonts w:eastAsia="Calibri" w:cs="Times New Roman"/>
                <w:sz w:val="20"/>
                <w:szCs w:val="20"/>
              </w:rPr>
              <w:t>September 29, 2010</w:t>
            </w:r>
          </w:p>
          <w:p w:rsidR="00C22C82" w:rsidRPr="001667A2" w:rsidRDefault="00C22C82" w:rsidP="0010431F">
            <w:pPr>
              <w:jc w:val="both"/>
              <w:rPr>
                <w:rFonts w:eastAsia="Calibri" w:cs="Times New Roman"/>
                <w:sz w:val="20"/>
                <w:szCs w:val="20"/>
              </w:rPr>
            </w:pPr>
            <w:r w:rsidRPr="001667A2">
              <w:rPr>
                <w:rFonts w:eastAsia="Calibri" w:cs="Times New Roman"/>
                <w:sz w:val="20"/>
                <w:szCs w:val="20"/>
              </w:rPr>
              <w:t>Supreme Court of Canada</w:t>
            </w:r>
          </w:p>
        </w:tc>
        <w:tc>
          <w:tcPr>
            <w:tcW w:w="243" w:type="pct"/>
          </w:tcPr>
          <w:p w:rsidR="00C22C82" w:rsidRPr="001667A2" w:rsidRDefault="00C22C82" w:rsidP="0010431F">
            <w:pPr>
              <w:jc w:val="both"/>
              <w:rPr>
                <w:rFonts w:eastAsia="Calibri" w:cs="Times New Roman"/>
                <w:sz w:val="20"/>
                <w:szCs w:val="20"/>
              </w:rPr>
            </w:pPr>
          </w:p>
        </w:tc>
        <w:tc>
          <w:tcPr>
            <w:tcW w:w="2330" w:type="pct"/>
          </w:tcPr>
          <w:p w:rsidR="00C22C82" w:rsidRPr="001667A2" w:rsidRDefault="00C22C82" w:rsidP="0010431F">
            <w:pPr>
              <w:jc w:val="both"/>
              <w:rPr>
                <w:rFonts w:eastAsia="Calibri" w:cs="Times New Roman"/>
                <w:sz w:val="20"/>
                <w:szCs w:val="20"/>
              </w:rPr>
            </w:pPr>
            <w:r w:rsidRPr="001667A2">
              <w:rPr>
                <w:rFonts w:eastAsia="Calibri" w:cs="Times New Roman"/>
                <w:sz w:val="20"/>
                <w:szCs w:val="20"/>
              </w:rPr>
              <w:t>Application for leave to appeal filed</w:t>
            </w:r>
          </w:p>
          <w:p w:rsidR="00C22C82" w:rsidRPr="001667A2" w:rsidRDefault="00C22C82" w:rsidP="0010431F">
            <w:pPr>
              <w:jc w:val="both"/>
              <w:rPr>
                <w:rFonts w:eastAsia="Calibri" w:cs="Times New Roman"/>
                <w:sz w:val="20"/>
                <w:szCs w:val="20"/>
              </w:rPr>
            </w:pPr>
          </w:p>
        </w:tc>
      </w:tr>
    </w:tbl>
    <w:p w:rsidR="00BA161A" w:rsidRPr="00BA161A" w:rsidRDefault="00BA161A" w:rsidP="008D292F">
      <w:pPr>
        <w:rPr>
          <w:sz w:val="20"/>
          <w:szCs w:val="20"/>
        </w:rPr>
      </w:pPr>
    </w:p>
    <w:p w:rsidR="00BA161A" w:rsidRDefault="003E529C" w:rsidP="008D292F">
      <w:pPr>
        <w:rPr>
          <w:sz w:val="20"/>
          <w:szCs w:val="20"/>
          <w:lang w:val="fr-CA"/>
        </w:rPr>
      </w:pPr>
      <w:r w:rsidRPr="003E529C">
        <w:rPr>
          <w:sz w:val="20"/>
          <w:szCs w:val="20"/>
          <w:lang w:val="fr-CA"/>
        </w:rPr>
        <w:pict>
          <v:rect id="_x0000_i1039" style="width:2in;height:1pt" o:hrpct="0" o:hralign="center" o:hrstd="t" o:hrnoshade="t" o:hr="t" fillcolor="black [3213]" stroked="f"/>
        </w:pict>
      </w:r>
    </w:p>
    <w:p w:rsidR="00BA161A" w:rsidRPr="00BA161A" w:rsidRDefault="00BA161A" w:rsidP="008D292F">
      <w:pPr>
        <w:rPr>
          <w:sz w:val="20"/>
          <w:szCs w:val="20"/>
        </w:rPr>
      </w:pPr>
    </w:p>
    <w:p w:rsidR="00BA161A" w:rsidRPr="00BA161A" w:rsidRDefault="00BA161A" w:rsidP="008D292F">
      <w:pPr>
        <w:rPr>
          <w:sz w:val="20"/>
          <w:szCs w:val="20"/>
        </w:rPr>
      </w:pPr>
      <w:r>
        <w:rPr>
          <w:sz w:val="20"/>
          <w:szCs w:val="20"/>
          <w:u w:val="single"/>
        </w:rPr>
        <w:t>RÉSUMÉ DE L’AFFAIRE</w:t>
      </w:r>
    </w:p>
    <w:p w:rsidR="00BA161A" w:rsidRPr="00BA161A" w:rsidRDefault="00BA161A"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22C82" w:rsidRPr="009122D4" w:rsidTr="0010431F">
        <w:tc>
          <w:tcPr>
            <w:tcW w:w="5000" w:type="pct"/>
            <w:gridSpan w:val="3"/>
          </w:tcPr>
          <w:p w:rsidR="00C22C82" w:rsidRPr="001667A2" w:rsidRDefault="00C22C82" w:rsidP="0010431F">
            <w:pPr>
              <w:contextualSpacing/>
              <w:jc w:val="both"/>
              <w:rPr>
                <w:rFonts w:cs="Times New Roman"/>
                <w:sz w:val="20"/>
                <w:szCs w:val="20"/>
                <w:lang w:val="fr-CA" w:eastAsia="en-CA"/>
              </w:rPr>
            </w:pPr>
            <w:r w:rsidRPr="001667A2">
              <w:rPr>
                <w:rFonts w:cs="Times New Roman"/>
                <w:i/>
                <w:sz w:val="20"/>
                <w:szCs w:val="20"/>
                <w:lang w:val="fr-CA" w:eastAsia="en-CA"/>
              </w:rPr>
              <w:t>Charte canadienne des droits et libertés</w:t>
            </w:r>
            <w:r w:rsidRPr="001667A2">
              <w:rPr>
                <w:rFonts w:cs="Times New Roman"/>
                <w:sz w:val="20"/>
                <w:szCs w:val="20"/>
                <w:lang w:val="fr-CA" w:eastAsia="en-CA"/>
              </w:rPr>
              <w:t xml:space="preserve"> – Droit criminel – Preuve – Exclusion – Existe-t</w:t>
            </w:r>
            <w:r w:rsidRPr="001667A2">
              <w:rPr>
                <w:rFonts w:cs="Times New Roman"/>
                <w:sz w:val="20"/>
                <w:szCs w:val="20"/>
                <w:lang w:val="fr-CA" w:eastAsia="en-CA"/>
              </w:rPr>
              <w:noBreakHyphen/>
              <w:t xml:space="preserve">il une présomption de bonne foi de la police lorsqu’une violation de la </w:t>
            </w:r>
            <w:r w:rsidRPr="001667A2">
              <w:rPr>
                <w:rFonts w:cs="Times New Roman"/>
                <w:i/>
                <w:sz w:val="20"/>
                <w:szCs w:val="20"/>
                <w:lang w:val="fr-CA" w:eastAsia="en-CA"/>
              </w:rPr>
              <w:t>Charte</w:t>
            </w:r>
            <w:r w:rsidRPr="001667A2">
              <w:rPr>
                <w:rFonts w:cs="Times New Roman"/>
                <w:sz w:val="20"/>
                <w:szCs w:val="20"/>
                <w:lang w:val="fr-CA" w:eastAsia="en-CA"/>
              </w:rPr>
              <w:t xml:space="preserve"> découle d’une perquisition avec mandat – La défense a-t-elle l’obligation de démontrer le contraire pour l’application du paragraphe  24(2) – Justesse de la décision dans </w:t>
            </w:r>
            <w:r w:rsidRPr="001667A2">
              <w:rPr>
                <w:rFonts w:cs="Times New Roman"/>
                <w:i/>
                <w:sz w:val="20"/>
                <w:szCs w:val="20"/>
                <w:lang w:val="fr-CA" w:eastAsia="en-CA"/>
              </w:rPr>
              <w:t>R. c. Blake,</w:t>
            </w:r>
            <w:r w:rsidRPr="001667A2">
              <w:rPr>
                <w:rFonts w:cs="Times New Roman"/>
                <w:sz w:val="20"/>
                <w:szCs w:val="20"/>
                <w:lang w:val="fr-CA" w:eastAsia="en-CA"/>
              </w:rPr>
              <w:t xml:space="preserve"> </w:t>
            </w:r>
            <w:r w:rsidRPr="001667A2">
              <w:rPr>
                <w:rFonts w:cs="Times New Roman"/>
                <w:color w:val="000000"/>
                <w:sz w:val="20"/>
                <w:szCs w:val="20"/>
                <w:lang w:val="fr-CA" w:eastAsia="en-CA"/>
              </w:rPr>
              <w:t>2010 ONCA 1</w:t>
            </w:r>
            <w:r w:rsidRPr="001667A2">
              <w:rPr>
                <w:rFonts w:cs="Times New Roman"/>
                <w:sz w:val="20"/>
                <w:szCs w:val="20"/>
                <w:lang w:val="fr-CA" w:eastAsia="en-CA"/>
              </w:rPr>
              <w:t>.</w:t>
            </w:r>
          </w:p>
          <w:p w:rsidR="00C22C82" w:rsidRPr="001667A2" w:rsidRDefault="00C22C82" w:rsidP="0010431F">
            <w:pPr>
              <w:contextualSpacing/>
              <w:jc w:val="both"/>
              <w:rPr>
                <w:rFonts w:cs="Times New Roman"/>
                <w:sz w:val="20"/>
                <w:szCs w:val="20"/>
                <w:lang w:val="fr-CA" w:eastAsia="en-CA"/>
              </w:rPr>
            </w:pPr>
          </w:p>
        </w:tc>
      </w:tr>
      <w:tr w:rsidR="00C22C82" w:rsidRPr="009122D4" w:rsidTr="0010431F">
        <w:tc>
          <w:tcPr>
            <w:tcW w:w="5000" w:type="pct"/>
            <w:gridSpan w:val="3"/>
          </w:tcPr>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lastRenderedPageBreak/>
              <w:t xml:space="preserve">Miles Rapkin a fait l’objet de quatre chefs d’accusation de possession de stupéfiants dans le but d’en faire le trafic et d’un chef d’accusation d’entreposage négligent d’une arme à feu.  Les policiers qui ont exécuté le mandat de perquisition ont trouvé des stupéfiants, des sommes d’argent et des armes à feu dans son appartement.  Le télémandat a été délivré sur la foi d’une  dénonciation en vue d’obtenir un mandat de perquisition (la dénonciation) produite sous serment par le policier Peel. La dénonciation a été scellée afin de protéger un indicateur.  Une copie ayant fait l’objet d’une profonde révision a été remise à la défense par la Couronne dans le cadre de sa divulgation.  M. Rapkin a présenté, en vertu du paragraphe 24(2) de la </w:t>
            </w:r>
            <w:r w:rsidRPr="001667A2">
              <w:rPr>
                <w:rFonts w:eastAsia="Calibri" w:cs="Times New Roman"/>
                <w:i/>
                <w:sz w:val="20"/>
                <w:szCs w:val="20"/>
                <w:lang w:val="fr-CA"/>
              </w:rPr>
              <w:t>Charte canadienne des droits et libertés</w:t>
            </w:r>
            <w:r w:rsidRPr="001667A2">
              <w:rPr>
                <w:rFonts w:eastAsia="Calibri" w:cs="Times New Roman"/>
                <w:sz w:val="20"/>
                <w:szCs w:val="20"/>
                <w:lang w:val="fr-CA"/>
              </w:rPr>
              <w:t xml:space="preserve">, une requête visant l’exclusion de la preuve.  La requête était fondée sur un exposé conjoint des faits.  M. Rapkin a prétendu que, dans sa forme révisée, la dénonciation ne contenait pas de motifs suffisants pour justifier la délivrance du mandat.  Le juge de première instance a souscrit à cette opinion et a conclu que les droits de M. Rapkin garantis par l’article 8 avaient été violés.  Toutefois, il a conclu que la preuve était tout de même admissible.  M. Rapkin a été déclaré coupable et l’appel qu’il a interjeté à la Cour d’appel de l’Ontario a été rejeté. </w:t>
            </w:r>
          </w:p>
          <w:p w:rsidR="00C22C82" w:rsidRPr="001667A2" w:rsidRDefault="00C22C82" w:rsidP="0010431F">
            <w:pPr>
              <w:jc w:val="both"/>
              <w:rPr>
                <w:rFonts w:eastAsia="Calibri" w:cs="Times New Roman"/>
                <w:sz w:val="20"/>
                <w:szCs w:val="20"/>
                <w:lang w:val="fr-CA"/>
              </w:rPr>
            </w:pPr>
          </w:p>
        </w:tc>
      </w:tr>
      <w:tr w:rsidR="00C22C82" w:rsidRPr="009122D4" w:rsidTr="0010431F">
        <w:tc>
          <w:tcPr>
            <w:tcW w:w="2427" w:type="pct"/>
          </w:tcPr>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2 mars 2009</w:t>
            </w:r>
          </w:p>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Cour supérieure de justice de l’Ontario</w:t>
            </w:r>
          </w:p>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(juge MacKenzie)</w:t>
            </w:r>
          </w:p>
          <w:p w:rsidR="00C22C82" w:rsidRPr="001667A2" w:rsidRDefault="00C22C82" w:rsidP="0010431F">
            <w:pPr>
              <w:jc w:val="both"/>
              <w:rPr>
                <w:rFonts w:eastAsia="Calibri" w:cs="Times New Roman"/>
                <w:sz w:val="20"/>
                <w:szCs w:val="20"/>
                <w:lang w:val="fr-CA"/>
              </w:rPr>
            </w:pPr>
          </w:p>
        </w:tc>
        <w:tc>
          <w:tcPr>
            <w:tcW w:w="243" w:type="pct"/>
          </w:tcPr>
          <w:p w:rsidR="00C22C82" w:rsidRPr="001667A2" w:rsidRDefault="00C22C82" w:rsidP="0010431F">
            <w:pPr>
              <w:jc w:val="both"/>
              <w:rPr>
                <w:rFonts w:eastAsia="Calibri" w:cs="Times New Roman"/>
                <w:sz w:val="20"/>
                <w:szCs w:val="20"/>
                <w:lang w:val="fr-CA"/>
              </w:rPr>
            </w:pPr>
          </w:p>
        </w:tc>
        <w:tc>
          <w:tcPr>
            <w:tcW w:w="2330" w:type="pct"/>
          </w:tcPr>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 xml:space="preserve">Déclaration de culpabilité : possession de </w:t>
            </w:r>
            <w:r w:rsidRPr="001667A2">
              <w:rPr>
                <w:rFonts w:eastAsia="Calibri" w:cs="Times New Roman"/>
                <w:color w:val="000000"/>
                <w:sz w:val="20"/>
                <w:szCs w:val="20"/>
                <w:lang w:val="fr-CA"/>
              </w:rPr>
              <w:t>cocaïne</w:t>
            </w:r>
            <w:r w:rsidRPr="001667A2">
              <w:rPr>
                <w:rFonts w:eastAsia="Calibri" w:cs="Times New Roman"/>
                <w:sz w:val="20"/>
                <w:szCs w:val="20"/>
                <w:lang w:val="fr-CA"/>
              </w:rPr>
              <w:t xml:space="preserve"> et de marijuana en vue d’en faire le trafic et entreposage négligent d’une arme à feu </w:t>
            </w:r>
          </w:p>
          <w:p w:rsidR="00C22C82" w:rsidRPr="001667A2" w:rsidRDefault="00C22C82" w:rsidP="0010431F">
            <w:pPr>
              <w:jc w:val="both"/>
              <w:rPr>
                <w:rFonts w:eastAsia="Calibri" w:cs="Times New Roman"/>
                <w:sz w:val="20"/>
                <w:szCs w:val="20"/>
                <w:lang w:val="fr-CA"/>
              </w:rPr>
            </w:pPr>
          </w:p>
        </w:tc>
      </w:tr>
      <w:tr w:rsidR="00C22C82" w:rsidRPr="001667A2" w:rsidTr="0010431F">
        <w:tc>
          <w:tcPr>
            <w:tcW w:w="2427" w:type="pct"/>
          </w:tcPr>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21 juillet 2010</w:t>
            </w:r>
          </w:p>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Cour d’appel de l’Ontario</w:t>
            </w:r>
          </w:p>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(les juges Gillese, Doherty et Armstrong)</w:t>
            </w:r>
          </w:p>
          <w:p w:rsidR="00C22C82" w:rsidRPr="001667A2" w:rsidRDefault="00C22C82" w:rsidP="0010431F">
            <w:pPr>
              <w:jc w:val="both"/>
              <w:rPr>
                <w:rFonts w:eastAsia="Calibri" w:cs="Times New Roman"/>
                <w:sz w:val="20"/>
                <w:szCs w:val="20"/>
                <w:lang w:val="fr-CA"/>
              </w:rPr>
            </w:pPr>
          </w:p>
        </w:tc>
        <w:tc>
          <w:tcPr>
            <w:tcW w:w="243" w:type="pct"/>
          </w:tcPr>
          <w:p w:rsidR="00C22C82" w:rsidRPr="001667A2" w:rsidRDefault="00C22C82" w:rsidP="0010431F">
            <w:pPr>
              <w:jc w:val="both"/>
              <w:rPr>
                <w:rFonts w:eastAsia="Calibri" w:cs="Times New Roman"/>
                <w:sz w:val="20"/>
                <w:szCs w:val="20"/>
                <w:lang w:val="fr-CA"/>
              </w:rPr>
            </w:pPr>
          </w:p>
        </w:tc>
        <w:tc>
          <w:tcPr>
            <w:tcW w:w="2330" w:type="pct"/>
          </w:tcPr>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Appel rejeté</w:t>
            </w:r>
          </w:p>
          <w:p w:rsidR="00C22C82" w:rsidRPr="001667A2" w:rsidRDefault="00C22C82" w:rsidP="0010431F">
            <w:pPr>
              <w:jc w:val="both"/>
              <w:rPr>
                <w:rFonts w:eastAsia="Calibri" w:cs="Times New Roman"/>
                <w:sz w:val="20"/>
                <w:szCs w:val="20"/>
                <w:lang w:val="fr-CA"/>
              </w:rPr>
            </w:pPr>
          </w:p>
        </w:tc>
      </w:tr>
      <w:tr w:rsidR="00C22C82" w:rsidRPr="001667A2" w:rsidTr="0010431F">
        <w:tc>
          <w:tcPr>
            <w:tcW w:w="2427" w:type="pct"/>
          </w:tcPr>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29 septembre 2010</w:t>
            </w:r>
          </w:p>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Cour suprême du Canada</w:t>
            </w:r>
          </w:p>
        </w:tc>
        <w:tc>
          <w:tcPr>
            <w:tcW w:w="243" w:type="pct"/>
          </w:tcPr>
          <w:p w:rsidR="00C22C82" w:rsidRPr="001667A2" w:rsidRDefault="00C22C82" w:rsidP="0010431F">
            <w:pPr>
              <w:jc w:val="both"/>
              <w:rPr>
                <w:rFonts w:eastAsia="Calibri" w:cs="Times New Roman"/>
                <w:sz w:val="20"/>
                <w:szCs w:val="20"/>
                <w:lang w:val="fr-CA"/>
              </w:rPr>
            </w:pPr>
          </w:p>
        </w:tc>
        <w:tc>
          <w:tcPr>
            <w:tcW w:w="2330" w:type="pct"/>
          </w:tcPr>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Requête en autorisation d’appel déposée</w:t>
            </w:r>
          </w:p>
          <w:p w:rsidR="00C22C82" w:rsidRPr="001667A2" w:rsidRDefault="00C22C82" w:rsidP="0010431F">
            <w:pPr>
              <w:jc w:val="both"/>
              <w:rPr>
                <w:rFonts w:eastAsia="Calibri" w:cs="Times New Roman"/>
                <w:sz w:val="20"/>
                <w:szCs w:val="20"/>
                <w:lang w:val="fr-CA"/>
              </w:rPr>
            </w:pPr>
          </w:p>
        </w:tc>
      </w:tr>
    </w:tbl>
    <w:p w:rsidR="00BA161A" w:rsidRDefault="00BA161A" w:rsidP="008D292F">
      <w:pPr>
        <w:rPr>
          <w:sz w:val="20"/>
          <w:szCs w:val="20"/>
        </w:rPr>
      </w:pPr>
    </w:p>
    <w:p w:rsidR="00BA161A" w:rsidRDefault="003E529C" w:rsidP="008D292F">
      <w:pPr>
        <w:rPr>
          <w:sz w:val="20"/>
          <w:szCs w:val="20"/>
          <w:lang w:val="fr-CA"/>
        </w:rPr>
      </w:pPr>
      <w:r w:rsidRPr="003E529C">
        <w:rPr>
          <w:sz w:val="20"/>
          <w:szCs w:val="20"/>
          <w:lang w:val="fr-CA"/>
        </w:rPr>
        <w:pict>
          <v:rect id="_x0000_i1040" style="width:2in;height:1pt" o:hrpct="0" o:hralign="center" o:hrstd="t" o:hrnoshade="t" o:hr="t" fillcolor="black [3213]" stroked="f"/>
        </w:pict>
      </w:r>
    </w:p>
    <w:p w:rsidR="00BA161A" w:rsidRDefault="00BA161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F3FC7" w:rsidRPr="009122D4" w:rsidTr="00E022C0">
        <w:trPr>
          <w:cantSplit/>
        </w:trPr>
        <w:tc>
          <w:tcPr>
            <w:tcW w:w="1458" w:type="dxa"/>
          </w:tcPr>
          <w:p w:rsidR="008F3FC7" w:rsidRPr="008F3FC7" w:rsidRDefault="008F3FC7" w:rsidP="00E022C0">
            <w:pPr>
              <w:rPr>
                <w:sz w:val="20"/>
                <w:szCs w:val="20"/>
              </w:rPr>
            </w:pPr>
            <w:r w:rsidRPr="008F3FC7">
              <w:rPr>
                <w:rStyle w:val="SCCFileNumberChar"/>
                <w:sz w:val="20"/>
                <w:szCs w:val="20"/>
              </w:rPr>
              <w:t>33789</w:t>
            </w:r>
          </w:p>
          <w:p w:rsidR="008F3FC7" w:rsidRPr="008F3FC7" w:rsidRDefault="008F3FC7" w:rsidP="00E022C0">
            <w:pPr>
              <w:rPr>
                <w:b/>
                <w:sz w:val="20"/>
                <w:szCs w:val="20"/>
                <w:lang w:val="fr-CA"/>
              </w:rPr>
            </w:pPr>
          </w:p>
        </w:tc>
        <w:tc>
          <w:tcPr>
            <w:tcW w:w="8118" w:type="dxa"/>
          </w:tcPr>
          <w:p w:rsidR="008F3FC7" w:rsidRPr="008F3FC7" w:rsidRDefault="008F3FC7" w:rsidP="00E022C0">
            <w:pPr>
              <w:rPr>
                <w:sz w:val="20"/>
                <w:szCs w:val="20"/>
                <w:lang w:val="fr-CA"/>
              </w:rPr>
            </w:pPr>
            <w:r w:rsidRPr="008F3FC7">
              <w:rPr>
                <w:rStyle w:val="SCCLsocChar"/>
                <w:sz w:val="20"/>
                <w:szCs w:val="20"/>
              </w:rPr>
              <w:t>Ghislain Dion c. Sa Majesté la Reine</w:t>
            </w:r>
            <w:r w:rsidRPr="008F3FC7">
              <w:rPr>
                <w:sz w:val="20"/>
                <w:szCs w:val="20"/>
                <w:lang w:val="fr-CA"/>
              </w:rPr>
              <w:t xml:space="preserve"> (Qc) (Criminelle) (Autorisation)</w:t>
            </w:r>
          </w:p>
          <w:p w:rsidR="008F3FC7" w:rsidRPr="008F3FC7" w:rsidRDefault="008F3FC7" w:rsidP="00E022C0">
            <w:pPr>
              <w:rPr>
                <w:sz w:val="20"/>
                <w:szCs w:val="20"/>
                <w:lang w:val="fr-CA"/>
              </w:rPr>
            </w:pPr>
          </w:p>
        </w:tc>
      </w:tr>
      <w:tr w:rsidR="008F3FC7" w:rsidRPr="009122D4" w:rsidTr="00E022C0">
        <w:trPr>
          <w:cantSplit/>
        </w:trPr>
        <w:tc>
          <w:tcPr>
            <w:tcW w:w="1458" w:type="dxa"/>
          </w:tcPr>
          <w:p w:rsidR="008F3FC7" w:rsidRPr="008F3FC7" w:rsidRDefault="008F3FC7" w:rsidP="00E022C0">
            <w:pPr>
              <w:rPr>
                <w:sz w:val="20"/>
                <w:szCs w:val="20"/>
              </w:rPr>
            </w:pPr>
            <w:r w:rsidRPr="008F3FC7">
              <w:rPr>
                <w:sz w:val="20"/>
                <w:szCs w:val="20"/>
              </w:rPr>
              <w:t>Coram :</w:t>
            </w:r>
          </w:p>
        </w:tc>
        <w:tc>
          <w:tcPr>
            <w:tcW w:w="8118" w:type="dxa"/>
          </w:tcPr>
          <w:p w:rsidR="008F3FC7" w:rsidRPr="008F3FC7" w:rsidRDefault="008F3FC7" w:rsidP="00E022C0">
            <w:pPr>
              <w:rPr>
                <w:sz w:val="20"/>
                <w:szCs w:val="20"/>
                <w:lang w:val="fr-CA"/>
              </w:rPr>
            </w:pPr>
            <w:r w:rsidRPr="008F3FC7">
              <w:rPr>
                <w:rStyle w:val="SCCCoramChar"/>
                <w:sz w:val="20"/>
                <w:szCs w:val="20"/>
              </w:rPr>
              <w:t>La juge en chef McLachlin et les juges Abella et Cromwell</w:t>
            </w:r>
          </w:p>
          <w:p w:rsidR="008F3FC7" w:rsidRPr="008F3FC7" w:rsidRDefault="008F3FC7" w:rsidP="00E022C0">
            <w:pPr>
              <w:rPr>
                <w:sz w:val="20"/>
                <w:szCs w:val="20"/>
                <w:u w:val="single"/>
                <w:lang w:val="fr-CA"/>
              </w:rPr>
            </w:pPr>
          </w:p>
        </w:tc>
      </w:tr>
      <w:tr w:rsidR="008F3FC7" w:rsidRPr="008F3FC7" w:rsidTr="00E022C0">
        <w:trPr>
          <w:cantSplit/>
        </w:trPr>
        <w:tc>
          <w:tcPr>
            <w:tcW w:w="9576" w:type="dxa"/>
            <w:gridSpan w:val="2"/>
          </w:tcPr>
          <w:p w:rsidR="008F3FC7" w:rsidRPr="008F3FC7" w:rsidRDefault="008F3FC7" w:rsidP="00E022C0">
            <w:pPr>
              <w:pStyle w:val="SCCShortJudgment"/>
              <w:rPr>
                <w:szCs w:val="20"/>
                <w:lang w:val="fr-CA"/>
              </w:rPr>
            </w:pPr>
            <w:r w:rsidRPr="008F3FC7">
              <w:rPr>
                <w:szCs w:val="20"/>
                <w:lang w:val="fr-CA"/>
              </w:rPr>
              <w:t>La demande d’autorisation d’appel de l’arrêt de la Cour d’appel du Québec (Montréal), numéro 500-10-004029-086, 2010 QCCA 941, daté du 13 mai 2010, est rejetée sans dépens.</w:t>
            </w:r>
          </w:p>
          <w:p w:rsidR="008F3FC7" w:rsidRPr="008F3FC7" w:rsidRDefault="008F3FC7" w:rsidP="00E022C0">
            <w:pPr>
              <w:pStyle w:val="SCCShortJudgment"/>
              <w:ind w:firstLine="0"/>
              <w:rPr>
                <w:szCs w:val="20"/>
                <w:lang w:val="fr-CA"/>
              </w:rPr>
            </w:pPr>
          </w:p>
          <w:p w:rsidR="008F3FC7" w:rsidRPr="008F3FC7" w:rsidRDefault="008F3FC7" w:rsidP="008F3FC7">
            <w:pPr>
              <w:pStyle w:val="SCCShortJudgment"/>
              <w:rPr>
                <w:szCs w:val="20"/>
              </w:rPr>
            </w:pPr>
            <w:r w:rsidRPr="008F3FC7">
              <w:rPr>
                <w:szCs w:val="20"/>
              </w:rPr>
              <w:t>The application for leave to appeal from the judgment of the Court of Appeal of Quebec (Montréal), Number 500-10-004029-086, 2010 QCCA 941, dated May 13, 2010, is dismissed without costs.</w:t>
            </w:r>
          </w:p>
        </w:tc>
      </w:tr>
    </w:tbl>
    <w:p w:rsidR="00AF63D3" w:rsidRPr="00BA161A" w:rsidRDefault="00AF63D3" w:rsidP="00AF63D3">
      <w:pPr>
        <w:rPr>
          <w:sz w:val="20"/>
          <w:szCs w:val="20"/>
        </w:rPr>
      </w:pPr>
    </w:p>
    <w:p w:rsidR="00AF63D3" w:rsidRDefault="00AF63D3" w:rsidP="00AF63D3">
      <w:pPr>
        <w:rPr>
          <w:sz w:val="20"/>
          <w:szCs w:val="20"/>
        </w:rPr>
      </w:pPr>
      <w:r>
        <w:rPr>
          <w:sz w:val="20"/>
          <w:szCs w:val="20"/>
          <w:u w:val="single"/>
        </w:rPr>
        <w:t>CASE SUMMARY</w:t>
      </w:r>
    </w:p>
    <w:p w:rsidR="00AF63D3" w:rsidRDefault="00AF63D3" w:rsidP="00AF63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22C82" w:rsidRPr="001667A2" w:rsidTr="0010431F">
        <w:tc>
          <w:tcPr>
            <w:tcW w:w="5000" w:type="pct"/>
            <w:gridSpan w:val="3"/>
          </w:tcPr>
          <w:p w:rsidR="00C22C82" w:rsidRPr="001667A2" w:rsidRDefault="00C22C82" w:rsidP="0010431F">
            <w:pPr>
              <w:jc w:val="both"/>
              <w:rPr>
                <w:rFonts w:eastAsia="Calibri" w:cs="Times New Roman"/>
                <w:smallCaps/>
                <w:sz w:val="20"/>
                <w:szCs w:val="20"/>
              </w:rPr>
            </w:pPr>
            <w:r w:rsidRPr="001667A2">
              <w:rPr>
                <w:rFonts w:eastAsia="Calibri" w:cs="Times New Roman"/>
                <w:smallCaps/>
                <w:sz w:val="20"/>
                <w:szCs w:val="20"/>
              </w:rPr>
              <w:t>(Publication Ban in Case)</w:t>
            </w:r>
          </w:p>
          <w:p w:rsidR="00C22C82" w:rsidRPr="001667A2" w:rsidRDefault="00C22C82" w:rsidP="0010431F">
            <w:pPr>
              <w:jc w:val="both"/>
              <w:rPr>
                <w:rFonts w:eastAsia="Calibri" w:cs="Times New Roman"/>
                <w:sz w:val="20"/>
                <w:szCs w:val="20"/>
              </w:rPr>
            </w:pPr>
          </w:p>
        </w:tc>
      </w:tr>
      <w:tr w:rsidR="00C22C82" w:rsidRPr="001667A2" w:rsidTr="0010431F">
        <w:tc>
          <w:tcPr>
            <w:tcW w:w="5000" w:type="pct"/>
            <w:gridSpan w:val="3"/>
          </w:tcPr>
          <w:p w:rsidR="00C22C82" w:rsidRPr="001667A2" w:rsidRDefault="00C22C82" w:rsidP="0010431F">
            <w:pPr>
              <w:jc w:val="both"/>
              <w:rPr>
                <w:rFonts w:eastAsia="Calibri" w:cs="Times New Roman"/>
                <w:sz w:val="20"/>
                <w:szCs w:val="20"/>
              </w:rPr>
            </w:pPr>
            <w:r w:rsidRPr="001667A2">
              <w:rPr>
                <w:rFonts w:eastAsia="Calibri" w:cs="Times New Roman"/>
                <w:sz w:val="20"/>
                <w:szCs w:val="20"/>
              </w:rPr>
              <w:t>Criminal law - Trial - Charge to jury - Circumstantial evidence - Exclusive opportunity - Unreasonable verdict - Whether Quebec Court of Appeal erred in not concluding that judge’s charge to jury concerning “theory of exclusive opportunity” argued by Respondent at end of trial was insufficient and prevented Applicant from being given benefit of reasonable doubt raised by evidence as whole, thereby depriving him of right to fair trial - Whether Quebec Court of Appeal erred in fact and law in concluding that guilty verdict in this case was not unreasonable.</w:t>
            </w:r>
          </w:p>
          <w:p w:rsidR="00C22C82" w:rsidRPr="001667A2" w:rsidRDefault="00C22C82" w:rsidP="0010431F">
            <w:pPr>
              <w:jc w:val="both"/>
              <w:rPr>
                <w:rFonts w:eastAsia="Calibri" w:cs="Times New Roman"/>
                <w:sz w:val="20"/>
                <w:szCs w:val="20"/>
              </w:rPr>
            </w:pPr>
          </w:p>
        </w:tc>
      </w:tr>
      <w:tr w:rsidR="00C22C82" w:rsidRPr="001667A2" w:rsidTr="0010431F">
        <w:tc>
          <w:tcPr>
            <w:tcW w:w="5000" w:type="pct"/>
            <w:gridSpan w:val="3"/>
          </w:tcPr>
          <w:p w:rsidR="00C22C82" w:rsidRPr="001667A2" w:rsidRDefault="00C22C82" w:rsidP="0010431F">
            <w:pPr>
              <w:jc w:val="both"/>
              <w:rPr>
                <w:rFonts w:eastAsia="Calibri" w:cs="Times New Roman"/>
                <w:sz w:val="20"/>
                <w:szCs w:val="20"/>
              </w:rPr>
            </w:pPr>
            <w:r w:rsidRPr="001667A2">
              <w:rPr>
                <w:rFonts w:eastAsia="Calibri" w:cs="Times New Roman"/>
                <w:sz w:val="20"/>
                <w:szCs w:val="20"/>
              </w:rPr>
              <w:t xml:space="preserve">On December 16, 2007, following a jury trial in the Quebec Superior Court, the Applicant was convicted of the first degree murder of his spouse, Julie Croteau, who had gone missing on October 25, 2005 and been found dead on October 27, 2005 in the trunk of her car, which had been abandoned behind a shopping centre.  The autopsy determined that Ms. Croteau had died of head trauma caused by several blows from a blunt object.  The evidence </w:t>
            </w:r>
            <w:r w:rsidRPr="001667A2">
              <w:rPr>
                <w:rFonts w:eastAsia="Calibri" w:cs="Times New Roman"/>
                <w:sz w:val="20"/>
                <w:szCs w:val="20"/>
              </w:rPr>
              <w:lastRenderedPageBreak/>
              <w:t>adduced at trial was circumstantial.  The Crown argued that the Applicant had had the exclusive opportunity to kill Ms. Croteau during the period when she had been killed.  Following the Crown’s argument, the defence asked the judge to instruct the jury on the concept of exclusive opportunity, which the judge did.  The Applicant appealed the guilty verdict.  The Quebec Court of Appeal dismissed the appeal.</w:t>
            </w:r>
          </w:p>
          <w:p w:rsidR="00C22C82" w:rsidRPr="001667A2" w:rsidRDefault="00C22C82" w:rsidP="0010431F">
            <w:pPr>
              <w:jc w:val="both"/>
              <w:rPr>
                <w:rFonts w:eastAsia="Calibri" w:cs="Times New Roman"/>
                <w:sz w:val="20"/>
                <w:szCs w:val="20"/>
              </w:rPr>
            </w:pPr>
          </w:p>
        </w:tc>
      </w:tr>
      <w:tr w:rsidR="00C22C82" w:rsidRPr="001667A2" w:rsidTr="0010431F">
        <w:tc>
          <w:tcPr>
            <w:tcW w:w="2427" w:type="pct"/>
          </w:tcPr>
          <w:p w:rsidR="00C22C82" w:rsidRPr="001667A2" w:rsidRDefault="00C22C82" w:rsidP="0010431F">
            <w:pPr>
              <w:jc w:val="both"/>
              <w:rPr>
                <w:rFonts w:eastAsia="Calibri" w:cs="Times New Roman"/>
                <w:sz w:val="20"/>
                <w:szCs w:val="20"/>
              </w:rPr>
            </w:pPr>
            <w:r w:rsidRPr="001667A2">
              <w:rPr>
                <w:rFonts w:eastAsia="Calibri" w:cs="Times New Roman"/>
                <w:sz w:val="20"/>
                <w:szCs w:val="20"/>
              </w:rPr>
              <w:lastRenderedPageBreak/>
              <w:t>December 16, 2007</w:t>
            </w:r>
          </w:p>
          <w:p w:rsidR="00C22C82" w:rsidRPr="001667A2" w:rsidRDefault="00C22C82" w:rsidP="0010431F">
            <w:pPr>
              <w:jc w:val="both"/>
              <w:rPr>
                <w:rFonts w:eastAsia="Calibri" w:cs="Times New Roman"/>
                <w:sz w:val="20"/>
                <w:szCs w:val="20"/>
              </w:rPr>
            </w:pPr>
            <w:r w:rsidRPr="001667A2">
              <w:rPr>
                <w:rFonts w:eastAsia="Calibri" w:cs="Times New Roman"/>
                <w:sz w:val="20"/>
                <w:szCs w:val="20"/>
              </w:rPr>
              <w:t>Quebec Superior Court</w:t>
            </w:r>
          </w:p>
          <w:p w:rsidR="00C22C82" w:rsidRPr="001667A2" w:rsidRDefault="00C22C82" w:rsidP="0010431F">
            <w:pPr>
              <w:jc w:val="both"/>
              <w:rPr>
                <w:rFonts w:eastAsia="Calibri" w:cs="Times New Roman"/>
                <w:sz w:val="20"/>
                <w:szCs w:val="20"/>
              </w:rPr>
            </w:pPr>
            <w:r w:rsidRPr="001667A2">
              <w:rPr>
                <w:rFonts w:eastAsia="Calibri" w:cs="Times New Roman"/>
                <w:sz w:val="20"/>
                <w:szCs w:val="20"/>
              </w:rPr>
              <w:t>(Wagner J.)</w:t>
            </w:r>
          </w:p>
          <w:p w:rsidR="00C22C82" w:rsidRPr="001667A2" w:rsidRDefault="00C22C82" w:rsidP="0010431F">
            <w:pPr>
              <w:jc w:val="both"/>
              <w:rPr>
                <w:rFonts w:eastAsia="Calibri" w:cs="Times New Roman"/>
                <w:sz w:val="20"/>
                <w:szCs w:val="20"/>
              </w:rPr>
            </w:pPr>
          </w:p>
        </w:tc>
        <w:tc>
          <w:tcPr>
            <w:tcW w:w="243" w:type="pct"/>
          </w:tcPr>
          <w:p w:rsidR="00C22C82" w:rsidRPr="001667A2" w:rsidRDefault="00C22C82" w:rsidP="0010431F">
            <w:pPr>
              <w:jc w:val="both"/>
              <w:rPr>
                <w:rFonts w:eastAsia="Calibri" w:cs="Times New Roman"/>
                <w:sz w:val="20"/>
                <w:szCs w:val="20"/>
              </w:rPr>
            </w:pPr>
          </w:p>
        </w:tc>
        <w:tc>
          <w:tcPr>
            <w:tcW w:w="2330" w:type="pct"/>
          </w:tcPr>
          <w:p w:rsidR="00C22C82" w:rsidRPr="001667A2" w:rsidRDefault="00C22C82" w:rsidP="0010431F">
            <w:pPr>
              <w:jc w:val="both"/>
              <w:rPr>
                <w:rFonts w:eastAsia="Calibri" w:cs="Times New Roman"/>
                <w:sz w:val="20"/>
                <w:szCs w:val="20"/>
              </w:rPr>
            </w:pPr>
            <w:r w:rsidRPr="001667A2">
              <w:rPr>
                <w:rFonts w:eastAsia="Calibri" w:cs="Times New Roman"/>
                <w:sz w:val="20"/>
                <w:szCs w:val="20"/>
              </w:rPr>
              <w:t>Guilty verdict: first degree murder</w:t>
            </w:r>
          </w:p>
          <w:p w:rsidR="00C22C82" w:rsidRPr="001667A2" w:rsidRDefault="00C22C82" w:rsidP="0010431F">
            <w:pPr>
              <w:jc w:val="both"/>
              <w:rPr>
                <w:rFonts w:eastAsia="Calibri" w:cs="Times New Roman"/>
                <w:sz w:val="20"/>
                <w:szCs w:val="20"/>
              </w:rPr>
            </w:pPr>
          </w:p>
        </w:tc>
      </w:tr>
      <w:tr w:rsidR="00C22C82" w:rsidRPr="001667A2" w:rsidTr="0010431F">
        <w:tc>
          <w:tcPr>
            <w:tcW w:w="2427" w:type="pct"/>
          </w:tcPr>
          <w:p w:rsidR="00C22C82" w:rsidRPr="001667A2" w:rsidRDefault="00C22C82" w:rsidP="0010431F">
            <w:pPr>
              <w:jc w:val="both"/>
              <w:rPr>
                <w:rFonts w:eastAsia="Calibri" w:cs="Times New Roman"/>
                <w:sz w:val="20"/>
                <w:szCs w:val="20"/>
              </w:rPr>
            </w:pPr>
            <w:r w:rsidRPr="001667A2">
              <w:rPr>
                <w:rFonts w:eastAsia="Calibri" w:cs="Times New Roman"/>
                <w:sz w:val="20"/>
                <w:szCs w:val="20"/>
              </w:rPr>
              <w:t>May 13, 2010</w:t>
            </w:r>
          </w:p>
          <w:p w:rsidR="00C22C82" w:rsidRPr="001667A2" w:rsidRDefault="00C22C82" w:rsidP="0010431F">
            <w:pPr>
              <w:jc w:val="both"/>
              <w:rPr>
                <w:rFonts w:eastAsia="Calibri" w:cs="Times New Roman"/>
                <w:sz w:val="20"/>
                <w:szCs w:val="20"/>
              </w:rPr>
            </w:pPr>
            <w:r w:rsidRPr="001667A2">
              <w:rPr>
                <w:rFonts w:eastAsia="Calibri" w:cs="Times New Roman"/>
                <w:sz w:val="20"/>
                <w:szCs w:val="20"/>
              </w:rPr>
              <w:t>Quebec Court of Appeal (Montréal)</w:t>
            </w:r>
          </w:p>
          <w:p w:rsidR="00C22C82" w:rsidRPr="001667A2" w:rsidRDefault="00C22C82" w:rsidP="0010431F">
            <w:pPr>
              <w:jc w:val="both"/>
              <w:rPr>
                <w:rFonts w:eastAsia="Calibri" w:cs="Times New Roman"/>
                <w:sz w:val="20"/>
                <w:szCs w:val="20"/>
              </w:rPr>
            </w:pPr>
            <w:r w:rsidRPr="001667A2">
              <w:rPr>
                <w:rFonts w:eastAsia="Calibri" w:cs="Times New Roman"/>
                <w:sz w:val="20"/>
                <w:szCs w:val="20"/>
              </w:rPr>
              <w:t>(Dalphond, Côté and Kasirer JJ.A.)</w:t>
            </w:r>
          </w:p>
          <w:p w:rsidR="00C22C82" w:rsidRPr="001667A2" w:rsidRDefault="00C22C82" w:rsidP="0010431F">
            <w:pPr>
              <w:jc w:val="both"/>
              <w:rPr>
                <w:rFonts w:eastAsia="Calibri" w:cs="Times New Roman"/>
                <w:sz w:val="20"/>
                <w:szCs w:val="20"/>
              </w:rPr>
            </w:pPr>
            <w:r w:rsidRPr="001667A2">
              <w:rPr>
                <w:rFonts w:eastAsia="Calibri" w:cs="Times New Roman"/>
                <w:sz w:val="20"/>
                <w:szCs w:val="20"/>
              </w:rPr>
              <w:t>Neutral citation: 2010 QCCA 941</w:t>
            </w:r>
          </w:p>
          <w:p w:rsidR="00C22C82" w:rsidRPr="001667A2" w:rsidRDefault="00C22C82" w:rsidP="0010431F">
            <w:pPr>
              <w:jc w:val="both"/>
              <w:rPr>
                <w:rFonts w:eastAsia="Calibri" w:cs="Times New Roman"/>
                <w:sz w:val="20"/>
                <w:szCs w:val="20"/>
              </w:rPr>
            </w:pPr>
          </w:p>
        </w:tc>
        <w:tc>
          <w:tcPr>
            <w:tcW w:w="243" w:type="pct"/>
          </w:tcPr>
          <w:p w:rsidR="00C22C82" w:rsidRPr="001667A2" w:rsidRDefault="00C22C82" w:rsidP="0010431F">
            <w:pPr>
              <w:jc w:val="both"/>
              <w:rPr>
                <w:rFonts w:eastAsia="Calibri" w:cs="Times New Roman"/>
                <w:sz w:val="20"/>
                <w:szCs w:val="20"/>
              </w:rPr>
            </w:pPr>
          </w:p>
        </w:tc>
        <w:tc>
          <w:tcPr>
            <w:tcW w:w="2330" w:type="pct"/>
          </w:tcPr>
          <w:p w:rsidR="00C22C82" w:rsidRPr="001667A2" w:rsidRDefault="00C22C82" w:rsidP="0010431F">
            <w:pPr>
              <w:jc w:val="both"/>
              <w:rPr>
                <w:rFonts w:eastAsia="Calibri" w:cs="Times New Roman"/>
                <w:sz w:val="20"/>
                <w:szCs w:val="20"/>
              </w:rPr>
            </w:pPr>
            <w:r w:rsidRPr="001667A2">
              <w:rPr>
                <w:rFonts w:eastAsia="Calibri" w:cs="Times New Roman"/>
                <w:sz w:val="20"/>
                <w:szCs w:val="20"/>
              </w:rPr>
              <w:t>Appeal dismissed</w:t>
            </w:r>
          </w:p>
          <w:p w:rsidR="00C22C82" w:rsidRPr="001667A2" w:rsidRDefault="00C22C82" w:rsidP="0010431F">
            <w:pPr>
              <w:jc w:val="both"/>
              <w:rPr>
                <w:rFonts w:eastAsia="Calibri" w:cs="Times New Roman"/>
                <w:sz w:val="20"/>
                <w:szCs w:val="20"/>
              </w:rPr>
            </w:pPr>
          </w:p>
        </w:tc>
      </w:tr>
      <w:tr w:rsidR="00C22C82" w:rsidRPr="001667A2" w:rsidTr="0010431F">
        <w:tc>
          <w:tcPr>
            <w:tcW w:w="2427" w:type="pct"/>
          </w:tcPr>
          <w:p w:rsidR="00C22C82" w:rsidRPr="001667A2" w:rsidRDefault="00C22C82" w:rsidP="0010431F">
            <w:pPr>
              <w:jc w:val="both"/>
              <w:rPr>
                <w:rFonts w:eastAsia="Calibri" w:cs="Times New Roman"/>
                <w:sz w:val="20"/>
                <w:szCs w:val="20"/>
              </w:rPr>
            </w:pPr>
            <w:r w:rsidRPr="001667A2">
              <w:rPr>
                <w:rFonts w:eastAsia="Calibri" w:cs="Times New Roman"/>
                <w:sz w:val="20"/>
                <w:szCs w:val="20"/>
              </w:rPr>
              <w:t>August 11, 2010</w:t>
            </w:r>
          </w:p>
          <w:p w:rsidR="00C22C82" w:rsidRPr="001667A2" w:rsidRDefault="00C22C82" w:rsidP="0010431F">
            <w:pPr>
              <w:jc w:val="both"/>
              <w:rPr>
                <w:rFonts w:eastAsia="Calibri" w:cs="Times New Roman"/>
                <w:sz w:val="20"/>
                <w:szCs w:val="20"/>
              </w:rPr>
            </w:pPr>
            <w:r w:rsidRPr="001667A2">
              <w:rPr>
                <w:rFonts w:eastAsia="Calibri" w:cs="Times New Roman"/>
                <w:sz w:val="20"/>
                <w:szCs w:val="20"/>
              </w:rPr>
              <w:t>Supreme Court of Canada</w:t>
            </w:r>
          </w:p>
        </w:tc>
        <w:tc>
          <w:tcPr>
            <w:tcW w:w="243" w:type="pct"/>
          </w:tcPr>
          <w:p w:rsidR="00C22C82" w:rsidRPr="001667A2" w:rsidRDefault="00C22C82" w:rsidP="0010431F">
            <w:pPr>
              <w:jc w:val="both"/>
              <w:rPr>
                <w:rFonts w:eastAsia="Calibri" w:cs="Times New Roman"/>
                <w:sz w:val="20"/>
                <w:szCs w:val="20"/>
              </w:rPr>
            </w:pPr>
          </w:p>
        </w:tc>
        <w:tc>
          <w:tcPr>
            <w:tcW w:w="2330" w:type="pct"/>
          </w:tcPr>
          <w:p w:rsidR="00C22C82" w:rsidRPr="001667A2" w:rsidRDefault="00C22C82" w:rsidP="0010431F">
            <w:pPr>
              <w:jc w:val="both"/>
              <w:rPr>
                <w:rFonts w:eastAsia="Calibri" w:cs="Times New Roman"/>
                <w:sz w:val="20"/>
                <w:szCs w:val="20"/>
              </w:rPr>
            </w:pPr>
            <w:r w:rsidRPr="001667A2">
              <w:rPr>
                <w:rFonts w:eastAsia="Calibri" w:cs="Times New Roman"/>
                <w:sz w:val="20"/>
                <w:szCs w:val="20"/>
              </w:rPr>
              <w:t>Application for leave to appeal filed</w:t>
            </w:r>
          </w:p>
          <w:p w:rsidR="00C22C82" w:rsidRPr="001667A2" w:rsidRDefault="00C22C82" w:rsidP="0010431F">
            <w:pPr>
              <w:jc w:val="both"/>
              <w:rPr>
                <w:rFonts w:eastAsia="Calibri" w:cs="Times New Roman"/>
                <w:sz w:val="20"/>
                <w:szCs w:val="20"/>
              </w:rPr>
            </w:pPr>
          </w:p>
        </w:tc>
      </w:tr>
    </w:tbl>
    <w:p w:rsidR="00AF63D3" w:rsidRPr="00BA161A" w:rsidRDefault="00AF63D3" w:rsidP="00AF63D3">
      <w:pPr>
        <w:rPr>
          <w:sz w:val="20"/>
          <w:szCs w:val="20"/>
        </w:rPr>
      </w:pPr>
    </w:p>
    <w:p w:rsidR="00AF63D3" w:rsidRDefault="003E529C" w:rsidP="00AF63D3">
      <w:pPr>
        <w:rPr>
          <w:sz w:val="20"/>
          <w:szCs w:val="20"/>
          <w:lang w:val="fr-CA"/>
        </w:rPr>
      </w:pPr>
      <w:r w:rsidRPr="003E529C">
        <w:rPr>
          <w:sz w:val="20"/>
          <w:szCs w:val="20"/>
          <w:lang w:val="fr-CA"/>
        </w:rPr>
        <w:pict>
          <v:rect id="_x0000_i1041" style="width:2in;height:1pt" o:hrpct="0" o:hralign="center" o:hrstd="t" o:hrnoshade="t" o:hr="t" fillcolor="black [3213]" stroked="f"/>
        </w:pict>
      </w:r>
    </w:p>
    <w:p w:rsidR="00AF63D3" w:rsidRPr="00BA161A" w:rsidRDefault="00AF63D3" w:rsidP="00AF63D3">
      <w:pPr>
        <w:rPr>
          <w:sz w:val="20"/>
          <w:szCs w:val="20"/>
        </w:rPr>
      </w:pPr>
    </w:p>
    <w:p w:rsidR="00AF63D3" w:rsidRPr="00BA161A" w:rsidRDefault="00AF63D3" w:rsidP="00AF63D3">
      <w:pPr>
        <w:rPr>
          <w:sz w:val="20"/>
          <w:szCs w:val="20"/>
        </w:rPr>
      </w:pPr>
      <w:r>
        <w:rPr>
          <w:sz w:val="20"/>
          <w:szCs w:val="20"/>
          <w:u w:val="single"/>
        </w:rPr>
        <w:t>RÉSUMÉ DE L’AFFAIRE</w:t>
      </w:r>
    </w:p>
    <w:p w:rsidR="00AF63D3" w:rsidRPr="00BA161A" w:rsidRDefault="00AF63D3" w:rsidP="00AF63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22C82" w:rsidRPr="009122D4" w:rsidTr="0010431F">
        <w:tc>
          <w:tcPr>
            <w:tcW w:w="5000" w:type="pct"/>
            <w:gridSpan w:val="3"/>
          </w:tcPr>
          <w:p w:rsidR="00C22C82" w:rsidRPr="001667A2" w:rsidRDefault="00C22C82" w:rsidP="0010431F">
            <w:pPr>
              <w:jc w:val="both"/>
              <w:rPr>
                <w:rFonts w:eastAsia="Calibri" w:cs="Times New Roman"/>
                <w:smallCaps/>
                <w:sz w:val="20"/>
                <w:szCs w:val="20"/>
                <w:lang w:val="fr-CA"/>
              </w:rPr>
            </w:pPr>
            <w:r w:rsidRPr="001667A2">
              <w:rPr>
                <w:rFonts w:eastAsia="Calibri" w:cs="Times New Roman"/>
                <w:smallCaps/>
                <w:sz w:val="20"/>
                <w:szCs w:val="20"/>
                <w:lang w:val="fr-CA"/>
              </w:rPr>
              <w:t>(Ordonnance de non-publication dans le dossier)</w:t>
            </w:r>
          </w:p>
          <w:p w:rsidR="00C22C82" w:rsidRPr="001667A2" w:rsidRDefault="00C22C82" w:rsidP="0010431F">
            <w:pPr>
              <w:jc w:val="both"/>
              <w:rPr>
                <w:rFonts w:eastAsia="Calibri" w:cs="Times New Roman"/>
                <w:sz w:val="20"/>
                <w:szCs w:val="20"/>
                <w:lang w:val="fr-CA"/>
              </w:rPr>
            </w:pPr>
          </w:p>
        </w:tc>
      </w:tr>
      <w:tr w:rsidR="00C22C82" w:rsidRPr="009122D4" w:rsidTr="0010431F">
        <w:tc>
          <w:tcPr>
            <w:tcW w:w="5000" w:type="pct"/>
            <w:gridSpan w:val="3"/>
          </w:tcPr>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Droit criminel - Procès - Exposé au jury - Preuve circonstancielle - Opportunité exclusive - Verdict déraisonnable - La Cour d’appel du Québec a-t-elle commis une erreur en ne concluant pas que les directives du juge au jury concernant la « théorie de l’opportunité exclusive » plaidée par l’intimée au terme du procès étaient insuffisantes et qu’elles ont privé le demandeur du droit au bénéfice du doute raisonnable soulevé par la preuve prise dans son ensemble, le privant ainsi de son droit à un procès juste et équitable? - La Cour d’appel du Québec a-t-elle erré en faits et en droit en concluant que le verdict de culpabilité prononcé en l’espèce n’est pas déraisonnable?</w:t>
            </w:r>
          </w:p>
          <w:p w:rsidR="00C22C82" w:rsidRPr="001667A2" w:rsidRDefault="00C22C82" w:rsidP="0010431F">
            <w:pPr>
              <w:jc w:val="both"/>
              <w:rPr>
                <w:rFonts w:eastAsia="Calibri" w:cs="Times New Roman"/>
                <w:sz w:val="20"/>
                <w:szCs w:val="20"/>
                <w:lang w:val="fr-CA"/>
              </w:rPr>
            </w:pPr>
          </w:p>
        </w:tc>
      </w:tr>
      <w:tr w:rsidR="00C22C82" w:rsidRPr="001667A2" w:rsidTr="0010431F">
        <w:tc>
          <w:tcPr>
            <w:tcW w:w="5000" w:type="pct"/>
            <w:gridSpan w:val="3"/>
          </w:tcPr>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Le 16 décembre 2007, à l’issue d’un procès devant jury en Cour supérieure du Québec, le demandeur est déclaré coupable du meurtre au premier degré de sa conjointe, Julie Croteau. Mme Croteau, portée disparue le 25 octobre 2005, est retrouvée sans vie le 27 octobre 2005 dans le coffre de sa voiture abandonnée derrière un centre commercial. L’autopsie détermine que la mort résulte d’un traumatisme crânien à la suite de plusieurs coups portés avec un objet contondant. La preuve présentée au procès est circonstancielle. La Couronne plaide que le demandeur avait l’opportunité exclusive de tuer Mme Croteau dans la période où elle a été tuée. Suite à la plaidoirie de la Couronne, la défense demande au juge qu’une directive sur le concept d’opportunité exclusive soit donnée au jury, ce qui est fait. Le verdict de culpabilité est porté en appel par le demandeur. La Cour d’appel du Québec rejette le pourvoi.</w:t>
            </w:r>
          </w:p>
          <w:p w:rsidR="00C22C82" w:rsidRPr="001667A2" w:rsidRDefault="00C22C82" w:rsidP="0010431F">
            <w:pPr>
              <w:jc w:val="both"/>
              <w:rPr>
                <w:rFonts w:eastAsia="Calibri" w:cs="Times New Roman"/>
                <w:sz w:val="20"/>
                <w:szCs w:val="20"/>
                <w:lang w:val="fr-CA"/>
              </w:rPr>
            </w:pPr>
          </w:p>
        </w:tc>
      </w:tr>
      <w:tr w:rsidR="00C22C82" w:rsidRPr="009122D4" w:rsidTr="0010431F">
        <w:tc>
          <w:tcPr>
            <w:tcW w:w="2427" w:type="pct"/>
          </w:tcPr>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Le 16 décembre 2007</w:t>
            </w:r>
          </w:p>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Cour supérieure du Québec</w:t>
            </w:r>
          </w:p>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(Le juge Wagner)</w:t>
            </w:r>
          </w:p>
          <w:p w:rsidR="00C22C82" w:rsidRPr="001667A2" w:rsidRDefault="00C22C82" w:rsidP="0010431F">
            <w:pPr>
              <w:jc w:val="both"/>
              <w:rPr>
                <w:rFonts w:eastAsia="Calibri" w:cs="Times New Roman"/>
                <w:sz w:val="20"/>
                <w:szCs w:val="20"/>
              </w:rPr>
            </w:pPr>
          </w:p>
        </w:tc>
        <w:tc>
          <w:tcPr>
            <w:tcW w:w="243" w:type="pct"/>
          </w:tcPr>
          <w:p w:rsidR="00C22C82" w:rsidRPr="001667A2" w:rsidRDefault="00C22C82" w:rsidP="0010431F">
            <w:pPr>
              <w:jc w:val="both"/>
              <w:rPr>
                <w:rFonts w:eastAsia="Calibri" w:cs="Times New Roman"/>
                <w:sz w:val="20"/>
                <w:szCs w:val="20"/>
              </w:rPr>
            </w:pPr>
          </w:p>
        </w:tc>
        <w:tc>
          <w:tcPr>
            <w:tcW w:w="2330" w:type="pct"/>
          </w:tcPr>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Verdict de culpabilité : meurtre au premier degré</w:t>
            </w:r>
          </w:p>
          <w:p w:rsidR="00C22C82" w:rsidRPr="001667A2" w:rsidRDefault="00C22C82" w:rsidP="0010431F">
            <w:pPr>
              <w:jc w:val="both"/>
              <w:rPr>
                <w:rFonts w:eastAsia="Calibri" w:cs="Times New Roman"/>
                <w:sz w:val="20"/>
                <w:szCs w:val="20"/>
                <w:lang w:val="fr-CA"/>
              </w:rPr>
            </w:pPr>
          </w:p>
        </w:tc>
      </w:tr>
      <w:tr w:rsidR="00C22C82" w:rsidRPr="001667A2" w:rsidTr="0010431F">
        <w:tc>
          <w:tcPr>
            <w:tcW w:w="2427" w:type="pct"/>
          </w:tcPr>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Le 13 mai 2010</w:t>
            </w:r>
          </w:p>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Cour d’appel du Québec (Montréal)</w:t>
            </w:r>
          </w:p>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(Les juges Dalphond, Côté et Kasirer)</w:t>
            </w:r>
          </w:p>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Référence neutre : 2010 QCCA 941</w:t>
            </w:r>
          </w:p>
          <w:p w:rsidR="00C22C82" w:rsidRPr="001667A2" w:rsidRDefault="00C22C82" w:rsidP="0010431F">
            <w:pPr>
              <w:jc w:val="both"/>
              <w:rPr>
                <w:rFonts w:eastAsia="Calibri" w:cs="Times New Roman"/>
                <w:sz w:val="20"/>
                <w:szCs w:val="20"/>
                <w:lang w:val="fr-CA"/>
              </w:rPr>
            </w:pPr>
          </w:p>
        </w:tc>
        <w:tc>
          <w:tcPr>
            <w:tcW w:w="243" w:type="pct"/>
          </w:tcPr>
          <w:p w:rsidR="00C22C82" w:rsidRPr="001667A2" w:rsidRDefault="00C22C82" w:rsidP="0010431F">
            <w:pPr>
              <w:jc w:val="both"/>
              <w:rPr>
                <w:rFonts w:eastAsia="Calibri" w:cs="Times New Roman"/>
                <w:sz w:val="20"/>
                <w:szCs w:val="20"/>
                <w:lang w:val="fr-CA"/>
              </w:rPr>
            </w:pPr>
          </w:p>
        </w:tc>
        <w:tc>
          <w:tcPr>
            <w:tcW w:w="2330" w:type="pct"/>
          </w:tcPr>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Pourvoi rejeté</w:t>
            </w:r>
          </w:p>
          <w:p w:rsidR="00C22C82" w:rsidRPr="001667A2" w:rsidRDefault="00C22C82" w:rsidP="0010431F">
            <w:pPr>
              <w:jc w:val="both"/>
              <w:rPr>
                <w:rFonts w:eastAsia="Calibri" w:cs="Times New Roman"/>
                <w:sz w:val="20"/>
                <w:szCs w:val="20"/>
                <w:lang w:val="fr-CA"/>
              </w:rPr>
            </w:pPr>
          </w:p>
        </w:tc>
      </w:tr>
    </w:tbl>
    <w:p w:rsidR="005C4973" w:rsidRDefault="005C4973"/>
    <w:tbl>
      <w:tblPr>
        <w:tblW w:w="4952" w:type="pct"/>
        <w:tblLayout w:type="fixed"/>
        <w:tblCellMar>
          <w:left w:w="0" w:type="dxa"/>
          <w:bottom w:w="99" w:type="dxa"/>
          <w:right w:w="0" w:type="dxa"/>
        </w:tblCellMar>
        <w:tblLook w:val="04A0"/>
      </w:tblPr>
      <w:tblGrid>
        <w:gridCol w:w="4624"/>
        <w:gridCol w:w="463"/>
        <w:gridCol w:w="4440"/>
      </w:tblGrid>
      <w:tr w:rsidR="00C22C82" w:rsidRPr="001667A2" w:rsidTr="005C4973">
        <w:trPr>
          <w:cantSplit/>
        </w:trPr>
        <w:tc>
          <w:tcPr>
            <w:tcW w:w="2427" w:type="pct"/>
          </w:tcPr>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lastRenderedPageBreak/>
              <w:t>Le 11 août 2010</w:t>
            </w:r>
          </w:p>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Cour suprême du Canada</w:t>
            </w:r>
          </w:p>
        </w:tc>
        <w:tc>
          <w:tcPr>
            <w:tcW w:w="243" w:type="pct"/>
          </w:tcPr>
          <w:p w:rsidR="00C22C82" w:rsidRPr="001667A2" w:rsidRDefault="00C22C82" w:rsidP="0010431F">
            <w:pPr>
              <w:jc w:val="both"/>
              <w:rPr>
                <w:rFonts w:eastAsia="Calibri" w:cs="Times New Roman"/>
                <w:sz w:val="20"/>
                <w:szCs w:val="20"/>
                <w:lang w:val="fr-CA"/>
              </w:rPr>
            </w:pPr>
          </w:p>
        </w:tc>
        <w:tc>
          <w:tcPr>
            <w:tcW w:w="2330" w:type="pct"/>
          </w:tcPr>
          <w:p w:rsidR="00C22C82" w:rsidRPr="001667A2" w:rsidRDefault="00C22C82" w:rsidP="0010431F">
            <w:pPr>
              <w:jc w:val="both"/>
              <w:rPr>
                <w:rFonts w:eastAsia="Calibri" w:cs="Times New Roman"/>
                <w:sz w:val="20"/>
                <w:szCs w:val="20"/>
                <w:lang w:val="fr-CA"/>
              </w:rPr>
            </w:pPr>
            <w:r w:rsidRPr="001667A2">
              <w:rPr>
                <w:rFonts w:eastAsia="Calibri" w:cs="Times New Roman"/>
                <w:sz w:val="20"/>
                <w:szCs w:val="20"/>
                <w:lang w:val="fr-CA"/>
              </w:rPr>
              <w:t>Demande d'autorisation d'appel déposée</w:t>
            </w:r>
          </w:p>
          <w:p w:rsidR="00C22C82" w:rsidRPr="001667A2" w:rsidRDefault="00C22C82" w:rsidP="0010431F">
            <w:pPr>
              <w:jc w:val="both"/>
              <w:rPr>
                <w:rFonts w:eastAsia="Calibri" w:cs="Times New Roman"/>
                <w:sz w:val="20"/>
                <w:szCs w:val="20"/>
                <w:lang w:val="fr-CA"/>
              </w:rPr>
            </w:pPr>
          </w:p>
        </w:tc>
      </w:tr>
    </w:tbl>
    <w:p w:rsidR="00AF63D3" w:rsidRDefault="00AF63D3" w:rsidP="00AF63D3">
      <w:pPr>
        <w:rPr>
          <w:sz w:val="20"/>
          <w:szCs w:val="20"/>
        </w:rPr>
      </w:pPr>
    </w:p>
    <w:p w:rsidR="00AF63D3" w:rsidRDefault="003E529C" w:rsidP="00AF63D3">
      <w:pPr>
        <w:rPr>
          <w:sz w:val="20"/>
          <w:szCs w:val="20"/>
          <w:lang w:val="fr-CA"/>
        </w:rPr>
      </w:pPr>
      <w:r w:rsidRPr="003E529C">
        <w:rPr>
          <w:sz w:val="20"/>
          <w:szCs w:val="20"/>
          <w:lang w:val="fr-CA"/>
        </w:rPr>
        <w:pict>
          <v:rect id="_x0000_i1042" style="width:2in;height:1pt" o:hrpct="0" o:hralign="center" o:hrstd="t" o:hrnoshade="t" o:hr="t" fillcolor="black [3213]" stroked="f"/>
        </w:pict>
      </w:r>
    </w:p>
    <w:p w:rsidR="00AF63D3" w:rsidRDefault="00AF63D3" w:rsidP="00AF63D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F3FC7" w:rsidRPr="009122D4" w:rsidTr="00E022C0">
        <w:trPr>
          <w:cantSplit/>
        </w:trPr>
        <w:tc>
          <w:tcPr>
            <w:tcW w:w="1458" w:type="dxa"/>
          </w:tcPr>
          <w:p w:rsidR="008F3FC7" w:rsidRPr="008F3FC7" w:rsidRDefault="008F3FC7" w:rsidP="00E022C0">
            <w:pPr>
              <w:rPr>
                <w:sz w:val="20"/>
                <w:szCs w:val="20"/>
              </w:rPr>
            </w:pPr>
            <w:r w:rsidRPr="008F3FC7">
              <w:rPr>
                <w:rStyle w:val="SCCFileNumberChar"/>
                <w:sz w:val="20"/>
                <w:szCs w:val="20"/>
              </w:rPr>
              <w:t>33843</w:t>
            </w:r>
          </w:p>
          <w:p w:rsidR="008F3FC7" w:rsidRPr="008F3FC7" w:rsidRDefault="008F3FC7" w:rsidP="00E022C0">
            <w:pPr>
              <w:rPr>
                <w:b/>
                <w:sz w:val="20"/>
                <w:szCs w:val="20"/>
                <w:lang w:val="fr-CA"/>
              </w:rPr>
            </w:pPr>
          </w:p>
        </w:tc>
        <w:tc>
          <w:tcPr>
            <w:tcW w:w="8118" w:type="dxa"/>
          </w:tcPr>
          <w:p w:rsidR="008F3FC7" w:rsidRPr="008F3FC7" w:rsidRDefault="008F3FC7" w:rsidP="00E022C0">
            <w:pPr>
              <w:rPr>
                <w:sz w:val="20"/>
                <w:szCs w:val="20"/>
                <w:lang w:val="fr-CA"/>
              </w:rPr>
            </w:pPr>
            <w:r w:rsidRPr="008F3FC7">
              <w:rPr>
                <w:rStyle w:val="SCCLsocChar"/>
                <w:sz w:val="20"/>
                <w:szCs w:val="20"/>
              </w:rPr>
              <w:t>Daniel Gauthier c. Sa Majesté la Reine</w:t>
            </w:r>
            <w:r w:rsidRPr="008F3FC7">
              <w:rPr>
                <w:sz w:val="20"/>
                <w:szCs w:val="20"/>
                <w:lang w:val="fr-CA"/>
              </w:rPr>
              <w:t xml:space="preserve"> (Qc) (Criminelle) (Autorisation)</w:t>
            </w:r>
          </w:p>
          <w:p w:rsidR="008F3FC7" w:rsidRPr="008F3FC7" w:rsidRDefault="008F3FC7" w:rsidP="00E022C0">
            <w:pPr>
              <w:rPr>
                <w:sz w:val="20"/>
                <w:szCs w:val="20"/>
                <w:lang w:val="fr-CA"/>
              </w:rPr>
            </w:pPr>
          </w:p>
        </w:tc>
      </w:tr>
      <w:tr w:rsidR="008F3FC7" w:rsidRPr="009122D4" w:rsidTr="00E022C0">
        <w:trPr>
          <w:cantSplit/>
        </w:trPr>
        <w:tc>
          <w:tcPr>
            <w:tcW w:w="1458" w:type="dxa"/>
          </w:tcPr>
          <w:p w:rsidR="008F3FC7" w:rsidRPr="008F3FC7" w:rsidRDefault="008F3FC7" w:rsidP="00E022C0">
            <w:pPr>
              <w:rPr>
                <w:sz w:val="20"/>
                <w:szCs w:val="20"/>
              </w:rPr>
            </w:pPr>
            <w:r w:rsidRPr="008F3FC7">
              <w:rPr>
                <w:sz w:val="20"/>
                <w:szCs w:val="20"/>
              </w:rPr>
              <w:t>Coram :</w:t>
            </w:r>
          </w:p>
        </w:tc>
        <w:tc>
          <w:tcPr>
            <w:tcW w:w="8118" w:type="dxa"/>
          </w:tcPr>
          <w:p w:rsidR="008F3FC7" w:rsidRPr="008F3FC7" w:rsidRDefault="008F3FC7" w:rsidP="00E022C0">
            <w:pPr>
              <w:rPr>
                <w:sz w:val="20"/>
                <w:szCs w:val="20"/>
                <w:lang w:val="fr-CA"/>
              </w:rPr>
            </w:pPr>
            <w:r w:rsidRPr="008F3FC7">
              <w:rPr>
                <w:rStyle w:val="SCCCoramChar"/>
                <w:sz w:val="20"/>
                <w:szCs w:val="20"/>
              </w:rPr>
              <w:t>La juge en chef McLachlin et les juges Abella et Cromwell</w:t>
            </w:r>
          </w:p>
          <w:p w:rsidR="008F3FC7" w:rsidRPr="008F3FC7" w:rsidRDefault="008F3FC7" w:rsidP="00E022C0">
            <w:pPr>
              <w:rPr>
                <w:sz w:val="20"/>
                <w:szCs w:val="20"/>
                <w:u w:val="single"/>
                <w:lang w:val="fr-CA"/>
              </w:rPr>
            </w:pPr>
          </w:p>
        </w:tc>
      </w:tr>
      <w:tr w:rsidR="008F3FC7" w:rsidRPr="008F3FC7" w:rsidTr="00E022C0">
        <w:trPr>
          <w:cantSplit/>
        </w:trPr>
        <w:tc>
          <w:tcPr>
            <w:tcW w:w="9576" w:type="dxa"/>
            <w:gridSpan w:val="2"/>
          </w:tcPr>
          <w:p w:rsidR="008F3FC7" w:rsidRPr="008F3FC7" w:rsidRDefault="008F3FC7" w:rsidP="00E022C0">
            <w:pPr>
              <w:pStyle w:val="SCCShortJudgment"/>
              <w:rPr>
                <w:szCs w:val="20"/>
                <w:lang w:val="fr-CA"/>
              </w:rPr>
            </w:pPr>
            <w:r w:rsidRPr="008F3FC7">
              <w:rPr>
                <w:szCs w:val="20"/>
                <w:lang w:val="fr-CA"/>
              </w:rPr>
              <w:t>La demande d’autorisation d’appel de l’arrêt de la Cour d’appel du Québec (Montréal), numéro 500-10-003706-064, daté du 22 juin 2010, est rejetée sans dépens.</w:t>
            </w:r>
          </w:p>
          <w:p w:rsidR="008F3FC7" w:rsidRPr="008F3FC7" w:rsidRDefault="008F3FC7" w:rsidP="00E022C0">
            <w:pPr>
              <w:pStyle w:val="SCCShortJudgment"/>
              <w:ind w:firstLine="0"/>
              <w:rPr>
                <w:szCs w:val="20"/>
                <w:lang w:val="fr-CA"/>
              </w:rPr>
            </w:pPr>
          </w:p>
          <w:p w:rsidR="008F3FC7" w:rsidRPr="008F3FC7" w:rsidRDefault="008F3FC7" w:rsidP="008F3FC7">
            <w:pPr>
              <w:pStyle w:val="SCCShortJudgment"/>
              <w:rPr>
                <w:szCs w:val="20"/>
              </w:rPr>
            </w:pPr>
            <w:r w:rsidRPr="008F3FC7">
              <w:rPr>
                <w:szCs w:val="20"/>
              </w:rPr>
              <w:t>The application for leave to appeal from the judgment of the Court of Appeal of Quebec (Montréal), Number 500-10-003706-064, dated June 22, 2010, is dismissed without costs.</w:t>
            </w:r>
          </w:p>
        </w:tc>
      </w:tr>
    </w:tbl>
    <w:p w:rsidR="00BA161A" w:rsidRDefault="00BA161A" w:rsidP="008D292F">
      <w:pPr>
        <w:rPr>
          <w:sz w:val="20"/>
          <w:szCs w:val="20"/>
        </w:rPr>
      </w:pPr>
    </w:p>
    <w:p w:rsidR="00AF63D3" w:rsidRDefault="00AF63D3" w:rsidP="00AF63D3">
      <w:pPr>
        <w:rPr>
          <w:sz w:val="20"/>
          <w:szCs w:val="20"/>
        </w:rPr>
      </w:pPr>
      <w:r>
        <w:rPr>
          <w:sz w:val="20"/>
          <w:szCs w:val="20"/>
          <w:u w:val="single"/>
        </w:rPr>
        <w:t>CASE SUMMARY</w:t>
      </w:r>
    </w:p>
    <w:p w:rsidR="00AF63D3" w:rsidRDefault="00AF63D3" w:rsidP="00AF63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131FA" w:rsidRPr="001667A2" w:rsidTr="0010431F">
        <w:tc>
          <w:tcPr>
            <w:tcW w:w="5000" w:type="pct"/>
            <w:gridSpan w:val="3"/>
          </w:tcPr>
          <w:p w:rsidR="009131FA" w:rsidRPr="001667A2" w:rsidRDefault="009131FA" w:rsidP="009131FA">
            <w:pPr>
              <w:jc w:val="both"/>
              <w:rPr>
                <w:rFonts w:cs="Times New Roman"/>
                <w:sz w:val="20"/>
                <w:szCs w:val="20"/>
              </w:rPr>
            </w:pPr>
            <w:r w:rsidRPr="001667A2">
              <w:rPr>
                <w:rFonts w:cs="Times New Roman"/>
                <w:sz w:val="20"/>
                <w:szCs w:val="20"/>
              </w:rPr>
              <w:t>Criminal law – Evidence – Defence – Alibi – Charge to jury – Whether Quebec Court of Appeal erred in law in holding that time was not essential element of offence in this case and that Applicant was not entitled to have time period alleged in indictment narrowed even though he had announced alibi defence – Whether Court of Appeal erred in law in holding that Applicant could not complain on appeal that trial judge had failed to instruct jury concerning place of commission of offence because Applicant had not argued that place of commission not proved.</w:t>
            </w:r>
          </w:p>
          <w:p w:rsidR="009131FA" w:rsidRPr="001667A2" w:rsidRDefault="009131FA" w:rsidP="0010431F">
            <w:pPr>
              <w:rPr>
                <w:rFonts w:cs="Times New Roman"/>
                <w:sz w:val="20"/>
                <w:szCs w:val="20"/>
              </w:rPr>
            </w:pPr>
          </w:p>
        </w:tc>
      </w:tr>
      <w:tr w:rsidR="009131FA" w:rsidRPr="001667A2" w:rsidTr="0010431F">
        <w:tc>
          <w:tcPr>
            <w:tcW w:w="5000" w:type="pct"/>
            <w:gridSpan w:val="3"/>
          </w:tcPr>
          <w:p w:rsidR="009131FA" w:rsidRPr="001667A2" w:rsidRDefault="009131FA" w:rsidP="009131FA">
            <w:pPr>
              <w:jc w:val="both"/>
              <w:rPr>
                <w:rFonts w:cs="Times New Roman"/>
                <w:sz w:val="20"/>
                <w:szCs w:val="20"/>
              </w:rPr>
            </w:pPr>
            <w:r w:rsidRPr="001667A2">
              <w:rPr>
                <w:rFonts w:cs="Times New Roman"/>
                <w:sz w:val="20"/>
                <w:szCs w:val="20"/>
              </w:rPr>
              <w:t>Three years after his disappearance, the victim, who was involved in drug trafficking, was found dead and buried, his body wrapped in a cloth.  Mr. Gauthier had been convicted of the murder the year the victim went missing, and the error of admitting similar fact evidence had led to a second trial.  Mr. Gauthier challenged the time period covered by the indictment, namely [</w:t>
            </w:r>
            <w:r w:rsidRPr="001667A2">
              <w:rPr>
                <w:rFonts w:cs="Times New Roman"/>
                <w:smallCaps/>
                <w:sz w:val="20"/>
                <w:szCs w:val="20"/>
              </w:rPr>
              <w:t>translation</w:t>
            </w:r>
            <w:r w:rsidRPr="001667A2">
              <w:rPr>
                <w:rFonts w:cs="Times New Roman"/>
                <w:sz w:val="20"/>
                <w:szCs w:val="20"/>
              </w:rPr>
              <w:t>] “between March 28, 1993 and April 14, 1993 or thereabouts”, and the failure to provide appropriate instructions concerning the place of commission of the offence.</w:t>
            </w:r>
          </w:p>
          <w:p w:rsidR="009131FA" w:rsidRPr="001667A2" w:rsidRDefault="009131FA" w:rsidP="0010431F">
            <w:pPr>
              <w:rPr>
                <w:rFonts w:cs="Times New Roman"/>
                <w:sz w:val="20"/>
                <w:szCs w:val="20"/>
              </w:rPr>
            </w:pPr>
          </w:p>
        </w:tc>
      </w:tr>
      <w:tr w:rsidR="009131FA" w:rsidRPr="001667A2" w:rsidTr="0010431F">
        <w:tc>
          <w:tcPr>
            <w:tcW w:w="2427" w:type="pct"/>
          </w:tcPr>
          <w:p w:rsidR="009131FA" w:rsidRPr="001667A2" w:rsidRDefault="009131FA" w:rsidP="0010431F">
            <w:pPr>
              <w:rPr>
                <w:rFonts w:cs="Times New Roman"/>
                <w:sz w:val="20"/>
                <w:szCs w:val="20"/>
              </w:rPr>
            </w:pPr>
            <w:r w:rsidRPr="001667A2">
              <w:rPr>
                <w:rFonts w:cs="Times New Roman"/>
                <w:sz w:val="20"/>
                <w:szCs w:val="20"/>
              </w:rPr>
              <w:t>November 16, 2006</w:t>
            </w:r>
          </w:p>
          <w:p w:rsidR="009131FA" w:rsidRPr="001667A2" w:rsidRDefault="009131FA" w:rsidP="0010431F">
            <w:pPr>
              <w:rPr>
                <w:rFonts w:cs="Times New Roman"/>
                <w:sz w:val="20"/>
                <w:szCs w:val="20"/>
              </w:rPr>
            </w:pPr>
            <w:r w:rsidRPr="001667A2">
              <w:rPr>
                <w:rFonts w:cs="Times New Roman"/>
                <w:sz w:val="20"/>
                <w:szCs w:val="20"/>
              </w:rPr>
              <w:t>Quebec Superior Court</w:t>
            </w:r>
          </w:p>
          <w:p w:rsidR="009131FA" w:rsidRPr="001667A2" w:rsidRDefault="009131FA" w:rsidP="0010431F">
            <w:pPr>
              <w:rPr>
                <w:rFonts w:cs="Times New Roman"/>
                <w:sz w:val="20"/>
                <w:szCs w:val="20"/>
              </w:rPr>
            </w:pPr>
            <w:r w:rsidRPr="001667A2">
              <w:rPr>
                <w:rFonts w:cs="Times New Roman"/>
                <w:sz w:val="20"/>
                <w:szCs w:val="20"/>
              </w:rPr>
              <w:t>(Brunton J.)</w:t>
            </w:r>
          </w:p>
          <w:p w:rsidR="009131FA" w:rsidRPr="001667A2" w:rsidRDefault="009131FA" w:rsidP="0010431F">
            <w:pPr>
              <w:rPr>
                <w:rFonts w:cs="Times New Roman"/>
                <w:sz w:val="20"/>
                <w:szCs w:val="20"/>
              </w:rPr>
            </w:pPr>
          </w:p>
        </w:tc>
        <w:tc>
          <w:tcPr>
            <w:tcW w:w="243" w:type="pct"/>
          </w:tcPr>
          <w:p w:rsidR="009131FA" w:rsidRPr="001667A2" w:rsidRDefault="009131FA" w:rsidP="0010431F">
            <w:pPr>
              <w:rPr>
                <w:rFonts w:cs="Times New Roman"/>
                <w:sz w:val="20"/>
                <w:szCs w:val="20"/>
              </w:rPr>
            </w:pPr>
          </w:p>
        </w:tc>
        <w:tc>
          <w:tcPr>
            <w:tcW w:w="2330" w:type="pct"/>
          </w:tcPr>
          <w:p w:rsidR="009131FA" w:rsidRPr="001667A2" w:rsidRDefault="009131FA" w:rsidP="0010431F">
            <w:pPr>
              <w:rPr>
                <w:rFonts w:cs="Times New Roman"/>
                <w:sz w:val="20"/>
                <w:szCs w:val="20"/>
              </w:rPr>
            </w:pPr>
            <w:r w:rsidRPr="001667A2">
              <w:rPr>
                <w:rFonts w:cs="Times New Roman"/>
                <w:sz w:val="20"/>
                <w:szCs w:val="20"/>
              </w:rPr>
              <w:t>Guilty verdict: first degree murder</w:t>
            </w:r>
          </w:p>
          <w:p w:rsidR="009131FA" w:rsidRPr="001667A2" w:rsidRDefault="009131FA" w:rsidP="0010431F">
            <w:pPr>
              <w:rPr>
                <w:rFonts w:cs="Times New Roman"/>
                <w:sz w:val="20"/>
                <w:szCs w:val="20"/>
              </w:rPr>
            </w:pPr>
          </w:p>
          <w:p w:rsidR="009131FA" w:rsidRPr="001667A2" w:rsidRDefault="009131FA" w:rsidP="0010431F">
            <w:pPr>
              <w:rPr>
                <w:rFonts w:cs="Times New Roman"/>
                <w:sz w:val="20"/>
                <w:szCs w:val="20"/>
              </w:rPr>
            </w:pPr>
          </w:p>
        </w:tc>
      </w:tr>
      <w:tr w:rsidR="009131FA" w:rsidRPr="001667A2" w:rsidTr="0010431F">
        <w:tc>
          <w:tcPr>
            <w:tcW w:w="2427" w:type="pct"/>
          </w:tcPr>
          <w:p w:rsidR="009131FA" w:rsidRPr="001667A2" w:rsidRDefault="009131FA" w:rsidP="0010431F">
            <w:pPr>
              <w:rPr>
                <w:rFonts w:cs="Times New Roman"/>
                <w:sz w:val="20"/>
                <w:szCs w:val="20"/>
              </w:rPr>
            </w:pPr>
            <w:r w:rsidRPr="001667A2">
              <w:rPr>
                <w:rFonts w:cs="Times New Roman"/>
                <w:sz w:val="20"/>
                <w:szCs w:val="20"/>
              </w:rPr>
              <w:t>June 22, 2010</w:t>
            </w:r>
          </w:p>
          <w:p w:rsidR="009131FA" w:rsidRPr="001667A2" w:rsidRDefault="009131FA" w:rsidP="0010431F">
            <w:pPr>
              <w:rPr>
                <w:rFonts w:cs="Times New Roman"/>
                <w:sz w:val="20"/>
                <w:szCs w:val="20"/>
              </w:rPr>
            </w:pPr>
            <w:r w:rsidRPr="001667A2">
              <w:rPr>
                <w:rFonts w:cs="Times New Roman"/>
                <w:sz w:val="20"/>
                <w:szCs w:val="20"/>
              </w:rPr>
              <w:t>Quebec Court of Appeal (Montréal)</w:t>
            </w:r>
          </w:p>
          <w:p w:rsidR="009131FA" w:rsidRPr="001667A2" w:rsidRDefault="009131FA" w:rsidP="0010431F">
            <w:pPr>
              <w:rPr>
                <w:rFonts w:cs="Times New Roman"/>
                <w:sz w:val="20"/>
                <w:szCs w:val="20"/>
              </w:rPr>
            </w:pPr>
            <w:r w:rsidRPr="001667A2">
              <w:rPr>
                <w:rFonts w:cs="Times New Roman"/>
                <w:sz w:val="20"/>
                <w:szCs w:val="20"/>
              </w:rPr>
              <w:t>(Robert C.J. and Rochette and Duval Hesler JJ.A.)</w:t>
            </w:r>
          </w:p>
          <w:p w:rsidR="009131FA" w:rsidRPr="001667A2" w:rsidRDefault="009131FA" w:rsidP="0010431F">
            <w:pPr>
              <w:rPr>
                <w:rFonts w:cs="Times New Roman"/>
                <w:sz w:val="20"/>
                <w:szCs w:val="20"/>
              </w:rPr>
            </w:pPr>
          </w:p>
        </w:tc>
        <w:tc>
          <w:tcPr>
            <w:tcW w:w="243" w:type="pct"/>
          </w:tcPr>
          <w:p w:rsidR="009131FA" w:rsidRPr="001667A2" w:rsidRDefault="009131FA" w:rsidP="0010431F">
            <w:pPr>
              <w:rPr>
                <w:rFonts w:cs="Times New Roman"/>
                <w:sz w:val="20"/>
                <w:szCs w:val="20"/>
              </w:rPr>
            </w:pPr>
          </w:p>
        </w:tc>
        <w:tc>
          <w:tcPr>
            <w:tcW w:w="2330" w:type="pct"/>
          </w:tcPr>
          <w:p w:rsidR="009131FA" w:rsidRPr="001667A2" w:rsidRDefault="009131FA" w:rsidP="0010431F">
            <w:pPr>
              <w:rPr>
                <w:rFonts w:cs="Times New Roman"/>
                <w:sz w:val="20"/>
                <w:szCs w:val="20"/>
              </w:rPr>
            </w:pPr>
            <w:r w:rsidRPr="001667A2">
              <w:rPr>
                <w:rFonts w:cs="Times New Roman"/>
                <w:sz w:val="20"/>
                <w:szCs w:val="20"/>
              </w:rPr>
              <w:t>Appeal dismissed</w:t>
            </w:r>
          </w:p>
          <w:p w:rsidR="009131FA" w:rsidRPr="001667A2" w:rsidRDefault="009131FA" w:rsidP="0010431F">
            <w:pPr>
              <w:rPr>
                <w:rFonts w:cs="Times New Roman"/>
                <w:sz w:val="20"/>
                <w:szCs w:val="20"/>
              </w:rPr>
            </w:pPr>
          </w:p>
        </w:tc>
      </w:tr>
      <w:tr w:rsidR="009131FA" w:rsidRPr="001667A2" w:rsidTr="0010431F">
        <w:tc>
          <w:tcPr>
            <w:tcW w:w="2427" w:type="pct"/>
          </w:tcPr>
          <w:p w:rsidR="009131FA" w:rsidRPr="001667A2" w:rsidRDefault="009131FA" w:rsidP="0010431F">
            <w:pPr>
              <w:rPr>
                <w:rFonts w:cs="Times New Roman"/>
                <w:sz w:val="20"/>
                <w:szCs w:val="20"/>
              </w:rPr>
            </w:pPr>
            <w:r w:rsidRPr="001667A2">
              <w:rPr>
                <w:rFonts w:cs="Times New Roman"/>
                <w:sz w:val="20"/>
                <w:szCs w:val="20"/>
              </w:rPr>
              <w:t>September 20, 2010</w:t>
            </w:r>
          </w:p>
          <w:p w:rsidR="009131FA" w:rsidRPr="001667A2" w:rsidRDefault="009131FA" w:rsidP="0010431F">
            <w:pPr>
              <w:rPr>
                <w:rFonts w:cs="Times New Roman"/>
                <w:sz w:val="20"/>
                <w:szCs w:val="20"/>
              </w:rPr>
            </w:pPr>
            <w:r w:rsidRPr="001667A2">
              <w:rPr>
                <w:rFonts w:cs="Times New Roman"/>
                <w:sz w:val="20"/>
                <w:szCs w:val="20"/>
              </w:rPr>
              <w:t>Supreme Court of Canada</w:t>
            </w:r>
          </w:p>
        </w:tc>
        <w:tc>
          <w:tcPr>
            <w:tcW w:w="243" w:type="pct"/>
          </w:tcPr>
          <w:p w:rsidR="009131FA" w:rsidRPr="001667A2" w:rsidRDefault="009131FA" w:rsidP="0010431F">
            <w:pPr>
              <w:rPr>
                <w:rFonts w:cs="Times New Roman"/>
                <w:sz w:val="20"/>
                <w:szCs w:val="20"/>
              </w:rPr>
            </w:pPr>
          </w:p>
        </w:tc>
        <w:tc>
          <w:tcPr>
            <w:tcW w:w="2330" w:type="pct"/>
          </w:tcPr>
          <w:p w:rsidR="009131FA" w:rsidRPr="001667A2" w:rsidRDefault="009131FA" w:rsidP="0010431F">
            <w:pPr>
              <w:rPr>
                <w:rFonts w:cs="Times New Roman"/>
                <w:sz w:val="20"/>
                <w:szCs w:val="20"/>
              </w:rPr>
            </w:pPr>
            <w:r w:rsidRPr="001667A2">
              <w:rPr>
                <w:rFonts w:cs="Times New Roman"/>
                <w:sz w:val="20"/>
                <w:szCs w:val="20"/>
              </w:rPr>
              <w:t>Application for leave to appeal filed</w:t>
            </w:r>
          </w:p>
        </w:tc>
      </w:tr>
    </w:tbl>
    <w:p w:rsidR="00AF63D3" w:rsidRPr="00BA161A" w:rsidRDefault="00AF63D3" w:rsidP="00AF63D3">
      <w:pPr>
        <w:rPr>
          <w:sz w:val="20"/>
          <w:szCs w:val="20"/>
        </w:rPr>
      </w:pPr>
    </w:p>
    <w:p w:rsidR="00AF63D3" w:rsidRDefault="003E529C" w:rsidP="00AF63D3">
      <w:pPr>
        <w:rPr>
          <w:sz w:val="20"/>
          <w:szCs w:val="20"/>
          <w:lang w:val="fr-CA"/>
        </w:rPr>
      </w:pPr>
      <w:r w:rsidRPr="003E529C">
        <w:rPr>
          <w:sz w:val="20"/>
          <w:szCs w:val="20"/>
          <w:lang w:val="fr-CA"/>
        </w:rPr>
        <w:pict>
          <v:rect id="_x0000_i1043" style="width:2in;height:1pt" o:hrpct="0" o:hralign="center" o:hrstd="t" o:hrnoshade="t" o:hr="t" fillcolor="black [3213]" stroked="f"/>
        </w:pict>
      </w:r>
    </w:p>
    <w:p w:rsidR="00AF63D3" w:rsidRPr="00BA161A" w:rsidRDefault="00AF63D3" w:rsidP="00AF63D3">
      <w:pPr>
        <w:rPr>
          <w:sz w:val="20"/>
          <w:szCs w:val="20"/>
        </w:rPr>
      </w:pPr>
    </w:p>
    <w:p w:rsidR="00AF63D3" w:rsidRPr="00BA161A" w:rsidRDefault="00AF63D3" w:rsidP="00AF63D3">
      <w:pPr>
        <w:rPr>
          <w:sz w:val="20"/>
          <w:szCs w:val="20"/>
        </w:rPr>
      </w:pPr>
      <w:r>
        <w:rPr>
          <w:sz w:val="20"/>
          <w:szCs w:val="20"/>
          <w:u w:val="single"/>
        </w:rPr>
        <w:t>RÉSUMÉ DE L’AFFAIRE</w:t>
      </w:r>
    </w:p>
    <w:p w:rsidR="00AF63D3" w:rsidRPr="00BA161A" w:rsidRDefault="00AF63D3" w:rsidP="00AF63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131FA" w:rsidRPr="009122D4" w:rsidTr="0010431F">
        <w:tc>
          <w:tcPr>
            <w:tcW w:w="5000" w:type="pct"/>
            <w:gridSpan w:val="3"/>
          </w:tcPr>
          <w:p w:rsidR="009131FA" w:rsidRPr="001667A2" w:rsidRDefault="009131FA" w:rsidP="005C4973">
            <w:pPr>
              <w:jc w:val="both"/>
              <w:rPr>
                <w:rFonts w:eastAsia="Calibri" w:cs="Times New Roman"/>
                <w:sz w:val="20"/>
                <w:szCs w:val="20"/>
                <w:lang w:val="fr-CA"/>
              </w:rPr>
            </w:pPr>
            <w:r w:rsidRPr="001667A2">
              <w:rPr>
                <w:rFonts w:eastAsia="Calibri" w:cs="Times New Roman"/>
                <w:sz w:val="20"/>
                <w:szCs w:val="20"/>
                <w:lang w:val="fr-CA"/>
              </w:rPr>
              <w:t>Droit criminel –Preuve – Défense – Alibi – Exposé au jury - La Cour d’appel du Québec a erré en droit en décidant que le moment de l’infraction n’était pas en l’espèce un élément essentiel de l’infraction et que le demandeur n’avait pas droit à ce que la période alléguée à l’acte d’accusation soit restreinte bien qu’il ait annoncé une défense d’alibi - La Cour d’appel a erré en droit en décidant que le demandeur ne pouvait pas se plaindre en appel du fait que le juge de première instance avait omis de donner des directives concernant le lieu de l’infraction puisqu’il n’avait plaidé que la preuve du lieu de l’infraction n’avait pas été faite</w:t>
            </w:r>
          </w:p>
        </w:tc>
      </w:tr>
      <w:tr w:rsidR="009131FA" w:rsidRPr="009122D4" w:rsidTr="0010431F">
        <w:tc>
          <w:tcPr>
            <w:tcW w:w="5000" w:type="pct"/>
            <w:gridSpan w:val="3"/>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lastRenderedPageBreak/>
              <w:t>Trois ans après sa disparation, la victime, qui était impliqué dans le trafic de stupéfiants, a été retrouvé mort et enterré dans une toile. M.Gauthier avait été déclaré coupable du meurtre la même année que la disparition.   L’erreur d’avoir admis la preuve de faits similaires a mené à un deuxième procès. La période visée par l’acte d’accusation, soit « entre le 28 mars 1993 et le ou vers le 14 avril 1993 ».est attaquée par M. Gauthier tout comme l’omission de directives appropriés quant au lieu de l’infraction</w:t>
            </w:r>
          </w:p>
          <w:p w:rsidR="009131FA" w:rsidRPr="001667A2" w:rsidRDefault="009131FA" w:rsidP="0010431F">
            <w:pPr>
              <w:jc w:val="both"/>
              <w:rPr>
                <w:rFonts w:eastAsia="Calibri" w:cs="Times New Roman"/>
                <w:sz w:val="20"/>
                <w:szCs w:val="20"/>
                <w:lang w:val="fr-CA"/>
              </w:rPr>
            </w:pPr>
          </w:p>
        </w:tc>
      </w:tr>
      <w:tr w:rsidR="009131FA" w:rsidRPr="009122D4" w:rsidTr="0010431F">
        <w:tc>
          <w:tcPr>
            <w:tcW w:w="2427"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Le 16 novembre 2006</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Cour supérieure du Québec</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(Le juge Brunton.)</w:t>
            </w:r>
          </w:p>
          <w:p w:rsidR="009131FA" w:rsidRPr="001667A2" w:rsidRDefault="009131FA" w:rsidP="0010431F">
            <w:pPr>
              <w:jc w:val="both"/>
              <w:rPr>
                <w:rFonts w:eastAsia="Calibri" w:cs="Times New Roman"/>
                <w:sz w:val="20"/>
                <w:szCs w:val="20"/>
              </w:rPr>
            </w:pPr>
          </w:p>
        </w:tc>
        <w:tc>
          <w:tcPr>
            <w:tcW w:w="243" w:type="pct"/>
          </w:tcPr>
          <w:p w:rsidR="009131FA" w:rsidRPr="001667A2" w:rsidRDefault="009131FA" w:rsidP="0010431F">
            <w:pPr>
              <w:jc w:val="both"/>
              <w:rPr>
                <w:rFonts w:eastAsia="Calibri" w:cs="Times New Roman"/>
                <w:sz w:val="20"/>
                <w:szCs w:val="20"/>
              </w:rPr>
            </w:pPr>
          </w:p>
        </w:tc>
        <w:tc>
          <w:tcPr>
            <w:tcW w:w="2330"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Verdict de culpabilité pour meurtre au premier degré</w:t>
            </w:r>
          </w:p>
          <w:p w:rsidR="009131FA" w:rsidRPr="001667A2" w:rsidRDefault="009131FA" w:rsidP="0010431F">
            <w:pPr>
              <w:jc w:val="both"/>
              <w:rPr>
                <w:rFonts w:eastAsia="Calibri" w:cs="Times New Roman"/>
                <w:sz w:val="20"/>
                <w:szCs w:val="20"/>
                <w:lang w:val="fr-CA"/>
              </w:rPr>
            </w:pPr>
          </w:p>
          <w:p w:rsidR="009131FA" w:rsidRPr="001667A2" w:rsidRDefault="009131FA" w:rsidP="0010431F">
            <w:pPr>
              <w:jc w:val="both"/>
              <w:rPr>
                <w:rFonts w:eastAsia="Calibri" w:cs="Times New Roman"/>
                <w:sz w:val="20"/>
                <w:szCs w:val="20"/>
                <w:lang w:val="fr-CA"/>
              </w:rPr>
            </w:pPr>
          </w:p>
        </w:tc>
      </w:tr>
      <w:tr w:rsidR="009131FA" w:rsidRPr="001667A2" w:rsidTr="0010431F">
        <w:tc>
          <w:tcPr>
            <w:tcW w:w="2427"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Le 22 juin 2010</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Cour d’appel du Québec (Montréal)</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(Le juge en chef Robert et les juges Rochette et, Duval Hesler)</w:t>
            </w:r>
          </w:p>
          <w:p w:rsidR="009131FA" w:rsidRPr="001667A2" w:rsidRDefault="009131FA" w:rsidP="0010431F">
            <w:pPr>
              <w:jc w:val="both"/>
              <w:rPr>
                <w:rFonts w:eastAsia="Calibri" w:cs="Times New Roman"/>
                <w:sz w:val="20"/>
                <w:szCs w:val="20"/>
                <w:lang w:val="fr-FR"/>
              </w:rPr>
            </w:pPr>
          </w:p>
        </w:tc>
        <w:tc>
          <w:tcPr>
            <w:tcW w:w="243" w:type="pct"/>
          </w:tcPr>
          <w:p w:rsidR="009131FA" w:rsidRPr="001667A2" w:rsidRDefault="009131FA" w:rsidP="0010431F">
            <w:pPr>
              <w:jc w:val="both"/>
              <w:rPr>
                <w:rFonts w:eastAsia="Calibri" w:cs="Times New Roman"/>
                <w:sz w:val="20"/>
                <w:szCs w:val="20"/>
                <w:lang w:val="fr-FR"/>
              </w:rPr>
            </w:pPr>
          </w:p>
        </w:tc>
        <w:tc>
          <w:tcPr>
            <w:tcW w:w="2330"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Rejette l'appel</w:t>
            </w:r>
          </w:p>
          <w:p w:rsidR="009131FA" w:rsidRPr="001667A2" w:rsidRDefault="009131FA" w:rsidP="0010431F">
            <w:pPr>
              <w:jc w:val="both"/>
              <w:rPr>
                <w:rFonts w:eastAsia="Calibri" w:cs="Times New Roman"/>
                <w:sz w:val="20"/>
                <w:szCs w:val="20"/>
                <w:lang w:val="fr-CA"/>
              </w:rPr>
            </w:pPr>
          </w:p>
        </w:tc>
      </w:tr>
      <w:tr w:rsidR="009131FA" w:rsidRPr="001667A2" w:rsidTr="0010431F">
        <w:tc>
          <w:tcPr>
            <w:tcW w:w="2427"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Le 20 septembre 2010</w:t>
            </w:r>
          </w:p>
          <w:p w:rsidR="009131FA" w:rsidRPr="001667A2" w:rsidRDefault="009131FA" w:rsidP="0010431F">
            <w:pPr>
              <w:jc w:val="both"/>
              <w:rPr>
                <w:rFonts w:eastAsia="Calibri" w:cs="Times New Roman"/>
                <w:sz w:val="20"/>
                <w:szCs w:val="20"/>
                <w:lang w:val="fr-FR"/>
              </w:rPr>
            </w:pPr>
            <w:r w:rsidRPr="001667A2">
              <w:rPr>
                <w:rFonts w:eastAsia="Calibri" w:cs="Times New Roman"/>
                <w:sz w:val="20"/>
                <w:szCs w:val="20"/>
                <w:lang w:val="fr-CA"/>
              </w:rPr>
              <w:t>Cour suprême du Canada</w:t>
            </w:r>
          </w:p>
        </w:tc>
        <w:tc>
          <w:tcPr>
            <w:tcW w:w="243" w:type="pct"/>
          </w:tcPr>
          <w:p w:rsidR="009131FA" w:rsidRPr="001667A2" w:rsidRDefault="009131FA" w:rsidP="0010431F">
            <w:pPr>
              <w:jc w:val="both"/>
              <w:rPr>
                <w:rFonts w:eastAsia="Calibri" w:cs="Times New Roman"/>
                <w:sz w:val="20"/>
                <w:szCs w:val="20"/>
                <w:lang w:val="fr-FR"/>
              </w:rPr>
            </w:pPr>
          </w:p>
        </w:tc>
        <w:tc>
          <w:tcPr>
            <w:tcW w:w="2330"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Demande d'autorisation d'appel déposée</w:t>
            </w:r>
          </w:p>
          <w:p w:rsidR="009131FA" w:rsidRPr="001667A2" w:rsidRDefault="009131FA" w:rsidP="0010431F">
            <w:pPr>
              <w:jc w:val="both"/>
              <w:rPr>
                <w:rFonts w:eastAsia="Calibri" w:cs="Times New Roman"/>
                <w:sz w:val="20"/>
                <w:szCs w:val="20"/>
                <w:lang w:val="fr-CA"/>
              </w:rPr>
            </w:pPr>
          </w:p>
        </w:tc>
      </w:tr>
    </w:tbl>
    <w:p w:rsidR="00AF63D3" w:rsidRDefault="00AF63D3" w:rsidP="00AF63D3">
      <w:pPr>
        <w:rPr>
          <w:sz w:val="20"/>
          <w:szCs w:val="20"/>
        </w:rPr>
      </w:pPr>
    </w:p>
    <w:p w:rsidR="00AF63D3" w:rsidRDefault="003E529C" w:rsidP="00AF63D3">
      <w:pPr>
        <w:rPr>
          <w:sz w:val="20"/>
          <w:szCs w:val="20"/>
          <w:lang w:val="fr-CA"/>
        </w:rPr>
      </w:pPr>
      <w:r w:rsidRPr="003E529C">
        <w:rPr>
          <w:sz w:val="20"/>
          <w:szCs w:val="20"/>
          <w:lang w:val="fr-CA"/>
        </w:rPr>
        <w:pict>
          <v:rect id="_x0000_i1044" style="width:2in;height:1pt" o:hrpct="0" o:hralign="center" o:hrstd="t" o:hrnoshade="t" o:hr="t" fillcolor="black [3213]" stroked="f"/>
        </w:pict>
      </w:r>
    </w:p>
    <w:p w:rsidR="00AF63D3" w:rsidRDefault="00AF63D3" w:rsidP="00AF63D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A2A5A" w:rsidRPr="00CA2A5A" w:rsidTr="00E022C0">
        <w:trPr>
          <w:cantSplit/>
        </w:trPr>
        <w:tc>
          <w:tcPr>
            <w:tcW w:w="1458" w:type="dxa"/>
          </w:tcPr>
          <w:p w:rsidR="00CA2A5A" w:rsidRPr="00CA2A5A" w:rsidRDefault="00CA2A5A" w:rsidP="00E022C0">
            <w:pPr>
              <w:rPr>
                <w:sz w:val="20"/>
                <w:szCs w:val="20"/>
              </w:rPr>
            </w:pPr>
            <w:r w:rsidRPr="00CA2A5A">
              <w:rPr>
                <w:rStyle w:val="SCCFileNumberChar"/>
                <w:sz w:val="20"/>
                <w:szCs w:val="20"/>
              </w:rPr>
              <w:t>33854</w:t>
            </w:r>
          </w:p>
          <w:p w:rsidR="00CA2A5A" w:rsidRPr="00CA2A5A" w:rsidRDefault="00CA2A5A" w:rsidP="00E022C0">
            <w:pPr>
              <w:rPr>
                <w:b/>
                <w:sz w:val="20"/>
                <w:szCs w:val="20"/>
                <w:lang w:val="fr-CA"/>
              </w:rPr>
            </w:pPr>
          </w:p>
        </w:tc>
        <w:tc>
          <w:tcPr>
            <w:tcW w:w="8118" w:type="dxa"/>
          </w:tcPr>
          <w:p w:rsidR="00CA2A5A" w:rsidRPr="00CA2A5A" w:rsidRDefault="00CA2A5A" w:rsidP="00E022C0">
            <w:pPr>
              <w:rPr>
                <w:sz w:val="20"/>
                <w:szCs w:val="20"/>
              </w:rPr>
            </w:pPr>
            <w:r w:rsidRPr="00CA2A5A">
              <w:rPr>
                <w:rStyle w:val="SCCLsocChar"/>
                <w:sz w:val="20"/>
                <w:szCs w:val="20"/>
                <w:lang w:val="en-CA"/>
              </w:rPr>
              <w:t>Adroit Resources Inc. (formerly known as Rock Resources Inc.) v. Her Majesty the Queen in Right of the Province of British Columbia</w:t>
            </w:r>
            <w:r w:rsidRPr="00CA2A5A">
              <w:rPr>
                <w:sz w:val="20"/>
                <w:szCs w:val="20"/>
              </w:rPr>
              <w:t xml:space="preserve"> (B.C.) (Civil) (By Leave)</w:t>
            </w:r>
          </w:p>
          <w:p w:rsidR="00CA2A5A" w:rsidRPr="00CA2A5A" w:rsidRDefault="00CA2A5A" w:rsidP="00E022C0">
            <w:pPr>
              <w:rPr>
                <w:sz w:val="20"/>
                <w:szCs w:val="20"/>
              </w:rPr>
            </w:pPr>
          </w:p>
        </w:tc>
      </w:tr>
      <w:tr w:rsidR="00CA2A5A" w:rsidRPr="00CA2A5A" w:rsidTr="00E022C0">
        <w:trPr>
          <w:cantSplit/>
        </w:trPr>
        <w:tc>
          <w:tcPr>
            <w:tcW w:w="1458" w:type="dxa"/>
          </w:tcPr>
          <w:p w:rsidR="00CA2A5A" w:rsidRPr="00CA2A5A" w:rsidRDefault="00CA2A5A" w:rsidP="00E022C0">
            <w:pPr>
              <w:rPr>
                <w:sz w:val="20"/>
                <w:szCs w:val="20"/>
              </w:rPr>
            </w:pPr>
            <w:r w:rsidRPr="00CA2A5A">
              <w:rPr>
                <w:sz w:val="20"/>
                <w:szCs w:val="20"/>
              </w:rPr>
              <w:t>Coram :</w:t>
            </w:r>
          </w:p>
        </w:tc>
        <w:tc>
          <w:tcPr>
            <w:tcW w:w="8118" w:type="dxa"/>
          </w:tcPr>
          <w:p w:rsidR="00CA2A5A" w:rsidRPr="00CA2A5A" w:rsidRDefault="00CA2A5A" w:rsidP="00E022C0">
            <w:pPr>
              <w:rPr>
                <w:sz w:val="20"/>
                <w:szCs w:val="20"/>
              </w:rPr>
            </w:pPr>
            <w:r w:rsidRPr="00CA2A5A">
              <w:rPr>
                <w:rStyle w:val="SCCCoramChar"/>
                <w:sz w:val="20"/>
                <w:szCs w:val="20"/>
                <w:lang w:val="en-CA"/>
              </w:rPr>
              <w:t>McLachlin C.J. and Abella and Cromwell JJ.</w:t>
            </w:r>
          </w:p>
          <w:p w:rsidR="00CA2A5A" w:rsidRPr="00CA2A5A" w:rsidRDefault="00CA2A5A" w:rsidP="00E022C0">
            <w:pPr>
              <w:rPr>
                <w:sz w:val="20"/>
                <w:szCs w:val="20"/>
                <w:u w:val="single"/>
              </w:rPr>
            </w:pPr>
          </w:p>
        </w:tc>
      </w:tr>
      <w:tr w:rsidR="00CA2A5A" w:rsidRPr="009122D4" w:rsidTr="00E022C0">
        <w:trPr>
          <w:cantSplit/>
        </w:trPr>
        <w:tc>
          <w:tcPr>
            <w:tcW w:w="9576" w:type="dxa"/>
            <w:gridSpan w:val="2"/>
          </w:tcPr>
          <w:p w:rsidR="00CA2A5A" w:rsidRPr="00CA2A5A" w:rsidRDefault="00CA2A5A" w:rsidP="00E022C0">
            <w:pPr>
              <w:pStyle w:val="SCCShortJudgment"/>
              <w:rPr>
                <w:szCs w:val="20"/>
              </w:rPr>
            </w:pPr>
            <w:r w:rsidRPr="00CA2A5A">
              <w:rPr>
                <w:szCs w:val="20"/>
              </w:rPr>
              <w:t>The application for leave to appeal from the judgment of the Court of Appeal for British Columbia (Vancouver), Number CA037314, 2010 BCCA 334, dated June 29, 2010, is dismissed with costs.</w:t>
            </w:r>
          </w:p>
          <w:p w:rsidR="00CA2A5A" w:rsidRPr="00CA2A5A" w:rsidRDefault="00CA2A5A" w:rsidP="00E022C0">
            <w:pPr>
              <w:pStyle w:val="SCCShortJudgment"/>
              <w:ind w:firstLine="0"/>
              <w:rPr>
                <w:szCs w:val="20"/>
              </w:rPr>
            </w:pPr>
          </w:p>
          <w:p w:rsidR="00CA2A5A" w:rsidRPr="00CA2A5A" w:rsidRDefault="00CA2A5A" w:rsidP="00CA2A5A">
            <w:pPr>
              <w:pStyle w:val="SCCShortJudgment"/>
              <w:rPr>
                <w:szCs w:val="20"/>
                <w:lang w:val="fr-CA"/>
              </w:rPr>
            </w:pPr>
            <w:r w:rsidRPr="00CA2A5A">
              <w:rPr>
                <w:szCs w:val="20"/>
                <w:lang w:val="fr-CA"/>
              </w:rPr>
              <w:t xml:space="preserve">La demande d’autorisation d’appel de l’arrêt de la Cour d’appel de la Colombie-Britannique (Vancouver), numéro CA037314, 2010 BCCA 334, daté du 29 juin 2010, est rejetée avec dépens. </w:t>
            </w:r>
          </w:p>
        </w:tc>
      </w:tr>
    </w:tbl>
    <w:p w:rsidR="00BA161A" w:rsidRPr="00CA2A5A" w:rsidRDefault="00BA161A" w:rsidP="008D292F">
      <w:pPr>
        <w:rPr>
          <w:sz w:val="20"/>
          <w:szCs w:val="20"/>
          <w:lang w:val="fr-CA"/>
        </w:rPr>
      </w:pPr>
    </w:p>
    <w:p w:rsidR="00AF63D3" w:rsidRDefault="00AF63D3" w:rsidP="00AF63D3">
      <w:pPr>
        <w:rPr>
          <w:sz w:val="20"/>
          <w:szCs w:val="20"/>
        </w:rPr>
      </w:pPr>
      <w:r>
        <w:rPr>
          <w:sz w:val="20"/>
          <w:szCs w:val="20"/>
          <w:u w:val="single"/>
        </w:rPr>
        <w:t>CASE SUMMARY</w:t>
      </w:r>
    </w:p>
    <w:p w:rsidR="00AF63D3" w:rsidRDefault="00AF63D3" w:rsidP="00AF63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131FA" w:rsidRPr="001667A2" w:rsidTr="0010431F">
        <w:tc>
          <w:tcPr>
            <w:tcW w:w="5000" w:type="pct"/>
            <w:gridSpan w:val="3"/>
          </w:tcPr>
          <w:p w:rsidR="009131FA" w:rsidRPr="001667A2" w:rsidRDefault="009131FA" w:rsidP="0010431F">
            <w:pPr>
              <w:jc w:val="both"/>
              <w:rPr>
                <w:rFonts w:eastAsia="Calibri" w:cs="Times New Roman"/>
                <w:sz w:val="20"/>
                <w:szCs w:val="20"/>
              </w:rPr>
            </w:pPr>
            <w:r w:rsidRPr="001667A2">
              <w:rPr>
                <w:rFonts w:eastAsia="Calibri" w:cs="Times New Roman"/>
                <w:sz w:val="20"/>
                <w:szCs w:val="20"/>
              </w:rPr>
              <w:t xml:space="preserve">Expropriation – Compensation – Disturbance Damages – Mining claims – Goodwill - Does a unified theory of causation as discussed in </w:t>
            </w:r>
            <w:r w:rsidRPr="001667A2">
              <w:rPr>
                <w:rFonts w:eastAsia="Calibri" w:cs="Times New Roman"/>
                <w:i/>
                <w:sz w:val="20"/>
                <w:szCs w:val="20"/>
              </w:rPr>
              <w:t xml:space="preserve">Resurfice Corp. v. Hanke, </w:t>
            </w:r>
            <w:r w:rsidRPr="001667A2">
              <w:rPr>
                <w:rFonts w:eastAsia="Calibri" w:cs="Times New Roman"/>
                <w:sz w:val="20"/>
                <w:szCs w:val="20"/>
              </w:rPr>
              <w:t>2007 SCC 7, [2007] 1 S.C.R. 333 provide for a general divergence from the requirement for “but-for” causation in hypothetical or future events – If so, what costs would have been incurred absent the expropriation – Where the expropriation “materially contributed to the risk” of the requirement to transition to a replacement property, are some or all of those costs compensable – Where the expropriation materially contributed to the loss of goodwill, are some or all of those costs compensable – Although costs prior to a wrongful act were not incurred due to the wrongful act, are they compensable losses because “but-for” the wrongful act the plaintiff would have had the value of those expenditures and they have been thrown away – In cases where damage has been occasioned by the government, is it required to pay compensatory interest on a rate equivalent to what the plaintiff incurred in the intervening period.</w:t>
            </w:r>
          </w:p>
          <w:p w:rsidR="009131FA" w:rsidRPr="001667A2" w:rsidRDefault="009131FA" w:rsidP="0010431F">
            <w:pPr>
              <w:jc w:val="both"/>
              <w:rPr>
                <w:rFonts w:eastAsia="Calibri" w:cs="Times New Roman"/>
                <w:sz w:val="20"/>
                <w:szCs w:val="20"/>
              </w:rPr>
            </w:pPr>
          </w:p>
        </w:tc>
      </w:tr>
      <w:tr w:rsidR="009131FA" w:rsidRPr="001667A2" w:rsidTr="0010431F">
        <w:tc>
          <w:tcPr>
            <w:tcW w:w="5000" w:type="pct"/>
            <w:gridSpan w:val="3"/>
          </w:tcPr>
          <w:p w:rsidR="009131FA" w:rsidRPr="001667A2" w:rsidRDefault="009131FA" w:rsidP="005C4973">
            <w:pPr>
              <w:jc w:val="both"/>
              <w:rPr>
                <w:rFonts w:eastAsia="Calibri" w:cs="Times New Roman"/>
                <w:sz w:val="20"/>
                <w:szCs w:val="20"/>
              </w:rPr>
            </w:pPr>
            <w:r w:rsidRPr="001667A2">
              <w:rPr>
                <w:rFonts w:eastAsia="Calibri" w:cs="Times New Roman"/>
                <w:sz w:val="20"/>
                <w:szCs w:val="20"/>
              </w:rPr>
              <w:t xml:space="preserve">In July 1995, the respondent enacted the </w:t>
            </w:r>
            <w:r w:rsidRPr="001667A2">
              <w:rPr>
                <w:rFonts w:eastAsia="Calibri" w:cs="Times New Roman"/>
                <w:i/>
                <w:sz w:val="20"/>
                <w:szCs w:val="20"/>
              </w:rPr>
              <w:t>Park Amendment Act</w:t>
            </w:r>
            <w:r w:rsidRPr="001667A2">
              <w:rPr>
                <w:rFonts w:eastAsia="Calibri" w:cs="Times New Roman"/>
                <w:sz w:val="20"/>
                <w:szCs w:val="20"/>
              </w:rPr>
              <w:t>, 1995, S.B.C. 1995, c. 54 creating the Goat Range Park, among other parks. The boundary of the new park encompassed the south-easterly half and the easterly half of two of four mineral claims previously acquired by the predecessor to the applicant.  The claim owner’s entitlement to compensation for the taking having been established by a previous judgment, the issue before the lower courts became the proper assessment of the compensation to be paid to the applicant for the expropriation, as compensation for the value of the claims, disturbance damages and the interest payable on the judgment awards.</w:t>
            </w:r>
          </w:p>
        </w:tc>
      </w:tr>
      <w:tr w:rsidR="009131FA" w:rsidRPr="001667A2" w:rsidTr="0010431F">
        <w:tc>
          <w:tcPr>
            <w:tcW w:w="2427" w:type="pct"/>
          </w:tcPr>
          <w:p w:rsidR="009131FA" w:rsidRPr="001667A2" w:rsidRDefault="009131FA" w:rsidP="0010431F">
            <w:pPr>
              <w:jc w:val="both"/>
              <w:rPr>
                <w:rFonts w:eastAsia="Calibri" w:cs="Times New Roman"/>
                <w:sz w:val="20"/>
                <w:szCs w:val="20"/>
              </w:rPr>
            </w:pPr>
            <w:r w:rsidRPr="001667A2">
              <w:rPr>
                <w:rFonts w:eastAsia="Calibri" w:cs="Times New Roman"/>
                <w:sz w:val="20"/>
                <w:szCs w:val="20"/>
              </w:rPr>
              <w:lastRenderedPageBreak/>
              <w:t>June 24, 2009</w:t>
            </w:r>
          </w:p>
          <w:p w:rsidR="009131FA" w:rsidRPr="001667A2" w:rsidRDefault="009131FA" w:rsidP="0010431F">
            <w:pPr>
              <w:jc w:val="both"/>
              <w:rPr>
                <w:rFonts w:eastAsia="Calibri" w:cs="Times New Roman"/>
                <w:sz w:val="20"/>
                <w:szCs w:val="20"/>
              </w:rPr>
            </w:pPr>
            <w:r w:rsidRPr="001667A2">
              <w:rPr>
                <w:rFonts w:eastAsia="Calibri" w:cs="Times New Roman"/>
                <w:sz w:val="20"/>
                <w:szCs w:val="20"/>
              </w:rPr>
              <w:t>Supreme Court of British Columbia</w:t>
            </w:r>
          </w:p>
          <w:p w:rsidR="009131FA" w:rsidRPr="001667A2" w:rsidRDefault="009131FA" w:rsidP="0010431F">
            <w:pPr>
              <w:jc w:val="both"/>
              <w:rPr>
                <w:rFonts w:eastAsia="Calibri" w:cs="Times New Roman"/>
                <w:sz w:val="20"/>
                <w:szCs w:val="20"/>
              </w:rPr>
            </w:pPr>
            <w:r w:rsidRPr="001667A2">
              <w:rPr>
                <w:rFonts w:eastAsia="Calibri" w:cs="Times New Roman"/>
                <w:sz w:val="20"/>
                <w:szCs w:val="20"/>
              </w:rPr>
              <w:t>(Cullen J.)</w:t>
            </w:r>
          </w:p>
          <w:p w:rsidR="009131FA" w:rsidRPr="001667A2" w:rsidRDefault="009131FA" w:rsidP="0010431F">
            <w:pPr>
              <w:jc w:val="both"/>
              <w:rPr>
                <w:rFonts w:eastAsia="Calibri" w:cs="Times New Roman"/>
                <w:sz w:val="20"/>
                <w:szCs w:val="20"/>
              </w:rPr>
            </w:pPr>
            <w:r w:rsidRPr="001667A2">
              <w:rPr>
                <w:rFonts w:eastAsia="Calibri" w:cs="Times New Roman"/>
                <w:sz w:val="20"/>
                <w:szCs w:val="20"/>
              </w:rPr>
              <w:t>2009 BCSC 841</w:t>
            </w:r>
          </w:p>
          <w:p w:rsidR="009131FA" w:rsidRPr="001667A2" w:rsidRDefault="009131FA" w:rsidP="0010431F">
            <w:pPr>
              <w:jc w:val="both"/>
              <w:rPr>
                <w:rFonts w:eastAsia="Calibri" w:cs="Times New Roman"/>
                <w:sz w:val="20"/>
                <w:szCs w:val="20"/>
              </w:rPr>
            </w:pPr>
          </w:p>
        </w:tc>
        <w:tc>
          <w:tcPr>
            <w:tcW w:w="243" w:type="pct"/>
          </w:tcPr>
          <w:p w:rsidR="009131FA" w:rsidRPr="001667A2" w:rsidRDefault="009131FA" w:rsidP="0010431F">
            <w:pPr>
              <w:jc w:val="both"/>
              <w:rPr>
                <w:rFonts w:eastAsia="Calibri" w:cs="Times New Roman"/>
                <w:sz w:val="20"/>
                <w:szCs w:val="20"/>
              </w:rPr>
            </w:pPr>
          </w:p>
        </w:tc>
        <w:tc>
          <w:tcPr>
            <w:tcW w:w="2330" w:type="pct"/>
          </w:tcPr>
          <w:p w:rsidR="009131FA" w:rsidRPr="001667A2" w:rsidRDefault="009131FA" w:rsidP="0010431F">
            <w:pPr>
              <w:jc w:val="both"/>
              <w:rPr>
                <w:rFonts w:eastAsia="Calibri" w:cs="Times New Roman"/>
                <w:sz w:val="20"/>
                <w:szCs w:val="20"/>
              </w:rPr>
            </w:pPr>
            <w:r w:rsidRPr="001667A2">
              <w:rPr>
                <w:rFonts w:eastAsia="Calibri" w:cs="Times New Roman"/>
                <w:sz w:val="20"/>
                <w:szCs w:val="20"/>
              </w:rPr>
              <w:t>Respondent ordered to pay applicant compensation for expropriation in the amount of $603,633</w:t>
            </w:r>
          </w:p>
        </w:tc>
      </w:tr>
      <w:tr w:rsidR="009131FA" w:rsidRPr="001667A2" w:rsidTr="0010431F">
        <w:tc>
          <w:tcPr>
            <w:tcW w:w="2427" w:type="pct"/>
          </w:tcPr>
          <w:p w:rsidR="009131FA" w:rsidRPr="001667A2" w:rsidRDefault="009131FA" w:rsidP="0010431F">
            <w:pPr>
              <w:jc w:val="both"/>
              <w:rPr>
                <w:rFonts w:eastAsia="Calibri" w:cs="Times New Roman"/>
                <w:sz w:val="20"/>
                <w:szCs w:val="20"/>
              </w:rPr>
            </w:pPr>
            <w:r w:rsidRPr="001667A2">
              <w:rPr>
                <w:rFonts w:eastAsia="Calibri" w:cs="Times New Roman"/>
                <w:sz w:val="20"/>
                <w:szCs w:val="20"/>
              </w:rPr>
              <w:t>April 6, 2010</w:t>
            </w:r>
          </w:p>
          <w:p w:rsidR="009131FA" w:rsidRPr="001667A2" w:rsidRDefault="009131FA" w:rsidP="0010431F">
            <w:pPr>
              <w:jc w:val="both"/>
              <w:rPr>
                <w:rFonts w:eastAsia="Calibri" w:cs="Times New Roman"/>
                <w:sz w:val="20"/>
                <w:szCs w:val="20"/>
              </w:rPr>
            </w:pPr>
            <w:r w:rsidRPr="001667A2">
              <w:rPr>
                <w:rFonts w:eastAsia="Calibri" w:cs="Times New Roman"/>
                <w:sz w:val="20"/>
                <w:szCs w:val="20"/>
              </w:rPr>
              <w:t>Supreme Court of British Columbia</w:t>
            </w:r>
          </w:p>
          <w:p w:rsidR="009131FA" w:rsidRPr="001667A2" w:rsidRDefault="009131FA" w:rsidP="0010431F">
            <w:pPr>
              <w:jc w:val="both"/>
              <w:rPr>
                <w:rFonts w:eastAsia="Calibri" w:cs="Times New Roman"/>
                <w:sz w:val="20"/>
                <w:szCs w:val="20"/>
              </w:rPr>
            </w:pPr>
            <w:r w:rsidRPr="001667A2">
              <w:rPr>
                <w:rFonts w:eastAsia="Calibri" w:cs="Times New Roman"/>
                <w:sz w:val="20"/>
                <w:szCs w:val="20"/>
              </w:rPr>
              <w:t>(Cullen J.)</w:t>
            </w:r>
          </w:p>
          <w:p w:rsidR="009131FA" w:rsidRPr="001667A2" w:rsidRDefault="009131FA" w:rsidP="0010431F">
            <w:pPr>
              <w:jc w:val="both"/>
              <w:rPr>
                <w:rFonts w:eastAsia="Calibri" w:cs="Times New Roman"/>
                <w:sz w:val="20"/>
                <w:szCs w:val="20"/>
              </w:rPr>
            </w:pPr>
            <w:r w:rsidRPr="001667A2">
              <w:rPr>
                <w:rFonts w:eastAsia="Calibri" w:cs="Times New Roman"/>
                <w:sz w:val="20"/>
                <w:szCs w:val="20"/>
              </w:rPr>
              <w:t>2010 BCSC 457</w:t>
            </w:r>
          </w:p>
          <w:p w:rsidR="009131FA" w:rsidRPr="001667A2" w:rsidRDefault="009131FA" w:rsidP="0010431F">
            <w:pPr>
              <w:jc w:val="both"/>
              <w:rPr>
                <w:rFonts w:eastAsia="Calibri" w:cs="Times New Roman"/>
                <w:sz w:val="20"/>
                <w:szCs w:val="20"/>
              </w:rPr>
            </w:pPr>
          </w:p>
        </w:tc>
        <w:tc>
          <w:tcPr>
            <w:tcW w:w="243" w:type="pct"/>
          </w:tcPr>
          <w:p w:rsidR="009131FA" w:rsidRPr="001667A2" w:rsidRDefault="009131FA" w:rsidP="0010431F">
            <w:pPr>
              <w:jc w:val="both"/>
              <w:rPr>
                <w:rFonts w:eastAsia="Calibri" w:cs="Times New Roman"/>
                <w:sz w:val="20"/>
                <w:szCs w:val="20"/>
              </w:rPr>
            </w:pPr>
          </w:p>
        </w:tc>
        <w:tc>
          <w:tcPr>
            <w:tcW w:w="2330" w:type="pct"/>
          </w:tcPr>
          <w:p w:rsidR="009131FA" w:rsidRPr="001667A2" w:rsidRDefault="009131FA" w:rsidP="0010431F">
            <w:pPr>
              <w:jc w:val="both"/>
              <w:rPr>
                <w:rFonts w:eastAsia="Calibri" w:cs="Times New Roman"/>
                <w:sz w:val="20"/>
                <w:szCs w:val="20"/>
              </w:rPr>
            </w:pPr>
            <w:r w:rsidRPr="001667A2">
              <w:rPr>
                <w:rFonts w:eastAsia="Calibri" w:cs="Times New Roman"/>
                <w:sz w:val="20"/>
                <w:szCs w:val="20"/>
              </w:rPr>
              <w:t xml:space="preserve">Supplemental reasons for Judgment clarifying that compound interest was to be calculated on a 90 day basis </w:t>
            </w:r>
          </w:p>
        </w:tc>
      </w:tr>
      <w:tr w:rsidR="009131FA" w:rsidRPr="001667A2" w:rsidTr="0010431F">
        <w:tc>
          <w:tcPr>
            <w:tcW w:w="2427" w:type="pct"/>
          </w:tcPr>
          <w:p w:rsidR="009131FA" w:rsidRPr="001667A2" w:rsidRDefault="009131FA" w:rsidP="0010431F">
            <w:pPr>
              <w:jc w:val="both"/>
              <w:rPr>
                <w:rFonts w:eastAsia="Calibri" w:cs="Times New Roman"/>
                <w:sz w:val="20"/>
                <w:szCs w:val="20"/>
              </w:rPr>
            </w:pPr>
            <w:r w:rsidRPr="001667A2">
              <w:rPr>
                <w:rFonts w:eastAsia="Calibri" w:cs="Times New Roman"/>
                <w:sz w:val="20"/>
                <w:szCs w:val="20"/>
              </w:rPr>
              <w:t>June 29, 2010</w:t>
            </w:r>
          </w:p>
          <w:p w:rsidR="009131FA" w:rsidRPr="001667A2" w:rsidRDefault="009131FA" w:rsidP="0010431F">
            <w:pPr>
              <w:jc w:val="both"/>
              <w:rPr>
                <w:rFonts w:eastAsia="Calibri" w:cs="Times New Roman"/>
                <w:sz w:val="20"/>
                <w:szCs w:val="20"/>
              </w:rPr>
            </w:pPr>
            <w:r w:rsidRPr="001667A2">
              <w:rPr>
                <w:rFonts w:eastAsia="Calibri" w:cs="Times New Roman"/>
                <w:sz w:val="20"/>
                <w:szCs w:val="20"/>
              </w:rPr>
              <w:t xml:space="preserve">Court of Appeal for British Columbia </w:t>
            </w:r>
          </w:p>
          <w:p w:rsidR="009131FA" w:rsidRPr="001667A2" w:rsidRDefault="009131FA" w:rsidP="0010431F">
            <w:pPr>
              <w:jc w:val="both"/>
              <w:rPr>
                <w:rFonts w:eastAsia="Calibri" w:cs="Times New Roman"/>
                <w:sz w:val="20"/>
                <w:szCs w:val="20"/>
              </w:rPr>
            </w:pPr>
            <w:r w:rsidRPr="001667A2">
              <w:rPr>
                <w:rFonts w:eastAsia="Calibri" w:cs="Times New Roman"/>
                <w:sz w:val="20"/>
                <w:szCs w:val="20"/>
              </w:rPr>
              <w:t>(Vancouver)</w:t>
            </w:r>
          </w:p>
          <w:p w:rsidR="009131FA" w:rsidRPr="001667A2" w:rsidRDefault="009131FA" w:rsidP="0010431F">
            <w:pPr>
              <w:jc w:val="both"/>
              <w:rPr>
                <w:rFonts w:eastAsia="Calibri" w:cs="Times New Roman"/>
                <w:sz w:val="20"/>
                <w:szCs w:val="20"/>
              </w:rPr>
            </w:pPr>
            <w:r w:rsidRPr="001667A2">
              <w:rPr>
                <w:rFonts w:eastAsia="Calibri" w:cs="Times New Roman"/>
                <w:sz w:val="20"/>
                <w:szCs w:val="20"/>
              </w:rPr>
              <w:t>(Finch C.J., Levine and Groberman JJ.A.)</w:t>
            </w:r>
          </w:p>
          <w:p w:rsidR="009131FA" w:rsidRPr="001667A2" w:rsidRDefault="009131FA" w:rsidP="0010431F">
            <w:pPr>
              <w:jc w:val="both"/>
              <w:rPr>
                <w:rFonts w:eastAsia="Calibri" w:cs="Times New Roman"/>
                <w:sz w:val="20"/>
                <w:szCs w:val="20"/>
              </w:rPr>
            </w:pPr>
            <w:r w:rsidRPr="001667A2">
              <w:rPr>
                <w:rFonts w:eastAsia="Calibri" w:cs="Times New Roman"/>
                <w:sz w:val="20"/>
                <w:szCs w:val="20"/>
              </w:rPr>
              <w:t>2010 BCCA 334</w:t>
            </w:r>
          </w:p>
          <w:p w:rsidR="009131FA" w:rsidRPr="001667A2" w:rsidRDefault="009131FA" w:rsidP="0010431F">
            <w:pPr>
              <w:jc w:val="both"/>
              <w:rPr>
                <w:rFonts w:eastAsia="Calibri" w:cs="Times New Roman"/>
                <w:sz w:val="20"/>
                <w:szCs w:val="20"/>
              </w:rPr>
            </w:pPr>
          </w:p>
        </w:tc>
        <w:tc>
          <w:tcPr>
            <w:tcW w:w="243" w:type="pct"/>
          </w:tcPr>
          <w:p w:rsidR="009131FA" w:rsidRPr="001667A2" w:rsidRDefault="009131FA" w:rsidP="0010431F">
            <w:pPr>
              <w:jc w:val="both"/>
              <w:rPr>
                <w:rFonts w:eastAsia="Calibri" w:cs="Times New Roman"/>
                <w:sz w:val="20"/>
                <w:szCs w:val="20"/>
              </w:rPr>
            </w:pPr>
          </w:p>
        </w:tc>
        <w:tc>
          <w:tcPr>
            <w:tcW w:w="2330" w:type="pct"/>
          </w:tcPr>
          <w:p w:rsidR="009131FA" w:rsidRPr="001667A2" w:rsidRDefault="009131FA" w:rsidP="0010431F">
            <w:pPr>
              <w:jc w:val="both"/>
              <w:rPr>
                <w:rFonts w:eastAsia="Calibri" w:cs="Times New Roman"/>
                <w:sz w:val="20"/>
                <w:szCs w:val="20"/>
              </w:rPr>
            </w:pPr>
            <w:r w:rsidRPr="001667A2">
              <w:rPr>
                <w:rFonts w:eastAsia="Calibri" w:cs="Times New Roman"/>
                <w:sz w:val="20"/>
                <w:szCs w:val="20"/>
              </w:rPr>
              <w:t>Appeal allowed in part; disturbance damages reduced to $3,633, so overall compensation ordered at $303,633; applicant’s counterclaim dismissed</w:t>
            </w:r>
          </w:p>
        </w:tc>
      </w:tr>
      <w:tr w:rsidR="009131FA" w:rsidRPr="001667A2" w:rsidTr="0010431F">
        <w:tc>
          <w:tcPr>
            <w:tcW w:w="2427" w:type="pct"/>
          </w:tcPr>
          <w:p w:rsidR="009131FA" w:rsidRPr="001667A2" w:rsidRDefault="009131FA" w:rsidP="0010431F">
            <w:pPr>
              <w:jc w:val="both"/>
              <w:rPr>
                <w:rFonts w:eastAsia="Calibri" w:cs="Times New Roman"/>
                <w:sz w:val="20"/>
                <w:szCs w:val="20"/>
              </w:rPr>
            </w:pPr>
            <w:r w:rsidRPr="001667A2">
              <w:rPr>
                <w:rFonts w:eastAsia="Calibri" w:cs="Times New Roman"/>
                <w:sz w:val="20"/>
                <w:szCs w:val="20"/>
              </w:rPr>
              <w:t>September 22, 2010</w:t>
            </w:r>
          </w:p>
          <w:p w:rsidR="009131FA" w:rsidRPr="001667A2" w:rsidRDefault="009131FA" w:rsidP="0010431F">
            <w:pPr>
              <w:jc w:val="both"/>
              <w:rPr>
                <w:rFonts w:eastAsia="Calibri" w:cs="Times New Roman"/>
                <w:sz w:val="20"/>
                <w:szCs w:val="20"/>
              </w:rPr>
            </w:pPr>
            <w:r w:rsidRPr="001667A2">
              <w:rPr>
                <w:rFonts w:eastAsia="Calibri" w:cs="Times New Roman"/>
                <w:sz w:val="20"/>
                <w:szCs w:val="20"/>
              </w:rPr>
              <w:t>Supreme Court of Canada</w:t>
            </w:r>
          </w:p>
        </w:tc>
        <w:tc>
          <w:tcPr>
            <w:tcW w:w="243" w:type="pct"/>
          </w:tcPr>
          <w:p w:rsidR="009131FA" w:rsidRPr="001667A2" w:rsidRDefault="009131FA" w:rsidP="0010431F">
            <w:pPr>
              <w:jc w:val="both"/>
              <w:rPr>
                <w:rFonts w:eastAsia="Calibri" w:cs="Times New Roman"/>
                <w:sz w:val="20"/>
                <w:szCs w:val="20"/>
              </w:rPr>
            </w:pPr>
          </w:p>
        </w:tc>
        <w:tc>
          <w:tcPr>
            <w:tcW w:w="2330" w:type="pct"/>
          </w:tcPr>
          <w:p w:rsidR="009131FA" w:rsidRPr="001667A2" w:rsidRDefault="009131FA" w:rsidP="0010431F">
            <w:pPr>
              <w:jc w:val="both"/>
              <w:rPr>
                <w:rFonts w:eastAsia="Calibri" w:cs="Times New Roman"/>
                <w:sz w:val="20"/>
                <w:szCs w:val="20"/>
              </w:rPr>
            </w:pPr>
            <w:r w:rsidRPr="001667A2">
              <w:rPr>
                <w:rFonts w:eastAsia="Calibri" w:cs="Times New Roman"/>
                <w:sz w:val="20"/>
                <w:szCs w:val="20"/>
              </w:rPr>
              <w:t>Application for leave to appeal filed</w:t>
            </w:r>
          </w:p>
        </w:tc>
      </w:tr>
    </w:tbl>
    <w:p w:rsidR="00AF63D3" w:rsidRPr="00BA161A" w:rsidRDefault="00AF63D3" w:rsidP="00AF63D3">
      <w:pPr>
        <w:rPr>
          <w:sz w:val="20"/>
          <w:szCs w:val="20"/>
        </w:rPr>
      </w:pPr>
    </w:p>
    <w:p w:rsidR="00AF63D3" w:rsidRDefault="003E529C" w:rsidP="00AF63D3">
      <w:pPr>
        <w:rPr>
          <w:sz w:val="20"/>
          <w:szCs w:val="20"/>
          <w:lang w:val="fr-CA"/>
        </w:rPr>
      </w:pPr>
      <w:r w:rsidRPr="003E529C">
        <w:rPr>
          <w:sz w:val="20"/>
          <w:szCs w:val="20"/>
          <w:lang w:val="fr-CA"/>
        </w:rPr>
        <w:pict>
          <v:rect id="_x0000_i1045" style="width:2in;height:1pt" o:hrpct="0" o:hralign="center" o:hrstd="t" o:hrnoshade="t" o:hr="t" fillcolor="black [3213]" stroked="f"/>
        </w:pict>
      </w:r>
    </w:p>
    <w:p w:rsidR="00AF63D3" w:rsidRPr="00BA161A" w:rsidRDefault="00AF63D3" w:rsidP="00AF63D3">
      <w:pPr>
        <w:rPr>
          <w:sz w:val="20"/>
          <w:szCs w:val="20"/>
        </w:rPr>
      </w:pPr>
    </w:p>
    <w:p w:rsidR="00AF63D3" w:rsidRPr="00BA161A" w:rsidRDefault="00AF63D3" w:rsidP="00AF63D3">
      <w:pPr>
        <w:rPr>
          <w:sz w:val="20"/>
          <w:szCs w:val="20"/>
        </w:rPr>
      </w:pPr>
      <w:r>
        <w:rPr>
          <w:sz w:val="20"/>
          <w:szCs w:val="20"/>
          <w:u w:val="single"/>
        </w:rPr>
        <w:t>RÉSUMÉ DE L’AFFAIRE</w:t>
      </w:r>
    </w:p>
    <w:p w:rsidR="00AF63D3" w:rsidRPr="00BA161A" w:rsidRDefault="00AF63D3" w:rsidP="00AF63D3">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9131FA" w:rsidRPr="009122D4" w:rsidTr="0010431F">
        <w:tc>
          <w:tcPr>
            <w:tcW w:w="5000" w:type="pct"/>
            <w:gridSpan w:val="3"/>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 xml:space="preserve">Expropriation – Indemnité – Dommages imputables à des troubles de jouissance – Claims miniers – Cote d’estime – Le principe unifié de causalité traité dans l’arrêt </w:t>
            </w:r>
            <w:r w:rsidRPr="001667A2">
              <w:rPr>
                <w:rFonts w:eastAsia="Calibri" w:cs="Times New Roman"/>
                <w:i/>
                <w:iCs/>
                <w:sz w:val="20"/>
                <w:szCs w:val="20"/>
                <w:lang w:val="fr-CA"/>
              </w:rPr>
              <w:t xml:space="preserve">Resurfice Corp. c. Hanke, </w:t>
            </w:r>
            <w:r w:rsidRPr="001667A2">
              <w:rPr>
                <w:rFonts w:eastAsia="Calibri" w:cs="Times New Roman"/>
                <w:sz w:val="20"/>
                <w:szCs w:val="20"/>
                <w:lang w:val="fr-CA"/>
              </w:rPr>
              <w:t>2007 CSC 7, [2007] 1 R.C.S. 333 prévoit-il une exception générale à l’exigence d’une causalité « de facteur déterminant » dans le cas des événements hypothétiques ou futurs? – Dans l’affirmative, quels frais auraient été engagés en l’absence d’expropriation? – Si l’expropriation « a contribué de façon appréciable au risque » de l’obligation d’acquérir un bien de remplacement, ces frais ou certains d’entre eux sont-ils indemnisables? – Si l’expropriation a contribué de façon appréciable à la perte de la cote d’estime, ces frais ou certains d’entre eux sont-ils indemnisables? – Même si les frais engagés avant un acte fautif n’ont pas été engagés en raison de cet acte, s’agit-il de pertes indemnisables parce que « n’eut été » de l’acte fautif, la demanderesse aurait obtenu la valeur de ces dépenses et que celles-ci ont été perdues? – Dans les cas où le préjudice a été occasionné par le gouvernement, celui-ci est-il tenu de payer de l’intérêt compensatoire à un taux équivalent à ce que la demanderesse a engagé dans l’intervalle?</w:t>
            </w:r>
          </w:p>
          <w:p w:rsidR="009131FA" w:rsidRPr="001667A2" w:rsidRDefault="009131FA" w:rsidP="0010431F">
            <w:pPr>
              <w:jc w:val="both"/>
              <w:rPr>
                <w:rFonts w:eastAsia="Calibri" w:cs="Times New Roman"/>
                <w:sz w:val="20"/>
                <w:szCs w:val="20"/>
                <w:lang w:val="fr-CA"/>
              </w:rPr>
            </w:pPr>
          </w:p>
        </w:tc>
      </w:tr>
      <w:tr w:rsidR="009131FA" w:rsidRPr="009122D4" w:rsidTr="0010431F">
        <w:tc>
          <w:tcPr>
            <w:tcW w:w="5000" w:type="pct"/>
            <w:gridSpan w:val="3"/>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 xml:space="preserve">En juillet 1995, l’intimée a édicté la </w:t>
            </w:r>
            <w:r w:rsidRPr="001667A2">
              <w:rPr>
                <w:rFonts w:eastAsia="Calibri" w:cs="Times New Roman"/>
                <w:i/>
                <w:iCs/>
                <w:sz w:val="20"/>
                <w:szCs w:val="20"/>
                <w:lang w:val="fr-CA"/>
              </w:rPr>
              <w:t>Park Amendment Act</w:t>
            </w:r>
            <w:r w:rsidRPr="001667A2">
              <w:rPr>
                <w:rFonts w:eastAsia="Calibri" w:cs="Times New Roman"/>
                <w:sz w:val="20"/>
                <w:szCs w:val="20"/>
                <w:lang w:val="fr-CA"/>
              </w:rPr>
              <w:t>, 1995, S.B.C. 1995, ch. 54 créant, entre autres parcs, le parc Goat Range.  Les limites du nouveau parc englobaient la moitié sud-est et la moitié est de deux des quatre claims miniers qui avaient déjà été acquis par la société remplacée par la demanderesse.  Le droit du titulaire du claim à une indemnité en raison de l’expropriation ayant été établi par un jugement antérieur, la question dont étaient saisies les juridictions inférieures portait sur l’évaluation de l’indemnité payable à la demanderesse relativement à l’expropriation au titre de la valeur des claims, des dommages imputables à des troubles de jouissance et l’intérêt payable sur les montants accordés dans le jugement.</w:t>
            </w:r>
          </w:p>
          <w:p w:rsidR="009131FA" w:rsidRPr="001667A2" w:rsidRDefault="009131FA" w:rsidP="0010431F">
            <w:pPr>
              <w:jc w:val="both"/>
              <w:rPr>
                <w:rFonts w:eastAsia="Calibri" w:cs="Times New Roman"/>
                <w:sz w:val="20"/>
                <w:szCs w:val="20"/>
                <w:lang w:val="fr-CA"/>
              </w:rPr>
            </w:pPr>
          </w:p>
        </w:tc>
      </w:tr>
      <w:tr w:rsidR="009131FA" w:rsidRPr="009122D4" w:rsidTr="0010431F">
        <w:tc>
          <w:tcPr>
            <w:tcW w:w="2427"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24 juin 2009</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Cour suprême de la Colombie-Britannique</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(Juge Cullen)</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2009 BCSC 841</w:t>
            </w:r>
          </w:p>
          <w:p w:rsidR="009131FA" w:rsidRPr="001667A2" w:rsidRDefault="009131FA" w:rsidP="0010431F">
            <w:pPr>
              <w:jc w:val="both"/>
              <w:rPr>
                <w:rFonts w:eastAsia="Calibri" w:cs="Times New Roman"/>
                <w:sz w:val="20"/>
                <w:szCs w:val="20"/>
                <w:lang w:val="fr-CA"/>
              </w:rPr>
            </w:pPr>
          </w:p>
        </w:tc>
        <w:tc>
          <w:tcPr>
            <w:tcW w:w="243" w:type="pct"/>
          </w:tcPr>
          <w:p w:rsidR="009131FA" w:rsidRPr="001667A2" w:rsidRDefault="009131FA" w:rsidP="0010431F">
            <w:pPr>
              <w:jc w:val="both"/>
              <w:rPr>
                <w:rFonts w:eastAsia="Calibri" w:cs="Times New Roman"/>
                <w:sz w:val="20"/>
                <w:szCs w:val="20"/>
                <w:lang w:val="fr-CA"/>
              </w:rPr>
            </w:pPr>
          </w:p>
        </w:tc>
        <w:tc>
          <w:tcPr>
            <w:tcW w:w="2330"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 xml:space="preserve">L’intimée est condamnée à payer à la demanderesse une indemnité d’expropriation de 603 633 $ </w:t>
            </w:r>
          </w:p>
        </w:tc>
      </w:tr>
    </w:tbl>
    <w:p w:rsidR="00EB3462" w:rsidRPr="004919E3" w:rsidRDefault="00EB3462">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9131FA" w:rsidRPr="009122D4" w:rsidTr="00EB3462">
        <w:trPr>
          <w:cantSplit/>
        </w:trPr>
        <w:tc>
          <w:tcPr>
            <w:tcW w:w="2427"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lastRenderedPageBreak/>
              <w:t>6 avril 2010</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Cour suprême de la Colombie-Britannique</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(Juge Cullen)</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2010 BCSC 457</w:t>
            </w:r>
          </w:p>
          <w:p w:rsidR="009131FA" w:rsidRPr="001667A2" w:rsidRDefault="009131FA" w:rsidP="0010431F">
            <w:pPr>
              <w:jc w:val="both"/>
              <w:rPr>
                <w:rFonts w:eastAsia="Calibri" w:cs="Times New Roman"/>
                <w:sz w:val="20"/>
                <w:szCs w:val="20"/>
                <w:lang w:val="fr-CA"/>
              </w:rPr>
            </w:pPr>
          </w:p>
        </w:tc>
        <w:tc>
          <w:tcPr>
            <w:tcW w:w="243" w:type="pct"/>
          </w:tcPr>
          <w:p w:rsidR="009131FA" w:rsidRPr="001667A2" w:rsidRDefault="009131FA" w:rsidP="0010431F">
            <w:pPr>
              <w:jc w:val="both"/>
              <w:rPr>
                <w:rFonts w:eastAsia="Calibri" w:cs="Times New Roman"/>
                <w:sz w:val="20"/>
                <w:szCs w:val="20"/>
                <w:lang w:val="fr-CA"/>
              </w:rPr>
            </w:pPr>
          </w:p>
        </w:tc>
        <w:tc>
          <w:tcPr>
            <w:tcW w:w="2330"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Motifs supplémentaires de jugement précisant que l’intérêt composé devait être calculé sur une période de 90 jours</w:t>
            </w:r>
          </w:p>
        </w:tc>
      </w:tr>
      <w:tr w:rsidR="009131FA" w:rsidRPr="009122D4" w:rsidTr="00EB3462">
        <w:trPr>
          <w:cantSplit/>
        </w:trPr>
        <w:tc>
          <w:tcPr>
            <w:tcW w:w="2427"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29 juin 2010</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Cour d’appel de la Colombie-Britannique</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(Vancouver)</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(Juge en chef Finch, juges Levine et Groberman)</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2010 BCCA 334</w:t>
            </w:r>
          </w:p>
          <w:p w:rsidR="009131FA" w:rsidRPr="001667A2" w:rsidRDefault="009131FA" w:rsidP="0010431F">
            <w:pPr>
              <w:jc w:val="both"/>
              <w:rPr>
                <w:rFonts w:eastAsia="Calibri" w:cs="Times New Roman"/>
                <w:sz w:val="20"/>
                <w:szCs w:val="20"/>
                <w:lang w:val="fr-CA"/>
              </w:rPr>
            </w:pPr>
          </w:p>
        </w:tc>
        <w:tc>
          <w:tcPr>
            <w:tcW w:w="243" w:type="pct"/>
          </w:tcPr>
          <w:p w:rsidR="009131FA" w:rsidRPr="001667A2" w:rsidRDefault="009131FA" w:rsidP="0010431F">
            <w:pPr>
              <w:jc w:val="both"/>
              <w:rPr>
                <w:rFonts w:eastAsia="Calibri" w:cs="Times New Roman"/>
                <w:sz w:val="20"/>
                <w:szCs w:val="20"/>
                <w:lang w:val="fr-CA"/>
              </w:rPr>
            </w:pPr>
          </w:p>
        </w:tc>
        <w:tc>
          <w:tcPr>
            <w:tcW w:w="2330"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Appel accueilli en partie; dommages-intérêts imputables à des troubles de jouissance réduits à 3 633 $, de sorte que l’indemnité globale accordée s’élève à 303 633 $; demande reconventionnelle de la demanderesse rejetée</w:t>
            </w:r>
          </w:p>
        </w:tc>
      </w:tr>
      <w:tr w:rsidR="009131FA" w:rsidRPr="001667A2" w:rsidTr="00EB3462">
        <w:trPr>
          <w:cantSplit/>
        </w:trPr>
        <w:tc>
          <w:tcPr>
            <w:tcW w:w="2427"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22 septembre 2010</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Cour suprême du Canada</w:t>
            </w:r>
          </w:p>
        </w:tc>
        <w:tc>
          <w:tcPr>
            <w:tcW w:w="243" w:type="pct"/>
          </w:tcPr>
          <w:p w:rsidR="009131FA" w:rsidRPr="001667A2" w:rsidRDefault="009131FA" w:rsidP="0010431F">
            <w:pPr>
              <w:jc w:val="both"/>
              <w:rPr>
                <w:rFonts w:eastAsia="Calibri" w:cs="Times New Roman"/>
                <w:sz w:val="20"/>
                <w:szCs w:val="20"/>
                <w:lang w:val="fr-CA"/>
              </w:rPr>
            </w:pPr>
          </w:p>
        </w:tc>
        <w:tc>
          <w:tcPr>
            <w:tcW w:w="2330"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Demande d’autorisation d’appel, déposée</w:t>
            </w:r>
          </w:p>
        </w:tc>
      </w:tr>
    </w:tbl>
    <w:p w:rsidR="00AF63D3" w:rsidRDefault="00AF63D3" w:rsidP="00AF63D3">
      <w:pPr>
        <w:rPr>
          <w:sz w:val="20"/>
          <w:szCs w:val="20"/>
        </w:rPr>
      </w:pPr>
    </w:p>
    <w:p w:rsidR="00AF63D3" w:rsidRDefault="003E529C" w:rsidP="00AF63D3">
      <w:pPr>
        <w:rPr>
          <w:sz w:val="20"/>
          <w:szCs w:val="20"/>
          <w:lang w:val="fr-CA"/>
        </w:rPr>
      </w:pPr>
      <w:r w:rsidRPr="003E529C">
        <w:rPr>
          <w:sz w:val="20"/>
          <w:szCs w:val="20"/>
          <w:lang w:val="fr-CA"/>
        </w:rPr>
        <w:pict>
          <v:rect id="_x0000_i1046" style="width:2in;height:1pt" o:hrpct="0" o:hralign="center" o:hrstd="t" o:hrnoshade="t" o:hr="t" fillcolor="black [3213]" stroked="f"/>
        </w:pict>
      </w:r>
    </w:p>
    <w:p w:rsidR="00AF63D3" w:rsidRDefault="00AF63D3" w:rsidP="00AF63D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A2A5A" w:rsidRPr="00CA2A5A" w:rsidTr="00E022C0">
        <w:trPr>
          <w:cantSplit/>
        </w:trPr>
        <w:tc>
          <w:tcPr>
            <w:tcW w:w="1458" w:type="dxa"/>
          </w:tcPr>
          <w:p w:rsidR="00CA2A5A" w:rsidRPr="00CA2A5A" w:rsidRDefault="00CA2A5A" w:rsidP="00E022C0">
            <w:pPr>
              <w:rPr>
                <w:sz w:val="20"/>
                <w:szCs w:val="20"/>
              </w:rPr>
            </w:pPr>
            <w:r w:rsidRPr="00CA2A5A">
              <w:rPr>
                <w:rStyle w:val="SCCFileNumberChar"/>
                <w:sz w:val="20"/>
                <w:szCs w:val="20"/>
              </w:rPr>
              <w:t>33856</w:t>
            </w:r>
          </w:p>
          <w:p w:rsidR="00CA2A5A" w:rsidRPr="00CA2A5A" w:rsidRDefault="00CA2A5A" w:rsidP="00E022C0">
            <w:pPr>
              <w:rPr>
                <w:b/>
                <w:sz w:val="20"/>
                <w:szCs w:val="20"/>
                <w:lang w:val="fr-CA"/>
              </w:rPr>
            </w:pPr>
          </w:p>
        </w:tc>
        <w:tc>
          <w:tcPr>
            <w:tcW w:w="8118" w:type="dxa"/>
          </w:tcPr>
          <w:p w:rsidR="00CA2A5A" w:rsidRPr="00CA2A5A" w:rsidRDefault="00CA2A5A" w:rsidP="00E022C0">
            <w:pPr>
              <w:rPr>
                <w:sz w:val="20"/>
                <w:szCs w:val="20"/>
              </w:rPr>
            </w:pPr>
            <w:r w:rsidRPr="00CA2A5A">
              <w:rPr>
                <w:rStyle w:val="SCCLsocChar"/>
                <w:sz w:val="20"/>
                <w:szCs w:val="20"/>
                <w:lang w:val="en-CA"/>
              </w:rPr>
              <w:t>Indotan Inc. v. Invincible Resources Corp.</w:t>
            </w:r>
            <w:r w:rsidRPr="00CA2A5A">
              <w:rPr>
                <w:sz w:val="20"/>
                <w:szCs w:val="20"/>
              </w:rPr>
              <w:t xml:space="preserve"> (B.C.) (Civil) (By Leave)</w:t>
            </w:r>
          </w:p>
          <w:p w:rsidR="00CA2A5A" w:rsidRPr="00CA2A5A" w:rsidRDefault="00CA2A5A" w:rsidP="00E022C0">
            <w:pPr>
              <w:rPr>
                <w:sz w:val="20"/>
                <w:szCs w:val="20"/>
              </w:rPr>
            </w:pPr>
          </w:p>
        </w:tc>
      </w:tr>
      <w:tr w:rsidR="00CA2A5A" w:rsidRPr="00CA2A5A" w:rsidTr="00E022C0">
        <w:trPr>
          <w:cantSplit/>
        </w:trPr>
        <w:tc>
          <w:tcPr>
            <w:tcW w:w="1458" w:type="dxa"/>
          </w:tcPr>
          <w:p w:rsidR="00CA2A5A" w:rsidRPr="00CA2A5A" w:rsidRDefault="00CA2A5A" w:rsidP="00E022C0">
            <w:pPr>
              <w:rPr>
                <w:sz w:val="20"/>
                <w:szCs w:val="20"/>
              </w:rPr>
            </w:pPr>
            <w:r w:rsidRPr="00CA2A5A">
              <w:rPr>
                <w:sz w:val="20"/>
                <w:szCs w:val="20"/>
              </w:rPr>
              <w:t>Coram :</w:t>
            </w:r>
          </w:p>
        </w:tc>
        <w:tc>
          <w:tcPr>
            <w:tcW w:w="8118" w:type="dxa"/>
          </w:tcPr>
          <w:p w:rsidR="00CA2A5A" w:rsidRPr="00CA2A5A" w:rsidRDefault="00CA2A5A" w:rsidP="00E022C0">
            <w:pPr>
              <w:rPr>
                <w:sz w:val="20"/>
                <w:szCs w:val="20"/>
              </w:rPr>
            </w:pPr>
            <w:r w:rsidRPr="00CA2A5A">
              <w:rPr>
                <w:rStyle w:val="SCCCoramChar"/>
                <w:sz w:val="20"/>
                <w:szCs w:val="20"/>
                <w:lang w:val="en-CA"/>
              </w:rPr>
              <w:t>McLachlin C.J. and Abella and Cromwell JJ.</w:t>
            </w:r>
          </w:p>
          <w:p w:rsidR="00CA2A5A" w:rsidRPr="00CA2A5A" w:rsidRDefault="00CA2A5A" w:rsidP="00E022C0">
            <w:pPr>
              <w:rPr>
                <w:sz w:val="20"/>
                <w:szCs w:val="20"/>
                <w:u w:val="single"/>
              </w:rPr>
            </w:pPr>
          </w:p>
        </w:tc>
      </w:tr>
      <w:tr w:rsidR="00CA2A5A" w:rsidRPr="009122D4" w:rsidTr="00E022C0">
        <w:trPr>
          <w:cantSplit/>
        </w:trPr>
        <w:tc>
          <w:tcPr>
            <w:tcW w:w="9576" w:type="dxa"/>
            <w:gridSpan w:val="2"/>
          </w:tcPr>
          <w:p w:rsidR="00CA2A5A" w:rsidRPr="00CA2A5A" w:rsidRDefault="00CA2A5A" w:rsidP="00E022C0">
            <w:pPr>
              <w:pStyle w:val="SCCShortJudgment"/>
              <w:rPr>
                <w:szCs w:val="20"/>
              </w:rPr>
            </w:pPr>
            <w:r w:rsidRPr="00CA2A5A">
              <w:rPr>
                <w:szCs w:val="20"/>
              </w:rPr>
              <w:t>The application for leave to appeal from the judgment of the Court of Appeal for British Columbia (Vancouver), Number CA037632, 2010 BCCA 318, dated June 24, 2010, is dismissed with costs.</w:t>
            </w:r>
          </w:p>
          <w:p w:rsidR="00CA2A5A" w:rsidRPr="00CA2A5A" w:rsidRDefault="00CA2A5A" w:rsidP="00E022C0">
            <w:pPr>
              <w:pStyle w:val="SCCShortJudgment"/>
              <w:ind w:firstLine="0"/>
              <w:rPr>
                <w:szCs w:val="20"/>
              </w:rPr>
            </w:pPr>
          </w:p>
          <w:p w:rsidR="00CA2A5A" w:rsidRPr="00CA2A5A" w:rsidRDefault="00CA2A5A" w:rsidP="00CA2A5A">
            <w:pPr>
              <w:pStyle w:val="SCCShortJudgment"/>
              <w:rPr>
                <w:szCs w:val="20"/>
                <w:lang w:val="fr-CA"/>
              </w:rPr>
            </w:pPr>
            <w:r w:rsidRPr="00CA2A5A">
              <w:rPr>
                <w:szCs w:val="20"/>
                <w:lang w:val="fr-CA"/>
              </w:rPr>
              <w:t>La demande d’autorisation d’appel de l’arrêt de la Cour d’appel de la Colombie-Britannique (Vancouver), numéro CA037632, 2010 BCCA 318, daté du 24 juin 2010, est rejetée avec dépens.</w:t>
            </w:r>
          </w:p>
        </w:tc>
      </w:tr>
    </w:tbl>
    <w:p w:rsidR="00AF63D3" w:rsidRPr="00CA2A5A" w:rsidRDefault="00AF63D3" w:rsidP="008D292F">
      <w:pPr>
        <w:rPr>
          <w:sz w:val="20"/>
          <w:szCs w:val="20"/>
          <w:lang w:val="fr-CA"/>
        </w:rPr>
      </w:pPr>
    </w:p>
    <w:p w:rsidR="00AF63D3" w:rsidRDefault="00AF63D3" w:rsidP="00AF63D3">
      <w:pPr>
        <w:rPr>
          <w:sz w:val="20"/>
          <w:szCs w:val="20"/>
        </w:rPr>
      </w:pPr>
      <w:r>
        <w:rPr>
          <w:sz w:val="20"/>
          <w:szCs w:val="20"/>
          <w:u w:val="single"/>
        </w:rPr>
        <w:t>CASE SUMMARY</w:t>
      </w:r>
    </w:p>
    <w:p w:rsidR="00AF63D3" w:rsidRDefault="00AF63D3" w:rsidP="00AF63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131FA" w:rsidRPr="001667A2" w:rsidTr="0010431F">
        <w:tc>
          <w:tcPr>
            <w:tcW w:w="5000" w:type="pct"/>
            <w:gridSpan w:val="3"/>
          </w:tcPr>
          <w:p w:rsidR="009131FA" w:rsidRPr="001667A2" w:rsidRDefault="009131FA" w:rsidP="00BE7681">
            <w:pPr>
              <w:jc w:val="both"/>
              <w:rPr>
                <w:rFonts w:cs="Times New Roman"/>
                <w:sz w:val="20"/>
                <w:szCs w:val="20"/>
              </w:rPr>
            </w:pPr>
            <w:r w:rsidRPr="001667A2">
              <w:rPr>
                <w:rFonts w:cs="Times New Roman"/>
                <w:sz w:val="20"/>
                <w:szCs w:val="20"/>
              </w:rPr>
              <w:t>Contracts – Formation – Breach – Repudiation – Whether a party who is not ready, willing and able to complete a contract can nevertheless demand completion from the other party such that failure to comply will be a breach of contract.</w:t>
            </w:r>
          </w:p>
          <w:p w:rsidR="009131FA" w:rsidRPr="001667A2" w:rsidRDefault="009131FA" w:rsidP="00BE7681">
            <w:pPr>
              <w:jc w:val="both"/>
              <w:rPr>
                <w:rFonts w:cs="Times New Roman"/>
                <w:sz w:val="20"/>
                <w:szCs w:val="20"/>
              </w:rPr>
            </w:pPr>
          </w:p>
        </w:tc>
      </w:tr>
      <w:tr w:rsidR="009131FA" w:rsidRPr="001667A2" w:rsidTr="0010431F">
        <w:tc>
          <w:tcPr>
            <w:tcW w:w="5000" w:type="pct"/>
            <w:gridSpan w:val="3"/>
          </w:tcPr>
          <w:p w:rsidR="009131FA" w:rsidRPr="001667A2" w:rsidRDefault="009131FA" w:rsidP="00BE7681">
            <w:pPr>
              <w:jc w:val="both"/>
              <w:rPr>
                <w:rFonts w:cs="Times New Roman"/>
                <w:sz w:val="20"/>
                <w:szCs w:val="20"/>
              </w:rPr>
            </w:pPr>
            <w:r w:rsidRPr="001667A2">
              <w:rPr>
                <w:rFonts w:cs="Times New Roman"/>
                <w:sz w:val="20"/>
                <w:szCs w:val="20"/>
              </w:rPr>
              <w:t>The applicant brought an action against the respondent for breach of contract.  The parties disagree on whether they had entered into an agreement; if so, what its terms had been; and whether there was a breach of contract by the respondent or a repudiation of the agreement by the applicant that was accepted by the respondent.  The applicant claims to have entered into an agreement with the respondent, partly oral and partly written, providing for the purchase and acquisition by the respondent of certain mineral exploration properties and rights in Indonesia held by the applicant.  In exchange, the respondent was to issue 1,800,000 shares to the applicant.  The respondent issued the shares and held them in trust, pending delivery by the applicant of a legal opinion on title to the property.  The respondent cancelled the shares when the legal opinion was not provided by the stipulated date.  The applicant commenced an action for breach of contract, seeking specific performance of the delivery of the respondent’s shares.  The respondent counterclaimed to recover amounts it had expended on the property.  On consent, the action was dealt with by summary trial.</w:t>
            </w:r>
          </w:p>
          <w:p w:rsidR="009131FA" w:rsidRPr="001667A2" w:rsidRDefault="009131FA" w:rsidP="00BE7681">
            <w:pPr>
              <w:jc w:val="both"/>
              <w:rPr>
                <w:rFonts w:cs="Times New Roman"/>
                <w:sz w:val="20"/>
                <w:szCs w:val="20"/>
              </w:rPr>
            </w:pPr>
          </w:p>
        </w:tc>
      </w:tr>
      <w:tr w:rsidR="009131FA" w:rsidRPr="001667A2" w:rsidTr="0010431F">
        <w:tc>
          <w:tcPr>
            <w:tcW w:w="2427" w:type="pct"/>
          </w:tcPr>
          <w:p w:rsidR="009131FA" w:rsidRPr="001667A2" w:rsidRDefault="009131FA" w:rsidP="0010431F">
            <w:pPr>
              <w:rPr>
                <w:rFonts w:cs="Times New Roman"/>
                <w:sz w:val="20"/>
                <w:szCs w:val="20"/>
              </w:rPr>
            </w:pPr>
            <w:r w:rsidRPr="001667A2">
              <w:rPr>
                <w:rFonts w:cs="Times New Roman"/>
                <w:sz w:val="20"/>
                <w:szCs w:val="20"/>
              </w:rPr>
              <w:t>November 2, 2009</w:t>
            </w:r>
          </w:p>
          <w:p w:rsidR="009131FA" w:rsidRPr="001667A2" w:rsidRDefault="009131FA" w:rsidP="0010431F">
            <w:pPr>
              <w:rPr>
                <w:rFonts w:cs="Times New Roman"/>
                <w:sz w:val="20"/>
                <w:szCs w:val="20"/>
              </w:rPr>
            </w:pPr>
            <w:r w:rsidRPr="001667A2">
              <w:rPr>
                <w:rFonts w:cs="Times New Roman"/>
                <w:sz w:val="20"/>
                <w:szCs w:val="20"/>
              </w:rPr>
              <w:t>Supreme Court of British Columbia</w:t>
            </w:r>
          </w:p>
          <w:p w:rsidR="009131FA" w:rsidRPr="001667A2" w:rsidRDefault="009131FA" w:rsidP="0010431F">
            <w:pPr>
              <w:rPr>
                <w:rFonts w:cs="Times New Roman"/>
                <w:sz w:val="20"/>
                <w:szCs w:val="20"/>
              </w:rPr>
            </w:pPr>
            <w:r w:rsidRPr="001667A2">
              <w:rPr>
                <w:rFonts w:cs="Times New Roman"/>
                <w:sz w:val="20"/>
                <w:szCs w:val="20"/>
              </w:rPr>
              <w:t>(Adair J.)</w:t>
            </w:r>
          </w:p>
          <w:p w:rsidR="009131FA" w:rsidRPr="001667A2" w:rsidRDefault="009131FA" w:rsidP="0010431F">
            <w:pPr>
              <w:rPr>
                <w:rFonts w:cs="Times New Roman"/>
                <w:sz w:val="20"/>
                <w:szCs w:val="20"/>
              </w:rPr>
            </w:pPr>
            <w:r w:rsidRPr="001667A2">
              <w:rPr>
                <w:rFonts w:cs="Times New Roman"/>
                <w:sz w:val="20"/>
                <w:szCs w:val="20"/>
              </w:rPr>
              <w:t>2009 BCSC 1482</w:t>
            </w:r>
          </w:p>
          <w:p w:rsidR="009131FA" w:rsidRPr="001667A2" w:rsidRDefault="009131FA" w:rsidP="0010431F">
            <w:pPr>
              <w:rPr>
                <w:rFonts w:cs="Times New Roman"/>
                <w:sz w:val="20"/>
                <w:szCs w:val="20"/>
              </w:rPr>
            </w:pPr>
          </w:p>
        </w:tc>
        <w:tc>
          <w:tcPr>
            <w:tcW w:w="243" w:type="pct"/>
          </w:tcPr>
          <w:p w:rsidR="009131FA" w:rsidRPr="001667A2" w:rsidRDefault="009131FA" w:rsidP="0010431F">
            <w:pPr>
              <w:rPr>
                <w:rFonts w:cs="Times New Roman"/>
                <w:sz w:val="20"/>
                <w:szCs w:val="20"/>
              </w:rPr>
            </w:pPr>
          </w:p>
        </w:tc>
        <w:tc>
          <w:tcPr>
            <w:tcW w:w="2330" w:type="pct"/>
          </w:tcPr>
          <w:p w:rsidR="009131FA" w:rsidRPr="001667A2" w:rsidRDefault="009131FA" w:rsidP="0010431F">
            <w:pPr>
              <w:rPr>
                <w:rFonts w:cs="Times New Roman"/>
                <w:sz w:val="20"/>
                <w:szCs w:val="20"/>
              </w:rPr>
            </w:pPr>
            <w:r w:rsidRPr="001667A2">
              <w:rPr>
                <w:rFonts w:cs="Times New Roman"/>
                <w:sz w:val="20"/>
                <w:szCs w:val="20"/>
              </w:rPr>
              <w:t>Applicant’s action and respondent’s counterclaim dismissed</w:t>
            </w:r>
          </w:p>
          <w:p w:rsidR="009131FA" w:rsidRPr="001667A2" w:rsidRDefault="009131FA" w:rsidP="0010431F">
            <w:pPr>
              <w:rPr>
                <w:rFonts w:cs="Times New Roman"/>
                <w:sz w:val="20"/>
                <w:szCs w:val="20"/>
              </w:rPr>
            </w:pPr>
          </w:p>
        </w:tc>
      </w:tr>
    </w:tbl>
    <w:p w:rsidR="00EB3462" w:rsidRDefault="00EB3462"/>
    <w:tbl>
      <w:tblPr>
        <w:tblW w:w="4952" w:type="pct"/>
        <w:tblLayout w:type="fixed"/>
        <w:tblCellMar>
          <w:left w:w="0" w:type="dxa"/>
          <w:bottom w:w="99" w:type="dxa"/>
          <w:right w:w="0" w:type="dxa"/>
        </w:tblCellMar>
        <w:tblLook w:val="04A0"/>
      </w:tblPr>
      <w:tblGrid>
        <w:gridCol w:w="4624"/>
        <w:gridCol w:w="463"/>
        <w:gridCol w:w="4440"/>
      </w:tblGrid>
      <w:tr w:rsidR="009131FA" w:rsidRPr="001667A2" w:rsidTr="00EB3462">
        <w:trPr>
          <w:cantSplit/>
        </w:trPr>
        <w:tc>
          <w:tcPr>
            <w:tcW w:w="2427" w:type="pct"/>
          </w:tcPr>
          <w:p w:rsidR="009131FA" w:rsidRPr="001667A2" w:rsidRDefault="009131FA" w:rsidP="0010431F">
            <w:pPr>
              <w:rPr>
                <w:rFonts w:cs="Times New Roman"/>
                <w:sz w:val="20"/>
                <w:szCs w:val="20"/>
              </w:rPr>
            </w:pPr>
            <w:r w:rsidRPr="001667A2">
              <w:rPr>
                <w:rFonts w:cs="Times New Roman"/>
                <w:sz w:val="20"/>
                <w:szCs w:val="20"/>
              </w:rPr>
              <w:lastRenderedPageBreak/>
              <w:t>June 24, 2010</w:t>
            </w:r>
          </w:p>
          <w:p w:rsidR="009131FA" w:rsidRPr="001667A2" w:rsidRDefault="009131FA" w:rsidP="0010431F">
            <w:pPr>
              <w:rPr>
                <w:rFonts w:cs="Times New Roman"/>
                <w:sz w:val="20"/>
                <w:szCs w:val="20"/>
              </w:rPr>
            </w:pPr>
            <w:r w:rsidRPr="001667A2">
              <w:rPr>
                <w:rFonts w:cs="Times New Roman"/>
                <w:sz w:val="20"/>
                <w:szCs w:val="20"/>
              </w:rPr>
              <w:t xml:space="preserve">Court of Appeal for British Columbia </w:t>
            </w:r>
          </w:p>
          <w:p w:rsidR="009131FA" w:rsidRPr="001667A2" w:rsidRDefault="009131FA" w:rsidP="0010431F">
            <w:pPr>
              <w:rPr>
                <w:rFonts w:cs="Times New Roman"/>
                <w:sz w:val="20"/>
                <w:szCs w:val="20"/>
              </w:rPr>
            </w:pPr>
            <w:r w:rsidRPr="001667A2">
              <w:rPr>
                <w:rFonts w:cs="Times New Roman"/>
                <w:sz w:val="20"/>
                <w:szCs w:val="20"/>
              </w:rPr>
              <w:t>(Vancouver)</w:t>
            </w:r>
          </w:p>
          <w:p w:rsidR="009131FA" w:rsidRPr="001667A2" w:rsidRDefault="009131FA" w:rsidP="0010431F">
            <w:pPr>
              <w:rPr>
                <w:rFonts w:cs="Times New Roman"/>
                <w:sz w:val="20"/>
                <w:szCs w:val="20"/>
              </w:rPr>
            </w:pPr>
            <w:r w:rsidRPr="001667A2">
              <w:rPr>
                <w:rFonts w:cs="Times New Roman"/>
                <w:sz w:val="20"/>
                <w:szCs w:val="20"/>
              </w:rPr>
              <w:t>(Lowry, Tysoe and Groberman JJ.A.)</w:t>
            </w:r>
          </w:p>
          <w:p w:rsidR="009131FA" w:rsidRPr="001667A2" w:rsidRDefault="009131FA" w:rsidP="0010431F">
            <w:pPr>
              <w:rPr>
                <w:rFonts w:cs="Times New Roman"/>
                <w:sz w:val="20"/>
                <w:szCs w:val="20"/>
              </w:rPr>
            </w:pPr>
            <w:r w:rsidRPr="001667A2">
              <w:rPr>
                <w:rFonts w:cs="Times New Roman"/>
                <w:sz w:val="20"/>
                <w:szCs w:val="20"/>
              </w:rPr>
              <w:t>2010 BCCA 318; CA037632</w:t>
            </w:r>
          </w:p>
          <w:p w:rsidR="009131FA" w:rsidRPr="001667A2" w:rsidRDefault="009131FA" w:rsidP="0010431F">
            <w:pPr>
              <w:rPr>
                <w:rFonts w:cs="Times New Roman"/>
                <w:sz w:val="20"/>
                <w:szCs w:val="20"/>
              </w:rPr>
            </w:pPr>
          </w:p>
        </w:tc>
        <w:tc>
          <w:tcPr>
            <w:tcW w:w="243" w:type="pct"/>
          </w:tcPr>
          <w:p w:rsidR="009131FA" w:rsidRPr="001667A2" w:rsidRDefault="009131FA" w:rsidP="0010431F">
            <w:pPr>
              <w:rPr>
                <w:rFonts w:cs="Times New Roman"/>
                <w:sz w:val="20"/>
                <w:szCs w:val="20"/>
              </w:rPr>
            </w:pPr>
          </w:p>
        </w:tc>
        <w:tc>
          <w:tcPr>
            <w:tcW w:w="2330" w:type="pct"/>
          </w:tcPr>
          <w:p w:rsidR="009131FA" w:rsidRPr="001667A2" w:rsidRDefault="009131FA" w:rsidP="0010431F">
            <w:pPr>
              <w:rPr>
                <w:rFonts w:cs="Times New Roman"/>
                <w:sz w:val="20"/>
                <w:szCs w:val="20"/>
              </w:rPr>
            </w:pPr>
            <w:r w:rsidRPr="001667A2">
              <w:rPr>
                <w:rFonts w:cs="Times New Roman"/>
                <w:sz w:val="20"/>
                <w:szCs w:val="20"/>
              </w:rPr>
              <w:t>Appeal dismissed</w:t>
            </w:r>
          </w:p>
          <w:p w:rsidR="009131FA" w:rsidRPr="001667A2" w:rsidRDefault="009131FA" w:rsidP="0010431F">
            <w:pPr>
              <w:rPr>
                <w:rFonts w:cs="Times New Roman"/>
                <w:sz w:val="20"/>
                <w:szCs w:val="20"/>
              </w:rPr>
            </w:pPr>
          </w:p>
        </w:tc>
      </w:tr>
      <w:tr w:rsidR="009131FA" w:rsidRPr="001667A2" w:rsidTr="00EB3462">
        <w:trPr>
          <w:cantSplit/>
        </w:trPr>
        <w:tc>
          <w:tcPr>
            <w:tcW w:w="2427" w:type="pct"/>
          </w:tcPr>
          <w:p w:rsidR="009131FA" w:rsidRPr="001667A2" w:rsidRDefault="009131FA" w:rsidP="0010431F">
            <w:pPr>
              <w:rPr>
                <w:rFonts w:cs="Times New Roman"/>
                <w:sz w:val="20"/>
                <w:szCs w:val="20"/>
              </w:rPr>
            </w:pPr>
            <w:r w:rsidRPr="001667A2">
              <w:rPr>
                <w:rFonts w:cs="Times New Roman"/>
                <w:sz w:val="20"/>
                <w:szCs w:val="20"/>
              </w:rPr>
              <w:t>September 22, 2010</w:t>
            </w:r>
          </w:p>
          <w:p w:rsidR="009131FA" w:rsidRPr="001667A2" w:rsidRDefault="009131FA" w:rsidP="0010431F">
            <w:pPr>
              <w:rPr>
                <w:rFonts w:cs="Times New Roman"/>
                <w:sz w:val="20"/>
                <w:szCs w:val="20"/>
              </w:rPr>
            </w:pPr>
            <w:r w:rsidRPr="001667A2">
              <w:rPr>
                <w:rFonts w:cs="Times New Roman"/>
                <w:sz w:val="20"/>
                <w:szCs w:val="20"/>
              </w:rPr>
              <w:t>Supreme Court of Canada</w:t>
            </w:r>
          </w:p>
        </w:tc>
        <w:tc>
          <w:tcPr>
            <w:tcW w:w="243" w:type="pct"/>
          </w:tcPr>
          <w:p w:rsidR="009131FA" w:rsidRPr="001667A2" w:rsidRDefault="009131FA" w:rsidP="0010431F">
            <w:pPr>
              <w:rPr>
                <w:rFonts w:cs="Times New Roman"/>
                <w:sz w:val="20"/>
                <w:szCs w:val="20"/>
              </w:rPr>
            </w:pPr>
          </w:p>
        </w:tc>
        <w:tc>
          <w:tcPr>
            <w:tcW w:w="2330" w:type="pct"/>
          </w:tcPr>
          <w:p w:rsidR="009131FA" w:rsidRPr="001667A2" w:rsidRDefault="009131FA" w:rsidP="0010431F">
            <w:pPr>
              <w:rPr>
                <w:rFonts w:cs="Times New Roman"/>
                <w:sz w:val="20"/>
                <w:szCs w:val="20"/>
              </w:rPr>
            </w:pPr>
            <w:r w:rsidRPr="001667A2">
              <w:rPr>
                <w:rFonts w:cs="Times New Roman"/>
                <w:sz w:val="20"/>
                <w:szCs w:val="20"/>
              </w:rPr>
              <w:t>Application for leave to appeal filed</w:t>
            </w:r>
          </w:p>
          <w:p w:rsidR="009131FA" w:rsidRPr="001667A2" w:rsidRDefault="009131FA" w:rsidP="0010431F">
            <w:pPr>
              <w:rPr>
                <w:rFonts w:cs="Times New Roman"/>
                <w:sz w:val="20"/>
                <w:szCs w:val="20"/>
              </w:rPr>
            </w:pPr>
          </w:p>
        </w:tc>
      </w:tr>
    </w:tbl>
    <w:p w:rsidR="00AF63D3" w:rsidRPr="00BA161A" w:rsidRDefault="00AF63D3" w:rsidP="00AF63D3">
      <w:pPr>
        <w:rPr>
          <w:sz w:val="20"/>
          <w:szCs w:val="20"/>
        </w:rPr>
      </w:pPr>
    </w:p>
    <w:p w:rsidR="00AF63D3" w:rsidRDefault="003E529C" w:rsidP="00AF63D3">
      <w:pPr>
        <w:rPr>
          <w:sz w:val="20"/>
          <w:szCs w:val="20"/>
          <w:lang w:val="fr-CA"/>
        </w:rPr>
      </w:pPr>
      <w:r w:rsidRPr="003E529C">
        <w:rPr>
          <w:sz w:val="20"/>
          <w:szCs w:val="20"/>
          <w:lang w:val="fr-CA"/>
        </w:rPr>
        <w:pict>
          <v:rect id="_x0000_i1047" style="width:2in;height:1pt" o:hrpct="0" o:hralign="center" o:hrstd="t" o:hrnoshade="t" o:hr="t" fillcolor="black [3213]" stroked="f"/>
        </w:pict>
      </w:r>
    </w:p>
    <w:p w:rsidR="00AF63D3" w:rsidRPr="00BA161A" w:rsidRDefault="00AF63D3" w:rsidP="00AF63D3">
      <w:pPr>
        <w:rPr>
          <w:sz w:val="20"/>
          <w:szCs w:val="20"/>
        </w:rPr>
      </w:pPr>
    </w:p>
    <w:p w:rsidR="00AF63D3" w:rsidRPr="00BA161A" w:rsidRDefault="00AF63D3" w:rsidP="00AF63D3">
      <w:pPr>
        <w:rPr>
          <w:sz w:val="20"/>
          <w:szCs w:val="20"/>
        </w:rPr>
      </w:pPr>
      <w:r>
        <w:rPr>
          <w:sz w:val="20"/>
          <w:szCs w:val="20"/>
          <w:u w:val="single"/>
        </w:rPr>
        <w:t>RÉSUMÉ DE L’AFFAIRE</w:t>
      </w:r>
    </w:p>
    <w:p w:rsidR="00AF63D3" w:rsidRPr="00BA161A" w:rsidRDefault="00AF63D3" w:rsidP="00AF63D3">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9131FA" w:rsidRPr="009122D4" w:rsidTr="0010431F">
        <w:tc>
          <w:tcPr>
            <w:tcW w:w="5000" w:type="pct"/>
            <w:gridSpan w:val="3"/>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Contrats – Formation – Violation – Répudiation – La partie qui n’est ni prête et disposée à exécuter un contrat ni capable de le faire peut-elle néanmoins exiger que l’autre partie l’exécute, à défaut de quoi il y aura violation de contrat?</w:t>
            </w:r>
          </w:p>
          <w:p w:rsidR="009131FA" w:rsidRPr="001667A2" w:rsidRDefault="009131FA" w:rsidP="0010431F">
            <w:pPr>
              <w:jc w:val="both"/>
              <w:rPr>
                <w:rFonts w:eastAsia="Calibri" w:cs="Times New Roman"/>
                <w:sz w:val="20"/>
                <w:szCs w:val="20"/>
                <w:lang w:val="fr-CA"/>
              </w:rPr>
            </w:pPr>
          </w:p>
        </w:tc>
      </w:tr>
      <w:tr w:rsidR="009131FA" w:rsidRPr="001667A2" w:rsidTr="0010431F">
        <w:tc>
          <w:tcPr>
            <w:tcW w:w="5000" w:type="pct"/>
            <w:gridSpan w:val="3"/>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La demanderesse a intenté contre l’intimée une action en violation de contrat.  Les parties ne s’entendent pas la question de savoir si elles avaient conclu un contrat ni, le cas échéant, sur la question de savoir quelles en avaient été les dispositions et si l’intimé a violé le contrat ou si la demanderesse a répudié le contrat, une répudiation qui aurait été acceptée par l’intimée.  La demanderesse allègue avoir conclu avec l’intimée un contrat, partiellement oral et partiellement écrit, portant sur l’achat et l’acquisition par l’intimée de certains biens et droits d’exploration minérale détenus par la demanderesse en Indonésie.  En contrepartie, l’intimée devait émettre 1 800 000 actions à la demanderesse.  L’intimée a émis les actions et les a détenues en fiducie, en attendant la remise par la demanderesse d’un avis juridique portant sur le titre de propriété. L’intimée a annulé les actions lorsque l’avis juridique n’a pas été fourni dans le délai stipulé.  La demanderesse a introduit une action en violation de contrat sollicitant l’exécution en nature, c’est</w:t>
            </w:r>
            <w:r w:rsidRPr="001667A2">
              <w:rPr>
                <w:rFonts w:eastAsia="Calibri" w:cs="Times New Roman"/>
                <w:sz w:val="20"/>
                <w:szCs w:val="20"/>
                <w:lang w:val="fr-CA"/>
              </w:rPr>
              <w:noBreakHyphen/>
              <w:t>à</w:t>
            </w:r>
            <w:r w:rsidRPr="001667A2">
              <w:rPr>
                <w:rFonts w:eastAsia="Calibri" w:cs="Times New Roman"/>
                <w:sz w:val="20"/>
                <w:szCs w:val="20"/>
                <w:lang w:val="fr-CA"/>
              </w:rPr>
              <w:noBreakHyphen/>
              <w:t>dire la remise des actions de l’intimée.  L’intimée a fait une demande reconventionnelle pour le recouvrement des montants qu’elle avait dépensés relativement au bien.  De consentement, l’action a été traitée par procès sommaire.</w:t>
            </w:r>
          </w:p>
          <w:p w:rsidR="009131FA" w:rsidRPr="001667A2" w:rsidRDefault="009131FA" w:rsidP="0010431F">
            <w:pPr>
              <w:jc w:val="both"/>
              <w:rPr>
                <w:rFonts w:eastAsia="Calibri" w:cs="Times New Roman"/>
                <w:sz w:val="20"/>
                <w:szCs w:val="20"/>
                <w:lang w:val="fr-CA"/>
              </w:rPr>
            </w:pPr>
          </w:p>
        </w:tc>
      </w:tr>
      <w:tr w:rsidR="009131FA" w:rsidRPr="009122D4" w:rsidTr="0010431F">
        <w:tc>
          <w:tcPr>
            <w:tcW w:w="2427"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2 novembre 2009</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Cour suprême de la Colombie-Britannique</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(Juge Adair)</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2009 BCSC 1482</w:t>
            </w:r>
          </w:p>
          <w:p w:rsidR="009131FA" w:rsidRPr="001667A2" w:rsidRDefault="009131FA" w:rsidP="0010431F">
            <w:pPr>
              <w:jc w:val="both"/>
              <w:rPr>
                <w:rFonts w:eastAsia="Calibri" w:cs="Times New Roman"/>
                <w:sz w:val="20"/>
                <w:szCs w:val="20"/>
                <w:lang w:val="fr-CA"/>
              </w:rPr>
            </w:pPr>
          </w:p>
        </w:tc>
        <w:tc>
          <w:tcPr>
            <w:tcW w:w="243" w:type="pct"/>
          </w:tcPr>
          <w:p w:rsidR="009131FA" w:rsidRPr="001667A2" w:rsidRDefault="009131FA" w:rsidP="0010431F">
            <w:pPr>
              <w:jc w:val="both"/>
              <w:rPr>
                <w:rFonts w:eastAsia="Calibri" w:cs="Times New Roman"/>
                <w:sz w:val="20"/>
                <w:szCs w:val="20"/>
                <w:lang w:val="fr-CA"/>
              </w:rPr>
            </w:pPr>
          </w:p>
        </w:tc>
        <w:tc>
          <w:tcPr>
            <w:tcW w:w="2330"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Action de la demanderesse et demande reconventionnelle de l’intimée, rejetées</w:t>
            </w:r>
          </w:p>
          <w:p w:rsidR="009131FA" w:rsidRPr="001667A2" w:rsidRDefault="009131FA" w:rsidP="0010431F">
            <w:pPr>
              <w:jc w:val="both"/>
              <w:rPr>
                <w:rFonts w:eastAsia="Calibri" w:cs="Times New Roman"/>
                <w:sz w:val="20"/>
                <w:szCs w:val="20"/>
                <w:lang w:val="fr-CA"/>
              </w:rPr>
            </w:pPr>
          </w:p>
        </w:tc>
      </w:tr>
      <w:tr w:rsidR="009131FA" w:rsidRPr="001667A2" w:rsidTr="0010431F">
        <w:tc>
          <w:tcPr>
            <w:tcW w:w="2427"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24 juin 2010</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Cour d’appel de la Colombie-Britannique</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(Vancouver)</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(Juges Lowry, Tysoe et Groberman)</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2010 BCCA 318; CA037632</w:t>
            </w:r>
          </w:p>
          <w:p w:rsidR="009131FA" w:rsidRPr="001667A2" w:rsidRDefault="009131FA" w:rsidP="0010431F">
            <w:pPr>
              <w:jc w:val="both"/>
              <w:rPr>
                <w:rFonts w:eastAsia="Calibri" w:cs="Times New Roman"/>
                <w:sz w:val="20"/>
                <w:szCs w:val="20"/>
                <w:lang w:val="fr-CA"/>
              </w:rPr>
            </w:pPr>
          </w:p>
        </w:tc>
        <w:tc>
          <w:tcPr>
            <w:tcW w:w="243" w:type="pct"/>
          </w:tcPr>
          <w:p w:rsidR="009131FA" w:rsidRPr="001667A2" w:rsidRDefault="009131FA" w:rsidP="0010431F">
            <w:pPr>
              <w:jc w:val="both"/>
              <w:rPr>
                <w:rFonts w:eastAsia="Calibri" w:cs="Times New Roman"/>
                <w:sz w:val="20"/>
                <w:szCs w:val="20"/>
                <w:lang w:val="fr-CA"/>
              </w:rPr>
            </w:pPr>
          </w:p>
        </w:tc>
        <w:tc>
          <w:tcPr>
            <w:tcW w:w="2330"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Appel rejeté</w:t>
            </w:r>
          </w:p>
          <w:p w:rsidR="009131FA" w:rsidRPr="001667A2" w:rsidRDefault="009131FA" w:rsidP="0010431F">
            <w:pPr>
              <w:jc w:val="both"/>
              <w:rPr>
                <w:rFonts w:eastAsia="Calibri" w:cs="Times New Roman"/>
                <w:sz w:val="20"/>
                <w:szCs w:val="20"/>
                <w:lang w:val="fr-CA"/>
              </w:rPr>
            </w:pPr>
          </w:p>
        </w:tc>
      </w:tr>
      <w:tr w:rsidR="009131FA" w:rsidRPr="001667A2" w:rsidTr="0010431F">
        <w:tc>
          <w:tcPr>
            <w:tcW w:w="2427"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22 septembre 2010</w:t>
            </w:r>
          </w:p>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Cour suprême du Canada</w:t>
            </w:r>
          </w:p>
        </w:tc>
        <w:tc>
          <w:tcPr>
            <w:tcW w:w="243" w:type="pct"/>
          </w:tcPr>
          <w:p w:rsidR="009131FA" w:rsidRPr="001667A2" w:rsidRDefault="009131FA" w:rsidP="0010431F">
            <w:pPr>
              <w:jc w:val="both"/>
              <w:rPr>
                <w:rFonts w:eastAsia="Calibri" w:cs="Times New Roman"/>
                <w:sz w:val="20"/>
                <w:szCs w:val="20"/>
                <w:lang w:val="fr-CA"/>
              </w:rPr>
            </w:pPr>
          </w:p>
        </w:tc>
        <w:tc>
          <w:tcPr>
            <w:tcW w:w="2330" w:type="pct"/>
          </w:tcPr>
          <w:p w:rsidR="009131FA" w:rsidRPr="001667A2" w:rsidRDefault="009131FA" w:rsidP="0010431F">
            <w:pPr>
              <w:jc w:val="both"/>
              <w:rPr>
                <w:rFonts w:eastAsia="Calibri" w:cs="Times New Roman"/>
                <w:sz w:val="20"/>
                <w:szCs w:val="20"/>
                <w:lang w:val="fr-CA"/>
              </w:rPr>
            </w:pPr>
            <w:r w:rsidRPr="001667A2">
              <w:rPr>
                <w:rFonts w:eastAsia="Calibri" w:cs="Times New Roman"/>
                <w:sz w:val="20"/>
                <w:szCs w:val="20"/>
                <w:lang w:val="fr-CA"/>
              </w:rPr>
              <w:t>Demande d’autorisation d’appel, déposée</w:t>
            </w:r>
          </w:p>
          <w:p w:rsidR="009131FA" w:rsidRPr="001667A2" w:rsidRDefault="009131FA" w:rsidP="0010431F">
            <w:pPr>
              <w:jc w:val="both"/>
              <w:rPr>
                <w:rFonts w:eastAsia="Calibri" w:cs="Times New Roman"/>
                <w:sz w:val="20"/>
                <w:szCs w:val="20"/>
                <w:lang w:val="fr-CA"/>
              </w:rPr>
            </w:pPr>
          </w:p>
        </w:tc>
      </w:tr>
    </w:tbl>
    <w:p w:rsidR="00AF63D3" w:rsidRDefault="00AF63D3" w:rsidP="00AF63D3">
      <w:pPr>
        <w:rPr>
          <w:sz w:val="20"/>
          <w:szCs w:val="20"/>
        </w:rPr>
      </w:pPr>
    </w:p>
    <w:p w:rsidR="00AF63D3" w:rsidRDefault="003E529C" w:rsidP="00AF63D3">
      <w:pPr>
        <w:rPr>
          <w:sz w:val="20"/>
          <w:szCs w:val="20"/>
          <w:lang w:val="fr-CA"/>
        </w:rPr>
      </w:pPr>
      <w:r w:rsidRPr="003E529C">
        <w:rPr>
          <w:sz w:val="20"/>
          <w:szCs w:val="20"/>
          <w:lang w:val="fr-CA"/>
        </w:rPr>
        <w:pict>
          <v:rect id="_x0000_i1048" style="width:2in;height:1pt" o:hrpct="0" o:hralign="center" o:hrstd="t" o:hrnoshade="t" o:hr="t" fillcolor="black [3213]" stroked="f"/>
        </w:pict>
      </w:r>
    </w:p>
    <w:p w:rsidR="00EB3462" w:rsidRDefault="00EB3462">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B054B" w:rsidRPr="005B054B" w:rsidTr="00E022C0">
        <w:trPr>
          <w:cantSplit/>
        </w:trPr>
        <w:tc>
          <w:tcPr>
            <w:tcW w:w="1458" w:type="dxa"/>
          </w:tcPr>
          <w:p w:rsidR="005B054B" w:rsidRPr="005B054B" w:rsidRDefault="005B054B" w:rsidP="00E022C0">
            <w:pPr>
              <w:rPr>
                <w:sz w:val="20"/>
                <w:szCs w:val="20"/>
              </w:rPr>
            </w:pPr>
            <w:r w:rsidRPr="005B054B">
              <w:rPr>
                <w:rStyle w:val="SCCFileNumberChar"/>
                <w:sz w:val="20"/>
                <w:szCs w:val="20"/>
              </w:rPr>
              <w:lastRenderedPageBreak/>
              <w:t>33870</w:t>
            </w:r>
          </w:p>
          <w:p w:rsidR="005B054B" w:rsidRPr="005B054B" w:rsidRDefault="005B054B" w:rsidP="00E022C0">
            <w:pPr>
              <w:rPr>
                <w:b/>
                <w:sz w:val="20"/>
                <w:szCs w:val="20"/>
                <w:lang w:val="fr-CA"/>
              </w:rPr>
            </w:pPr>
          </w:p>
        </w:tc>
        <w:tc>
          <w:tcPr>
            <w:tcW w:w="8118" w:type="dxa"/>
          </w:tcPr>
          <w:p w:rsidR="005B054B" w:rsidRPr="005B054B" w:rsidRDefault="005B054B" w:rsidP="00E022C0">
            <w:pPr>
              <w:rPr>
                <w:sz w:val="20"/>
                <w:szCs w:val="20"/>
              </w:rPr>
            </w:pPr>
            <w:r w:rsidRPr="005B054B">
              <w:rPr>
                <w:rStyle w:val="SCCLsocChar"/>
                <w:sz w:val="20"/>
                <w:szCs w:val="20"/>
                <w:lang w:val="en-CA"/>
              </w:rPr>
              <w:t>Novopharm Limited v. Eli Lilly Canada Inc., Eli Lilly and Company, Eli Lilly and Company Limited and Eli Lilly SA</w:t>
            </w:r>
            <w:r w:rsidRPr="005B054B">
              <w:rPr>
                <w:sz w:val="20"/>
                <w:szCs w:val="20"/>
              </w:rPr>
              <w:t xml:space="preserve"> (F</w:t>
            </w:r>
            <w:r w:rsidR="00EB3462">
              <w:rPr>
                <w:sz w:val="20"/>
                <w:szCs w:val="20"/>
              </w:rPr>
              <w:t>.</w:t>
            </w:r>
            <w:r w:rsidRPr="005B054B">
              <w:rPr>
                <w:sz w:val="20"/>
                <w:szCs w:val="20"/>
              </w:rPr>
              <w:t>C</w:t>
            </w:r>
            <w:r w:rsidR="00EB3462">
              <w:rPr>
                <w:sz w:val="20"/>
                <w:szCs w:val="20"/>
              </w:rPr>
              <w:t>.</w:t>
            </w:r>
            <w:r w:rsidRPr="005B054B">
              <w:rPr>
                <w:sz w:val="20"/>
                <w:szCs w:val="20"/>
              </w:rPr>
              <w:t>) (Civil) (By Leave)</w:t>
            </w:r>
          </w:p>
          <w:p w:rsidR="005B054B" w:rsidRPr="005B054B" w:rsidRDefault="005B054B" w:rsidP="00E022C0">
            <w:pPr>
              <w:rPr>
                <w:sz w:val="20"/>
                <w:szCs w:val="20"/>
              </w:rPr>
            </w:pPr>
          </w:p>
        </w:tc>
      </w:tr>
      <w:tr w:rsidR="005B054B" w:rsidRPr="005B054B" w:rsidTr="00E022C0">
        <w:trPr>
          <w:cantSplit/>
        </w:trPr>
        <w:tc>
          <w:tcPr>
            <w:tcW w:w="1458" w:type="dxa"/>
          </w:tcPr>
          <w:p w:rsidR="005B054B" w:rsidRPr="005B054B" w:rsidRDefault="005B054B" w:rsidP="00E022C0">
            <w:pPr>
              <w:rPr>
                <w:sz w:val="20"/>
                <w:szCs w:val="20"/>
              </w:rPr>
            </w:pPr>
            <w:r w:rsidRPr="005B054B">
              <w:rPr>
                <w:sz w:val="20"/>
                <w:szCs w:val="20"/>
              </w:rPr>
              <w:t>Coram :</w:t>
            </w:r>
          </w:p>
        </w:tc>
        <w:tc>
          <w:tcPr>
            <w:tcW w:w="8118" w:type="dxa"/>
          </w:tcPr>
          <w:p w:rsidR="005B054B" w:rsidRPr="005B054B" w:rsidRDefault="005B054B" w:rsidP="00E022C0">
            <w:pPr>
              <w:rPr>
                <w:sz w:val="20"/>
                <w:szCs w:val="20"/>
              </w:rPr>
            </w:pPr>
            <w:r w:rsidRPr="005B054B">
              <w:rPr>
                <w:rStyle w:val="SCCCoramChar"/>
                <w:sz w:val="20"/>
                <w:szCs w:val="20"/>
                <w:lang w:val="en-CA"/>
              </w:rPr>
              <w:t>Binnie, Fish and Rothstein JJ.</w:t>
            </w:r>
          </w:p>
          <w:p w:rsidR="005B054B" w:rsidRPr="005B054B" w:rsidRDefault="005B054B" w:rsidP="00E022C0">
            <w:pPr>
              <w:rPr>
                <w:sz w:val="20"/>
                <w:szCs w:val="20"/>
                <w:u w:val="single"/>
              </w:rPr>
            </w:pPr>
          </w:p>
        </w:tc>
      </w:tr>
      <w:tr w:rsidR="005B054B" w:rsidRPr="009122D4" w:rsidTr="00E022C0">
        <w:trPr>
          <w:cantSplit/>
        </w:trPr>
        <w:tc>
          <w:tcPr>
            <w:tcW w:w="9576" w:type="dxa"/>
            <w:gridSpan w:val="2"/>
          </w:tcPr>
          <w:p w:rsidR="005B054B" w:rsidRPr="005B054B" w:rsidRDefault="005B054B" w:rsidP="00E022C0">
            <w:pPr>
              <w:pStyle w:val="SCCShortJudgment"/>
              <w:rPr>
                <w:szCs w:val="20"/>
              </w:rPr>
            </w:pPr>
            <w:r w:rsidRPr="005B054B">
              <w:rPr>
                <w:szCs w:val="20"/>
              </w:rPr>
              <w:t>The motions for leave to intervene by the Canadian Generic Pharmaceutical Association and the Coalition of Concerned Citizens are dismissed with costs to the respondents.  The application for leave to appeal from the judgment of the Federal Court of Appeal, Number A-454-09, 2010 FCA 197, dated July 21, 2010, is dismissed with costs.</w:t>
            </w:r>
          </w:p>
          <w:p w:rsidR="005B054B" w:rsidRPr="005B054B" w:rsidRDefault="005B054B" w:rsidP="00E022C0">
            <w:pPr>
              <w:pStyle w:val="SCCShortJudgment"/>
              <w:ind w:firstLine="0"/>
              <w:rPr>
                <w:szCs w:val="20"/>
              </w:rPr>
            </w:pPr>
          </w:p>
          <w:p w:rsidR="005B054B" w:rsidRPr="005B054B" w:rsidRDefault="005B054B" w:rsidP="005B054B">
            <w:pPr>
              <w:pStyle w:val="SCCShortJudgment"/>
              <w:rPr>
                <w:szCs w:val="20"/>
                <w:lang w:val="fr-CA"/>
              </w:rPr>
            </w:pPr>
            <w:r w:rsidRPr="005B054B">
              <w:rPr>
                <w:szCs w:val="20"/>
                <w:lang w:val="fr-CA"/>
              </w:rPr>
              <w:t>Les requêtes pour permission d’intervenir de l’Association canadienne du médicament générique et de la Coalition of Concerned Citizens sont rejetées avec dépens en faveur des intimées.  La demande d’autorisation d’appel de l’arrêt de la Cour d’appel fédérale, numéro A-454-09, 2010 CAF 197, daté du 21 juillet 2010, est rejetée avec dépens.</w:t>
            </w:r>
          </w:p>
        </w:tc>
      </w:tr>
    </w:tbl>
    <w:p w:rsidR="00AF63D3" w:rsidRPr="005B054B" w:rsidRDefault="00AF63D3" w:rsidP="008D292F">
      <w:pPr>
        <w:rPr>
          <w:sz w:val="20"/>
          <w:szCs w:val="20"/>
          <w:lang w:val="fr-CA"/>
        </w:rPr>
      </w:pPr>
    </w:p>
    <w:p w:rsidR="00AF63D3" w:rsidRDefault="00AF63D3" w:rsidP="00AF63D3">
      <w:pPr>
        <w:rPr>
          <w:sz w:val="20"/>
          <w:szCs w:val="20"/>
        </w:rPr>
      </w:pPr>
      <w:r>
        <w:rPr>
          <w:sz w:val="20"/>
          <w:szCs w:val="20"/>
          <w:u w:val="single"/>
        </w:rPr>
        <w:t>CASE SUMMARY</w:t>
      </w:r>
    </w:p>
    <w:p w:rsidR="00AF63D3" w:rsidRDefault="00AF63D3" w:rsidP="00AF63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4540E" w:rsidRPr="001667A2" w:rsidTr="0010431F">
        <w:tc>
          <w:tcPr>
            <w:tcW w:w="5000" w:type="pct"/>
            <w:gridSpan w:val="3"/>
          </w:tcPr>
          <w:p w:rsidR="0034540E" w:rsidRPr="001667A2" w:rsidRDefault="0034540E" w:rsidP="0010431F">
            <w:pPr>
              <w:jc w:val="both"/>
              <w:rPr>
                <w:rFonts w:eastAsia="Calibri"/>
                <w:sz w:val="20"/>
              </w:rPr>
            </w:pPr>
            <w:r w:rsidRPr="001667A2">
              <w:rPr>
                <w:rFonts w:eastAsia="Calibri"/>
                <w:sz w:val="20"/>
              </w:rPr>
              <w:t>Intellectual property – Patents – Medicines – Validity – Selection patent – Patentee obtaining patent for compound selected from among compounds of a previous genus patent - What is the proper analysis for determining the validity of selection patents? -What is the proper analysis for the doctrine of sound prediction of utility? - What is the proper approach in deciding questions of patent law? - What is the proper standard for the sufficiency of a trial judge’s factual analysis and reasons for judgment?</w:t>
            </w:r>
          </w:p>
          <w:p w:rsidR="0034540E" w:rsidRPr="001667A2" w:rsidRDefault="0034540E" w:rsidP="0010431F">
            <w:pPr>
              <w:jc w:val="both"/>
              <w:rPr>
                <w:rFonts w:eastAsia="Calibri"/>
                <w:sz w:val="20"/>
              </w:rPr>
            </w:pPr>
          </w:p>
        </w:tc>
      </w:tr>
      <w:tr w:rsidR="0034540E" w:rsidRPr="001667A2" w:rsidTr="0010431F">
        <w:tc>
          <w:tcPr>
            <w:tcW w:w="5000" w:type="pct"/>
            <w:gridSpan w:val="3"/>
          </w:tcPr>
          <w:p w:rsidR="0034540E" w:rsidRPr="001667A2" w:rsidRDefault="0034540E" w:rsidP="0010431F">
            <w:pPr>
              <w:jc w:val="both"/>
              <w:rPr>
                <w:rFonts w:eastAsia="Calibri"/>
                <w:sz w:val="20"/>
              </w:rPr>
            </w:pPr>
            <w:r w:rsidRPr="001667A2">
              <w:rPr>
                <w:rFonts w:eastAsia="Calibri"/>
                <w:sz w:val="20"/>
              </w:rPr>
              <w:t xml:space="preserve">The Respondents (collectively “Eli Lilly”) obtained the ‘113 patent for olanzapine, an antipsychotic drug used in the treatment of mental illness in 1998.  Olanzapine had been selected from among 15 trillion other compounds included in an earlier Eli Lilly genus patent (the ‘687 patent) based on its alleged special properties in comparison to other members of its chemical family.  Novopharm sought to market its own generic version of olanzapine and alleged that the ‘113 patent was invalid.  Following Eli Lilly’s unsuccessful prohibition proceedings under the </w:t>
            </w:r>
            <w:r w:rsidRPr="001667A2">
              <w:rPr>
                <w:rFonts w:eastAsia="Calibri"/>
                <w:i/>
                <w:sz w:val="20"/>
              </w:rPr>
              <w:t>Patented Medicines (Notice of Compliance) Regulations</w:t>
            </w:r>
            <w:r w:rsidRPr="001667A2">
              <w:rPr>
                <w:rFonts w:eastAsia="Calibri"/>
                <w:sz w:val="20"/>
              </w:rPr>
              <w:t>, SOR/98-166, Novopharm obtained a notice of compliance from the Minister of Health, allowing it to market its generic version of the drug.  Eli Lilly commenced an infringement action against Novopharm. At issue was whether the ‘113 selection patent was valid.</w:t>
            </w:r>
          </w:p>
          <w:p w:rsidR="0034540E" w:rsidRPr="001667A2" w:rsidRDefault="0034540E" w:rsidP="0010431F">
            <w:pPr>
              <w:jc w:val="both"/>
              <w:rPr>
                <w:rFonts w:eastAsia="Calibri"/>
                <w:sz w:val="20"/>
              </w:rPr>
            </w:pPr>
          </w:p>
        </w:tc>
      </w:tr>
      <w:tr w:rsidR="0034540E" w:rsidRPr="001667A2" w:rsidTr="0010431F">
        <w:tc>
          <w:tcPr>
            <w:tcW w:w="2427" w:type="pct"/>
          </w:tcPr>
          <w:p w:rsidR="0034540E" w:rsidRPr="001667A2" w:rsidRDefault="0034540E" w:rsidP="0010431F">
            <w:pPr>
              <w:jc w:val="both"/>
              <w:rPr>
                <w:rFonts w:eastAsia="Calibri"/>
                <w:sz w:val="20"/>
              </w:rPr>
            </w:pPr>
            <w:r w:rsidRPr="001667A2">
              <w:rPr>
                <w:rFonts w:eastAsia="Calibri"/>
                <w:sz w:val="20"/>
              </w:rPr>
              <w:t>October 5, 2009</w:t>
            </w:r>
          </w:p>
          <w:p w:rsidR="0034540E" w:rsidRPr="001667A2" w:rsidRDefault="0034540E" w:rsidP="0010431F">
            <w:pPr>
              <w:jc w:val="both"/>
              <w:rPr>
                <w:rFonts w:eastAsia="Calibri"/>
                <w:sz w:val="20"/>
              </w:rPr>
            </w:pPr>
            <w:r w:rsidRPr="001667A2">
              <w:rPr>
                <w:rFonts w:eastAsia="Calibri"/>
                <w:sz w:val="20"/>
              </w:rPr>
              <w:t>Federal Court</w:t>
            </w:r>
          </w:p>
          <w:p w:rsidR="0034540E" w:rsidRPr="001667A2" w:rsidRDefault="0034540E" w:rsidP="0010431F">
            <w:pPr>
              <w:jc w:val="both"/>
              <w:rPr>
                <w:rFonts w:eastAsia="Calibri"/>
                <w:sz w:val="20"/>
              </w:rPr>
            </w:pPr>
            <w:r w:rsidRPr="001667A2">
              <w:rPr>
                <w:rFonts w:eastAsia="Calibri"/>
                <w:sz w:val="20"/>
              </w:rPr>
              <w:t>(O'Reilly J.)</w:t>
            </w:r>
          </w:p>
          <w:p w:rsidR="0034540E" w:rsidRPr="001667A2" w:rsidRDefault="0034540E" w:rsidP="0010431F">
            <w:pPr>
              <w:jc w:val="both"/>
              <w:rPr>
                <w:rFonts w:eastAsia="Calibri"/>
                <w:sz w:val="20"/>
              </w:rPr>
            </w:pPr>
            <w:r w:rsidRPr="001667A2">
              <w:rPr>
                <w:rFonts w:eastAsia="Calibri"/>
                <w:sz w:val="20"/>
              </w:rPr>
              <w:t>2009 FC 1018</w:t>
            </w:r>
          </w:p>
          <w:p w:rsidR="0034540E" w:rsidRPr="001667A2" w:rsidRDefault="0034540E" w:rsidP="0010431F">
            <w:pPr>
              <w:jc w:val="both"/>
              <w:rPr>
                <w:rFonts w:eastAsia="Calibri"/>
                <w:sz w:val="20"/>
              </w:rPr>
            </w:pPr>
          </w:p>
        </w:tc>
        <w:tc>
          <w:tcPr>
            <w:tcW w:w="243" w:type="pct"/>
          </w:tcPr>
          <w:p w:rsidR="0034540E" w:rsidRPr="001667A2" w:rsidRDefault="0034540E" w:rsidP="0010431F">
            <w:pPr>
              <w:jc w:val="both"/>
              <w:rPr>
                <w:rFonts w:eastAsia="Calibri"/>
                <w:sz w:val="20"/>
              </w:rPr>
            </w:pPr>
          </w:p>
        </w:tc>
        <w:tc>
          <w:tcPr>
            <w:tcW w:w="2330" w:type="pct"/>
          </w:tcPr>
          <w:p w:rsidR="0034540E" w:rsidRPr="001667A2" w:rsidRDefault="0034540E" w:rsidP="0010431F">
            <w:pPr>
              <w:jc w:val="both"/>
              <w:rPr>
                <w:rFonts w:eastAsia="Calibri"/>
                <w:sz w:val="20"/>
              </w:rPr>
            </w:pPr>
            <w:r w:rsidRPr="001667A2">
              <w:rPr>
                <w:rFonts w:eastAsia="Calibri"/>
                <w:sz w:val="20"/>
              </w:rPr>
              <w:t>Respondents’ ‘113 patent declared invalid</w:t>
            </w:r>
          </w:p>
          <w:p w:rsidR="0034540E" w:rsidRPr="001667A2" w:rsidRDefault="0034540E" w:rsidP="0010431F">
            <w:pPr>
              <w:jc w:val="both"/>
              <w:rPr>
                <w:rFonts w:eastAsia="Calibri"/>
                <w:sz w:val="20"/>
              </w:rPr>
            </w:pPr>
          </w:p>
        </w:tc>
      </w:tr>
      <w:tr w:rsidR="0034540E" w:rsidRPr="001667A2" w:rsidTr="0010431F">
        <w:tc>
          <w:tcPr>
            <w:tcW w:w="2427" w:type="pct"/>
          </w:tcPr>
          <w:p w:rsidR="0034540E" w:rsidRPr="001667A2" w:rsidRDefault="0034540E" w:rsidP="0010431F">
            <w:pPr>
              <w:jc w:val="both"/>
              <w:rPr>
                <w:rFonts w:eastAsia="Calibri"/>
                <w:sz w:val="20"/>
              </w:rPr>
            </w:pPr>
            <w:r w:rsidRPr="001667A2">
              <w:rPr>
                <w:rFonts w:eastAsia="Calibri"/>
                <w:sz w:val="20"/>
              </w:rPr>
              <w:t>July 21, 2010</w:t>
            </w:r>
          </w:p>
          <w:p w:rsidR="0034540E" w:rsidRPr="001667A2" w:rsidRDefault="0034540E" w:rsidP="0010431F">
            <w:pPr>
              <w:jc w:val="both"/>
              <w:rPr>
                <w:rFonts w:eastAsia="Calibri"/>
                <w:sz w:val="20"/>
              </w:rPr>
            </w:pPr>
            <w:r w:rsidRPr="001667A2">
              <w:rPr>
                <w:rFonts w:eastAsia="Calibri"/>
                <w:sz w:val="20"/>
              </w:rPr>
              <w:t>Federal Court of Appeal</w:t>
            </w:r>
          </w:p>
          <w:p w:rsidR="0034540E" w:rsidRPr="001667A2" w:rsidRDefault="0034540E" w:rsidP="0010431F">
            <w:pPr>
              <w:jc w:val="both"/>
              <w:rPr>
                <w:rFonts w:eastAsia="Calibri"/>
                <w:sz w:val="20"/>
              </w:rPr>
            </w:pPr>
            <w:r w:rsidRPr="001667A2">
              <w:rPr>
                <w:rFonts w:eastAsia="Calibri"/>
                <w:sz w:val="20"/>
              </w:rPr>
              <w:t>(Nadon, Sharlow and Layden-Stevenson JJ.A.)</w:t>
            </w:r>
          </w:p>
          <w:p w:rsidR="0034540E" w:rsidRPr="001667A2" w:rsidRDefault="0034540E" w:rsidP="0010431F">
            <w:pPr>
              <w:jc w:val="both"/>
              <w:rPr>
                <w:rFonts w:eastAsia="Calibri"/>
                <w:sz w:val="20"/>
              </w:rPr>
            </w:pPr>
            <w:r w:rsidRPr="001667A2">
              <w:rPr>
                <w:rFonts w:eastAsia="Calibri"/>
                <w:sz w:val="20"/>
              </w:rPr>
              <w:t>2010 FCA 197</w:t>
            </w:r>
          </w:p>
          <w:p w:rsidR="0034540E" w:rsidRPr="001667A2" w:rsidRDefault="0034540E" w:rsidP="0010431F">
            <w:pPr>
              <w:jc w:val="both"/>
              <w:rPr>
                <w:rFonts w:eastAsia="Calibri"/>
                <w:sz w:val="20"/>
              </w:rPr>
            </w:pPr>
          </w:p>
        </w:tc>
        <w:tc>
          <w:tcPr>
            <w:tcW w:w="243" w:type="pct"/>
          </w:tcPr>
          <w:p w:rsidR="0034540E" w:rsidRPr="001667A2" w:rsidRDefault="0034540E" w:rsidP="0010431F">
            <w:pPr>
              <w:jc w:val="both"/>
              <w:rPr>
                <w:rFonts w:eastAsia="Calibri"/>
                <w:sz w:val="20"/>
              </w:rPr>
            </w:pPr>
          </w:p>
        </w:tc>
        <w:tc>
          <w:tcPr>
            <w:tcW w:w="2330" w:type="pct"/>
          </w:tcPr>
          <w:p w:rsidR="0034540E" w:rsidRPr="001667A2" w:rsidRDefault="0034540E" w:rsidP="0010431F">
            <w:pPr>
              <w:jc w:val="both"/>
              <w:rPr>
                <w:rFonts w:eastAsia="Calibri"/>
                <w:sz w:val="20"/>
              </w:rPr>
            </w:pPr>
            <w:r w:rsidRPr="001667A2">
              <w:rPr>
                <w:rFonts w:eastAsia="Calibri"/>
                <w:sz w:val="20"/>
              </w:rPr>
              <w:t xml:space="preserve">Appeal allowed; issues of utility and sufficiency sent back to Federal Court </w:t>
            </w:r>
          </w:p>
          <w:p w:rsidR="0034540E" w:rsidRPr="001667A2" w:rsidRDefault="0034540E" w:rsidP="0010431F">
            <w:pPr>
              <w:jc w:val="both"/>
              <w:rPr>
                <w:rFonts w:eastAsia="Calibri"/>
                <w:sz w:val="20"/>
              </w:rPr>
            </w:pPr>
          </w:p>
        </w:tc>
      </w:tr>
      <w:tr w:rsidR="0034540E" w:rsidRPr="001667A2" w:rsidTr="0010431F">
        <w:tc>
          <w:tcPr>
            <w:tcW w:w="2427" w:type="pct"/>
          </w:tcPr>
          <w:p w:rsidR="0034540E" w:rsidRPr="001667A2" w:rsidRDefault="0034540E" w:rsidP="0034540E">
            <w:pPr>
              <w:jc w:val="both"/>
              <w:rPr>
                <w:rFonts w:eastAsia="Calibri"/>
                <w:sz w:val="20"/>
              </w:rPr>
            </w:pPr>
            <w:r w:rsidRPr="001667A2">
              <w:rPr>
                <w:rFonts w:eastAsia="Calibri"/>
                <w:sz w:val="20"/>
              </w:rPr>
              <w:t>September 28, 2010</w:t>
            </w:r>
          </w:p>
          <w:p w:rsidR="0034540E" w:rsidRDefault="0034540E" w:rsidP="0034540E">
            <w:pPr>
              <w:jc w:val="both"/>
              <w:rPr>
                <w:rFonts w:eastAsia="Calibri"/>
                <w:sz w:val="20"/>
              </w:rPr>
            </w:pPr>
            <w:r w:rsidRPr="001667A2">
              <w:rPr>
                <w:rFonts w:eastAsia="Calibri"/>
                <w:sz w:val="20"/>
              </w:rPr>
              <w:t>Supreme Court of Canada</w:t>
            </w:r>
          </w:p>
          <w:p w:rsidR="0034540E" w:rsidRPr="001667A2" w:rsidRDefault="0034540E" w:rsidP="0034540E">
            <w:pPr>
              <w:jc w:val="both"/>
              <w:rPr>
                <w:rFonts w:eastAsia="Calibri"/>
                <w:sz w:val="20"/>
              </w:rPr>
            </w:pPr>
          </w:p>
          <w:p w:rsidR="0034540E" w:rsidRPr="001667A2" w:rsidRDefault="0034540E" w:rsidP="0010431F">
            <w:pPr>
              <w:jc w:val="both"/>
              <w:rPr>
                <w:rFonts w:eastAsia="Calibri"/>
                <w:sz w:val="20"/>
              </w:rPr>
            </w:pPr>
          </w:p>
        </w:tc>
        <w:tc>
          <w:tcPr>
            <w:tcW w:w="243" w:type="pct"/>
          </w:tcPr>
          <w:p w:rsidR="0034540E" w:rsidRPr="001667A2" w:rsidRDefault="0034540E" w:rsidP="0010431F">
            <w:pPr>
              <w:jc w:val="both"/>
              <w:rPr>
                <w:rFonts w:eastAsia="Calibri"/>
                <w:sz w:val="20"/>
              </w:rPr>
            </w:pPr>
          </w:p>
        </w:tc>
        <w:tc>
          <w:tcPr>
            <w:tcW w:w="2330" w:type="pct"/>
          </w:tcPr>
          <w:p w:rsidR="0034540E" w:rsidRPr="001667A2" w:rsidRDefault="0034540E" w:rsidP="0034540E">
            <w:pPr>
              <w:jc w:val="both"/>
              <w:rPr>
                <w:rFonts w:eastAsia="Calibri"/>
                <w:sz w:val="20"/>
              </w:rPr>
            </w:pPr>
            <w:r w:rsidRPr="001667A2">
              <w:rPr>
                <w:rFonts w:eastAsia="Calibri"/>
                <w:sz w:val="20"/>
              </w:rPr>
              <w:t>Application for leave to appeal filed</w:t>
            </w:r>
          </w:p>
          <w:p w:rsidR="0034540E" w:rsidRPr="001667A2" w:rsidRDefault="0034540E" w:rsidP="0010431F">
            <w:pPr>
              <w:jc w:val="both"/>
              <w:rPr>
                <w:rFonts w:eastAsia="Calibri"/>
                <w:sz w:val="20"/>
              </w:rPr>
            </w:pPr>
          </w:p>
        </w:tc>
      </w:tr>
    </w:tbl>
    <w:p w:rsidR="00EB3462" w:rsidRDefault="00EB3462"/>
    <w:p w:rsidR="00EB3462" w:rsidRDefault="00EB3462">
      <w:r>
        <w:br w:type="page"/>
      </w:r>
    </w:p>
    <w:tbl>
      <w:tblPr>
        <w:tblW w:w="4952" w:type="pct"/>
        <w:tblLayout w:type="fixed"/>
        <w:tblCellMar>
          <w:left w:w="0" w:type="dxa"/>
          <w:bottom w:w="99" w:type="dxa"/>
          <w:right w:w="0" w:type="dxa"/>
        </w:tblCellMar>
        <w:tblLook w:val="04A0"/>
      </w:tblPr>
      <w:tblGrid>
        <w:gridCol w:w="4624"/>
        <w:gridCol w:w="463"/>
        <w:gridCol w:w="4440"/>
      </w:tblGrid>
      <w:tr w:rsidR="0034540E" w:rsidRPr="001667A2" w:rsidTr="00EB3462">
        <w:trPr>
          <w:cantSplit/>
        </w:trPr>
        <w:tc>
          <w:tcPr>
            <w:tcW w:w="2427" w:type="pct"/>
          </w:tcPr>
          <w:p w:rsidR="0034540E" w:rsidRPr="001667A2" w:rsidRDefault="0034540E" w:rsidP="0010431F">
            <w:pPr>
              <w:jc w:val="both"/>
              <w:rPr>
                <w:rFonts w:eastAsia="Calibri"/>
                <w:sz w:val="20"/>
              </w:rPr>
            </w:pPr>
            <w:r w:rsidRPr="001667A2">
              <w:rPr>
                <w:rFonts w:eastAsia="Calibri"/>
                <w:sz w:val="20"/>
              </w:rPr>
              <w:lastRenderedPageBreak/>
              <w:t>October 28, 2010</w:t>
            </w:r>
          </w:p>
          <w:p w:rsidR="0034540E" w:rsidRPr="001667A2" w:rsidRDefault="0034540E" w:rsidP="0010431F">
            <w:pPr>
              <w:jc w:val="both"/>
              <w:rPr>
                <w:rFonts w:eastAsia="Calibri"/>
                <w:sz w:val="20"/>
              </w:rPr>
            </w:pPr>
            <w:r w:rsidRPr="001667A2">
              <w:rPr>
                <w:rFonts w:eastAsia="Calibri"/>
                <w:sz w:val="20"/>
              </w:rPr>
              <w:t>Supreme Court of Canada</w:t>
            </w:r>
          </w:p>
        </w:tc>
        <w:tc>
          <w:tcPr>
            <w:tcW w:w="243" w:type="pct"/>
          </w:tcPr>
          <w:p w:rsidR="0034540E" w:rsidRPr="001667A2" w:rsidRDefault="0034540E" w:rsidP="0010431F">
            <w:pPr>
              <w:jc w:val="both"/>
              <w:rPr>
                <w:rFonts w:eastAsia="Calibri"/>
                <w:sz w:val="20"/>
              </w:rPr>
            </w:pPr>
          </w:p>
        </w:tc>
        <w:tc>
          <w:tcPr>
            <w:tcW w:w="2330" w:type="pct"/>
          </w:tcPr>
          <w:p w:rsidR="0034540E" w:rsidRPr="001667A2" w:rsidRDefault="0034540E" w:rsidP="0010431F">
            <w:pPr>
              <w:jc w:val="both"/>
              <w:rPr>
                <w:rFonts w:eastAsia="Calibri"/>
                <w:sz w:val="20"/>
              </w:rPr>
            </w:pPr>
            <w:r w:rsidRPr="001667A2">
              <w:rPr>
                <w:rFonts w:eastAsia="Calibri"/>
                <w:sz w:val="20"/>
              </w:rPr>
              <w:t>Motions for leave to intervene filed by Canadian Generic Pharmaceutical Association and Coalition of Concerned Citizens</w:t>
            </w:r>
          </w:p>
        </w:tc>
      </w:tr>
    </w:tbl>
    <w:p w:rsidR="00AF63D3" w:rsidRPr="00BA161A" w:rsidRDefault="00AF63D3" w:rsidP="00AF63D3">
      <w:pPr>
        <w:rPr>
          <w:sz w:val="20"/>
          <w:szCs w:val="20"/>
        </w:rPr>
      </w:pPr>
    </w:p>
    <w:p w:rsidR="00AF63D3" w:rsidRDefault="003E529C" w:rsidP="00AF63D3">
      <w:pPr>
        <w:rPr>
          <w:sz w:val="20"/>
          <w:szCs w:val="20"/>
          <w:lang w:val="fr-CA"/>
        </w:rPr>
      </w:pPr>
      <w:r w:rsidRPr="003E529C">
        <w:rPr>
          <w:sz w:val="20"/>
          <w:szCs w:val="20"/>
          <w:lang w:val="fr-CA"/>
        </w:rPr>
        <w:pict>
          <v:rect id="_x0000_i1049" style="width:2in;height:1pt" o:hrpct="0" o:hralign="center" o:hrstd="t" o:hrnoshade="t" o:hr="t" fillcolor="black [3213]" stroked="f"/>
        </w:pict>
      </w:r>
    </w:p>
    <w:p w:rsidR="00AF63D3" w:rsidRPr="00BA161A" w:rsidRDefault="00AF63D3" w:rsidP="00AF63D3">
      <w:pPr>
        <w:rPr>
          <w:sz w:val="20"/>
          <w:szCs w:val="20"/>
        </w:rPr>
      </w:pPr>
    </w:p>
    <w:p w:rsidR="00AF63D3" w:rsidRPr="00BA161A" w:rsidRDefault="00AF63D3" w:rsidP="00AF63D3">
      <w:pPr>
        <w:rPr>
          <w:sz w:val="20"/>
          <w:szCs w:val="20"/>
        </w:rPr>
      </w:pPr>
      <w:r>
        <w:rPr>
          <w:sz w:val="20"/>
          <w:szCs w:val="20"/>
          <w:u w:val="single"/>
        </w:rPr>
        <w:t>RÉSUMÉ DE L’AFFAIRE</w:t>
      </w:r>
    </w:p>
    <w:p w:rsidR="00AF63D3" w:rsidRPr="00BA161A" w:rsidRDefault="00AF63D3" w:rsidP="00AF63D3">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34540E" w:rsidRPr="009122D4" w:rsidTr="0010431F">
        <w:tc>
          <w:tcPr>
            <w:tcW w:w="5000" w:type="pct"/>
            <w:gridSpan w:val="3"/>
          </w:tcPr>
          <w:p w:rsidR="0034540E" w:rsidRPr="001667A2" w:rsidRDefault="0034540E" w:rsidP="0010431F">
            <w:pPr>
              <w:jc w:val="both"/>
              <w:rPr>
                <w:rFonts w:eastAsia="Calibri"/>
                <w:sz w:val="20"/>
                <w:lang w:val="fr-CA"/>
              </w:rPr>
            </w:pPr>
            <w:r w:rsidRPr="001667A2">
              <w:rPr>
                <w:rFonts w:eastAsia="Calibri"/>
                <w:sz w:val="20"/>
                <w:lang w:val="fr-CA"/>
              </w:rPr>
              <w:t>Propriété intellectuelle – Brevets – Médicaments – Validité – Brevet de sélection – Le breveté a obtenu un brevet portant sur un composé choisi parmi les composés d’un brevet de genre antérieur – Quelle analyse convient-il de faire pour déterminer la validité de brevets de sélection? – Quelle analyse convient-il de faire relativement à la règle de la prédiction valable de l’utilité? – Quelle méthode convient-il d’appliquer pour trancher des questions portant sur le droit des brevets? – Quelle norme convient-il d’appliquer relativement à la suffisance de l’analyse des faits et des motifs du jugement du juge de première instance?</w:t>
            </w:r>
          </w:p>
          <w:p w:rsidR="0034540E" w:rsidRPr="001667A2" w:rsidRDefault="0034540E" w:rsidP="0010431F">
            <w:pPr>
              <w:jc w:val="both"/>
              <w:rPr>
                <w:rFonts w:eastAsia="Calibri"/>
                <w:sz w:val="20"/>
                <w:lang w:val="fr-CA"/>
              </w:rPr>
            </w:pPr>
          </w:p>
        </w:tc>
      </w:tr>
      <w:tr w:rsidR="0034540E" w:rsidRPr="009122D4" w:rsidTr="0010431F">
        <w:tc>
          <w:tcPr>
            <w:tcW w:w="5000" w:type="pct"/>
            <w:gridSpan w:val="3"/>
          </w:tcPr>
          <w:p w:rsidR="0034540E" w:rsidRPr="001667A2" w:rsidRDefault="0034540E" w:rsidP="0010431F">
            <w:pPr>
              <w:jc w:val="both"/>
              <w:rPr>
                <w:rFonts w:eastAsia="Calibri"/>
                <w:sz w:val="20"/>
                <w:lang w:val="fr-CA"/>
              </w:rPr>
            </w:pPr>
            <w:r w:rsidRPr="001667A2">
              <w:rPr>
                <w:rFonts w:eastAsia="Calibri"/>
                <w:sz w:val="20"/>
                <w:lang w:val="fr-CA"/>
              </w:rPr>
              <w:t xml:space="preserve">Les intimées (collectivement « Eli Lilly ») ont obtenu le brevet 113 pour l’olanzapine, un médicament antipsychotique utilisé dans le traitement de la maladie mentale en 1998.  L’olanzapine avait été choisi parmi 15 billions d’autres composés compris dans un brevet de genre antérieur d’Eli Lilly (le brevet 687) sur le fondement de ses prétendues propriétés spéciales par rapport aux autres membres de sa famille chimique. Novopharm a voulu commercialiser sa propre version générique de l’olanzapine et a allégué que le brevet 113 était invalide. Après qu’Eli Lilly a été déboutée dans son instance d’interdiction introduite sous le régime du </w:t>
            </w:r>
            <w:r w:rsidRPr="001667A2">
              <w:rPr>
                <w:rFonts w:eastAsia="Calibri"/>
                <w:i/>
                <w:iCs/>
                <w:sz w:val="20"/>
                <w:lang w:val="fr-CA"/>
              </w:rPr>
              <w:t>Règlement sur les médicaments brevetés (avis de conformité)</w:t>
            </w:r>
            <w:r w:rsidRPr="001667A2">
              <w:rPr>
                <w:rFonts w:eastAsia="Calibri"/>
                <w:sz w:val="20"/>
                <w:lang w:val="fr-CA"/>
              </w:rPr>
              <w:t>, DORS/98-166, Novopharm a obtenu un avis de conformité du ministre la Santé, l’autorisant à commercialiser sa version générique du médicament. Eli Lilly a intenté une action en contrefaçon contre Novopharm. La question en litige portait sur la validité du brevet de sélection 113.</w:t>
            </w:r>
          </w:p>
          <w:p w:rsidR="0034540E" w:rsidRPr="001667A2" w:rsidRDefault="0034540E" w:rsidP="0010431F">
            <w:pPr>
              <w:jc w:val="both"/>
              <w:rPr>
                <w:rFonts w:eastAsia="Calibri"/>
                <w:sz w:val="20"/>
                <w:lang w:val="fr-CA"/>
              </w:rPr>
            </w:pPr>
          </w:p>
        </w:tc>
      </w:tr>
      <w:tr w:rsidR="0034540E" w:rsidRPr="009122D4" w:rsidTr="0010431F">
        <w:tc>
          <w:tcPr>
            <w:tcW w:w="2427" w:type="pct"/>
          </w:tcPr>
          <w:p w:rsidR="0034540E" w:rsidRPr="001667A2" w:rsidRDefault="0034540E" w:rsidP="0010431F">
            <w:pPr>
              <w:jc w:val="both"/>
              <w:rPr>
                <w:rFonts w:eastAsia="Calibri"/>
                <w:sz w:val="20"/>
                <w:lang w:val="fr-CA"/>
              </w:rPr>
            </w:pPr>
            <w:r w:rsidRPr="001667A2">
              <w:rPr>
                <w:rFonts w:eastAsia="Calibri"/>
                <w:sz w:val="20"/>
                <w:lang w:val="fr-CA"/>
              </w:rPr>
              <w:t>5 octobre 2009</w:t>
            </w:r>
          </w:p>
          <w:p w:rsidR="0034540E" w:rsidRPr="001667A2" w:rsidRDefault="0034540E" w:rsidP="0010431F">
            <w:pPr>
              <w:jc w:val="both"/>
              <w:rPr>
                <w:rFonts w:eastAsia="Calibri"/>
                <w:sz w:val="20"/>
                <w:lang w:val="fr-CA"/>
              </w:rPr>
            </w:pPr>
            <w:r w:rsidRPr="001667A2">
              <w:rPr>
                <w:rFonts w:eastAsia="Calibri"/>
                <w:sz w:val="20"/>
                <w:lang w:val="fr-CA"/>
              </w:rPr>
              <w:t>Cour fédérale</w:t>
            </w:r>
          </w:p>
          <w:p w:rsidR="0034540E" w:rsidRPr="001667A2" w:rsidRDefault="0034540E" w:rsidP="0010431F">
            <w:pPr>
              <w:jc w:val="both"/>
              <w:rPr>
                <w:rFonts w:eastAsia="Calibri"/>
                <w:sz w:val="20"/>
                <w:lang w:val="fr-CA"/>
              </w:rPr>
            </w:pPr>
            <w:r w:rsidRPr="001667A2">
              <w:rPr>
                <w:rFonts w:eastAsia="Calibri"/>
                <w:sz w:val="20"/>
                <w:lang w:val="fr-CA"/>
              </w:rPr>
              <w:t>(Juge O'Reilly)</w:t>
            </w:r>
          </w:p>
          <w:p w:rsidR="0034540E" w:rsidRPr="001667A2" w:rsidRDefault="0034540E" w:rsidP="0010431F">
            <w:pPr>
              <w:jc w:val="both"/>
              <w:rPr>
                <w:rFonts w:eastAsia="Calibri"/>
                <w:sz w:val="20"/>
                <w:lang w:val="fr-CA"/>
              </w:rPr>
            </w:pPr>
            <w:r w:rsidRPr="001667A2">
              <w:rPr>
                <w:rFonts w:eastAsia="Calibri"/>
                <w:sz w:val="20"/>
                <w:lang w:val="fr-CA"/>
              </w:rPr>
              <w:t>2009 CF 1018</w:t>
            </w:r>
          </w:p>
          <w:p w:rsidR="0034540E" w:rsidRPr="001667A2" w:rsidRDefault="0034540E" w:rsidP="0010431F">
            <w:pPr>
              <w:jc w:val="both"/>
              <w:rPr>
                <w:rFonts w:eastAsia="Calibri"/>
                <w:sz w:val="20"/>
                <w:lang w:val="fr-CA"/>
              </w:rPr>
            </w:pPr>
          </w:p>
        </w:tc>
        <w:tc>
          <w:tcPr>
            <w:tcW w:w="243" w:type="pct"/>
          </w:tcPr>
          <w:p w:rsidR="0034540E" w:rsidRPr="001667A2" w:rsidRDefault="0034540E" w:rsidP="0010431F">
            <w:pPr>
              <w:jc w:val="both"/>
              <w:rPr>
                <w:rFonts w:eastAsia="Calibri"/>
                <w:sz w:val="20"/>
                <w:lang w:val="fr-CA"/>
              </w:rPr>
            </w:pPr>
          </w:p>
        </w:tc>
        <w:tc>
          <w:tcPr>
            <w:tcW w:w="2330" w:type="pct"/>
          </w:tcPr>
          <w:p w:rsidR="0034540E" w:rsidRPr="001667A2" w:rsidRDefault="0034540E" w:rsidP="0010431F">
            <w:pPr>
              <w:jc w:val="both"/>
              <w:rPr>
                <w:rFonts w:eastAsia="Calibri"/>
                <w:sz w:val="20"/>
                <w:lang w:val="fr-CA"/>
              </w:rPr>
            </w:pPr>
            <w:r w:rsidRPr="001667A2">
              <w:rPr>
                <w:rFonts w:eastAsia="Calibri"/>
                <w:sz w:val="20"/>
                <w:lang w:val="fr-CA"/>
              </w:rPr>
              <w:t>Le brevet 113 des intimées est déclaré invalide</w:t>
            </w:r>
          </w:p>
          <w:p w:rsidR="0034540E" w:rsidRPr="001667A2" w:rsidRDefault="0034540E" w:rsidP="0010431F">
            <w:pPr>
              <w:jc w:val="both"/>
              <w:rPr>
                <w:rFonts w:eastAsia="Calibri"/>
                <w:sz w:val="20"/>
                <w:lang w:val="fr-CA"/>
              </w:rPr>
            </w:pPr>
          </w:p>
        </w:tc>
      </w:tr>
      <w:tr w:rsidR="0034540E" w:rsidRPr="009122D4" w:rsidTr="0010431F">
        <w:tc>
          <w:tcPr>
            <w:tcW w:w="2427" w:type="pct"/>
          </w:tcPr>
          <w:p w:rsidR="0034540E" w:rsidRPr="001667A2" w:rsidRDefault="0034540E" w:rsidP="0010431F">
            <w:pPr>
              <w:jc w:val="both"/>
              <w:rPr>
                <w:rFonts w:eastAsia="Calibri"/>
                <w:sz w:val="20"/>
                <w:lang w:val="fr-CA"/>
              </w:rPr>
            </w:pPr>
            <w:r w:rsidRPr="001667A2">
              <w:rPr>
                <w:rFonts w:eastAsia="Calibri"/>
                <w:sz w:val="20"/>
                <w:lang w:val="fr-CA"/>
              </w:rPr>
              <w:t>21 juillet 2010</w:t>
            </w:r>
          </w:p>
          <w:p w:rsidR="0034540E" w:rsidRPr="001667A2" w:rsidRDefault="0034540E" w:rsidP="0010431F">
            <w:pPr>
              <w:jc w:val="both"/>
              <w:rPr>
                <w:rFonts w:eastAsia="Calibri"/>
                <w:sz w:val="20"/>
                <w:lang w:val="fr-CA"/>
              </w:rPr>
            </w:pPr>
            <w:r w:rsidRPr="001667A2">
              <w:rPr>
                <w:rFonts w:eastAsia="Calibri"/>
                <w:sz w:val="20"/>
                <w:lang w:val="fr-CA"/>
              </w:rPr>
              <w:t>Cour d’appel fédérale</w:t>
            </w:r>
          </w:p>
          <w:p w:rsidR="0034540E" w:rsidRPr="001667A2" w:rsidRDefault="0034540E" w:rsidP="0010431F">
            <w:pPr>
              <w:jc w:val="both"/>
              <w:rPr>
                <w:rFonts w:eastAsia="Calibri"/>
                <w:sz w:val="20"/>
                <w:lang w:val="fr-CA"/>
              </w:rPr>
            </w:pPr>
            <w:r w:rsidRPr="001667A2">
              <w:rPr>
                <w:rFonts w:eastAsia="Calibri"/>
                <w:sz w:val="20"/>
                <w:lang w:val="fr-CA"/>
              </w:rPr>
              <w:t>(Juges Nadon, Sharlow et Layden-Stevenson)</w:t>
            </w:r>
          </w:p>
          <w:p w:rsidR="0034540E" w:rsidRPr="001667A2" w:rsidRDefault="0034540E" w:rsidP="0010431F">
            <w:pPr>
              <w:jc w:val="both"/>
              <w:rPr>
                <w:rFonts w:eastAsia="Calibri"/>
                <w:sz w:val="20"/>
                <w:lang w:val="fr-CA"/>
              </w:rPr>
            </w:pPr>
            <w:r w:rsidRPr="001667A2">
              <w:rPr>
                <w:rFonts w:eastAsia="Calibri"/>
                <w:sz w:val="20"/>
                <w:lang w:val="fr-CA"/>
              </w:rPr>
              <w:t>2010 CAF 197</w:t>
            </w:r>
          </w:p>
          <w:p w:rsidR="0034540E" w:rsidRPr="001667A2" w:rsidRDefault="0034540E" w:rsidP="0010431F">
            <w:pPr>
              <w:jc w:val="both"/>
              <w:rPr>
                <w:rFonts w:eastAsia="Calibri"/>
                <w:sz w:val="20"/>
                <w:lang w:val="fr-CA"/>
              </w:rPr>
            </w:pPr>
          </w:p>
        </w:tc>
        <w:tc>
          <w:tcPr>
            <w:tcW w:w="243" w:type="pct"/>
          </w:tcPr>
          <w:p w:rsidR="0034540E" w:rsidRPr="001667A2" w:rsidRDefault="0034540E" w:rsidP="0010431F">
            <w:pPr>
              <w:jc w:val="both"/>
              <w:rPr>
                <w:rFonts w:eastAsia="Calibri"/>
                <w:sz w:val="20"/>
                <w:lang w:val="fr-CA"/>
              </w:rPr>
            </w:pPr>
          </w:p>
        </w:tc>
        <w:tc>
          <w:tcPr>
            <w:tcW w:w="2330" w:type="pct"/>
          </w:tcPr>
          <w:p w:rsidR="0034540E" w:rsidRPr="001667A2" w:rsidRDefault="0034540E" w:rsidP="0010431F">
            <w:pPr>
              <w:jc w:val="both"/>
              <w:rPr>
                <w:rFonts w:eastAsia="Calibri"/>
                <w:sz w:val="20"/>
                <w:lang w:val="fr-CA"/>
              </w:rPr>
            </w:pPr>
            <w:r w:rsidRPr="001667A2">
              <w:rPr>
                <w:rFonts w:eastAsia="Calibri"/>
                <w:sz w:val="20"/>
                <w:lang w:val="fr-CA"/>
              </w:rPr>
              <w:t xml:space="preserve">Appel accueilli; les questions d’utilité et de suffisance sont renvoyées à la Cour fédérale </w:t>
            </w:r>
          </w:p>
          <w:p w:rsidR="0034540E" w:rsidRPr="001667A2" w:rsidRDefault="0034540E" w:rsidP="0010431F">
            <w:pPr>
              <w:jc w:val="both"/>
              <w:rPr>
                <w:rFonts w:eastAsia="Calibri"/>
                <w:sz w:val="20"/>
                <w:lang w:val="fr-CA"/>
              </w:rPr>
            </w:pPr>
          </w:p>
        </w:tc>
      </w:tr>
      <w:tr w:rsidR="0034540E" w:rsidRPr="001667A2" w:rsidTr="0010431F">
        <w:tc>
          <w:tcPr>
            <w:tcW w:w="2427" w:type="pct"/>
          </w:tcPr>
          <w:p w:rsidR="0034540E" w:rsidRPr="001667A2" w:rsidRDefault="0034540E" w:rsidP="0034540E">
            <w:pPr>
              <w:jc w:val="both"/>
              <w:rPr>
                <w:rFonts w:eastAsia="Calibri"/>
                <w:sz w:val="20"/>
                <w:lang w:val="fr-CA"/>
              </w:rPr>
            </w:pPr>
            <w:r w:rsidRPr="001667A2">
              <w:rPr>
                <w:rFonts w:eastAsia="Calibri"/>
                <w:sz w:val="20"/>
                <w:lang w:val="fr-CA"/>
              </w:rPr>
              <w:t>28 septembre 2010</w:t>
            </w:r>
          </w:p>
          <w:p w:rsidR="0034540E" w:rsidRDefault="0034540E" w:rsidP="0034540E">
            <w:pPr>
              <w:jc w:val="both"/>
              <w:rPr>
                <w:rFonts w:eastAsia="Calibri"/>
                <w:sz w:val="20"/>
                <w:lang w:val="fr-CA"/>
              </w:rPr>
            </w:pPr>
            <w:r w:rsidRPr="001667A2">
              <w:rPr>
                <w:rFonts w:eastAsia="Calibri"/>
                <w:sz w:val="20"/>
                <w:lang w:val="fr-CA"/>
              </w:rPr>
              <w:t>Cour suprême du Canada</w:t>
            </w:r>
          </w:p>
          <w:p w:rsidR="0034540E" w:rsidRPr="001667A2" w:rsidRDefault="0034540E" w:rsidP="0034540E">
            <w:pPr>
              <w:jc w:val="both"/>
              <w:rPr>
                <w:rFonts w:eastAsia="Calibri"/>
                <w:sz w:val="20"/>
                <w:lang w:val="fr-CA"/>
              </w:rPr>
            </w:pPr>
          </w:p>
        </w:tc>
        <w:tc>
          <w:tcPr>
            <w:tcW w:w="243" w:type="pct"/>
          </w:tcPr>
          <w:p w:rsidR="0034540E" w:rsidRPr="001667A2" w:rsidRDefault="0034540E" w:rsidP="0010431F">
            <w:pPr>
              <w:jc w:val="both"/>
              <w:rPr>
                <w:rFonts w:eastAsia="Calibri"/>
                <w:sz w:val="20"/>
                <w:lang w:val="fr-CA"/>
              </w:rPr>
            </w:pPr>
          </w:p>
        </w:tc>
        <w:tc>
          <w:tcPr>
            <w:tcW w:w="2330" w:type="pct"/>
          </w:tcPr>
          <w:p w:rsidR="0034540E" w:rsidRPr="001667A2" w:rsidRDefault="0034540E" w:rsidP="0034540E">
            <w:pPr>
              <w:jc w:val="both"/>
              <w:rPr>
                <w:rFonts w:eastAsia="Calibri"/>
                <w:sz w:val="20"/>
                <w:lang w:val="fr-CA"/>
              </w:rPr>
            </w:pPr>
            <w:r w:rsidRPr="001667A2">
              <w:rPr>
                <w:rFonts w:eastAsia="Calibri"/>
                <w:sz w:val="20"/>
                <w:lang w:val="fr-CA"/>
              </w:rPr>
              <w:t>Demande d’autorisation d’appel, déposée</w:t>
            </w:r>
          </w:p>
          <w:p w:rsidR="0034540E" w:rsidRPr="001667A2" w:rsidRDefault="0034540E" w:rsidP="0010431F">
            <w:pPr>
              <w:jc w:val="both"/>
              <w:rPr>
                <w:rFonts w:eastAsia="Calibri"/>
                <w:sz w:val="20"/>
                <w:lang w:val="fr-CA"/>
              </w:rPr>
            </w:pPr>
          </w:p>
        </w:tc>
      </w:tr>
      <w:tr w:rsidR="0034540E" w:rsidRPr="009122D4" w:rsidTr="0010431F">
        <w:tc>
          <w:tcPr>
            <w:tcW w:w="2427" w:type="pct"/>
          </w:tcPr>
          <w:p w:rsidR="0034540E" w:rsidRPr="001667A2" w:rsidRDefault="0034540E" w:rsidP="0010431F">
            <w:pPr>
              <w:jc w:val="both"/>
              <w:rPr>
                <w:rFonts w:eastAsia="Calibri"/>
                <w:sz w:val="20"/>
                <w:lang w:val="fr-CA"/>
              </w:rPr>
            </w:pPr>
            <w:r w:rsidRPr="001667A2">
              <w:rPr>
                <w:rFonts w:eastAsia="Calibri"/>
                <w:sz w:val="20"/>
                <w:lang w:val="fr-CA"/>
              </w:rPr>
              <w:t>28 octobre 2010</w:t>
            </w:r>
          </w:p>
          <w:p w:rsidR="0034540E" w:rsidRPr="001667A2" w:rsidRDefault="0034540E" w:rsidP="0010431F">
            <w:pPr>
              <w:jc w:val="both"/>
              <w:rPr>
                <w:rFonts w:eastAsia="Calibri"/>
                <w:sz w:val="20"/>
                <w:lang w:val="fr-CA"/>
              </w:rPr>
            </w:pPr>
            <w:r w:rsidRPr="001667A2">
              <w:rPr>
                <w:rFonts w:eastAsia="Calibri"/>
                <w:sz w:val="20"/>
                <w:lang w:val="fr-CA"/>
              </w:rPr>
              <w:t>Cour suprême du Canada</w:t>
            </w:r>
          </w:p>
        </w:tc>
        <w:tc>
          <w:tcPr>
            <w:tcW w:w="243" w:type="pct"/>
          </w:tcPr>
          <w:p w:rsidR="0034540E" w:rsidRPr="001667A2" w:rsidRDefault="0034540E" w:rsidP="0010431F">
            <w:pPr>
              <w:jc w:val="both"/>
              <w:rPr>
                <w:rFonts w:eastAsia="Calibri"/>
                <w:sz w:val="20"/>
                <w:lang w:val="fr-CA"/>
              </w:rPr>
            </w:pPr>
          </w:p>
        </w:tc>
        <w:tc>
          <w:tcPr>
            <w:tcW w:w="2330" w:type="pct"/>
          </w:tcPr>
          <w:p w:rsidR="0034540E" w:rsidRPr="001667A2" w:rsidRDefault="0034540E" w:rsidP="0010431F">
            <w:pPr>
              <w:jc w:val="both"/>
              <w:rPr>
                <w:rFonts w:eastAsia="Calibri"/>
                <w:sz w:val="20"/>
                <w:lang w:val="fr-CA"/>
              </w:rPr>
            </w:pPr>
            <w:r w:rsidRPr="001667A2">
              <w:rPr>
                <w:rFonts w:eastAsia="Calibri"/>
                <w:sz w:val="20"/>
                <w:lang w:val="fr-CA"/>
              </w:rPr>
              <w:t>Requêtes en autorisation d’intervention déposées par l’Association canadienne du médicament générique et la Coalition of Concerned Citizens</w:t>
            </w:r>
          </w:p>
        </w:tc>
      </w:tr>
    </w:tbl>
    <w:p w:rsidR="00AF63D3" w:rsidRPr="0034540E" w:rsidRDefault="00AF63D3" w:rsidP="00AF63D3">
      <w:pPr>
        <w:rPr>
          <w:sz w:val="20"/>
          <w:szCs w:val="20"/>
          <w:lang w:val="fr-CA"/>
        </w:rPr>
      </w:pPr>
    </w:p>
    <w:p w:rsidR="00AF63D3" w:rsidRDefault="003E529C" w:rsidP="00AF63D3">
      <w:pPr>
        <w:rPr>
          <w:sz w:val="20"/>
          <w:szCs w:val="20"/>
          <w:lang w:val="fr-CA"/>
        </w:rPr>
      </w:pPr>
      <w:r w:rsidRPr="003E529C">
        <w:rPr>
          <w:sz w:val="20"/>
          <w:szCs w:val="20"/>
          <w:lang w:val="fr-CA"/>
        </w:rPr>
        <w:pict>
          <v:rect id="_x0000_i1050" style="width:2in;height:1pt" o:hrpct="0" o:hralign="center" o:hrstd="t" o:hrnoshade="t" o:hr="t" fillcolor="black [3213]" stroked="f"/>
        </w:pict>
      </w:r>
    </w:p>
    <w:p w:rsidR="00EB3462" w:rsidRDefault="00EB3462">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B054B" w:rsidRPr="005B054B" w:rsidTr="00E022C0">
        <w:trPr>
          <w:cantSplit/>
        </w:trPr>
        <w:tc>
          <w:tcPr>
            <w:tcW w:w="1458" w:type="dxa"/>
          </w:tcPr>
          <w:p w:rsidR="005B054B" w:rsidRPr="005B054B" w:rsidRDefault="005B054B" w:rsidP="00E022C0">
            <w:pPr>
              <w:rPr>
                <w:sz w:val="20"/>
                <w:szCs w:val="20"/>
              </w:rPr>
            </w:pPr>
            <w:r w:rsidRPr="005B054B">
              <w:rPr>
                <w:rStyle w:val="SCCFileNumberChar"/>
                <w:sz w:val="20"/>
                <w:szCs w:val="20"/>
              </w:rPr>
              <w:lastRenderedPageBreak/>
              <w:t>33880</w:t>
            </w:r>
          </w:p>
          <w:p w:rsidR="005B054B" w:rsidRPr="005B054B" w:rsidRDefault="005B054B" w:rsidP="00E022C0">
            <w:pPr>
              <w:rPr>
                <w:b/>
                <w:sz w:val="20"/>
                <w:szCs w:val="20"/>
                <w:lang w:val="fr-CA"/>
              </w:rPr>
            </w:pPr>
          </w:p>
        </w:tc>
        <w:tc>
          <w:tcPr>
            <w:tcW w:w="8118" w:type="dxa"/>
          </w:tcPr>
          <w:p w:rsidR="005B054B" w:rsidRPr="005B054B" w:rsidRDefault="005B054B" w:rsidP="00EB3462">
            <w:pPr>
              <w:jc w:val="both"/>
              <w:rPr>
                <w:sz w:val="20"/>
                <w:szCs w:val="20"/>
              </w:rPr>
            </w:pPr>
            <w:r w:rsidRPr="005B054B">
              <w:rPr>
                <w:rStyle w:val="SCCLsocChar"/>
                <w:sz w:val="20"/>
                <w:szCs w:val="20"/>
                <w:lang w:val="en-CA"/>
              </w:rPr>
              <w:t>Manitoba Métis Federation Inc., Yvon Dumont, Billy Jo de la Ronde, Roy Chartrand, Ron Erickson, Claire Riddle, Jack Fleming, Jack McPherson, Don Roulette, Edgar Bruce Jr., Freda Lundmark, Miles Allaire, Celia Klassen, Alma Belhumeur, Stan Guiboche, Jeanne Perrault, Marie Banks Ducharme and Earl Henderson v. Attorney General of Canada</w:t>
            </w:r>
            <w:r w:rsidR="00EB3462">
              <w:rPr>
                <w:rStyle w:val="SCCLsocChar"/>
                <w:sz w:val="20"/>
                <w:szCs w:val="20"/>
                <w:lang w:val="en-CA"/>
              </w:rPr>
              <w:t xml:space="preserve"> and</w:t>
            </w:r>
            <w:r w:rsidRPr="005B054B">
              <w:rPr>
                <w:rStyle w:val="SCCLsocChar"/>
                <w:sz w:val="20"/>
                <w:szCs w:val="20"/>
                <w:lang w:val="en-CA"/>
              </w:rPr>
              <w:t xml:space="preserve"> Attorney General of Manitoba</w:t>
            </w:r>
            <w:r w:rsidRPr="005B054B">
              <w:rPr>
                <w:sz w:val="20"/>
                <w:szCs w:val="20"/>
              </w:rPr>
              <w:t xml:space="preserve"> (Man.) (Civil) (By Leave)</w:t>
            </w:r>
          </w:p>
          <w:p w:rsidR="005B054B" w:rsidRPr="005B054B" w:rsidRDefault="005B054B" w:rsidP="00E022C0">
            <w:pPr>
              <w:rPr>
                <w:sz w:val="20"/>
                <w:szCs w:val="20"/>
              </w:rPr>
            </w:pPr>
          </w:p>
        </w:tc>
      </w:tr>
      <w:tr w:rsidR="005B054B" w:rsidRPr="005B054B" w:rsidTr="00E022C0">
        <w:trPr>
          <w:cantSplit/>
        </w:trPr>
        <w:tc>
          <w:tcPr>
            <w:tcW w:w="1458" w:type="dxa"/>
          </w:tcPr>
          <w:p w:rsidR="005B054B" w:rsidRPr="005B054B" w:rsidRDefault="005B054B" w:rsidP="00E022C0">
            <w:pPr>
              <w:rPr>
                <w:sz w:val="20"/>
                <w:szCs w:val="20"/>
              </w:rPr>
            </w:pPr>
            <w:r w:rsidRPr="005B054B">
              <w:rPr>
                <w:sz w:val="20"/>
                <w:szCs w:val="20"/>
              </w:rPr>
              <w:t>Coram :</w:t>
            </w:r>
          </w:p>
        </w:tc>
        <w:tc>
          <w:tcPr>
            <w:tcW w:w="8118" w:type="dxa"/>
          </w:tcPr>
          <w:p w:rsidR="005B054B" w:rsidRPr="005B054B" w:rsidRDefault="005B054B" w:rsidP="00E022C0">
            <w:pPr>
              <w:rPr>
                <w:sz w:val="20"/>
                <w:szCs w:val="20"/>
              </w:rPr>
            </w:pPr>
            <w:r w:rsidRPr="005B054B">
              <w:rPr>
                <w:rStyle w:val="SCCCoramChar"/>
                <w:sz w:val="20"/>
                <w:szCs w:val="20"/>
                <w:lang w:val="en-CA"/>
              </w:rPr>
              <w:t>Binnie, Fish and Rothstein JJ.</w:t>
            </w:r>
          </w:p>
          <w:p w:rsidR="005B054B" w:rsidRPr="005B054B" w:rsidRDefault="005B054B" w:rsidP="00E022C0">
            <w:pPr>
              <w:rPr>
                <w:sz w:val="20"/>
                <w:szCs w:val="20"/>
                <w:u w:val="single"/>
              </w:rPr>
            </w:pPr>
          </w:p>
        </w:tc>
      </w:tr>
      <w:tr w:rsidR="005B054B" w:rsidRPr="009122D4" w:rsidTr="00E022C0">
        <w:trPr>
          <w:cantSplit/>
        </w:trPr>
        <w:tc>
          <w:tcPr>
            <w:tcW w:w="9576" w:type="dxa"/>
            <w:gridSpan w:val="2"/>
          </w:tcPr>
          <w:p w:rsidR="005B054B" w:rsidRPr="005B054B" w:rsidRDefault="005B054B" w:rsidP="00E022C0">
            <w:pPr>
              <w:pStyle w:val="SCCShortJudgment"/>
              <w:rPr>
                <w:szCs w:val="20"/>
              </w:rPr>
            </w:pPr>
            <w:r w:rsidRPr="005B054B">
              <w:rPr>
                <w:szCs w:val="20"/>
              </w:rPr>
              <w:t>The motion to file a lengthy memorandum of argument and the application for leave to appeal from the judgment of the Court of Appeal of Manitoba, Number AI08-30-06872, 2010 MBCA 71, dated July 7, 2010, are granted without costs.</w:t>
            </w:r>
          </w:p>
          <w:p w:rsidR="005B054B" w:rsidRPr="005B054B" w:rsidRDefault="005B054B" w:rsidP="00E022C0">
            <w:pPr>
              <w:pStyle w:val="SCCShortJudgment"/>
              <w:ind w:firstLine="0"/>
              <w:rPr>
                <w:szCs w:val="20"/>
              </w:rPr>
            </w:pPr>
          </w:p>
          <w:p w:rsidR="005B054B" w:rsidRPr="005B054B" w:rsidRDefault="005B054B" w:rsidP="005B054B">
            <w:pPr>
              <w:pStyle w:val="SCCShortJudgment"/>
              <w:rPr>
                <w:szCs w:val="20"/>
                <w:lang w:val="fr-CA"/>
              </w:rPr>
            </w:pPr>
            <w:r w:rsidRPr="005B054B">
              <w:rPr>
                <w:szCs w:val="20"/>
                <w:lang w:val="fr-CA"/>
              </w:rPr>
              <w:t>La requête pour déposer un mémoire des arguments volumineux et la demande d’autorisation d’appel de l’arrêt de la Cour d’appel du Manitoba, numéro AI08-30-06872, 2010 MBCA 71, daté du 7 juillet 2010, sont accordées sans dépens.</w:t>
            </w:r>
          </w:p>
        </w:tc>
      </w:tr>
    </w:tbl>
    <w:p w:rsidR="00AF63D3" w:rsidRPr="005B054B" w:rsidRDefault="00AF63D3" w:rsidP="008D292F">
      <w:pPr>
        <w:rPr>
          <w:sz w:val="20"/>
          <w:szCs w:val="20"/>
          <w:lang w:val="fr-CA"/>
        </w:rPr>
      </w:pPr>
    </w:p>
    <w:p w:rsidR="00AF63D3" w:rsidRDefault="00AF63D3" w:rsidP="00AF63D3">
      <w:pPr>
        <w:rPr>
          <w:sz w:val="20"/>
          <w:szCs w:val="20"/>
        </w:rPr>
      </w:pPr>
      <w:r>
        <w:rPr>
          <w:sz w:val="20"/>
          <w:szCs w:val="20"/>
          <w:u w:val="single"/>
        </w:rPr>
        <w:t>CASE SUMMARY</w:t>
      </w:r>
    </w:p>
    <w:p w:rsidR="00AF63D3" w:rsidRDefault="00AF63D3" w:rsidP="00AF63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4540E" w:rsidRPr="001667A2" w:rsidTr="0010431F">
        <w:tc>
          <w:tcPr>
            <w:tcW w:w="5000" w:type="pct"/>
            <w:gridSpan w:val="3"/>
          </w:tcPr>
          <w:p w:rsidR="0034540E" w:rsidRPr="001667A2" w:rsidRDefault="0034540E" w:rsidP="0034540E">
            <w:pPr>
              <w:jc w:val="both"/>
              <w:rPr>
                <w:sz w:val="20"/>
              </w:rPr>
            </w:pPr>
            <w:r w:rsidRPr="001667A2">
              <w:rPr>
                <w:sz w:val="20"/>
              </w:rPr>
              <w:t xml:space="preserve">Aboriginal law – Fiduciary duty – Métis – Claim for declaratory relief – Whether action properly dismissed on grounds of mootness and limitations – Whether there was a breach of fiduciary obligation during implementation of the grants provided for in ss. 31 and 32 of the </w:t>
            </w:r>
            <w:r w:rsidRPr="001667A2">
              <w:rPr>
                <w:i/>
                <w:sz w:val="20"/>
              </w:rPr>
              <w:t>Manitoba Act,</w:t>
            </w:r>
            <w:r w:rsidRPr="001667A2">
              <w:rPr>
                <w:sz w:val="20"/>
              </w:rPr>
              <w:t xml:space="preserve"> 1870, 33 Vict., c. 3 – Whether  series of enactment by the Manitoba legislature were constitutional.</w:t>
            </w:r>
          </w:p>
          <w:p w:rsidR="0034540E" w:rsidRPr="001667A2" w:rsidRDefault="0034540E" w:rsidP="0010431F">
            <w:pPr>
              <w:rPr>
                <w:sz w:val="20"/>
              </w:rPr>
            </w:pPr>
          </w:p>
        </w:tc>
      </w:tr>
      <w:tr w:rsidR="0034540E" w:rsidRPr="001667A2" w:rsidTr="0010431F">
        <w:tc>
          <w:tcPr>
            <w:tcW w:w="5000" w:type="pct"/>
            <w:gridSpan w:val="3"/>
          </w:tcPr>
          <w:p w:rsidR="0034540E" w:rsidRPr="001667A2" w:rsidRDefault="0034540E" w:rsidP="0034540E">
            <w:pPr>
              <w:jc w:val="both"/>
              <w:rPr>
                <w:sz w:val="20"/>
              </w:rPr>
            </w:pPr>
            <w:r w:rsidRPr="001667A2">
              <w:rPr>
                <w:sz w:val="20"/>
              </w:rPr>
              <w:t xml:space="preserve">In this action for declaratory relief the applicants submit that Canada did not meet the standard expected of a fiduciary during its implementation of the grants provided for in ss. 31 and 32 of the </w:t>
            </w:r>
            <w:r w:rsidRPr="001667A2">
              <w:rPr>
                <w:i/>
                <w:sz w:val="20"/>
              </w:rPr>
              <w:t>Manitoba Act</w:t>
            </w:r>
            <w:r w:rsidRPr="001667A2">
              <w:rPr>
                <w:sz w:val="20"/>
              </w:rPr>
              <w:t xml:space="preserve">, 1870, 33 Vict., c. 3 that dealt with land issues. The first, s. 31, provided that 1.4 million acres of land was to be distributed to the “children of the half-breed heads of families”. The second, s. 32, provided that existing land tenures of the residents would be confirmed. During the 1870s and 1880s, Manitoba passed five statutes, now long spent and repealed, dealing with the technical requirements to transfer interests in s. 31 lands. The applicants sought to have the statutes  declared  </w:t>
            </w:r>
            <w:r w:rsidRPr="001667A2">
              <w:rPr>
                <w:i/>
                <w:sz w:val="20"/>
              </w:rPr>
              <w:t>ultra vires</w:t>
            </w:r>
            <w:r w:rsidRPr="001667A2">
              <w:rPr>
                <w:sz w:val="20"/>
              </w:rPr>
              <w:t xml:space="preserve">  pursuant to the </w:t>
            </w:r>
            <w:r w:rsidRPr="001667A2">
              <w:rPr>
                <w:i/>
                <w:sz w:val="20"/>
              </w:rPr>
              <w:t>Constitution Act, 1867</w:t>
            </w:r>
            <w:r w:rsidRPr="001667A2">
              <w:rPr>
                <w:sz w:val="20"/>
              </w:rPr>
              <w:t xml:space="preserve">. Alternatively, they argued that the statutes were inoperative by virtue of federal paramountcy.  The trial judge held that the action was barred by the limitation period or laches. There was no fiduciary duty that was owed by the Crown under s. 31 of the </w:t>
            </w:r>
            <w:r w:rsidRPr="001667A2">
              <w:rPr>
                <w:i/>
                <w:sz w:val="20"/>
              </w:rPr>
              <w:t>Act</w:t>
            </w:r>
            <w:r w:rsidRPr="001667A2">
              <w:rPr>
                <w:sz w:val="20"/>
              </w:rPr>
              <w:t>, and no breach of the Act; there was no fiduciary duty or obligation with respect to s. 32, and the Crown had not erred in its implementation of the section; Manitoba’s legislative initiatives were not unconstitutional. The Court of Appeal applied the doctrine of mootness and declined to address the issue of constitutionality. As to the overarching claim of breach of fiduciary duty, the Court of Appeal confirmed the trial judge’s conclusion that the case was statute-barred.</w:t>
            </w:r>
          </w:p>
          <w:p w:rsidR="0034540E" w:rsidRPr="001667A2" w:rsidRDefault="0034540E" w:rsidP="0010431F">
            <w:pPr>
              <w:rPr>
                <w:sz w:val="20"/>
              </w:rPr>
            </w:pPr>
          </w:p>
        </w:tc>
      </w:tr>
      <w:tr w:rsidR="0034540E" w:rsidRPr="001667A2" w:rsidTr="0010431F">
        <w:tc>
          <w:tcPr>
            <w:tcW w:w="2427" w:type="pct"/>
          </w:tcPr>
          <w:p w:rsidR="0034540E" w:rsidRPr="001667A2" w:rsidRDefault="0034540E" w:rsidP="0010431F">
            <w:pPr>
              <w:rPr>
                <w:sz w:val="20"/>
              </w:rPr>
            </w:pPr>
            <w:r w:rsidRPr="001667A2">
              <w:rPr>
                <w:sz w:val="20"/>
              </w:rPr>
              <w:t>December 7, 2007</w:t>
            </w:r>
          </w:p>
          <w:p w:rsidR="0034540E" w:rsidRPr="001667A2" w:rsidRDefault="0034540E" w:rsidP="0010431F">
            <w:pPr>
              <w:rPr>
                <w:sz w:val="20"/>
              </w:rPr>
            </w:pPr>
            <w:r w:rsidRPr="001667A2">
              <w:rPr>
                <w:sz w:val="20"/>
              </w:rPr>
              <w:t>Court of Queen’s Bench of Manitoba</w:t>
            </w:r>
          </w:p>
          <w:p w:rsidR="0034540E" w:rsidRPr="001667A2" w:rsidRDefault="0034540E" w:rsidP="0010431F">
            <w:pPr>
              <w:rPr>
                <w:sz w:val="20"/>
              </w:rPr>
            </w:pPr>
            <w:r w:rsidRPr="001667A2">
              <w:rPr>
                <w:sz w:val="20"/>
              </w:rPr>
              <w:t>(MacInnes J..)</w:t>
            </w:r>
          </w:p>
          <w:p w:rsidR="0034540E" w:rsidRPr="001667A2" w:rsidRDefault="0034540E" w:rsidP="0010431F">
            <w:pPr>
              <w:rPr>
                <w:sz w:val="20"/>
              </w:rPr>
            </w:pPr>
            <w:r w:rsidRPr="001667A2">
              <w:rPr>
                <w:sz w:val="20"/>
              </w:rPr>
              <w:t>2007 MBQB 293</w:t>
            </w:r>
          </w:p>
          <w:p w:rsidR="0034540E" w:rsidRPr="001667A2" w:rsidRDefault="0034540E" w:rsidP="0010431F">
            <w:pPr>
              <w:rPr>
                <w:sz w:val="20"/>
              </w:rPr>
            </w:pPr>
          </w:p>
        </w:tc>
        <w:tc>
          <w:tcPr>
            <w:tcW w:w="243" w:type="pct"/>
          </w:tcPr>
          <w:p w:rsidR="0034540E" w:rsidRPr="001667A2" w:rsidRDefault="0034540E" w:rsidP="0010431F">
            <w:pPr>
              <w:rPr>
                <w:sz w:val="20"/>
              </w:rPr>
            </w:pPr>
          </w:p>
        </w:tc>
        <w:tc>
          <w:tcPr>
            <w:tcW w:w="2330" w:type="pct"/>
          </w:tcPr>
          <w:p w:rsidR="0034540E" w:rsidRPr="001667A2" w:rsidRDefault="0034540E" w:rsidP="0010431F">
            <w:pPr>
              <w:rPr>
                <w:sz w:val="20"/>
              </w:rPr>
            </w:pPr>
            <w:r w:rsidRPr="001667A2">
              <w:rPr>
                <w:sz w:val="20"/>
              </w:rPr>
              <w:t>Action dismissed</w:t>
            </w:r>
          </w:p>
          <w:p w:rsidR="0034540E" w:rsidRPr="001667A2" w:rsidRDefault="0034540E" w:rsidP="0010431F">
            <w:pPr>
              <w:rPr>
                <w:sz w:val="20"/>
              </w:rPr>
            </w:pPr>
          </w:p>
        </w:tc>
      </w:tr>
      <w:tr w:rsidR="0034540E" w:rsidRPr="001667A2" w:rsidTr="0010431F">
        <w:tc>
          <w:tcPr>
            <w:tcW w:w="2427" w:type="pct"/>
          </w:tcPr>
          <w:p w:rsidR="0034540E" w:rsidRPr="001667A2" w:rsidRDefault="0034540E" w:rsidP="0010431F">
            <w:pPr>
              <w:rPr>
                <w:sz w:val="20"/>
              </w:rPr>
            </w:pPr>
            <w:r w:rsidRPr="001667A2">
              <w:rPr>
                <w:sz w:val="20"/>
              </w:rPr>
              <w:t>July 7, 2010</w:t>
            </w:r>
          </w:p>
          <w:p w:rsidR="0034540E" w:rsidRPr="001667A2" w:rsidRDefault="0034540E" w:rsidP="0010431F">
            <w:pPr>
              <w:rPr>
                <w:sz w:val="20"/>
              </w:rPr>
            </w:pPr>
            <w:r w:rsidRPr="001667A2">
              <w:rPr>
                <w:sz w:val="20"/>
              </w:rPr>
              <w:t>Court of Appeal of Manitoba</w:t>
            </w:r>
          </w:p>
          <w:p w:rsidR="0034540E" w:rsidRPr="001667A2" w:rsidRDefault="0034540E" w:rsidP="0010431F">
            <w:pPr>
              <w:rPr>
                <w:sz w:val="20"/>
              </w:rPr>
            </w:pPr>
            <w:r w:rsidRPr="001667A2">
              <w:rPr>
                <w:sz w:val="20"/>
              </w:rPr>
              <w:t>(ScottC.J.,Monnin,Hamilton, Steel, Freedman. JJ.A.)</w:t>
            </w:r>
          </w:p>
          <w:p w:rsidR="0034540E" w:rsidRPr="001667A2" w:rsidRDefault="0034540E" w:rsidP="0010431F">
            <w:pPr>
              <w:rPr>
                <w:sz w:val="20"/>
              </w:rPr>
            </w:pPr>
            <w:r w:rsidRPr="001667A2">
              <w:rPr>
                <w:sz w:val="20"/>
              </w:rPr>
              <w:t xml:space="preserve">2010 MBCA 71 </w:t>
            </w:r>
          </w:p>
          <w:p w:rsidR="0034540E" w:rsidRPr="001667A2" w:rsidRDefault="0034540E" w:rsidP="0010431F">
            <w:pPr>
              <w:rPr>
                <w:sz w:val="20"/>
              </w:rPr>
            </w:pPr>
          </w:p>
        </w:tc>
        <w:tc>
          <w:tcPr>
            <w:tcW w:w="243" w:type="pct"/>
          </w:tcPr>
          <w:p w:rsidR="0034540E" w:rsidRPr="001667A2" w:rsidRDefault="0034540E" w:rsidP="0010431F">
            <w:pPr>
              <w:rPr>
                <w:sz w:val="20"/>
              </w:rPr>
            </w:pPr>
          </w:p>
        </w:tc>
        <w:tc>
          <w:tcPr>
            <w:tcW w:w="2330" w:type="pct"/>
          </w:tcPr>
          <w:p w:rsidR="0034540E" w:rsidRPr="001667A2" w:rsidRDefault="0034540E" w:rsidP="0010431F">
            <w:pPr>
              <w:rPr>
                <w:sz w:val="20"/>
              </w:rPr>
            </w:pPr>
            <w:r w:rsidRPr="001667A2">
              <w:rPr>
                <w:sz w:val="20"/>
              </w:rPr>
              <w:t>Appeal dismissed with costs</w:t>
            </w:r>
          </w:p>
          <w:p w:rsidR="0034540E" w:rsidRPr="001667A2" w:rsidRDefault="0034540E" w:rsidP="0010431F">
            <w:pPr>
              <w:rPr>
                <w:sz w:val="20"/>
              </w:rPr>
            </w:pPr>
          </w:p>
        </w:tc>
      </w:tr>
      <w:tr w:rsidR="0034540E" w:rsidRPr="001667A2" w:rsidTr="0010431F">
        <w:tc>
          <w:tcPr>
            <w:tcW w:w="2427" w:type="pct"/>
          </w:tcPr>
          <w:p w:rsidR="0034540E" w:rsidRPr="001667A2" w:rsidRDefault="0034540E" w:rsidP="0010431F">
            <w:pPr>
              <w:rPr>
                <w:sz w:val="20"/>
              </w:rPr>
            </w:pPr>
            <w:r w:rsidRPr="001667A2">
              <w:rPr>
                <w:sz w:val="20"/>
              </w:rPr>
              <w:t>September 29, 2010</w:t>
            </w:r>
          </w:p>
          <w:p w:rsidR="0034540E" w:rsidRPr="001667A2" w:rsidRDefault="0034540E" w:rsidP="0010431F">
            <w:pPr>
              <w:rPr>
                <w:sz w:val="20"/>
              </w:rPr>
            </w:pPr>
            <w:r w:rsidRPr="001667A2">
              <w:rPr>
                <w:sz w:val="20"/>
              </w:rPr>
              <w:t>Supreme Court of Canada</w:t>
            </w:r>
          </w:p>
        </w:tc>
        <w:tc>
          <w:tcPr>
            <w:tcW w:w="243" w:type="pct"/>
          </w:tcPr>
          <w:p w:rsidR="0034540E" w:rsidRPr="001667A2" w:rsidRDefault="0034540E" w:rsidP="0010431F">
            <w:pPr>
              <w:rPr>
                <w:sz w:val="20"/>
              </w:rPr>
            </w:pPr>
          </w:p>
        </w:tc>
        <w:tc>
          <w:tcPr>
            <w:tcW w:w="2330" w:type="pct"/>
          </w:tcPr>
          <w:p w:rsidR="0034540E" w:rsidRPr="001667A2" w:rsidRDefault="0034540E" w:rsidP="0010431F">
            <w:pPr>
              <w:rPr>
                <w:sz w:val="20"/>
              </w:rPr>
            </w:pPr>
            <w:r w:rsidRPr="001667A2">
              <w:rPr>
                <w:sz w:val="20"/>
              </w:rPr>
              <w:t>Motion to file a lengthy memorandum and application for leave to appeal filed</w:t>
            </w:r>
          </w:p>
        </w:tc>
      </w:tr>
    </w:tbl>
    <w:p w:rsidR="00AF63D3" w:rsidRPr="00BA161A" w:rsidRDefault="00AF63D3" w:rsidP="00AF63D3">
      <w:pPr>
        <w:rPr>
          <w:sz w:val="20"/>
          <w:szCs w:val="20"/>
        </w:rPr>
      </w:pPr>
    </w:p>
    <w:p w:rsidR="00AF63D3" w:rsidRDefault="003E529C" w:rsidP="00AF63D3">
      <w:pPr>
        <w:rPr>
          <w:sz w:val="20"/>
          <w:szCs w:val="20"/>
          <w:lang w:val="fr-CA"/>
        </w:rPr>
      </w:pPr>
      <w:r w:rsidRPr="003E529C">
        <w:rPr>
          <w:sz w:val="20"/>
          <w:szCs w:val="20"/>
          <w:lang w:val="fr-CA"/>
        </w:rPr>
        <w:pict>
          <v:rect id="_x0000_i1051" style="width:2in;height:1pt" o:hrpct="0" o:hralign="center" o:hrstd="t" o:hrnoshade="t" o:hr="t" fillcolor="black [3213]" stroked="f"/>
        </w:pict>
      </w:r>
    </w:p>
    <w:p w:rsidR="00AF63D3" w:rsidRPr="00BA161A" w:rsidRDefault="00AF63D3" w:rsidP="00AF63D3">
      <w:pPr>
        <w:rPr>
          <w:sz w:val="20"/>
          <w:szCs w:val="20"/>
        </w:rPr>
      </w:pPr>
      <w:r>
        <w:rPr>
          <w:sz w:val="20"/>
          <w:szCs w:val="20"/>
          <w:u w:val="single"/>
        </w:rPr>
        <w:lastRenderedPageBreak/>
        <w:t>RÉSUMÉ DE L’AFFAIRE</w:t>
      </w:r>
    </w:p>
    <w:p w:rsidR="00AF63D3" w:rsidRPr="00BA161A" w:rsidRDefault="00AF63D3" w:rsidP="00AF63D3">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10431F" w:rsidRPr="00E31F20" w:rsidTr="0010431F">
        <w:tc>
          <w:tcPr>
            <w:tcW w:w="5000" w:type="pct"/>
            <w:gridSpan w:val="3"/>
          </w:tcPr>
          <w:p w:rsidR="0010431F" w:rsidRPr="001667A2" w:rsidRDefault="0010431F" w:rsidP="0010431F">
            <w:pPr>
              <w:jc w:val="both"/>
              <w:rPr>
                <w:rFonts w:eastAsia="Calibri"/>
                <w:sz w:val="20"/>
                <w:lang w:val="fr-CA"/>
              </w:rPr>
            </w:pPr>
            <w:r w:rsidRPr="001667A2">
              <w:rPr>
                <w:rFonts w:eastAsia="Calibri"/>
                <w:sz w:val="20"/>
                <w:lang w:val="fr-CA"/>
              </w:rPr>
              <w:t xml:space="preserve">Droit des autochtones – Obligation fiduciaire – Métis – Demande de jugement déclaratoire – Est-ce à bon droit que l’action a été rejetée en raison de son caractère théorique et de la prescription? – Y a-t-il eu manquement à l’obligation fiduciaire pendant la mise en œuvre des concessions prévues aux art. 31 et 32 de la </w:t>
            </w:r>
            <w:r w:rsidRPr="001667A2">
              <w:rPr>
                <w:rFonts w:eastAsia="Calibri"/>
                <w:i/>
                <w:iCs/>
                <w:sz w:val="20"/>
                <w:lang w:val="fr-CA"/>
              </w:rPr>
              <w:t>Loi de 1870 sur le Manitoba,</w:t>
            </w:r>
            <w:r w:rsidRPr="001667A2">
              <w:rPr>
                <w:rFonts w:eastAsia="Calibri"/>
                <w:sz w:val="20"/>
                <w:lang w:val="fr-CA"/>
              </w:rPr>
              <w:t xml:space="preserve"> 33 Vict., ch. 3? – La série de promulgations par la législature du Manitoba était-elle constitutionnelle?</w:t>
            </w:r>
          </w:p>
          <w:p w:rsidR="0010431F" w:rsidRPr="001667A2" w:rsidRDefault="0010431F" w:rsidP="0010431F">
            <w:pPr>
              <w:jc w:val="both"/>
              <w:rPr>
                <w:rFonts w:eastAsia="Calibri"/>
                <w:sz w:val="20"/>
                <w:lang w:val="fr-CA"/>
              </w:rPr>
            </w:pPr>
          </w:p>
        </w:tc>
      </w:tr>
      <w:tr w:rsidR="0010431F" w:rsidRPr="009122D4" w:rsidTr="0010431F">
        <w:tc>
          <w:tcPr>
            <w:tcW w:w="5000" w:type="pct"/>
            <w:gridSpan w:val="3"/>
          </w:tcPr>
          <w:p w:rsidR="0010431F" w:rsidRPr="001667A2" w:rsidRDefault="0010431F" w:rsidP="0010431F">
            <w:pPr>
              <w:jc w:val="both"/>
              <w:rPr>
                <w:rFonts w:eastAsia="Calibri"/>
                <w:sz w:val="20"/>
                <w:lang w:val="fr-CA"/>
              </w:rPr>
            </w:pPr>
            <w:r w:rsidRPr="001667A2">
              <w:rPr>
                <w:rFonts w:eastAsia="Calibri"/>
                <w:sz w:val="20"/>
                <w:lang w:val="fr-CA"/>
              </w:rPr>
              <w:t xml:space="preserve">Dans la présente action en jugement déclaratoire, les demandeurs plaident que le Canada n’a pas satisfait à la norme que respecterait un fiduciaire pendant sa mise en œuvre des concessions prévues aux art. 31 et 32 de la </w:t>
            </w:r>
            <w:r w:rsidRPr="001667A2">
              <w:rPr>
                <w:rFonts w:eastAsia="Calibri"/>
                <w:i/>
                <w:iCs/>
                <w:sz w:val="20"/>
                <w:lang w:val="fr-CA"/>
              </w:rPr>
              <w:t>Loi de 1870 sur le Manitoba</w:t>
            </w:r>
            <w:r w:rsidRPr="001667A2">
              <w:rPr>
                <w:rFonts w:eastAsia="Calibri"/>
                <w:sz w:val="20"/>
                <w:lang w:val="fr-CA"/>
              </w:rPr>
              <w:t>, 33 Vict., ch. 3 qui portaient sur des questions foncières. La première disposition, l’art. 31, prévoyait que 1,4 million d’acres de terres devaient être distribué aux « </w:t>
            </w:r>
            <w:r w:rsidRPr="001667A2">
              <w:rPr>
                <w:rFonts w:eastAsia="Calibri"/>
                <w:sz w:val="20"/>
                <w:lang w:val="fr-FR"/>
              </w:rPr>
              <w:t>les enfants des chefs des familles métisses</w:t>
            </w:r>
            <w:r w:rsidRPr="001667A2">
              <w:rPr>
                <w:rFonts w:eastAsia="Calibri"/>
                <w:sz w:val="20"/>
                <w:lang w:val="fr-CA"/>
              </w:rPr>
              <w:t xml:space="preserve"> ». La deuxième disposition, l’art. 32, prévoyait que les tenures foncières existantes des résidants seraient confirmées. Au cours des années 1870 et 1880, le Manitoba a adopté cinq lois, depuis longtemps périmées ou abrogées, portant sur les modalités de transfert des droits à l’égard des terres visées par l’art. 31. Les demandeurs ont demandé que les lois soient déclarées  </w:t>
            </w:r>
            <w:r w:rsidRPr="001667A2">
              <w:rPr>
                <w:rFonts w:eastAsia="Calibri"/>
                <w:i/>
                <w:iCs/>
                <w:sz w:val="20"/>
                <w:lang w:val="fr-CA"/>
              </w:rPr>
              <w:t>ultra vires</w:t>
            </w:r>
            <w:r w:rsidRPr="001667A2">
              <w:rPr>
                <w:rFonts w:eastAsia="Calibri"/>
                <w:sz w:val="20"/>
                <w:lang w:val="fr-CA"/>
              </w:rPr>
              <w:t xml:space="preserve"> au regard de la </w:t>
            </w:r>
            <w:r w:rsidRPr="001667A2">
              <w:rPr>
                <w:rFonts w:eastAsia="Calibri"/>
                <w:i/>
                <w:iCs/>
                <w:sz w:val="20"/>
                <w:lang w:val="fr-CA"/>
              </w:rPr>
              <w:t>Loi constitutionnelle de 1867</w:t>
            </w:r>
            <w:r w:rsidRPr="001667A2">
              <w:rPr>
                <w:rFonts w:eastAsia="Calibri"/>
                <w:sz w:val="20"/>
                <w:lang w:val="fr-CA"/>
              </w:rPr>
              <w:t xml:space="preserve">. À titre subsidiaire, ils ont plaidé que les lois étaient inopérantes en vertu du principe de prépondérance fédérale. Le juge de première instance a statué que l’action était irrecevable en raison de l’expiration du délai de prescription  ou du délai préjudiciable. Sa Majesté n’avait aucune obligation fiduciaire fondée sur l’art. 31 de la </w:t>
            </w:r>
            <w:r w:rsidRPr="001667A2">
              <w:rPr>
                <w:rFonts w:eastAsia="Calibri"/>
                <w:i/>
                <w:iCs/>
                <w:sz w:val="20"/>
                <w:lang w:val="fr-CA"/>
              </w:rPr>
              <w:t>Loi</w:t>
            </w:r>
            <w:r w:rsidRPr="001667A2">
              <w:rPr>
                <w:rFonts w:eastAsia="Calibri"/>
                <w:sz w:val="20"/>
                <w:lang w:val="fr-CA"/>
              </w:rPr>
              <w:t xml:space="preserve"> et n’avait pas commis de manquement en vertu de celle-ci, il n’y avait aucune obligation fiduciaire à l’égard de l’art. 32, Sa Majesté n’avait pas commis d’erreur dans sa mise en œuvre de l’article et les initiatives législatives du Manitoba n’étaient pas inconstitutionnelles. La Cour d’appel a appliqué la doctrine du caractère théorique et a refusé de statuer sur la question de la constitutionnalité. Quant à l’argument général de manquement à l’obligation fiduciaire, la Cour d’appel a confirmé la conclusion du juge de première instance comme quoi l’affaire était prescrite.</w:t>
            </w:r>
          </w:p>
          <w:p w:rsidR="0010431F" w:rsidRPr="001667A2" w:rsidRDefault="0010431F" w:rsidP="0010431F">
            <w:pPr>
              <w:jc w:val="both"/>
              <w:rPr>
                <w:rFonts w:eastAsia="Calibri"/>
                <w:sz w:val="20"/>
                <w:lang w:val="fr-CA"/>
              </w:rPr>
            </w:pPr>
          </w:p>
        </w:tc>
      </w:tr>
      <w:tr w:rsidR="0010431F" w:rsidRPr="001667A2" w:rsidTr="0010431F">
        <w:tc>
          <w:tcPr>
            <w:tcW w:w="2427" w:type="pct"/>
          </w:tcPr>
          <w:p w:rsidR="0010431F" w:rsidRPr="001667A2" w:rsidRDefault="0010431F" w:rsidP="0010431F">
            <w:pPr>
              <w:jc w:val="both"/>
              <w:rPr>
                <w:rFonts w:eastAsia="Calibri"/>
                <w:sz w:val="20"/>
                <w:lang w:val="fr-CA"/>
              </w:rPr>
            </w:pPr>
            <w:r w:rsidRPr="001667A2">
              <w:rPr>
                <w:rFonts w:eastAsia="Calibri"/>
                <w:sz w:val="20"/>
                <w:lang w:val="fr-CA"/>
              </w:rPr>
              <w:t>7 décembre 2007</w:t>
            </w:r>
          </w:p>
          <w:p w:rsidR="0010431F" w:rsidRPr="001667A2" w:rsidRDefault="0010431F" w:rsidP="0010431F">
            <w:pPr>
              <w:jc w:val="both"/>
              <w:rPr>
                <w:rFonts w:eastAsia="Calibri"/>
                <w:sz w:val="20"/>
                <w:lang w:val="fr-CA"/>
              </w:rPr>
            </w:pPr>
            <w:r w:rsidRPr="001667A2">
              <w:rPr>
                <w:rFonts w:eastAsia="Calibri"/>
                <w:sz w:val="20"/>
                <w:lang w:val="fr-CA"/>
              </w:rPr>
              <w:t>Cour du Banc de la Reine du Manitoba</w:t>
            </w:r>
          </w:p>
          <w:p w:rsidR="0010431F" w:rsidRPr="001667A2" w:rsidRDefault="0010431F" w:rsidP="0010431F">
            <w:pPr>
              <w:jc w:val="both"/>
              <w:rPr>
                <w:rFonts w:eastAsia="Calibri"/>
                <w:sz w:val="20"/>
                <w:lang w:val="fr-CA"/>
              </w:rPr>
            </w:pPr>
            <w:r w:rsidRPr="001667A2">
              <w:rPr>
                <w:rFonts w:eastAsia="Calibri"/>
                <w:sz w:val="20"/>
                <w:lang w:val="fr-CA"/>
              </w:rPr>
              <w:t>(Juge MacInnes)</w:t>
            </w:r>
          </w:p>
          <w:p w:rsidR="0010431F" w:rsidRPr="001667A2" w:rsidRDefault="0010431F" w:rsidP="0010431F">
            <w:pPr>
              <w:jc w:val="both"/>
              <w:rPr>
                <w:rFonts w:eastAsia="Calibri"/>
                <w:sz w:val="20"/>
                <w:lang w:val="fr-CA"/>
              </w:rPr>
            </w:pPr>
            <w:r w:rsidRPr="001667A2">
              <w:rPr>
                <w:rFonts w:eastAsia="Calibri"/>
                <w:sz w:val="20"/>
                <w:lang w:val="fr-CA"/>
              </w:rPr>
              <w:t>2007 MBQB 293</w:t>
            </w:r>
          </w:p>
          <w:p w:rsidR="0010431F" w:rsidRPr="001667A2" w:rsidRDefault="0010431F" w:rsidP="0010431F">
            <w:pPr>
              <w:jc w:val="both"/>
              <w:rPr>
                <w:rFonts w:eastAsia="Calibri"/>
                <w:sz w:val="20"/>
                <w:lang w:val="fr-CA"/>
              </w:rPr>
            </w:pPr>
          </w:p>
        </w:tc>
        <w:tc>
          <w:tcPr>
            <w:tcW w:w="243" w:type="pct"/>
          </w:tcPr>
          <w:p w:rsidR="0010431F" w:rsidRPr="001667A2" w:rsidRDefault="0010431F" w:rsidP="0010431F">
            <w:pPr>
              <w:jc w:val="both"/>
              <w:rPr>
                <w:rFonts w:eastAsia="Calibri"/>
                <w:sz w:val="20"/>
                <w:lang w:val="fr-CA"/>
              </w:rPr>
            </w:pPr>
          </w:p>
        </w:tc>
        <w:tc>
          <w:tcPr>
            <w:tcW w:w="2330" w:type="pct"/>
          </w:tcPr>
          <w:p w:rsidR="0010431F" w:rsidRPr="001667A2" w:rsidRDefault="0010431F" w:rsidP="0010431F">
            <w:pPr>
              <w:jc w:val="both"/>
              <w:rPr>
                <w:rFonts w:eastAsia="Calibri"/>
                <w:sz w:val="20"/>
                <w:lang w:val="fr-CA"/>
              </w:rPr>
            </w:pPr>
            <w:r w:rsidRPr="001667A2">
              <w:rPr>
                <w:rFonts w:eastAsia="Calibri"/>
                <w:sz w:val="20"/>
                <w:lang w:val="fr-CA"/>
              </w:rPr>
              <w:t>Action rejetée</w:t>
            </w:r>
          </w:p>
          <w:p w:rsidR="0010431F" w:rsidRPr="001667A2" w:rsidRDefault="0010431F" w:rsidP="0010431F">
            <w:pPr>
              <w:jc w:val="both"/>
              <w:rPr>
                <w:rFonts w:eastAsia="Calibri"/>
                <w:sz w:val="20"/>
                <w:lang w:val="fr-CA"/>
              </w:rPr>
            </w:pPr>
          </w:p>
        </w:tc>
      </w:tr>
      <w:tr w:rsidR="0010431F" w:rsidRPr="001667A2" w:rsidTr="0010431F">
        <w:tc>
          <w:tcPr>
            <w:tcW w:w="2427" w:type="pct"/>
          </w:tcPr>
          <w:p w:rsidR="0010431F" w:rsidRPr="001667A2" w:rsidRDefault="0010431F" w:rsidP="0010431F">
            <w:pPr>
              <w:jc w:val="both"/>
              <w:rPr>
                <w:rFonts w:eastAsia="Calibri"/>
                <w:sz w:val="20"/>
                <w:lang w:val="fr-CA"/>
              </w:rPr>
            </w:pPr>
            <w:r w:rsidRPr="001667A2">
              <w:rPr>
                <w:rFonts w:eastAsia="Calibri"/>
                <w:sz w:val="20"/>
                <w:lang w:val="fr-CA"/>
              </w:rPr>
              <w:t>7 juillet 2010</w:t>
            </w:r>
          </w:p>
          <w:p w:rsidR="0010431F" w:rsidRPr="001667A2" w:rsidRDefault="0010431F" w:rsidP="0010431F">
            <w:pPr>
              <w:jc w:val="both"/>
              <w:rPr>
                <w:rFonts w:eastAsia="Calibri"/>
                <w:sz w:val="20"/>
                <w:lang w:val="fr-CA"/>
              </w:rPr>
            </w:pPr>
            <w:r w:rsidRPr="001667A2">
              <w:rPr>
                <w:rFonts w:eastAsia="Calibri"/>
                <w:sz w:val="20"/>
                <w:lang w:val="fr-CA"/>
              </w:rPr>
              <w:t>Cour d’appel du Manitoba</w:t>
            </w:r>
          </w:p>
          <w:p w:rsidR="0010431F" w:rsidRPr="001667A2" w:rsidRDefault="0010431F" w:rsidP="0010431F">
            <w:pPr>
              <w:jc w:val="both"/>
              <w:rPr>
                <w:rFonts w:eastAsia="Calibri"/>
                <w:sz w:val="20"/>
                <w:lang w:val="fr-CA"/>
              </w:rPr>
            </w:pPr>
            <w:r w:rsidRPr="001667A2">
              <w:rPr>
                <w:rFonts w:eastAsia="Calibri"/>
                <w:sz w:val="20"/>
                <w:lang w:val="fr-CA"/>
              </w:rPr>
              <w:t>(Juge en chef Scott, juges Monnin, Hamilton, Steel et Freedman)</w:t>
            </w:r>
          </w:p>
          <w:p w:rsidR="0010431F" w:rsidRPr="001667A2" w:rsidRDefault="0010431F" w:rsidP="0010431F">
            <w:pPr>
              <w:jc w:val="both"/>
              <w:rPr>
                <w:rFonts w:eastAsia="Calibri"/>
                <w:sz w:val="20"/>
                <w:lang w:val="fr-CA"/>
              </w:rPr>
            </w:pPr>
            <w:r w:rsidRPr="001667A2">
              <w:rPr>
                <w:rFonts w:eastAsia="Calibri"/>
                <w:sz w:val="20"/>
                <w:lang w:val="fr-CA"/>
              </w:rPr>
              <w:t xml:space="preserve">2010 MBCA 71 </w:t>
            </w:r>
          </w:p>
          <w:p w:rsidR="0010431F" w:rsidRPr="001667A2" w:rsidRDefault="0010431F" w:rsidP="0010431F">
            <w:pPr>
              <w:jc w:val="both"/>
              <w:rPr>
                <w:rFonts w:eastAsia="Calibri"/>
                <w:sz w:val="20"/>
                <w:lang w:val="fr-CA"/>
              </w:rPr>
            </w:pPr>
          </w:p>
        </w:tc>
        <w:tc>
          <w:tcPr>
            <w:tcW w:w="243" w:type="pct"/>
          </w:tcPr>
          <w:p w:rsidR="0010431F" w:rsidRPr="001667A2" w:rsidRDefault="0010431F" w:rsidP="0010431F">
            <w:pPr>
              <w:jc w:val="both"/>
              <w:rPr>
                <w:rFonts w:eastAsia="Calibri"/>
                <w:sz w:val="20"/>
                <w:lang w:val="fr-CA"/>
              </w:rPr>
            </w:pPr>
          </w:p>
        </w:tc>
        <w:tc>
          <w:tcPr>
            <w:tcW w:w="2330" w:type="pct"/>
          </w:tcPr>
          <w:p w:rsidR="0010431F" w:rsidRPr="001667A2" w:rsidRDefault="0010431F" w:rsidP="0010431F">
            <w:pPr>
              <w:jc w:val="both"/>
              <w:rPr>
                <w:rFonts w:eastAsia="Calibri"/>
                <w:sz w:val="20"/>
                <w:lang w:val="fr-CA"/>
              </w:rPr>
            </w:pPr>
            <w:r w:rsidRPr="001667A2">
              <w:rPr>
                <w:rFonts w:eastAsia="Calibri"/>
                <w:sz w:val="20"/>
                <w:lang w:val="fr-CA"/>
              </w:rPr>
              <w:t>Appel rejeté avec dépens</w:t>
            </w:r>
          </w:p>
          <w:p w:rsidR="0010431F" w:rsidRPr="001667A2" w:rsidRDefault="0010431F" w:rsidP="0010431F">
            <w:pPr>
              <w:jc w:val="both"/>
              <w:rPr>
                <w:rFonts w:eastAsia="Calibri"/>
                <w:sz w:val="20"/>
                <w:lang w:val="fr-CA"/>
              </w:rPr>
            </w:pPr>
          </w:p>
        </w:tc>
      </w:tr>
      <w:tr w:rsidR="0010431F" w:rsidRPr="009122D4" w:rsidTr="0010431F">
        <w:tc>
          <w:tcPr>
            <w:tcW w:w="2427" w:type="pct"/>
          </w:tcPr>
          <w:p w:rsidR="0010431F" w:rsidRPr="001667A2" w:rsidRDefault="0010431F" w:rsidP="0010431F">
            <w:pPr>
              <w:jc w:val="both"/>
              <w:rPr>
                <w:rFonts w:eastAsia="Calibri"/>
                <w:sz w:val="20"/>
                <w:lang w:val="fr-CA"/>
              </w:rPr>
            </w:pPr>
            <w:r w:rsidRPr="001667A2">
              <w:rPr>
                <w:rFonts w:eastAsia="Calibri"/>
                <w:sz w:val="20"/>
                <w:lang w:val="fr-CA"/>
              </w:rPr>
              <w:t>29 septembre 2010</w:t>
            </w:r>
          </w:p>
          <w:p w:rsidR="0010431F" w:rsidRPr="001667A2" w:rsidRDefault="0010431F" w:rsidP="0010431F">
            <w:pPr>
              <w:jc w:val="both"/>
              <w:rPr>
                <w:rFonts w:eastAsia="Calibri"/>
                <w:sz w:val="20"/>
                <w:lang w:val="fr-CA"/>
              </w:rPr>
            </w:pPr>
            <w:r w:rsidRPr="001667A2">
              <w:rPr>
                <w:rFonts w:eastAsia="Calibri"/>
                <w:sz w:val="20"/>
                <w:lang w:val="fr-CA"/>
              </w:rPr>
              <w:t>Cour suprême du Canada</w:t>
            </w:r>
          </w:p>
        </w:tc>
        <w:tc>
          <w:tcPr>
            <w:tcW w:w="243" w:type="pct"/>
          </w:tcPr>
          <w:p w:rsidR="0010431F" w:rsidRPr="001667A2" w:rsidRDefault="0010431F" w:rsidP="0010431F">
            <w:pPr>
              <w:jc w:val="both"/>
              <w:rPr>
                <w:rFonts w:eastAsia="Calibri"/>
                <w:sz w:val="20"/>
                <w:lang w:val="fr-CA"/>
              </w:rPr>
            </w:pPr>
          </w:p>
        </w:tc>
        <w:tc>
          <w:tcPr>
            <w:tcW w:w="2330" w:type="pct"/>
          </w:tcPr>
          <w:p w:rsidR="0010431F" w:rsidRPr="001667A2" w:rsidRDefault="0010431F" w:rsidP="0010431F">
            <w:pPr>
              <w:jc w:val="both"/>
              <w:rPr>
                <w:rFonts w:eastAsia="Calibri"/>
                <w:sz w:val="20"/>
                <w:lang w:val="fr-CA"/>
              </w:rPr>
            </w:pPr>
            <w:r w:rsidRPr="001667A2">
              <w:rPr>
                <w:rFonts w:eastAsia="Calibri"/>
                <w:sz w:val="20"/>
                <w:lang w:val="fr-CA"/>
              </w:rPr>
              <w:t>Requête en vue de déposer un mémoire volumineux et demande d’autorisation d’appel, déposées</w:t>
            </w:r>
          </w:p>
        </w:tc>
      </w:tr>
    </w:tbl>
    <w:p w:rsidR="00AF63D3" w:rsidRPr="0010431F" w:rsidRDefault="00AF63D3" w:rsidP="00AF63D3">
      <w:pPr>
        <w:rPr>
          <w:sz w:val="20"/>
          <w:szCs w:val="20"/>
          <w:lang w:val="fr-CA"/>
        </w:rPr>
      </w:pPr>
    </w:p>
    <w:p w:rsidR="00AF63D3" w:rsidRDefault="003E529C" w:rsidP="00AF63D3">
      <w:pPr>
        <w:rPr>
          <w:sz w:val="20"/>
          <w:szCs w:val="20"/>
          <w:lang w:val="fr-CA"/>
        </w:rPr>
      </w:pPr>
      <w:r w:rsidRPr="003E529C">
        <w:rPr>
          <w:sz w:val="20"/>
          <w:szCs w:val="20"/>
          <w:lang w:val="fr-CA"/>
        </w:rPr>
        <w:pict>
          <v:rect id="_x0000_i1052" style="width:2in;height:1pt" o:hrpct="0" o:hralign="center" o:hrstd="t" o:hrnoshade="t" o:hr="t" fillcolor="black [3213]" stroked="f"/>
        </w:pict>
      </w:r>
    </w:p>
    <w:p w:rsidR="00AF63D3" w:rsidRDefault="00AF63D3" w:rsidP="00AF63D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B2464" w:rsidRPr="001B2464" w:rsidTr="00E022C0">
        <w:trPr>
          <w:cantSplit/>
        </w:trPr>
        <w:tc>
          <w:tcPr>
            <w:tcW w:w="1458" w:type="dxa"/>
          </w:tcPr>
          <w:p w:rsidR="001B2464" w:rsidRPr="001B2464" w:rsidRDefault="001B2464" w:rsidP="00E022C0">
            <w:pPr>
              <w:rPr>
                <w:sz w:val="20"/>
                <w:szCs w:val="20"/>
              </w:rPr>
            </w:pPr>
            <w:r w:rsidRPr="001B2464">
              <w:rPr>
                <w:rStyle w:val="SCCFileNumberChar"/>
                <w:sz w:val="20"/>
                <w:szCs w:val="20"/>
              </w:rPr>
              <w:t>33904</w:t>
            </w:r>
          </w:p>
          <w:p w:rsidR="001B2464" w:rsidRPr="001B2464" w:rsidRDefault="001B2464" w:rsidP="00E022C0">
            <w:pPr>
              <w:rPr>
                <w:b/>
                <w:sz w:val="20"/>
                <w:szCs w:val="20"/>
                <w:lang w:val="fr-CA"/>
              </w:rPr>
            </w:pPr>
          </w:p>
        </w:tc>
        <w:tc>
          <w:tcPr>
            <w:tcW w:w="8118" w:type="dxa"/>
          </w:tcPr>
          <w:p w:rsidR="001B2464" w:rsidRPr="001B2464" w:rsidRDefault="001B2464" w:rsidP="009122D4">
            <w:pPr>
              <w:jc w:val="both"/>
              <w:rPr>
                <w:sz w:val="20"/>
                <w:szCs w:val="20"/>
              </w:rPr>
            </w:pPr>
            <w:r w:rsidRPr="001B2464">
              <w:rPr>
                <w:rStyle w:val="SCCLsocChar"/>
                <w:sz w:val="20"/>
                <w:szCs w:val="20"/>
                <w:lang w:val="en-CA"/>
              </w:rPr>
              <w:t>Cimaco International Sales, Inc. (d.b.a. Cimaco Travel) v. Business Practices &amp; Consumer Protection Authority</w:t>
            </w:r>
            <w:r w:rsidR="009122D4">
              <w:rPr>
                <w:rStyle w:val="SCCLsocChar"/>
                <w:sz w:val="20"/>
                <w:szCs w:val="20"/>
                <w:lang w:val="en-CA"/>
              </w:rPr>
              <w:t xml:space="preserve"> and</w:t>
            </w:r>
            <w:r w:rsidRPr="001B2464">
              <w:rPr>
                <w:rStyle w:val="SCCLsocChar"/>
                <w:sz w:val="20"/>
                <w:szCs w:val="20"/>
                <w:lang w:val="en-CA"/>
              </w:rPr>
              <w:t xml:space="preserve"> Her Majesty the Queen in Right of the Province of British Columbia</w:t>
            </w:r>
            <w:r w:rsidRPr="001B2464">
              <w:rPr>
                <w:sz w:val="20"/>
                <w:szCs w:val="20"/>
              </w:rPr>
              <w:t xml:space="preserve"> (B.C.) (Civil) (By Leave)</w:t>
            </w:r>
          </w:p>
          <w:p w:rsidR="001B2464" w:rsidRPr="001B2464" w:rsidRDefault="001B2464" w:rsidP="00E022C0">
            <w:pPr>
              <w:rPr>
                <w:sz w:val="20"/>
                <w:szCs w:val="20"/>
              </w:rPr>
            </w:pPr>
          </w:p>
        </w:tc>
      </w:tr>
      <w:tr w:rsidR="001B2464" w:rsidRPr="001B2464" w:rsidTr="00E022C0">
        <w:trPr>
          <w:cantSplit/>
        </w:trPr>
        <w:tc>
          <w:tcPr>
            <w:tcW w:w="1458" w:type="dxa"/>
          </w:tcPr>
          <w:p w:rsidR="001B2464" w:rsidRPr="001B2464" w:rsidRDefault="001B2464" w:rsidP="00E022C0">
            <w:pPr>
              <w:rPr>
                <w:sz w:val="20"/>
                <w:szCs w:val="20"/>
              </w:rPr>
            </w:pPr>
            <w:r w:rsidRPr="001B2464">
              <w:rPr>
                <w:sz w:val="20"/>
                <w:szCs w:val="20"/>
              </w:rPr>
              <w:t>Coram :</w:t>
            </w:r>
          </w:p>
        </w:tc>
        <w:tc>
          <w:tcPr>
            <w:tcW w:w="8118" w:type="dxa"/>
          </w:tcPr>
          <w:p w:rsidR="001B2464" w:rsidRPr="001B2464" w:rsidRDefault="001B2464" w:rsidP="00E022C0">
            <w:pPr>
              <w:rPr>
                <w:sz w:val="20"/>
                <w:szCs w:val="20"/>
              </w:rPr>
            </w:pPr>
            <w:r w:rsidRPr="001B2464">
              <w:rPr>
                <w:rStyle w:val="SCCCoramChar"/>
                <w:sz w:val="20"/>
                <w:szCs w:val="20"/>
                <w:lang w:val="en-CA"/>
              </w:rPr>
              <w:t>McLachlin C.J. and Abella and Cromwell JJ.</w:t>
            </w:r>
          </w:p>
          <w:p w:rsidR="001B2464" w:rsidRPr="001B2464" w:rsidRDefault="001B2464" w:rsidP="00E022C0">
            <w:pPr>
              <w:rPr>
                <w:sz w:val="20"/>
                <w:szCs w:val="20"/>
                <w:u w:val="single"/>
              </w:rPr>
            </w:pPr>
          </w:p>
        </w:tc>
      </w:tr>
      <w:tr w:rsidR="001B2464" w:rsidRPr="009122D4" w:rsidTr="00E022C0">
        <w:trPr>
          <w:cantSplit/>
        </w:trPr>
        <w:tc>
          <w:tcPr>
            <w:tcW w:w="9576" w:type="dxa"/>
            <w:gridSpan w:val="2"/>
          </w:tcPr>
          <w:p w:rsidR="001B2464" w:rsidRPr="001B2464" w:rsidRDefault="001B2464" w:rsidP="00E022C0">
            <w:pPr>
              <w:pStyle w:val="SCCShortJudgment"/>
              <w:rPr>
                <w:szCs w:val="20"/>
              </w:rPr>
            </w:pPr>
            <w:r w:rsidRPr="001B2464">
              <w:rPr>
                <w:szCs w:val="20"/>
              </w:rPr>
              <w:lastRenderedPageBreak/>
              <w:t>The motion of Her Majesty the Queen in Right of the Province of British Columbia to be added as a respondent is granted.  The application for leave to appeal from the judgment of the Court of Appeal for British Columbia (Vancouver), Number CA037298, 2010 BCCA 342, dated July 2, 2010, is dismissed without costs.</w:t>
            </w:r>
          </w:p>
          <w:p w:rsidR="001B2464" w:rsidRPr="001B2464" w:rsidRDefault="001B2464" w:rsidP="00E022C0">
            <w:pPr>
              <w:pStyle w:val="SCCShortJudgment"/>
              <w:ind w:firstLine="0"/>
              <w:rPr>
                <w:szCs w:val="20"/>
              </w:rPr>
            </w:pPr>
          </w:p>
          <w:p w:rsidR="001B2464" w:rsidRPr="001B2464" w:rsidRDefault="001B2464" w:rsidP="001B2464">
            <w:pPr>
              <w:pStyle w:val="SCCShortJudgment"/>
              <w:rPr>
                <w:szCs w:val="20"/>
                <w:lang w:val="fr-CA"/>
              </w:rPr>
            </w:pPr>
            <w:r w:rsidRPr="001B2464">
              <w:rPr>
                <w:szCs w:val="20"/>
                <w:lang w:val="fr-CA"/>
              </w:rPr>
              <w:t>La requête de Sa Majesté la Reine du chef de la province de la Colombie-Britannique visant à être ajoutée comme intimée est accordée. La demande d’autorisation d’appel de l’arrêt de la Cour d’appel de la Colombie-Britannique (Vancouver), numéro CA037298, 2010 BCCA 342, daté du 2 juillet 2010, est rejetée sans dépens.</w:t>
            </w:r>
          </w:p>
        </w:tc>
      </w:tr>
    </w:tbl>
    <w:p w:rsidR="00AF63D3" w:rsidRPr="001B2464" w:rsidRDefault="00AF63D3" w:rsidP="008D292F">
      <w:pPr>
        <w:rPr>
          <w:sz w:val="20"/>
          <w:szCs w:val="20"/>
          <w:lang w:val="fr-CA"/>
        </w:rPr>
      </w:pPr>
    </w:p>
    <w:p w:rsidR="00AF63D3" w:rsidRDefault="00AF63D3" w:rsidP="00AF63D3">
      <w:pPr>
        <w:rPr>
          <w:sz w:val="20"/>
          <w:szCs w:val="20"/>
        </w:rPr>
      </w:pPr>
      <w:r>
        <w:rPr>
          <w:sz w:val="20"/>
          <w:szCs w:val="20"/>
          <w:u w:val="single"/>
        </w:rPr>
        <w:t>CASE SUMMARY</w:t>
      </w:r>
    </w:p>
    <w:p w:rsidR="00AF63D3" w:rsidRDefault="00AF63D3" w:rsidP="00AF63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0431F" w:rsidRPr="001667A2" w:rsidTr="0010431F">
        <w:tc>
          <w:tcPr>
            <w:tcW w:w="5000" w:type="pct"/>
            <w:gridSpan w:val="3"/>
          </w:tcPr>
          <w:p w:rsidR="0010431F" w:rsidRPr="001667A2" w:rsidRDefault="0010431F" w:rsidP="0010431F">
            <w:pPr>
              <w:jc w:val="both"/>
              <w:rPr>
                <w:rFonts w:eastAsia="Calibri"/>
                <w:sz w:val="20"/>
              </w:rPr>
            </w:pPr>
            <w:r w:rsidRPr="001667A2">
              <w:rPr>
                <w:rFonts w:eastAsia="Calibri"/>
                <w:i/>
                <w:sz w:val="20"/>
              </w:rPr>
              <w:t xml:space="preserve">Charter of Rights </w:t>
            </w:r>
            <w:r w:rsidRPr="001667A2">
              <w:rPr>
                <w:rFonts w:eastAsia="Calibri"/>
                <w:sz w:val="20"/>
              </w:rPr>
              <w:t xml:space="preserve">– Courts – Jurisdiction - Administrative law – Judicial review – Abuse of process - Torts – Damages - Breach of Contract - Whether the lower courts erred in striking the applicant’s claims in tort and breach of contract as an abuse of process - Whether pursuit of an appropriate and effective legal remedy constitutes abuse of process - Whether a 2-step litigation process with a judicial review pre-screening is necessary for pursuing remedies in tort related to an administrative decision which is not impugned and what standards should govern such a process - Whether an autonomous, non-governmental, privately staffed corporation operating under the delegated government authority ought to be held to the same standards of liability in tort as the Crown, its agents and tribunals of law - Whether the respondent is immune to civil action for its conduct - Whether the lower courts erred in applying the facts, the law or the jurisprudence - Whether the courts have infringed on the applicant’s fundamental rights protected by the </w:t>
            </w:r>
            <w:r w:rsidRPr="001667A2">
              <w:rPr>
                <w:rFonts w:eastAsia="Calibri"/>
                <w:i/>
                <w:sz w:val="20"/>
              </w:rPr>
              <w:t xml:space="preserve">Canadian Charter of Rights and Freedoms </w:t>
            </w:r>
            <w:r w:rsidRPr="001667A2">
              <w:rPr>
                <w:rFonts w:eastAsia="Calibri"/>
                <w:sz w:val="20"/>
              </w:rPr>
              <w:t>- Whether the respondent can be liable in tort for overstepping its provincial jurisdiction and obstructing the applicant’s interprovincial business.</w:t>
            </w:r>
          </w:p>
          <w:p w:rsidR="0010431F" w:rsidRPr="001667A2" w:rsidRDefault="0010431F" w:rsidP="0010431F">
            <w:pPr>
              <w:jc w:val="both"/>
              <w:rPr>
                <w:rFonts w:eastAsia="Calibri"/>
                <w:sz w:val="20"/>
              </w:rPr>
            </w:pPr>
          </w:p>
        </w:tc>
      </w:tr>
      <w:tr w:rsidR="0010431F" w:rsidRPr="001667A2" w:rsidTr="0010431F">
        <w:tc>
          <w:tcPr>
            <w:tcW w:w="5000" w:type="pct"/>
            <w:gridSpan w:val="3"/>
          </w:tcPr>
          <w:p w:rsidR="0010431F" w:rsidRPr="001667A2" w:rsidRDefault="0010431F" w:rsidP="0010431F">
            <w:pPr>
              <w:jc w:val="both"/>
              <w:rPr>
                <w:rFonts w:eastAsia="Calibri"/>
                <w:sz w:val="20"/>
              </w:rPr>
            </w:pPr>
            <w:r w:rsidRPr="001667A2">
              <w:rPr>
                <w:rFonts w:eastAsia="Calibri"/>
                <w:sz w:val="20"/>
              </w:rPr>
              <w:t xml:space="preserve">The applicant was licensed as a travel agent under the </w:t>
            </w:r>
            <w:r w:rsidRPr="001667A2">
              <w:rPr>
                <w:rFonts w:eastAsia="Calibri"/>
                <w:i/>
                <w:sz w:val="20"/>
              </w:rPr>
              <w:t>Travel Agents Act</w:t>
            </w:r>
            <w:r w:rsidRPr="001667A2">
              <w:rPr>
                <w:rFonts w:eastAsia="Calibri"/>
                <w:sz w:val="20"/>
              </w:rPr>
              <w:t xml:space="preserve">, R.S.B.C. 1979, c. 409, and its successor legislation, the </w:t>
            </w:r>
            <w:r w:rsidRPr="001667A2">
              <w:rPr>
                <w:rFonts w:eastAsia="Calibri"/>
                <w:i/>
                <w:sz w:val="20"/>
              </w:rPr>
              <w:t>Business Practices and Consumer Protection Act</w:t>
            </w:r>
            <w:r w:rsidRPr="001667A2">
              <w:rPr>
                <w:rFonts w:eastAsia="Calibri"/>
                <w:sz w:val="20"/>
              </w:rPr>
              <w:t>, S.B.C. 2004, c. 2 (the “</w:t>
            </w:r>
            <w:r w:rsidRPr="001667A2">
              <w:rPr>
                <w:rFonts w:eastAsia="Calibri"/>
                <w:i/>
                <w:sz w:val="20"/>
              </w:rPr>
              <w:t>Act</w:t>
            </w:r>
            <w:r w:rsidRPr="001667A2">
              <w:rPr>
                <w:rFonts w:eastAsia="Calibri"/>
                <w:sz w:val="20"/>
              </w:rPr>
              <w:t xml:space="preserve">”). While security was only required at the discretion of the Registrar under the original statute, the </w:t>
            </w:r>
            <w:r w:rsidRPr="001667A2">
              <w:rPr>
                <w:rFonts w:eastAsia="Calibri"/>
                <w:i/>
                <w:sz w:val="20"/>
              </w:rPr>
              <w:t>Act</w:t>
            </w:r>
            <w:r w:rsidRPr="001667A2">
              <w:rPr>
                <w:rFonts w:eastAsia="Calibri"/>
                <w:sz w:val="20"/>
              </w:rPr>
              <w:t xml:space="preserve"> made security mandatory and payable in a proscribed amount.</w:t>
            </w:r>
          </w:p>
          <w:p w:rsidR="0010431F" w:rsidRPr="001667A2" w:rsidRDefault="0010431F" w:rsidP="0010431F">
            <w:pPr>
              <w:jc w:val="both"/>
              <w:rPr>
                <w:rFonts w:eastAsia="Calibri"/>
                <w:sz w:val="20"/>
              </w:rPr>
            </w:pPr>
          </w:p>
          <w:p w:rsidR="0010431F" w:rsidRPr="001667A2" w:rsidRDefault="0010431F" w:rsidP="0010431F">
            <w:pPr>
              <w:jc w:val="both"/>
              <w:rPr>
                <w:rFonts w:eastAsia="Calibri"/>
                <w:sz w:val="20"/>
              </w:rPr>
            </w:pPr>
            <w:r w:rsidRPr="001667A2">
              <w:rPr>
                <w:rFonts w:eastAsia="Calibri"/>
                <w:sz w:val="20"/>
              </w:rPr>
              <w:t>The respondent advised the applicant that it had failed to pay its security. The applicant did not pay and responded by letter opposing the application to it of the security requirement on the basis that it had “grandfathered” status. The respondent suspended the applicant’s travel agency license. After a  reconsideration decision upheld the suspension, the applicant did not pursue judicial review of the decision but commenced an action against Her Majesty the Queen in Right of British Columbia and the respondent. They brought a motion to have the applicant’s claims dismissed under Rule 19(24).</w:t>
            </w:r>
          </w:p>
          <w:p w:rsidR="0010431F" w:rsidRPr="001667A2" w:rsidRDefault="0010431F" w:rsidP="0010431F">
            <w:pPr>
              <w:jc w:val="both"/>
              <w:rPr>
                <w:rFonts w:eastAsia="Calibri"/>
                <w:sz w:val="20"/>
              </w:rPr>
            </w:pPr>
          </w:p>
        </w:tc>
      </w:tr>
      <w:tr w:rsidR="0010431F" w:rsidRPr="001667A2" w:rsidTr="0010431F">
        <w:tc>
          <w:tcPr>
            <w:tcW w:w="2427" w:type="pct"/>
          </w:tcPr>
          <w:p w:rsidR="0010431F" w:rsidRPr="001667A2" w:rsidRDefault="0010431F" w:rsidP="0010431F">
            <w:pPr>
              <w:jc w:val="both"/>
              <w:rPr>
                <w:rFonts w:eastAsia="Calibri"/>
                <w:sz w:val="20"/>
              </w:rPr>
            </w:pPr>
            <w:r w:rsidRPr="001667A2">
              <w:rPr>
                <w:rFonts w:eastAsia="Calibri"/>
                <w:sz w:val="20"/>
              </w:rPr>
              <w:t>June 18, 2010</w:t>
            </w:r>
          </w:p>
          <w:p w:rsidR="0010431F" w:rsidRPr="001667A2" w:rsidRDefault="0010431F" w:rsidP="0010431F">
            <w:pPr>
              <w:jc w:val="both"/>
              <w:rPr>
                <w:rFonts w:eastAsia="Calibri"/>
                <w:sz w:val="20"/>
              </w:rPr>
            </w:pPr>
            <w:r w:rsidRPr="001667A2">
              <w:rPr>
                <w:rFonts w:eastAsia="Calibri"/>
                <w:sz w:val="20"/>
              </w:rPr>
              <w:t>Supreme Court of British Columbia</w:t>
            </w:r>
          </w:p>
          <w:p w:rsidR="0010431F" w:rsidRPr="001667A2" w:rsidRDefault="0010431F" w:rsidP="0010431F">
            <w:pPr>
              <w:jc w:val="both"/>
              <w:rPr>
                <w:rFonts w:eastAsia="Calibri"/>
                <w:sz w:val="20"/>
              </w:rPr>
            </w:pPr>
            <w:r w:rsidRPr="001667A2">
              <w:rPr>
                <w:rFonts w:eastAsia="Calibri"/>
                <w:sz w:val="20"/>
              </w:rPr>
              <w:t>(Myers J.)</w:t>
            </w:r>
          </w:p>
          <w:p w:rsidR="0010431F" w:rsidRPr="001667A2" w:rsidRDefault="0010431F" w:rsidP="0010431F">
            <w:pPr>
              <w:jc w:val="both"/>
              <w:rPr>
                <w:rFonts w:eastAsia="Calibri"/>
                <w:sz w:val="20"/>
              </w:rPr>
            </w:pPr>
            <w:r w:rsidRPr="001667A2">
              <w:rPr>
                <w:rFonts w:eastAsia="Calibri"/>
                <w:sz w:val="20"/>
              </w:rPr>
              <w:t>2009 BCSC 946</w:t>
            </w:r>
          </w:p>
        </w:tc>
        <w:tc>
          <w:tcPr>
            <w:tcW w:w="243" w:type="pct"/>
          </w:tcPr>
          <w:p w:rsidR="0010431F" w:rsidRPr="001667A2" w:rsidRDefault="0010431F" w:rsidP="0010431F">
            <w:pPr>
              <w:jc w:val="both"/>
              <w:rPr>
                <w:rFonts w:eastAsia="Calibri"/>
                <w:sz w:val="20"/>
              </w:rPr>
            </w:pPr>
          </w:p>
        </w:tc>
        <w:tc>
          <w:tcPr>
            <w:tcW w:w="2330" w:type="pct"/>
          </w:tcPr>
          <w:p w:rsidR="0010431F" w:rsidRPr="001667A2" w:rsidRDefault="0010431F" w:rsidP="0010431F">
            <w:pPr>
              <w:jc w:val="both"/>
              <w:rPr>
                <w:rFonts w:eastAsia="Calibri"/>
                <w:sz w:val="20"/>
              </w:rPr>
            </w:pPr>
            <w:r w:rsidRPr="001667A2">
              <w:rPr>
                <w:rFonts w:eastAsia="Calibri"/>
                <w:sz w:val="20"/>
              </w:rPr>
              <w:t>Respondent’s motion granted: Applicant’s claim for damages for tort and breach of contract dismissed; Applicant’s statement of claim struck except for constitutional challenge and claim for declaratory relief</w:t>
            </w:r>
          </w:p>
          <w:p w:rsidR="0010431F" w:rsidRPr="001667A2" w:rsidRDefault="0010431F" w:rsidP="0010431F">
            <w:pPr>
              <w:jc w:val="both"/>
              <w:rPr>
                <w:rFonts w:eastAsia="Calibri"/>
                <w:sz w:val="20"/>
              </w:rPr>
            </w:pPr>
          </w:p>
        </w:tc>
      </w:tr>
      <w:tr w:rsidR="0010431F" w:rsidRPr="001667A2" w:rsidTr="0010431F">
        <w:tc>
          <w:tcPr>
            <w:tcW w:w="2427" w:type="pct"/>
          </w:tcPr>
          <w:p w:rsidR="0010431F" w:rsidRPr="001667A2" w:rsidRDefault="0010431F" w:rsidP="0010431F">
            <w:pPr>
              <w:jc w:val="both"/>
              <w:rPr>
                <w:rFonts w:eastAsia="Calibri"/>
                <w:sz w:val="20"/>
              </w:rPr>
            </w:pPr>
            <w:r w:rsidRPr="001667A2">
              <w:rPr>
                <w:rFonts w:eastAsia="Calibri"/>
                <w:sz w:val="20"/>
              </w:rPr>
              <w:t>July 2, 2010</w:t>
            </w:r>
          </w:p>
          <w:p w:rsidR="0010431F" w:rsidRPr="001667A2" w:rsidRDefault="0010431F" w:rsidP="0010431F">
            <w:pPr>
              <w:jc w:val="both"/>
              <w:rPr>
                <w:rFonts w:eastAsia="Calibri"/>
                <w:sz w:val="20"/>
              </w:rPr>
            </w:pPr>
            <w:r w:rsidRPr="001667A2">
              <w:rPr>
                <w:rFonts w:eastAsia="Calibri"/>
                <w:sz w:val="20"/>
              </w:rPr>
              <w:t xml:space="preserve">Court of Appeal for British Columbia </w:t>
            </w:r>
          </w:p>
          <w:p w:rsidR="0010431F" w:rsidRPr="001667A2" w:rsidRDefault="0010431F" w:rsidP="0010431F">
            <w:pPr>
              <w:jc w:val="both"/>
              <w:rPr>
                <w:rFonts w:eastAsia="Calibri"/>
                <w:sz w:val="20"/>
              </w:rPr>
            </w:pPr>
            <w:r w:rsidRPr="001667A2">
              <w:rPr>
                <w:rFonts w:eastAsia="Calibri"/>
                <w:sz w:val="20"/>
              </w:rPr>
              <w:t>(Vancouver)</w:t>
            </w:r>
          </w:p>
          <w:p w:rsidR="0010431F" w:rsidRPr="001667A2" w:rsidRDefault="0010431F" w:rsidP="0010431F">
            <w:pPr>
              <w:jc w:val="both"/>
              <w:rPr>
                <w:rFonts w:eastAsia="Calibri"/>
                <w:sz w:val="20"/>
              </w:rPr>
            </w:pPr>
            <w:r w:rsidRPr="001667A2">
              <w:rPr>
                <w:rFonts w:eastAsia="Calibri"/>
                <w:sz w:val="20"/>
              </w:rPr>
              <w:t>(Levine, Smith and Kirkpatrick JJ.A.)</w:t>
            </w:r>
          </w:p>
          <w:p w:rsidR="0010431F" w:rsidRPr="001667A2" w:rsidRDefault="0010431F" w:rsidP="0010431F">
            <w:pPr>
              <w:jc w:val="both"/>
              <w:rPr>
                <w:rFonts w:eastAsia="Calibri"/>
                <w:sz w:val="20"/>
              </w:rPr>
            </w:pPr>
            <w:r w:rsidRPr="001667A2">
              <w:rPr>
                <w:rFonts w:eastAsia="Calibri"/>
                <w:sz w:val="20"/>
              </w:rPr>
              <w:t>2010 BCCA 342</w:t>
            </w:r>
          </w:p>
          <w:p w:rsidR="0010431F" w:rsidRPr="001667A2" w:rsidRDefault="0010431F" w:rsidP="0010431F">
            <w:pPr>
              <w:jc w:val="both"/>
              <w:rPr>
                <w:rFonts w:eastAsia="Calibri"/>
                <w:sz w:val="20"/>
              </w:rPr>
            </w:pPr>
          </w:p>
        </w:tc>
        <w:tc>
          <w:tcPr>
            <w:tcW w:w="243" w:type="pct"/>
          </w:tcPr>
          <w:p w:rsidR="0010431F" w:rsidRPr="001667A2" w:rsidRDefault="0010431F" w:rsidP="0010431F">
            <w:pPr>
              <w:jc w:val="both"/>
              <w:rPr>
                <w:rFonts w:eastAsia="Calibri"/>
                <w:sz w:val="20"/>
              </w:rPr>
            </w:pPr>
          </w:p>
        </w:tc>
        <w:tc>
          <w:tcPr>
            <w:tcW w:w="2330" w:type="pct"/>
          </w:tcPr>
          <w:p w:rsidR="0010431F" w:rsidRPr="001667A2" w:rsidRDefault="0010431F" w:rsidP="0010431F">
            <w:pPr>
              <w:jc w:val="both"/>
              <w:rPr>
                <w:rFonts w:eastAsia="Calibri"/>
                <w:sz w:val="20"/>
              </w:rPr>
            </w:pPr>
            <w:r w:rsidRPr="001667A2">
              <w:rPr>
                <w:rFonts w:eastAsia="Calibri"/>
                <w:sz w:val="20"/>
              </w:rPr>
              <w:t>Appeal dismissed</w:t>
            </w:r>
          </w:p>
          <w:p w:rsidR="0010431F" w:rsidRPr="001667A2" w:rsidRDefault="0010431F" w:rsidP="0010431F">
            <w:pPr>
              <w:jc w:val="both"/>
              <w:rPr>
                <w:rFonts w:eastAsia="Calibri"/>
                <w:sz w:val="20"/>
              </w:rPr>
            </w:pPr>
          </w:p>
        </w:tc>
      </w:tr>
      <w:tr w:rsidR="0010431F" w:rsidRPr="001667A2" w:rsidTr="0010431F">
        <w:tc>
          <w:tcPr>
            <w:tcW w:w="2427" w:type="pct"/>
          </w:tcPr>
          <w:p w:rsidR="0010431F" w:rsidRPr="001667A2" w:rsidRDefault="0010431F" w:rsidP="0010431F">
            <w:pPr>
              <w:jc w:val="both"/>
              <w:rPr>
                <w:rFonts w:eastAsia="Calibri"/>
                <w:sz w:val="20"/>
              </w:rPr>
            </w:pPr>
            <w:r w:rsidRPr="001667A2">
              <w:rPr>
                <w:rFonts w:eastAsia="Calibri"/>
                <w:sz w:val="20"/>
              </w:rPr>
              <w:t>September 29, 2010</w:t>
            </w:r>
          </w:p>
          <w:p w:rsidR="0010431F" w:rsidRPr="001667A2" w:rsidRDefault="0010431F" w:rsidP="0010431F">
            <w:pPr>
              <w:jc w:val="both"/>
              <w:rPr>
                <w:rFonts w:eastAsia="Calibri"/>
                <w:sz w:val="20"/>
              </w:rPr>
            </w:pPr>
            <w:r w:rsidRPr="001667A2">
              <w:rPr>
                <w:rFonts w:eastAsia="Calibri"/>
                <w:sz w:val="20"/>
              </w:rPr>
              <w:t>Supreme Court of Canada</w:t>
            </w:r>
          </w:p>
        </w:tc>
        <w:tc>
          <w:tcPr>
            <w:tcW w:w="243" w:type="pct"/>
          </w:tcPr>
          <w:p w:rsidR="0010431F" w:rsidRPr="001667A2" w:rsidRDefault="0010431F" w:rsidP="0010431F">
            <w:pPr>
              <w:jc w:val="both"/>
              <w:rPr>
                <w:rFonts w:eastAsia="Calibri"/>
                <w:sz w:val="20"/>
              </w:rPr>
            </w:pPr>
          </w:p>
        </w:tc>
        <w:tc>
          <w:tcPr>
            <w:tcW w:w="2330" w:type="pct"/>
          </w:tcPr>
          <w:p w:rsidR="0010431F" w:rsidRPr="001667A2" w:rsidRDefault="0010431F" w:rsidP="0010431F">
            <w:pPr>
              <w:rPr>
                <w:rFonts w:eastAsia="Calibri"/>
                <w:sz w:val="20"/>
              </w:rPr>
            </w:pPr>
            <w:r w:rsidRPr="001667A2">
              <w:rPr>
                <w:rFonts w:eastAsia="Calibri"/>
                <w:sz w:val="20"/>
              </w:rPr>
              <w:t>Application for leave to appeal filed</w:t>
            </w:r>
            <w:r w:rsidRPr="001667A2">
              <w:rPr>
                <w:rFonts w:eastAsia="Calibri"/>
                <w:sz w:val="20"/>
              </w:rPr>
              <w:br/>
            </w:r>
          </w:p>
        </w:tc>
      </w:tr>
    </w:tbl>
    <w:p w:rsidR="00AF63D3" w:rsidRPr="00BA161A" w:rsidRDefault="00AF63D3" w:rsidP="00AF63D3">
      <w:pPr>
        <w:rPr>
          <w:sz w:val="20"/>
          <w:szCs w:val="20"/>
        </w:rPr>
      </w:pPr>
    </w:p>
    <w:p w:rsidR="00AF63D3" w:rsidRDefault="003E529C" w:rsidP="00AF63D3">
      <w:pPr>
        <w:rPr>
          <w:sz w:val="20"/>
          <w:szCs w:val="20"/>
          <w:lang w:val="fr-CA"/>
        </w:rPr>
      </w:pPr>
      <w:r w:rsidRPr="003E529C">
        <w:rPr>
          <w:sz w:val="20"/>
          <w:szCs w:val="20"/>
          <w:lang w:val="fr-CA"/>
        </w:rPr>
        <w:pict>
          <v:rect id="_x0000_i1053" style="width:2in;height:1pt" o:hrpct="0" o:hralign="center" o:hrstd="t" o:hrnoshade="t" o:hr="t" fillcolor="black [3213]" stroked="f"/>
        </w:pict>
      </w:r>
    </w:p>
    <w:p w:rsidR="005C28A9" w:rsidRDefault="005C28A9">
      <w:pPr>
        <w:rPr>
          <w:sz w:val="20"/>
          <w:szCs w:val="20"/>
        </w:rPr>
      </w:pPr>
      <w:r>
        <w:rPr>
          <w:sz w:val="20"/>
          <w:szCs w:val="20"/>
        </w:rPr>
        <w:br w:type="page"/>
      </w:r>
    </w:p>
    <w:p w:rsidR="00AF63D3" w:rsidRPr="00BA161A" w:rsidRDefault="00AF63D3" w:rsidP="00AF63D3">
      <w:pPr>
        <w:rPr>
          <w:sz w:val="20"/>
          <w:szCs w:val="20"/>
        </w:rPr>
      </w:pPr>
      <w:r>
        <w:rPr>
          <w:sz w:val="20"/>
          <w:szCs w:val="20"/>
          <w:u w:val="single"/>
        </w:rPr>
        <w:lastRenderedPageBreak/>
        <w:t>RÉSUMÉ DE L’AFFAIRE</w:t>
      </w:r>
    </w:p>
    <w:p w:rsidR="00AF63D3" w:rsidRPr="00BA161A" w:rsidRDefault="00AF63D3" w:rsidP="00AF63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0431F" w:rsidRPr="009122D4" w:rsidTr="0010431F">
        <w:tc>
          <w:tcPr>
            <w:tcW w:w="5000" w:type="pct"/>
            <w:gridSpan w:val="3"/>
          </w:tcPr>
          <w:p w:rsidR="0010431F" w:rsidRPr="001667A2" w:rsidRDefault="0010431F" w:rsidP="0010431F">
            <w:pPr>
              <w:jc w:val="both"/>
              <w:rPr>
                <w:rFonts w:eastAsia="Calibri"/>
                <w:sz w:val="20"/>
                <w:lang w:val="fr-CA"/>
              </w:rPr>
            </w:pPr>
            <w:r w:rsidRPr="001667A2">
              <w:rPr>
                <w:rFonts w:eastAsia="Calibri"/>
                <w:i/>
                <w:sz w:val="20"/>
                <w:lang w:val="fr-CA"/>
              </w:rPr>
              <w:t xml:space="preserve">Charter des droits </w:t>
            </w:r>
            <w:r w:rsidRPr="001667A2">
              <w:rPr>
                <w:rFonts w:eastAsia="Calibri"/>
                <w:sz w:val="20"/>
                <w:lang w:val="fr-CA"/>
              </w:rPr>
              <w:t>– Tribunaux – Compétence – Droit administratif – Contrôle judiciaire – Abus de procédure – Responsabilité délictuelle – Dommages-intérêts – Inexécution de contrat – Les cours d’instance inférieure ont-elles commis une erreur en radiant, pour cause d’abus de procédure, les actions de la demanderesse fondées sur la responsabilité civile délictuelle et l’inexécution de contrat? – Le fait d’intenter un recours en justice approprié et efficace constitue</w:t>
            </w:r>
            <w:r w:rsidRPr="001667A2">
              <w:rPr>
                <w:rFonts w:eastAsia="Calibri"/>
                <w:sz w:val="20"/>
                <w:lang w:val="fr-CA"/>
              </w:rPr>
              <w:noBreakHyphen/>
              <w:t>t-il un abus de procédure?  - Un processus judiciaire en deux étapes comportant un examen préliminaire en contrôle judiciaire est-il nécessaire pour intenter des actions en responsabilité civile délictuelle liées à une décision administrative qui n’est pas contestée et quelles normes devraient régir un tel processus? – Une société autonome, non gouvernementale, qui recrute elle-même son  personnel, qui exerce ses activités en vertu du pouvoir délégué du gouvernement devrait</w:t>
            </w:r>
            <w:r w:rsidRPr="001667A2">
              <w:rPr>
                <w:rFonts w:eastAsia="Calibri"/>
                <w:sz w:val="20"/>
                <w:lang w:val="fr-CA"/>
              </w:rPr>
              <w:noBreakHyphen/>
              <w:t xml:space="preserve">elle être assujettie aux mêmes normes en matière de responsabilité civile délictuelle que la Couronne, ses mandataires et les tribunaux? – La défenderesse est-elle à l’abri de poursuites civiles relatives à ses agissements? – Les cours d’instance inférieure ont-elles commis une erreur dans leur application des faits, du droit ou de la jurisprudence? – Les cours ont-elles violé les droits fondamentaux de la demanderesse garantis par la </w:t>
            </w:r>
            <w:r w:rsidRPr="001667A2">
              <w:rPr>
                <w:rFonts w:eastAsia="Calibri"/>
                <w:i/>
                <w:sz w:val="20"/>
                <w:lang w:val="fr-CA"/>
              </w:rPr>
              <w:t>Charte canadienne des droits et libertés</w:t>
            </w:r>
            <w:r w:rsidRPr="001667A2">
              <w:rPr>
                <w:rFonts w:eastAsia="Calibri"/>
                <w:sz w:val="20"/>
                <w:lang w:val="fr-CA"/>
              </w:rPr>
              <w:t>?</w:t>
            </w:r>
            <w:r w:rsidRPr="001667A2">
              <w:rPr>
                <w:rFonts w:eastAsia="Calibri"/>
                <w:i/>
                <w:sz w:val="20"/>
                <w:lang w:val="fr-CA"/>
              </w:rPr>
              <w:t xml:space="preserve"> </w:t>
            </w:r>
            <w:r w:rsidRPr="001667A2">
              <w:rPr>
                <w:rFonts w:eastAsia="Calibri"/>
                <w:sz w:val="20"/>
                <w:lang w:val="fr-CA"/>
              </w:rPr>
              <w:t>– La responsabilité civile de la défenderesse peut-elle être retenue au motif qu’elle a outrepassé le pouvoir provinciale qui lui était délégué et qu’elle a fait obstacle aux activités interprovinciales de la demanderesse?</w:t>
            </w:r>
          </w:p>
          <w:p w:rsidR="0010431F" w:rsidRPr="001667A2" w:rsidRDefault="0010431F" w:rsidP="0010431F">
            <w:pPr>
              <w:jc w:val="both"/>
              <w:rPr>
                <w:rFonts w:eastAsia="Calibri"/>
                <w:sz w:val="20"/>
                <w:lang w:val="fr-CA"/>
              </w:rPr>
            </w:pPr>
          </w:p>
        </w:tc>
      </w:tr>
      <w:tr w:rsidR="0010431F" w:rsidRPr="009122D4" w:rsidTr="0010431F">
        <w:tc>
          <w:tcPr>
            <w:tcW w:w="5000" w:type="pct"/>
            <w:gridSpan w:val="3"/>
          </w:tcPr>
          <w:p w:rsidR="0010431F" w:rsidRPr="001667A2" w:rsidRDefault="0010431F" w:rsidP="0010431F">
            <w:pPr>
              <w:jc w:val="both"/>
              <w:rPr>
                <w:rFonts w:eastAsia="Calibri"/>
                <w:sz w:val="20"/>
                <w:lang w:val="fr-CA"/>
              </w:rPr>
            </w:pPr>
            <w:r w:rsidRPr="001667A2">
              <w:rPr>
                <w:rFonts w:eastAsia="Calibri"/>
                <w:sz w:val="20"/>
                <w:lang w:val="fr-CA"/>
              </w:rPr>
              <w:t xml:space="preserve">La demanderesse était titulaire d’un permis d’agence de voyage délivré en vertu de la </w:t>
            </w:r>
            <w:r w:rsidRPr="001667A2">
              <w:rPr>
                <w:rFonts w:eastAsia="Calibri"/>
                <w:i/>
                <w:sz w:val="20"/>
                <w:lang w:val="fr-CA"/>
              </w:rPr>
              <w:t>Travel Agents Act</w:t>
            </w:r>
            <w:r w:rsidRPr="001667A2">
              <w:rPr>
                <w:rFonts w:eastAsia="Calibri"/>
                <w:sz w:val="20"/>
                <w:lang w:val="fr-CA"/>
              </w:rPr>
              <w:t xml:space="preserve">, R.S.B.C. 1979, ch. 409, et de la loi qui l’a remplaçée, la </w:t>
            </w:r>
            <w:r w:rsidRPr="001667A2">
              <w:rPr>
                <w:rFonts w:eastAsia="Calibri"/>
                <w:i/>
                <w:sz w:val="20"/>
                <w:lang w:val="fr-CA"/>
              </w:rPr>
              <w:t>Business Practices and Consumer Protection Act</w:t>
            </w:r>
            <w:r w:rsidRPr="001667A2">
              <w:rPr>
                <w:rFonts w:eastAsia="Calibri"/>
                <w:sz w:val="20"/>
                <w:lang w:val="fr-CA"/>
              </w:rPr>
              <w:t>, S.B.C. 2004, ch. 2 (la Loi). En vertu de la loi originale, une garantie n’était exigée qu’à la discrétion du greffier, mais, en vertu de la Loi, il est obligatoire de fournir une garantie et de payer le montant prévu.</w:t>
            </w:r>
          </w:p>
          <w:p w:rsidR="0010431F" w:rsidRPr="001667A2" w:rsidRDefault="0010431F" w:rsidP="0010431F">
            <w:pPr>
              <w:jc w:val="both"/>
              <w:rPr>
                <w:rFonts w:eastAsia="Calibri"/>
                <w:sz w:val="20"/>
                <w:lang w:val="fr-CA"/>
              </w:rPr>
            </w:pPr>
          </w:p>
          <w:p w:rsidR="0010431F" w:rsidRPr="001667A2" w:rsidRDefault="0010431F" w:rsidP="0010431F">
            <w:pPr>
              <w:jc w:val="both"/>
              <w:rPr>
                <w:rFonts w:eastAsia="Calibri"/>
                <w:sz w:val="20"/>
                <w:lang w:val="fr-CA"/>
              </w:rPr>
            </w:pPr>
            <w:r w:rsidRPr="001667A2">
              <w:rPr>
                <w:rFonts w:eastAsia="Calibri"/>
                <w:sz w:val="20"/>
                <w:lang w:val="fr-CA"/>
              </w:rPr>
              <w:t xml:space="preserve">La défenderesse a informé la demanderesse qu’elle n’avait pas payé sa garantie. La demanderesse n’a pas payé et a répondu dans une lettre que l’exigence de fournir une garantie ne s’appliquait pas à elle parce qu’elle bénéficiait d’un droit acquis. La défenderesse a suspendu le  permis d’agence de voyage de la demanderesse. Après que la suspension fut confirmée par une décision rendue à la suite d’un réexamen, la demanderesse n’a pas demandé le contrôle judiciaire de la décision, mais elle a intenté une action contre </w:t>
            </w:r>
            <w:r w:rsidRPr="001667A2">
              <w:rPr>
                <w:rFonts w:eastAsia="Calibri"/>
                <w:color w:val="000000"/>
                <w:sz w:val="20"/>
                <w:lang w:val="fr-CA"/>
              </w:rPr>
              <w:t>Sa Majesté la Reine du chef de la Colombie-Britannique et la défenderesse</w:t>
            </w:r>
            <w:r w:rsidRPr="001667A2">
              <w:rPr>
                <w:rFonts w:eastAsia="Calibri"/>
                <w:sz w:val="20"/>
                <w:lang w:val="fr-CA"/>
              </w:rPr>
              <w:t>. Celles-ci ont déposé, en vertu de la Règle 19(24), une requête visant à faire rejeter les actions de la demanderesse.</w:t>
            </w:r>
          </w:p>
          <w:p w:rsidR="0010431F" w:rsidRPr="001667A2" w:rsidRDefault="0010431F" w:rsidP="0010431F">
            <w:pPr>
              <w:jc w:val="both"/>
              <w:rPr>
                <w:rFonts w:eastAsia="Calibri"/>
                <w:sz w:val="20"/>
                <w:lang w:val="fr-CA"/>
              </w:rPr>
            </w:pPr>
            <w:r w:rsidRPr="001667A2">
              <w:rPr>
                <w:rFonts w:eastAsia="Calibri"/>
                <w:sz w:val="20"/>
                <w:lang w:val="fr-CA"/>
              </w:rPr>
              <w:t xml:space="preserve"> </w:t>
            </w:r>
          </w:p>
        </w:tc>
      </w:tr>
      <w:tr w:rsidR="0010431F" w:rsidRPr="009122D4" w:rsidTr="0010431F">
        <w:tc>
          <w:tcPr>
            <w:tcW w:w="2427" w:type="pct"/>
          </w:tcPr>
          <w:p w:rsidR="0010431F" w:rsidRPr="001667A2" w:rsidRDefault="0010431F" w:rsidP="0010431F">
            <w:pPr>
              <w:jc w:val="both"/>
              <w:rPr>
                <w:rFonts w:eastAsia="Calibri"/>
                <w:sz w:val="20"/>
                <w:lang w:val="fr-CA"/>
              </w:rPr>
            </w:pPr>
            <w:r w:rsidRPr="001667A2">
              <w:rPr>
                <w:rFonts w:eastAsia="Calibri"/>
                <w:sz w:val="20"/>
                <w:lang w:val="fr-CA"/>
              </w:rPr>
              <w:t>18 juin 2010</w:t>
            </w:r>
          </w:p>
          <w:p w:rsidR="0010431F" w:rsidRPr="001667A2" w:rsidRDefault="0010431F" w:rsidP="0010431F">
            <w:pPr>
              <w:jc w:val="both"/>
              <w:rPr>
                <w:rFonts w:eastAsia="Calibri"/>
                <w:sz w:val="20"/>
                <w:lang w:val="fr-CA"/>
              </w:rPr>
            </w:pPr>
            <w:r w:rsidRPr="001667A2">
              <w:rPr>
                <w:rFonts w:eastAsia="Calibri"/>
                <w:sz w:val="20"/>
                <w:lang w:val="fr-CA"/>
              </w:rPr>
              <w:t>Cour suprême de la Colombie-Britannique</w:t>
            </w:r>
          </w:p>
          <w:p w:rsidR="0010431F" w:rsidRPr="001667A2" w:rsidRDefault="0010431F" w:rsidP="0010431F">
            <w:pPr>
              <w:jc w:val="both"/>
              <w:rPr>
                <w:rFonts w:eastAsia="Calibri"/>
                <w:sz w:val="20"/>
                <w:lang w:val="fr-CA"/>
              </w:rPr>
            </w:pPr>
            <w:r w:rsidRPr="001667A2">
              <w:rPr>
                <w:rFonts w:eastAsia="Calibri"/>
                <w:sz w:val="20"/>
                <w:lang w:val="fr-CA"/>
              </w:rPr>
              <w:t>(juge Myers)</w:t>
            </w:r>
          </w:p>
          <w:p w:rsidR="0010431F" w:rsidRPr="001667A2" w:rsidRDefault="0010431F" w:rsidP="0010431F">
            <w:pPr>
              <w:jc w:val="both"/>
              <w:rPr>
                <w:rFonts w:eastAsia="Calibri"/>
                <w:sz w:val="20"/>
                <w:lang w:val="fr-CA"/>
              </w:rPr>
            </w:pPr>
            <w:r w:rsidRPr="001667A2">
              <w:rPr>
                <w:rFonts w:eastAsia="Calibri"/>
                <w:sz w:val="20"/>
                <w:lang w:val="fr-CA"/>
              </w:rPr>
              <w:t>2009 BCSC 946</w:t>
            </w:r>
          </w:p>
        </w:tc>
        <w:tc>
          <w:tcPr>
            <w:tcW w:w="243" w:type="pct"/>
          </w:tcPr>
          <w:p w:rsidR="0010431F" w:rsidRPr="001667A2" w:rsidRDefault="0010431F" w:rsidP="0010431F">
            <w:pPr>
              <w:jc w:val="both"/>
              <w:rPr>
                <w:rFonts w:eastAsia="Calibri"/>
                <w:sz w:val="20"/>
                <w:lang w:val="fr-CA"/>
              </w:rPr>
            </w:pPr>
          </w:p>
        </w:tc>
        <w:tc>
          <w:tcPr>
            <w:tcW w:w="2330" w:type="pct"/>
          </w:tcPr>
          <w:p w:rsidR="0010431F" w:rsidRPr="001667A2" w:rsidRDefault="0010431F" w:rsidP="0010431F">
            <w:pPr>
              <w:jc w:val="both"/>
              <w:rPr>
                <w:rFonts w:eastAsia="Calibri"/>
                <w:sz w:val="20"/>
                <w:lang w:val="fr-CA"/>
              </w:rPr>
            </w:pPr>
            <w:r w:rsidRPr="001667A2">
              <w:rPr>
                <w:rFonts w:eastAsia="Calibri"/>
                <w:sz w:val="20"/>
                <w:lang w:val="fr-CA"/>
              </w:rPr>
              <w:t>Requête de la défenderesse accueillie : l’action en dommages-intérêts délictuels civil et inexécution de contrat de la demanderesse est rejetée; la déclaration de la demanderesse est radiée à l’exception de la contestation constitutionnelle et de la demande de jugement déclaratoire</w:t>
            </w:r>
          </w:p>
          <w:p w:rsidR="0010431F" w:rsidRPr="001667A2" w:rsidRDefault="0010431F" w:rsidP="0010431F">
            <w:pPr>
              <w:jc w:val="both"/>
              <w:rPr>
                <w:rFonts w:eastAsia="Calibri"/>
                <w:sz w:val="20"/>
                <w:lang w:val="fr-CA"/>
              </w:rPr>
            </w:pPr>
          </w:p>
        </w:tc>
      </w:tr>
      <w:tr w:rsidR="0010431F" w:rsidRPr="001667A2" w:rsidTr="0010431F">
        <w:tc>
          <w:tcPr>
            <w:tcW w:w="2427" w:type="pct"/>
          </w:tcPr>
          <w:p w:rsidR="0010431F" w:rsidRPr="001667A2" w:rsidRDefault="0010431F" w:rsidP="0010431F">
            <w:pPr>
              <w:jc w:val="both"/>
              <w:rPr>
                <w:rFonts w:eastAsia="Calibri"/>
                <w:sz w:val="20"/>
                <w:lang w:val="fr-CA"/>
              </w:rPr>
            </w:pPr>
            <w:r w:rsidRPr="001667A2">
              <w:rPr>
                <w:rFonts w:eastAsia="Calibri"/>
                <w:sz w:val="20"/>
                <w:lang w:val="fr-CA"/>
              </w:rPr>
              <w:t>2 juillet 2010</w:t>
            </w:r>
          </w:p>
          <w:p w:rsidR="0010431F" w:rsidRPr="001667A2" w:rsidRDefault="0010431F" w:rsidP="0010431F">
            <w:pPr>
              <w:jc w:val="both"/>
              <w:rPr>
                <w:rFonts w:eastAsia="Calibri"/>
                <w:sz w:val="20"/>
                <w:lang w:val="fr-CA"/>
              </w:rPr>
            </w:pPr>
            <w:r w:rsidRPr="001667A2">
              <w:rPr>
                <w:rFonts w:eastAsia="Calibri"/>
                <w:sz w:val="20"/>
                <w:lang w:val="fr-CA"/>
              </w:rPr>
              <w:t xml:space="preserve">Cour d’appel de la Colombie-Britannique </w:t>
            </w:r>
          </w:p>
          <w:p w:rsidR="0010431F" w:rsidRPr="001667A2" w:rsidRDefault="0010431F" w:rsidP="0010431F">
            <w:pPr>
              <w:jc w:val="both"/>
              <w:rPr>
                <w:rFonts w:eastAsia="Calibri"/>
                <w:sz w:val="20"/>
                <w:lang w:val="fr-CA"/>
              </w:rPr>
            </w:pPr>
            <w:r w:rsidRPr="001667A2">
              <w:rPr>
                <w:rFonts w:eastAsia="Calibri"/>
                <w:sz w:val="20"/>
                <w:lang w:val="fr-CA"/>
              </w:rPr>
              <w:t>(Vancouver)</w:t>
            </w:r>
          </w:p>
          <w:p w:rsidR="0010431F" w:rsidRPr="001667A2" w:rsidRDefault="0010431F" w:rsidP="0010431F">
            <w:pPr>
              <w:jc w:val="both"/>
              <w:rPr>
                <w:rFonts w:eastAsia="Calibri"/>
                <w:sz w:val="20"/>
                <w:lang w:val="fr-CA"/>
              </w:rPr>
            </w:pPr>
            <w:r w:rsidRPr="001667A2">
              <w:rPr>
                <w:rFonts w:eastAsia="Calibri"/>
                <w:sz w:val="20"/>
                <w:lang w:val="fr-CA"/>
              </w:rPr>
              <w:t>(juges Levine, Smith et Kirkpatrick)</w:t>
            </w:r>
          </w:p>
          <w:p w:rsidR="0010431F" w:rsidRPr="001667A2" w:rsidRDefault="0010431F" w:rsidP="0010431F">
            <w:pPr>
              <w:jc w:val="both"/>
              <w:rPr>
                <w:rFonts w:eastAsia="Calibri"/>
                <w:sz w:val="20"/>
                <w:lang w:val="fr-CA"/>
              </w:rPr>
            </w:pPr>
            <w:r w:rsidRPr="001667A2">
              <w:rPr>
                <w:rFonts w:eastAsia="Calibri"/>
                <w:sz w:val="20"/>
                <w:lang w:val="fr-CA"/>
              </w:rPr>
              <w:t>2010 BCCA 342</w:t>
            </w:r>
          </w:p>
          <w:p w:rsidR="0010431F" w:rsidRPr="001667A2" w:rsidRDefault="0010431F" w:rsidP="0010431F">
            <w:pPr>
              <w:jc w:val="both"/>
              <w:rPr>
                <w:rFonts w:eastAsia="Calibri"/>
                <w:sz w:val="20"/>
                <w:lang w:val="fr-CA"/>
              </w:rPr>
            </w:pPr>
          </w:p>
        </w:tc>
        <w:tc>
          <w:tcPr>
            <w:tcW w:w="243" w:type="pct"/>
          </w:tcPr>
          <w:p w:rsidR="0010431F" w:rsidRPr="001667A2" w:rsidRDefault="0010431F" w:rsidP="0010431F">
            <w:pPr>
              <w:jc w:val="both"/>
              <w:rPr>
                <w:rFonts w:eastAsia="Calibri"/>
                <w:sz w:val="20"/>
                <w:lang w:val="fr-CA"/>
              </w:rPr>
            </w:pPr>
          </w:p>
        </w:tc>
        <w:tc>
          <w:tcPr>
            <w:tcW w:w="2330" w:type="pct"/>
          </w:tcPr>
          <w:p w:rsidR="0010431F" w:rsidRPr="001667A2" w:rsidRDefault="0010431F" w:rsidP="0010431F">
            <w:pPr>
              <w:jc w:val="both"/>
              <w:rPr>
                <w:rFonts w:eastAsia="Calibri"/>
                <w:sz w:val="20"/>
                <w:lang w:val="fr-CA"/>
              </w:rPr>
            </w:pPr>
            <w:r w:rsidRPr="001667A2">
              <w:rPr>
                <w:rFonts w:eastAsia="Calibri"/>
                <w:sz w:val="20"/>
                <w:lang w:val="fr-CA"/>
              </w:rPr>
              <w:t>Appel rejeté</w:t>
            </w:r>
          </w:p>
          <w:p w:rsidR="0010431F" w:rsidRPr="001667A2" w:rsidRDefault="0010431F" w:rsidP="0010431F">
            <w:pPr>
              <w:jc w:val="both"/>
              <w:rPr>
                <w:rFonts w:eastAsia="Calibri"/>
                <w:sz w:val="20"/>
                <w:lang w:val="fr-CA"/>
              </w:rPr>
            </w:pPr>
          </w:p>
        </w:tc>
      </w:tr>
      <w:tr w:rsidR="0010431F" w:rsidRPr="001667A2" w:rsidTr="0010431F">
        <w:tc>
          <w:tcPr>
            <w:tcW w:w="2427" w:type="pct"/>
          </w:tcPr>
          <w:p w:rsidR="0010431F" w:rsidRPr="001667A2" w:rsidRDefault="0010431F" w:rsidP="0010431F">
            <w:pPr>
              <w:jc w:val="both"/>
              <w:rPr>
                <w:rFonts w:eastAsia="Calibri"/>
                <w:sz w:val="20"/>
                <w:lang w:val="fr-CA"/>
              </w:rPr>
            </w:pPr>
            <w:r w:rsidRPr="001667A2">
              <w:rPr>
                <w:rFonts w:eastAsia="Calibri"/>
                <w:sz w:val="20"/>
                <w:lang w:val="fr-CA"/>
              </w:rPr>
              <w:t>29 septembre 2010</w:t>
            </w:r>
          </w:p>
          <w:p w:rsidR="0010431F" w:rsidRPr="001667A2" w:rsidRDefault="0010431F" w:rsidP="0010431F">
            <w:pPr>
              <w:jc w:val="both"/>
              <w:rPr>
                <w:rFonts w:eastAsia="Calibri"/>
                <w:sz w:val="20"/>
                <w:lang w:val="fr-CA"/>
              </w:rPr>
            </w:pPr>
            <w:r w:rsidRPr="001667A2">
              <w:rPr>
                <w:rFonts w:eastAsia="Calibri"/>
                <w:sz w:val="20"/>
                <w:lang w:val="fr-CA"/>
              </w:rPr>
              <w:t>Cour suprême du Canada</w:t>
            </w:r>
          </w:p>
        </w:tc>
        <w:tc>
          <w:tcPr>
            <w:tcW w:w="243" w:type="pct"/>
          </w:tcPr>
          <w:p w:rsidR="0010431F" w:rsidRPr="001667A2" w:rsidRDefault="0010431F" w:rsidP="0010431F">
            <w:pPr>
              <w:jc w:val="both"/>
              <w:rPr>
                <w:rFonts w:eastAsia="Calibri"/>
                <w:sz w:val="20"/>
                <w:lang w:val="fr-CA"/>
              </w:rPr>
            </w:pPr>
          </w:p>
        </w:tc>
        <w:tc>
          <w:tcPr>
            <w:tcW w:w="2330" w:type="pct"/>
          </w:tcPr>
          <w:p w:rsidR="0010431F" w:rsidRPr="001667A2" w:rsidRDefault="0010431F" w:rsidP="0010431F">
            <w:pPr>
              <w:rPr>
                <w:rFonts w:eastAsia="Calibri"/>
                <w:sz w:val="20"/>
                <w:lang w:val="fr-CA"/>
              </w:rPr>
            </w:pPr>
            <w:r w:rsidRPr="001667A2">
              <w:rPr>
                <w:rFonts w:eastAsia="Calibri"/>
                <w:sz w:val="20"/>
                <w:lang w:val="fr-CA"/>
              </w:rPr>
              <w:t>Demande d’autorisation d’appel rejetée</w:t>
            </w:r>
            <w:r w:rsidRPr="001667A2">
              <w:rPr>
                <w:rFonts w:eastAsia="Calibri"/>
                <w:sz w:val="20"/>
                <w:lang w:val="fr-CA"/>
              </w:rPr>
              <w:br/>
            </w:r>
          </w:p>
        </w:tc>
      </w:tr>
    </w:tbl>
    <w:p w:rsidR="00AF63D3" w:rsidRDefault="00AF63D3" w:rsidP="00AF63D3">
      <w:pPr>
        <w:rPr>
          <w:sz w:val="20"/>
          <w:szCs w:val="20"/>
        </w:rPr>
      </w:pPr>
    </w:p>
    <w:p w:rsidR="00AF63D3" w:rsidRDefault="003E529C" w:rsidP="00AF63D3">
      <w:pPr>
        <w:rPr>
          <w:sz w:val="20"/>
          <w:szCs w:val="20"/>
          <w:lang w:val="fr-CA"/>
        </w:rPr>
      </w:pPr>
      <w:r w:rsidRPr="003E529C">
        <w:rPr>
          <w:sz w:val="20"/>
          <w:szCs w:val="20"/>
          <w:lang w:val="fr-CA"/>
        </w:rPr>
        <w:pict>
          <v:rect id="_x0000_i1054" style="width:2in;height:1pt" o:hrpct="0" o:hralign="center" o:hrstd="t" o:hrnoshade="t" o:hr="t" fillcolor="black [3213]" stroked="f"/>
        </w:pict>
      </w:r>
    </w:p>
    <w:p w:rsidR="005C28A9" w:rsidRDefault="005C28A9">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B2464" w:rsidRPr="001B2464" w:rsidTr="00E022C0">
        <w:trPr>
          <w:cantSplit/>
        </w:trPr>
        <w:tc>
          <w:tcPr>
            <w:tcW w:w="1458" w:type="dxa"/>
          </w:tcPr>
          <w:p w:rsidR="001B2464" w:rsidRPr="001B2464" w:rsidRDefault="001B2464" w:rsidP="00E022C0">
            <w:pPr>
              <w:rPr>
                <w:sz w:val="20"/>
                <w:szCs w:val="20"/>
              </w:rPr>
            </w:pPr>
            <w:r w:rsidRPr="001B2464">
              <w:rPr>
                <w:rStyle w:val="SCCFileNumberChar"/>
                <w:sz w:val="20"/>
                <w:szCs w:val="20"/>
              </w:rPr>
              <w:lastRenderedPageBreak/>
              <w:t>33911</w:t>
            </w:r>
          </w:p>
          <w:p w:rsidR="001B2464" w:rsidRPr="001B2464" w:rsidRDefault="001B2464" w:rsidP="00E022C0">
            <w:pPr>
              <w:rPr>
                <w:b/>
                <w:sz w:val="20"/>
                <w:szCs w:val="20"/>
                <w:lang w:val="fr-CA"/>
              </w:rPr>
            </w:pPr>
          </w:p>
        </w:tc>
        <w:tc>
          <w:tcPr>
            <w:tcW w:w="8118" w:type="dxa"/>
          </w:tcPr>
          <w:p w:rsidR="001B2464" w:rsidRPr="001B2464" w:rsidRDefault="001B2464" w:rsidP="0070396C">
            <w:pPr>
              <w:jc w:val="both"/>
              <w:rPr>
                <w:sz w:val="20"/>
                <w:szCs w:val="20"/>
              </w:rPr>
            </w:pPr>
            <w:r w:rsidRPr="001B2464">
              <w:rPr>
                <w:rStyle w:val="SCCLsocChar"/>
                <w:sz w:val="20"/>
                <w:szCs w:val="20"/>
                <w:lang w:val="en-CA"/>
              </w:rPr>
              <w:t>Damon William Knott v. Her Majesty the Queen AND BETWEEN D</w:t>
            </w:r>
            <w:r w:rsidR="0070396C">
              <w:rPr>
                <w:rStyle w:val="SCCLsocChar"/>
                <w:sz w:val="20"/>
                <w:szCs w:val="20"/>
                <w:lang w:val="en-CA"/>
              </w:rPr>
              <w:t>amon William Knott</w:t>
            </w:r>
            <w:r w:rsidRPr="001B2464">
              <w:rPr>
                <w:rStyle w:val="SCCLsocChar"/>
                <w:sz w:val="20"/>
                <w:szCs w:val="20"/>
                <w:lang w:val="en-CA"/>
              </w:rPr>
              <w:t xml:space="preserve"> v. Her Majesty the Queen</w:t>
            </w:r>
            <w:r w:rsidR="004919E3">
              <w:rPr>
                <w:rStyle w:val="SCCLsocChar"/>
                <w:sz w:val="20"/>
                <w:szCs w:val="20"/>
                <w:lang w:val="en-CA"/>
              </w:rPr>
              <w:t xml:space="preserve"> AND BETWEEN D.A.P. v. Her Majesty the Queen</w:t>
            </w:r>
            <w:r w:rsidRPr="001B2464">
              <w:rPr>
                <w:sz w:val="20"/>
                <w:szCs w:val="20"/>
              </w:rPr>
              <w:t xml:space="preserve"> (B.C.) (Criminal) (By Leave)</w:t>
            </w:r>
          </w:p>
          <w:p w:rsidR="001B2464" w:rsidRPr="001B2464" w:rsidRDefault="001B2464" w:rsidP="00E022C0">
            <w:pPr>
              <w:rPr>
                <w:sz w:val="20"/>
                <w:szCs w:val="20"/>
              </w:rPr>
            </w:pPr>
          </w:p>
        </w:tc>
      </w:tr>
      <w:tr w:rsidR="001B2464" w:rsidRPr="001B2464" w:rsidTr="00E022C0">
        <w:trPr>
          <w:cantSplit/>
        </w:trPr>
        <w:tc>
          <w:tcPr>
            <w:tcW w:w="1458" w:type="dxa"/>
          </w:tcPr>
          <w:p w:rsidR="001B2464" w:rsidRPr="001B2464" w:rsidRDefault="001B2464" w:rsidP="00E022C0">
            <w:pPr>
              <w:rPr>
                <w:sz w:val="20"/>
                <w:szCs w:val="20"/>
              </w:rPr>
            </w:pPr>
            <w:r w:rsidRPr="001B2464">
              <w:rPr>
                <w:sz w:val="20"/>
                <w:szCs w:val="20"/>
              </w:rPr>
              <w:t>Coram :</w:t>
            </w:r>
          </w:p>
        </w:tc>
        <w:tc>
          <w:tcPr>
            <w:tcW w:w="8118" w:type="dxa"/>
          </w:tcPr>
          <w:p w:rsidR="001B2464" w:rsidRPr="001B2464" w:rsidRDefault="001B2464" w:rsidP="00E022C0">
            <w:pPr>
              <w:rPr>
                <w:sz w:val="20"/>
                <w:szCs w:val="20"/>
              </w:rPr>
            </w:pPr>
            <w:r w:rsidRPr="001B2464">
              <w:rPr>
                <w:rStyle w:val="SCCCoramChar"/>
                <w:sz w:val="20"/>
                <w:szCs w:val="20"/>
                <w:lang w:val="en-CA"/>
              </w:rPr>
              <w:t>Binnie, Fish and Rothstein JJ.</w:t>
            </w:r>
          </w:p>
          <w:p w:rsidR="001B2464" w:rsidRPr="001B2464" w:rsidRDefault="001B2464" w:rsidP="00E022C0">
            <w:pPr>
              <w:rPr>
                <w:sz w:val="20"/>
                <w:szCs w:val="20"/>
                <w:u w:val="single"/>
              </w:rPr>
            </w:pPr>
          </w:p>
        </w:tc>
      </w:tr>
      <w:tr w:rsidR="001B2464" w:rsidRPr="009122D4" w:rsidTr="00E022C0">
        <w:trPr>
          <w:cantSplit/>
        </w:trPr>
        <w:tc>
          <w:tcPr>
            <w:tcW w:w="9576" w:type="dxa"/>
            <w:gridSpan w:val="2"/>
          </w:tcPr>
          <w:p w:rsidR="001B2464" w:rsidRPr="001B2464" w:rsidRDefault="001B2464" w:rsidP="00E022C0">
            <w:pPr>
              <w:pStyle w:val="SCCShortJudgment"/>
              <w:rPr>
                <w:szCs w:val="20"/>
              </w:rPr>
            </w:pPr>
            <w:r w:rsidRPr="001B2464">
              <w:rPr>
                <w:szCs w:val="20"/>
              </w:rPr>
              <w:t>The applications for leave to appeal from the judgment of the Court of Appeal for British Columbia (Vancouver), Numbers CA036904, CA036977 and CA037293,  2010 BCCA 386, dated August 26, 2010,  are granted without costs.</w:t>
            </w:r>
          </w:p>
          <w:p w:rsidR="001B2464" w:rsidRPr="001B2464" w:rsidRDefault="001B2464" w:rsidP="00E022C0">
            <w:pPr>
              <w:pStyle w:val="SCCShortJudgment"/>
              <w:ind w:firstLine="0"/>
              <w:rPr>
                <w:szCs w:val="20"/>
              </w:rPr>
            </w:pPr>
          </w:p>
          <w:p w:rsidR="001B2464" w:rsidRPr="001B2464" w:rsidRDefault="001B2464" w:rsidP="001B2464">
            <w:pPr>
              <w:pStyle w:val="SCCShortJudgment"/>
              <w:rPr>
                <w:szCs w:val="20"/>
                <w:lang w:val="fr-CA"/>
              </w:rPr>
            </w:pPr>
            <w:r w:rsidRPr="001B2464">
              <w:rPr>
                <w:szCs w:val="20"/>
                <w:lang w:val="fr-CA"/>
              </w:rPr>
              <w:t>Les demandes d’autorisation d’appel de l’arrêt de la Cour d’appel de la Colombie-Britannique (Vancouver), numéros CA036904, CA036977 et CA037293, 2010 BCCA 386, datés du 26 août 2010, sont accordées sans dépens.</w:t>
            </w:r>
          </w:p>
        </w:tc>
      </w:tr>
    </w:tbl>
    <w:p w:rsidR="00AF63D3" w:rsidRPr="001B2464" w:rsidRDefault="00AF63D3" w:rsidP="008D292F">
      <w:pPr>
        <w:rPr>
          <w:sz w:val="20"/>
          <w:szCs w:val="20"/>
          <w:lang w:val="fr-CA"/>
        </w:rPr>
      </w:pPr>
    </w:p>
    <w:p w:rsidR="00AF63D3" w:rsidRDefault="00AF63D3" w:rsidP="00AF63D3">
      <w:pPr>
        <w:rPr>
          <w:sz w:val="20"/>
          <w:szCs w:val="20"/>
        </w:rPr>
      </w:pPr>
      <w:r>
        <w:rPr>
          <w:sz w:val="20"/>
          <w:szCs w:val="20"/>
          <w:u w:val="single"/>
        </w:rPr>
        <w:t>CASE SUMMARY</w:t>
      </w:r>
    </w:p>
    <w:p w:rsidR="00AF63D3" w:rsidRDefault="00AF63D3" w:rsidP="00AF63D3">
      <w:pPr>
        <w:rPr>
          <w:sz w:val="20"/>
          <w:szCs w:val="20"/>
        </w:rPr>
      </w:pPr>
    </w:p>
    <w:tbl>
      <w:tblPr>
        <w:tblW w:w="4952" w:type="pct"/>
        <w:tblLayout w:type="fixed"/>
        <w:tblCellMar>
          <w:left w:w="0" w:type="dxa"/>
          <w:bottom w:w="99" w:type="dxa"/>
          <w:right w:w="0" w:type="dxa"/>
        </w:tblCellMar>
        <w:tblLook w:val="04A0"/>
      </w:tblPr>
      <w:tblGrid>
        <w:gridCol w:w="5366"/>
        <w:gridCol w:w="278"/>
        <w:gridCol w:w="3883"/>
      </w:tblGrid>
      <w:tr w:rsidR="0010431F" w:rsidRPr="001667A2" w:rsidTr="0010431F">
        <w:tc>
          <w:tcPr>
            <w:tcW w:w="5000" w:type="pct"/>
            <w:gridSpan w:val="3"/>
          </w:tcPr>
          <w:p w:rsidR="0010431F" w:rsidRPr="001667A2" w:rsidRDefault="0010431F" w:rsidP="0010431F">
            <w:pPr>
              <w:jc w:val="both"/>
              <w:rPr>
                <w:rFonts w:eastAsia="Calibri"/>
                <w:smallCaps/>
                <w:sz w:val="20"/>
              </w:rPr>
            </w:pPr>
            <w:r w:rsidRPr="001667A2">
              <w:rPr>
                <w:rFonts w:eastAsia="Calibri"/>
                <w:smallCaps/>
                <w:sz w:val="20"/>
              </w:rPr>
              <w:t>(Publication ban in case) (Publication ban on party)</w:t>
            </w:r>
          </w:p>
          <w:p w:rsidR="0010431F" w:rsidRPr="001667A2" w:rsidRDefault="0010431F" w:rsidP="0010431F">
            <w:pPr>
              <w:jc w:val="both"/>
              <w:rPr>
                <w:rFonts w:eastAsia="Calibri"/>
                <w:smallCaps/>
                <w:sz w:val="20"/>
              </w:rPr>
            </w:pPr>
          </w:p>
          <w:p w:rsidR="0010431F" w:rsidRPr="001667A2" w:rsidRDefault="0010431F" w:rsidP="0010431F">
            <w:pPr>
              <w:jc w:val="both"/>
              <w:rPr>
                <w:rFonts w:eastAsia="Calibri"/>
                <w:sz w:val="20"/>
              </w:rPr>
            </w:pPr>
            <w:r w:rsidRPr="001667A2">
              <w:rPr>
                <w:rFonts w:eastAsia="Calibri"/>
                <w:sz w:val="20"/>
              </w:rPr>
              <w:t xml:space="preserve">Criminal Law – Sentencing – Probation – Additional Sentences –  Whether s. 139(1) of the </w:t>
            </w:r>
            <w:r w:rsidRPr="001667A2">
              <w:rPr>
                <w:rFonts w:eastAsia="Calibri"/>
                <w:i/>
                <w:sz w:val="20"/>
              </w:rPr>
              <w:t>Corrections and Conditional Release Act</w:t>
            </w:r>
            <w:r w:rsidRPr="001667A2">
              <w:rPr>
                <w:rFonts w:eastAsia="Calibri"/>
                <w:sz w:val="20"/>
              </w:rPr>
              <w:t xml:space="preserve">, S.C. 1992, c. 20 merges sentences for the purpose of section 731(1) of the </w:t>
            </w:r>
            <w:r w:rsidRPr="001667A2">
              <w:rPr>
                <w:rFonts w:eastAsia="Calibri"/>
                <w:i/>
                <w:sz w:val="20"/>
              </w:rPr>
              <w:t>Criminal Code</w:t>
            </w:r>
            <w:r w:rsidRPr="001667A2">
              <w:rPr>
                <w:rFonts w:eastAsia="Calibri"/>
                <w:sz w:val="20"/>
              </w:rPr>
              <w:t xml:space="preserve"> R.S.C. 1985, c. C-46 – Whether s. 731(1) of the </w:t>
            </w:r>
            <w:r w:rsidRPr="001667A2">
              <w:rPr>
                <w:rFonts w:eastAsia="Calibri"/>
                <w:i/>
                <w:sz w:val="20"/>
              </w:rPr>
              <w:t>Criminal Code</w:t>
            </w:r>
            <w:r w:rsidRPr="001667A2">
              <w:rPr>
                <w:rFonts w:eastAsia="Calibri"/>
                <w:sz w:val="20"/>
              </w:rPr>
              <w:t xml:space="preserve"> is capable of being interpreted as applying to more than one sentence of imprisonment – Whether a remnant analysis applies –Whether the Court of Appeal filed to adhere to the recognized methods of interpreting statutory provisions that deprive offender’s of liberty.</w:t>
            </w:r>
          </w:p>
          <w:p w:rsidR="0010431F" w:rsidRPr="001667A2" w:rsidRDefault="0010431F" w:rsidP="0010431F">
            <w:pPr>
              <w:jc w:val="both"/>
              <w:rPr>
                <w:rFonts w:eastAsia="Calibri"/>
                <w:sz w:val="20"/>
              </w:rPr>
            </w:pPr>
          </w:p>
        </w:tc>
      </w:tr>
      <w:tr w:rsidR="0010431F" w:rsidRPr="001667A2" w:rsidTr="0010431F">
        <w:tc>
          <w:tcPr>
            <w:tcW w:w="5000" w:type="pct"/>
            <w:gridSpan w:val="3"/>
          </w:tcPr>
          <w:p w:rsidR="0010431F" w:rsidRPr="001667A2" w:rsidRDefault="0010431F" w:rsidP="0010431F">
            <w:pPr>
              <w:jc w:val="both"/>
              <w:rPr>
                <w:rFonts w:eastAsia="Calibri"/>
                <w:sz w:val="20"/>
              </w:rPr>
            </w:pPr>
            <w:r w:rsidRPr="001667A2">
              <w:rPr>
                <w:rFonts w:eastAsia="Calibri"/>
                <w:sz w:val="20"/>
              </w:rPr>
              <w:t>Damon William Knott was serving concurrent sentences of imprisonment, each followed by probation and the longest being two years, when he was sentenced to six months consecutive and then 8 months concurrent sentences plus probation.  D.A.P. was serving two years less a day plus probation when he was sentenced to three years' imprisonment, concurrent.</w:t>
            </w:r>
          </w:p>
          <w:p w:rsidR="0010431F" w:rsidRPr="001667A2" w:rsidRDefault="0010431F" w:rsidP="0010431F">
            <w:pPr>
              <w:jc w:val="both"/>
              <w:rPr>
                <w:rFonts w:eastAsia="Calibri"/>
                <w:sz w:val="20"/>
              </w:rPr>
            </w:pPr>
          </w:p>
        </w:tc>
      </w:tr>
      <w:tr w:rsidR="0010431F" w:rsidRPr="001667A2" w:rsidTr="0010431F">
        <w:tc>
          <w:tcPr>
            <w:tcW w:w="2816" w:type="pct"/>
          </w:tcPr>
          <w:p w:rsidR="0010431F" w:rsidRPr="001667A2" w:rsidRDefault="0010431F" w:rsidP="0010431F">
            <w:pPr>
              <w:jc w:val="both"/>
              <w:rPr>
                <w:rFonts w:eastAsia="Calibri"/>
                <w:sz w:val="20"/>
              </w:rPr>
            </w:pPr>
            <w:r w:rsidRPr="001667A2">
              <w:rPr>
                <w:rFonts w:eastAsia="Calibri"/>
                <w:sz w:val="20"/>
              </w:rPr>
              <w:t>August 18, 2005</w:t>
            </w:r>
          </w:p>
          <w:p w:rsidR="0010431F" w:rsidRPr="001667A2" w:rsidRDefault="0010431F" w:rsidP="0010431F">
            <w:pPr>
              <w:jc w:val="both"/>
              <w:rPr>
                <w:rFonts w:eastAsia="Calibri"/>
                <w:sz w:val="20"/>
              </w:rPr>
            </w:pPr>
            <w:r w:rsidRPr="001667A2">
              <w:rPr>
                <w:rFonts w:eastAsia="Calibri"/>
                <w:sz w:val="20"/>
              </w:rPr>
              <w:t>Provincial Court of British Columbia</w:t>
            </w:r>
          </w:p>
          <w:p w:rsidR="0010431F" w:rsidRPr="001667A2" w:rsidRDefault="0010431F" w:rsidP="0010431F">
            <w:pPr>
              <w:jc w:val="both"/>
              <w:rPr>
                <w:rFonts w:eastAsia="Calibri"/>
                <w:sz w:val="20"/>
              </w:rPr>
            </w:pPr>
            <w:r w:rsidRPr="001667A2">
              <w:rPr>
                <w:rFonts w:eastAsia="Calibri"/>
                <w:sz w:val="20"/>
              </w:rPr>
              <w:t xml:space="preserve">(Moss J.) </w:t>
            </w:r>
          </w:p>
          <w:p w:rsidR="0010431F" w:rsidRPr="001667A2" w:rsidRDefault="0010431F" w:rsidP="0010431F">
            <w:pPr>
              <w:jc w:val="both"/>
              <w:rPr>
                <w:rFonts w:eastAsia="Calibri"/>
                <w:sz w:val="20"/>
              </w:rPr>
            </w:pPr>
          </w:p>
        </w:tc>
        <w:tc>
          <w:tcPr>
            <w:tcW w:w="146" w:type="pct"/>
          </w:tcPr>
          <w:p w:rsidR="0010431F" w:rsidRPr="001667A2" w:rsidRDefault="0010431F" w:rsidP="0010431F">
            <w:pPr>
              <w:jc w:val="both"/>
              <w:rPr>
                <w:rFonts w:eastAsia="Calibri"/>
                <w:sz w:val="20"/>
              </w:rPr>
            </w:pPr>
          </w:p>
        </w:tc>
        <w:tc>
          <w:tcPr>
            <w:tcW w:w="2038" w:type="pct"/>
          </w:tcPr>
          <w:p w:rsidR="0010431F" w:rsidRPr="001667A2" w:rsidRDefault="0010431F" w:rsidP="0010431F">
            <w:pPr>
              <w:jc w:val="both"/>
              <w:rPr>
                <w:rFonts w:eastAsia="Calibri"/>
                <w:sz w:val="20"/>
              </w:rPr>
            </w:pPr>
            <w:r w:rsidRPr="001667A2">
              <w:rPr>
                <w:rFonts w:eastAsia="Calibri"/>
                <w:sz w:val="20"/>
              </w:rPr>
              <w:t xml:space="preserve">Damon William Knott  sentenced to 2 years imprisonment, 3 years probation   </w:t>
            </w:r>
          </w:p>
        </w:tc>
      </w:tr>
      <w:tr w:rsidR="0010431F" w:rsidRPr="001667A2" w:rsidTr="0010431F">
        <w:tc>
          <w:tcPr>
            <w:tcW w:w="2816" w:type="pct"/>
          </w:tcPr>
          <w:p w:rsidR="0010431F" w:rsidRPr="001667A2" w:rsidRDefault="0010431F" w:rsidP="0010431F">
            <w:pPr>
              <w:jc w:val="both"/>
              <w:rPr>
                <w:rFonts w:eastAsia="Calibri"/>
                <w:sz w:val="20"/>
              </w:rPr>
            </w:pPr>
            <w:r w:rsidRPr="001667A2">
              <w:rPr>
                <w:rFonts w:eastAsia="Calibri"/>
                <w:sz w:val="20"/>
              </w:rPr>
              <w:t>September 8, 2005</w:t>
            </w:r>
          </w:p>
          <w:p w:rsidR="0010431F" w:rsidRPr="001667A2" w:rsidRDefault="0010431F" w:rsidP="0010431F">
            <w:pPr>
              <w:jc w:val="both"/>
              <w:rPr>
                <w:rFonts w:eastAsia="Calibri"/>
                <w:sz w:val="20"/>
              </w:rPr>
            </w:pPr>
            <w:r w:rsidRPr="001667A2">
              <w:rPr>
                <w:rFonts w:eastAsia="Calibri"/>
                <w:sz w:val="20"/>
              </w:rPr>
              <w:t>Provincial Court of British Columbia</w:t>
            </w:r>
          </w:p>
          <w:p w:rsidR="0010431F" w:rsidRPr="001667A2" w:rsidRDefault="0010431F" w:rsidP="0010431F">
            <w:pPr>
              <w:jc w:val="both"/>
              <w:rPr>
                <w:rFonts w:eastAsia="Calibri"/>
                <w:sz w:val="20"/>
              </w:rPr>
            </w:pPr>
            <w:r w:rsidRPr="001667A2">
              <w:rPr>
                <w:rFonts w:eastAsia="Calibri"/>
                <w:sz w:val="20"/>
              </w:rPr>
              <w:t>(Moss J.)</w:t>
            </w:r>
          </w:p>
          <w:p w:rsidR="0010431F" w:rsidRPr="001667A2" w:rsidRDefault="0010431F" w:rsidP="0010431F">
            <w:pPr>
              <w:jc w:val="both"/>
              <w:rPr>
                <w:rFonts w:eastAsia="Calibri"/>
                <w:sz w:val="20"/>
              </w:rPr>
            </w:pPr>
          </w:p>
        </w:tc>
        <w:tc>
          <w:tcPr>
            <w:tcW w:w="146" w:type="pct"/>
          </w:tcPr>
          <w:p w:rsidR="0010431F" w:rsidRPr="001667A2" w:rsidRDefault="0010431F" w:rsidP="0010431F">
            <w:pPr>
              <w:jc w:val="both"/>
              <w:rPr>
                <w:rFonts w:eastAsia="Calibri"/>
                <w:sz w:val="20"/>
              </w:rPr>
            </w:pPr>
          </w:p>
        </w:tc>
        <w:tc>
          <w:tcPr>
            <w:tcW w:w="2038" w:type="pct"/>
          </w:tcPr>
          <w:p w:rsidR="0010431F" w:rsidRPr="001667A2" w:rsidRDefault="0010431F" w:rsidP="0010431F">
            <w:pPr>
              <w:jc w:val="both"/>
              <w:rPr>
                <w:rFonts w:eastAsia="Calibri"/>
                <w:sz w:val="20"/>
              </w:rPr>
            </w:pPr>
            <w:r w:rsidRPr="001667A2">
              <w:rPr>
                <w:rFonts w:eastAsia="Calibri"/>
                <w:sz w:val="20"/>
              </w:rPr>
              <w:t xml:space="preserve">Damon William Knott sentenced to 16 months imprisonment concurrent, 3 years probation </w:t>
            </w:r>
          </w:p>
        </w:tc>
      </w:tr>
      <w:tr w:rsidR="0010431F" w:rsidRPr="001667A2" w:rsidTr="0010431F">
        <w:tc>
          <w:tcPr>
            <w:tcW w:w="2816" w:type="pct"/>
          </w:tcPr>
          <w:p w:rsidR="0010431F" w:rsidRPr="001667A2" w:rsidRDefault="0010431F" w:rsidP="0010431F">
            <w:pPr>
              <w:jc w:val="both"/>
              <w:rPr>
                <w:rFonts w:eastAsia="Calibri"/>
                <w:sz w:val="20"/>
              </w:rPr>
            </w:pPr>
            <w:r w:rsidRPr="001667A2">
              <w:rPr>
                <w:rFonts w:eastAsia="Calibri"/>
                <w:sz w:val="20"/>
              </w:rPr>
              <w:t xml:space="preserve">August 10, 2007 </w:t>
            </w:r>
          </w:p>
          <w:p w:rsidR="0010431F" w:rsidRPr="001667A2" w:rsidRDefault="0010431F" w:rsidP="0010431F">
            <w:pPr>
              <w:jc w:val="both"/>
              <w:rPr>
                <w:rFonts w:eastAsia="Calibri"/>
                <w:sz w:val="20"/>
              </w:rPr>
            </w:pPr>
            <w:r w:rsidRPr="001667A2">
              <w:rPr>
                <w:rFonts w:eastAsia="Calibri"/>
                <w:sz w:val="20"/>
              </w:rPr>
              <w:t>Provincial Court of British Columbia</w:t>
            </w:r>
          </w:p>
          <w:p w:rsidR="0010431F" w:rsidRPr="001667A2" w:rsidRDefault="0010431F" w:rsidP="0010431F">
            <w:pPr>
              <w:jc w:val="both"/>
              <w:rPr>
                <w:rFonts w:eastAsia="Calibri"/>
                <w:sz w:val="20"/>
              </w:rPr>
            </w:pPr>
            <w:r w:rsidRPr="001667A2">
              <w:rPr>
                <w:rFonts w:eastAsia="Calibri"/>
                <w:sz w:val="20"/>
              </w:rPr>
              <w:t>(Hubbard J.)</w:t>
            </w:r>
          </w:p>
          <w:p w:rsidR="0010431F" w:rsidRPr="001667A2" w:rsidRDefault="0010431F" w:rsidP="0010431F">
            <w:pPr>
              <w:jc w:val="both"/>
              <w:rPr>
                <w:rFonts w:eastAsia="Calibri"/>
                <w:sz w:val="20"/>
              </w:rPr>
            </w:pPr>
          </w:p>
        </w:tc>
        <w:tc>
          <w:tcPr>
            <w:tcW w:w="146" w:type="pct"/>
          </w:tcPr>
          <w:p w:rsidR="0010431F" w:rsidRPr="001667A2" w:rsidRDefault="0010431F" w:rsidP="0010431F">
            <w:pPr>
              <w:jc w:val="both"/>
              <w:rPr>
                <w:rFonts w:eastAsia="Calibri"/>
                <w:sz w:val="20"/>
              </w:rPr>
            </w:pPr>
          </w:p>
        </w:tc>
        <w:tc>
          <w:tcPr>
            <w:tcW w:w="2038" w:type="pct"/>
          </w:tcPr>
          <w:p w:rsidR="0010431F" w:rsidRPr="001667A2" w:rsidRDefault="0010431F" w:rsidP="0010431F">
            <w:pPr>
              <w:jc w:val="both"/>
              <w:rPr>
                <w:rFonts w:eastAsia="Calibri"/>
                <w:sz w:val="20"/>
              </w:rPr>
            </w:pPr>
            <w:r w:rsidRPr="001667A2">
              <w:rPr>
                <w:rFonts w:eastAsia="Calibri"/>
                <w:sz w:val="20"/>
              </w:rPr>
              <w:t xml:space="preserve">Damon William Knott sentenced to 6 months imprisonment, consecutive  </w:t>
            </w:r>
          </w:p>
        </w:tc>
      </w:tr>
      <w:tr w:rsidR="0010431F" w:rsidRPr="001667A2" w:rsidTr="0010431F">
        <w:tc>
          <w:tcPr>
            <w:tcW w:w="2816" w:type="pct"/>
          </w:tcPr>
          <w:p w:rsidR="0010431F" w:rsidRPr="001667A2" w:rsidRDefault="0010431F" w:rsidP="0010431F">
            <w:pPr>
              <w:jc w:val="both"/>
              <w:rPr>
                <w:rFonts w:eastAsia="Calibri"/>
                <w:sz w:val="20"/>
              </w:rPr>
            </w:pPr>
            <w:r w:rsidRPr="001667A2">
              <w:rPr>
                <w:rFonts w:eastAsia="Calibri"/>
                <w:sz w:val="20"/>
              </w:rPr>
              <w:t>December 3, 2007</w:t>
            </w:r>
          </w:p>
          <w:p w:rsidR="0010431F" w:rsidRPr="001667A2" w:rsidRDefault="0010431F" w:rsidP="0010431F">
            <w:pPr>
              <w:jc w:val="both"/>
              <w:rPr>
                <w:rFonts w:eastAsia="Calibri"/>
                <w:sz w:val="20"/>
              </w:rPr>
            </w:pPr>
            <w:r w:rsidRPr="001667A2">
              <w:rPr>
                <w:rFonts w:eastAsia="Calibri"/>
                <w:sz w:val="20"/>
              </w:rPr>
              <w:t>Provincial Court of British Columbia</w:t>
            </w:r>
          </w:p>
          <w:p w:rsidR="0010431F" w:rsidRPr="001667A2" w:rsidRDefault="0010431F" w:rsidP="0010431F">
            <w:pPr>
              <w:jc w:val="both"/>
              <w:rPr>
                <w:rFonts w:eastAsia="Calibri"/>
                <w:sz w:val="20"/>
              </w:rPr>
            </w:pPr>
            <w:r w:rsidRPr="001667A2">
              <w:rPr>
                <w:rFonts w:eastAsia="Calibri"/>
                <w:sz w:val="20"/>
              </w:rPr>
              <w:t>(Chaperon J.)</w:t>
            </w:r>
          </w:p>
          <w:p w:rsidR="0010431F" w:rsidRPr="001667A2" w:rsidRDefault="0010431F" w:rsidP="0010431F">
            <w:pPr>
              <w:jc w:val="both"/>
              <w:rPr>
                <w:rFonts w:eastAsia="Calibri"/>
                <w:sz w:val="20"/>
              </w:rPr>
            </w:pPr>
          </w:p>
        </w:tc>
        <w:tc>
          <w:tcPr>
            <w:tcW w:w="146" w:type="pct"/>
          </w:tcPr>
          <w:p w:rsidR="0010431F" w:rsidRPr="001667A2" w:rsidRDefault="0010431F" w:rsidP="0010431F">
            <w:pPr>
              <w:jc w:val="both"/>
              <w:rPr>
                <w:rFonts w:eastAsia="Calibri"/>
                <w:sz w:val="20"/>
              </w:rPr>
            </w:pPr>
          </w:p>
        </w:tc>
        <w:tc>
          <w:tcPr>
            <w:tcW w:w="2038" w:type="pct"/>
          </w:tcPr>
          <w:p w:rsidR="0010431F" w:rsidRPr="001667A2" w:rsidRDefault="0010431F" w:rsidP="0010431F">
            <w:pPr>
              <w:jc w:val="both"/>
              <w:rPr>
                <w:rFonts w:eastAsia="Calibri"/>
                <w:sz w:val="20"/>
              </w:rPr>
            </w:pPr>
            <w:r w:rsidRPr="001667A2">
              <w:rPr>
                <w:rFonts w:eastAsia="Calibri"/>
                <w:sz w:val="20"/>
              </w:rPr>
              <w:t xml:space="preserve">Damon William Knott sentenced to 8 months imprisonment concurrent, 1 year probation  </w:t>
            </w:r>
          </w:p>
        </w:tc>
      </w:tr>
      <w:tr w:rsidR="0010431F" w:rsidRPr="001667A2" w:rsidTr="0010431F">
        <w:tc>
          <w:tcPr>
            <w:tcW w:w="2816" w:type="pct"/>
          </w:tcPr>
          <w:p w:rsidR="0010431F" w:rsidRPr="001667A2" w:rsidRDefault="0010431F" w:rsidP="0010431F">
            <w:pPr>
              <w:jc w:val="both"/>
              <w:rPr>
                <w:rFonts w:eastAsia="Calibri"/>
                <w:sz w:val="20"/>
              </w:rPr>
            </w:pPr>
            <w:r w:rsidRPr="001667A2">
              <w:rPr>
                <w:rFonts w:eastAsia="Calibri"/>
                <w:sz w:val="20"/>
              </w:rPr>
              <w:t xml:space="preserve">June 3, 2008 </w:t>
            </w:r>
          </w:p>
          <w:p w:rsidR="0010431F" w:rsidRPr="001667A2" w:rsidRDefault="0010431F" w:rsidP="0010431F">
            <w:pPr>
              <w:jc w:val="both"/>
              <w:rPr>
                <w:rFonts w:eastAsia="Calibri"/>
                <w:sz w:val="20"/>
              </w:rPr>
            </w:pPr>
            <w:r w:rsidRPr="001667A2">
              <w:rPr>
                <w:rFonts w:eastAsia="Calibri"/>
                <w:sz w:val="20"/>
              </w:rPr>
              <w:t>Provincial Court of British Columbia</w:t>
            </w:r>
          </w:p>
          <w:p w:rsidR="0010431F" w:rsidRPr="001667A2" w:rsidRDefault="0010431F" w:rsidP="0010431F">
            <w:pPr>
              <w:jc w:val="both"/>
              <w:rPr>
                <w:rFonts w:eastAsia="Calibri"/>
                <w:sz w:val="20"/>
              </w:rPr>
            </w:pPr>
            <w:r w:rsidRPr="001667A2">
              <w:rPr>
                <w:rFonts w:eastAsia="Calibri"/>
                <w:sz w:val="20"/>
              </w:rPr>
              <w:t>(Webb J.)</w:t>
            </w:r>
          </w:p>
          <w:p w:rsidR="0010431F" w:rsidRPr="001667A2" w:rsidRDefault="0010431F" w:rsidP="0010431F">
            <w:pPr>
              <w:jc w:val="both"/>
              <w:rPr>
                <w:rFonts w:eastAsia="Calibri"/>
                <w:sz w:val="20"/>
              </w:rPr>
            </w:pPr>
          </w:p>
        </w:tc>
        <w:tc>
          <w:tcPr>
            <w:tcW w:w="146" w:type="pct"/>
          </w:tcPr>
          <w:p w:rsidR="0010431F" w:rsidRPr="001667A2" w:rsidRDefault="0010431F" w:rsidP="0010431F">
            <w:pPr>
              <w:jc w:val="both"/>
              <w:rPr>
                <w:rFonts w:eastAsia="Calibri"/>
                <w:sz w:val="20"/>
              </w:rPr>
            </w:pPr>
          </w:p>
        </w:tc>
        <w:tc>
          <w:tcPr>
            <w:tcW w:w="2038" w:type="pct"/>
          </w:tcPr>
          <w:p w:rsidR="0010431F" w:rsidRPr="001667A2" w:rsidRDefault="0010431F" w:rsidP="0010431F">
            <w:pPr>
              <w:jc w:val="both"/>
              <w:rPr>
                <w:rFonts w:eastAsia="Calibri"/>
                <w:sz w:val="20"/>
              </w:rPr>
            </w:pPr>
            <w:r w:rsidRPr="001667A2">
              <w:rPr>
                <w:rFonts w:eastAsia="Calibri"/>
                <w:sz w:val="20"/>
              </w:rPr>
              <w:t>D.A.P. sentenced to 2 years less a day  conditional, 3 years of probation</w:t>
            </w:r>
          </w:p>
        </w:tc>
      </w:tr>
    </w:tbl>
    <w:p w:rsidR="005C28A9" w:rsidRDefault="005C28A9"/>
    <w:tbl>
      <w:tblPr>
        <w:tblW w:w="4952" w:type="pct"/>
        <w:tblLayout w:type="fixed"/>
        <w:tblCellMar>
          <w:left w:w="0" w:type="dxa"/>
          <w:bottom w:w="99" w:type="dxa"/>
          <w:right w:w="0" w:type="dxa"/>
        </w:tblCellMar>
        <w:tblLook w:val="04A0"/>
      </w:tblPr>
      <w:tblGrid>
        <w:gridCol w:w="5366"/>
        <w:gridCol w:w="278"/>
        <w:gridCol w:w="3883"/>
      </w:tblGrid>
      <w:tr w:rsidR="0010431F" w:rsidRPr="001667A2" w:rsidTr="005C28A9">
        <w:trPr>
          <w:cantSplit/>
        </w:trPr>
        <w:tc>
          <w:tcPr>
            <w:tcW w:w="2816" w:type="pct"/>
          </w:tcPr>
          <w:p w:rsidR="0010431F" w:rsidRPr="001667A2" w:rsidRDefault="0010431F" w:rsidP="0010431F">
            <w:pPr>
              <w:jc w:val="both"/>
              <w:rPr>
                <w:rFonts w:eastAsia="Calibri"/>
                <w:sz w:val="20"/>
              </w:rPr>
            </w:pPr>
            <w:r w:rsidRPr="001667A2">
              <w:rPr>
                <w:rFonts w:eastAsia="Calibri"/>
                <w:sz w:val="20"/>
              </w:rPr>
              <w:lastRenderedPageBreak/>
              <w:t xml:space="preserve">February 19, 2009 </w:t>
            </w:r>
          </w:p>
          <w:p w:rsidR="0010431F" w:rsidRPr="001667A2" w:rsidRDefault="0010431F" w:rsidP="0010431F">
            <w:pPr>
              <w:jc w:val="both"/>
              <w:rPr>
                <w:rFonts w:eastAsia="Calibri"/>
                <w:sz w:val="20"/>
              </w:rPr>
            </w:pPr>
            <w:r w:rsidRPr="001667A2">
              <w:rPr>
                <w:rFonts w:eastAsia="Calibri"/>
                <w:sz w:val="20"/>
              </w:rPr>
              <w:t>Provincial Court of British Columbia</w:t>
            </w:r>
          </w:p>
          <w:p w:rsidR="0010431F" w:rsidRPr="001667A2" w:rsidRDefault="0010431F" w:rsidP="0010431F">
            <w:pPr>
              <w:jc w:val="both"/>
              <w:rPr>
                <w:rFonts w:eastAsia="Calibri"/>
                <w:sz w:val="20"/>
              </w:rPr>
            </w:pPr>
            <w:r w:rsidRPr="001667A2">
              <w:rPr>
                <w:rFonts w:eastAsia="Calibri"/>
                <w:sz w:val="20"/>
              </w:rPr>
              <w:t>(Webb J.)</w:t>
            </w:r>
          </w:p>
          <w:p w:rsidR="0010431F" w:rsidRPr="001667A2" w:rsidRDefault="0010431F" w:rsidP="0010431F">
            <w:pPr>
              <w:jc w:val="both"/>
              <w:rPr>
                <w:rFonts w:eastAsia="Calibri"/>
                <w:sz w:val="20"/>
              </w:rPr>
            </w:pPr>
          </w:p>
        </w:tc>
        <w:tc>
          <w:tcPr>
            <w:tcW w:w="146" w:type="pct"/>
          </w:tcPr>
          <w:p w:rsidR="0010431F" w:rsidRPr="001667A2" w:rsidRDefault="0010431F" w:rsidP="0010431F">
            <w:pPr>
              <w:jc w:val="both"/>
              <w:rPr>
                <w:rFonts w:eastAsia="Calibri"/>
                <w:sz w:val="20"/>
              </w:rPr>
            </w:pPr>
          </w:p>
        </w:tc>
        <w:tc>
          <w:tcPr>
            <w:tcW w:w="2038" w:type="pct"/>
          </w:tcPr>
          <w:p w:rsidR="0010431F" w:rsidRPr="001667A2" w:rsidRDefault="0010431F" w:rsidP="0010431F">
            <w:pPr>
              <w:jc w:val="both"/>
              <w:rPr>
                <w:rFonts w:eastAsia="Calibri"/>
                <w:sz w:val="20"/>
              </w:rPr>
            </w:pPr>
            <w:r w:rsidRPr="001667A2">
              <w:rPr>
                <w:rFonts w:eastAsia="Calibri"/>
                <w:sz w:val="20"/>
              </w:rPr>
              <w:t>D.A.P. sentenced to 3 years imprisonment,</w:t>
            </w:r>
            <w:r>
              <w:rPr>
                <w:rFonts w:eastAsia="Calibri"/>
                <w:sz w:val="20"/>
              </w:rPr>
              <w:t xml:space="preserve"> </w:t>
            </w:r>
            <w:r w:rsidRPr="001667A2">
              <w:rPr>
                <w:rFonts w:eastAsia="Calibri"/>
                <w:sz w:val="20"/>
              </w:rPr>
              <w:t>concurrent;  Conditional sentence converted to imprisonment</w:t>
            </w:r>
          </w:p>
        </w:tc>
      </w:tr>
      <w:tr w:rsidR="0010431F" w:rsidRPr="001667A2" w:rsidTr="005C28A9">
        <w:trPr>
          <w:cantSplit/>
        </w:trPr>
        <w:tc>
          <w:tcPr>
            <w:tcW w:w="2816" w:type="pct"/>
          </w:tcPr>
          <w:p w:rsidR="0010431F" w:rsidRPr="001667A2" w:rsidRDefault="0010431F" w:rsidP="0010431F">
            <w:pPr>
              <w:jc w:val="both"/>
              <w:rPr>
                <w:rFonts w:eastAsia="Calibri"/>
                <w:sz w:val="20"/>
              </w:rPr>
            </w:pPr>
            <w:r w:rsidRPr="001667A2">
              <w:rPr>
                <w:rFonts w:eastAsia="Calibri"/>
                <w:sz w:val="20"/>
              </w:rPr>
              <w:t>August 26, 2010</w:t>
            </w:r>
          </w:p>
          <w:p w:rsidR="0010431F" w:rsidRPr="001667A2" w:rsidRDefault="0010431F" w:rsidP="0010431F">
            <w:pPr>
              <w:jc w:val="both"/>
              <w:rPr>
                <w:rFonts w:eastAsia="Calibri"/>
                <w:sz w:val="20"/>
              </w:rPr>
            </w:pPr>
            <w:r w:rsidRPr="001667A2">
              <w:rPr>
                <w:rFonts w:eastAsia="Calibri"/>
                <w:sz w:val="20"/>
              </w:rPr>
              <w:t>Court of Appeal for British Columbia (Vancouver)</w:t>
            </w:r>
          </w:p>
          <w:p w:rsidR="0010431F" w:rsidRPr="001667A2" w:rsidRDefault="0010431F" w:rsidP="0010431F">
            <w:pPr>
              <w:jc w:val="both"/>
              <w:rPr>
                <w:rFonts w:eastAsia="Calibri"/>
                <w:sz w:val="20"/>
              </w:rPr>
            </w:pPr>
            <w:r w:rsidRPr="001667A2">
              <w:rPr>
                <w:rFonts w:eastAsia="Calibri"/>
                <w:sz w:val="20"/>
              </w:rPr>
              <w:t>(Finch, Rowles, Hall, Groberman, Bennett JJ.A.)</w:t>
            </w:r>
          </w:p>
          <w:p w:rsidR="0010431F" w:rsidRPr="001667A2" w:rsidRDefault="0010431F" w:rsidP="0010431F">
            <w:pPr>
              <w:jc w:val="both"/>
              <w:rPr>
                <w:rFonts w:eastAsia="Calibri"/>
                <w:sz w:val="20"/>
              </w:rPr>
            </w:pPr>
            <w:r w:rsidRPr="001667A2">
              <w:rPr>
                <w:rFonts w:eastAsia="Calibri"/>
                <w:sz w:val="20"/>
              </w:rPr>
              <w:t>2010 BCCA 386; CA036904, CA036977, CA037293</w:t>
            </w:r>
          </w:p>
          <w:p w:rsidR="0010431F" w:rsidRPr="001667A2" w:rsidRDefault="0010431F" w:rsidP="0010431F">
            <w:pPr>
              <w:jc w:val="both"/>
              <w:rPr>
                <w:rFonts w:eastAsia="Calibri"/>
                <w:sz w:val="20"/>
              </w:rPr>
            </w:pPr>
          </w:p>
        </w:tc>
        <w:tc>
          <w:tcPr>
            <w:tcW w:w="146" w:type="pct"/>
          </w:tcPr>
          <w:p w:rsidR="0010431F" w:rsidRPr="001667A2" w:rsidRDefault="0010431F" w:rsidP="0010431F">
            <w:pPr>
              <w:jc w:val="both"/>
              <w:rPr>
                <w:rFonts w:eastAsia="Calibri"/>
                <w:sz w:val="20"/>
              </w:rPr>
            </w:pPr>
          </w:p>
        </w:tc>
        <w:tc>
          <w:tcPr>
            <w:tcW w:w="2038" w:type="pct"/>
          </w:tcPr>
          <w:p w:rsidR="0010431F" w:rsidRPr="001667A2" w:rsidRDefault="0010431F" w:rsidP="0010431F">
            <w:pPr>
              <w:jc w:val="both"/>
              <w:rPr>
                <w:rFonts w:eastAsia="Calibri"/>
                <w:sz w:val="20"/>
              </w:rPr>
            </w:pPr>
            <w:r w:rsidRPr="001667A2">
              <w:rPr>
                <w:rFonts w:eastAsia="Calibri"/>
                <w:sz w:val="20"/>
              </w:rPr>
              <w:t>Appeals dismissed</w:t>
            </w:r>
          </w:p>
          <w:p w:rsidR="0010431F" w:rsidRPr="001667A2" w:rsidRDefault="0010431F" w:rsidP="0010431F">
            <w:pPr>
              <w:jc w:val="both"/>
              <w:rPr>
                <w:rFonts w:eastAsia="Calibri"/>
                <w:sz w:val="20"/>
              </w:rPr>
            </w:pPr>
          </w:p>
        </w:tc>
      </w:tr>
      <w:tr w:rsidR="0010431F" w:rsidRPr="001667A2" w:rsidTr="005C28A9">
        <w:trPr>
          <w:cantSplit/>
        </w:trPr>
        <w:tc>
          <w:tcPr>
            <w:tcW w:w="2816" w:type="pct"/>
          </w:tcPr>
          <w:p w:rsidR="0010431F" w:rsidRPr="001667A2" w:rsidRDefault="0010431F" w:rsidP="0010431F">
            <w:pPr>
              <w:jc w:val="both"/>
              <w:rPr>
                <w:rFonts w:eastAsia="Calibri"/>
                <w:sz w:val="20"/>
              </w:rPr>
            </w:pPr>
            <w:r w:rsidRPr="001667A2">
              <w:rPr>
                <w:rFonts w:eastAsia="Calibri"/>
                <w:sz w:val="20"/>
              </w:rPr>
              <w:t>October 25, 2010</w:t>
            </w:r>
          </w:p>
          <w:p w:rsidR="0010431F" w:rsidRPr="001667A2" w:rsidRDefault="0010431F" w:rsidP="0010431F">
            <w:pPr>
              <w:jc w:val="both"/>
              <w:rPr>
                <w:rFonts w:eastAsia="Calibri"/>
                <w:sz w:val="20"/>
              </w:rPr>
            </w:pPr>
            <w:r w:rsidRPr="001667A2">
              <w:rPr>
                <w:rFonts w:eastAsia="Calibri"/>
                <w:sz w:val="20"/>
              </w:rPr>
              <w:t>Supreme Court of Canada</w:t>
            </w:r>
          </w:p>
        </w:tc>
        <w:tc>
          <w:tcPr>
            <w:tcW w:w="146" w:type="pct"/>
          </w:tcPr>
          <w:p w:rsidR="0010431F" w:rsidRPr="001667A2" w:rsidRDefault="0010431F" w:rsidP="0010431F">
            <w:pPr>
              <w:jc w:val="both"/>
              <w:rPr>
                <w:rFonts w:eastAsia="Calibri"/>
                <w:sz w:val="20"/>
              </w:rPr>
            </w:pPr>
          </w:p>
        </w:tc>
        <w:tc>
          <w:tcPr>
            <w:tcW w:w="2038" w:type="pct"/>
          </w:tcPr>
          <w:p w:rsidR="0010431F" w:rsidRPr="001667A2" w:rsidRDefault="0010431F" w:rsidP="0010431F">
            <w:pPr>
              <w:jc w:val="both"/>
              <w:rPr>
                <w:rFonts w:eastAsia="Calibri"/>
                <w:sz w:val="20"/>
              </w:rPr>
            </w:pPr>
            <w:r w:rsidRPr="001667A2">
              <w:rPr>
                <w:rFonts w:eastAsia="Calibri"/>
                <w:sz w:val="20"/>
              </w:rPr>
              <w:t>Application for leave to appeal filed</w:t>
            </w:r>
          </w:p>
        </w:tc>
      </w:tr>
    </w:tbl>
    <w:p w:rsidR="00AF63D3" w:rsidRPr="00BA161A" w:rsidRDefault="00AF63D3" w:rsidP="00AF63D3">
      <w:pPr>
        <w:rPr>
          <w:sz w:val="20"/>
          <w:szCs w:val="20"/>
        </w:rPr>
      </w:pPr>
    </w:p>
    <w:p w:rsidR="00AF63D3" w:rsidRDefault="003E529C" w:rsidP="00AF63D3">
      <w:pPr>
        <w:rPr>
          <w:sz w:val="20"/>
          <w:szCs w:val="20"/>
          <w:lang w:val="fr-CA"/>
        </w:rPr>
      </w:pPr>
      <w:r w:rsidRPr="003E529C">
        <w:rPr>
          <w:sz w:val="20"/>
          <w:szCs w:val="20"/>
          <w:lang w:val="fr-CA"/>
        </w:rPr>
        <w:pict>
          <v:rect id="_x0000_i1055" style="width:2in;height:1pt" o:hrpct="0" o:hralign="center" o:hrstd="t" o:hrnoshade="t" o:hr="t" fillcolor="black [3213]" stroked="f"/>
        </w:pict>
      </w:r>
    </w:p>
    <w:p w:rsidR="00AF63D3" w:rsidRPr="00BA161A" w:rsidRDefault="00AF63D3" w:rsidP="00AF63D3">
      <w:pPr>
        <w:rPr>
          <w:sz w:val="20"/>
          <w:szCs w:val="20"/>
        </w:rPr>
      </w:pPr>
    </w:p>
    <w:p w:rsidR="00AF63D3" w:rsidRPr="00BA161A" w:rsidRDefault="00AF63D3" w:rsidP="00AF63D3">
      <w:pPr>
        <w:rPr>
          <w:sz w:val="20"/>
          <w:szCs w:val="20"/>
        </w:rPr>
      </w:pPr>
      <w:r>
        <w:rPr>
          <w:sz w:val="20"/>
          <w:szCs w:val="20"/>
          <w:u w:val="single"/>
        </w:rPr>
        <w:t>RÉSUMÉ DE L’AFFAIRE</w:t>
      </w:r>
    </w:p>
    <w:p w:rsidR="00AF63D3" w:rsidRPr="00BA161A" w:rsidRDefault="00AF63D3" w:rsidP="00AF63D3">
      <w:pPr>
        <w:rPr>
          <w:sz w:val="20"/>
          <w:szCs w:val="20"/>
        </w:rPr>
      </w:pPr>
    </w:p>
    <w:tbl>
      <w:tblPr>
        <w:tblW w:w="4952" w:type="pct"/>
        <w:tblLayout w:type="fixed"/>
        <w:tblCellMar>
          <w:left w:w="0" w:type="dxa"/>
          <w:bottom w:w="99" w:type="dxa"/>
          <w:right w:w="0" w:type="dxa"/>
        </w:tblCellMar>
        <w:tblLook w:val="04A0"/>
      </w:tblPr>
      <w:tblGrid>
        <w:gridCol w:w="5366"/>
        <w:gridCol w:w="278"/>
        <w:gridCol w:w="3883"/>
      </w:tblGrid>
      <w:tr w:rsidR="0010431F" w:rsidRPr="009122D4" w:rsidTr="0010431F">
        <w:tc>
          <w:tcPr>
            <w:tcW w:w="5000" w:type="pct"/>
            <w:gridSpan w:val="3"/>
          </w:tcPr>
          <w:p w:rsidR="0010431F" w:rsidRPr="001667A2" w:rsidRDefault="0010431F" w:rsidP="0010431F">
            <w:pPr>
              <w:jc w:val="both"/>
              <w:rPr>
                <w:rFonts w:eastAsia="Calibri"/>
                <w:smallCaps/>
                <w:sz w:val="20"/>
                <w:lang w:val="fr-CA"/>
              </w:rPr>
            </w:pPr>
            <w:r w:rsidRPr="001667A2">
              <w:rPr>
                <w:rFonts w:eastAsia="Calibri"/>
                <w:smallCaps/>
                <w:sz w:val="20"/>
                <w:lang w:val="fr-CA"/>
              </w:rPr>
              <w:t>(Ordonnance de non-publication dans le dossier) (ordonnance de non-publication visant une partie)</w:t>
            </w:r>
          </w:p>
          <w:p w:rsidR="0010431F" w:rsidRPr="001667A2" w:rsidRDefault="0010431F" w:rsidP="0010431F">
            <w:pPr>
              <w:jc w:val="both"/>
              <w:rPr>
                <w:rFonts w:eastAsia="Calibri"/>
                <w:sz w:val="20"/>
                <w:lang w:val="fr-CA"/>
              </w:rPr>
            </w:pPr>
          </w:p>
          <w:p w:rsidR="0010431F" w:rsidRPr="001667A2" w:rsidRDefault="0010431F" w:rsidP="0010431F">
            <w:pPr>
              <w:jc w:val="both"/>
              <w:rPr>
                <w:rFonts w:eastAsia="Calibri"/>
                <w:sz w:val="20"/>
                <w:lang w:val="fr-CA"/>
              </w:rPr>
            </w:pPr>
            <w:r w:rsidRPr="001667A2">
              <w:rPr>
                <w:rFonts w:eastAsia="Calibri"/>
                <w:sz w:val="20"/>
                <w:lang w:val="fr-CA"/>
              </w:rPr>
              <w:t xml:space="preserve">Droit criminel – Détermination de la peine – Probation – Peines supplémentaires – Le paragraphe 139(1) de la </w:t>
            </w:r>
            <w:r w:rsidRPr="001667A2">
              <w:rPr>
                <w:rFonts w:eastAsia="Calibri"/>
                <w:i/>
                <w:color w:val="000000"/>
                <w:sz w:val="20"/>
                <w:lang w:val="fr-FR"/>
              </w:rPr>
              <w:t>Loi sur le système correctionnel et la mise en liberté sous condition</w:t>
            </w:r>
            <w:r w:rsidRPr="001667A2">
              <w:rPr>
                <w:rFonts w:eastAsia="Calibri"/>
                <w:sz w:val="20"/>
                <w:lang w:val="fr-CA"/>
              </w:rPr>
              <w:t xml:space="preserve">, L.C. 1992, ch. 20, fusionne-t-il les peines  pour l’application du paragraphe 731(1) du </w:t>
            </w:r>
            <w:r w:rsidRPr="001667A2">
              <w:rPr>
                <w:rFonts w:eastAsia="Calibri"/>
                <w:i/>
                <w:sz w:val="20"/>
                <w:lang w:val="fr-CA"/>
              </w:rPr>
              <w:t>Code criminel</w:t>
            </w:r>
            <w:r w:rsidRPr="001667A2">
              <w:rPr>
                <w:rFonts w:eastAsia="Calibri"/>
                <w:sz w:val="20"/>
                <w:lang w:val="fr-CA"/>
              </w:rPr>
              <w:t>, L.R.C. 1985, ch. C</w:t>
            </w:r>
            <w:r w:rsidRPr="001667A2">
              <w:rPr>
                <w:rFonts w:eastAsia="Calibri"/>
                <w:sz w:val="20"/>
                <w:lang w:val="fr-CA"/>
              </w:rPr>
              <w:noBreakHyphen/>
              <w:t xml:space="preserve">46? – Le paragraphe 731(1) du </w:t>
            </w:r>
            <w:r w:rsidRPr="001667A2">
              <w:rPr>
                <w:rFonts w:eastAsia="Calibri"/>
                <w:i/>
                <w:sz w:val="20"/>
                <w:lang w:val="fr-CA"/>
              </w:rPr>
              <w:t>Code criminel</w:t>
            </w:r>
            <w:r w:rsidRPr="001667A2">
              <w:rPr>
                <w:rFonts w:eastAsia="Calibri"/>
                <w:sz w:val="20"/>
                <w:lang w:val="fr-CA"/>
              </w:rPr>
              <w:t xml:space="preserve"> peut-il être interprété comme s’appliquant à plus d’une peine d’emprisonnement? – Une analyse résiduelle s’applique-t-elle? – La Cour d’appel a-t-elle déposé afin de se conformer aux méthodes reconnues d’interprétation des dispositions législatives qui privent le délinquant de sa liberté?</w:t>
            </w:r>
          </w:p>
          <w:p w:rsidR="0010431F" w:rsidRPr="001667A2" w:rsidRDefault="0010431F" w:rsidP="0010431F">
            <w:pPr>
              <w:jc w:val="both"/>
              <w:rPr>
                <w:rFonts w:eastAsia="Calibri"/>
                <w:sz w:val="20"/>
                <w:lang w:val="fr-CA"/>
              </w:rPr>
            </w:pPr>
          </w:p>
        </w:tc>
      </w:tr>
      <w:tr w:rsidR="0010431F" w:rsidRPr="009122D4" w:rsidTr="0010431F">
        <w:tc>
          <w:tcPr>
            <w:tcW w:w="5000" w:type="pct"/>
            <w:gridSpan w:val="3"/>
          </w:tcPr>
          <w:p w:rsidR="0010431F" w:rsidRPr="001667A2" w:rsidRDefault="0010431F" w:rsidP="0010431F">
            <w:pPr>
              <w:jc w:val="both"/>
              <w:rPr>
                <w:rFonts w:eastAsia="Calibri"/>
                <w:sz w:val="20"/>
                <w:lang w:val="fr-CA"/>
              </w:rPr>
            </w:pPr>
            <w:r w:rsidRPr="001667A2">
              <w:rPr>
                <w:rFonts w:eastAsia="Calibri"/>
                <w:sz w:val="20"/>
                <w:lang w:val="fr-CA"/>
              </w:rPr>
              <w:t>Damon William Knott purgeait des peines d’emprisonnement concurrentes.  Chacune était assortie d’une période de probation et la peine la plus longue était de deux ans.  C’est alors qu’il a été condamné à une peine de six mois à purger consécutivement, puis à des peines concurrentes de huit mois assorties de périodes de probation.  Alors que D.A.P. purgeait une peine de deux ans moins un jour assortie d’une période de probation, il a été condamné à une peine d’emprisonnement de trois ans à purger concurremment.</w:t>
            </w:r>
          </w:p>
          <w:p w:rsidR="0010431F" w:rsidRPr="001667A2" w:rsidRDefault="0010431F" w:rsidP="0010431F">
            <w:pPr>
              <w:jc w:val="both"/>
              <w:rPr>
                <w:rFonts w:eastAsia="Calibri"/>
                <w:sz w:val="20"/>
                <w:lang w:val="fr-CA"/>
              </w:rPr>
            </w:pPr>
          </w:p>
        </w:tc>
      </w:tr>
      <w:tr w:rsidR="0010431F" w:rsidRPr="009122D4" w:rsidTr="0010431F">
        <w:tc>
          <w:tcPr>
            <w:tcW w:w="2816" w:type="pct"/>
          </w:tcPr>
          <w:p w:rsidR="0010431F" w:rsidRPr="001667A2" w:rsidRDefault="0010431F" w:rsidP="0010431F">
            <w:pPr>
              <w:jc w:val="both"/>
              <w:rPr>
                <w:rFonts w:eastAsia="Calibri"/>
                <w:sz w:val="20"/>
                <w:lang w:val="fr-CA"/>
              </w:rPr>
            </w:pPr>
            <w:r w:rsidRPr="001667A2">
              <w:rPr>
                <w:rFonts w:eastAsia="Calibri"/>
                <w:sz w:val="20"/>
                <w:lang w:val="fr-CA"/>
              </w:rPr>
              <w:t>18 août 2005</w:t>
            </w:r>
          </w:p>
          <w:p w:rsidR="0010431F" w:rsidRPr="001667A2" w:rsidRDefault="0010431F" w:rsidP="0010431F">
            <w:pPr>
              <w:jc w:val="both"/>
              <w:rPr>
                <w:rFonts w:eastAsia="Calibri"/>
                <w:sz w:val="20"/>
                <w:lang w:val="fr-CA"/>
              </w:rPr>
            </w:pPr>
            <w:r w:rsidRPr="001667A2">
              <w:rPr>
                <w:rFonts w:eastAsia="Calibri"/>
                <w:sz w:val="20"/>
                <w:lang w:val="fr-CA"/>
              </w:rPr>
              <w:t>Cour provinciale de la Colombie-Britannique Columbia</w:t>
            </w:r>
          </w:p>
          <w:p w:rsidR="0010431F" w:rsidRPr="001667A2" w:rsidRDefault="0010431F" w:rsidP="0010431F">
            <w:pPr>
              <w:jc w:val="both"/>
              <w:rPr>
                <w:rFonts w:eastAsia="Calibri"/>
                <w:sz w:val="20"/>
                <w:lang w:val="fr-CA"/>
              </w:rPr>
            </w:pPr>
            <w:r w:rsidRPr="001667A2">
              <w:rPr>
                <w:rFonts w:eastAsia="Calibri"/>
                <w:sz w:val="20"/>
                <w:lang w:val="fr-CA"/>
              </w:rPr>
              <w:t xml:space="preserve">(juge Moss) </w:t>
            </w:r>
          </w:p>
          <w:p w:rsidR="0010431F" w:rsidRPr="001667A2" w:rsidRDefault="0010431F" w:rsidP="0010431F">
            <w:pPr>
              <w:jc w:val="both"/>
              <w:rPr>
                <w:rFonts w:eastAsia="Calibri"/>
                <w:sz w:val="20"/>
                <w:lang w:val="fr-CA"/>
              </w:rPr>
            </w:pPr>
          </w:p>
        </w:tc>
        <w:tc>
          <w:tcPr>
            <w:tcW w:w="146" w:type="pct"/>
          </w:tcPr>
          <w:p w:rsidR="0010431F" w:rsidRPr="001667A2" w:rsidRDefault="0010431F" w:rsidP="0010431F">
            <w:pPr>
              <w:jc w:val="both"/>
              <w:rPr>
                <w:rFonts w:eastAsia="Calibri"/>
                <w:sz w:val="20"/>
                <w:lang w:val="fr-CA"/>
              </w:rPr>
            </w:pPr>
          </w:p>
        </w:tc>
        <w:tc>
          <w:tcPr>
            <w:tcW w:w="2038" w:type="pct"/>
          </w:tcPr>
          <w:p w:rsidR="0010431F" w:rsidRPr="001667A2" w:rsidRDefault="0010431F" w:rsidP="0010431F">
            <w:pPr>
              <w:jc w:val="both"/>
              <w:rPr>
                <w:rFonts w:eastAsia="Calibri"/>
                <w:sz w:val="20"/>
                <w:lang w:val="fr-CA"/>
              </w:rPr>
            </w:pPr>
            <w:r w:rsidRPr="001667A2">
              <w:rPr>
                <w:rFonts w:eastAsia="Calibri"/>
                <w:sz w:val="20"/>
                <w:lang w:val="fr-CA"/>
              </w:rPr>
              <w:t xml:space="preserve">Damon William Knott condamné à deux ans d’emprisonnement, période de probation de trois ans   </w:t>
            </w:r>
          </w:p>
        </w:tc>
      </w:tr>
      <w:tr w:rsidR="0010431F" w:rsidRPr="009122D4" w:rsidTr="0010431F">
        <w:tc>
          <w:tcPr>
            <w:tcW w:w="2816" w:type="pct"/>
          </w:tcPr>
          <w:p w:rsidR="0010431F" w:rsidRPr="001667A2" w:rsidRDefault="0010431F" w:rsidP="0010431F">
            <w:pPr>
              <w:jc w:val="both"/>
              <w:rPr>
                <w:rFonts w:eastAsia="Calibri"/>
                <w:sz w:val="20"/>
                <w:lang w:val="fr-CA"/>
              </w:rPr>
            </w:pPr>
            <w:r w:rsidRPr="001667A2">
              <w:rPr>
                <w:rFonts w:eastAsia="Calibri"/>
                <w:sz w:val="20"/>
                <w:lang w:val="fr-CA"/>
              </w:rPr>
              <w:t>8 septembre 2005</w:t>
            </w:r>
          </w:p>
          <w:p w:rsidR="0010431F" w:rsidRPr="001667A2" w:rsidRDefault="0010431F" w:rsidP="0010431F">
            <w:pPr>
              <w:jc w:val="both"/>
              <w:rPr>
                <w:rFonts w:eastAsia="Calibri"/>
                <w:sz w:val="20"/>
                <w:lang w:val="fr-CA"/>
              </w:rPr>
            </w:pPr>
            <w:r w:rsidRPr="001667A2">
              <w:rPr>
                <w:rFonts w:eastAsia="Calibri"/>
                <w:sz w:val="20"/>
                <w:lang w:val="fr-CA"/>
              </w:rPr>
              <w:t xml:space="preserve">Cour provinciale de la Colombie-Britannique </w:t>
            </w:r>
          </w:p>
          <w:p w:rsidR="0010431F" w:rsidRPr="001667A2" w:rsidRDefault="0010431F" w:rsidP="0010431F">
            <w:pPr>
              <w:jc w:val="both"/>
              <w:rPr>
                <w:rFonts w:eastAsia="Calibri"/>
                <w:sz w:val="20"/>
                <w:lang w:val="fr-CA"/>
              </w:rPr>
            </w:pPr>
            <w:r w:rsidRPr="001667A2">
              <w:rPr>
                <w:rFonts w:eastAsia="Calibri"/>
                <w:sz w:val="20"/>
                <w:lang w:val="fr-CA"/>
              </w:rPr>
              <w:t>(juge Moss)</w:t>
            </w:r>
          </w:p>
          <w:p w:rsidR="0010431F" w:rsidRPr="001667A2" w:rsidRDefault="0010431F" w:rsidP="0010431F">
            <w:pPr>
              <w:jc w:val="both"/>
              <w:rPr>
                <w:rFonts w:eastAsia="Calibri"/>
                <w:sz w:val="20"/>
                <w:lang w:val="fr-CA"/>
              </w:rPr>
            </w:pPr>
          </w:p>
        </w:tc>
        <w:tc>
          <w:tcPr>
            <w:tcW w:w="146" w:type="pct"/>
          </w:tcPr>
          <w:p w:rsidR="0010431F" w:rsidRPr="001667A2" w:rsidRDefault="0010431F" w:rsidP="0010431F">
            <w:pPr>
              <w:jc w:val="both"/>
              <w:rPr>
                <w:rFonts w:eastAsia="Calibri"/>
                <w:sz w:val="20"/>
                <w:lang w:val="fr-CA"/>
              </w:rPr>
            </w:pPr>
          </w:p>
        </w:tc>
        <w:tc>
          <w:tcPr>
            <w:tcW w:w="2038" w:type="pct"/>
          </w:tcPr>
          <w:p w:rsidR="0010431F" w:rsidRPr="001667A2" w:rsidRDefault="0010431F" w:rsidP="0010431F">
            <w:pPr>
              <w:jc w:val="both"/>
              <w:rPr>
                <w:rFonts w:eastAsia="Calibri"/>
                <w:sz w:val="20"/>
                <w:lang w:val="fr-CA"/>
              </w:rPr>
            </w:pPr>
            <w:r w:rsidRPr="001667A2">
              <w:rPr>
                <w:rFonts w:eastAsia="Calibri"/>
                <w:sz w:val="20"/>
                <w:lang w:val="fr-CA"/>
              </w:rPr>
              <w:t xml:space="preserve">Damon William Knott condamné à 16 mois d’emprisonnement à purger concurremment, période de probation de trois ans </w:t>
            </w:r>
          </w:p>
        </w:tc>
      </w:tr>
      <w:tr w:rsidR="0010431F" w:rsidRPr="009122D4" w:rsidTr="0010431F">
        <w:tc>
          <w:tcPr>
            <w:tcW w:w="2816" w:type="pct"/>
          </w:tcPr>
          <w:p w:rsidR="0010431F" w:rsidRPr="001667A2" w:rsidRDefault="0010431F" w:rsidP="0010431F">
            <w:pPr>
              <w:jc w:val="both"/>
              <w:rPr>
                <w:rFonts w:eastAsia="Calibri"/>
                <w:sz w:val="20"/>
                <w:lang w:val="fr-CA"/>
              </w:rPr>
            </w:pPr>
          </w:p>
          <w:p w:rsidR="0010431F" w:rsidRPr="001667A2" w:rsidRDefault="0010431F" w:rsidP="0010431F">
            <w:pPr>
              <w:jc w:val="both"/>
              <w:rPr>
                <w:rFonts w:eastAsia="Calibri"/>
                <w:sz w:val="20"/>
                <w:lang w:val="fr-CA"/>
              </w:rPr>
            </w:pPr>
            <w:r w:rsidRPr="001667A2">
              <w:rPr>
                <w:rFonts w:eastAsia="Calibri"/>
                <w:sz w:val="20"/>
                <w:lang w:val="fr-CA"/>
              </w:rPr>
              <w:t xml:space="preserve">10 août 2007 </w:t>
            </w:r>
          </w:p>
          <w:p w:rsidR="0010431F" w:rsidRPr="001667A2" w:rsidRDefault="0010431F" w:rsidP="0010431F">
            <w:pPr>
              <w:jc w:val="both"/>
              <w:rPr>
                <w:rFonts w:eastAsia="Calibri"/>
                <w:sz w:val="20"/>
                <w:lang w:val="fr-CA"/>
              </w:rPr>
            </w:pPr>
            <w:r w:rsidRPr="001667A2">
              <w:rPr>
                <w:rFonts w:eastAsia="Calibri"/>
                <w:sz w:val="20"/>
                <w:lang w:val="fr-CA"/>
              </w:rPr>
              <w:t>Cour provinciale de la Colombie-Britannique</w:t>
            </w:r>
          </w:p>
          <w:p w:rsidR="0010431F" w:rsidRPr="001667A2" w:rsidRDefault="0010431F" w:rsidP="0010431F">
            <w:pPr>
              <w:jc w:val="both"/>
              <w:rPr>
                <w:rFonts w:eastAsia="Calibri"/>
                <w:sz w:val="20"/>
                <w:lang w:val="fr-CA"/>
              </w:rPr>
            </w:pPr>
            <w:r w:rsidRPr="001667A2">
              <w:rPr>
                <w:rFonts w:eastAsia="Calibri"/>
                <w:sz w:val="20"/>
                <w:lang w:val="fr-CA"/>
              </w:rPr>
              <w:t>(juge Hubbard)</w:t>
            </w:r>
          </w:p>
          <w:p w:rsidR="0010431F" w:rsidRPr="001667A2" w:rsidRDefault="0010431F" w:rsidP="0010431F">
            <w:pPr>
              <w:jc w:val="both"/>
              <w:rPr>
                <w:rFonts w:eastAsia="Calibri"/>
                <w:sz w:val="20"/>
                <w:lang w:val="fr-CA"/>
              </w:rPr>
            </w:pPr>
          </w:p>
        </w:tc>
        <w:tc>
          <w:tcPr>
            <w:tcW w:w="146" w:type="pct"/>
          </w:tcPr>
          <w:p w:rsidR="0010431F" w:rsidRPr="001667A2" w:rsidRDefault="0010431F" w:rsidP="0010431F">
            <w:pPr>
              <w:jc w:val="both"/>
              <w:rPr>
                <w:rFonts w:eastAsia="Calibri"/>
                <w:sz w:val="20"/>
                <w:lang w:val="fr-CA"/>
              </w:rPr>
            </w:pPr>
          </w:p>
        </w:tc>
        <w:tc>
          <w:tcPr>
            <w:tcW w:w="2038" w:type="pct"/>
          </w:tcPr>
          <w:p w:rsidR="0010431F" w:rsidRPr="001667A2" w:rsidRDefault="0010431F" w:rsidP="0010431F">
            <w:pPr>
              <w:jc w:val="both"/>
              <w:rPr>
                <w:rFonts w:eastAsia="Calibri"/>
                <w:sz w:val="20"/>
                <w:lang w:val="fr-CA"/>
              </w:rPr>
            </w:pPr>
          </w:p>
          <w:p w:rsidR="0010431F" w:rsidRPr="001667A2" w:rsidRDefault="0010431F" w:rsidP="0010431F">
            <w:pPr>
              <w:jc w:val="both"/>
              <w:rPr>
                <w:rFonts w:eastAsia="Calibri"/>
                <w:sz w:val="20"/>
                <w:lang w:val="fr-CA"/>
              </w:rPr>
            </w:pPr>
            <w:r w:rsidRPr="001667A2">
              <w:rPr>
                <w:rFonts w:eastAsia="Calibri"/>
                <w:sz w:val="20"/>
                <w:lang w:val="fr-CA"/>
              </w:rPr>
              <w:t xml:space="preserve">Damon William Knott condamné à six mois d’emprisonnement à purger consécutivement  </w:t>
            </w:r>
          </w:p>
        </w:tc>
      </w:tr>
      <w:tr w:rsidR="0010431F" w:rsidRPr="009122D4" w:rsidTr="0010431F">
        <w:tc>
          <w:tcPr>
            <w:tcW w:w="2816" w:type="pct"/>
          </w:tcPr>
          <w:p w:rsidR="0010431F" w:rsidRPr="001667A2" w:rsidRDefault="0010431F" w:rsidP="0010431F">
            <w:pPr>
              <w:jc w:val="both"/>
              <w:rPr>
                <w:rFonts w:eastAsia="Calibri"/>
                <w:sz w:val="20"/>
                <w:lang w:val="fr-CA"/>
              </w:rPr>
            </w:pPr>
            <w:r w:rsidRPr="001667A2">
              <w:rPr>
                <w:rFonts w:eastAsia="Calibri"/>
                <w:sz w:val="20"/>
                <w:lang w:val="fr-CA"/>
              </w:rPr>
              <w:t>3 décembre 2007</w:t>
            </w:r>
          </w:p>
          <w:p w:rsidR="0010431F" w:rsidRPr="001667A2" w:rsidRDefault="0010431F" w:rsidP="0010431F">
            <w:pPr>
              <w:jc w:val="both"/>
              <w:rPr>
                <w:rFonts w:eastAsia="Calibri"/>
                <w:sz w:val="20"/>
                <w:lang w:val="fr-CA"/>
              </w:rPr>
            </w:pPr>
            <w:r w:rsidRPr="001667A2">
              <w:rPr>
                <w:rFonts w:eastAsia="Calibri"/>
                <w:sz w:val="20"/>
                <w:lang w:val="fr-CA"/>
              </w:rPr>
              <w:t>Cour provinciale de la Colombie-Britannique</w:t>
            </w:r>
          </w:p>
          <w:p w:rsidR="0010431F" w:rsidRPr="001667A2" w:rsidRDefault="0010431F" w:rsidP="0010431F">
            <w:pPr>
              <w:jc w:val="both"/>
              <w:rPr>
                <w:rFonts w:eastAsia="Calibri"/>
                <w:sz w:val="20"/>
                <w:lang w:val="fr-CA"/>
              </w:rPr>
            </w:pPr>
            <w:r w:rsidRPr="001667A2">
              <w:rPr>
                <w:rFonts w:eastAsia="Calibri"/>
                <w:sz w:val="20"/>
                <w:lang w:val="fr-CA"/>
              </w:rPr>
              <w:t>(juge Chaperon)</w:t>
            </w:r>
          </w:p>
          <w:p w:rsidR="0010431F" w:rsidRPr="001667A2" w:rsidRDefault="0010431F" w:rsidP="0010431F">
            <w:pPr>
              <w:jc w:val="both"/>
              <w:rPr>
                <w:rFonts w:eastAsia="Calibri"/>
                <w:sz w:val="20"/>
                <w:lang w:val="fr-CA"/>
              </w:rPr>
            </w:pPr>
          </w:p>
        </w:tc>
        <w:tc>
          <w:tcPr>
            <w:tcW w:w="146" w:type="pct"/>
          </w:tcPr>
          <w:p w:rsidR="0010431F" w:rsidRPr="001667A2" w:rsidRDefault="0010431F" w:rsidP="0010431F">
            <w:pPr>
              <w:jc w:val="both"/>
              <w:rPr>
                <w:rFonts w:eastAsia="Calibri"/>
                <w:sz w:val="20"/>
                <w:lang w:val="fr-CA"/>
              </w:rPr>
            </w:pPr>
          </w:p>
        </w:tc>
        <w:tc>
          <w:tcPr>
            <w:tcW w:w="2038" w:type="pct"/>
          </w:tcPr>
          <w:p w:rsidR="0010431F" w:rsidRPr="001667A2" w:rsidRDefault="0010431F" w:rsidP="0010431F">
            <w:pPr>
              <w:jc w:val="both"/>
              <w:rPr>
                <w:rFonts w:eastAsia="Calibri"/>
                <w:sz w:val="20"/>
                <w:lang w:val="fr-CA"/>
              </w:rPr>
            </w:pPr>
            <w:r w:rsidRPr="001667A2">
              <w:rPr>
                <w:rFonts w:eastAsia="Calibri"/>
                <w:sz w:val="20"/>
                <w:lang w:val="fr-CA"/>
              </w:rPr>
              <w:t xml:space="preserve">Damon William Knott condamné à  huit mois d’emprisonnement à purger concurremment, période de probation d’un an  </w:t>
            </w:r>
          </w:p>
          <w:p w:rsidR="0010431F" w:rsidRPr="001667A2" w:rsidRDefault="0010431F" w:rsidP="0010431F">
            <w:pPr>
              <w:jc w:val="both"/>
              <w:rPr>
                <w:rFonts w:eastAsia="Calibri"/>
                <w:sz w:val="20"/>
                <w:lang w:val="fr-CA"/>
              </w:rPr>
            </w:pPr>
          </w:p>
        </w:tc>
      </w:tr>
    </w:tbl>
    <w:p w:rsidR="005C28A9" w:rsidRPr="004919E3" w:rsidRDefault="005C28A9">
      <w:pPr>
        <w:rPr>
          <w:lang w:val="fr-CA"/>
        </w:rPr>
      </w:pPr>
    </w:p>
    <w:tbl>
      <w:tblPr>
        <w:tblW w:w="4952" w:type="pct"/>
        <w:tblLayout w:type="fixed"/>
        <w:tblCellMar>
          <w:left w:w="0" w:type="dxa"/>
          <w:bottom w:w="99" w:type="dxa"/>
          <w:right w:w="0" w:type="dxa"/>
        </w:tblCellMar>
        <w:tblLook w:val="04A0"/>
      </w:tblPr>
      <w:tblGrid>
        <w:gridCol w:w="5366"/>
        <w:gridCol w:w="278"/>
        <w:gridCol w:w="3883"/>
      </w:tblGrid>
      <w:tr w:rsidR="0010431F" w:rsidRPr="009122D4" w:rsidTr="005C28A9">
        <w:trPr>
          <w:cantSplit/>
        </w:trPr>
        <w:tc>
          <w:tcPr>
            <w:tcW w:w="2816" w:type="pct"/>
          </w:tcPr>
          <w:p w:rsidR="0010431F" w:rsidRPr="001667A2" w:rsidRDefault="0010431F" w:rsidP="0010431F">
            <w:pPr>
              <w:jc w:val="both"/>
              <w:rPr>
                <w:rFonts w:eastAsia="Calibri"/>
                <w:sz w:val="20"/>
                <w:lang w:val="fr-CA"/>
              </w:rPr>
            </w:pPr>
            <w:r w:rsidRPr="001667A2">
              <w:rPr>
                <w:rFonts w:eastAsia="Calibri"/>
                <w:sz w:val="20"/>
                <w:lang w:val="fr-CA"/>
              </w:rPr>
              <w:lastRenderedPageBreak/>
              <w:t xml:space="preserve">3 juin 2008 </w:t>
            </w:r>
          </w:p>
          <w:p w:rsidR="0010431F" w:rsidRPr="001667A2" w:rsidRDefault="0010431F" w:rsidP="0010431F">
            <w:pPr>
              <w:jc w:val="both"/>
              <w:rPr>
                <w:rFonts w:eastAsia="Calibri"/>
                <w:sz w:val="20"/>
                <w:lang w:val="fr-CA"/>
              </w:rPr>
            </w:pPr>
            <w:r w:rsidRPr="001667A2">
              <w:rPr>
                <w:rFonts w:eastAsia="Calibri"/>
                <w:sz w:val="20"/>
                <w:lang w:val="fr-CA"/>
              </w:rPr>
              <w:t xml:space="preserve">Cour provinciale de la Colombie-Britannique </w:t>
            </w:r>
          </w:p>
          <w:p w:rsidR="0010431F" w:rsidRPr="001667A2" w:rsidRDefault="0010431F" w:rsidP="0010431F">
            <w:pPr>
              <w:jc w:val="both"/>
              <w:rPr>
                <w:rFonts w:eastAsia="Calibri"/>
                <w:sz w:val="20"/>
                <w:lang w:val="fr-CA"/>
              </w:rPr>
            </w:pPr>
            <w:r w:rsidRPr="001667A2">
              <w:rPr>
                <w:rFonts w:eastAsia="Calibri"/>
                <w:sz w:val="20"/>
                <w:lang w:val="fr-CA"/>
              </w:rPr>
              <w:t>(juge Webb)</w:t>
            </w:r>
          </w:p>
          <w:p w:rsidR="0010431F" w:rsidRPr="001667A2" w:rsidRDefault="0010431F" w:rsidP="0010431F">
            <w:pPr>
              <w:jc w:val="both"/>
              <w:rPr>
                <w:rFonts w:eastAsia="Calibri"/>
                <w:sz w:val="20"/>
                <w:lang w:val="fr-CA"/>
              </w:rPr>
            </w:pPr>
          </w:p>
        </w:tc>
        <w:tc>
          <w:tcPr>
            <w:tcW w:w="146" w:type="pct"/>
          </w:tcPr>
          <w:p w:rsidR="0010431F" w:rsidRPr="001667A2" w:rsidRDefault="0010431F" w:rsidP="0010431F">
            <w:pPr>
              <w:jc w:val="both"/>
              <w:rPr>
                <w:rFonts w:eastAsia="Calibri"/>
                <w:sz w:val="20"/>
                <w:lang w:val="fr-CA"/>
              </w:rPr>
            </w:pPr>
          </w:p>
        </w:tc>
        <w:tc>
          <w:tcPr>
            <w:tcW w:w="2038" w:type="pct"/>
          </w:tcPr>
          <w:p w:rsidR="0010431F" w:rsidRPr="001667A2" w:rsidRDefault="0010431F" w:rsidP="0010431F">
            <w:pPr>
              <w:jc w:val="both"/>
              <w:rPr>
                <w:rFonts w:eastAsia="Calibri"/>
                <w:sz w:val="20"/>
                <w:lang w:val="fr-CA"/>
              </w:rPr>
            </w:pPr>
            <w:r w:rsidRPr="001667A2">
              <w:rPr>
                <w:rFonts w:eastAsia="Calibri"/>
                <w:sz w:val="20"/>
                <w:lang w:val="fr-CA"/>
              </w:rPr>
              <w:t>D.A.P. condamné à une peine d’emprisonnement de deux ans moins un jour, emprisonnement avec sursis, période de probation de trois ans</w:t>
            </w:r>
          </w:p>
          <w:p w:rsidR="0010431F" w:rsidRPr="001667A2" w:rsidRDefault="0010431F" w:rsidP="0010431F">
            <w:pPr>
              <w:jc w:val="both"/>
              <w:rPr>
                <w:rFonts w:eastAsia="Calibri"/>
                <w:sz w:val="20"/>
                <w:lang w:val="fr-CA"/>
              </w:rPr>
            </w:pPr>
          </w:p>
        </w:tc>
      </w:tr>
      <w:tr w:rsidR="0010431F" w:rsidRPr="009122D4" w:rsidTr="005C28A9">
        <w:trPr>
          <w:cantSplit/>
        </w:trPr>
        <w:tc>
          <w:tcPr>
            <w:tcW w:w="2816" w:type="pct"/>
          </w:tcPr>
          <w:p w:rsidR="0010431F" w:rsidRPr="001667A2" w:rsidRDefault="0010431F" w:rsidP="0010431F">
            <w:pPr>
              <w:jc w:val="both"/>
              <w:rPr>
                <w:rFonts w:eastAsia="Calibri"/>
                <w:sz w:val="20"/>
                <w:lang w:val="fr-CA"/>
              </w:rPr>
            </w:pPr>
            <w:r w:rsidRPr="001667A2">
              <w:rPr>
                <w:rFonts w:eastAsia="Calibri"/>
                <w:sz w:val="20"/>
                <w:lang w:val="fr-CA"/>
              </w:rPr>
              <w:t xml:space="preserve">19 février 2009 </w:t>
            </w:r>
          </w:p>
          <w:p w:rsidR="0010431F" w:rsidRPr="001667A2" w:rsidRDefault="0010431F" w:rsidP="0010431F">
            <w:pPr>
              <w:jc w:val="both"/>
              <w:rPr>
                <w:rFonts w:eastAsia="Calibri"/>
                <w:sz w:val="20"/>
                <w:lang w:val="fr-CA"/>
              </w:rPr>
            </w:pPr>
            <w:r w:rsidRPr="001667A2">
              <w:rPr>
                <w:rFonts w:eastAsia="Calibri"/>
                <w:sz w:val="20"/>
                <w:lang w:val="fr-CA"/>
              </w:rPr>
              <w:t xml:space="preserve">Cour provinciale de la Colombie-Britannique </w:t>
            </w:r>
          </w:p>
          <w:p w:rsidR="0010431F" w:rsidRPr="001667A2" w:rsidRDefault="0010431F" w:rsidP="0010431F">
            <w:pPr>
              <w:jc w:val="both"/>
              <w:rPr>
                <w:rFonts w:eastAsia="Calibri"/>
                <w:sz w:val="20"/>
                <w:lang w:val="fr-CA"/>
              </w:rPr>
            </w:pPr>
            <w:r w:rsidRPr="001667A2">
              <w:rPr>
                <w:rFonts w:eastAsia="Calibri"/>
                <w:sz w:val="20"/>
                <w:lang w:val="fr-CA"/>
              </w:rPr>
              <w:t>(juge Webb)</w:t>
            </w:r>
          </w:p>
          <w:p w:rsidR="0010431F" w:rsidRPr="001667A2" w:rsidRDefault="0010431F" w:rsidP="0010431F">
            <w:pPr>
              <w:jc w:val="both"/>
              <w:rPr>
                <w:rFonts w:eastAsia="Calibri"/>
                <w:sz w:val="20"/>
                <w:lang w:val="fr-CA"/>
              </w:rPr>
            </w:pPr>
          </w:p>
        </w:tc>
        <w:tc>
          <w:tcPr>
            <w:tcW w:w="146" w:type="pct"/>
          </w:tcPr>
          <w:p w:rsidR="0010431F" w:rsidRPr="001667A2" w:rsidRDefault="0010431F" w:rsidP="0010431F">
            <w:pPr>
              <w:jc w:val="both"/>
              <w:rPr>
                <w:rFonts w:eastAsia="Calibri"/>
                <w:sz w:val="20"/>
                <w:lang w:val="fr-CA"/>
              </w:rPr>
            </w:pPr>
          </w:p>
        </w:tc>
        <w:tc>
          <w:tcPr>
            <w:tcW w:w="2038" w:type="pct"/>
          </w:tcPr>
          <w:p w:rsidR="0010431F" w:rsidRPr="001667A2" w:rsidRDefault="0010431F" w:rsidP="0010431F">
            <w:pPr>
              <w:jc w:val="both"/>
              <w:rPr>
                <w:rFonts w:eastAsia="Calibri"/>
                <w:sz w:val="20"/>
                <w:lang w:val="fr-CA"/>
              </w:rPr>
            </w:pPr>
            <w:r w:rsidRPr="001667A2">
              <w:rPr>
                <w:rFonts w:eastAsia="Calibri"/>
                <w:sz w:val="20"/>
                <w:lang w:val="fr-CA"/>
              </w:rPr>
              <w:t>D.A.P. condamné à trois ans d’emprisonnement à purger concurremment; peine d’emprisonnement avec sursis convertie en emprisonnement</w:t>
            </w:r>
          </w:p>
          <w:p w:rsidR="0010431F" w:rsidRPr="001667A2" w:rsidRDefault="0010431F" w:rsidP="0010431F">
            <w:pPr>
              <w:jc w:val="both"/>
              <w:rPr>
                <w:rFonts w:eastAsia="Calibri"/>
                <w:sz w:val="20"/>
                <w:lang w:val="fr-CA"/>
              </w:rPr>
            </w:pPr>
          </w:p>
        </w:tc>
      </w:tr>
      <w:tr w:rsidR="0010431F" w:rsidRPr="001667A2" w:rsidTr="005C28A9">
        <w:trPr>
          <w:cantSplit/>
        </w:trPr>
        <w:tc>
          <w:tcPr>
            <w:tcW w:w="2816" w:type="pct"/>
          </w:tcPr>
          <w:p w:rsidR="0010431F" w:rsidRPr="001667A2" w:rsidRDefault="0010431F" w:rsidP="0010431F">
            <w:pPr>
              <w:jc w:val="both"/>
              <w:rPr>
                <w:rFonts w:eastAsia="Calibri"/>
                <w:sz w:val="20"/>
                <w:lang w:val="fr-CA"/>
              </w:rPr>
            </w:pPr>
            <w:r w:rsidRPr="001667A2">
              <w:rPr>
                <w:rFonts w:eastAsia="Calibri"/>
                <w:sz w:val="20"/>
                <w:lang w:val="fr-CA"/>
              </w:rPr>
              <w:t>26 août 2010</w:t>
            </w:r>
          </w:p>
          <w:p w:rsidR="0010431F" w:rsidRPr="001667A2" w:rsidRDefault="0010431F" w:rsidP="0010431F">
            <w:pPr>
              <w:jc w:val="both"/>
              <w:rPr>
                <w:rFonts w:eastAsia="Calibri"/>
                <w:sz w:val="20"/>
                <w:lang w:val="fr-CA"/>
              </w:rPr>
            </w:pPr>
            <w:r w:rsidRPr="001667A2">
              <w:rPr>
                <w:rFonts w:eastAsia="Calibri"/>
                <w:sz w:val="20"/>
                <w:lang w:val="fr-CA"/>
              </w:rPr>
              <w:t>Cour d’appel de la Colombie-Britannique (Vancouver)</w:t>
            </w:r>
          </w:p>
          <w:p w:rsidR="0010431F" w:rsidRPr="001667A2" w:rsidRDefault="0010431F" w:rsidP="0010431F">
            <w:pPr>
              <w:jc w:val="both"/>
              <w:rPr>
                <w:rFonts w:eastAsia="Calibri"/>
                <w:sz w:val="20"/>
              </w:rPr>
            </w:pPr>
            <w:r w:rsidRPr="001667A2">
              <w:rPr>
                <w:rFonts w:eastAsia="Calibri"/>
                <w:sz w:val="20"/>
              </w:rPr>
              <w:t>(juges Finch, Rowles, Hall, Groberman et Bennett)</w:t>
            </w:r>
          </w:p>
          <w:p w:rsidR="0010431F" w:rsidRPr="001667A2" w:rsidRDefault="0010431F" w:rsidP="0010431F">
            <w:pPr>
              <w:jc w:val="both"/>
              <w:rPr>
                <w:rFonts w:eastAsia="Calibri"/>
                <w:sz w:val="20"/>
                <w:lang w:val="fr-CA"/>
              </w:rPr>
            </w:pPr>
            <w:r w:rsidRPr="001667A2">
              <w:rPr>
                <w:rFonts w:eastAsia="Calibri"/>
                <w:sz w:val="20"/>
                <w:lang w:val="fr-CA"/>
              </w:rPr>
              <w:t>2010 BCCA 386; CA036904, CA036977, CA037293</w:t>
            </w:r>
          </w:p>
          <w:p w:rsidR="0010431F" w:rsidRPr="001667A2" w:rsidRDefault="0010431F" w:rsidP="0010431F">
            <w:pPr>
              <w:jc w:val="both"/>
              <w:rPr>
                <w:rFonts w:eastAsia="Calibri"/>
                <w:sz w:val="20"/>
                <w:lang w:val="fr-CA"/>
              </w:rPr>
            </w:pPr>
          </w:p>
        </w:tc>
        <w:tc>
          <w:tcPr>
            <w:tcW w:w="146" w:type="pct"/>
          </w:tcPr>
          <w:p w:rsidR="0010431F" w:rsidRPr="001667A2" w:rsidRDefault="0010431F" w:rsidP="0010431F">
            <w:pPr>
              <w:jc w:val="both"/>
              <w:rPr>
                <w:rFonts w:eastAsia="Calibri"/>
                <w:sz w:val="20"/>
                <w:lang w:val="fr-CA"/>
              </w:rPr>
            </w:pPr>
          </w:p>
        </w:tc>
        <w:tc>
          <w:tcPr>
            <w:tcW w:w="2038" w:type="pct"/>
          </w:tcPr>
          <w:p w:rsidR="0010431F" w:rsidRPr="001667A2" w:rsidRDefault="0010431F" w:rsidP="0010431F">
            <w:pPr>
              <w:jc w:val="both"/>
              <w:rPr>
                <w:rFonts w:eastAsia="Calibri"/>
                <w:sz w:val="20"/>
                <w:lang w:val="fr-CA"/>
              </w:rPr>
            </w:pPr>
            <w:r w:rsidRPr="001667A2">
              <w:rPr>
                <w:rFonts w:eastAsia="Calibri"/>
                <w:sz w:val="20"/>
                <w:lang w:val="fr-CA"/>
              </w:rPr>
              <w:t>Appels rejetés</w:t>
            </w:r>
          </w:p>
        </w:tc>
      </w:tr>
      <w:tr w:rsidR="0010431F" w:rsidRPr="001667A2" w:rsidTr="005C28A9">
        <w:trPr>
          <w:cantSplit/>
        </w:trPr>
        <w:tc>
          <w:tcPr>
            <w:tcW w:w="2816" w:type="pct"/>
          </w:tcPr>
          <w:p w:rsidR="0010431F" w:rsidRPr="001667A2" w:rsidRDefault="0010431F" w:rsidP="0010431F">
            <w:pPr>
              <w:jc w:val="both"/>
              <w:rPr>
                <w:rFonts w:eastAsia="Calibri"/>
                <w:sz w:val="20"/>
                <w:lang w:val="fr-CA"/>
              </w:rPr>
            </w:pPr>
            <w:r w:rsidRPr="001667A2">
              <w:rPr>
                <w:rFonts w:eastAsia="Calibri"/>
                <w:sz w:val="20"/>
                <w:lang w:val="fr-CA"/>
              </w:rPr>
              <w:t>25 octobre 2010</w:t>
            </w:r>
          </w:p>
          <w:p w:rsidR="0010431F" w:rsidRPr="001667A2" w:rsidRDefault="0010431F" w:rsidP="0010431F">
            <w:pPr>
              <w:jc w:val="both"/>
              <w:rPr>
                <w:rFonts w:eastAsia="Calibri"/>
                <w:sz w:val="20"/>
                <w:lang w:val="fr-CA"/>
              </w:rPr>
            </w:pPr>
            <w:r w:rsidRPr="001667A2">
              <w:rPr>
                <w:rFonts w:eastAsia="Calibri"/>
                <w:sz w:val="20"/>
                <w:lang w:val="fr-CA"/>
              </w:rPr>
              <w:t>Cour suprême du Canada</w:t>
            </w:r>
          </w:p>
        </w:tc>
        <w:tc>
          <w:tcPr>
            <w:tcW w:w="146" w:type="pct"/>
          </w:tcPr>
          <w:p w:rsidR="0010431F" w:rsidRPr="001667A2" w:rsidRDefault="0010431F" w:rsidP="0010431F">
            <w:pPr>
              <w:jc w:val="both"/>
              <w:rPr>
                <w:rFonts w:eastAsia="Calibri"/>
                <w:sz w:val="20"/>
                <w:lang w:val="fr-CA"/>
              </w:rPr>
            </w:pPr>
          </w:p>
        </w:tc>
        <w:tc>
          <w:tcPr>
            <w:tcW w:w="2038" w:type="pct"/>
          </w:tcPr>
          <w:p w:rsidR="0010431F" w:rsidRPr="001667A2" w:rsidRDefault="0010431F" w:rsidP="0010431F">
            <w:pPr>
              <w:jc w:val="both"/>
              <w:rPr>
                <w:rFonts w:eastAsia="Calibri"/>
                <w:sz w:val="20"/>
                <w:lang w:val="fr-CA"/>
              </w:rPr>
            </w:pPr>
            <w:r w:rsidRPr="001667A2">
              <w:rPr>
                <w:rFonts w:eastAsia="Calibri"/>
                <w:sz w:val="20"/>
                <w:lang w:val="fr-CA"/>
              </w:rPr>
              <w:t>Demande d’autorisation d’appel déposée</w:t>
            </w:r>
          </w:p>
        </w:tc>
      </w:tr>
    </w:tbl>
    <w:p w:rsidR="00AF63D3" w:rsidRDefault="00AF63D3" w:rsidP="00AF63D3">
      <w:pPr>
        <w:rPr>
          <w:sz w:val="20"/>
          <w:szCs w:val="20"/>
        </w:rPr>
      </w:pPr>
    </w:p>
    <w:p w:rsidR="00AF63D3" w:rsidRDefault="003E529C" w:rsidP="00AF63D3">
      <w:pPr>
        <w:rPr>
          <w:sz w:val="20"/>
          <w:szCs w:val="20"/>
          <w:lang w:val="fr-CA"/>
        </w:rPr>
      </w:pPr>
      <w:r w:rsidRPr="003E529C">
        <w:rPr>
          <w:sz w:val="20"/>
          <w:szCs w:val="20"/>
          <w:lang w:val="fr-CA"/>
        </w:rPr>
        <w:pict>
          <v:rect id="_x0000_i1056" style="width:2in;height:1pt" o:hrpct="0" o:hralign="center" o:hrstd="t" o:hrnoshade="t" o:hr="t" fillcolor="black [3213]" stroked="f"/>
        </w:pict>
      </w:r>
    </w:p>
    <w:p w:rsidR="00AF63D3" w:rsidRDefault="00AF63D3" w:rsidP="00AF63D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B2464" w:rsidRPr="001B2464" w:rsidTr="00E022C0">
        <w:trPr>
          <w:cantSplit/>
        </w:trPr>
        <w:tc>
          <w:tcPr>
            <w:tcW w:w="1458" w:type="dxa"/>
          </w:tcPr>
          <w:p w:rsidR="001B2464" w:rsidRPr="001B2464" w:rsidRDefault="001B2464" w:rsidP="00E022C0">
            <w:pPr>
              <w:rPr>
                <w:sz w:val="20"/>
                <w:szCs w:val="20"/>
              </w:rPr>
            </w:pPr>
            <w:r w:rsidRPr="001B2464">
              <w:rPr>
                <w:rStyle w:val="SCCFileNumberChar"/>
                <w:sz w:val="20"/>
                <w:szCs w:val="20"/>
              </w:rPr>
              <w:t>33912</w:t>
            </w:r>
          </w:p>
          <w:p w:rsidR="001B2464" w:rsidRPr="001B2464" w:rsidRDefault="001B2464" w:rsidP="00E022C0">
            <w:pPr>
              <w:rPr>
                <w:b/>
                <w:sz w:val="20"/>
                <w:szCs w:val="20"/>
                <w:lang w:val="fr-CA"/>
              </w:rPr>
            </w:pPr>
          </w:p>
        </w:tc>
        <w:tc>
          <w:tcPr>
            <w:tcW w:w="8118" w:type="dxa"/>
          </w:tcPr>
          <w:p w:rsidR="001B2464" w:rsidRPr="001B2464" w:rsidRDefault="001B2464" w:rsidP="00E022C0">
            <w:pPr>
              <w:rPr>
                <w:sz w:val="20"/>
                <w:szCs w:val="20"/>
              </w:rPr>
            </w:pPr>
            <w:r w:rsidRPr="001B2464">
              <w:rPr>
                <w:rStyle w:val="SCCLsocChar"/>
                <w:sz w:val="20"/>
                <w:szCs w:val="20"/>
                <w:lang w:val="en-CA"/>
              </w:rPr>
              <w:t>C.K.C. v. Her Majesty the Queen</w:t>
            </w:r>
            <w:r w:rsidRPr="001B2464">
              <w:rPr>
                <w:sz w:val="20"/>
                <w:szCs w:val="20"/>
              </w:rPr>
              <w:t xml:space="preserve"> (Ont.) (Criminal) (By Leave)</w:t>
            </w:r>
          </w:p>
          <w:p w:rsidR="001B2464" w:rsidRPr="001B2464" w:rsidRDefault="001B2464" w:rsidP="00E022C0">
            <w:pPr>
              <w:rPr>
                <w:sz w:val="20"/>
                <w:szCs w:val="20"/>
              </w:rPr>
            </w:pPr>
          </w:p>
        </w:tc>
      </w:tr>
      <w:tr w:rsidR="001B2464" w:rsidRPr="001B2464" w:rsidTr="00E022C0">
        <w:trPr>
          <w:cantSplit/>
        </w:trPr>
        <w:tc>
          <w:tcPr>
            <w:tcW w:w="1458" w:type="dxa"/>
          </w:tcPr>
          <w:p w:rsidR="001B2464" w:rsidRPr="001B2464" w:rsidRDefault="001B2464" w:rsidP="00E022C0">
            <w:pPr>
              <w:rPr>
                <w:sz w:val="20"/>
                <w:szCs w:val="20"/>
              </w:rPr>
            </w:pPr>
            <w:r w:rsidRPr="001B2464">
              <w:rPr>
                <w:sz w:val="20"/>
                <w:szCs w:val="20"/>
              </w:rPr>
              <w:t>Coram :</w:t>
            </w:r>
          </w:p>
        </w:tc>
        <w:tc>
          <w:tcPr>
            <w:tcW w:w="8118" w:type="dxa"/>
          </w:tcPr>
          <w:p w:rsidR="001B2464" w:rsidRPr="001B2464" w:rsidRDefault="001B2464" w:rsidP="00E022C0">
            <w:pPr>
              <w:rPr>
                <w:sz w:val="20"/>
                <w:szCs w:val="20"/>
              </w:rPr>
            </w:pPr>
            <w:r w:rsidRPr="001B2464">
              <w:rPr>
                <w:rStyle w:val="SCCCoramChar"/>
                <w:sz w:val="20"/>
                <w:szCs w:val="20"/>
                <w:lang w:val="en-CA"/>
              </w:rPr>
              <w:t>McLachlin C.J. and Abella and Cromwell JJ.</w:t>
            </w:r>
          </w:p>
          <w:p w:rsidR="001B2464" w:rsidRPr="001B2464" w:rsidRDefault="001B2464" w:rsidP="00E022C0">
            <w:pPr>
              <w:rPr>
                <w:sz w:val="20"/>
                <w:szCs w:val="20"/>
                <w:u w:val="single"/>
              </w:rPr>
            </w:pPr>
          </w:p>
        </w:tc>
      </w:tr>
      <w:tr w:rsidR="001B2464" w:rsidRPr="009122D4" w:rsidTr="00E022C0">
        <w:trPr>
          <w:cantSplit/>
        </w:trPr>
        <w:tc>
          <w:tcPr>
            <w:tcW w:w="9576" w:type="dxa"/>
            <w:gridSpan w:val="2"/>
          </w:tcPr>
          <w:p w:rsidR="001B2464" w:rsidRPr="001B2464" w:rsidRDefault="001B2464" w:rsidP="00E022C0">
            <w:pPr>
              <w:pStyle w:val="SCCShortJudgment"/>
              <w:rPr>
                <w:szCs w:val="20"/>
              </w:rPr>
            </w:pPr>
            <w:r w:rsidRPr="001B2464">
              <w:rPr>
                <w:szCs w:val="20"/>
              </w:rPr>
              <w:t>The motion for an extension of time to serve and file the application for leave to appeal is granted. The application for leave to appeal from the judgment of the Court of Appeal for Ontario, Number C50074, dated June 14, 2010, is dismissed without costs.</w:t>
            </w:r>
          </w:p>
          <w:p w:rsidR="001B2464" w:rsidRPr="001B2464" w:rsidRDefault="001B2464" w:rsidP="00E022C0">
            <w:pPr>
              <w:pStyle w:val="SCCShortJudgment"/>
              <w:ind w:firstLine="0"/>
              <w:rPr>
                <w:szCs w:val="20"/>
              </w:rPr>
            </w:pPr>
          </w:p>
          <w:p w:rsidR="001B2464" w:rsidRPr="001B2464" w:rsidRDefault="001B2464" w:rsidP="001B2464">
            <w:pPr>
              <w:pStyle w:val="SCCShortJudgment"/>
              <w:rPr>
                <w:szCs w:val="20"/>
                <w:lang w:val="fr-CA"/>
              </w:rPr>
            </w:pPr>
            <w:r w:rsidRPr="001B2464">
              <w:rPr>
                <w:szCs w:val="20"/>
                <w:lang w:val="fr-CA"/>
              </w:rPr>
              <w:t>La requête en prorogation du délai de signification et de dépôt de la demande d’autorisation d’appel est accordée.  La demande d’autorisation d’appel de l’arrêt de la Cour d’appel de l’Ontario, numéro C50074, daté du 14 juin 2010, est rejetée sans dépens.</w:t>
            </w:r>
          </w:p>
        </w:tc>
      </w:tr>
    </w:tbl>
    <w:p w:rsidR="00AF63D3" w:rsidRPr="001B2464" w:rsidRDefault="00AF63D3" w:rsidP="00AF63D3">
      <w:pPr>
        <w:rPr>
          <w:sz w:val="20"/>
          <w:szCs w:val="20"/>
          <w:lang w:val="fr-CA"/>
        </w:rPr>
      </w:pPr>
    </w:p>
    <w:p w:rsidR="00AF63D3" w:rsidRDefault="00AF63D3" w:rsidP="00AF63D3">
      <w:pPr>
        <w:rPr>
          <w:sz w:val="20"/>
          <w:szCs w:val="20"/>
        </w:rPr>
      </w:pPr>
      <w:r>
        <w:rPr>
          <w:sz w:val="20"/>
          <w:szCs w:val="20"/>
          <w:u w:val="single"/>
        </w:rPr>
        <w:t>CASE SUMMARY</w:t>
      </w:r>
    </w:p>
    <w:p w:rsidR="00AF63D3" w:rsidRDefault="00AF63D3" w:rsidP="00AF63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0431F" w:rsidRPr="001667A2" w:rsidTr="0010431F">
        <w:tc>
          <w:tcPr>
            <w:tcW w:w="5000" w:type="pct"/>
            <w:gridSpan w:val="3"/>
          </w:tcPr>
          <w:p w:rsidR="0010431F" w:rsidRPr="001667A2" w:rsidRDefault="0010431F" w:rsidP="0010431F">
            <w:pPr>
              <w:jc w:val="both"/>
              <w:rPr>
                <w:rFonts w:eastAsia="Calibri"/>
                <w:smallCaps/>
                <w:sz w:val="20"/>
              </w:rPr>
            </w:pPr>
            <w:r w:rsidRPr="001667A2">
              <w:rPr>
                <w:rFonts w:eastAsia="Calibri"/>
                <w:smallCaps/>
                <w:sz w:val="20"/>
              </w:rPr>
              <w:t>(Publication ban in case) (Publication ban on party)</w:t>
            </w:r>
          </w:p>
          <w:p w:rsidR="0010431F" w:rsidRPr="001667A2" w:rsidRDefault="0010431F" w:rsidP="0010431F">
            <w:pPr>
              <w:jc w:val="both"/>
              <w:rPr>
                <w:rFonts w:eastAsia="Calibri"/>
                <w:sz w:val="20"/>
              </w:rPr>
            </w:pPr>
          </w:p>
        </w:tc>
      </w:tr>
      <w:tr w:rsidR="0010431F" w:rsidRPr="001667A2" w:rsidTr="0010431F">
        <w:tc>
          <w:tcPr>
            <w:tcW w:w="5000" w:type="pct"/>
            <w:gridSpan w:val="3"/>
          </w:tcPr>
          <w:p w:rsidR="0010431F" w:rsidRPr="001667A2" w:rsidRDefault="0010431F" w:rsidP="0010431F">
            <w:pPr>
              <w:jc w:val="both"/>
              <w:rPr>
                <w:rFonts w:eastAsia="Calibri"/>
                <w:sz w:val="20"/>
              </w:rPr>
            </w:pPr>
            <w:r w:rsidRPr="001667A2">
              <w:rPr>
                <w:rFonts w:eastAsia="Calibri"/>
                <w:sz w:val="20"/>
              </w:rPr>
              <w:t>Criminal Law - Sexual assault - Evidence - Similar fact evidence - Trial - Fair trial - Credibility - Ineffective assistance of counsel - Whether there was collusion among the complainants - Whether defence counsel failed in his duty to defend the applicant - Whether the applicant was subject to the trial judge’s eagerness to convict him – Whether the applicant would have had a more fair trial if his case had been heard by a male judge.</w:t>
            </w:r>
          </w:p>
          <w:p w:rsidR="0010431F" w:rsidRPr="001667A2" w:rsidRDefault="0010431F" w:rsidP="0010431F">
            <w:pPr>
              <w:jc w:val="both"/>
              <w:rPr>
                <w:rFonts w:eastAsia="Calibri"/>
                <w:sz w:val="20"/>
              </w:rPr>
            </w:pPr>
          </w:p>
        </w:tc>
      </w:tr>
      <w:tr w:rsidR="0010431F" w:rsidRPr="001667A2" w:rsidTr="0010431F">
        <w:tc>
          <w:tcPr>
            <w:tcW w:w="5000" w:type="pct"/>
            <w:gridSpan w:val="3"/>
          </w:tcPr>
          <w:p w:rsidR="0010431F" w:rsidRPr="001667A2" w:rsidRDefault="0010431F" w:rsidP="005C28A9">
            <w:pPr>
              <w:jc w:val="both"/>
              <w:rPr>
                <w:rFonts w:eastAsia="Calibri"/>
                <w:sz w:val="20"/>
              </w:rPr>
            </w:pPr>
            <w:r w:rsidRPr="001667A2">
              <w:rPr>
                <w:rFonts w:eastAsia="Calibri"/>
                <w:sz w:val="20"/>
              </w:rPr>
              <w:t>The charges of sexual assault, sexual interference and sexual exploitation against the applicant involved allegations that he improperly touched three of his students for a sexual purpose during their classes at his private art school. The first complainant, S.Y., was 13 years old at the time of the alleged offence, which consisted of her left breast being squeezed by the applicant. The second complainant, T.M., was 8 years old at the time of the alleged offence, which consisted of the applicant touching her between her legs on three occasions. The third complainant, S.S., was 14 or 15 years old at the time of the alleged offences, which consisted of the applicant kissing her cheek and, on a separate occasion, touching her breasts. The applicant was convicted of two counts of sexual assault, one count of sexual exploitation and one count of sexual interference. The Court of Appeal for Ontario dismissed the applicant’s appeal against his conviction.</w:t>
            </w:r>
          </w:p>
        </w:tc>
      </w:tr>
      <w:tr w:rsidR="0010431F" w:rsidRPr="001667A2" w:rsidTr="0010431F">
        <w:tc>
          <w:tcPr>
            <w:tcW w:w="2427" w:type="pct"/>
          </w:tcPr>
          <w:p w:rsidR="0010431F" w:rsidRPr="001667A2" w:rsidRDefault="0010431F" w:rsidP="0010431F">
            <w:pPr>
              <w:jc w:val="both"/>
              <w:rPr>
                <w:rFonts w:eastAsia="Calibri"/>
                <w:sz w:val="20"/>
              </w:rPr>
            </w:pPr>
            <w:r w:rsidRPr="001667A2">
              <w:rPr>
                <w:rFonts w:eastAsia="Calibri"/>
                <w:sz w:val="20"/>
              </w:rPr>
              <w:lastRenderedPageBreak/>
              <w:t>September 22, 2008</w:t>
            </w:r>
          </w:p>
          <w:p w:rsidR="0010431F" w:rsidRPr="001667A2" w:rsidRDefault="0010431F" w:rsidP="0010431F">
            <w:pPr>
              <w:jc w:val="both"/>
              <w:rPr>
                <w:rFonts w:eastAsia="Calibri"/>
                <w:sz w:val="20"/>
              </w:rPr>
            </w:pPr>
            <w:r w:rsidRPr="001667A2">
              <w:rPr>
                <w:rFonts w:eastAsia="Calibri"/>
                <w:sz w:val="20"/>
              </w:rPr>
              <w:t>Ontario Court of Justice</w:t>
            </w:r>
          </w:p>
          <w:p w:rsidR="0010431F" w:rsidRPr="001667A2" w:rsidRDefault="0010431F" w:rsidP="0010431F">
            <w:pPr>
              <w:jc w:val="both"/>
              <w:rPr>
                <w:rFonts w:eastAsia="Calibri"/>
                <w:sz w:val="20"/>
              </w:rPr>
            </w:pPr>
            <w:r w:rsidRPr="001667A2">
              <w:rPr>
                <w:rFonts w:eastAsia="Calibri"/>
                <w:sz w:val="20"/>
              </w:rPr>
              <w:t>(Marin J.)</w:t>
            </w:r>
          </w:p>
          <w:p w:rsidR="0010431F" w:rsidRPr="001667A2" w:rsidRDefault="0010431F" w:rsidP="0010431F">
            <w:pPr>
              <w:jc w:val="both"/>
              <w:rPr>
                <w:rFonts w:eastAsia="Calibri"/>
                <w:sz w:val="20"/>
              </w:rPr>
            </w:pPr>
          </w:p>
        </w:tc>
        <w:tc>
          <w:tcPr>
            <w:tcW w:w="243" w:type="pct"/>
          </w:tcPr>
          <w:p w:rsidR="0010431F" w:rsidRPr="001667A2" w:rsidRDefault="0010431F" w:rsidP="0010431F">
            <w:pPr>
              <w:jc w:val="both"/>
              <w:rPr>
                <w:rFonts w:eastAsia="Calibri"/>
                <w:sz w:val="20"/>
              </w:rPr>
            </w:pPr>
          </w:p>
        </w:tc>
        <w:tc>
          <w:tcPr>
            <w:tcW w:w="2330" w:type="pct"/>
          </w:tcPr>
          <w:p w:rsidR="0010431F" w:rsidRPr="001667A2" w:rsidRDefault="0010431F" w:rsidP="0010431F">
            <w:pPr>
              <w:jc w:val="both"/>
              <w:rPr>
                <w:rFonts w:eastAsia="Calibri"/>
                <w:sz w:val="20"/>
              </w:rPr>
            </w:pPr>
            <w:r w:rsidRPr="001667A2">
              <w:rPr>
                <w:rFonts w:eastAsia="Calibri"/>
                <w:sz w:val="20"/>
              </w:rPr>
              <w:t>Conviction: two counts of sexual assault, one count of sexual exploitation and one count of sexual interference</w:t>
            </w:r>
          </w:p>
          <w:p w:rsidR="0010431F" w:rsidRPr="001667A2" w:rsidRDefault="0010431F" w:rsidP="0010431F">
            <w:pPr>
              <w:jc w:val="both"/>
              <w:rPr>
                <w:rFonts w:eastAsia="Calibri"/>
                <w:sz w:val="20"/>
              </w:rPr>
            </w:pPr>
          </w:p>
        </w:tc>
      </w:tr>
      <w:tr w:rsidR="0010431F" w:rsidRPr="001667A2" w:rsidTr="0010431F">
        <w:tc>
          <w:tcPr>
            <w:tcW w:w="2427" w:type="pct"/>
          </w:tcPr>
          <w:p w:rsidR="0010431F" w:rsidRPr="001667A2" w:rsidRDefault="0010431F" w:rsidP="0010431F">
            <w:pPr>
              <w:jc w:val="both"/>
              <w:rPr>
                <w:rFonts w:eastAsia="Calibri"/>
                <w:sz w:val="20"/>
              </w:rPr>
            </w:pPr>
            <w:r w:rsidRPr="001667A2">
              <w:rPr>
                <w:rFonts w:eastAsia="Calibri"/>
                <w:sz w:val="20"/>
              </w:rPr>
              <w:t>June 14, 2010</w:t>
            </w:r>
          </w:p>
          <w:p w:rsidR="0010431F" w:rsidRPr="001667A2" w:rsidRDefault="0010431F" w:rsidP="0010431F">
            <w:pPr>
              <w:jc w:val="both"/>
              <w:rPr>
                <w:rFonts w:eastAsia="Calibri"/>
                <w:sz w:val="20"/>
              </w:rPr>
            </w:pPr>
            <w:r w:rsidRPr="001667A2">
              <w:rPr>
                <w:rFonts w:eastAsia="Calibri"/>
                <w:sz w:val="20"/>
              </w:rPr>
              <w:t>Court of Appeal for Ontario</w:t>
            </w:r>
          </w:p>
          <w:p w:rsidR="0010431F" w:rsidRPr="001667A2" w:rsidRDefault="0010431F" w:rsidP="0010431F">
            <w:pPr>
              <w:jc w:val="both"/>
              <w:rPr>
                <w:rFonts w:eastAsia="Calibri"/>
                <w:sz w:val="20"/>
              </w:rPr>
            </w:pPr>
            <w:r w:rsidRPr="001667A2">
              <w:rPr>
                <w:rFonts w:eastAsia="Calibri"/>
                <w:sz w:val="20"/>
              </w:rPr>
              <w:t>(MacPherson, Gillese and LaForme JJ.A.)</w:t>
            </w:r>
          </w:p>
          <w:p w:rsidR="0010431F" w:rsidRPr="001667A2" w:rsidRDefault="0010431F" w:rsidP="0010431F">
            <w:pPr>
              <w:jc w:val="both"/>
              <w:rPr>
                <w:rFonts w:eastAsia="Calibri"/>
                <w:sz w:val="20"/>
              </w:rPr>
            </w:pPr>
          </w:p>
        </w:tc>
        <w:tc>
          <w:tcPr>
            <w:tcW w:w="243" w:type="pct"/>
          </w:tcPr>
          <w:p w:rsidR="0010431F" w:rsidRPr="001667A2" w:rsidRDefault="0010431F" w:rsidP="0010431F">
            <w:pPr>
              <w:jc w:val="both"/>
              <w:rPr>
                <w:rFonts w:eastAsia="Calibri"/>
                <w:sz w:val="20"/>
              </w:rPr>
            </w:pPr>
          </w:p>
        </w:tc>
        <w:tc>
          <w:tcPr>
            <w:tcW w:w="2330" w:type="pct"/>
          </w:tcPr>
          <w:p w:rsidR="0010431F" w:rsidRPr="001667A2" w:rsidRDefault="0010431F" w:rsidP="0010431F">
            <w:pPr>
              <w:jc w:val="both"/>
              <w:rPr>
                <w:rFonts w:eastAsia="Calibri"/>
                <w:sz w:val="20"/>
              </w:rPr>
            </w:pPr>
            <w:r w:rsidRPr="001667A2">
              <w:rPr>
                <w:rFonts w:eastAsia="Calibri"/>
                <w:sz w:val="20"/>
              </w:rPr>
              <w:t>Appeal against conviction dismissed</w:t>
            </w:r>
          </w:p>
          <w:p w:rsidR="0010431F" w:rsidRPr="001667A2" w:rsidRDefault="0010431F" w:rsidP="0010431F">
            <w:pPr>
              <w:jc w:val="both"/>
              <w:rPr>
                <w:rFonts w:eastAsia="Calibri"/>
                <w:sz w:val="20"/>
              </w:rPr>
            </w:pPr>
          </w:p>
        </w:tc>
      </w:tr>
      <w:tr w:rsidR="0010431F" w:rsidRPr="001667A2" w:rsidTr="0010431F">
        <w:tc>
          <w:tcPr>
            <w:tcW w:w="2427" w:type="pct"/>
          </w:tcPr>
          <w:p w:rsidR="0010431F" w:rsidRPr="001667A2" w:rsidRDefault="0010431F" w:rsidP="0010431F">
            <w:pPr>
              <w:jc w:val="both"/>
              <w:rPr>
                <w:rFonts w:eastAsia="Calibri"/>
                <w:sz w:val="20"/>
              </w:rPr>
            </w:pPr>
            <w:r w:rsidRPr="001667A2">
              <w:rPr>
                <w:rFonts w:eastAsia="Calibri"/>
                <w:sz w:val="20"/>
              </w:rPr>
              <w:t>October 15, 2010</w:t>
            </w:r>
          </w:p>
          <w:p w:rsidR="0010431F" w:rsidRPr="001667A2" w:rsidRDefault="0010431F" w:rsidP="0010431F">
            <w:pPr>
              <w:jc w:val="both"/>
              <w:rPr>
                <w:rFonts w:eastAsia="Calibri"/>
                <w:sz w:val="20"/>
              </w:rPr>
            </w:pPr>
            <w:r w:rsidRPr="001667A2">
              <w:rPr>
                <w:rFonts w:eastAsia="Calibri"/>
                <w:sz w:val="20"/>
              </w:rPr>
              <w:t>Supreme Court of Canada</w:t>
            </w:r>
          </w:p>
        </w:tc>
        <w:tc>
          <w:tcPr>
            <w:tcW w:w="243" w:type="pct"/>
          </w:tcPr>
          <w:p w:rsidR="0010431F" w:rsidRPr="001667A2" w:rsidRDefault="0010431F" w:rsidP="0010431F">
            <w:pPr>
              <w:jc w:val="both"/>
              <w:rPr>
                <w:rFonts w:eastAsia="Calibri"/>
                <w:sz w:val="20"/>
              </w:rPr>
            </w:pPr>
          </w:p>
        </w:tc>
        <w:tc>
          <w:tcPr>
            <w:tcW w:w="2330" w:type="pct"/>
          </w:tcPr>
          <w:p w:rsidR="0010431F" w:rsidRPr="001667A2" w:rsidRDefault="0010431F" w:rsidP="0010431F">
            <w:pPr>
              <w:jc w:val="both"/>
              <w:rPr>
                <w:rFonts w:eastAsia="Calibri"/>
                <w:sz w:val="20"/>
              </w:rPr>
            </w:pPr>
            <w:r w:rsidRPr="001667A2">
              <w:rPr>
                <w:rFonts w:eastAsia="Calibri"/>
                <w:sz w:val="20"/>
              </w:rPr>
              <w:t>Application for leave to appeal and motion for extension of time filed</w:t>
            </w:r>
          </w:p>
        </w:tc>
      </w:tr>
    </w:tbl>
    <w:p w:rsidR="00AF63D3" w:rsidRPr="00BA161A" w:rsidRDefault="00AF63D3" w:rsidP="00AF63D3">
      <w:pPr>
        <w:rPr>
          <w:sz w:val="20"/>
          <w:szCs w:val="20"/>
        </w:rPr>
      </w:pPr>
    </w:p>
    <w:p w:rsidR="00AF63D3" w:rsidRDefault="003E529C" w:rsidP="00AF63D3">
      <w:pPr>
        <w:rPr>
          <w:sz w:val="20"/>
          <w:szCs w:val="20"/>
          <w:lang w:val="fr-CA"/>
        </w:rPr>
      </w:pPr>
      <w:r w:rsidRPr="003E529C">
        <w:rPr>
          <w:sz w:val="20"/>
          <w:szCs w:val="20"/>
          <w:lang w:val="fr-CA"/>
        </w:rPr>
        <w:pict>
          <v:rect id="_x0000_i1057" style="width:2in;height:1pt" o:hrpct="0" o:hralign="center" o:hrstd="t" o:hrnoshade="t" o:hr="t" fillcolor="black [3213]" stroked="f"/>
        </w:pict>
      </w:r>
    </w:p>
    <w:p w:rsidR="00AF63D3" w:rsidRPr="00BA161A" w:rsidRDefault="00AF63D3" w:rsidP="00AF63D3">
      <w:pPr>
        <w:rPr>
          <w:sz w:val="20"/>
          <w:szCs w:val="20"/>
        </w:rPr>
      </w:pPr>
    </w:p>
    <w:p w:rsidR="00AF63D3" w:rsidRPr="00BA161A" w:rsidRDefault="00AF63D3" w:rsidP="00AF63D3">
      <w:pPr>
        <w:rPr>
          <w:sz w:val="20"/>
          <w:szCs w:val="20"/>
        </w:rPr>
      </w:pPr>
      <w:r>
        <w:rPr>
          <w:sz w:val="20"/>
          <w:szCs w:val="20"/>
          <w:u w:val="single"/>
        </w:rPr>
        <w:t>RÉSUMÉ DE L’AFFAIRE</w:t>
      </w:r>
    </w:p>
    <w:p w:rsidR="00AF63D3" w:rsidRPr="00BA161A" w:rsidRDefault="00AF63D3" w:rsidP="00AF63D3">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10431F" w:rsidRPr="009122D4" w:rsidTr="0010431F">
        <w:tc>
          <w:tcPr>
            <w:tcW w:w="5000" w:type="pct"/>
            <w:gridSpan w:val="3"/>
          </w:tcPr>
          <w:p w:rsidR="0010431F" w:rsidRPr="001667A2" w:rsidRDefault="0010431F" w:rsidP="0010431F">
            <w:pPr>
              <w:jc w:val="both"/>
              <w:rPr>
                <w:rFonts w:eastAsia="Calibri"/>
                <w:smallCaps/>
                <w:sz w:val="20"/>
                <w:lang w:val="fr-CA"/>
              </w:rPr>
            </w:pPr>
            <w:r w:rsidRPr="001667A2">
              <w:rPr>
                <w:rFonts w:eastAsia="Calibri"/>
                <w:smallCaps/>
                <w:sz w:val="20"/>
                <w:lang w:val="fr-CA"/>
              </w:rPr>
              <w:t>(Ordonnance de non-publication dans le dossier) (Ordonnance de non-publication visant une partie)</w:t>
            </w:r>
          </w:p>
          <w:p w:rsidR="0010431F" w:rsidRPr="001667A2" w:rsidRDefault="0010431F" w:rsidP="0010431F">
            <w:pPr>
              <w:jc w:val="both"/>
              <w:rPr>
                <w:rFonts w:eastAsia="Calibri"/>
                <w:sz w:val="20"/>
                <w:lang w:val="fr-CA"/>
              </w:rPr>
            </w:pPr>
          </w:p>
        </w:tc>
      </w:tr>
      <w:tr w:rsidR="0010431F" w:rsidRPr="009122D4" w:rsidTr="0010431F">
        <w:tc>
          <w:tcPr>
            <w:tcW w:w="5000" w:type="pct"/>
            <w:gridSpan w:val="3"/>
          </w:tcPr>
          <w:p w:rsidR="0010431F" w:rsidRPr="001667A2" w:rsidRDefault="0010431F" w:rsidP="0010431F">
            <w:pPr>
              <w:jc w:val="both"/>
              <w:rPr>
                <w:rFonts w:eastAsia="Calibri"/>
                <w:sz w:val="20"/>
                <w:lang w:val="fr-CA"/>
              </w:rPr>
            </w:pPr>
            <w:r w:rsidRPr="001667A2">
              <w:rPr>
                <w:rFonts w:eastAsia="Calibri"/>
                <w:sz w:val="20"/>
                <w:lang w:val="fr-CA"/>
              </w:rPr>
              <w:t>Droit criminel – Agression sexuelle - Preuve – Preuve de faits similaires - Procès – Procès équitable - Crédibilité – Aide inefficace de l’avocat – Y a-t-il eu collusion entre les plaignantes? – L’avocat de la défense a-t-il manqué à son obligation de défendre le demandeur? – La juge était-elle empressée de condamner le demandeur? – Le demandeur aurait-il eu un procès plus équitable s’il avait été entendu par un juge de sexe masculin?</w:t>
            </w:r>
          </w:p>
          <w:p w:rsidR="0010431F" w:rsidRPr="001667A2" w:rsidRDefault="0010431F" w:rsidP="0010431F">
            <w:pPr>
              <w:jc w:val="both"/>
              <w:rPr>
                <w:rFonts w:eastAsia="Calibri"/>
                <w:sz w:val="20"/>
                <w:lang w:val="fr-CA"/>
              </w:rPr>
            </w:pPr>
          </w:p>
        </w:tc>
      </w:tr>
      <w:tr w:rsidR="0010431F" w:rsidRPr="009122D4" w:rsidTr="0010431F">
        <w:tc>
          <w:tcPr>
            <w:tcW w:w="5000" w:type="pct"/>
            <w:gridSpan w:val="3"/>
          </w:tcPr>
          <w:p w:rsidR="0010431F" w:rsidRPr="001667A2" w:rsidRDefault="0010431F" w:rsidP="0010431F">
            <w:pPr>
              <w:jc w:val="both"/>
              <w:rPr>
                <w:rFonts w:eastAsia="Calibri"/>
                <w:sz w:val="20"/>
                <w:lang w:val="fr-CA"/>
              </w:rPr>
            </w:pPr>
            <w:r w:rsidRPr="001667A2">
              <w:rPr>
                <w:rFonts w:eastAsia="Calibri"/>
                <w:sz w:val="20"/>
                <w:lang w:val="fr-CA"/>
              </w:rPr>
              <w:t>Les accusations d’agression sexuelle, de contacts sexuels et d’exploitation sexuelle portées contre le demandeur comportaient des allégations selon lesquelles il aurait fait des attouchements interdits sur trois de ses élèves à des fins sexuelles pendant leurs cours à son école d’art privée. La première plaignante, S.Y., était âgée de 13 ans au moment de l’infraction alléguée, où le demandeur aurait pressé son sein gauche. La deuxième plaignante, T.M., était âgée de huit ans à l’époque de l’infraction alléguée, où le demandeur lui aurait fait des attouchements entre les jambes à trois occasions. La troisième plaignante, S.S., était âgée de 14 ou 15 à l’époque des infractions alléguées, où le demandeur l’aurait embrassée sur la joue et, à une autre occasion, lui aurait fait des attouchements sur les seins. Le demandeur a été déclaré coupable sous deux chefs d’agression sexuelle, un chef d’exploitation sexuelle et un chef de contacts sexuels. La Cour d’appel de l’Ontario a rejeté l’appel du demandeur de sa déclaration de culpabilité.</w:t>
            </w:r>
          </w:p>
          <w:p w:rsidR="0010431F" w:rsidRPr="001667A2" w:rsidRDefault="0010431F" w:rsidP="0010431F">
            <w:pPr>
              <w:jc w:val="both"/>
              <w:rPr>
                <w:rFonts w:eastAsia="Calibri"/>
                <w:sz w:val="20"/>
                <w:lang w:val="fr-CA"/>
              </w:rPr>
            </w:pPr>
          </w:p>
        </w:tc>
      </w:tr>
      <w:tr w:rsidR="0010431F" w:rsidRPr="009122D4" w:rsidTr="0010431F">
        <w:tc>
          <w:tcPr>
            <w:tcW w:w="2427" w:type="pct"/>
          </w:tcPr>
          <w:p w:rsidR="0010431F" w:rsidRPr="001667A2" w:rsidRDefault="0010431F" w:rsidP="0010431F">
            <w:pPr>
              <w:jc w:val="both"/>
              <w:rPr>
                <w:rFonts w:eastAsia="Calibri"/>
                <w:sz w:val="20"/>
                <w:lang w:val="fr-CA"/>
              </w:rPr>
            </w:pPr>
            <w:r w:rsidRPr="001667A2">
              <w:rPr>
                <w:rFonts w:eastAsia="Calibri"/>
                <w:sz w:val="20"/>
                <w:lang w:val="fr-CA"/>
              </w:rPr>
              <w:t>22 septembre 2008</w:t>
            </w:r>
          </w:p>
          <w:p w:rsidR="0010431F" w:rsidRPr="001667A2" w:rsidRDefault="0010431F" w:rsidP="0010431F">
            <w:pPr>
              <w:jc w:val="both"/>
              <w:rPr>
                <w:rFonts w:eastAsia="Calibri"/>
                <w:sz w:val="20"/>
                <w:lang w:val="fr-CA"/>
              </w:rPr>
            </w:pPr>
            <w:r w:rsidRPr="001667A2">
              <w:rPr>
                <w:rFonts w:eastAsia="Calibri"/>
                <w:sz w:val="20"/>
                <w:lang w:val="fr-CA"/>
              </w:rPr>
              <w:t>Cour de justice de l’Ontario</w:t>
            </w:r>
          </w:p>
          <w:p w:rsidR="0010431F" w:rsidRPr="001667A2" w:rsidRDefault="0010431F" w:rsidP="0010431F">
            <w:pPr>
              <w:jc w:val="both"/>
              <w:rPr>
                <w:rFonts w:eastAsia="Calibri"/>
                <w:sz w:val="20"/>
                <w:lang w:val="fr-CA"/>
              </w:rPr>
            </w:pPr>
            <w:r w:rsidRPr="001667A2">
              <w:rPr>
                <w:rFonts w:eastAsia="Calibri"/>
                <w:sz w:val="20"/>
                <w:lang w:val="fr-CA"/>
              </w:rPr>
              <w:t>(Juge Marin)</w:t>
            </w:r>
          </w:p>
          <w:p w:rsidR="0010431F" w:rsidRPr="001667A2" w:rsidRDefault="0010431F" w:rsidP="0010431F">
            <w:pPr>
              <w:jc w:val="both"/>
              <w:rPr>
                <w:rFonts w:eastAsia="Calibri"/>
                <w:sz w:val="20"/>
                <w:lang w:val="fr-CA"/>
              </w:rPr>
            </w:pPr>
          </w:p>
        </w:tc>
        <w:tc>
          <w:tcPr>
            <w:tcW w:w="243" w:type="pct"/>
          </w:tcPr>
          <w:p w:rsidR="0010431F" w:rsidRPr="001667A2" w:rsidRDefault="0010431F" w:rsidP="0010431F">
            <w:pPr>
              <w:jc w:val="both"/>
              <w:rPr>
                <w:rFonts w:eastAsia="Calibri"/>
                <w:sz w:val="20"/>
                <w:lang w:val="fr-CA"/>
              </w:rPr>
            </w:pPr>
          </w:p>
        </w:tc>
        <w:tc>
          <w:tcPr>
            <w:tcW w:w="2330" w:type="pct"/>
          </w:tcPr>
          <w:p w:rsidR="0010431F" w:rsidRPr="001667A2" w:rsidRDefault="0010431F" w:rsidP="0010431F">
            <w:pPr>
              <w:jc w:val="both"/>
              <w:rPr>
                <w:rFonts w:eastAsia="Calibri"/>
                <w:sz w:val="20"/>
                <w:lang w:val="fr-CA"/>
              </w:rPr>
            </w:pPr>
            <w:r w:rsidRPr="001667A2">
              <w:rPr>
                <w:rFonts w:eastAsia="Calibri"/>
                <w:sz w:val="20"/>
                <w:lang w:val="fr-CA"/>
              </w:rPr>
              <w:t>Déclaration de culpabilité : deux chefs d’agression sexuelle, un chef d’exploitation sexuelle et un chef de contacts sexuels</w:t>
            </w:r>
          </w:p>
          <w:p w:rsidR="0010431F" w:rsidRPr="001667A2" w:rsidRDefault="0010431F" w:rsidP="0010431F">
            <w:pPr>
              <w:jc w:val="both"/>
              <w:rPr>
                <w:rFonts w:eastAsia="Calibri"/>
                <w:sz w:val="20"/>
                <w:lang w:val="fr-CA"/>
              </w:rPr>
            </w:pPr>
          </w:p>
        </w:tc>
      </w:tr>
      <w:tr w:rsidR="0010431F" w:rsidRPr="009122D4" w:rsidTr="0010431F">
        <w:tc>
          <w:tcPr>
            <w:tcW w:w="2427" w:type="pct"/>
          </w:tcPr>
          <w:p w:rsidR="0010431F" w:rsidRPr="001667A2" w:rsidRDefault="0010431F" w:rsidP="0010431F">
            <w:pPr>
              <w:jc w:val="both"/>
              <w:rPr>
                <w:rFonts w:eastAsia="Calibri"/>
                <w:sz w:val="20"/>
                <w:lang w:val="fr-CA"/>
              </w:rPr>
            </w:pPr>
            <w:r w:rsidRPr="001667A2">
              <w:rPr>
                <w:rFonts w:eastAsia="Calibri"/>
                <w:sz w:val="20"/>
                <w:lang w:val="fr-CA"/>
              </w:rPr>
              <w:t>14 juin 2010</w:t>
            </w:r>
          </w:p>
          <w:p w:rsidR="0010431F" w:rsidRPr="001667A2" w:rsidRDefault="0010431F" w:rsidP="0010431F">
            <w:pPr>
              <w:jc w:val="both"/>
              <w:rPr>
                <w:rFonts w:eastAsia="Calibri"/>
                <w:sz w:val="20"/>
                <w:lang w:val="fr-CA"/>
              </w:rPr>
            </w:pPr>
            <w:r w:rsidRPr="001667A2">
              <w:rPr>
                <w:rFonts w:eastAsia="Calibri"/>
                <w:sz w:val="20"/>
                <w:lang w:val="fr-CA"/>
              </w:rPr>
              <w:t>Cour d’appel de l’Ontario</w:t>
            </w:r>
          </w:p>
          <w:p w:rsidR="0010431F" w:rsidRPr="001667A2" w:rsidRDefault="0010431F" w:rsidP="0010431F">
            <w:pPr>
              <w:jc w:val="both"/>
              <w:rPr>
                <w:rFonts w:eastAsia="Calibri"/>
                <w:sz w:val="20"/>
                <w:lang w:val="fr-CA"/>
              </w:rPr>
            </w:pPr>
            <w:r w:rsidRPr="001667A2">
              <w:rPr>
                <w:rFonts w:eastAsia="Calibri"/>
                <w:sz w:val="20"/>
                <w:lang w:val="fr-CA"/>
              </w:rPr>
              <w:t>(Juges MacPherson, Gillese et LaForme)</w:t>
            </w:r>
          </w:p>
          <w:p w:rsidR="0010431F" w:rsidRPr="001667A2" w:rsidRDefault="0010431F" w:rsidP="0010431F">
            <w:pPr>
              <w:jc w:val="both"/>
              <w:rPr>
                <w:rFonts w:eastAsia="Calibri"/>
                <w:sz w:val="20"/>
                <w:lang w:val="fr-CA"/>
              </w:rPr>
            </w:pPr>
          </w:p>
        </w:tc>
        <w:tc>
          <w:tcPr>
            <w:tcW w:w="243" w:type="pct"/>
          </w:tcPr>
          <w:p w:rsidR="0010431F" w:rsidRPr="001667A2" w:rsidRDefault="0010431F" w:rsidP="0010431F">
            <w:pPr>
              <w:jc w:val="both"/>
              <w:rPr>
                <w:rFonts w:eastAsia="Calibri"/>
                <w:sz w:val="20"/>
                <w:lang w:val="fr-CA"/>
              </w:rPr>
            </w:pPr>
          </w:p>
        </w:tc>
        <w:tc>
          <w:tcPr>
            <w:tcW w:w="2330" w:type="pct"/>
          </w:tcPr>
          <w:p w:rsidR="0010431F" w:rsidRPr="001667A2" w:rsidRDefault="0010431F" w:rsidP="0010431F">
            <w:pPr>
              <w:jc w:val="both"/>
              <w:rPr>
                <w:rFonts w:eastAsia="Calibri"/>
                <w:sz w:val="20"/>
                <w:lang w:val="fr-CA"/>
              </w:rPr>
            </w:pPr>
            <w:r w:rsidRPr="001667A2">
              <w:rPr>
                <w:rFonts w:eastAsia="Calibri"/>
                <w:sz w:val="20"/>
                <w:lang w:val="fr-CA"/>
              </w:rPr>
              <w:t>Appel de la déclaration de culpabilité, rejeté</w:t>
            </w:r>
          </w:p>
          <w:p w:rsidR="0010431F" w:rsidRPr="001667A2" w:rsidRDefault="0010431F" w:rsidP="0010431F">
            <w:pPr>
              <w:jc w:val="both"/>
              <w:rPr>
                <w:rFonts w:eastAsia="Calibri"/>
                <w:sz w:val="20"/>
                <w:lang w:val="fr-CA"/>
              </w:rPr>
            </w:pPr>
          </w:p>
        </w:tc>
      </w:tr>
      <w:tr w:rsidR="0010431F" w:rsidRPr="009122D4" w:rsidTr="0010431F">
        <w:tc>
          <w:tcPr>
            <w:tcW w:w="2427" w:type="pct"/>
          </w:tcPr>
          <w:p w:rsidR="0010431F" w:rsidRPr="001667A2" w:rsidRDefault="0010431F" w:rsidP="0010431F">
            <w:pPr>
              <w:jc w:val="both"/>
              <w:rPr>
                <w:rFonts w:eastAsia="Calibri"/>
                <w:sz w:val="20"/>
                <w:lang w:val="fr-CA"/>
              </w:rPr>
            </w:pPr>
            <w:r w:rsidRPr="001667A2">
              <w:rPr>
                <w:rFonts w:eastAsia="Calibri"/>
                <w:sz w:val="20"/>
                <w:lang w:val="fr-CA"/>
              </w:rPr>
              <w:t>15 octobre 2010</w:t>
            </w:r>
          </w:p>
          <w:p w:rsidR="0010431F" w:rsidRPr="001667A2" w:rsidRDefault="0010431F" w:rsidP="0010431F">
            <w:pPr>
              <w:jc w:val="both"/>
              <w:rPr>
                <w:rFonts w:eastAsia="Calibri"/>
                <w:sz w:val="20"/>
                <w:lang w:val="fr-CA"/>
              </w:rPr>
            </w:pPr>
            <w:r w:rsidRPr="001667A2">
              <w:rPr>
                <w:rFonts w:eastAsia="Calibri"/>
                <w:sz w:val="20"/>
                <w:lang w:val="fr-CA"/>
              </w:rPr>
              <w:t>Cour suprême du Canada</w:t>
            </w:r>
          </w:p>
        </w:tc>
        <w:tc>
          <w:tcPr>
            <w:tcW w:w="243" w:type="pct"/>
          </w:tcPr>
          <w:p w:rsidR="0010431F" w:rsidRPr="001667A2" w:rsidRDefault="0010431F" w:rsidP="0010431F">
            <w:pPr>
              <w:jc w:val="both"/>
              <w:rPr>
                <w:rFonts w:eastAsia="Calibri"/>
                <w:sz w:val="20"/>
                <w:lang w:val="fr-CA"/>
              </w:rPr>
            </w:pPr>
          </w:p>
        </w:tc>
        <w:tc>
          <w:tcPr>
            <w:tcW w:w="2330" w:type="pct"/>
          </w:tcPr>
          <w:p w:rsidR="0010431F" w:rsidRPr="001667A2" w:rsidRDefault="0010431F" w:rsidP="0010431F">
            <w:pPr>
              <w:jc w:val="both"/>
              <w:rPr>
                <w:rFonts w:eastAsia="Calibri"/>
                <w:sz w:val="20"/>
                <w:lang w:val="fr-CA"/>
              </w:rPr>
            </w:pPr>
            <w:r w:rsidRPr="001667A2">
              <w:rPr>
                <w:rFonts w:eastAsia="Calibri"/>
                <w:sz w:val="20"/>
                <w:lang w:val="fr-CA"/>
              </w:rPr>
              <w:t>Demande d’autorisation d’appel et requête en prorogation de délai, déposées</w:t>
            </w:r>
          </w:p>
        </w:tc>
      </w:tr>
    </w:tbl>
    <w:p w:rsidR="00AF63D3" w:rsidRPr="0010431F" w:rsidRDefault="00AF63D3" w:rsidP="00AF63D3">
      <w:pPr>
        <w:rPr>
          <w:sz w:val="20"/>
          <w:szCs w:val="20"/>
          <w:lang w:val="fr-CA"/>
        </w:rPr>
      </w:pPr>
    </w:p>
    <w:p w:rsidR="00AF63D3" w:rsidRDefault="003E529C" w:rsidP="00AF63D3">
      <w:pPr>
        <w:rPr>
          <w:sz w:val="20"/>
          <w:szCs w:val="20"/>
          <w:lang w:val="fr-CA"/>
        </w:rPr>
      </w:pPr>
      <w:r w:rsidRPr="003E529C">
        <w:rPr>
          <w:sz w:val="20"/>
          <w:szCs w:val="20"/>
          <w:lang w:val="fr-CA"/>
        </w:rPr>
        <w:pict>
          <v:rect id="_x0000_i1058" style="width:2in;height:1pt" o:hrpct="0" o:hralign="center" o:hrstd="t" o:hrnoshade="t" o:hr="t" fillcolor="black [3213]" stroked="f"/>
        </w:pict>
      </w:r>
    </w:p>
    <w:p w:rsidR="005C28A9" w:rsidRDefault="005C28A9">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B2464" w:rsidRPr="001B2464" w:rsidTr="00E022C0">
        <w:trPr>
          <w:cantSplit/>
        </w:trPr>
        <w:tc>
          <w:tcPr>
            <w:tcW w:w="1458" w:type="dxa"/>
          </w:tcPr>
          <w:p w:rsidR="001B2464" w:rsidRPr="001B2464" w:rsidRDefault="001B2464" w:rsidP="00E022C0">
            <w:pPr>
              <w:rPr>
                <w:sz w:val="20"/>
                <w:szCs w:val="20"/>
              </w:rPr>
            </w:pPr>
            <w:r w:rsidRPr="001B2464">
              <w:rPr>
                <w:rStyle w:val="SCCFileNumberChar"/>
                <w:sz w:val="20"/>
                <w:szCs w:val="20"/>
              </w:rPr>
              <w:lastRenderedPageBreak/>
              <w:t>339</w:t>
            </w:r>
            <w:r>
              <w:rPr>
                <w:rStyle w:val="SCCFileNumberChar"/>
                <w:sz w:val="20"/>
                <w:szCs w:val="20"/>
              </w:rPr>
              <w:t>15</w:t>
            </w:r>
          </w:p>
          <w:p w:rsidR="001B2464" w:rsidRPr="001B2464" w:rsidRDefault="001B2464" w:rsidP="00E022C0">
            <w:pPr>
              <w:rPr>
                <w:b/>
                <w:sz w:val="20"/>
                <w:szCs w:val="20"/>
                <w:lang w:val="fr-CA"/>
              </w:rPr>
            </w:pPr>
          </w:p>
        </w:tc>
        <w:tc>
          <w:tcPr>
            <w:tcW w:w="8118" w:type="dxa"/>
          </w:tcPr>
          <w:p w:rsidR="001B2464" w:rsidRPr="001B2464" w:rsidRDefault="001B2464" w:rsidP="00C155B1">
            <w:pPr>
              <w:jc w:val="both"/>
              <w:rPr>
                <w:sz w:val="20"/>
                <w:szCs w:val="20"/>
              </w:rPr>
            </w:pPr>
            <w:r>
              <w:rPr>
                <w:rStyle w:val="SCCLsocChar"/>
                <w:sz w:val="20"/>
                <w:szCs w:val="20"/>
                <w:lang w:val="en-CA"/>
              </w:rPr>
              <w:t>Smadar Dahan</w:t>
            </w:r>
            <w:r w:rsidRPr="001B2464">
              <w:rPr>
                <w:rStyle w:val="SCCLsocChar"/>
                <w:sz w:val="20"/>
                <w:szCs w:val="20"/>
                <w:lang w:val="en-CA"/>
              </w:rPr>
              <w:t xml:space="preserve"> McDonald v. </w:t>
            </w:r>
            <w:r>
              <w:rPr>
                <w:rStyle w:val="SCCLsocChar"/>
                <w:sz w:val="20"/>
                <w:szCs w:val="20"/>
                <w:lang w:val="en-CA"/>
              </w:rPr>
              <w:t>A.H. International Inc. and Arthur Hiess AND BETWEEN Smadar Dahan v. BSA Food Ingredients Inc., Laiterie de Coaticook and Robert Hod Hod et al.</w:t>
            </w:r>
            <w:r w:rsidR="00C155B1">
              <w:rPr>
                <w:sz w:val="20"/>
                <w:szCs w:val="20"/>
              </w:rPr>
              <w:t xml:space="preserve"> (Qc</w:t>
            </w:r>
            <w:r w:rsidRPr="001B2464">
              <w:rPr>
                <w:sz w:val="20"/>
                <w:szCs w:val="20"/>
              </w:rPr>
              <w:t>) (Ci</w:t>
            </w:r>
            <w:r w:rsidR="00C155B1">
              <w:rPr>
                <w:sz w:val="20"/>
                <w:szCs w:val="20"/>
              </w:rPr>
              <w:t>v</w:t>
            </w:r>
            <w:r w:rsidRPr="001B2464">
              <w:rPr>
                <w:sz w:val="20"/>
                <w:szCs w:val="20"/>
              </w:rPr>
              <w:t>il) (By Leave)</w:t>
            </w:r>
          </w:p>
          <w:p w:rsidR="001B2464" w:rsidRPr="001B2464" w:rsidRDefault="001B2464" w:rsidP="00E022C0">
            <w:pPr>
              <w:rPr>
                <w:sz w:val="20"/>
                <w:szCs w:val="20"/>
              </w:rPr>
            </w:pPr>
          </w:p>
        </w:tc>
      </w:tr>
      <w:tr w:rsidR="001B2464" w:rsidRPr="001B2464" w:rsidTr="00E022C0">
        <w:trPr>
          <w:cantSplit/>
        </w:trPr>
        <w:tc>
          <w:tcPr>
            <w:tcW w:w="1458" w:type="dxa"/>
          </w:tcPr>
          <w:p w:rsidR="001B2464" w:rsidRPr="001B2464" w:rsidRDefault="001B2464" w:rsidP="00E022C0">
            <w:pPr>
              <w:rPr>
                <w:sz w:val="20"/>
                <w:szCs w:val="20"/>
              </w:rPr>
            </w:pPr>
            <w:r w:rsidRPr="001B2464">
              <w:rPr>
                <w:sz w:val="20"/>
                <w:szCs w:val="20"/>
              </w:rPr>
              <w:t>Coram :</w:t>
            </w:r>
          </w:p>
        </w:tc>
        <w:tc>
          <w:tcPr>
            <w:tcW w:w="8118" w:type="dxa"/>
          </w:tcPr>
          <w:p w:rsidR="001B2464" w:rsidRPr="001B2464" w:rsidRDefault="001B2464" w:rsidP="00E022C0">
            <w:pPr>
              <w:rPr>
                <w:sz w:val="20"/>
                <w:szCs w:val="20"/>
              </w:rPr>
            </w:pPr>
            <w:r>
              <w:rPr>
                <w:rStyle w:val="SCCCoramChar"/>
                <w:sz w:val="20"/>
                <w:szCs w:val="20"/>
                <w:lang w:val="en-CA"/>
              </w:rPr>
              <w:t>McLachlin C.J. and Abella and Cromwell</w:t>
            </w:r>
            <w:r w:rsidRPr="001B2464">
              <w:rPr>
                <w:rStyle w:val="SCCCoramChar"/>
                <w:sz w:val="20"/>
                <w:szCs w:val="20"/>
                <w:lang w:val="en-CA"/>
              </w:rPr>
              <w:t> JJ.</w:t>
            </w:r>
          </w:p>
          <w:p w:rsidR="001B2464" w:rsidRPr="001B2464" w:rsidRDefault="001B2464" w:rsidP="00E022C0">
            <w:pPr>
              <w:rPr>
                <w:sz w:val="20"/>
                <w:szCs w:val="20"/>
                <w:u w:val="single"/>
              </w:rPr>
            </w:pPr>
          </w:p>
        </w:tc>
      </w:tr>
      <w:tr w:rsidR="001B2464" w:rsidRPr="009122D4" w:rsidTr="00E022C0">
        <w:trPr>
          <w:cantSplit/>
        </w:trPr>
        <w:tc>
          <w:tcPr>
            <w:tcW w:w="9576" w:type="dxa"/>
            <w:gridSpan w:val="2"/>
          </w:tcPr>
          <w:p w:rsidR="001B2464" w:rsidRDefault="001B2464" w:rsidP="001B2464">
            <w:pPr>
              <w:pStyle w:val="SCCShortJudgment"/>
              <w:rPr>
                <w:rFonts w:cs="Times New Roman"/>
                <w:szCs w:val="20"/>
              </w:rPr>
            </w:pPr>
            <w:r w:rsidRPr="001E4340">
              <w:rPr>
                <w:rFonts w:cs="Times New Roman"/>
                <w:szCs w:val="20"/>
              </w:rPr>
              <w:t>The motion for an extension of time to serve and file the application for leave to appeal from the judgments of the</w:t>
            </w:r>
            <w:bookmarkStart w:id="1" w:name="BM_1_"/>
            <w:bookmarkEnd w:id="1"/>
            <w:r w:rsidRPr="001E4340">
              <w:rPr>
                <w:rFonts w:cs="Times New Roman"/>
                <w:szCs w:val="20"/>
              </w:rPr>
              <w:t xml:space="preserve"> Court of Appeal of Quebec (Montréal), Numbers </w:t>
            </w:r>
            <w:r w:rsidRPr="001E4340">
              <w:rPr>
                <w:rFonts w:cs="Times New Roman"/>
                <w:szCs w:val="20"/>
                <w:lang w:val="en-US"/>
              </w:rPr>
              <w:t>500-09-019720-093, 500-09-019833-094 and 500-09-020176-095, 2009 QCCA 2452 and 2010 QCCA 779</w:t>
            </w:r>
            <w:r w:rsidRPr="001E4340">
              <w:rPr>
                <w:rFonts w:cs="Times New Roman"/>
                <w:szCs w:val="20"/>
              </w:rPr>
              <w:t>, dated October 26, 2009, December 14, 2009 and April 20, 2010, is dismissed.</w:t>
            </w:r>
          </w:p>
          <w:p w:rsidR="001B2464" w:rsidRDefault="001B2464" w:rsidP="001B2464">
            <w:pPr>
              <w:pStyle w:val="SCCShortJudgment"/>
              <w:rPr>
                <w:rFonts w:cs="Times New Roman"/>
                <w:szCs w:val="20"/>
              </w:rPr>
            </w:pPr>
          </w:p>
          <w:p w:rsidR="001B2464" w:rsidRPr="001B2464" w:rsidRDefault="001B2464" w:rsidP="001B2464">
            <w:pPr>
              <w:pStyle w:val="SCCShortJudgment"/>
              <w:rPr>
                <w:szCs w:val="20"/>
                <w:lang w:val="fr-CA"/>
              </w:rPr>
            </w:pPr>
            <w:r w:rsidRPr="001E4340">
              <w:rPr>
                <w:rFonts w:cs="Times New Roman"/>
                <w:szCs w:val="20"/>
                <w:lang w:val="fr-CA"/>
              </w:rPr>
              <w:t>La requête en prorogation du délai de signification et de dépôt de la demande d’autorisation d’appel des arrêts de la Cour d’appel du Québec (Montréal), numéros 500-09-019720-093, 500-09-019833-094 et 500-09-020176-095, 2009 QCCA 2452 et 2010 QCCA 779, datés 26 octobre 2009, du 14 décembre 2009 et du 20 avril 2010, est rejetée.</w:t>
            </w:r>
          </w:p>
        </w:tc>
      </w:tr>
    </w:tbl>
    <w:p w:rsidR="00AF63D3" w:rsidRPr="001B2464" w:rsidRDefault="00AF63D3" w:rsidP="00AF63D3">
      <w:pPr>
        <w:rPr>
          <w:sz w:val="20"/>
          <w:szCs w:val="20"/>
          <w:lang w:val="fr-CA"/>
        </w:rPr>
      </w:pPr>
    </w:p>
    <w:p w:rsidR="00AF63D3" w:rsidRDefault="00AF63D3" w:rsidP="00AF63D3">
      <w:pPr>
        <w:rPr>
          <w:sz w:val="20"/>
          <w:szCs w:val="20"/>
        </w:rPr>
      </w:pPr>
      <w:r>
        <w:rPr>
          <w:sz w:val="20"/>
          <w:szCs w:val="20"/>
          <w:u w:val="single"/>
        </w:rPr>
        <w:t>CASE SUMMARY</w:t>
      </w:r>
    </w:p>
    <w:p w:rsidR="00AF63D3" w:rsidRDefault="00AF63D3" w:rsidP="00AF63D3">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10431F" w:rsidRPr="001667A2" w:rsidTr="0010431F">
        <w:trPr>
          <w:gridAfter w:val="1"/>
          <w:wAfter w:w="48" w:type="pct"/>
        </w:trPr>
        <w:tc>
          <w:tcPr>
            <w:tcW w:w="4952" w:type="pct"/>
            <w:gridSpan w:val="3"/>
          </w:tcPr>
          <w:p w:rsidR="0010431F" w:rsidRPr="001667A2" w:rsidRDefault="0010431F" w:rsidP="0010431F">
            <w:pPr>
              <w:jc w:val="both"/>
              <w:rPr>
                <w:rFonts w:eastAsia="Calibri"/>
                <w:sz w:val="20"/>
              </w:rPr>
            </w:pPr>
            <w:r w:rsidRPr="001667A2">
              <w:rPr>
                <w:rFonts w:eastAsia="Calibri"/>
                <w:sz w:val="20"/>
              </w:rPr>
              <w:t>Courts – Jurisdiction – Civil Procedure – Appeals – Whether leave to appeal to the Supreme Court of Canada should be granted.</w:t>
            </w:r>
          </w:p>
          <w:p w:rsidR="0010431F" w:rsidRPr="001667A2" w:rsidRDefault="0010431F" w:rsidP="0010431F">
            <w:pPr>
              <w:jc w:val="both"/>
              <w:rPr>
                <w:rFonts w:eastAsia="Calibri"/>
                <w:sz w:val="20"/>
              </w:rPr>
            </w:pPr>
          </w:p>
        </w:tc>
      </w:tr>
      <w:tr w:rsidR="0010431F" w:rsidRPr="001667A2" w:rsidTr="0010431F">
        <w:trPr>
          <w:gridAfter w:val="1"/>
          <w:wAfter w:w="48" w:type="pct"/>
        </w:trPr>
        <w:tc>
          <w:tcPr>
            <w:tcW w:w="4952" w:type="pct"/>
            <w:gridSpan w:val="3"/>
          </w:tcPr>
          <w:p w:rsidR="0010431F" w:rsidRPr="001667A2" w:rsidRDefault="0010431F" w:rsidP="0010431F">
            <w:pPr>
              <w:jc w:val="both"/>
              <w:rPr>
                <w:rFonts w:eastAsia="Calibri"/>
                <w:sz w:val="20"/>
              </w:rPr>
            </w:pPr>
            <w:r w:rsidRPr="001667A2">
              <w:rPr>
                <w:rFonts w:eastAsia="Calibri"/>
                <w:sz w:val="20"/>
              </w:rPr>
              <w:t>Ms. Dahan initiated contract proceedings against A.H. and Arthur Hiess, and separate proceedings against BSA Food Ingredients inc. (BSA), Laiterie de Coticook and Robert Hod Hod. She brought motions before the Court of Appeal to suspend the proceedings in the Superior Court, but was unsuccessful. At trial, in October 2009, the Superior Court deemed the proceeding against A.H. discontinued, and ordered Ms. Dahan to pay costs and punitive damages. The Superior Court dismissed the action in the BSA proceedings, and ordered Ms. Dahan to pay costs and punitive damages. Ms. Dahan appealed. In December 2009, Ms. Dahan sought leave to appeal the decision of the Court of Appeal dismissing her motion to suspend, but the Court of Appeal dismissed the motion. Also in December, the Superior Court declared Ms. Dahan a quarrelsome litigant. Ms. Dahan appealed that decision and brought a motion to suspend the appeal procedures, but the Court of Appeal dismissed her motion.</w:t>
            </w:r>
          </w:p>
          <w:p w:rsidR="0010431F" w:rsidRPr="001667A2" w:rsidRDefault="0010431F" w:rsidP="0010431F">
            <w:pPr>
              <w:jc w:val="both"/>
              <w:rPr>
                <w:rFonts w:eastAsia="Calibri"/>
                <w:sz w:val="20"/>
              </w:rPr>
            </w:pPr>
          </w:p>
          <w:p w:rsidR="0010431F" w:rsidRPr="001667A2" w:rsidRDefault="0010431F" w:rsidP="0010431F">
            <w:pPr>
              <w:jc w:val="both"/>
              <w:rPr>
                <w:rFonts w:eastAsia="Calibri"/>
                <w:sz w:val="20"/>
              </w:rPr>
            </w:pPr>
            <w:r w:rsidRPr="001667A2">
              <w:rPr>
                <w:rFonts w:eastAsia="Calibri"/>
                <w:sz w:val="20"/>
              </w:rPr>
              <w:t>In April 2010, the Court of Appeal notified the parties that Ms. Dahan’s appeals of the Superior Court’s October 2009 decisions were deemed discontinued. Ms. Dahan filed motions to have that decision declared nul and seeking a declaratory judgment. The Court of Appeal postponed the motions. In September 2010, the Court of Appeal notified the parties that the motions were to be struck from the roll. Ms. Dahan filed an application for leave to appeal to the Supreme Court of Canada.</w:t>
            </w:r>
          </w:p>
          <w:p w:rsidR="0010431F" w:rsidRPr="001667A2" w:rsidRDefault="0010431F" w:rsidP="0010431F">
            <w:pPr>
              <w:jc w:val="both"/>
              <w:rPr>
                <w:rFonts w:eastAsia="Calibri"/>
                <w:sz w:val="20"/>
              </w:rPr>
            </w:pPr>
          </w:p>
        </w:tc>
      </w:tr>
      <w:tr w:rsidR="0010431F" w:rsidRPr="001667A2" w:rsidTr="0010431F">
        <w:tblPrEx>
          <w:tblCellMar>
            <w:bottom w:w="0" w:type="dxa"/>
          </w:tblCellMar>
        </w:tblPrEx>
        <w:tc>
          <w:tcPr>
            <w:tcW w:w="2367" w:type="pct"/>
          </w:tcPr>
          <w:p w:rsidR="0010431F" w:rsidRPr="001667A2" w:rsidRDefault="0010431F" w:rsidP="0010431F">
            <w:pPr>
              <w:jc w:val="both"/>
              <w:rPr>
                <w:rFonts w:eastAsia="Calibri"/>
                <w:sz w:val="20"/>
              </w:rPr>
            </w:pPr>
            <w:r w:rsidRPr="001667A2">
              <w:rPr>
                <w:rFonts w:eastAsia="Calibri"/>
                <w:sz w:val="20"/>
              </w:rPr>
              <w:t>October 26, 2009</w:t>
            </w:r>
          </w:p>
          <w:p w:rsidR="0010431F" w:rsidRPr="001667A2" w:rsidRDefault="0010431F" w:rsidP="0010431F">
            <w:pPr>
              <w:jc w:val="both"/>
              <w:rPr>
                <w:rFonts w:eastAsia="Calibri"/>
                <w:sz w:val="20"/>
              </w:rPr>
            </w:pPr>
            <w:r w:rsidRPr="001667A2">
              <w:rPr>
                <w:rFonts w:eastAsia="Calibri"/>
                <w:sz w:val="20"/>
              </w:rPr>
              <w:t>Court of Appeal of Quebec (Montréal)</w:t>
            </w:r>
          </w:p>
          <w:p w:rsidR="0010431F" w:rsidRPr="001667A2" w:rsidRDefault="0010431F" w:rsidP="0010431F">
            <w:pPr>
              <w:jc w:val="both"/>
              <w:rPr>
                <w:rFonts w:eastAsia="Calibri"/>
                <w:sz w:val="20"/>
                <w:lang w:val="fr-CA"/>
              </w:rPr>
            </w:pPr>
            <w:r w:rsidRPr="001667A2">
              <w:rPr>
                <w:rFonts w:eastAsia="Calibri"/>
                <w:sz w:val="20"/>
                <w:lang w:val="fr-CA"/>
              </w:rPr>
              <w:t>(Léger J.A.)</w:t>
            </w:r>
          </w:p>
          <w:p w:rsidR="0010431F" w:rsidRPr="001667A2" w:rsidRDefault="0010431F" w:rsidP="0010431F">
            <w:pPr>
              <w:jc w:val="both"/>
              <w:rPr>
                <w:rFonts w:eastAsia="Calibri"/>
                <w:sz w:val="20"/>
                <w:lang w:val="fr-CA"/>
              </w:rPr>
            </w:pPr>
          </w:p>
        </w:tc>
        <w:tc>
          <w:tcPr>
            <w:tcW w:w="267" w:type="pct"/>
          </w:tcPr>
          <w:p w:rsidR="0010431F" w:rsidRPr="001667A2" w:rsidRDefault="0010431F" w:rsidP="0010431F">
            <w:pPr>
              <w:jc w:val="both"/>
              <w:rPr>
                <w:rFonts w:eastAsia="Calibri"/>
                <w:sz w:val="20"/>
                <w:lang w:val="fr-CA"/>
              </w:rPr>
            </w:pPr>
          </w:p>
        </w:tc>
        <w:tc>
          <w:tcPr>
            <w:tcW w:w="2366" w:type="pct"/>
            <w:gridSpan w:val="2"/>
          </w:tcPr>
          <w:p w:rsidR="0010431F" w:rsidRPr="001667A2" w:rsidRDefault="0010431F" w:rsidP="0010431F">
            <w:pPr>
              <w:jc w:val="both"/>
              <w:rPr>
                <w:rFonts w:eastAsia="Calibri"/>
                <w:sz w:val="20"/>
              </w:rPr>
            </w:pPr>
            <w:r w:rsidRPr="001667A2">
              <w:rPr>
                <w:rFonts w:eastAsia="Calibri"/>
                <w:sz w:val="20"/>
              </w:rPr>
              <w:t>Motion to suspend proceedings dismissed</w:t>
            </w:r>
          </w:p>
          <w:p w:rsidR="0010431F" w:rsidRPr="001667A2" w:rsidRDefault="0010431F" w:rsidP="0010431F">
            <w:pPr>
              <w:jc w:val="both"/>
              <w:rPr>
                <w:rFonts w:eastAsia="Calibri"/>
                <w:sz w:val="20"/>
              </w:rPr>
            </w:pPr>
          </w:p>
        </w:tc>
      </w:tr>
      <w:tr w:rsidR="0010431F" w:rsidRPr="001667A2" w:rsidTr="0010431F">
        <w:tblPrEx>
          <w:tblCellMar>
            <w:bottom w:w="0" w:type="dxa"/>
          </w:tblCellMar>
        </w:tblPrEx>
        <w:tc>
          <w:tcPr>
            <w:tcW w:w="2367" w:type="pct"/>
          </w:tcPr>
          <w:p w:rsidR="0010431F" w:rsidRPr="001667A2" w:rsidRDefault="0010431F" w:rsidP="0010431F">
            <w:pPr>
              <w:jc w:val="both"/>
              <w:rPr>
                <w:rFonts w:eastAsia="Calibri"/>
                <w:sz w:val="20"/>
              </w:rPr>
            </w:pPr>
            <w:r w:rsidRPr="001667A2">
              <w:rPr>
                <w:rFonts w:eastAsia="Calibri"/>
                <w:sz w:val="20"/>
              </w:rPr>
              <w:t>December 14, 2009</w:t>
            </w:r>
          </w:p>
          <w:p w:rsidR="0010431F" w:rsidRPr="001667A2" w:rsidRDefault="0010431F" w:rsidP="0010431F">
            <w:pPr>
              <w:jc w:val="both"/>
              <w:rPr>
                <w:rFonts w:eastAsia="Calibri"/>
                <w:sz w:val="20"/>
              </w:rPr>
            </w:pPr>
            <w:r w:rsidRPr="001667A2">
              <w:rPr>
                <w:rFonts w:eastAsia="Calibri"/>
                <w:sz w:val="20"/>
              </w:rPr>
              <w:t>Court of Appeal of Quebec (Montréal)</w:t>
            </w:r>
          </w:p>
          <w:p w:rsidR="0010431F" w:rsidRPr="001667A2" w:rsidRDefault="0010431F" w:rsidP="0010431F">
            <w:pPr>
              <w:jc w:val="both"/>
              <w:rPr>
                <w:rFonts w:eastAsia="Calibri"/>
                <w:sz w:val="20"/>
              </w:rPr>
            </w:pPr>
            <w:r w:rsidRPr="001667A2">
              <w:rPr>
                <w:rFonts w:eastAsia="Calibri"/>
                <w:sz w:val="20"/>
              </w:rPr>
              <w:t>(Chamberland, Forget and Morissette JJ.A.)</w:t>
            </w:r>
          </w:p>
          <w:p w:rsidR="0010431F" w:rsidRPr="001667A2" w:rsidRDefault="0010431F" w:rsidP="0010431F">
            <w:pPr>
              <w:jc w:val="both"/>
              <w:rPr>
                <w:rFonts w:eastAsia="Calibri"/>
                <w:sz w:val="20"/>
              </w:rPr>
            </w:pPr>
            <w:r w:rsidRPr="001667A2">
              <w:rPr>
                <w:rFonts w:eastAsia="Calibri"/>
                <w:sz w:val="20"/>
              </w:rPr>
              <w:t>2009 QCCA 2452</w:t>
            </w:r>
          </w:p>
          <w:p w:rsidR="0010431F" w:rsidRPr="001667A2" w:rsidRDefault="0010431F" w:rsidP="0010431F">
            <w:pPr>
              <w:jc w:val="both"/>
              <w:rPr>
                <w:rFonts w:eastAsia="Calibri"/>
                <w:sz w:val="20"/>
              </w:rPr>
            </w:pPr>
          </w:p>
        </w:tc>
        <w:tc>
          <w:tcPr>
            <w:tcW w:w="267" w:type="pct"/>
          </w:tcPr>
          <w:p w:rsidR="0010431F" w:rsidRPr="001667A2" w:rsidRDefault="0010431F" w:rsidP="0010431F">
            <w:pPr>
              <w:jc w:val="both"/>
              <w:rPr>
                <w:rFonts w:eastAsia="Calibri"/>
                <w:sz w:val="20"/>
              </w:rPr>
            </w:pPr>
          </w:p>
        </w:tc>
        <w:tc>
          <w:tcPr>
            <w:tcW w:w="2366" w:type="pct"/>
            <w:gridSpan w:val="2"/>
          </w:tcPr>
          <w:p w:rsidR="0010431F" w:rsidRPr="001667A2" w:rsidRDefault="0010431F" w:rsidP="0010431F">
            <w:pPr>
              <w:jc w:val="both"/>
              <w:rPr>
                <w:rFonts w:eastAsia="Calibri"/>
                <w:sz w:val="20"/>
              </w:rPr>
            </w:pPr>
            <w:r w:rsidRPr="001667A2">
              <w:rPr>
                <w:rFonts w:eastAsia="Calibri"/>
                <w:sz w:val="20"/>
              </w:rPr>
              <w:t>Motion seeking leave to appeal decision of Léger J.A. dismissed</w:t>
            </w:r>
          </w:p>
          <w:p w:rsidR="0010431F" w:rsidRPr="001667A2" w:rsidRDefault="0010431F" w:rsidP="0010431F">
            <w:pPr>
              <w:jc w:val="both"/>
              <w:rPr>
                <w:rFonts w:eastAsia="Calibri"/>
                <w:sz w:val="20"/>
              </w:rPr>
            </w:pPr>
          </w:p>
        </w:tc>
      </w:tr>
      <w:tr w:rsidR="0010431F" w:rsidRPr="001667A2" w:rsidTr="0010431F">
        <w:tblPrEx>
          <w:tblCellMar>
            <w:bottom w:w="0" w:type="dxa"/>
          </w:tblCellMar>
        </w:tblPrEx>
        <w:tc>
          <w:tcPr>
            <w:tcW w:w="2367" w:type="pct"/>
          </w:tcPr>
          <w:p w:rsidR="0010431F" w:rsidRPr="001667A2" w:rsidRDefault="0010431F" w:rsidP="0010431F">
            <w:pPr>
              <w:jc w:val="both"/>
              <w:rPr>
                <w:rFonts w:eastAsia="Calibri"/>
                <w:sz w:val="20"/>
              </w:rPr>
            </w:pPr>
            <w:r w:rsidRPr="001667A2">
              <w:rPr>
                <w:rFonts w:eastAsia="Calibri"/>
                <w:sz w:val="20"/>
              </w:rPr>
              <w:t>April 20, 2010</w:t>
            </w:r>
          </w:p>
          <w:p w:rsidR="0010431F" w:rsidRPr="001667A2" w:rsidRDefault="0010431F" w:rsidP="0010431F">
            <w:pPr>
              <w:jc w:val="both"/>
              <w:rPr>
                <w:rFonts w:eastAsia="Calibri"/>
                <w:sz w:val="20"/>
              </w:rPr>
            </w:pPr>
            <w:r w:rsidRPr="001667A2">
              <w:rPr>
                <w:rFonts w:eastAsia="Calibri"/>
                <w:sz w:val="20"/>
              </w:rPr>
              <w:t>Court of Appeal of Quebec (Montréal)</w:t>
            </w:r>
          </w:p>
          <w:p w:rsidR="0010431F" w:rsidRPr="001667A2" w:rsidRDefault="0010431F" w:rsidP="0010431F">
            <w:pPr>
              <w:jc w:val="both"/>
              <w:rPr>
                <w:rFonts w:eastAsia="Calibri"/>
                <w:sz w:val="20"/>
              </w:rPr>
            </w:pPr>
            <w:r w:rsidRPr="001667A2">
              <w:rPr>
                <w:rFonts w:eastAsia="Calibri"/>
                <w:sz w:val="20"/>
              </w:rPr>
              <w:t>(Duval Hesler J.A.)</w:t>
            </w:r>
          </w:p>
          <w:p w:rsidR="0010431F" w:rsidRPr="001667A2" w:rsidRDefault="0010431F" w:rsidP="0010431F">
            <w:pPr>
              <w:jc w:val="both"/>
              <w:rPr>
                <w:rFonts w:eastAsia="Calibri"/>
                <w:sz w:val="20"/>
              </w:rPr>
            </w:pPr>
            <w:r w:rsidRPr="001667A2">
              <w:rPr>
                <w:rFonts w:eastAsia="Calibri"/>
                <w:sz w:val="20"/>
              </w:rPr>
              <w:t>2010 QCCA 779</w:t>
            </w:r>
          </w:p>
          <w:p w:rsidR="0010431F" w:rsidRPr="001667A2" w:rsidRDefault="0010431F" w:rsidP="0010431F">
            <w:pPr>
              <w:jc w:val="both"/>
              <w:rPr>
                <w:rFonts w:eastAsia="Calibri"/>
                <w:sz w:val="20"/>
              </w:rPr>
            </w:pPr>
          </w:p>
        </w:tc>
        <w:tc>
          <w:tcPr>
            <w:tcW w:w="267" w:type="pct"/>
          </w:tcPr>
          <w:p w:rsidR="0010431F" w:rsidRPr="001667A2" w:rsidRDefault="0010431F" w:rsidP="0010431F">
            <w:pPr>
              <w:jc w:val="both"/>
              <w:rPr>
                <w:rFonts w:eastAsia="Calibri"/>
                <w:sz w:val="20"/>
              </w:rPr>
            </w:pPr>
          </w:p>
        </w:tc>
        <w:tc>
          <w:tcPr>
            <w:tcW w:w="2366" w:type="pct"/>
            <w:gridSpan w:val="2"/>
          </w:tcPr>
          <w:p w:rsidR="0010431F" w:rsidRPr="001667A2" w:rsidRDefault="0010431F" w:rsidP="0010431F">
            <w:pPr>
              <w:jc w:val="both"/>
              <w:rPr>
                <w:rFonts w:eastAsia="Calibri"/>
                <w:sz w:val="20"/>
              </w:rPr>
            </w:pPr>
            <w:r w:rsidRPr="001667A2">
              <w:rPr>
                <w:rFonts w:eastAsia="Calibri"/>
                <w:sz w:val="20"/>
              </w:rPr>
              <w:t>Motions to suspend appeal procedures dismissed</w:t>
            </w:r>
          </w:p>
          <w:p w:rsidR="0010431F" w:rsidRPr="001667A2" w:rsidRDefault="0010431F" w:rsidP="0010431F">
            <w:pPr>
              <w:jc w:val="both"/>
              <w:rPr>
                <w:rFonts w:eastAsia="Calibri"/>
                <w:sz w:val="20"/>
              </w:rPr>
            </w:pPr>
          </w:p>
        </w:tc>
      </w:tr>
    </w:tbl>
    <w:p w:rsidR="005C28A9" w:rsidRDefault="005C28A9"/>
    <w:tbl>
      <w:tblPr>
        <w:tblW w:w="5000" w:type="pct"/>
        <w:tblLayout w:type="fixed"/>
        <w:tblCellMar>
          <w:left w:w="0" w:type="dxa"/>
          <w:right w:w="0" w:type="dxa"/>
        </w:tblCellMar>
        <w:tblLook w:val="04A0"/>
      </w:tblPr>
      <w:tblGrid>
        <w:gridCol w:w="4553"/>
        <w:gridCol w:w="514"/>
        <w:gridCol w:w="4552"/>
      </w:tblGrid>
      <w:tr w:rsidR="0010431F" w:rsidRPr="001667A2" w:rsidTr="005C28A9">
        <w:trPr>
          <w:cantSplit/>
        </w:trPr>
        <w:tc>
          <w:tcPr>
            <w:tcW w:w="2367" w:type="pct"/>
          </w:tcPr>
          <w:p w:rsidR="0010431F" w:rsidRPr="001667A2" w:rsidRDefault="0010431F" w:rsidP="0010431F">
            <w:pPr>
              <w:jc w:val="both"/>
              <w:rPr>
                <w:rFonts w:eastAsia="Calibri"/>
                <w:sz w:val="20"/>
              </w:rPr>
            </w:pPr>
            <w:r w:rsidRPr="001667A2">
              <w:rPr>
                <w:rFonts w:eastAsia="Calibri"/>
                <w:sz w:val="20"/>
              </w:rPr>
              <w:lastRenderedPageBreak/>
              <w:t>October 18, 2010</w:t>
            </w:r>
          </w:p>
          <w:p w:rsidR="0010431F" w:rsidRPr="001667A2" w:rsidRDefault="0010431F" w:rsidP="0010431F">
            <w:pPr>
              <w:jc w:val="both"/>
              <w:rPr>
                <w:rFonts w:eastAsia="Calibri"/>
                <w:sz w:val="20"/>
              </w:rPr>
            </w:pPr>
            <w:r w:rsidRPr="001667A2">
              <w:rPr>
                <w:rFonts w:eastAsia="Calibri"/>
                <w:sz w:val="20"/>
              </w:rPr>
              <w:t>Supreme Court of Canada</w:t>
            </w:r>
          </w:p>
        </w:tc>
        <w:tc>
          <w:tcPr>
            <w:tcW w:w="267" w:type="pct"/>
          </w:tcPr>
          <w:p w:rsidR="0010431F" w:rsidRPr="001667A2" w:rsidRDefault="0010431F" w:rsidP="0010431F">
            <w:pPr>
              <w:jc w:val="both"/>
              <w:rPr>
                <w:rFonts w:eastAsia="Calibri"/>
                <w:sz w:val="20"/>
              </w:rPr>
            </w:pPr>
          </w:p>
        </w:tc>
        <w:tc>
          <w:tcPr>
            <w:tcW w:w="2366" w:type="pct"/>
          </w:tcPr>
          <w:p w:rsidR="0010431F" w:rsidRPr="001667A2" w:rsidRDefault="0010431F" w:rsidP="0010431F">
            <w:pPr>
              <w:jc w:val="both"/>
              <w:rPr>
                <w:rFonts w:eastAsia="Calibri"/>
                <w:sz w:val="20"/>
              </w:rPr>
            </w:pPr>
            <w:r w:rsidRPr="001667A2">
              <w:rPr>
                <w:rFonts w:eastAsia="Calibri"/>
                <w:sz w:val="20"/>
              </w:rPr>
              <w:t>Applications to extend time to file and serve leave application and for leave to appeal filed</w:t>
            </w:r>
          </w:p>
        </w:tc>
      </w:tr>
    </w:tbl>
    <w:p w:rsidR="00AF63D3" w:rsidRPr="00BA161A" w:rsidRDefault="00AF63D3" w:rsidP="00AF63D3">
      <w:pPr>
        <w:rPr>
          <w:sz w:val="20"/>
          <w:szCs w:val="20"/>
        </w:rPr>
      </w:pPr>
    </w:p>
    <w:p w:rsidR="00AF63D3" w:rsidRDefault="003E529C" w:rsidP="00AF63D3">
      <w:pPr>
        <w:rPr>
          <w:sz w:val="20"/>
          <w:szCs w:val="20"/>
          <w:lang w:val="fr-CA"/>
        </w:rPr>
      </w:pPr>
      <w:r w:rsidRPr="003E529C">
        <w:rPr>
          <w:sz w:val="20"/>
          <w:szCs w:val="20"/>
          <w:lang w:val="fr-CA"/>
        </w:rPr>
        <w:pict>
          <v:rect id="_x0000_i1059" style="width:2in;height:1pt" o:hrpct="0" o:hralign="center" o:hrstd="t" o:hrnoshade="t" o:hr="t" fillcolor="black [3213]" stroked="f"/>
        </w:pict>
      </w:r>
    </w:p>
    <w:p w:rsidR="00AF63D3" w:rsidRPr="00BA161A" w:rsidRDefault="00AF63D3" w:rsidP="00AF63D3">
      <w:pPr>
        <w:rPr>
          <w:sz w:val="20"/>
          <w:szCs w:val="20"/>
        </w:rPr>
      </w:pPr>
    </w:p>
    <w:p w:rsidR="00AF63D3" w:rsidRPr="00BA161A" w:rsidRDefault="00AF63D3" w:rsidP="00AF63D3">
      <w:pPr>
        <w:rPr>
          <w:sz w:val="20"/>
          <w:szCs w:val="20"/>
        </w:rPr>
      </w:pPr>
      <w:r>
        <w:rPr>
          <w:sz w:val="20"/>
          <w:szCs w:val="20"/>
          <w:u w:val="single"/>
        </w:rPr>
        <w:t>RÉSUMÉ DE L’AFFAIRE</w:t>
      </w:r>
    </w:p>
    <w:p w:rsidR="00AF63D3" w:rsidRPr="00BA161A" w:rsidRDefault="00AF63D3" w:rsidP="00AF63D3">
      <w:pPr>
        <w:rPr>
          <w:sz w:val="20"/>
          <w:szCs w:val="20"/>
        </w:rPr>
      </w:pPr>
    </w:p>
    <w:tbl>
      <w:tblPr>
        <w:tblW w:w="5000" w:type="pct"/>
        <w:tblInd w:w="2" w:type="dxa"/>
        <w:tblLayout w:type="fixed"/>
        <w:tblCellMar>
          <w:left w:w="0" w:type="dxa"/>
          <w:bottom w:w="99" w:type="dxa"/>
          <w:right w:w="0" w:type="dxa"/>
        </w:tblCellMar>
        <w:tblLook w:val="00A0"/>
      </w:tblPr>
      <w:tblGrid>
        <w:gridCol w:w="4554"/>
        <w:gridCol w:w="514"/>
        <w:gridCol w:w="4459"/>
        <w:gridCol w:w="92"/>
      </w:tblGrid>
      <w:tr w:rsidR="0010431F" w:rsidRPr="009122D4" w:rsidTr="0010431F">
        <w:trPr>
          <w:gridAfter w:val="1"/>
          <w:wAfter w:w="48" w:type="pct"/>
        </w:trPr>
        <w:tc>
          <w:tcPr>
            <w:tcW w:w="4952" w:type="pct"/>
            <w:gridSpan w:val="3"/>
          </w:tcPr>
          <w:p w:rsidR="0010431F" w:rsidRPr="001667A2" w:rsidRDefault="0010431F" w:rsidP="0010431F">
            <w:pPr>
              <w:jc w:val="both"/>
              <w:rPr>
                <w:rFonts w:eastAsia="Calibri"/>
                <w:sz w:val="20"/>
                <w:lang w:val="fr-CA"/>
              </w:rPr>
            </w:pPr>
            <w:r w:rsidRPr="001667A2">
              <w:rPr>
                <w:rFonts w:eastAsia="Calibri"/>
                <w:sz w:val="20"/>
                <w:lang w:val="fr-CA"/>
              </w:rPr>
              <w:t>Tribunaux – Compétence – Procédure civile – Appels – L’autorisation d’appel à la Cour suprême devrait-elle être accordée?</w:t>
            </w:r>
          </w:p>
          <w:p w:rsidR="0010431F" w:rsidRPr="001667A2" w:rsidRDefault="0010431F" w:rsidP="0010431F">
            <w:pPr>
              <w:jc w:val="both"/>
              <w:rPr>
                <w:rFonts w:eastAsia="Calibri"/>
                <w:sz w:val="20"/>
                <w:lang w:val="fr-CA"/>
              </w:rPr>
            </w:pPr>
          </w:p>
        </w:tc>
      </w:tr>
      <w:tr w:rsidR="0010431F" w:rsidRPr="009122D4" w:rsidTr="0010431F">
        <w:trPr>
          <w:gridAfter w:val="1"/>
          <w:wAfter w:w="48" w:type="pct"/>
        </w:trPr>
        <w:tc>
          <w:tcPr>
            <w:tcW w:w="4952" w:type="pct"/>
            <w:gridSpan w:val="3"/>
          </w:tcPr>
          <w:p w:rsidR="0010431F" w:rsidRPr="001667A2" w:rsidRDefault="0010431F" w:rsidP="0010431F">
            <w:pPr>
              <w:jc w:val="both"/>
              <w:rPr>
                <w:rFonts w:eastAsia="Calibri"/>
                <w:sz w:val="20"/>
                <w:lang w:val="fr-CA"/>
              </w:rPr>
            </w:pPr>
            <w:r w:rsidRPr="001667A2">
              <w:rPr>
                <w:rFonts w:eastAsia="Calibri"/>
                <w:sz w:val="20"/>
                <w:lang w:val="fr-CA"/>
              </w:rPr>
              <w:t>Madame Dahan a introduit une instance en responsabilité contractuelle contre A.H. et Arthur Hiess, et une instance distincte contre BSA Food Ingredients inc. (BSA), Laiterie de Coaticook et Robert Hod Hod. Elle a présenté des requêtes à la Cour d’appel en vue de suspendre l’instance en Cour supérieure, mais a été déboutée. Au procès, en octobre 2009, la Cour supérieure a jugé que l’instance contre A.H avait été abandonnée et a condamné Mme Dahan aux dépens et à des dommages-intérêts punitifs. La Cour supérieure a rejeté l’action dans l’instance contre BSA et a condamné Mme Dahan aux dépens et à des dommages-intérêts punitifs. Madame Dahan a interjeté appel. En décembre 2009, Mme Dahan a demandé l’autorisation d’appel de la décision de la Cour d’appel de rejeter sa requête en suspension, mais la Cour d’appel a rejeté la requête. En décembre également, la Cour supérieure a déclaré Mme Dahan plaideur quérulent. Madame Dahan a interjeté appel de cette décision et a présenté une requête en vue de suspendre l’instance d’appel, mais la Cour d’appel a rejeté sa requête.</w:t>
            </w:r>
          </w:p>
          <w:p w:rsidR="0010431F" w:rsidRPr="001667A2" w:rsidRDefault="0010431F" w:rsidP="0010431F">
            <w:pPr>
              <w:jc w:val="both"/>
              <w:rPr>
                <w:rFonts w:eastAsia="Calibri"/>
                <w:sz w:val="20"/>
                <w:lang w:val="fr-CA"/>
              </w:rPr>
            </w:pPr>
          </w:p>
          <w:p w:rsidR="0010431F" w:rsidRPr="001667A2" w:rsidRDefault="0010431F" w:rsidP="0010431F">
            <w:pPr>
              <w:jc w:val="both"/>
              <w:rPr>
                <w:rFonts w:eastAsia="Calibri"/>
                <w:sz w:val="20"/>
                <w:lang w:val="fr-CA"/>
              </w:rPr>
            </w:pPr>
            <w:r w:rsidRPr="001667A2">
              <w:rPr>
                <w:rFonts w:eastAsia="Calibri"/>
                <w:sz w:val="20"/>
                <w:lang w:val="fr-CA"/>
              </w:rPr>
              <w:t>En avril 2010, la Cour d’appel a avisé les parties que les appels de Mme Dahan des décisions de la Cour supérieure rendues en octobre 2009 étaient réputés abandonnés. Madame Dahan a déposé des requêtes en vue de faire déclarer nulles ces décisions et d’obtenir un jugement déclaratoire. La Cour d’appel a reporté les requêtes. En septembre 2010, la Cour d’appel a avisé les parties que les requêtes seraient radiées du rôle. Madame Dahan a déposé une demande d’autorisation d’appel à la Cour suprême du Canada.</w:t>
            </w:r>
          </w:p>
          <w:p w:rsidR="0010431F" w:rsidRPr="001667A2" w:rsidRDefault="0010431F" w:rsidP="0010431F">
            <w:pPr>
              <w:jc w:val="both"/>
              <w:rPr>
                <w:rFonts w:eastAsia="Calibri"/>
                <w:sz w:val="20"/>
                <w:lang w:val="fr-CA"/>
              </w:rPr>
            </w:pPr>
          </w:p>
        </w:tc>
      </w:tr>
      <w:tr w:rsidR="0010431F" w:rsidRPr="009122D4" w:rsidTr="0010431F">
        <w:tblPrEx>
          <w:tblCellMar>
            <w:bottom w:w="0" w:type="dxa"/>
          </w:tblCellMar>
        </w:tblPrEx>
        <w:tc>
          <w:tcPr>
            <w:tcW w:w="2367" w:type="pct"/>
          </w:tcPr>
          <w:p w:rsidR="0010431F" w:rsidRPr="001667A2" w:rsidRDefault="0010431F" w:rsidP="0010431F">
            <w:pPr>
              <w:jc w:val="both"/>
              <w:rPr>
                <w:rFonts w:eastAsia="Calibri"/>
                <w:sz w:val="20"/>
                <w:lang w:val="fr-CA"/>
              </w:rPr>
            </w:pPr>
            <w:r w:rsidRPr="001667A2">
              <w:rPr>
                <w:rFonts w:eastAsia="Calibri"/>
                <w:sz w:val="20"/>
                <w:lang w:val="fr-CA"/>
              </w:rPr>
              <w:t>26 octobre 2009</w:t>
            </w:r>
          </w:p>
          <w:p w:rsidR="0010431F" w:rsidRPr="001667A2" w:rsidRDefault="0010431F" w:rsidP="0010431F">
            <w:pPr>
              <w:jc w:val="both"/>
              <w:rPr>
                <w:rFonts w:eastAsia="Calibri"/>
                <w:sz w:val="20"/>
                <w:lang w:val="fr-CA"/>
              </w:rPr>
            </w:pPr>
            <w:r w:rsidRPr="001667A2">
              <w:rPr>
                <w:rFonts w:eastAsia="Calibri"/>
                <w:sz w:val="20"/>
                <w:lang w:val="fr-CA"/>
              </w:rPr>
              <w:t>Cour d’appel du Québec (Montréal)</w:t>
            </w:r>
          </w:p>
          <w:p w:rsidR="0010431F" w:rsidRPr="001667A2" w:rsidRDefault="0010431F" w:rsidP="0010431F">
            <w:pPr>
              <w:jc w:val="both"/>
              <w:rPr>
                <w:rFonts w:eastAsia="Calibri"/>
                <w:sz w:val="20"/>
                <w:lang w:val="fr-CA"/>
              </w:rPr>
            </w:pPr>
            <w:r w:rsidRPr="001667A2">
              <w:rPr>
                <w:rFonts w:eastAsia="Calibri"/>
                <w:sz w:val="20"/>
                <w:lang w:val="fr-CA"/>
              </w:rPr>
              <w:t>(Juge Léger)</w:t>
            </w:r>
          </w:p>
          <w:p w:rsidR="0010431F" w:rsidRPr="001667A2" w:rsidRDefault="0010431F" w:rsidP="0010431F">
            <w:pPr>
              <w:jc w:val="both"/>
              <w:rPr>
                <w:rFonts w:eastAsia="Calibri"/>
                <w:sz w:val="20"/>
                <w:lang w:val="fr-CA"/>
              </w:rPr>
            </w:pPr>
          </w:p>
        </w:tc>
        <w:tc>
          <w:tcPr>
            <w:tcW w:w="267" w:type="pct"/>
          </w:tcPr>
          <w:p w:rsidR="0010431F" w:rsidRPr="001667A2" w:rsidRDefault="0010431F" w:rsidP="0010431F">
            <w:pPr>
              <w:jc w:val="both"/>
              <w:rPr>
                <w:rFonts w:eastAsia="Calibri"/>
                <w:sz w:val="20"/>
                <w:lang w:val="fr-CA"/>
              </w:rPr>
            </w:pPr>
          </w:p>
        </w:tc>
        <w:tc>
          <w:tcPr>
            <w:tcW w:w="2366" w:type="pct"/>
            <w:gridSpan w:val="2"/>
          </w:tcPr>
          <w:p w:rsidR="0010431F" w:rsidRPr="001667A2" w:rsidRDefault="0010431F" w:rsidP="0010431F">
            <w:pPr>
              <w:jc w:val="both"/>
              <w:rPr>
                <w:rFonts w:eastAsia="Calibri"/>
                <w:sz w:val="20"/>
                <w:lang w:val="fr-CA"/>
              </w:rPr>
            </w:pPr>
            <w:r w:rsidRPr="001667A2">
              <w:rPr>
                <w:rFonts w:eastAsia="Calibri"/>
                <w:sz w:val="20"/>
                <w:lang w:val="fr-CA"/>
              </w:rPr>
              <w:t>Requête en suspension de l’instance, rejetée</w:t>
            </w:r>
          </w:p>
          <w:p w:rsidR="0010431F" w:rsidRPr="001667A2" w:rsidRDefault="0010431F" w:rsidP="0010431F">
            <w:pPr>
              <w:jc w:val="both"/>
              <w:rPr>
                <w:rFonts w:eastAsia="Calibri"/>
                <w:sz w:val="20"/>
                <w:lang w:val="fr-CA"/>
              </w:rPr>
            </w:pPr>
          </w:p>
        </w:tc>
      </w:tr>
      <w:tr w:rsidR="0010431F" w:rsidRPr="009122D4" w:rsidTr="0010431F">
        <w:tblPrEx>
          <w:tblCellMar>
            <w:bottom w:w="0" w:type="dxa"/>
          </w:tblCellMar>
        </w:tblPrEx>
        <w:tc>
          <w:tcPr>
            <w:tcW w:w="2367" w:type="pct"/>
          </w:tcPr>
          <w:p w:rsidR="0010431F" w:rsidRPr="001667A2" w:rsidRDefault="0010431F" w:rsidP="0010431F">
            <w:pPr>
              <w:jc w:val="both"/>
              <w:rPr>
                <w:rFonts w:eastAsia="Calibri"/>
                <w:sz w:val="20"/>
                <w:lang w:val="fr-CA"/>
              </w:rPr>
            </w:pPr>
            <w:r w:rsidRPr="001667A2">
              <w:rPr>
                <w:rFonts w:eastAsia="Calibri"/>
                <w:sz w:val="20"/>
                <w:lang w:val="fr-CA"/>
              </w:rPr>
              <w:t>14 décembre 2009</w:t>
            </w:r>
          </w:p>
          <w:p w:rsidR="0010431F" w:rsidRPr="001667A2" w:rsidRDefault="0010431F" w:rsidP="0010431F">
            <w:pPr>
              <w:jc w:val="both"/>
              <w:rPr>
                <w:rFonts w:eastAsia="Calibri"/>
                <w:sz w:val="20"/>
                <w:lang w:val="fr-CA"/>
              </w:rPr>
            </w:pPr>
            <w:r w:rsidRPr="001667A2">
              <w:rPr>
                <w:rFonts w:eastAsia="Calibri"/>
                <w:sz w:val="20"/>
                <w:lang w:val="fr-CA"/>
              </w:rPr>
              <w:t>Cour d’appel du Québec (Montréal)</w:t>
            </w:r>
          </w:p>
          <w:p w:rsidR="0010431F" w:rsidRPr="001667A2" w:rsidRDefault="0010431F" w:rsidP="0010431F">
            <w:pPr>
              <w:jc w:val="both"/>
              <w:rPr>
                <w:rFonts w:eastAsia="Calibri"/>
                <w:sz w:val="20"/>
                <w:lang w:val="fr-CA"/>
              </w:rPr>
            </w:pPr>
            <w:r w:rsidRPr="001667A2">
              <w:rPr>
                <w:rFonts w:eastAsia="Calibri"/>
                <w:sz w:val="20"/>
                <w:lang w:val="fr-CA"/>
              </w:rPr>
              <w:t>(Juges Chamberland, Forget et Morissette)</w:t>
            </w:r>
          </w:p>
          <w:p w:rsidR="0010431F" w:rsidRPr="001667A2" w:rsidRDefault="0010431F" w:rsidP="0010431F">
            <w:pPr>
              <w:jc w:val="both"/>
              <w:rPr>
                <w:rFonts w:eastAsia="Calibri"/>
                <w:sz w:val="20"/>
                <w:lang w:val="fr-CA"/>
              </w:rPr>
            </w:pPr>
            <w:r w:rsidRPr="001667A2">
              <w:rPr>
                <w:rFonts w:eastAsia="Calibri"/>
                <w:sz w:val="20"/>
                <w:lang w:val="fr-CA"/>
              </w:rPr>
              <w:t>2009 QCCA 2452</w:t>
            </w:r>
          </w:p>
          <w:p w:rsidR="0010431F" w:rsidRPr="001667A2" w:rsidRDefault="0010431F" w:rsidP="0010431F">
            <w:pPr>
              <w:jc w:val="both"/>
              <w:rPr>
                <w:rFonts w:eastAsia="Calibri"/>
                <w:sz w:val="20"/>
                <w:lang w:val="fr-CA"/>
              </w:rPr>
            </w:pPr>
          </w:p>
        </w:tc>
        <w:tc>
          <w:tcPr>
            <w:tcW w:w="267" w:type="pct"/>
          </w:tcPr>
          <w:p w:rsidR="0010431F" w:rsidRPr="001667A2" w:rsidRDefault="0010431F" w:rsidP="0010431F">
            <w:pPr>
              <w:jc w:val="both"/>
              <w:rPr>
                <w:rFonts w:eastAsia="Calibri"/>
                <w:sz w:val="20"/>
                <w:lang w:val="fr-CA"/>
              </w:rPr>
            </w:pPr>
          </w:p>
        </w:tc>
        <w:tc>
          <w:tcPr>
            <w:tcW w:w="2366" w:type="pct"/>
            <w:gridSpan w:val="2"/>
          </w:tcPr>
          <w:p w:rsidR="0010431F" w:rsidRPr="001667A2" w:rsidRDefault="0010431F" w:rsidP="0010431F">
            <w:pPr>
              <w:jc w:val="both"/>
              <w:rPr>
                <w:rFonts w:eastAsia="Calibri"/>
                <w:sz w:val="20"/>
                <w:lang w:val="fr-CA"/>
              </w:rPr>
            </w:pPr>
            <w:r w:rsidRPr="001667A2">
              <w:rPr>
                <w:rFonts w:eastAsia="Calibri"/>
                <w:sz w:val="20"/>
                <w:lang w:val="fr-CA"/>
              </w:rPr>
              <w:t>Requête en autorisation d’appel de la décision du juge Léger, rejetée</w:t>
            </w:r>
          </w:p>
          <w:p w:rsidR="0010431F" w:rsidRPr="001667A2" w:rsidRDefault="0010431F" w:rsidP="0010431F">
            <w:pPr>
              <w:jc w:val="both"/>
              <w:rPr>
                <w:rFonts w:eastAsia="Calibri"/>
                <w:sz w:val="20"/>
                <w:lang w:val="fr-CA"/>
              </w:rPr>
            </w:pPr>
          </w:p>
        </w:tc>
      </w:tr>
      <w:tr w:rsidR="0010431F" w:rsidRPr="009122D4" w:rsidTr="0010431F">
        <w:tblPrEx>
          <w:tblCellMar>
            <w:bottom w:w="0" w:type="dxa"/>
          </w:tblCellMar>
        </w:tblPrEx>
        <w:tc>
          <w:tcPr>
            <w:tcW w:w="2367" w:type="pct"/>
          </w:tcPr>
          <w:p w:rsidR="0010431F" w:rsidRPr="001667A2" w:rsidRDefault="0010431F" w:rsidP="0010431F">
            <w:pPr>
              <w:jc w:val="both"/>
              <w:rPr>
                <w:rFonts w:eastAsia="Calibri"/>
                <w:sz w:val="20"/>
                <w:lang w:val="fr-CA"/>
              </w:rPr>
            </w:pPr>
            <w:r w:rsidRPr="001667A2">
              <w:rPr>
                <w:rFonts w:eastAsia="Calibri"/>
                <w:sz w:val="20"/>
                <w:lang w:val="fr-CA"/>
              </w:rPr>
              <w:t>20 avril 2010</w:t>
            </w:r>
          </w:p>
          <w:p w:rsidR="0010431F" w:rsidRPr="001667A2" w:rsidRDefault="0010431F" w:rsidP="0010431F">
            <w:pPr>
              <w:jc w:val="both"/>
              <w:rPr>
                <w:rFonts w:eastAsia="Calibri"/>
                <w:sz w:val="20"/>
                <w:lang w:val="fr-CA"/>
              </w:rPr>
            </w:pPr>
            <w:r w:rsidRPr="001667A2">
              <w:rPr>
                <w:rFonts w:eastAsia="Calibri"/>
                <w:sz w:val="20"/>
                <w:lang w:val="fr-CA"/>
              </w:rPr>
              <w:t>Cour d’appel du Québec (Montréal)</w:t>
            </w:r>
          </w:p>
          <w:p w:rsidR="0010431F" w:rsidRPr="001667A2" w:rsidRDefault="0010431F" w:rsidP="0010431F">
            <w:pPr>
              <w:jc w:val="both"/>
              <w:rPr>
                <w:rFonts w:eastAsia="Calibri"/>
                <w:sz w:val="20"/>
                <w:lang w:val="fr-CA"/>
              </w:rPr>
            </w:pPr>
            <w:r w:rsidRPr="001667A2">
              <w:rPr>
                <w:rFonts w:eastAsia="Calibri"/>
                <w:sz w:val="20"/>
                <w:lang w:val="fr-CA"/>
              </w:rPr>
              <w:t>(Juge Duval Hesler)</w:t>
            </w:r>
          </w:p>
          <w:p w:rsidR="0010431F" w:rsidRPr="001667A2" w:rsidRDefault="0010431F" w:rsidP="0010431F">
            <w:pPr>
              <w:jc w:val="both"/>
              <w:rPr>
                <w:rFonts w:eastAsia="Calibri"/>
                <w:sz w:val="20"/>
                <w:lang w:val="fr-CA"/>
              </w:rPr>
            </w:pPr>
            <w:r w:rsidRPr="001667A2">
              <w:rPr>
                <w:rFonts w:eastAsia="Calibri"/>
                <w:sz w:val="20"/>
                <w:lang w:val="fr-CA"/>
              </w:rPr>
              <w:t>2010 QCCA 779</w:t>
            </w:r>
          </w:p>
          <w:p w:rsidR="0010431F" w:rsidRPr="001667A2" w:rsidRDefault="0010431F" w:rsidP="0010431F">
            <w:pPr>
              <w:jc w:val="both"/>
              <w:rPr>
                <w:rFonts w:eastAsia="Calibri"/>
                <w:sz w:val="20"/>
                <w:lang w:val="fr-CA"/>
              </w:rPr>
            </w:pPr>
          </w:p>
        </w:tc>
        <w:tc>
          <w:tcPr>
            <w:tcW w:w="267" w:type="pct"/>
          </w:tcPr>
          <w:p w:rsidR="0010431F" w:rsidRPr="001667A2" w:rsidRDefault="0010431F" w:rsidP="0010431F">
            <w:pPr>
              <w:jc w:val="both"/>
              <w:rPr>
                <w:rFonts w:eastAsia="Calibri"/>
                <w:sz w:val="20"/>
                <w:lang w:val="fr-CA"/>
              </w:rPr>
            </w:pPr>
          </w:p>
        </w:tc>
        <w:tc>
          <w:tcPr>
            <w:tcW w:w="2366" w:type="pct"/>
            <w:gridSpan w:val="2"/>
          </w:tcPr>
          <w:p w:rsidR="0010431F" w:rsidRPr="001667A2" w:rsidRDefault="0010431F" w:rsidP="0010431F">
            <w:pPr>
              <w:jc w:val="both"/>
              <w:rPr>
                <w:rFonts w:eastAsia="Calibri"/>
                <w:sz w:val="20"/>
                <w:lang w:val="fr-CA"/>
              </w:rPr>
            </w:pPr>
            <w:r w:rsidRPr="001667A2">
              <w:rPr>
                <w:rFonts w:eastAsia="Calibri"/>
                <w:sz w:val="20"/>
                <w:lang w:val="fr-CA"/>
              </w:rPr>
              <w:t>Requêtes en suspension des instances d’appel, rejetées</w:t>
            </w:r>
          </w:p>
          <w:p w:rsidR="0010431F" w:rsidRPr="001667A2" w:rsidRDefault="0010431F" w:rsidP="0010431F">
            <w:pPr>
              <w:jc w:val="both"/>
              <w:rPr>
                <w:rFonts w:eastAsia="Calibri"/>
                <w:sz w:val="20"/>
                <w:lang w:val="fr-CA"/>
              </w:rPr>
            </w:pPr>
          </w:p>
        </w:tc>
      </w:tr>
      <w:tr w:rsidR="0010431F" w:rsidRPr="009122D4" w:rsidTr="0010431F">
        <w:tblPrEx>
          <w:tblCellMar>
            <w:bottom w:w="0" w:type="dxa"/>
          </w:tblCellMar>
        </w:tblPrEx>
        <w:tc>
          <w:tcPr>
            <w:tcW w:w="2367" w:type="pct"/>
          </w:tcPr>
          <w:p w:rsidR="0010431F" w:rsidRPr="001667A2" w:rsidRDefault="0010431F" w:rsidP="0010431F">
            <w:pPr>
              <w:jc w:val="both"/>
              <w:rPr>
                <w:rFonts w:eastAsia="Calibri"/>
                <w:sz w:val="20"/>
                <w:lang w:val="fr-CA"/>
              </w:rPr>
            </w:pPr>
            <w:r w:rsidRPr="001667A2">
              <w:rPr>
                <w:rFonts w:eastAsia="Calibri"/>
                <w:sz w:val="20"/>
                <w:lang w:val="fr-CA"/>
              </w:rPr>
              <w:t>18 octobre 2010</w:t>
            </w:r>
          </w:p>
          <w:p w:rsidR="0010431F" w:rsidRPr="001667A2" w:rsidRDefault="0010431F" w:rsidP="0010431F">
            <w:pPr>
              <w:jc w:val="both"/>
              <w:rPr>
                <w:rFonts w:eastAsia="Calibri"/>
                <w:sz w:val="20"/>
                <w:lang w:val="fr-CA"/>
              </w:rPr>
            </w:pPr>
            <w:r w:rsidRPr="001667A2">
              <w:rPr>
                <w:rFonts w:eastAsia="Calibri"/>
                <w:sz w:val="20"/>
                <w:lang w:val="fr-CA"/>
              </w:rPr>
              <w:t>Cour suprême du Canada</w:t>
            </w:r>
          </w:p>
        </w:tc>
        <w:tc>
          <w:tcPr>
            <w:tcW w:w="267" w:type="pct"/>
          </w:tcPr>
          <w:p w:rsidR="0010431F" w:rsidRPr="001667A2" w:rsidRDefault="0010431F" w:rsidP="0010431F">
            <w:pPr>
              <w:jc w:val="both"/>
              <w:rPr>
                <w:rFonts w:eastAsia="Calibri"/>
                <w:sz w:val="20"/>
                <w:lang w:val="fr-CA"/>
              </w:rPr>
            </w:pPr>
          </w:p>
        </w:tc>
        <w:tc>
          <w:tcPr>
            <w:tcW w:w="2366" w:type="pct"/>
            <w:gridSpan w:val="2"/>
          </w:tcPr>
          <w:p w:rsidR="0010431F" w:rsidRPr="001667A2" w:rsidRDefault="0010431F" w:rsidP="0010431F">
            <w:pPr>
              <w:jc w:val="both"/>
              <w:rPr>
                <w:rFonts w:eastAsia="Calibri"/>
                <w:sz w:val="20"/>
                <w:lang w:val="fr-CA"/>
              </w:rPr>
            </w:pPr>
            <w:r w:rsidRPr="001667A2">
              <w:rPr>
                <w:rFonts w:eastAsia="Calibri"/>
                <w:sz w:val="20"/>
                <w:lang w:val="fr-CA"/>
              </w:rPr>
              <w:t>Demande de prorogation du délai de dépôt et de signification de la demande d’autorisation et demande  d’autorisation d’appel, déposées</w:t>
            </w:r>
          </w:p>
        </w:tc>
      </w:tr>
    </w:tbl>
    <w:p w:rsidR="00AF63D3" w:rsidRPr="0010431F" w:rsidRDefault="00AF63D3" w:rsidP="00AF63D3">
      <w:pPr>
        <w:rPr>
          <w:sz w:val="20"/>
          <w:szCs w:val="20"/>
          <w:lang w:val="fr-CA"/>
        </w:rPr>
      </w:pPr>
    </w:p>
    <w:p w:rsidR="00AF63D3" w:rsidRDefault="003E529C" w:rsidP="00AF63D3">
      <w:pPr>
        <w:rPr>
          <w:sz w:val="20"/>
          <w:szCs w:val="20"/>
          <w:lang w:val="fr-CA"/>
        </w:rPr>
      </w:pPr>
      <w:r w:rsidRPr="003E529C">
        <w:rPr>
          <w:sz w:val="20"/>
          <w:szCs w:val="20"/>
          <w:lang w:val="fr-CA"/>
        </w:rPr>
        <w:pict>
          <v:rect id="_x0000_i1060" style="width:2in;height:1pt" o:hrpct="0" o:hralign="center" o:hrstd="t" o:hrnoshade="t" o:hr="t" fillcolor="black [3213]" stroked="f"/>
        </w:pict>
      </w:r>
    </w:p>
    <w:p w:rsidR="00AF63D3" w:rsidRDefault="00AF63D3" w:rsidP="00AF63D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B2464" w:rsidRPr="001B2464" w:rsidTr="00E022C0">
        <w:trPr>
          <w:cantSplit/>
        </w:trPr>
        <w:tc>
          <w:tcPr>
            <w:tcW w:w="1458" w:type="dxa"/>
          </w:tcPr>
          <w:p w:rsidR="001B2464" w:rsidRPr="001B2464" w:rsidRDefault="001B2464" w:rsidP="00E022C0">
            <w:pPr>
              <w:rPr>
                <w:sz w:val="20"/>
                <w:szCs w:val="20"/>
              </w:rPr>
            </w:pPr>
            <w:r w:rsidRPr="001B2464">
              <w:rPr>
                <w:rStyle w:val="SCCFileNumberChar"/>
                <w:sz w:val="20"/>
                <w:szCs w:val="20"/>
              </w:rPr>
              <w:t>33963</w:t>
            </w:r>
          </w:p>
          <w:p w:rsidR="001B2464" w:rsidRPr="001B2464" w:rsidRDefault="001B2464" w:rsidP="00E022C0">
            <w:pPr>
              <w:rPr>
                <w:b/>
                <w:sz w:val="20"/>
                <w:szCs w:val="20"/>
                <w:lang w:val="fr-CA"/>
              </w:rPr>
            </w:pPr>
          </w:p>
        </w:tc>
        <w:tc>
          <w:tcPr>
            <w:tcW w:w="8118" w:type="dxa"/>
          </w:tcPr>
          <w:p w:rsidR="001B2464" w:rsidRPr="001B2464" w:rsidRDefault="001B2464" w:rsidP="00E022C0">
            <w:pPr>
              <w:rPr>
                <w:sz w:val="20"/>
                <w:szCs w:val="20"/>
              </w:rPr>
            </w:pPr>
            <w:r w:rsidRPr="001B2464">
              <w:rPr>
                <w:rStyle w:val="SCCLsocChar"/>
                <w:sz w:val="20"/>
                <w:szCs w:val="20"/>
                <w:lang w:val="en-CA"/>
              </w:rPr>
              <w:t>Bonnie McDonald v. Her Majesty the Queen</w:t>
            </w:r>
            <w:r w:rsidRPr="001B2464">
              <w:rPr>
                <w:sz w:val="20"/>
                <w:szCs w:val="20"/>
              </w:rPr>
              <w:t xml:space="preserve"> (Ont.) (Criminal) (By Leave)</w:t>
            </w:r>
          </w:p>
          <w:p w:rsidR="001B2464" w:rsidRPr="001B2464" w:rsidRDefault="001B2464" w:rsidP="00E022C0">
            <w:pPr>
              <w:rPr>
                <w:sz w:val="20"/>
                <w:szCs w:val="20"/>
              </w:rPr>
            </w:pPr>
          </w:p>
        </w:tc>
      </w:tr>
      <w:tr w:rsidR="001B2464" w:rsidRPr="001B2464" w:rsidTr="00E022C0">
        <w:trPr>
          <w:cantSplit/>
        </w:trPr>
        <w:tc>
          <w:tcPr>
            <w:tcW w:w="1458" w:type="dxa"/>
          </w:tcPr>
          <w:p w:rsidR="001B2464" w:rsidRPr="001B2464" w:rsidRDefault="001B2464" w:rsidP="00E022C0">
            <w:pPr>
              <w:rPr>
                <w:sz w:val="20"/>
                <w:szCs w:val="20"/>
              </w:rPr>
            </w:pPr>
            <w:r w:rsidRPr="001B2464">
              <w:rPr>
                <w:sz w:val="20"/>
                <w:szCs w:val="20"/>
              </w:rPr>
              <w:t>Coram :</w:t>
            </w:r>
          </w:p>
        </w:tc>
        <w:tc>
          <w:tcPr>
            <w:tcW w:w="8118" w:type="dxa"/>
          </w:tcPr>
          <w:p w:rsidR="001B2464" w:rsidRPr="001B2464" w:rsidRDefault="001B2464" w:rsidP="00E022C0">
            <w:pPr>
              <w:rPr>
                <w:sz w:val="20"/>
                <w:szCs w:val="20"/>
              </w:rPr>
            </w:pPr>
            <w:r w:rsidRPr="001B2464">
              <w:rPr>
                <w:rStyle w:val="SCCCoramChar"/>
                <w:sz w:val="20"/>
                <w:szCs w:val="20"/>
                <w:lang w:val="en-CA"/>
              </w:rPr>
              <w:t>Binnie, Fish and Rothstein JJ.</w:t>
            </w:r>
          </w:p>
          <w:p w:rsidR="001B2464" w:rsidRPr="001B2464" w:rsidRDefault="001B2464" w:rsidP="00E022C0">
            <w:pPr>
              <w:rPr>
                <w:sz w:val="20"/>
                <w:szCs w:val="20"/>
                <w:u w:val="single"/>
              </w:rPr>
            </w:pPr>
          </w:p>
        </w:tc>
      </w:tr>
      <w:tr w:rsidR="001B2464" w:rsidRPr="009122D4" w:rsidTr="00E022C0">
        <w:trPr>
          <w:cantSplit/>
        </w:trPr>
        <w:tc>
          <w:tcPr>
            <w:tcW w:w="9576" w:type="dxa"/>
            <w:gridSpan w:val="2"/>
          </w:tcPr>
          <w:p w:rsidR="001B2464" w:rsidRPr="001B2464" w:rsidRDefault="001B2464" w:rsidP="00E022C0">
            <w:pPr>
              <w:pStyle w:val="SCCShortJudgment"/>
              <w:rPr>
                <w:szCs w:val="20"/>
              </w:rPr>
            </w:pPr>
            <w:r w:rsidRPr="001B2464">
              <w:rPr>
                <w:szCs w:val="20"/>
              </w:rPr>
              <w:lastRenderedPageBreak/>
              <w:t>All ancillary motions and the application for leave to appeal from the judgment of the Court of Appeal for Ontario, Number C-51540, dated September 16, 2010, are dismissed without costs.</w:t>
            </w:r>
          </w:p>
          <w:p w:rsidR="001B2464" w:rsidRPr="001B2464" w:rsidRDefault="001B2464" w:rsidP="00E022C0">
            <w:pPr>
              <w:pStyle w:val="SCCShortJudgment"/>
              <w:ind w:firstLine="0"/>
              <w:rPr>
                <w:szCs w:val="20"/>
              </w:rPr>
            </w:pPr>
          </w:p>
          <w:p w:rsidR="001B2464" w:rsidRPr="001B2464" w:rsidRDefault="001B2464" w:rsidP="00E022C0">
            <w:pPr>
              <w:pStyle w:val="SCCShortJudgment"/>
              <w:rPr>
                <w:szCs w:val="20"/>
                <w:lang w:val="fr-CA"/>
              </w:rPr>
            </w:pPr>
            <w:r w:rsidRPr="001B2464">
              <w:rPr>
                <w:szCs w:val="20"/>
                <w:lang w:val="fr-CA"/>
              </w:rPr>
              <w:t>Les requêtes accessoires et la demande d’autorisation d’appel de l’arrêt de la Cour d’appel de l’Ontario, numéro C-51540, daté du 16 septembre 2010, sont rejetées sans dépens.</w:t>
            </w:r>
          </w:p>
        </w:tc>
      </w:tr>
    </w:tbl>
    <w:p w:rsidR="00AF63D3" w:rsidRPr="001B2464" w:rsidRDefault="00AF63D3" w:rsidP="00AF63D3">
      <w:pPr>
        <w:rPr>
          <w:sz w:val="20"/>
          <w:szCs w:val="20"/>
          <w:lang w:val="fr-CA"/>
        </w:rPr>
      </w:pPr>
    </w:p>
    <w:p w:rsidR="00AF63D3" w:rsidRDefault="00AF63D3" w:rsidP="00AF63D3">
      <w:pPr>
        <w:rPr>
          <w:sz w:val="20"/>
          <w:szCs w:val="20"/>
        </w:rPr>
      </w:pPr>
      <w:r>
        <w:rPr>
          <w:sz w:val="20"/>
          <w:szCs w:val="20"/>
          <w:u w:val="single"/>
        </w:rPr>
        <w:t>CASE SUMMARY</w:t>
      </w:r>
    </w:p>
    <w:p w:rsidR="00AF63D3" w:rsidRDefault="00AF63D3" w:rsidP="00AF63D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0431F" w:rsidRPr="001667A2" w:rsidTr="0010431F">
        <w:tc>
          <w:tcPr>
            <w:tcW w:w="5000" w:type="pct"/>
            <w:gridSpan w:val="3"/>
          </w:tcPr>
          <w:p w:rsidR="0010431F" w:rsidRPr="001667A2" w:rsidRDefault="0010431F" w:rsidP="0010431F">
            <w:pPr>
              <w:jc w:val="both"/>
              <w:rPr>
                <w:rFonts w:eastAsia="Calibri"/>
                <w:sz w:val="20"/>
              </w:rPr>
            </w:pPr>
            <w:r w:rsidRPr="001667A2">
              <w:rPr>
                <w:rFonts w:eastAsia="Calibri"/>
                <w:sz w:val="20"/>
              </w:rPr>
              <w:t>Charter of rights – Criminal law – Impaired driving – Ineffective representation of counsel – Whether the learned summary conviction Superior Appeal Court Judge erred in law in concluding that the Applicant was afforded effective representation by trial counsel in the absence of any inquiry made by the trial judge of the Applicant directly, in order to ascertain whether trial counsel’s concession regarding the Crown’s case was based on the informed instructions of the Applicant – Whether the learned Superior Court Judge erred in law in concluding that the trial judge did not have to make such an inquiry on the basis of the evidence that he had heard from two witnesses – Whether the learned Superior Appeal Court Judge erred in law in failing to find that the Applicant’s counsel’s decision to advise the court that the Crown met its case did not amount to a guilty plea – Whether a miscarriage of justice occurred as a result of the ineffective representation of counsel as the Applicant was denied an opportunity to assert her innocence at trial.</w:t>
            </w:r>
          </w:p>
          <w:p w:rsidR="0010431F" w:rsidRPr="001667A2" w:rsidRDefault="0010431F" w:rsidP="0010431F">
            <w:pPr>
              <w:jc w:val="both"/>
              <w:rPr>
                <w:rFonts w:eastAsia="Calibri"/>
                <w:sz w:val="20"/>
              </w:rPr>
            </w:pPr>
          </w:p>
        </w:tc>
      </w:tr>
      <w:tr w:rsidR="0010431F" w:rsidRPr="001667A2" w:rsidTr="0010431F">
        <w:tc>
          <w:tcPr>
            <w:tcW w:w="5000" w:type="pct"/>
            <w:gridSpan w:val="3"/>
          </w:tcPr>
          <w:p w:rsidR="0010431F" w:rsidRPr="001667A2" w:rsidRDefault="0010431F" w:rsidP="0010431F">
            <w:pPr>
              <w:jc w:val="both"/>
              <w:rPr>
                <w:rFonts w:eastAsia="Calibri"/>
                <w:sz w:val="20"/>
              </w:rPr>
            </w:pPr>
            <w:r w:rsidRPr="001667A2">
              <w:rPr>
                <w:rFonts w:eastAsia="Calibri"/>
                <w:sz w:val="20"/>
              </w:rPr>
              <w:t xml:space="preserve">McDonald was charged and convicted of impaired driving contrary to s. 253(a) of the </w:t>
            </w:r>
            <w:r w:rsidRPr="001667A2">
              <w:rPr>
                <w:rFonts w:eastAsia="Calibri"/>
                <w:i/>
                <w:sz w:val="20"/>
              </w:rPr>
              <w:t>Criminal Code</w:t>
            </w:r>
            <w:r w:rsidRPr="001667A2">
              <w:rPr>
                <w:rFonts w:eastAsia="Calibri"/>
                <w:sz w:val="20"/>
              </w:rPr>
              <w:t>.  At trial, her counsel indicated to the court, after hearing the evidence of the two witnesses, that he was satisfied that there was enough evidence for the court to find McDonald guilty of the offence of driving while her ability to operate a motor vehicle was impaired.  The summary conviction judge then made a finding of guilty and proceeded with the sentencing phase of the hearing.  On appeal, McDonald claimed that the trial judge erred in failing to make a plea inquiry before entering a conviction and that she was ineffectively represented by counsel.  Her appeal to the Superior Court of Justice was dismissed.  McDonald then sought leave of the Court of Appeal and a stay of the driving prohibition, however both were dismissed.</w:t>
            </w:r>
          </w:p>
          <w:p w:rsidR="0010431F" w:rsidRPr="001667A2" w:rsidRDefault="0010431F" w:rsidP="0010431F">
            <w:pPr>
              <w:jc w:val="both"/>
              <w:rPr>
                <w:rFonts w:eastAsia="Calibri"/>
                <w:sz w:val="20"/>
              </w:rPr>
            </w:pPr>
            <w:r w:rsidRPr="001667A2">
              <w:rPr>
                <w:rFonts w:eastAsia="Calibri"/>
                <w:sz w:val="20"/>
              </w:rPr>
              <w:t xml:space="preserve"> </w:t>
            </w:r>
          </w:p>
        </w:tc>
      </w:tr>
      <w:tr w:rsidR="0010431F" w:rsidRPr="001667A2" w:rsidTr="0010431F">
        <w:tc>
          <w:tcPr>
            <w:tcW w:w="2427" w:type="pct"/>
          </w:tcPr>
          <w:p w:rsidR="0010431F" w:rsidRPr="001667A2" w:rsidRDefault="0010431F" w:rsidP="0010431F">
            <w:pPr>
              <w:jc w:val="both"/>
              <w:rPr>
                <w:rFonts w:eastAsia="Calibri"/>
                <w:sz w:val="20"/>
              </w:rPr>
            </w:pPr>
            <w:r w:rsidRPr="001667A2">
              <w:rPr>
                <w:rFonts w:eastAsia="Calibri"/>
                <w:sz w:val="20"/>
              </w:rPr>
              <w:t>June 26, 2008</w:t>
            </w:r>
          </w:p>
          <w:p w:rsidR="0010431F" w:rsidRPr="001667A2" w:rsidRDefault="0010431F" w:rsidP="0010431F">
            <w:pPr>
              <w:jc w:val="both"/>
              <w:rPr>
                <w:rFonts w:eastAsia="Calibri"/>
                <w:sz w:val="20"/>
              </w:rPr>
            </w:pPr>
            <w:r w:rsidRPr="001667A2">
              <w:rPr>
                <w:rFonts w:eastAsia="Calibri"/>
                <w:sz w:val="20"/>
              </w:rPr>
              <w:t>Ontario Court of Justice</w:t>
            </w:r>
          </w:p>
          <w:p w:rsidR="0010431F" w:rsidRPr="001667A2" w:rsidRDefault="0010431F" w:rsidP="0010431F">
            <w:pPr>
              <w:jc w:val="both"/>
              <w:rPr>
                <w:rFonts w:eastAsia="Calibri"/>
                <w:sz w:val="20"/>
              </w:rPr>
            </w:pPr>
            <w:r w:rsidRPr="001667A2">
              <w:rPr>
                <w:rFonts w:eastAsia="Calibri"/>
                <w:sz w:val="20"/>
              </w:rPr>
              <w:t>(Krelove J.)</w:t>
            </w:r>
          </w:p>
          <w:p w:rsidR="0010431F" w:rsidRPr="001667A2" w:rsidRDefault="0010431F" w:rsidP="0010431F">
            <w:pPr>
              <w:jc w:val="both"/>
              <w:rPr>
                <w:rFonts w:eastAsia="Calibri"/>
                <w:sz w:val="20"/>
              </w:rPr>
            </w:pPr>
          </w:p>
        </w:tc>
        <w:tc>
          <w:tcPr>
            <w:tcW w:w="243" w:type="pct"/>
          </w:tcPr>
          <w:p w:rsidR="0010431F" w:rsidRPr="001667A2" w:rsidRDefault="0010431F" w:rsidP="0010431F">
            <w:pPr>
              <w:jc w:val="both"/>
              <w:rPr>
                <w:rFonts w:eastAsia="Calibri"/>
                <w:sz w:val="20"/>
              </w:rPr>
            </w:pPr>
          </w:p>
        </w:tc>
        <w:tc>
          <w:tcPr>
            <w:tcW w:w="2330" w:type="pct"/>
          </w:tcPr>
          <w:p w:rsidR="0010431F" w:rsidRPr="001667A2" w:rsidRDefault="0010431F" w:rsidP="0010431F">
            <w:pPr>
              <w:jc w:val="both"/>
              <w:rPr>
                <w:rFonts w:eastAsia="Calibri"/>
                <w:sz w:val="20"/>
              </w:rPr>
            </w:pPr>
            <w:r w:rsidRPr="001667A2">
              <w:rPr>
                <w:rFonts w:eastAsia="Calibri"/>
                <w:sz w:val="20"/>
              </w:rPr>
              <w:t xml:space="preserve">Applicant convicted of impaired driving </w:t>
            </w:r>
          </w:p>
          <w:p w:rsidR="0010431F" w:rsidRPr="001667A2" w:rsidRDefault="0010431F" w:rsidP="0010431F">
            <w:pPr>
              <w:jc w:val="both"/>
              <w:rPr>
                <w:rFonts w:eastAsia="Calibri"/>
                <w:sz w:val="20"/>
              </w:rPr>
            </w:pPr>
          </w:p>
        </w:tc>
      </w:tr>
      <w:tr w:rsidR="0010431F" w:rsidRPr="001667A2" w:rsidTr="0010431F">
        <w:tc>
          <w:tcPr>
            <w:tcW w:w="2427" w:type="pct"/>
          </w:tcPr>
          <w:p w:rsidR="0010431F" w:rsidRPr="001667A2" w:rsidRDefault="0010431F" w:rsidP="0010431F">
            <w:pPr>
              <w:jc w:val="both"/>
              <w:rPr>
                <w:rFonts w:eastAsia="Calibri"/>
                <w:sz w:val="20"/>
              </w:rPr>
            </w:pPr>
            <w:r w:rsidRPr="001667A2">
              <w:rPr>
                <w:rFonts w:eastAsia="Calibri"/>
                <w:sz w:val="20"/>
              </w:rPr>
              <w:t>December 16, 2009</w:t>
            </w:r>
          </w:p>
          <w:p w:rsidR="0010431F" w:rsidRPr="001667A2" w:rsidRDefault="0010431F" w:rsidP="0010431F">
            <w:pPr>
              <w:jc w:val="both"/>
              <w:rPr>
                <w:rFonts w:eastAsia="Calibri"/>
                <w:sz w:val="20"/>
              </w:rPr>
            </w:pPr>
            <w:r w:rsidRPr="001667A2">
              <w:rPr>
                <w:rFonts w:eastAsia="Calibri"/>
                <w:sz w:val="20"/>
              </w:rPr>
              <w:t>Ontario Superior Court of Justice</w:t>
            </w:r>
          </w:p>
          <w:p w:rsidR="0010431F" w:rsidRPr="001667A2" w:rsidRDefault="0010431F" w:rsidP="0010431F">
            <w:pPr>
              <w:jc w:val="both"/>
              <w:rPr>
                <w:rFonts w:eastAsia="Calibri"/>
                <w:sz w:val="20"/>
              </w:rPr>
            </w:pPr>
            <w:r w:rsidRPr="001667A2">
              <w:rPr>
                <w:rFonts w:eastAsia="Calibri"/>
                <w:sz w:val="20"/>
              </w:rPr>
              <w:t>(Mulligan J.)</w:t>
            </w:r>
          </w:p>
          <w:p w:rsidR="0010431F" w:rsidRPr="001667A2" w:rsidRDefault="0010431F" w:rsidP="0010431F">
            <w:pPr>
              <w:jc w:val="both"/>
              <w:rPr>
                <w:rFonts w:eastAsia="Calibri"/>
                <w:sz w:val="20"/>
              </w:rPr>
            </w:pPr>
          </w:p>
        </w:tc>
        <w:tc>
          <w:tcPr>
            <w:tcW w:w="243" w:type="pct"/>
          </w:tcPr>
          <w:p w:rsidR="0010431F" w:rsidRPr="001667A2" w:rsidRDefault="0010431F" w:rsidP="0010431F">
            <w:pPr>
              <w:jc w:val="both"/>
              <w:rPr>
                <w:rFonts w:eastAsia="Calibri"/>
                <w:sz w:val="20"/>
              </w:rPr>
            </w:pPr>
          </w:p>
        </w:tc>
        <w:tc>
          <w:tcPr>
            <w:tcW w:w="2330" w:type="pct"/>
          </w:tcPr>
          <w:p w:rsidR="0010431F" w:rsidRPr="001667A2" w:rsidRDefault="0010431F" w:rsidP="0010431F">
            <w:pPr>
              <w:jc w:val="both"/>
              <w:rPr>
                <w:rFonts w:eastAsia="Calibri"/>
                <w:sz w:val="20"/>
              </w:rPr>
            </w:pPr>
            <w:r w:rsidRPr="001667A2">
              <w:rPr>
                <w:rFonts w:eastAsia="Calibri"/>
                <w:sz w:val="20"/>
              </w:rPr>
              <w:t>Appeal dismissed</w:t>
            </w:r>
          </w:p>
          <w:p w:rsidR="0010431F" w:rsidRPr="001667A2" w:rsidRDefault="0010431F" w:rsidP="0010431F">
            <w:pPr>
              <w:jc w:val="both"/>
              <w:rPr>
                <w:rFonts w:eastAsia="Calibri"/>
                <w:sz w:val="20"/>
              </w:rPr>
            </w:pPr>
          </w:p>
        </w:tc>
      </w:tr>
      <w:tr w:rsidR="0010431F" w:rsidRPr="001667A2" w:rsidTr="0010431F">
        <w:tc>
          <w:tcPr>
            <w:tcW w:w="2427" w:type="pct"/>
          </w:tcPr>
          <w:p w:rsidR="0010431F" w:rsidRPr="001667A2" w:rsidRDefault="0010431F" w:rsidP="0010431F">
            <w:pPr>
              <w:jc w:val="both"/>
              <w:rPr>
                <w:rFonts w:eastAsia="Calibri"/>
                <w:sz w:val="20"/>
              </w:rPr>
            </w:pPr>
            <w:r w:rsidRPr="001667A2">
              <w:rPr>
                <w:rFonts w:eastAsia="Calibri"/>
                <w:sz w:val="20"/>
              </w:rPr>
              <w:t>August 27, 2010</w:t>
            </w:r>
          </w:p>
          <w:p w:rsidR="0010431F" w:rsidRPr="001667A2" w:rsidRDefault="0010431F" w:rsidP="0010431F">
            <w:pPr>
              <w:jc w:val="both"/>
              <w:rPr>
                <w:rFonts w:eastAsia="Calibri"/>
                <w:sz w:val="20"/>
              </w:rPr>
            </w:pPr>
            <w:r w:rsidRPr="001667A2">
              <w:rPr>
                <w:rFonts w:eastAsia="Calibri"/>
                <w:sz w:val="20"/>
              </w:rPr>
              <w:t>Court of Appeal for Ontario</w:t>
            </w:r>
          </w:p>
          <w:p w:rsidR="0010431F" w:rsidRPr="001667A2" w:rsidRDefault="0010431F" w:rsidP="0010431F">
            <w:pPr>
              <w:jc w:val="both"/>
              <w:rPr>
                <w:rFonts w:eastAsia="Calibri"/>
                <w:sz w:val="20"/>
              </w:rPr>
            </w:pPr>
            <w:r w:rsidRPr="001667A2">
              <w:rPr>
                <w:rFonts w:eastAsia="Calibri"/>
                <w:sz w:val="20"/>
              </w:rPr>
              <w:t>(Simmons J.A.)</w:t>
            </w:r>
          </w:p>
          <w:p w:rsidR="0010431F" w:rsidRPr="001667A2" w:rsidRDefault="0010431F" w:rsidP="0010431F">
            <w:pPr>
              <w:jc w:val="both"/>
              <w:rPr>
                <w:rFonts w:eastAsia="Calibri"/>
                <w:sz w:val="20"/>
              </w:rPr>
            </w:pPr>
          </w:p>
        </w:tc>
        <w:tc>
          <w:tcPr>
            <w:tcW w:w="243" w:type="pct"/>
          </w:tcPr>
          <w:p w:rsidR="0010431F" w:rsidRPr="001667A2" w:rsidRDefault="0010431F" w:rsidP="0010431F">
            <w:pPr>
              <w:jc w:val="both"/>
              <w:rPr>
                <w:rFonts w:eastAsia="Calibri"/>
                <w:sz w:val="20"/>
              </w:rPr>
            </w:pPr>
          </w:p>
        </w:tc>
        <w:tc>
          <w:tcPr>
            <w:tcW w:w="2330" w:type="pct"/>
          </w:tcPr>
          <w:p w:rsidR="0010431F" w:rsidRPr="001667A2" w:rsidRDefault="0010431F" w:rsidP="0010431F">
            <w:pPr>
              <w:jc w:val="both"/>
              <w:rPr>
                <w:rFonts w:eastAsia="Calibri"/>
                <w:sz w:val="20"/>
              </w:rPr>
            </w:pPr>
            <w:r w:rsidRPr="001667A2">
              <w:rPr>
                <w:rFonts w:eastAsia="Calibri"/>
                <w:sz w:val="20"/>
              </w:rPr>
              <w:t>Application for leave to appeal dismissed</w:t>
            </w:r>
          </w:p>
          <w:p w:rsidR="0010431F" w:rsidRPr="001667A2" w:rsidRDefault="0010431F" w:rsidP="0010431F">
            <w:pPr>
              <w:jc w:val="both"/>
              <w:rPr>
                <w:rFonts w:eastAsia="Calibri"/>
                <w:sz w:val="20"/>
              </w:rPr>
            </w:pPr>
          </w:p>
        </w:tc>
      </w:tr>
      <w:tr w:rsidR="0010431F" w:rsidRPr="001667A2" w:rsidTr="0010431F">
        <w:tc>
          <w:tcPr>
            <w:tcW w:w="2427" w:type="pct"/>
          </w:tcPr>
          <w:p w:rsidR="0010431F" w:rsidRPr="001667A2" w:rsidRDefault="0010431F" w:rsidP="0010431F">
            <w:pPr>
              <w:jc w:val="both"/>
              <w:rPr>
                <w:rFonts w:eastAsia="Calibri"/>
                <w:sz w:val="20"/>
              </w:rPr>
            </w:pPr>
            <w:r w:rsidRPr="001667A2">
              <w:rPr>
                <w:rFonts w:eastAsia="Calibri"/>
                <w:sz w:val="20"/>
              </w:rPr>
              <w:t>November 15, 2010</w:t>
            </w:r>
          </w:p>
          <w:p w:rsidR="0010431F" w:rsidRPr="001667A2" w:rsidRDefault="0010431F" w:rsidP="0010431F">
            <w:pPr>
              <w:jc w:val="both"/>
              <w:rPr>
                <w:rFonts w:eastAsia="Calibri"/>
                <w:sz w:val="20"/>
              </w:rPr>
            </w:pPr>
            <w:r w:rsidRPr="001667A2">
              <w:rPr>
                <w:rFonts w:eastAsia="Calibri"/>
                <w:sz w:val="20"/>
              </w:rPr>
              <w:t>Supreme Court of Canada</w:t>
            </w:r>
          </w:p>
          <w:p w:rsidR="0010431F" w:rsidRPr="001667A2" w:rsidRDefault="0010431F" w:rsidP="0010431F">
            <w:pPr>
              <w:jc w:val="both"/>
              <w:rPr>
                <w:rFonts w:eastAsia="Calibri"/>
                <w:sz w:val="20"/>
              </w:rPr>
            </w:pPr>
          </w:p>
        </w:tc>
        <w:tc>
          <w:tcPr>
            <w:tcW w:w="243" w:type="pct"/>
          </w:tcPr>
          <w:p w:rsidR="0010431F" w:rsidRPr="001667A2" w:rsidRDefault="0010431F" w:rsidP="0010431F">
            <w:pPr>
              <w:jc w:val="both"/>
              <w:rPr>
                <w:rFonts w:eastAsia="Calibri"/>
                <w:sz w:val="20"/>
              </w:rPr>
            </w:pPr>
          </w:p>
        </w:tc>
        <w:tc>
          <w:tcPr>
            <w:tcW w:w="2330" w:type="pct"/>
          </w:tcPr>
          <w:p w:rsidR="0010431F" w:rsidRPr="001667A2" w:rsidRDefault="0010431F" w:rsidP="0010431F">
            <w:pPr>
              <w:jc w:val="both"/>
              <w:rPr>
                <w:rFonts w:eastAsia="Calibri"/>
                <w:sz w:val="20"/>
              </w:rPr>
            </w:pPr>
            <w:r w:rsidRPr="001667A2">
              <w:rPr>
                <w:rFonts w:eastAsia="Calibri"/>
                <w:sz w:val="20"/>
              </w:rPr>
              <w:t>Motion for extension of time to serve and file application for leave to appeal; Motion for stay of driving prohibition; Motion for representation by counsel; Motion to adduce fresh evidence; Application for leave to appeal filed</w:t>
            </w:r>
          </w:p>
          <w:p w:rsidR="0010431F" w:rsidRPr="001667A2" w:rsidRDefault="0010431F" w:rsidP="0010431F">
            <w:pPr>
              <w:jc w:val="both"/>
              <w:rPr>
                <w:rFonts w:eastAsia="Calibri"/>
                <w:sz w:val="20"/>
              </w:rPr>
            </w:pPr>
          </w:p>
        </w:tc>
      </w:tr>
      <w:tr w:rsidR="0010431F" w:rsidRPr="001667A2" w:rsidTr="0010431F">
        <w:tc>
          <w:tcPr>
            <w:tcW w:w="2427" w:type="pct"/>
          </w:tcPr>
          <w:p w:rsidR="0010431F" w:rsidRPr="001667A2" w:rsidRDefault="0010431F" w:rsidP="0010431F">
            <w:pPr>
              <w:jc w:val="both"/>
              <w:rPr>
                <w:rFonts w:eastAsia="Calibri"/>
                <w:sz w:val="20"/>
              </w:rPr>
            </w:pPr>
            <w:r w:rsidRPr="001667A2">
              <w:rPr>
                <w:rFonts w:eastAsia="Calibri"/>
                <w:sz w:val="20"/>
              </w:rPr>
              <w:t>December 7, 2010</w:t>
            </w:r>
          </w:p>
          <w:p w:rsidR="0010431F" w:rsidRPr="001667A2" w:rsidRDefault="0010431F" w:rsidP="0010431F">
            <w:pPr>
              <w:jc w:val="both"/>
              <w:rPr>
                <w:rFonts w:eastAsia="Calibri"/>
                <w:sz w:val="20"/>
              </w:rPr>
            </w:pPr>
            <w:r w:rsidRPr="001667A2">
              <w:rPr>
                <w:rFonts w:eastAsia="Calibri"/>
                <w:sz w:val="20"/>
              </w:rPr>
              <w:t>Supreme Court of Canada</w:t>
            </w:r>
          </w:p>
        </w:tc>
        <w:tc>
          <w:tcPr>
            <w:tcW w:w="243" w:type="pct"/>
          </w:tcPr>
          <w:p w:rsidR="0010431F" w:rsidRPr="001667A2" w:rsidRDefault="0010431F" w:rsidP="0010431F">
            <w:pPr>
              <w:jc w:val="both"/>
              <w:rPr>
                <w:rFonts w:eastAsia="Calibri"/>
                <w:sz w:val="20"/>
              </w:rPr>
            </w:pPr>
          </w:p>
        </w:tc>
        <w:tc>
          <w:tcPr>
            <w:tcW w:w="2330" w:type="pct"/>
          </w:tcPr>
          <w:p w:rsidR="0010431F" w:rsidRPr="001667A2" w:rsidRDefault="0010431F" w:rsidP="0010431F">
            <w:pPr>
              <w:jc w:val="both"/>
              <w:rPr>
                <w:rFonts w:eastAsia="Calibri"/>
                <w:sz w:val="20"/>
              </w:rPr>
            </w:pPr>
            <w:r w:rsidRPr="001667A2">
              <w:rPr>
                <w:rFonts w:eastAsia="Calibri"/>
                <w:sz w:val="20"/>
              </w:rPr>
              <w:t>Motion for sealing order filed</w:t>
            </w:r>
          </w:p>
          <w:p w:rsidR="0010431F" w:rsidRPr="001667A2" w:rsidRDefault="0010431F" w:rsidP="0010431F">
            <w:pPr>
              <w:jc w:val="both"/>
              <w:rPr>
                <w:rFonts w:eastAsia="Calibri"/>
                <w:sz w:val="20"/>
              </w:rPr>
            </w:pPr>
          </w:p>
        </w:tc>
      </w:tr>
    </w:tbl>
    <w:p w:rsidR="00AF63D3" w:rsidRPr="00BA161A" w:rsidRDefault="00AF63D3" w:rsidP="00AF63D3">
      <w:pPr>
        <w:rPr>
          <w:sz w:val="20"/>
          <w:szCs w:val="20"/>
        </w:rPr>
      </w:pPr>
    </w:p>
    <w:p w:rsidR="00AF63D3" w:rsidRDefault="003E529C" w:rsidP="00AF63D3">
      <w:pPr>
        <w:rPr>
          <w:sz w:val="20"/>
          <w:szCs w:val="20"/>
          <w:lang w:val="fr-CA"/>
        </w:rPr>
      </w:pPr>
      <w:r w:rsidRPr="003E529C">
        <w:rPr>
          <w:sz w:val="20"/>
          <w:szCs w:val="20"/>
          <w:lang w:val="fr-CA"/>
        </w:rPr>
        <w:pict>
          <v:rect id="_x0000_i1061" style="width:2in;height:1pt" o:hrpct="0" o:hralign="center" o:hrstd="t" o:hrnoshade="t" o:hr="t" fillcolor="black [3213]" stroked="f"/>
        </w:pict>
      </w:r>
    </w:p>
    <w:p w:rsidR="00472ED4" w:rsidRDefault="00472ED4">
      <w:pPr>
        <w:rPr>
          <w:sz w:val="20"/>
          <w:szCs w:val="20"/>
        </w:rPr>
      </w:pPr>
      <w:r>
        <w:rPr>
          <w:sz w:val="20"/>
          <w:szCs w:val="20"/>
        </w:rPr>
        <w:br w:type="page"/>
      </w:r>
    </w:p>
    <w:p w:rsidR="00AF63D3" w:rsidRPr="00BA161A" w:rsidRDefault="00AF63D3" w:rsidP="00AF63D3">
      <w:pPr>
        <w:rPr>
          <w:sz w:val="20"/>
          <w:szCs w:val="20"/>
        </w:rPr>
      </w:pPr>
      <w:r>
        <w:rPr>
          <w:sz w:val="20"/>
          <w:szCs w:val="20"/>
          <w:u w:val="single"/>
        </w:rPr>
        <w:lastRenderedPageBreak/>
        <w:t>RÉSUMÉ DE L’AFFAIRE</w:t>
      </w:r>
    </w:p>
    <w:p w:rsidR="00AF63D3" w:rsidRPr="00BA161A" w:rsidRDefault="00AF63D3" w:rsidP="00AF63D3">
      <w:pPr>
        <w:rPr>
          <w:sz w:val="20"/>
          <w:szCs w:val="20"/>
        </w:rPr>
      </w:pPr>
    </w:p>
    <w:tbl>
      <w:tblPr>
        <w:tblW w:w="4952" w:type="pct"/>
        <w:tblLayout w:type="fixed"/>
        <w:tblCellMar>
          <w:left w:w="0" w:type="dxa"/>
          <w:bottom w:w="99" w:type="dxa"/>
          <w:right w:w="0" w:type="dxa"/>
        </w:tblCellMar>
        <w:tblLook w:val="04A0"/>
      </w:tblPr>
      <w:tblGrid>
        <w:gridCol w:w="4625"/>
        <w:gridCol w:w="476"/>
        <w:gridCol w:w="4426"/>
      </w:tblGrid>
      <w:tr w:rsidR="0010431F" w:rsidRPr="009122D4" w:rsidTr="0010431F">
        <w:tc>
          <w:tcPr>
            <w:tcW w:w="5000" w:type="pct"/>
            <w:gridSpan w:val="3"/>
          </w:tcPr>
          <w:p w:rsidR="0010431F" w:rsidRPr="001667A2" w:rsidRDefault="0010431F" w:rsidP="0010431F">
            <w:pPr>
              <w:jc w:val="both"/>
              <w:rPr>
                <w:rFonts w:eastAsia="Calibri"/>
                <w:sz w:val="20"/>
                <w:lang w:val="fr-CA"/>
              </w:rPr>
            </w:pPr>
            <w:r w:rsidRPr="001667A2">
              <w:rPr>
                <w:rFonts w:eastAsia="Calibri"/>
                <w:sz w:val="20"/>
                <w:lang w:val="fr-CA"/>
              </w:rPr>
              <w:t>Charte des droits – Droit criminel – Conduite avec facultés affaiblies – Mauvaise représentation par l’avocat – Le juge d’appel des poursuites sommaires a-t-il commis une erreur en droit en concluant que la demanderesse avait été bien représentée par son avocat au procès compte tenu que le juge de première instance ne s’était adressé directement à elle en vue d’établir si la concession faite par son avocat concernant la preuve de la Couronne était fondée sur ses directives éclairées?– Le savant juge de la Cour supérieure a-t-il commis une erreur en droit en concluant que le juge de première instance n’était pas tenu de s’adresser à la demanderesse car il avait entendu les témoignages de deux témoins? – Le savant juge de la Cour d’appel a-t-il commis une erreur en droit en ne concluant pas que la décision de l’avocat de la demanderesse d’informer la cour que la Couronne avait réussi à établir sa thèse n’équivalait pas à un plaidoyer de culpabilité? – Y-a-t-il eu erreur judiciaire en raison d’une mauvaise représentation de la part de l’avocat au motif que la demanderesse n’a pas eu l’occasion de plaider son innocence au procès.</w:t>
            </w:r>
          </w:p>
          <w:p w:rsidR="0010431F" w:rsidRPr="001667A2" w:rsidRDefault="0010431F" w:rsidP="0010431F">
            <w:pPr>
              <w:jc w:val="both"/>
              <w:rPr>
                <w:rFonts w:eastAsia="Calibri"/>
                <w:sz w:val="20"/>
                <w:lang w:val="fr-CA"/>
              </w:rPr>
            </w:pPr>
          </w:p>
        </w:tc>
      </w:tr>
      <w:tr w:rsidR="0010431F" w:rsidRPr="001667A2" w:rsidTr="0010431F">
        <w:tc>
          <w:tcPr>
            <w:tcW w:w="5000" w:type="pct"/>
            <w:gridSpan w:val="3"/>
          </w:tcPr>
          <w:p w:rsidR="0010431F" w:rsidRPr="001667A2" w:rsidRDefault="0010431F" w:rsidP="0010431F">
            <w:pPr>
              <w:jc w:val="both"/>
              <w:rPr>
                <w:rFonts w:eastAsia="Calibri"/>
                <w:sz w:val="20"/>
                <w:lang w:val="fr-CA"/>
              </w:rPr>
            </w:pPr>
            <w:r w:rsidRPr="001667A2">
              <w:rPr>
                <w:rFonts w:eastAsia="Calibri"/>
                <w:sz w:val="20"/>
                <w:lang w:val="fr-CA"/>
              </w:rPr>
              <w:t>Mme McDonald a été accusée et déclarée coupable de conduite avec facultés affaiblies, et ce, en contravention de l’alinéa 253</w:t>
            </w:r>
            <w:r w:rsidRPr="001667A2">
              <w:rPr>
                <w:rFonts w:eastAsia="Calibri"/>
                <w:i/>
                <w:sz w:val="20"/>
                <w:lang w:val="fr-CA"/>
              </w:rPr>
              <w:t>a</w:t>
            </w:r>
            <w:r w:rsidRPr="001667A2">
              <w:rPr>
                <w:rFonts w:eastAsia="Calibri"/>
                <w:sz w:val="20"/>
                <w:lang w:val="fr-CA"/>
              </w:rPr>
              <w:t xml:space="preserve">) du </w:t>
            </w:r>
            <w:r w:rsidRPr="001667A2">
              <w:rPr>
                <w:rFonts w:eastAsia="Calibri"/>
                <w:i/>
                <w:sz w:val="20"/>
                <w:lang w:val="fr-CA"/>
              </w:rPr>
              <w:t>Code Criminel</w:t>
            </w:r>
            <w:r w:rsidRPr="001667A2">
              <w:rPr>
                <w:rFonts w:eastAsia="Calibri"/>
                <w:sz w:val="20"/>
                <w:lang w:val="fr-CA"/>
              </w:rPr>
              <w:t>.  Au procès, son avocat a informé la cour, après avoir entendu les témoignages de deux témoins, qu’il était convaincu qu’il y avait suffisamment d’éléments de preuve pour permettre à la cour de déclarer Mme McDonald coupable de l’infraction de conduite avec facultés affaiblies.  Le juge des poursuites sommaires en est alors arrivé à un verdict de culpabilité et il procéder à l’imposition de la peine.  En appel, Mme McDonald a prétendu que le juge de première instance a commis une erreur en ne lui demandant pas si elle voulait présenter un plaidoyer avant d’inscrire une déclaration de culpabilité et elle a prétendu qu’elle a été mal représentée par son avocat.  Son appel à la Cour supérieure de justice a été rejeté.  Mme McDonald a alors demandé à la Cour d’appel l’autorisation d’appeler et lui a demandé de sursoir à l’interdiction de conduire. Ces deux demandes ont été rejetées.</w:t>
            </w:r>
          </w:p>
          <w:p w:rsidR="0010431F" w:rsidRPr="001667A2" w:rsidRDefault="0010431F" w:rsidP="0010431F">
            <w:pPr>
              <w:jc w:val="both"/>
              <w:rPr>
                <w:rFonts w:eastAsia="Calibri"/>
                <w:sz w:val="20"/>
                <w:lang w:val="fr-CA"/>
              </w:rPr>
            </w:pPr>
            <w:r w:rsidRPr="001667A2">
              <w:rPr>
                <w:rFonts w:eastAsia="Calibri"/>
                <w:sz w:val="20"/>
                <w:lang w:val="fr-CA"/>
              </w:rPr>
              <w:t xml:space="preserve"> </w:t>
            </w:r>
          </w:p>
        </w:tc>
      </w:tr>
      <w:tr w:rsidR="0010431F" w:rsidRPr="009122D4" w:rsidTr="0010431F">
        <w:tc>
          <w:tcPr>
            <w:tcW w:w="2427" w:type="pct"/>
          </w:tcPr>
          <w:p w:rsidR="0010431F" w:rsidRPr="001667A2" w:rsidRDefault="0010431F" w:rsidP="0010431F">
            <w:pPr>
              <w:jc w:val="both"/>
              <w:rPr>
                <w:rFonts w:eastAsia="Calibri"/>
                <w:sz w:val="20"/>
                <w:lang w:val="fr-CA"/>
              </w:rPr>
            </w:pPr>
            <w:r w:rsidRPr="001667A2">
              <w:rPr>
                <w:rFonts w:eastAsia="Calibri"/>
                <w:sz w:val="20"/>
                <w:lang w:val="fr-CA"/>
              </w:rPr>
              <w:t>26 juin 2008</w:t>
            </w:r>
          </w:p>
          <w:p w:rsidR="0010431F" w:rsidRPr="001667A2" w:rsidRDefault="0010431F" w:rsidP="0010431F">
            <w:pPr>
              <w:jc w:val="both"/>
              <w:rPr>
                <w:rFonts w:eastAsia="Calibri"/>
                <w:sz w:val="20"/>
                <w:lang w:val="fr-CA"/>
              </w:rPr>
            </w:pPr>
            <w:r w:rsidRPr="001667A2">
              <w:rPr>
                <w:rFonts w:eastAsia="Calibri"/>
                <w:sz w:val="20"/>
                <w:lang w:val="fr-CA"/>
              </w:rPr>
              <w:t>Cour de justice de l’Ontario</w:t>
            </w:r>
          </w:p>
          <w:p w:rsidR="0010431F" w:rsidRPr="001667A2" w:rsidRDefault="0010431F" w:rsidP="0010431F">
            <w:pPr>
              <w:jc w:val="both"/>
              <w:rPr>
                <w:rFonts w:eastAsia="Calibri"/>
                <w:sz w:val="20"/>
                <w:lang w:val="fr-CA"/>
              </w:rPr>
            </w:pPr>
            <w:r w:rsidRPr="001667A2">
              <w:rPr>
                <w:rFonts w:eastAsia="Calibri"/>
                <w:sz w:val="20"/>
                <w:lang w:val="fr-CA"/>
              </w:rPr>
              <w:t>(juge Krelove)</w:t>
            </w:r>
          </w:p>
          <w:p w:rsidR="0010431F" w:rsidRPr="001667A2" w:rsidRDefault="0010431F" w:rsidP="0010431F">
            <w:pPr>
              <w:jc w:val="both"/>
              <w:rPr>
                <w:rFonts w:eastAsia="Calibri"/>
                <w:sz w:val="20"/>
                <w:lang w:val="fr-CA"/>
              </w:rPr>
            </w:pPr>
          </w:p>
        </w:tc>
        <w:tc>
          <w:tcPr>
            <w:tcW w:w="250" w:type="pct"/>
          </w:tcPr>
          <w:p w:rsidR="0010431F" w:rsidRPr="001667A2" w:rsidRDefault="0010431F" w:rsidP="0010431F">
            <w:pPr>
              <w:jc w:val="both"/>
              <w:rPr>
                <w:rFonts w:eastAsia="Calibri"/>
                <w:sz w:val="20"/>
                <w:lang w:val="fr-CA"/>
              </w:rPr>
            </w:pPr>
          </w:p>
        </w:tc>
        <w:tc>
          <w:tcPr>
            <w:tcW w:w="2323" w:type="pct"/>
          </w:tcPr>
          <w:p w:rsidR="0010431F" w:rsidRPr="001667A2" w:rsidRDefault="0010431F" w:rsidP="0010431F">
            <w:pPr>
              <w:jc w:val="both"/>
              <w:rPr>
                <w:rFonts w:eastAsia="Calibri"/>
                <w:sz w:val="20"/>
                <w:lang w:val="fr-CA"/>
              </w:rPr>
            </w:pPr>
            <w:r w:rsidRPr="001667A2">
              <w:rPr>
                <w:rFonts w:eastAsia="Calibri"/>
                <w:sz w:val="20"/>
                <w:lang w:val="fr-CA"/>
              </w:rPr>
              <w:t xml:space="preserve">La demanderesse a été déclarée coupable de conduite avec facultés affaiblies </w:t>
            </w:r>
          </w:p>
          <w:p w:rsidR="0010431F" w:rsidRPr="001667A2" w:rsidRDefault="0010431F" w:rsidP="0010431F">
            <w:pPr>
              <w:jc w:val="both"/>
              <w:rPr>
                <w:rFonts w:eastAsia="Calibri"/>
                <w:sz w:val="20"/>
                <w:lang w:val="fr-CA"/>
              </w:rPr>
            </w:pPr>
          </w:p>
        </w:tc>
      </w:tr>
      <w:tr w:rsidR="0010431F" w:rsidRPr="001667A2" w:rsidTr="0010431F">
        <w:tc>
          <w:tcPr>
            <w:tcW w:w="2427" w:type="pct"/>
          </w:tcPr>
          <w:p w:rsidR="0010431F" w:rsidRPr="001667A2" w:rsidRDefault="0010431F" w:rsidP="0010431F">
            <w:pPr>
              <w:jc w:val="both"/>
              <w:rPr>
                <w:rFonts w:eastAsia="Calibri"/>
                <w:sz w:val="20"/>
                <w:lang w:val="fr-CA"/>
              </w:rPr>
            </w:pPr>
            <w:r w:rsidRPr="001667A2">
              <w:rPr>
                <w:rFonts w:eastAsia="Calibri"/>
                <w:sz w:val="20"/>
                <w:lang w:val="fr-CA"/>
              </w:rPr>
              <w:t>16 décembre 2009</w:t>
            </w:r>
          </w:p>
          <w:p w:rsidR="0010431F" w:rsidRPr="001667A2" w:rsidRDefault="0010431F" w:rsidP="0010431F">
            <w:pPr>
              <w:jc w:val="both"/>
              <w:rPr>
                <w:rFonts w:eastAsia="Calibri"/>
                <w:sz w:val="20"/>
                <w:lang w:val="fr-CA"/>
              </w:rPr>
            </w:pPr>
            <w:r w:rsidRPr="001667A2">
              <w:rPr>
                <w:rFonts w:eastAsia="Calibri"/>
                <w:sz w:val="20"/>
                <w:lang w:val="fr-CA"/>
              </w:rPr>
              <w:t>Cour supérieure de justice de l’Ontario</w:t>
            </w:r>
          </w:p>
          <w:p w:rsidR="0010431F" w:rsidRPr="001667A2" w:rsidRDefault="0010431F" w:rsidP="0010431F">
            <w:pPr>
              <w:jc w:val="both"/>
              <w:rPr>
                <w:rFonts w:eastAsia="Calibri"/>
                <w:sz w:val="20"/>
                <w:lang w:val="fr-CA"/>
              </w:rPr>
            </w:pPr>
            <w:r w:rsidRPr="001667A2">
              <w:rPr>
                <w:rFonts w:eastAsia="Calibri"/>
                <w:sz w:val="20"/>
                <w:lang w:val="fr-CA"/>
              </w:rPr>
              <w:t>(juge Mulligan)</w:t>
            </w:r>
          </w:p>
          <w:p w:rsidR="0010431F" w:rsidRPr="001667A2" w:rsidRDefault="0010431F" w:rsidP="0010431F">
            <w:pPr>
              <w:jc w:val="both"/>
              <w:rPr>
                <w:rFonts w:eastAsia="Calibri"/>
                <w:sz w:val="20"/>
                <w:lang w:val="fr-CA"/>
              </w:rPr>
            </w:pPr>
          </w:p>
        </w:tc>
        <w:tc>
          <w:tcPr>
            <w:tcW w:w="250" w:type="pct"/>
          </w:tcPr>
          <w:p w:rsidR="0010431F" w:rsidRPr="001667A2" w:rsidRDefault="0010431F" w:rsidP="0010431F">
            <w:pPr>
              <w:jc w:val="both"/>
              <w:rPr>
                <w:rFonts w:eastAsia="Calibri"/>
                <w:sz w:val="20"/>
                <w:lang w:val="fr-CA"/>
              </w:rPr>
            </w:pPr>
          </w:p>
        </w:tc>
        <w:tc>
          <w:tcPr>
            <w:tcW w:w="2323" w:type="pct"/>
          </w:tcPr>
          <w:p w:rsidR="0010431F" w:rsidRPr="001667A2" w:rsidRDefault="0010431F" w:rsidP="0010431F">
            <w:pPr>
              <w:jc w:val="both"/>
              <w:rPr>
                <w:rFonts w:eastAsia="Calibri"/>
                <w:sz w:val="20"/>
                <w:lang w:val="fr-CA"/>
              </w:rPr>
            </w:pPr>
            <w:r w:rsidRPr="001667A2">
              <w:rPr>
                <w:rFonts w:eastAsia="Calibri"/>
                <w:sz w:val="20"/>
                <w:lang w:val="fr-CA"/>
              </w:rPr>
              <w:t>Appel rejeté</w:t>
            </w:r>
          </w:p>
          <w:p w:rsidR="0010431F" w:rsidRPr="001667A2" w:rsidRDefault="0010431F" w:rsidP="0010431F">
            <w:pPr>
              <w:jc w:val="both"/>
              <w:rPr>
                <w:rFonts w:eastAsia="Calibri"/>
                <w:sz w:val="20"/>
                <w:lang w:val="fr-CA"/>
              </w:rPr>
            </w:pPr>
          </w:p>
        </w:tc>
      </w:tr>
      <w:tr w:rsidR="0010431F" w:rsidRPr="001667A2" w:rsidTr="0010431F">
        <w:tc>
          <w:tcPr>
            <w:tcW w:w="2427" w:type="pct"/>
          </w:tcPr>
          <w:p w:rsidR="0010431F" w:rsidRPr="001667A2" w:rsidRDefault="0010431F" w:rsidP="0010431F">
            <w:pPr>
              <w:jc w:val="both"/>
              <w:rPr>
                <w:rFonts w:eastAsia="Calibri"/>
                <w:sz w:val="20"/>
                <w:lang w:val="fr-CA"/>
              </w:rPr>
            </w:pPr>
            <w:r w:rsidRPr="001667A2">
              <w:rPr>
                <w:rFonts w:eastAsia="Calibri"/>
                <w:sz w:val="20"/>
                <w:lang w:val="fr-CA"/>
              </w:rPr>
              <w:t>27 août 2010</w:t>
            </w:r>
          </w:p>
          <w:p w:rsidR="0010431F" w:rsidRPr="001667A2" w:rsidRDefault="0010431F" w:rsidP="0010431F">
            <w:pPr>
              <w:jc w:val="both"/>
              <w:rPr>
                <w:rFonts w:eastAsia="Calibri"/>
                <w:sz w:val="20"/>
                <w:lang w:val="fr-CA"/>
              </w:rPr>
            </w:pPr>
            <w:r w:rsidRPr="001667A2">
              <w:rPr>
                <w:rFonts w:eastAsia="Calibri"/>
                <w:sz w:val="20"/>
                <w:lang w:val="fr-CA"/>
              </w:rPr>
              <w:t>Cour d’appel de l’Ontario</w:t>
            </w:r>
          </w:p>
          <w:p w:rsidR="0010431F" w:rsidRPr="001667A2" w:rsidRDefault="0010431F" w:rsidP="0010431F">
            <w:pPr>
              <w:jc w:val="both"/>
              <w:rPr>
                <w:rFonts w:eastAsia="Calibri"/>
                <w:sz w:val="20"/>
                <w:lang w:val="fr-CA"/>
              </w:rPr>
            </w:pPr>
            <w:r w:rsidRPr="001667A2">
              <w:rPr>
                <w:rFonts w:eastAsia="Calibri"/>
                <w:sz w:val="20"/>
                <w:lang w:val="fr-CA"/>
              </w:rPr>
              <w:t>(juge Simmons)</w:t>
            </w:r>
          </w:p>
          <w:p w:rsidR="0010431F" w:rsidRPr="001667A2" w:rsidRDefault="0010431F" w:rsidP="0010431F">
            <w:pPr>
              <w:jc w:val="both"/>
              <w:rPr>
                <w:rFonts w:eastAsia="Calibri"/>
                <w:sz w:val="20"/>
                <w:lang w:val="fr-CA"/>
              </w:rPr>
            </w:pPr>
          </w:p>
        </w:tc>
        <w:tc>
          <w:tcPr>
            <w:tcW w:w="250" w:type="pct"/>
          </w:tcPr>
          <w:p w:rsidR="0010431F" w:rsidRPr="001667A2" w:rsidRDefault="0010431F" w:rsidP="0010431F">
            <w:pPr>
              <w:jc w:val="both"/>
              <w:rPr>
                <w:rFonts w:eastAsia="Calibri"/>
                <w:sz w:val="20"/>
                <w:lang w:val="fr-CA"/>
              </w:rPr>
            </w:pPr>
          </w:p>
        </w:tc>
        <w:tc>
          <w:tcPr>
            <w:tcW w:w="2323" w:type="pct"/>
          </w:tcPr>
          <w:p w:rsidR="0010431F" w:rsidRPr="001667A2" w:rsidRDefault="0010431F" w:rsidP="0010431F">
            <w:pPr>
              <w:jc w:val="both"/>
              <w:rPr>
                <w:rFonts w:eastAsia="Calibri"/>
                <w:sz w:val="20"/>
                <w:lang w:val="fr-CA"/>
              </w:rPr>
            </w:pPr>
            <w:r w:rsidRPr="001667A2">
              <w:rPr>
                <w:rFonts w:eastAsia="Calibri"/>
                <w:sz w:val="20"/>
                <w:lang w:val="fr-CA"/>
              </w:rPr>
              <w:t>Demande d’autorisation d’appel rejeté</w:t>
            </w:r>
          </w:p>
          <w:p w:rsidR="0010431F" w:rsidRPr="001667A2" w:rsidRDefault="0010431F" w:rsidP="0010431F">
            <w:pPr>
              <w:jc w:val="both"/>
              <w:rPr>
                <w:rFonts w:eastAsia="Calibri"/>
                <w:sz w:val="20"/>
                <w:lang w:val="fr-CA"/>
              </w:rPr>
            </w:pPr>
          </w:p>
        </w:tc>
      </w:tr>
      <w:tr w:rsidR="0010431F" w:rsidRPr="009122D4" w:rsidTr="0010431F">
        <w:tc>
          <w:tcPr>
            <w:tcW w:w="2427" w:type="pct"/>
          </w:tcPr>
          <w:p w:rsidR="0010431F" w:rsidRPr="001667A2" w:rsidRDefault="0010431F" w:rsidP="0010431F">
            <w:pPr>
              <w:jc w:val="both"/>
              <w:rPr>
                <w:rFonts w:eastAsia="Calibri"/>
                <w:sz w:val="20"/>
                <w:lang w:val="fr-CA"/>
              </w:rPr>
            </w:pPr>
            <w:r w:rsidRPr="001667A2">
              <w:rPr>
                <w:rFonts w:eastAsia="Calibri"/>
                <w:sz w:val="20"/>
                <w:lang w:val="fr-CA"/>
              </w:rPr>
              <w:t>15 novembre 2010</w:t>
            </w:r>
          </w:p>
          <w:p w:rsidR="0010431F" w:rsidRPr="001667A2" w:rsidRDefault="0010431F" w:rsidP="0010431F">
            <w:pPr>
              <w:jc w:val="both"/>
              <w:rPr>
                <w:rFonts w:eastAsia="Calibri"/>
                <w:sz w:val="20"/>
                <w:lang w:val="fr-CA"/>
              </w:rPr>
            </w:pPr>
            <w:r w:rsidRPr="001667A2">
              <w:rPr>
                <w:rFonts w:eastAsia="Calibri"/>
                <w:sz w:val="20"/>
                <w:lang w:val="fr-CA"/>
              </w:rPr>
              <w:t>Cour suprême du Canada</w:t>
            </w:r>
          </w:p>
          <w:p w:rsidR="0010431F" w:rsidRPr="001667A2" w:rsidRDefault="0010431F" w:rsidP="0010431F">
            <w:pPr>
              <w:jc w:val="both"/>
              <w:rPr>
                <w:rFonts w:eastAsia="Calibri"/>
                <w:sz w:val="20"/>
                <w:lang w:val="fr-CA"/>
              </w:rPr>
            </w:pPr>
          </w:p>
        </w:tc>
        <w:tc>
          <w:tcPr>
            <w:tcW w:w="250" w:type="pct"/>
          </w:tcPr>
          <w:p w:rsidR="0010431F" w:rsidRPr="001667A2" w:rsidRDefault="0010431F" w:rsidP="0010431F">
            <w:pPr>
              <w:jc w:val="both"/>
              <w:rPr>
                <w:rFonts w:eastAsia="Calibri"/>
                <w:sz w:val="20"/>
                <w:lang w:val="fr-CA"/>
              </w:rPr>
            </w:pPr>
          </w:p>
        </w:tc>
        <w:tc>
          <w:tcPr>
            <w:tcW w:w="2323" w:type="pct"/>
          </w:tcPr>
          <w:p w:rsidR="0010431F" w:rsidRPr="001667A2" w:rsidRDefault="0010431F" w:rsidP="0010431F">
            <w:pPr>
              <w:jc w:val="both"/>
              <w:rPr>
                <w:rFonts w:eastAsia="Calibri"/>
                <w:sz w:val="20"/>
                <w:lang w:val="fr-CA"/>
              </w:rPr>
            </w:pPr>
            <w:r w:rsidRPr="001667A2">
              <w:rPr>
                <w:rFonts w:eastAsia="Calibri"/>
                <w:sz w:val="20"/>
                <w:lang w:val="fr-CA"/>
              </w:rPr>
              <w:t>Requête visant à obtenir une prorogation du délai de signification et de dépôt de la demande d’autorisation d’appel; requête en sursis de l’interdiction de conduire; requête en représentation par l’avocat; requête en production de preuves nouvelles; demande d’autorisation d’appel déposée</w:t>
            </w:r>
          </w:p>
          <w:p w:rsidR="0010431F" w:rsidRPr="001667A2" w:rsidRDefault="0010431F" w:rsidP="0010431F">
            <w:pPr>
              <w:jc w:val="both"/>
              <w:rPr>
                <w:rFonts w:eastAsia="Calibri"/>
                <w:sz w:val="20"/>
                <w:lang w:val="fr-CA"/>
              </w:rPr>
            </w:pPr>
          </w:p>
        </w:tc>
      </w:tr>
      <w:tr w:rsidR="0010431F" w:rsidRPr="009122D4" w:rsidTr="0010431F">
        <w:tc>
          <w:tcPr>
            <w:tcW w:w="2427" w:type="pct"/>
          </w:tcPr>
          <w:p w:rsidR="0010431F" w:rsidRPr="001667A2" w:rsidRDefault="0010431F" w:rsidP="0010431F">
            <w:pPr>
              <w:jc w:val="both"/>
              <w:rPr>
                <w:rFonts w:eastAsia="Calibri"/>
                <w:sz w:val="20"/>
                <w:lang w:val="fr-CA"/>
              </w:rPr>
            </w:pPr>
            <w:r w:rsidRPr="001667A2">
              <w:rPr>
                <w:rFonts w:eastAsia="Calibri"/>
                <w:sz w:val="20"/>
                <w:lang w:val="fr-CA"/>
              </w:rPr>
              <w:t>7 décembre 2010</w:t>
            </w:r>
          </w:p>
          <w:p w:rsidR="0010431F" w:rsidRPr="001667A2" w:rsidRDefault="0010431F" w:rsidP="0010431F">
            <w:pPr>
              <w:jc w:val="both"/>
              <w:rPr>
                <w:rFonts w:eastAsia="Calibri"/>
                <w:sz w:val="20"/>
                <w:lang w:val="fr-CA"/>
              </w:rPr>
            </w:pPr>
            <w:r w:rsidRPr="001667A2">
              <w:rPr>
                <w:rFonts w:eastAsia="Calibri"/>
                <w:sz w:val="20"/>
                <w:lang w:val="fr-CA"/>
              </w:rPr>
              <w:t>Cour suprême du Canada</w:t>
            </w:r>
          </w:p>
        </w:tc>
        <w:tc>
          <w:tcPr>
            <w:tcW w:w="250" w:type="pct"/>
          </w:tcPr>
          <w:p w:rsidR="0010431F" w:rsidRPr="001667A2" w:rsidRDefault="0010431F" w:rsidP="0010431F">
            <w:pPr>
              <w:jc w:val="both"/>
              <w:rPr>
                <w:rFonts w:eastAsia="Calibri"/>
                <w:sz w:val="20"/>
                <w:lang w:val="fr-CA"/>
              </w:rPr>
            </w:pPr>
          </w:p>
        </w:tc>
        <w:tc>
          <w:tcPr>
            <w:tcW w:w="2323" w:type="pct"/>
          </w:tcPr>
          <w:p w:rsidR="0010431F" w:rsidRPr="001667A2" w:rsidRDefault="0010431F" w:rsidP="0010431F">
            <w:pPr>
              <w:jc w:val="both"/>
              <w:rPr>
                <w:rFonts w:eastAsia="Calibri"/>
                <w:sz w:val="20"/>
                <w:lang w:val="fr-CA"/>
              </w:rPr>
            </w:pPr>
            <w:r w:rsidRPr="001667A2">
              <w:rPr>
                <w:rFonts w:eastAsia="Calibri"/>
                <w:sz w:val="20"/>
                <w:lang w:val="fr-CA"/>
              </w:rPr>
              <w:t>Requête en vue d’obtenir une ordonnance de mise sous scellés déposée</w:t>
            </w:r>
          </w:p>
        </w:tc>
      </w:tr>
    </w:tbl>
    <w:p w:rsidR="00AF63D3" w:rsidRPr="0010431F" w:rsidRDefault="00AF63D3" w:rsidP="00AF63D3">
      <w:pPr>
        <w:rPr>
          <w:sz w:val="20"/>
          <w:szCs w:val="20"/>
          <w:lang w:val="fr-CA"/>
        </w:rPr>
      </w:pPr>
    </w:p>
    <w:p w:rsidR="00AF63D3" w:rsidRDefault="003E529C" w:rsidP="00AF63D3">
      <w:pPr>
        <w:rPr>
          <w:sz w:val="20"/>
          <w:szCs w:val="20"/>
          <w:lang w:val="fr-CA"/>
        </w:rPr>
      </w:pPr>
      <w:r w:rsidRPr="003E529C">
        <w:rPr>
          <w:sz w:val="20"/>
          <w:szCs w:val="20"/>
          <w:lang w:val="fr-CA"/>
        </w:rPr>
        <w:pict>
          <v:rect id="_x0000_i1062" style="width:2in;height:1pt" o:hrpct="0" o:hralign="center" o:hrstd="t" o:hrnoshade="t" o:hr="t" fillcolor="black [3213]" stroked="f"/>
        </w:pict>
      </w:r>
    </w:p>
    <w:p w:rsidR="00AF63D3" w:rsidRDefault="00AF63D3" w:rsidP="00AF63D3">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AF3B72" w:rsidRDefault="00890FEB" w:rsidP="00890FEB">
      <w:pPr>
        <w:rPr>
          <w:rFonts w:cs="Times New Roman"/>
          <w:sz w:val="20"/>
          <w:szCs w:val="20"/>
        </w:rPr>
      </w:pPr>
    </w:p>
    <w:p w:rsidR="00AF3B72" w:rsidRPr="00AF3B72" w:rsidRDefault="00AF3B72" w:rsidP="00AF3B72">
      <w:pPr>
        <w:tabs>
          <w:tab w:val="left" w:pos="-1440"/>
          <w:tab w:val="left" w:pos="-720"/>
        </w:tabs>
        <w:jc w:val="both"/>
        <w:rPr>
          <w:rFonts w:cs="Times New Roman"/>
          <w:sz w:val="20"/>
          <w:szCs w:val="20"/>
        </w:rPr>
      </w:pPr>
      <w:r w:rsidRPr="00AF3B72">
        <w:rPr>
          <w:rFonts w:cs="Times New Roman"/>
          <w:sz w:val="20"/>
          <w:szCs w:val="20"/>
        </w:rPr>
        <w:t>27.01.2011</w:t>
      </w:r>
    </w:p>
    <w:p w:rsidR="00AF3B72" w:rsidRPr="00AF3B72" w:rsidRDefault="00AF3B72" w:rsidP="00AF3B72">
      <w:pPr>
        <w:tabs>
          <w:tab w:val="left" w:pos="-1440"/>
          <w:tab w:val="left" w:pos="-720"/>
        </w:tabs>
        <w:jc w:val="both"/>
        <w:rPr>
          <w:rFonts w:cs="Times New Roman"/>
          <w:sz w:val="20"/>
          <w:szCs w:val="20"/>
        </w:rPr>
      </w:pPr>
    </w:p>
    <w:p w:rsidR="00AF3B72" w:rsidRPr="00AF3B72" w:rsidRDefault="00AF3B72" w:rsidP="00AF3B72">
      <w:pPr>
        <w:jc w:val="both"/>
        <w:rPr>
          <w:rFonts w:cs="Times New Roman"/>
          <w:sz w:val="20"/>
          <w:szCs w:val="20"/>
          <w:lang w:val="fr-CA"/>
        </w:rPr>
      </w:pPr>
      <w:r w:rsidRPr="00AF3B72">
        <w:rPr>
          <w:rFonts w:cs="Times New Roman"/>
          <w:sz w:val="20"/>
          <w:szCs w:val="20"/>
          <w:lang w:val="fr-CA"/>
        </w:rPr>
        <w:t>Before / Devant:   THE REGISTRAR / LE REGISTRAIRE</w:t>
      </w:r>
    </w:p>
    <w:p w:rsidR="00AF3B72" w:rsidRPr="00AF3B72" w:rsidRDefault="00AF3B72" w:rsidP="00AF3B72">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F3B72" w:rsidRPr="009122D4" w:rsidTr="00BA161A">
        <w:trPr>
          <w:trHeight w:val="151"/>
        </w:trPr>
        <w:tc>
          <w:tcPr>
            <w:tcW w:w="4338" w:type="dxa"/>
          </w:tcPr>
          <w:p w:rsidR="00AF3B72" w:rsidRPr="00AF3B72" w:rsidRDefault="00AF3B72" w:rsidP="00BA161A">
            <w:pPr>
              <w:jc w:val="both"/>
              <w:rPr>
                <w:rFonts w:cs="Times New Roman"/>
                <w:sz w:val="20"/>
                <w:szCs w:val="20"/>
              </w:rPr>
            </w:pPr>
            <w:r w:rsidRPr="00AF3B72">
              <w:rPr>
                <w:rFonts w:cs="Times New Roman"/>
                <w:b/>
                <w:bCs/>
                <w:sz w:val="20"/>
                <w:szCs w:val="20"/>
              </w:rPr>
              <w:t>Motion allowing the applicants to file a single leave application from the two judgments of the British Columbia Court of Appeal</w:t>
            </w:r>
            <w:r w:rsidR="003E529C" w:rsidRPr="00AF3B72">
              <w:rPr>
                <w:rFonts w:cs="Times New Roman"/>
                <w:sz w:val="20"/>
                <w:szCs w:val="20"/>
              </w:rPr>
              <w:fldChar w:fldCharType="begin"/>
            </w:r>
            <w:r w:rsidRPr="00AF3B72">
              <w:rPr>
                <w:rFonts w:cs="Times New Roman"/>
                <w:sz w:val="20"/>
                <w:szCs w:val="20"/>
              </w:rPr>
              <w:instrText xml:space="preserve"> SEQ CHAPTER \h \r 1</w:instrText>
            </w:r>
            <w:r w:rsidR="003E529C" w:rsidRPr="00AF3B72">
              <w:rPr>
                <w:rFonts w:cs="Times New Roman"/>
                <w:sz w:val="20"/>
                <w:szCs w:val="20"/>
              </w:rPr>
              <w:fldChar w:fldCharType="end"/>
            </w:r>
            <w:r w:rsidRPr="00AF3B72">
              <w:rPr>
                <w:rFonts w:cs="Times New Roman"/>
                <w:sz w:val="20"/>
                <w:szCs w:val="20"/>
              </w:rPr>
              <w:t xml:space="preserve"> </w:t>
            </w:r>
            <w:r w:rsidR="003E529C" w:rsidRPr="00AF3B72">
              <w:rPr>
                <w:rFonts w:cs="Times New Roman"/>
                <w:sz w:val="20"/>
                <w:szCs w:val="20"/>
              </w:rPr>
              <w:fldChar w:fldCharType="begin"/>
            </w:r>
            <w:r w:rsidRPr="00AF3B72">
              <w:rPr>
                <w:rFonts w:cs="Times New Roman"/>
                <w:sz w:val="20"/>
                <w:szCs w:val="20"/>
              </w:rPr>
              <w:instrText xml:space="preserve"> SEQ CHAPTER \h \r 1</w:instrText>
            </w:r>
            <w:r w:rsidR="003E529C" w:rsidRPr="00AF3B72">
              <w:rPr>
                <w:rFonts w:cs="Times New Roman"/>
                <w:sz w:val="20"/>
                <w:szCs w:val="20"/>
              </w:rPr>
              <w:fldChar w:fldCharType="end"/>
            </w:r>
          </w:p>
        </w:tc>
        <w:tc>
          <w:tcPr>
            <w:tcW w:w="1170" w:type="dxa"/>
          </w:tcPr>
          <w:p w:rsidR="00AF3B72" w:rsidRPr="00AF3B72" w:rsidRDefault="00AF3B72" w:rsidP="00BA161A">
            <w:pPr>
              <w:jc w:val="both"/>
              <w:rPr>
                <w:rFonts w:cs="Times New Roman"/>
                <w:sz w:val="20"/>
                <w:szCs w:val="20"/>
              </w:rPr>
            </w:pPr>
          </w:p>
          <w:p w:rsidR="00AF3B72" w:rsidRPr="00AF3B72" w:rsidRDefault="00AF3B72" w:rsidP="00BA161A">
            <w:pPr>
              <w:jc w:val="both"/>
              <w:rPr>
                <w:rFonts w:cs="Times New Roman"/>
                <w:sz w:val="20"/>
                <w:szCs w:val="20"/>
              </w:rPr>
            </w:pPr>
          </w:p>
          <w:p w:rsidR="00AF3B72" w:rsidRPr="00AF3B72" w:rsidRDefault="00AF3B72" w:rsidP="00BA161A">
            <w:pPr>
              <w:jc w:val="both"/>
              <w:rPr>
                <w:rFonts w:cs="Times New Roman"/>
                <w:sz w:val="20"/>
                <w:szCs w:val="20"/>
              </w:rPr>
            </w:pPr>
          </w:p>
          <w:p w:rsidR="00AF3B72" w:rsidRPr="00AF3B72" w:rsidRDefault="00AF3B72" w:rsidP="00BA161A">
            <w:pPr>
              <w:jc w:val="both"/>
              <w:rPr>
                <w:rFonts w:cs="Times New Roman"/>
                <w:sz w:val="20"/>
                <w:szCs w:val="20"/>
              </w:rPr>
            </w:pPr>
          </w:p>
        </w:tc>
        <w:tc>
          <w:tcPr>
            <w:tcW w:w="4327" w:type="dxa"/>
          </w:tcPr>
          <w:p w:rsidR="00AF3B72" w:rsidRPr="00AF3B72" w:rsidRDefault="00AF3B72" w:rsidP="00BA161A">
            <w:pPr>
              <w:jc w:val="both"/>
              <w:rPr>
                <w:rFonts w:cs="Times New Roman"/>
                <w:b/>
                <w:bCs/>
                <w:sz w:val="20"/>
                <w:szCs w:val="20"/>
                <w:lang w:val="fr-CA"/>
              </w:rPr>
            </w:pPr>
            <w:r w:rsidRPr="00AF3B72">
              <w:rPr>
                <w:rFonts w:cs="Times New Roman"/>
                <w:b/>
                <w:bCs/>
                <w:sz w:val="20"/>
                <w:szCs w:val="20"/>
                <w:lang w:val="fr-CA"/>
              </w:rPr>
              <w:t xml:space="preserve">Requête des demandeurs en vue de déposer une seule demande d’autorisation d’appel contre les deux jugements de la Cour d’appel de la </w:t>
            </w:r>
            <w:r w:rsidRPr="00AF3B72">
              <w:rPr>
                <w:rFonts w:cs="Times New Roman"/>
                <w:b/>
                <w:sz w:val="20"/>
                <w:szCs w:val="20"/>
                <w:lang w:val="fr-CA"/>
              </w:rPr>
              <w:t>Colombie</w:t>
            </w:r>
            <w:r w:rsidRPr="00AF3B72">
              <w:rPr>
                <w:rFonts w:cs="Times New Roman"/>
                <w:b/>
                <w:sz w:val="20"/>
                <w:szCs w:val="20"/>
                <w:lang w:val="fr-CA"/>
              </w:rPr>
              <w:noBreakHyphen/>
              <w:t>Britannique</w:t>
            </w:r>
            <w:r w:rsidRPr="00AF3B72">
              <w:rPr>
                <w:rFonts w:cs="Times New Roman"/>
                <w:b/>
                <w:bCs/>
                <w:sz w:val="20"/>
                <w:szCs w:val="20"/>
                <w:lang w:val="fr-CA"/>
              </w:rPr>
              <w:t xml:space="preserve"> </w:t>
            </w:r>
          </w:p>
          <w:p w:rsidR="00AF3B72" w:rsidRPr="00AF3B72" w:rsidRDefault="003E529C" w:rsidP="00BA161A">
            <w:pPr>
              <w:jc w:val="both"/>
              <w:rPr>
                <w:rFonts w:cs="Times New Roman"/>
                <w:b/>
                <w:sz w:val="20"/>
                <w:szCs w:val="20"/>
                <w:lang w:val="fr-CA"/>
              </w:rPr>
            </w:pPr>
            <w:r w:rsidRPr="00AF3B72">
              <w:rPr>
                <w:rFonts w:cs="Times New Roman"/>
                <w:b/>
                <w:sz w:val="20"/>
                <w:szCs w:val="20"/>
              </w:rPr>
              <w:fldChar w:fldCharType="begin"/>
            </w:r>
            <w:r w:rsidR="00AF3B72" w:rsidRPr="00AF3B72">
              <w:rPr>
                <w:rFonts w:cs="Times New Roman"/>
                <w:b/>
                <w:sz w:val="20"/>
                <w:szCs w:val="20"/>
                <w:lang w:val="fr-CA"/>
              </w:rPr>
              <w:instrText xml:space="preserve"> SEQ CHAPTER \h \r 1</w:instrText>
            </w:r>
            <w:r w:rsidRPr="00AF3B72">
              <w:rPr>
                <w:rFonts w:cs="Times New Roman"/>
                <w:b/>
                <w:sz w:val="20"/>
                <w:szCs w:val="20"/>
              </w:rPr>
              <w:fldChar w:fldCharType="end"/>
            </w:r>
          </w:p>
        </w:tc>
      </w:tr>
      <w:tr w:rsidR="00AF3B72" w:rsidRPr="00AF3B72" w:rsidTr="00BA161A">
        <w:trPr>
          <w:trHeight w:val="150"/>
        </w:trPr>
        <w:tc>
          <w:tcPr>
            <w:tcW w:w="4338" w:type="dxa"/>
          </w:tcPr>
          <w:p w:rsidR="00AF3B72" w:rsidRPr="00AF3B72" w:rsidRDefault="00AF3B72" w:rsidP="00BA161A">
            <w:pPr>
              <w:tabs>
                <w:tab w:val="left" w:pos="-1440"/>
                <w:tab w:val="left" w:pos="-720"/>
              </w:tabs>
              <w:jc w:val="both"/>
              <w:rPr>
                <w:rFonts w:cs="Times New Roman"/>
                <w:sz w:val="20"/>
                <w:szCs w:val="20"/>
              </w:rPr>
            </w:pPr>
            <w:r w:rsidRPr="00AF3B72">
              <w:rPr>
                <w:rFonts w:cs="Times New Roman"/>
                <w:sz w:val="20"/>
                <w:szCs w:val="20"/>
              </w:rPr>
              <w:t>Michael Bentley et al.</w:t>
            </w:r>
          </w:p>
          <w:p w:rsidR="00AF3B72" w:rsidRPr="00AF3B72" w:rsidRDefault="00AF3B72" w:rsidP="00BA161A">
            <w:pPr>
              <w:tabs>
                <w:tab w:val="left" w:pos="-1440"/>
                <w:tab w:val="left" w:pos="-720"/>
              </w:tabs>
              <w:jc w:val="both"/>
              <w:rPr>
                <w:rFonts w:cs="Times New Roman"/>
                <w:sz w:val="20"/>
                <w:szCs w:val="20"/>
              </w:rPr>
            </w:pPr>
          </w:p>
          <w:p w:rsidR="00AF3B72" w:rsidRPr="00AF3B72" w:rsidRDefault="00AF3B72" w:rsidP="00BA161A">
            <w:pPr>
              <w:tabs>
                <w:tab w:val="left" w:pos="-1440"/>
                <w:tab w:val="left" w:pos="-720"/>
              </w:tabs>
              <w:jc w:val="both"/>
              <w:rPr>
                <w:rFonts w:cs="Times New Roman"/>
                <w:sz w:val="20"/>
                <w:szCs w:val="20"/>
              </w:rPr>
            </w:pPr>
            <w:r w:rsidRPr="00AF3B72">
              <w:rPr>
                <w:rFonts w:cs="Times New Roman"/>
                <w:sz w:val="20"/>
                <w:szCs w:val="20"/>
              </w:rPr>
              <w:tab/>
              <w:t>v. (34045)</w:t>
            </w:r>
          </w:p>
          <w:p w:rsidR="00AF3B72" w:rsidRPr="00AF3B72" w:rsidRDefault="00AF3B72" w:rsidP="00BA161A">
            <w:pPr>
              <w:tabs>
                <w:tab w:val="left" w:pos="-1440"/>
                <w:tab w:val="left" w:pos="-720"/>
              </w:tabs>
              <w:jc w:val="both"/>
              <w:rPr>
                <w:rFonts w:cs="Times New Roman"/>
                <w:sz w:val="20"/>
                <w:szCs w:val="20"/>
              </w:rPr>
            </w:pPr>
          </w:p>
          <w:p w:rsidR="00AF3B72" w:rsidRPr="00AF3B72" w:rsidRDefault="00AF3B72" w:rsidP="00BA161A">
            <w:pPr>
              <w:tabs>
                <w:tab w:val="left" w:pos="-1440"/>
                <w:tab w:val="left" w:pos="-720"/>
              </w:tabs>
              <w:jc w:val="both"/>
              <w:rPr>
                <w:rFonts w:cs="Times New Roman"/>
                <w:sz w:val="20"/>
                <w:szCs w:val="20"/>
              </w:rPr>
            </w:pPr>
            <w:r w:rsidRPr="00AF3B72">
              <w:rPr>
                <w:rFonts w:cs="Times New Roman"/>
                <w:sz w:val="20"/>
                <w:szCs w:val="20"/>
              </w:rPr>
              <w:t>Anglican Synod of the Diocese of New Westminster et al. (B.C.)</w:t>
            </w:r>
          </w:p>
        </w:tc>
        <w:tc>
          <w:tcPr>
            <w:tcW w:w="1170" w:type="dxa"/>
          </w:tcPr>
          <w:p w:rsidR="00AF3B72" w:rsidRPr="00AF3B72" w:rsidRDefault="00AF3B72" w:rsidP="00BA161A">
            <w:pPr>
              <w:jc w:val="both"/>
              <w:rPr>
                <w:rFonts w:cs="Times New Roman"/>
                <w:sz w:val="20"/>
                <w:szCs w:val="20"/>
              </w:rPr>
            </w:pPr>
          </w:p>
        </w:tc>
        <w:tc>
          <w:tcPr>
            <w:tcW w:w="4327" w:type="dxa"/>
          </w:tcPr>
          <w:p w:rsidR="00AF3B72" w:rsidRPr="00AF3B72" w:rsidRDefault="00AF3B72" w:rsidP="00BA161A">
            <w:pPr>
              <w:jc w:val="both"/>
              <w:rPr>
                <w:rFonts w:cs="Times New Roman"/>
                <w:sz w:val="20"/>
                <w:szCs w:val="20"/>
              </w:rPr>
            </w:pPr>
          </w:p>
        </w:tc>
      </w:tr>
    </w:tbl>
    <w:p w:rsidR="00AF3B72" w:rsidRPr="00AF3B72" w:rsidRDefault="00AF3B72" w:rsidP="00AF3B72">
      <w:pPr>
        <w:tabs>
          <w:tab w:val="left" w:pos="-1440"/>
          <w:tab w:val="left" w:pos="-720"/>
        </w:tabs>
        <w:jc w:val="both"/>
        <w:rPr>
          <w:rFonts w:cs="Times New Roman"/>
          <w:sz w:val="20"/>
          <w:szCs w:val="20"/>
        </w:rPr>
      </w:pPr>
    </w:p>
    <w:p w:rsidR="00AF3B72" w:rsidRPr="00AF3B72" w:rsidRDefault="00AF3B72" w:rsidP="00AF3B72">
      <w:pPr>
        <w:tabs>
          <w:tab w:val="left" w:pos="-1440"/>
          <w:tab w:val="left" w:pos="-720"/>
        </w:tabs>
        <w:jc w:val="both"/>
        <w:rPr>
          <w:rFonts w:cs="Times New Roman"/>
          <w:b/>
          <w:sz w:val="20"/>
          <w:szCs w:val="20"/>
          <w:lang w:val="fr-CA"/>
        </w:rPr>
      </w:pPr>
      <w:r w:rsidRPr="00AF3B72">
        <w:rPr>
          <w:rFonts w:cs="Times New Roman"/>
          <w:b/>
          <w:sz w:val="20"/>
          <w:szCs w:val="20"/>
        </w:rPr>
        <w:t>GRANTED / ACCORD</w:t>
      </w:r>
      <w:r w:rsidRPr="00AF3B72">
        <w:rPr>
          <w:rFonts w:cs="Times New Roman"/>
          <w:b/>
          <w:sz w:val="20"/>
          <w:szCs w:val="20"/>
          <w:lang w:val="fr-CA"/>
        </w:rPr>
        <w:t>ÉE</w:t>
      </w:r>
    </w:p>
    <w:p w:rsidR="00AF3B72" w:rsidRPr="00AF3B72" w:rsidRDefault="00AF3B72" w:rsidP="00AF3B72">
      <w:pPr>
        <w:tabs>
          <w:tab w:val="left" w:pos="-1440"/>
          <w:tab w:val="left" w:pos="-720"/>
        </w:tabs>
        <w:jc w:val="both"/>
        <w:rPr>
          <w:rFonts w:cs="Times New Roman"/>
          <w:sz w:val="20"/>
          <w:szCs w:val="20"/>
          <w:lang w:val="fr-CA"/>
        </w:rPr>
      </w:pPr>
    </w:p>
    <w:p w:rsidR="00AF3B72" w:rsidRPr="00AF3B72" w:rsidRDefault="00AF3B72" w:rsidP="00AF3B72">
      <w:pPr>
        <w:tabs>
          <w:tab w:val="left" w:pos="-1440"/>
          <w:tab w:val="left" w:pos="-720"/>
        </w:tabs>
        <w:spacing w:line="-19" w:lineRule="auto"/>
        <w:jc w:val="both"/>
        <w:rPr>
          <w:rFonts w:cs="Times New Roman"/>
          <w:sz w:val="20"/>
          <w:szCs w:val="20"/>
        </w:rPr>
      </w:pPr>
    </w:p>
    <w:p w:rsidR="00AF3B72" w:rsidRPr="00AF3B72" w:rsidRDefault="003E529C" w:rsidP="00AF3B72">
      <w:pPr>
        <w:tabs>
          <w:tab w:val="left" w:pos="-1440"/>
          <w:tab w:val="left" w:pos="-720"/>
        </w:tabs>
        <w:jc w:val="both"/>
        <w:rPr>
          <w:rFonts w:cs="Times New Roman"/>
          <w:sz w:val="20"/>
          <w:szCs w:val="20"/>
          <w:lang w:val="fr-CA"/>
        </w:rPr>
      </w:pPr>
      <w:r w:rsidRPr="003E529C">
        <w:rPr>
          <w:rFonts w:cs="Times New Roman"/>
          <w:sz w:val="20"/>
          <w:szCs w:val="20"/>
          <w:lang w:val="fr-CA"/>
        </w:rPr>
        <w:pict>
          <v:rect id="_x0000_i1065" style="width:2in;height:1pt" o:hrpct="0" o:hralign="center" o:hrstd="t" o:hrnoshade="t" o:hr="t" fillcolor="black [3213]" stroked="f"/>
        </w:pict>
      </w:r>
    </w:p>
    <w:p w:rsidR="00AF3B72" w:rsidRPr="00AF3B72" w:rsidRDefault="00AF3B72" w:rsidP="00AF3B72">
      <w:pPr>
        <w:tabs>
          <w:tab w:val="left" w:pos="-1440"/>
          <w:tab w:val="left" w:pos="-720"/>
        </w:tabs>
        <w:jc w:val="both"/>
        <w:rPr>
          <w:rFonts w:cs="Times New Roman"/>
          <w:sz w:val="20"/>
          <w:szCs w:val="20"/>
        </w:rPr>
      </w:pPr>
    </w:p>
    <w:p w:rsidR="00AF3B72" w:rsidRPr="00AF3B72" w:rsidRDefault="00AF3B72" w:rsidP="00AF3B72">
      <w:pPr>
        <w:tabs>
          <w:tab w:val="left" w:pos="-1440"/>
          <w:tab w:val="left" w:pos="-720"/>
        </w:tabs>
        <w:jc w:val="both"/>
        <w:rPr>
          <w:rFonts w:cs="Times New Roman"/>
          <w:sz w:val="20"/>
          <w:szCs w:val="20"/>
          <w:lang w:val="fr-CA"/>
        </w:rPr>
      </w:pPr>
      <w:r w:rsidRPr="00AF3B72">
        <w:rPr>
          <w:rFonts w:cs="Times New Roman"/>
          <w:sz w:val="20"/>
          <w:szCs w:val="20"/>
          <w:lang w:val="fr-CA"/>
        </w:rPr>
        <w:t>02.02.2011</w:t>
      </w:r>
    </w:p>
    <w:p w:rsidR="00AF3B72" w:rsidRPr="00AF3B72" w:rsidRDefault="00AF3B72" w:rsidP="00AF3B72">
      <w:pPr>
        <w:tabs>
          <w:tab w:val="left" w:pos="-1440"/>
          <w:tab w:val="left" w:pos="-720"/>
        </w:tabs>
        <w:jc w:val="both"/>
        <w:rPr>
          <w:rFonts w:cs="Times New Roman"/>
          <w:sz w:val="20"/>
          <w:szCs w:val="20"/>
          <w:lang w:val="fr-CA"/>
        </w:rPr>
      </w:pPr>
    </w:p>
    <w:p w:rsidR="00AF3B72" w:rsidRPr="00AF3B72" w:rsidRDefault="00AF3B72" w:rsidP="00AF3B72">
      <w:pPr>
        <w:tabs>
          <w:tab w:val="left" w:pos="-1440"/>
          <w:tab w:val="left" w:pos="-720"/>
        </w:tabs>
        <w:jc w:val="both"/>
        <w:rPr>
          <w:rFonts w:cs="Times New Roman"/>
          <w:sz w:val="20"/>
          <w:szCs w:val="20"/>
          <w:lang w:val="fr-CA"/>
        </w:rPr>
      </w:pPr>
      <w:r w:rsidRPr="00AF3B72">
        <w:rPr>
          <w:rFonts w:cs="Times New Roman"/>
          <w:sz w:val="20"/>
          <w:szCs w:val="20"/>
          <w:lang w:val="fr-CA"/>
        </w:rPr>
        <w:t>Before / Devant :   CROMWELL J. / LE JUGE CROMWELL</w:t>
      </w:r>
    </w:p>
    <w:p w:rsidR="00AF3B72" w:rsidRPr="00AF3B72" w:rsidRDefault="00AF3B72" w:rsidP="00AF3B72">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223"/>
        <w:gridCol w:w="467"/>
        <w:gridCol w:w="4687"/>
      </w:tblGrid>
      <w:tr w:rsidR="00AF3B72" w:rsidRPr="009122D4" w:rsidTr="00BA161A">
        <w:trPr>
          <w:cantSplit/>
        </w:trPr>
        <w:tc>
          <w:tcPr>
            <w:tcW w:w="4681" w:type="dxa"/>
            <w:gridSpan w:val="2"/>
          </w:tcPr>
          <w:p w:rsidR="00AF3B72" w:rsidRPr="00AF3B72" w:rsidRDefault="00AF3B72" w:rsidP="00BA161A">
            <w:pPr>
              <w:rPr>
                <w:rFonts w:cs="Times New Roman"/>
                <w:b/>
                <w:sz w:val="20"/>
                <w:szCs w:val="20"/>
              </w:rPr>
            </w:pPr>
            <w:r w:rsidRPr="00AF3B72">
              <w:rPr>
                <w:rFonts w:cs="Times New Roman"/>
                <w:b/>
                <w:bCs/>
                <w:sz w:val="20"/>
                <w:szCs w:val="20"/>
              </w:rPr>
              <w:t>Order on interventions with respect to oral argument</w:t>
            </w:r>
          </w:p>
        </w:tc>
        <w:tc>
          <w:tcPr>
            <w:tcW w:w="467" w:type="dxa"/>
          </w:tcPr>
          <w:p w:rsidR="00AF3B72" w:rsidRPr="00AF3B72" w:rsidRDefault="00AF3B72" w:rsidP="00BA161A">
            <w:pPr>
              <w:rPr>
                <w:rFonts w:cs="Times New Roman"/>
                <w:sz w:val="20"/>
                <w:szCs w:val="20"/>
              </w:rPr>
            </w:pPr>
          </w:p>
          <w:p w:rsidR="00AF3B72" w:rsidRPr="00AF3B72" w:rsidRDefault="00AF3B72" w:rsidP="00BA161A">
            <w:pPr>
              <w:rPr>
                <w:rFonts w:cs="Times New Roman"/>
                <w:sz w:val="20"/>
                <w:szCs w:val="20"/>
              </w:rPr>
            </w:pPr>
          </w:p>
          <w:p w:rsidR="00AF3B72" w:rsidRPr="00AF3B72" w:rsidRDefault="00AF3B72" w:rsidP="00BA161A">
            <w:pPr>
              <w:rPr>
                <w:rFonts w:cs="Times New Roman"/>
                <w:sz w:val="20"/>
                <w:szCs w:val="20"/>
              </w:rPr>
            </w:pPr>
          </w:p>
        </w:tc>
        <w:tc>
          <w:tcPr>
            <w:tcW w:w="4687" w:type="dxa"/>
          </w:tcPr>
          <w:p w:rsidR="00AF3B72" w:rsidRPr="00AF3B72" w:rsidRDefault="00AF3B72" w:rsidP="00BA161A">
            <w:pPr>
              <w:rPr>
                <w:rFonts w:cs="Times New Roman"/>
                <w:b/>
                <w:sz w:val="20"/>
                <w:szCs w:val="20"/>
                <w:lang w:val="fr-CA"/>
              </w:rPr>
            </w:pPr>
            <w:r w:rsidRPr="00AF3B72">
              <w:rPr>
                <w:rFonts w:cs="Times New Roman"/>
                <w:b/>
                <w:bCs/>
                <w:sz w:val="20"/>
                <w:szCs w:val="20"/>
                <w:lang w:val="fr-CA"/>
              </w:rPr>
              <w:t>Ordonnance relative à la présentation d’une plaidoirie orale par les intervenants</w:t>
            </w:r>
          </w:p>
        </w:tc>
      </w:tr>
      <w:tr w:rsidR="00AF3B72" w:rsidRPr="00AF3B72" w:rsidTr="00BA161A">
        <w:trPr>
          <w:cantSplit/>
        </w:trPr>
        <w:tc>
          <w:tcPr>
            <w:tcW w:w="1458" w:type="dxa"/>
          </w:tcPr>
          <w:p w:rsidR="00AF3B72" w:rsidRPr="00AF3B72" w:rsidRDefault="00AF3B72" w:rsidP="00BA161A">
            <w:pPr>
              <w:rPr>
                <w:rFonts w:cs="Times New Roman"/>
                <w:sz w:val="20"/>
                <w:szCs w:val="20"/>
                <w:lang w:val="fr-CA"/>
              </w:rPr>
            </w:pPr>
            <w:r w:rsidRPr="00AF3B72">
              <w:rPr>
                <w:rFonts w:cs="Times New Roman"/>
                <w:sz w:val="20"/>
                <w:szCs w:val="20"/>
                <w:lang w:val="fr-CA"/>
              </w:rPr>
              <w:t>RE :</w:t>
            </w:r>
          </w:p>
        </w:tc>
        <w:tc>
          <w:tcPr>
            <w:tcW w:w="3223" w:type="dxa"/>
          </w:tcPr>
          <w:p w:rsidR="00AF3B72" w:rsidRPr="00AF3B72" w:rsidRDefault="00AF3B72" w:rsidP="00BA161A">
            <w:pPr>
              <w:jc w:val="both"/>
              <w:rPr>
                <w:rFonts w:cs="Times New Roman"/>
                <w:sz w:val="20"/>
                <w:szCs w:val="20"/>
                <w:lang w:val="fr-CA"/>
              </w:rPr>
            </w:pPr>
            <w:r w:rsidRPr="00AF3B72">
              <w:rPr>
                <w:rFonts w:cs="Times New Roman"/>
                <w:sz w:val="20"/>
                <w:szCs w:val="20"/>
                <w:lang w:val="fr-CA"/>
              </w:rPr>
              <w:t>Attorney General of Ontario;</w:t>
            </w:r>
          </w:p>
        </w:tc>
        <w:tc>
          <w:tcPr>
            <w:tcW w:w="467" w:type="dxa"/>
          </w:tcPr>
          <w:p w:rsidR="00AF3B72" w:rsidRPr="00AF3B72" w:rsidRDefault="00AF3B72" w:rsidP="00BA161A">
            <w:pPr>
              <w:rPr>
                <w:rFonts w:cs="Times New Roman"/>
                <w:sz w:val="20"/>
                <w:szCs w:val="20"/>
                <w:lang w:val="fr-CA"/>
              </w:rPr>
            </w:pPr>
          </w:p>
        </w:tc>
        <w:tc>
          <w:tcPr>
            <w:tcW w:w="4687" w:type="dxa"/>
          </w:tcPr>
          <w:p w:rsidR="00AF3B72" w:rsidRPr="00AF3B72" w:rsidRDefault="00AF3B72" w:rsidP="00BA161A">
            <w:pPr>
              <w:rPr>
                <w:rFonts w:cs="Times New Roman"/>
                <w:sz w:val="20"/>
                <w:szCs w:val="20"/>
                <w:lang w:val="fr-CA"/>
              </w:rPr>
            </w:pPr>
          </w:p>
        </w:tc>
      </w:tr>
      <w:tr w:rsidR="00AF3B72" w:rsidRPr="00AF3B72" w:rsidTr="00BA161A">
        <w:trPr>
          <w:cantSplit/>
        </w:trPr>
        <w:tc>
          <w:tcPr>
            <w:tcW w:w="1458" w:type="dxa"/>
          </w:tcPr>
          <w:p w:rsidR="00AF3B72" w:rsidRPr="00AF3B72" w:rsidRDefault="00AF3B72" w:rsidP="00BA161A">
            <w:pPr>
              <w:rPr>
                <w:rFonts w:cs="Times New Roman"/>
                <w:sz w:val="20"/>
                <w:szCs w:val="20"/>
                <w:lang w:val="fr-CA"/>
              </w:rPr>
            </w:pPr>
          </w:p>
        </w:tc>
        <w:tc>
          <w:tcPr>
            <w:tcW w:w="3223" w:type="dxa"/>
          </w:tcPr>
          <w:p w:rsidR="00AF3B72" w:rsidRPr="00AF3B72" w:rsidRDefault="00AF3B72" w:rsidP="00BA161A">
            <w:pPr>
              <w:jc w:val="both"/>
              <w:rPr>
                <w:rFonts w:cs="Times New Roman"/>
                <w:sz w:val="20"/>
                <w:szCs w:val="20"/>
                <w:lang w:val="fr-CA"/>
              </w:rPr>
            </w:pPr>
            <w:r w:rsidRPr="00AF3B72">
              <w:rPr>
                <w:rFonts w:cs="Times New Roman"/>
                <w:sz w:val="20"/>
                <w:szCs w:val="20"/>
                <w:lang w:val="fr-CA"/>
              </w:rPr>
              <w:t>Metlakatla Band;</w:t>
            </w:r>
          </w:p>
        </w:tc>
        <w:tc>
          <w:tcPr>
            <w:tcW w:w="467" w:type="dxa"/>
          </w:tcPr>
          <w:p w:rsidR="00AF3B72" w:rsidRPr="00AF3B72" w:rsidRDefault="00AF3B72" w:rsidP="00BA161A">
            <w:pPr>
              <w:rPr>
                <w:rFonts w:cs="Times New Roman"/>
                <w:sz w:val="20"/>
                <w:szCs w:val="20"/>
                <w:lang w:val="fr-CA"/>
              </w:rPr>
            </w:pPr>
          </w:p>
        </w:tc>
        <w:tc>
          <w:tcPr>
            <w:tcW w:w="4687" w:type="dxa"/>
          </w:tcPr>
          <w:p w:rsidR="00AF3B72" w:rsidRPr="00AF3B72" w:rsidRDefault="00AF3B72" w:rsidP="00BA161A">
            <w:pPr>
              <w:rPr>
                <w:rFonts w:cs="Times New Roman"/>
                <w:sz w:val="20"/>
                <w:szCs w:val="20"/>
                <w:lang w:val="fr-CA"/>
              </w:rPr>
            </w:pPr>
          </w:p>
        </w:tc>
      </w:tr>
      <w:tr w:rsidR="00AF3B72" w:rsidRPr="00AF3B72" w:rsidTr="00BA161A">
        <w:trPr>
          <w:cantSplit/>
        </w:trPr>
        <w:tc>
          <w:tcPr>
            <w:tcW w:w="1458" w:type="dxa"/>
          </w:tcPr>
          <w:p w:rsidR="00AF3B72" w:rsidRPr="00AF3B72" w:rsidRDefault="00AF3B72" w:rsidP="00BA161A">
            <w:pPr>
              <w:rPr>
                <w:rFonts w:cs="Times New Roman"/>
                <w:sz w:val="20"/>
                <w:szCs w:val="20"/>
                <w:lang w:val="fr-CA"/>
              </w:rPr>
            </w:pPr>
          </w:p>
        </w:tc>
        <w:tc>
          <w:tcPr>
            <w:tcW w:w="3223" w:type="dxa"/>
          </w:tcPr>
          <w:p w:rsidR="00AF3B72" w:rsidRPr="00AF3B72" w:rsidRDefault="00AF3B72" w:rsidP="00BA161A">
            <w:pPr>
              <w:jc w:val="both"/>
              <w:rPr>
                <w:rFonts w:cs="Times New Roman"/>
                <w:sz w:val="20"/>
                <w:szCs w:val="20"/>
              </w:rPr>
            </w:pPr>
            <w:r w:rsidRPr="00AF3B72">
              <w:rPr>
                <w:rFonts w:cs="Times New Roman"/>
                <w:sz w:val="20"/>
                <w:szCs w:val="20"/>
              </w:rPr>
              <w:t>B.C. Wildlife Federation and B.C. Seafood Alliance;</w:t>
            </w:r>
          </w:p>
        </w:tc>
        <w:tc>
          <w:tcPr>
            <w:tcW w:w="467" w:type="dxa"/>
          </w:tcPr>
          <w:p w:rsidR="00AF3B72" w:rsidRPr="00AF3B72" w:rsidRDefault="00AF3B72" w:rsidP="00BA161A">
            <w:pPr>
              <w:rPr>
                <w:rFonts w:cs="Times New Roman"/>
                <w:sz w:val="20"/>
                <w:szCs w:val="20"/>
              </w:rPr>
            </w:pPr>
          </w:p>
        </w:tc>
        <w:tc>
          <w:tcPr>
            <w:tcW w:w="4687" w:type="dxa"/>
          </w:tcPr>
          <w:p w:rsidR="00AF3B72" w:rsidRPr="00AF3B72" w:rsidRDefault="00AF3B72" w:rsidP="00BA161A">
            <w:pPr>
              <w:rPr>
                <w:rFonts w:cs="Times New Roman"/>
                <w:sz w:val="20"/>
                <w:szCs w:val="20"/>
              </w:rPr>
            </w:pPr>
          </w:p>
        </w:tc>
      </w:tr>
      <w:tr w:rsidR="00AF3B72" w:rsidRPr="00AF3B72" w:rsidTr="00BA161A">
        <w:trPr>
          <w:cantSplit/>
        </w:trPr>
        <w:tc>
          <w:tcPr>
            <w:tcW w:w="1458" w:type="dxa"/>
          </w:tcPr>
          <w:p w:rsidR="00AF3B72" w:rsidRPr="00AF3B72" w:rsidRDefault="00AF3B72" w:rsidP="00BA161A">
            <w:pPr>
              <w:rPr>
                <w:rFonts w:cs="Times New Roman"/>
                <w:sz w:val="20"/>
                <w:szCs w:val="20"/>
              </w:rPr>
            </w:pPr>
          </w:p>
        </w:tc>
        <w:tc>
          <w:tcPr>
            <w:tcW w:w="3223" w:type="dxa"/>
          </w:tcPr>
          <w:p w:rsidR="00AF3B72" w:rsidRPr="00AF3B72" w:rsidRDefault="00AF3B72" w:rsidP="00BA161A">
            <w:pPr>
              <w:jc w:val="both"/>
              <w:rPr>
                <w:rFonts w:cs="Times New Roman"/>
                <w:sz w:val="20"/>
                <w:szCs w:val="20"/>
              </w:rPr>
            </w:pPr>
            <w:r w:rsidRPr="00AF3B72">
              <w:rPr>
                <w:rFonts w:cs="Times New Roman"/>
                <w:sz w:val="20"/>
                <w:szCs w:val="20"/>
              </w:rPr>
              <w:t>Te’Mexw Treaty Association;</w:t>
            </w:r>
          </w:p>
        </w:tc>
        <w:tc>
          <w:tcPr>
            <w:tcW w:w="467" w:type="dxa"/>
          </w:tcPr>
          <w:p w:rsidR="00AF3B72" w:rsidRPr="00AF3B72" w:rsidRDefault="00AF3B72" w:rsidP="00BA161A">
            <w:pPr>
              <w:rPr>
                <w:rFonts w:cs="Times New Roman"/>
                <w:sz w:val="20"/>
                <w:szCs w:val="20"/>
              </w:rPr>
            </w:pPr>
          </w:p>
        </w:tc>
        <w:tc>
          <w:tcPr>
            <w:tcW w:w="4687" w:type="dxa"/>
          </w:tcPr>
          <w:p w:rsidR="00AF3B72" w:rsidRPr="00AF3B72" w:rsidRDefault="00AF3B72" w:rsidP="00BA161A">
            <w:pPr>
              <w:rPr>
                <w:rFonts w:cs="Times New Roman"/>
                <w:sz w:val="20"/>
                <w:szCs w:val="20"/>
              </w:rPr>
            </w:pPr>
          </w:p>
        </w:tc>
      </w:tr>
      <w:tr w:rsidR="00AF3B72" w:rsidRPr="00AF3B72" w:rsidTr="00BA161A">
        <w:trPr>
          <w:cantSplit/>
        </w:trPr>
        <w:tc>
          <w:tcPr>
            <w:tcW w:w="1458" w:type="dxa"/>
          </w:tcPr>
          <w:p w:rsidR="00AF3B72" w:rsidRPr="00AF3B72" w:rsidRDefault="00AF3B72" w:rsidP="00BA161A">
            <w:pPr>
              <w:rPr>
                <w:rFonts w:cs="Times New Roman"/>
                <w:sz w:val="20"/>
                <w:szCs w:val="20"/>
                <w:lang w:val="fr-CA"/>
              </w:rPr>
            </w:pPr>
          </w:p>
        </w:tc>
        <w:tc>
          <w:tcPr>
            <w:tcW w:w="3223" w:type="dxa"/>
          </w:tcPr>
          <w:p w:rsidR="00AF3B72" w:rsidRPr="00AF3B72" w:rsidRDefault="00AF3B72" w:rsidP="00BA161A">
            <w:pPr>
              <w:jc w:val="both"/>
              <w:rPr>
                <w:rFonts w:cs="Times New Roman"/>
                <w:sz w:val="20"/>
                <w:szCs w:val="20"/>
              </w:rPr>
            </w:pPr>
            <w:r w:rsidRPr="00AF3B72">
              <w:rPr>
                <w:rFonts w:cs="Times New Roman"/>
                <w:sz w:val="20"/>
                <w:szCs w:val="20"/>
              </w:rPr>
              <w:t>Gitxaala Nation, represented by Chief Elmer Moody, on his own behalf and on behalf of the members of the Gitxaala Nation</w:t>
            </w:r>
          </w:p>
        </w:tc>
        <w:tc>
          <w:tcPr>
            <w:tcW w:w="467" w:type="dxa"/>
          </w:tcPr>
          <w:p w:rsidR="00AF3B72" w:rsidRPr="00AF3B72" w:rsidRDefault="00AF3B72" w:rsidP="00BA161A">
            <w:pPr>
              <w:rPr>
                <w:rFonts w:cs="Times New Roman"/>
                <w:sz w:val="20"/>
                <w:szCs w:val="20"/>
              </w:rPr>
            </w:pPr>
          </w:p>
        </w:tc>
        <w:tc>
          <w:tcPr>
            <w:tcW w:w="4687" w:type="dxa"/>
          </w:tcPr>
          <w:p w:rsidR="00AF3B72" w:rsidRPr="00AF3B72" w:rsidRDefault="00AF3B72" w:rsidP="00BA161A">
            <w:pPr>
              <w:rPr>
                <w:rFonts w:cs="Times New Roman"/>
                <w:sz w:val="20"/>
                <w:szCs w:val="20"/>
              </w:rPr>
            </w:pPr>
          </w:p>
        </w:tc>
      </w:tr>
      <w:tr w:rsidR="00AF3B72" w:rsidRPr="00AF3B72" w:rsidTr="00BA161A">
        <w:trPr>
          <w:cantSplit/>
        </w:trPr>
        <w:tc>
          <w:tcPr>
            <w:tcW w:w="1458" w:type="dxa"/>
          </w:tcPr>
          <w:p w:rsidR="00AF3B72" w:rsidRPr="00AF3B72" w:rsidRDefault="00AF3B72" w:rsidP="00BA161A">
            <w:pPr>
              <w:rPr>
                <w:rFonts w:cs="Times New Roman"/>
                <w:sz w:val="20"/>
                <w:szCs w:val="20"/>
              </w:rPr>
            </w:pPr>
          </w:p>
        </w:tc>
        <w:tc>
          <w:tcPr>
            <w:tcW w:w="3223" w:type="dxa"/>
          </w:tcPr>
          <w:p w:rsidR="00AF3B72" w:rsidRPr="00AF3B72" w:rsidRDefault="00AF3B72" w:rsidP="00BA161A">
            <w:pPr>
              <w:rPr>
                <w:rFonts w:cs="Times New Roman"/>
                <w:sz w:val="20"/>
                <w:szCs w:val="20"/>
              </w:rPr>
            </w:pPr>
          </w:p>
        </w:tc>
        <w:tc>
          <w:tcPr>
            <w:tcW w:w="467" w:type="dxa"/>
          </w:tcPr>
          <w:p w:rsidR="00AF3B72" w:rsidRPr="00AF3B72" w:rsidRDefault="00AF3B72" w:rsidP="00BA161A">
            <w:pPr>
              <w:rPr>
                <w:rFonts w:cs="Times New Roman"/>
                <w:sz w:val="20"/>
                <w:szCs w:val="20"/>
              </w:rPr>
            </w:pPr>
          </w:p>
        </w:tc>
        <w:tc>
          <w:tcPr>
            <w:tcW w:w="4687" w:type="dxa"/>
          </w:tcPr>
          <w:p w:rsidR="00AF3B72" w:rsidRPr="00AF3B72" w:rsidRDefault="00AF3B72" w:rsidP="00BA161A">
            <w:pPr>
              <w:rPr>
                <w:rFonts w:cs="Times New Roman"/>
                <w:sz w:val="20"/>
                <w:szCs w:val="20"/>
              </w:rPr>
            </w:pPr>
          </w:p>
        </w:tc>
      </w:tr>
      <w:tr w:rsidR="00AF3B72" w:rsidRPr="00AF3B72" w:rsidTr="00BA161A">
        <w:trPr>
          <w:cantSplit/>
        </w:trPr>
        <w:tc>
          <w:tcPr>
            <w:tcW w:w="1458" w:type="dxa"/>
          </w:tcPr>
          <w:p w:rsidR="00AF3B72" w:rsidRPr="00AF3B72" w:rsidRDefault="00AF3B72" w:rsidP="00BA161A">
            <w:pPr>
              <w:rPr>
                <w:rFonts w:cs="Times New Roman"/>
                <w:sz w:val="20"/>
                <w:szCs w:val="20"/>
              </w:rPr>
            </w:pPr>
            <w:r w:rsidRPr="00AF3B72">
              <w:rPr>
                <w:rFonts w:cs="Times New Roman"/>
                <w:sz w:val="20"/>
                <w:szCs w:val="20"/>
              </w:rPr>
              <w:t>IN / DANS :</w:t>
            </w:r>
          </w:p>
        </w:tc>
        <w:tc>
          <w:tcPr>
            <w:tcW w:w="3223" w:type="dxa"/>
          </w:tcPr>
          <w:p w:rsidR="00AF3B72" w:rsidRPr="00AF3B72" w:rsidRDefault="00AF3B72" w:rsidP="00BA161A">
            <w:pPr>
              <w:tabs>
                <w:tab w:val="left" w:pos="-1440"/>
                <w:tab w:val="left" w:pos="-720"/>
              </w:tabs>
              <w:jc w:val="both"/>
              <w:rPr>
                <w:rFonts w:cs="Times New Roman"/>
                <w:sz w:val="20"/>
                <w:szCs w:val="20"/>
              </w:rPr>
            </w:pPr>
            <w:r w:rsidRPr="00AF3B72">
              <w:rPr>
                <w:rFonts w:cs="Times New Roman"/>
                <w:sz w:val="20"/>
                <w:szCs w:val="20"/>
              </w:rPr>
              <w:t>Lax Kw’alaams Indian Band, represented by Chief Councillor Garry Reece on his own behalf and on behalf of the members of the Lax Kw’alaams Indian Band et al.</w:t>
            </w:r>
          </w:p>
          <w:p w:rsidR="00AF3B72" w:rsidRPr="00AF3B72" w:rsidRDefault="00AF3B72" w:rsidP="00BA161A">
            <w:pPr>
              <w:rPr>
                <w:rFonts w:cs="Times New Roman"/>
                <w:sz w:val="20"/>
                <w:szCs w:val="20"/>
              </w:rPr>
            </w:pPr>
          </w:p>
        </w:tc>
        <w:tc>
          <w:tcPr>
            <w:tcW w:w="467" w:type="dxa"/>
          </w:tcPr>
          <w:p w:rsidR="00AF3B72" w:rsidRPr="00AF3B72" w:rsidRDefault="00AF3B72" w:rsidP="00BA161A">
            <w:pPr>
              <w:rPr>
                <w:rFonts w:cs="Times New Roman"/>
                <w:sz w:val="20"/>
                <w:szCs w:val="20"/>
              </w:rPr>
            </w:pPr>
          </w:p>
        </w:tc>
        <w:tc>
          <w:tcPr>
            <w:tcW w:w="4687" w:type="dxa"/>
          </w:tcPr>
          <w:p w:rsidR="00AF3B72" w:rsidRPr="00AF3B72" w:rsidRDefault="00AF3B72" w:rsidP="00BA161A">
            <w:pPr>
              <w:rPr>
                <w:rFonts w:cs="Times New Roman"/>
                <w:sz w:val="20"/>
                <w:szCs w:val="20"/>
              </w:rPr>
            </w:pPr>
          </w:p>
        </w:tc>
      </w:tr>
      <w:tr w:rsidR="00AF3B72" w:rsidRPr="00AF3B72" w:rsidTr="00BA161A">
        <w:trPr>
          <w:cantSplit/>
        </w:trPr>
        <w:tc>
          <w:tcPr>
            <w:tcW w:w="1458" w:type="dxa"/>
          </w:tcPr>
          <w:p w:rsidR="00AF3B72" w:rsidRPr="00AF3B72" w:rsidRDefault="00AF3B72" w:rsidP="00BA161A">
            <w:pPr>
              <w:rPr>
                <w:rFonts w:cs="Times New Roman"/>
                <w:sz w:val="20"/>
                <w:szCs w:val="20"/>
              </w:rPr>
            </w:pPr>
          </w:p>
        </w:tc>
        <w:tc>
          <w:tcPr>
            <w:tcW w:w="3223" w:type="dxa"/>
          </w:tcPr>
          <w:p w:rsidR="00AF3B72" w:rsidRPr="00AF3B72" w:rsidRDefault="00AF3B72" w:rsidP="00BA161A">
            <w:pPr>
              <w:tabs>
                <w:tab w:val="left" w:pos="-1440"/>
                <w:tab w:val="left" w:pos="-720"/>
              </w:tabs>
              <w:jc w:val="both"/>
              <w:rPr>
                <w:rFonts w:cs="Times New Roman"/>
                <w:sz w:val="20"/>
                <w:szCs w:val="20"/>
              </w:rPr>
            </w:pPr>
            <w:r w:rsidRPr="00AF3B72">
              <w:rPr>
                <w:rFonts w:cs="Times New Roman"/>
                <w:sz w:val="20"/>
                <w:szCs w:val="20"/>
              </w:rPr>
              <w:tab/>
              <w:t>v. (33581)</w:t>
            </w:r>
          </w:p>
          <w:p w:rsidR="00AF3B72" w:rsidRPr="00AF3B72" w:rsidRDefault="00AF3B72" w:rsidP="00BA161A">
            <w:pPr>
              <w:rPr>
                <w:rFonts w:cs="Times New Roman"/>
                <w:sz w:val="20"/>
                <w:szCs w:val="20"/>
              </w:rPr>
            </w:pPr>
          </w:p>
        </w:tc>
        <w:tc>
          <w:tcPr>
            <w:tcW w:w="467" w:type="dxa"/>
          </w:tcPr>
          <w:p w:rsidR="00AF3B72" w:rsidRPr="00AF3B72" w:rsidRDefault="00AF3B72" w:rsidP="00BA161A">
            <w:pPr>
              <w:rPr>
                <w:rFonts w:cs="Times New Roman"/>
                <w:sz w:val="20"/>
                <w:szCs w:val="20"/>
              </w:rPr>
            </w:pPr>
          </w:p>
        </w:tc>
        <w:tc>
          <w:tcPr>
            <w:tcW w:w="4687" w:type="dxa"/>
          </w:tcPr>
          <w:p w:rsidR="00AF3B72" w:rsidRPr="00AF3B72" w:rsidRDefault="00AF3B72" w:rsidP="00BA161A">
            <w:pPr>
              <w:rPr>
                <w:rFonts w:cs="Times New Roman"/>
                <w:sz w:val="20"/>
                <w:szCs w:val="20"/>
              </w:rPr>
            </w:pPr>
          </w:p>
        </w:tc>
      </w:tr>
      <w:tr w:rsidR="00AF3B72" w:rsidRPr="00AF3B72" w:rsidTr="00BA161A">
        <w:trPr>
          <w:cantSplit/>
        </w:trPr>
        <w:tc>
          <w:tcPr>
            <w:tcW w:w="1458" w:type="dxa"/>
          </w:tcPr>
          <w:p w:rsidR="00AF3B72" w:rsidRPr="00AF3B72" w:rsidRDefault="00AF3B72" w:rsidP="00BA161A">
            <w:pPr>
              <w:rPr>
                <w:rFonts w:cs="Times New Roman"/>
                <w:sz w:val="20"/>
                <w:szCs w:val="20"/>
              </w:rPr>
            </w:pPr>
          </w:p>
        </w:tc>
        <w:tc>
          <w:tcPr>
            <w:tcW w:w="3223" w:type="dxa"/>
          </w:tcPr>
          <w:p w:rsidR="00AF3B72" w:rsidRPr="00AF3B72" w:rsidRDefault="00AF3B72" w:rsidP="00BA161A">
            <w:pPr>
              <w:rPr>
                <w:rFonts w:cs="Times New Roman"/>
                <w:sz w:val="20"/>
                <w:szCs w:val="20"/>
                <w:lang w:val="fr-CA"/>
              </w:rPr>
            </w:pPr>
            <w:r w:rsidRPr="00AF3B72">
              <w:rPr>
                <w:rFonts w:cs="Times New Roman"/>
                <w:sz w:val="20"/>
                <w:szCs w:val="20"/>
              </w:rPr>
              <w:t>Attorney General of Canada et al. (B.C.)</w:t>
            </w:r>
          </w:p>
        </w:tc>
        <w:tc>
          <w:tcPr>
            <w:tcW w:w="467" w:type="dxa"/>
          </w:tcPr>
          <w:p w:rsidR="00AF3B72" w:rsidRPr="00AF3B72" w:rsidRDefault="00AF3B72" w:rsidP="00BA161A">
            <w:pPr>
              <w:rPr>
                <w:rFonts w:cs="Times New Roman"/>
                <w:sz w:val="20"/>
                <w:szCs w:val="20"/>
                <w:lang w:val="fr-CA"/>
              </w:rPr>
            </w:pPr>
          </w:p>
        </w:tc>
        <w:tc>
          <w:tcPr>
            <w:tcW w:w="4687" w:type="dxa"/>
          </w:tcPr>
          <w:p w:rsidR="00AF3B72" w:rsidRPr="00AF3B72" w:rsidRDefault="00AF3B72" w:rsidP="00BA161A">
            <w:pPr>
              <w:rPr>
                <w:rFonts w:cs="Times New Roman"/>
                <w:sz w:val="20"/>
                <w:szCs w:val="20"/>
                <w:lang w:val="fr-CA"/>
              </w:rPr>
            </w:pPr>
          </w:p>
        </w:tc>
      </w:tr>
    </w:tbl>
    <w:p w:rsidR="00AF3B72" w:rsidRPr="00AF3B72" w:rsidRDefault="00AF3B72" w:rsidP="00AF3B72">
      <w:pPr>
        <w:tabs>
          <w:tab w:val="left" w:pos="-1440"/>
          <w:tab w:val="left" w:pos="-720"/>
        </w:tabs>
        <w:jc w:val="both"/>
        <w:rPr>
          <w:rFonts w:cs="Times New Roman"/>
          <w:sz w:val="20"/>
          <w:szCs w:val="20"/>
          <w:lang w:val="fr-CA"/>
        </w:rPr>
      </w:pPr>
    </w:p>
    <w:p w:rsidR="00AF3B72" w:rsidRPr="00AF3B72" w:rsidRDefault="00AF3B72" w:rsidP="00AF3B72">
      <w:pPr>
        <w:spacing w:line="233" w:lineRule="auto"/>
        <w:jc w:val="both"/>
        <w:rPr>
          <w:rFonts w:cs="Times New Roman"/>
          <w:sz w:val="20"/>
          <w:szCs w:val="20"/>
        </w:rPr>
      </w:pPr>
      <w:r w:rsidRPr="00AF3B72">
        <w:rPr>
          <w:rFonts w:cs="Times New Roman"/>
          <w:b/>
          <w:bCs/>
          <w:sz w:val="20"/>
          <w:szCs w:val="20"/>
        </w:rPr>
        <w:t>FURTHER TO THE ORDER</w:t>
      </w:r>
      <w:r w:rsidRPr="00AF3B72">
        <w:rPr>
          <w:rFonts w:cs="Times New Roman"/>
          <w:sz w:val="20"/>
          <w:szCs w:val="20"/>
        </w:rPr>
        <w:t xml:space="preserve"> dated December 15, 2010, granting leave to intervene to the Attorney General of Ontario, the Metlakatla Band, the B.C. Wildlife Federation and B.C. Seafood Alliance, the Te'Mexw Treaty Association and the Gitxaala Nation for leave to intervene in the above appeal;</w:t>
      </w:r>
    </w:p>
    <w:p w:rsidR="00AF3B72" w:rsidRPr="00AF3B72" w:rsidRDefault="00AF3B72" w:rsidP="00AF3B72">
      <w:pPr>
        <w:spacing w:line="233" w:lineRule="auto"/>
        <w:jc w:val="both"/>
        <w:rPr>
          <w:rFonts w:cs="Times New Roman"/>
          <w:sz w:val="20"/>
          <w:szCs w:val="20"/>
        </w:rPr>
      </w:pPr>
    </w:p>
    <w:p w:rsidR="00AF3B72" w:rsidRDefault="00AF3B72" w:rsidP="00AF3B72">
      <w:pPr>
        <w:spacing w:line="233" w:lineRule="auto"/>
        <w:jc w:val="both"/>
        <w:rPr>
          <w:rFonts w:cs="Times New Roman"/>
          <w:sz w:val="20"/>
          <w:szCs w:val="20"/>
        </w:rPr>
      </w:pPr>
      <w:r w:rsidRPr="00AF3B72">
        <w:rPr>
          <w:rFonts w:cs="Times New Roman"/>
          <w:b/>
          <w:bCs/>
          <w:sz w:val="20"/>
          <w:szCs w:val="20"/>
        </w:rPr>
        <w:t xml:space="preserve">IT IS HEREBY FURTHER ORDERED THAT </w:t>
      </w:r>
      <w:r w:rsidRPr="00AF3B72">
        <w:rPr>
          <w:rFonts w:cs="Times New Roman"/>
          <w:sz w:val="20"/>
          <w:szCs w:val="20"/>
        </w:rPr>
        <w:t>the interveners are granted permission to present oral argument not exceeding ten (10) minutes at the hearing of this appeal.</w:t>
      </w:r>
      <w:r>
        <w:rPr>
          <w:rFonts w:cs="Times New Roman"/>
          <w:sz w:val="20"/>
          <w:szCs w:val="20"/>
        </w:rPr>
        <w:br w:type="page"/>
      </w:r>
    </w:p>
    <w:p w:rsidR="00AF3B72" w:rsidRPr="00AF3B72" w:rsidRDefault="00AF3B72" w:rsidP="00AF3B72">
      <w:pPr>
        <w:spacing w:line="233" w:lineRule="auto"/>
        <w:jc w:val="both"/>
        <w:rPr>
          <w:rFonts w:cs="Times New Roman"/>
          <w:sz w:val="20"/>
          <w:szCs w:val="20"/>
          <w:lang w:val="fr-CA"/>
        </w:rPr>
      </w:pPr>
      <w:r w:rsidRPr="00AF3B72">
        <w:rPr>
          <w:rFonts w:cs="Times New Roman"/>
          <w:b/>
          <w:bCs/>
          <w:sz w:val="20"/>
          <w:szCs w:val="20"/>
          <w:lang w:val="fr-CA"/>
        </w:rPr>
        <w:lastRenderedPageBreak/>
        <w:t>À LA SUITE DE L’ORDONNANCE</w:t>
      </w:r>
      <w:r w:rsidRPr="00AF3B72">
        <w:rPr>
          <w:rFonts w:cs="Times New Roman"/>
          <w:sz w:val="20"/>
          <w:szCs w:val="20"/>
          <w:lang w:val="fr-CA"/>
        </w:rPr>
        <w:t xml:space="preserve"> datée du 15 décembre 2010, autorisant le procureur général de l’Ontario, la bande de Metlakatla, B.C. Wildlife Federation et B.C. Seafood Alliance, Te'Mexw Treaty Association et Gitxaala Nation à intervenir;</w:t>
      </w:r>
    </w:p>
    <w:p w:rsidR="00AF3B72" w:rsidRPr="00AF3B72" w:rsidRDefault="00AF3B72" w:rsidP="00AF3B72">
      <w:pPr>
        <w:spacing w:line="233" w:lineRule="auto"/>
        <w:jc w:val="both"/>
        <w:rPr>
          <w:rFonts w:cs="Times New Roman"/>
          <w:sz w:val="20"/>
          <w:szCs w:val="20"/>
          <w:lang w:val="fr-CA"/>
        </w:rPr>
      </w:pPr>
    </w:p>
    <w:p w:rsidR="00AF3B72" w:rsidRPr="00AF3B72" w:rsidRDefault="00AF3B72" w:rsidP="00AF3B72">
      <w:pPr>
        <w:spacing w:line="233" w:lineRule="auto"/>
        <w:jc w:val="both"/>
        <w:rPr>
          <w:rFonts w:cs="Times New Roman"/>
          <w:sz w:val="20"/>
          <w:szCs w:val="20"/>
          <w:lang w:val="fr-CA"/>
        </w:rPr>
      </w:pPr>
      <w:r w:rsidRPr="00AF3B72">
        <w:rPr>
          <w:rFonts w:cs="Times New Roman"/>
          <w:b/>
          <w:bCs/>
          <w:sz w:val="20"/>
          <w:szCs w:val="20"/>
          <w:lang w:val="fr-CA"/>
        </w:rPr>
        <w:t xml:space="preserve">IL EST EN OUTRE ORDONNÉ CE QUI SUIT : </w:t>
      </w:r>
      <w:r w:rsidRPr="00AF3B72">
        <w:rPr>
          <w:rFonts w:cs="Times New Roman"/>
          <w:bCs/>
          <w:sz w:val="20"/>
          <w:szCs w:val="20"/>
          <w:lang w:val="fr-CA"/>
        </w:rPr>
        <w:t>les intervenants sont autorisés à présenter une plaidoirie orale d’au plus dix</w:t>
      </w:r>
      <w:r w:rsidRPr="00AF3B72">
        <w:rPr>
          <w:rFonts w:cs="Times New Roman"/>
          <w:sz w:val="20"/>
          <w:szCs w:val="20"/>
          <w:lang w:val="fr-CA"/>
        </w:rPr>
        <w:t xml:space="preserve"> (10) minutes lors de l’audition de l’appel.</w:t>
      </w:r>
    </w:p>
    <w:p w:rsidR="00AF3B72" w:rsidRPr="00AF3B72" w:rsidRDefault="00AF3B72" w:rsidP="00AF3B72">
      <w:pPr>
        <w:tabs>
          <w:tab w:val="left" w:pos="-1440"/>
          <w:tab w:val="left" w:pos="-720"/>
        </w:tabs>
        <w:jc w:val="both"/>
        <w:rPr>
          <w:rFonts w:cs="Times New Roman"/>
          <w:sz w:val="20"/>
          <w:szCs w:val="20"/>
          <w:lang w:val="fr-CA"/>
        </w:rPr>
      </w:pPr>
    </w:p>
    <w:p w:rsidR="00AF3B72" w:rsidRPr="00AF3B72" w:rsidRDefault="00AF3B72" w:rsidP="00AF3B72">
      <w:pPr>
        <w:tabs>
          <w:tab w:val="left" w:pos="-1440"/>
          <w:tab w:val="left" w:pos="-720"/>
        </w:tabs>
        <w:spacing w:line="-19" w:lineRule="auto"/>
        <w:jc w:val="both"/>
        <w:rPr>
          <w:rFonts w:cs="Times New Roman"/>
          <w:sz w:val="20"/>
          <w:szCs w:val="20"/>
          <w:lang w:val="fr-CA"/>
        </w:rPr>
      </w:pPr>
    </w:p>
    <w:p w:rsidR="00AF3B72" w:rsidRPr="00AF3B72" w:rsidRDefault="003E529C" w:rsidP="00AF3B72">
      <w:pPr>
        <w:tabs>
          <w:tab w:val="left" w:pos="-1440"/>
          <w:tab w:val="left" w:pos="-720"/>
        </w:tabs>
        <w:jc w:val="both"/>
        <w:rPr>
          <w:rFonts w:cs="Times New Roman"/>
          <w:sz w:val="20"/>
          <w:szCs w:val="20"/>
        </w:rPr>
      </w:pPr>
      <w:r w:rsidRPr="003E529C">
        <w:rPr>
          <w:rFonts w:cs="Times New Roman"/>
          <w:sz w:val="20"/>
          <w:szCs w:val="20"/>
          <w:lang w:val="fr-CA"/>
        </w:rPr>
        <w:pict>
          <v:rect id="_x0000_i1066" style="width:2in;height:1pt" o:hrpct="0" o:hralign="center" o:hrstd="t" o:hrnoshade="t" o:hr="t" fillcolor="black [3213]" stroked="f"/>
        </w:pict>
      </w:r>
    </w:p>
    <w:p w:rsidR="00AF3B72" w:rsidRPr="00AF3B72" w:rsidRDefault="00AF3B72" w:rsidP="00AF3B72">
      <w:pPr>
        <w:tabs>
          <w:tab w:val="left" w:pos="-1440"/>
          <w:tab w:val="left" w:pos="-720"/>
        </w:tabs>
        <w:jc w:val="both"/>
        <w:rPr>
          <w:rFonts w:cs="Times New Roman"/>
          <w:sz w:val="20"/>
          <w:szCs w:val="20"/>
        </w:rPr>
      </w:pPr>
    </w:p>
    <w:p w:rsidR="00AF3B72" w:rsidRPr="00AF3B72" w:rsidRDefault="00AF3B72" w:rsidP="00AF3B72">
      <w:pPr>
        <w:tabs>
          <w:tab w:val="left" w:pos="-1440"/>
          <w:tab w:val="left" w:pos="-720"/>
        </w:tabs>
        <w:jc w:val="both"/>
        <w:rPr>
          <w:rFonts w:cs="Times New Roman"/>
          <w:sz w:val="20"/>
          <w:szCs w:val="20"/>
          <w:lang w:val="fr-CA"/>
        </w:rPr>
      </w:pPr>
      <w:r w:rsidRPr="00AF3B72">
        <w:rPr>
          <w:rFonts w:cs="Times New Roman"/>
          <w:sz w:val="20"/>
          <w:szCs w:val="20"/>
          <w:lang w:val="fr-CA"/>
        </w:rPr>
        <w:t>03.02.2011</w:t>
      </w:r>
    </w:p>
    <w:p w:rsidR="00AF3B72" w:rsidRPr="00AF3B72" w:rsidRDefault="00AF3B72" w:rsidP="00AF3B72">
      <w:pPr>
        <w:tabs>
          <w:tab w:val="left" w:pos="-1440"/>
          <w:tab w:val="left" w:pos="-720"/>
        </w:tabs>
        <w:jc w:val="both"/>
        <w:rPr>
          <w:rFonts w:cs="Times New Roman"/>
          <w:sz w:val="20"/>
          <w:szCs w:val="20"/>
          <w:lang w:val="fr-CA"/>
        </w:rPr>
      </w:pPr>
    </w:p>
    <w:p w:rsidR="00AF3B72" w:rsidRPr="00AF3B72" w:rsidRDefault="00AF3B72" w:rsidP="00AF3B72">
      <w:pPr>
        <w:tabs>
          <w:tab w:val="left" w:pos="-1440"/>
          <w:tab w:val="left" w:pos="-720"/>
        </w:tabs>
        <w:jc w:val="both"/>
        <w:rPr>
          <w:rFonts w:cs="Times New Roman"/>
          <w:sz w:val="20"/>
          <w:szCs w:val="20"/>
          <w:lang w:val="fr-CA"/>
        </w:rPr>
      </w:pPr>
      <w:r w:rsidRPr="00AF3B72">
        <w:rPr>
          <w:rFonts w:cs="Times New Roman"/>
          <w:sz w:val="20"/>
          <w:szCs w:val="20"/>
          <w:lang w:val="fr-CA"/>
        </w:rPr>
        <w:t>Before / Devant :   DESCHAMPS J. / LA JUGE DESCHAMPS</w:t>
      </w:r>
    </w:p>
    <w:p w:rsidR="00AF3B72" w:rsidRPr="00AF3B72" w:rsidRDefault="00AF3B72" w:rsidP="00AF3B72">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223"/>
        <w:gridCol w:w="467"/>
        <w:gridCol w:w="4687"/>
      </w:tblGrid>
      <w:tr w:rsidR="00AF3B72" w:rsidRPr="009122D4" w:rsidTr="00BA161A">
        <w:trPr>
          <w:cantSplit/>
        </w:trPr>
        <w:tc>
          <w:tcPr>
            <w:tcW w:w="4681" w:type="dxa"/>
            <w:gridSpan w:val="2"/>
          </w:tcPr>
          <w:p w:rsidR="00AF3B72" w:rsidRPr="00AF3B72" w:rsidRDefault="00AF3B72" w:rsidP="00BA161A">
            <w:pPr>
              <w:jc w:val="both"/>
              <w:rPr>
                <w:rFonts w:cs="Times New Roman"/>
                <w:b/>
                <w:sz w:val="20"/>
                <w:szCs w:val="20"/>
              </w:rPr>
            </w:pPr>
            <w:r w:rsidRPr="00AF3B72">
              <w:rPr>
                <w:rFonts w:cs="Times New Roman"/>
                <w:b/>
                <w:bCs/>
                <w:sz w:val="20"/>
                <w:szCs w:val="20"/>
              </w:rPr>
              <w:t>Order on interventions with respect to oral argument</w:t>
            </w:r>
          </w:p>
        </w:tc>
        <w:tc>
          <w:tcPr>
            <w:tcW w:w="467" w:type="dxa"/>
          </w:tcPr>
          <w:p w:rsidR="00AF3B72" w:rsidRPr="00AF3B72" w:rsidRDefault="00AF3B72" w:rsidP="00BA161A">
            <w:pPr>
              <w:jc w:val="both"/>
              <w:rPr>
                <w:rFonts w:cs="Times New Roman"/>
                <w:sz w:val="20"/>
                <w:szCs w:val="20"/>
              </w:rPr>
            </w:pPr>
          </w:p>
          <w:p w:rsidR="00AF3B72" w:rsidRPr="00AF3B72" w:rsidRDefault="00AF3B72" w:rsidP="00BA161A">
            <w:pPr>
              <w:jc w:val="both"/>
              <w:rPr>
                <w:rFonts w:cs="Times New Roman"/>
                <w:sz w:val="20"/>
                <w:szCs w:val="20"/>
              </w:rPr>
            </w:pPr>
          </w:p>
          <w:p w:rsidR="00AF3B72" w:rsidRPr="00AF3B72" w:rsidRDefault="00AF3B72" w:rsidP="00BA161A">
            <w:pPr>
              <w:jc w:val="both"/>
              <w:rPr>
                <w:rFonts w:cs="Times New Roman"/>
                <w:sz w:val="20"/>
                <w:szCs w:val="20"/>
              </w:rPr>
            </w:pPr>
          </w:p>
        </w:tc>
        <w:tc>
          <w:tcPr>
            <w:tcW w:w="4687" w:type="dxa"/>
          </w:tcPr>
          <w:p w:rsidR="00AF3B72" w:rsidRPr="00AF3B72" w:rsidRDefault="00AF3B72" w:rsidP="00BA161A">
            <w:pPr>
              <w:jc w:val="both"/>
              <w:rPr>
                <w:rFonts w:cs="Times New Roman"/>
                <w:b/>
                <w:sz w:val="20"/>
                <w:szCs w:val="20"/>
                <w:lang w:val="fr-CA"/>
              </w:rPr>
            </w:pPr>
            <w:r w:rsidRPr="00AF3B72">
              <w:rPr>
                <w:rFonts w:cs="Times New Roman"/>
                <w:b/>
                <w:bCs/>
                <w:sz w:val="20"/>
                <w:szCs w:val="20"/>
                <w:lang w:val="fr-CA"/>
              </w:rPr>
              <w:t>Ordonnance relative à la présentation d’une plaidoirie orale par les intervenants</w:t>
            </w:r>
          </w:p>
        </w:tc>
      </w:tr>
      <w:tr w:rsidR="00AF3B72" w:rsidRPr="00AF3B72" w:rsidTr="00BA161A">
        <w:trPr>
          <w:cantSplit/>
        </w:trPr>
        <w:tc>
          <w:tcPr>
            <w:tcW w:w="1458" w:type="dxa"/>
          </w:tcPr>
          <w:p w:rsidR="00AF3B72" w:rsidRPr="00AF3B72" w:rsidRDefault="00AF3B72" w:rsidP="00BA161A">
            <w:pPr>
              <w:rPr>
                <w:rFonts w:cs="Times New Roman"/>
                <w:sz w:val="20"/>
                <w:szCs w:val="20"/>
                <w:lang w:val="fr-CA"/>
              </w:rPr>
            </w:pPr>
            <w:r w:rsidRPr="00AF3B72">
              <w:rPr>
                <w:rFonts w:cs="Times New Roman"/>
                <w:sz w:val="20"/>
                <w:szCs w:val="20"/>
                <w:lang w:val="fr-CA"/>
              </w:rPr>
              <w:t>RE :</w:t>
            </w:r>
          </w:p>
        </w:tc>
        <w:tc>
          <w:tcPr>
            <w:tcW w:w="3223" w:type="dxa"/>
          </w:tcPr>
          <w:p w:rsidR="00AF3B72" w:rsidRPr="00AF3B72" w:rsidRDefault="00AF3B72" w:rsidP="00BA161A">
            <w:pPr>
              <w:rPr>
                <w:rFonts w:cs="Times New Roman"/>
                <w:sz w:val="20"/>
                <w:szCs w:val="20"/>
              </w:rPr>
            </w:pPr>
            <w:r w:rsidRPr="00AF3B72">
              <w:rPr>
                <w:rFonts w:cs="Times New Roman"/>
                <w:sz w:val="20"/>
                <w:szCs w:val="20"/>
              </w:rPr>
              <w:t>Attorney General of British Columbia;</w:t>
            </w:r>
          </w:p>
        </w:tc>
        <w:tc>
          <w:tcPr>
            <w:tcW w:w="467" w:type="dxa"/>
          </w:tcPr>
          <w:p w:rsidR="00AF3B72" w:rsidRPr="00AF3B72" w:rsidRDefault="00AF3B72" w:rsidP="00BA161A">
            <w:pPr>
              <w:rPr>
                <w:rFonts w:cs="Times New Roman"/>
                <w:sz w:val="20"/>
                <w:szCs w:val="20"/>
              </w:rPr>
            </w:pPr>
          </w:p>
        </w:tc>
        <w:tc>
          <w:tcPr>
            <w:tcW w:w="4687" w:type="dxa"/>
          </w:tcPr>
          <w:p w:rsidR="00AF3B72" w:rsidRPr="00AF3B72" w:rsidRDefault="00AF3B72" w:rsidP="00BA161A">
            <w:pPr>
              <w:rPr>
                <w:rFonts w:cs="Times New Roman"/>
                <w:sz w:val="20"/>
                <w:szCs w:val="20"/>
              </w:rPr>
            </w:pPr>
          </w:p>
        </w:tc>
      </w:tr>
      <w:tr w:rsidR="00AF3B72" w:rsidRPr="00AF3B72" w:rsidTr="00BA161A">
        <w:trPr>
          <w:cantSplit/>
        </w:trPr>
        <w:tc>
          <w:tcPr>
            <w:tcW w:w="1458" w:type="dxa"/>
          </w:tcPr>
          <w:p w:rsidR="00AF3B72" w:rsidRPr="00AF3B72" w:rsidRDefault="00AF3B72" w:rsidP="00BA161A">
            <w:pPr>
              <w:rPr>
                <w:rFonts w:cs="Times New Roman"/>
                <w:sz w:val="20"/>
                <w:szCs w:val="20"/>
              </w:rPr>
            </w:pPr>
          </w:p>
        </w:tc>
        <w:tc>
          <w:tcPr>
            <w:tcW w:w="3223" w:type="dxa"/>
          </w:tcPr>
          <w:p w:rsidR="00AF3B72" w:rsidRPr="00AF3B72" w:rsidRDefault="00AF3B72" w:rsidP="00BA161A">
            <w:pPr>
              <w:rPr>
                <w:rFonts w:cs="Times New Roman"/>
                <w:sz w:val="20"/>
                <w:szCs w:val="20"/>
              </w:rPr>
            </w:pPr>
            <w:r w:rsidRPr="00AF3B72">
              <w:rPr>
                <w:rFonts w:cs="Times New Roman"/>
                <w:sz w:val="20"/>
                <w:szCs w:val="20"/>
              </w:rPr>
              <w:t>Information and Privacy Commissioner of British Columbia;</w:t>
            </w:r>
          </w:p>
        </w:tc>
        <w:tc>
          <w:tcPr>
            <w:tcW w:w="467" w:type="dxa"/>
          </w:tcPr>
          <w:p w:rsidR="00AF3B72" w:rsidRPr="00AF3B72" w:rsidRDefault="00AF3B72" w:rsidP="00BA161A">
            <w:pPr>
              <w:rPr>
                <w:rFonts w:cs="Times New Roman"/>
                <w:sz w:val="20"/>
                <w:szCs w:val="20"/>
              </w:rPr>
            </w:pPr>
          </w:p>
        </w:tc>
        <w:tc>
          <w:tcPr>
            <w:tcW w:w="4687" w:type="dxa"/>
          </w:tcPr>
          <w:p w:rsidR="00AF3B72" w:rsidRPr="00AF3B72" w:rsidRDefault="00AF3B72" w:rsidP="00BA161A">
            <w:pPr>
              <w:rPr>
                <w:rFonts w:cs="Times New Roman"/>
                <w:sz w:val="20"/>
                <w:szCs w:val="20"/>
              </w:rPr>
            </w:pPr>
          </w:p>
        </w:tc>
      </w:tr>
      <w:tr w:rsidR="00AF3B72" w:rsidRPr="00AF3B72" w:rsidTr="00BA161A">
        <w:trPr>
          <w:cantSplit/>
        </w:trPr>
        <w:tc>
          <w:tcPr>
            <w:tcW w:w="1458" w:type="dxa"/>
          </w:tcPr>
          <w:p w:rsidR="00AF3B72" w:rsidRPr="00AF3B72" w:rsidRDefault="00AF3B72" w:rsidP="00BA161A">
            <w:pPr>
              <w:rPr>
                <w:rFonts w:cs="Times New Roman"/>
                <w:sz w:val="20"/>
                <w:szCs w:val="20"/>
              </w:rPr>
            </w:pPr>
          </w:p>
        </w:tc>
        <w:tc>
          <w:tcPr>
            <w:tcW w:w="3223" w:type="dxa"/>
          </w:tcPr>
          <w:p w:rsidR="00AF3B72" w:rsidRPr="00AF3B72" w:rsidRDefault="00AF3B72" w:rsidP="00BA161A">
            <w:pPr>
              <w:rPr>
                <w:rFonts w:cs="Times New Roman"/>
                <w:sz w:val="20"/>
                <w:szCs w:val="20"/>
              </w:rPr>
            </w:pPr>
            <w:r w:rsidRPr="00AF3B72">
              <w:rPr>
                <w:rFonts w:cs="Times New Roman"/>
                <w:sz w:val="20"/>
                <w:szCs w:val="20"/>
              </w:rPr>
              <w:t>B.C. Freedom of Information and Privacy Association</w:t>
            </w:r>
          </w:p>
        </w:tc>
        <w:tc>
          <w:tcPr>
            <w:tcW w:w="467" w:type="dxa"/>
          </w:tcPr>
          <w:p w:rsidR="00AF3B72" w:rsidRPr="00AF3B72" w:rsidRDefault="00AF3B72" w:rsidP="00BA161A">
            <w:pPr>
              <w:rPr>
                <w:rFonts w:cs="Times New Roman"/>
                <w:sz w:val="20"/>
                <w:szCs w:val="20"/>
              </w:rPr>
            </w:pPr>
          </w:p>
        </w:tc>
        <w:tc>
          <w:tcPr>
            <w:tcW w:w="4687" w:type="dxa"/>
          </w:tcPr>
          <w:p w:rsidR="00AF3B72" w:rsidRPr="00AF3B72" w:rsidRDefault="00AF3B72" w:rsidP="00BA161A">
            <w:pPr>
              <w:rPr>
                <w:rFonts w:cs="Times New Roman"/>
                <w:sz w:val="20"/>
                <w:szCs w:val="20"/>
              </w:rPr>
            </w:pPr>
          </w:p>
        </w:tc>
      </w:tr>
      <w:tr w:rsidR="00AF3B72" w:rsidRPr="00AF3B72" w:rsidTr="00BA161A">
        <w:trPr>
          <w:cantSplit/>
        </w:trPr>
        <w:tc>
          <w:tcPr>
            <w:tcW w:w="1458" w:type="dxa"/>
          </w:tcPr>
          <w:p w:rsidR="00AF3B72" w:rsidRPr="00AF3B72" w:rsidRDefault="00AF3B72" w:rsidP="00BA161A">
            <w:pPr>
              <w:rPr>
                <w:rFonts w:cs="Times New Roman"/>
                <w:sz w:val="20"/>
                <w:szCs w:val="20"/>
              </w:rPr>
            </w:pPr>
          </w:p>
        </w:tc>
        <w:tc>
          <w:tcPr>
            <w:tcW w:w="3223" w:type="dxa"/>
          </w:tcPr>
          <w:p w:rsidR="00AF3B72" w:rsidRPr="00AF3B72" w:rsidRDefault="00AF3B72" w:rsidP="00BA161A">
            <w:pPr>
              <w:rPr>
                <w:rFonts w:cs="Times New Roman"/>
                <w:sz w:val="20"/>
                <w:szCs w:val="20"/>
              </w:rPr>
            </w:pPr>
          </w:p>
        </w:tc>
        <w:tc>
          <w:tcPr>
            <w:tcW w:w="467" w:type="dxa"/>
          </w:tcPr>
          <w:p w:rsidR="00AF3B72" w:rsidRPr="00AF3B72" w:rsidRDefault="00AF3B72" w:rsidP="00BA161A">
            <w:pPr>
              <w:rPr>
                <w:rFonts w:cs="Times New Roman"/>
                <w:sz w:val="20"/>
                <w:szCs w:val="20"/>
              </w:rPr>
            </w:pPr>
          </w:p>
        </w:tc>
        <w:tc>
          <w:tcPr>
            <w:tcW w:w="4687" w:type="dxa"/>
          </w:tcPr>
          <w:p w:rsidR="00AF3B72" w:rsidRPr="00AF3B72" w:rsidRDefault="00AF3B72" w:rsidP="00BA161A">
            <w:pPr>
              <w:rPr>
                <w:rFonts w:cs="Times New Roman"/>
                <w:sz w:val="20"/>
                <w:szCs w:val="20"/>
              </w:rPr>
            </w:pPr>
          </w:p>
        </w:tc>
      </w:tr>
      <w:tr w:rsidR="00AF3B72" w:rsidRPr="00AF3B72" w:rsidTr="00BA161A">
        <w:trPr>
          <w:cantSplit/>
        </w:trPr>
        <w:tc>
          <w:tcPr>
            <w:tcW w:w="1458" w:type="dxa"/>
          </w:tcPr>
          <w:p w:rsidR="00AF3B72" w:rsidRPr="00AF3B72" w:rsidRDefault="00AF3B72" w:rsidP="00BA161A">
            <w:pPr>
              <w:rPr>
                <w:rFonts w:cs="Times New Roman"/>
                <w:sz w:val="20"/>
                <w:szCs w:val="20"/>
              </w:rPr>
            </w:pPr>
            <w:r w:rsidRPr="00AF3B72">
              <w:rPr>
                <w:rFonts w:cs="Times New Roman"/>
                <w:sz w:val="20"/>
                <w:szCs w:val="20"/>
              </w:rPr>
              <w:t>IN / DANS :</w:t>
            </w:r>
          </w:p>
        </w:tc>
        <w:tc>
          <w:tcPr>
            <w:tcW w:w="3223" w:type="dxa"/>
          </w:tcPr>
          <w:p w:rsidR="00AF3B72" w:rsidRPr="00AF3B72" w:rsidRDefault="00AF3B72" w:rsidP="00BA161A">
            <w:pPr>
              <w:tabs>
                <w:tab w:val="left" w:pos="-1440"/>
                <w:tab w:val="left" w:pos="-720"/>
              </w:tabs>
              <w:jc w:val="both"/>
              <w:rPr>
                <w:rFonts w:cs="Times New Roman"/>
                <w:sz w:val="20"/>
                <w:szCs w:val="20"/>
              </w:rPr>
            </w:pPr>
            <w:r w:rsidRPr="00AF3B72">
              <w:rPr>
                <w:rFonts w:cs="Times New Roman"/>
                <w:sz w:val="20"/>
                <w:szCs w:val="20"/>
              </w:rPr>
              <w:t>Information and Privacy</w:t>
            </w:r>
          </w:p>
          <w:p w:rsidR="00AF3B72" w:rsidRPr="00AF3B72" w:rsidRDefault="00AF3B72" w:rsidP="00BA161A">
            <w:pPr>
              <w:tabs>
                <w:tab w:val="left" w:pos="-1440"/>
                <w:tab w:val="left" w:pos="-720"/>
              </w:tabs>
              <w:jc w:val="both"/>
              <w:rPr>
                <w:rFonts w:cs="Times New Roman"/>
                <w:sz w:val="20"/>
                <w:szCs w:val="20"/>
              </w:rPr>
            </w:pPr>
            <w:r w:rsidRPr="00AF3B72">
              <w:rPr>
                <w:rFonts w:cs="Times New Roman"/>
                <w:sz w:val="20"/>
                <w:szCs w:val="20"/>
              </w:rPr>
              <w:t>Commissioner</w:t>
            </w:r>
          </w:p>
          <w:p w:rsidR="00AF3B72" w:rsidRPr="00AF3B72" w:rsidRDefault="00AF3B72" w:rsidP="00BA161A">
            <w:pPr>
              <w:rPr>
                <w:rFonts w:cs="Times New Roman"/>
                <w:sz w:val="20"/>
                <w:szCs w:val="20"/>
              </w:rPr>
            </w:pPr>
          </w:p>
        </w:tc>
        <w:tc>
          <w:tcPr>
            <w:tcW w:w="467" w:type="dxa"/>
          </w:tcPr>
          <w:p w:rsidR="00AF3B72" w:rsidRPr="00AF3B72" w:rsidRDefault="00AF3B72" w:rsidP="00BA161A">
            <w:pPr>
              <w:rPr>
                <w:rFonts w:cs="Times New Roman"/>
                <w:sz w:val="20"/>
                <w:szCs w:val="20"/>
              </w:rPr>
            </w:pPr>
          </w:p>
        </w:tc>
        <w:tc>
          <w:tcPr>
            <w:tcW w:w="4687" w:type="dxa"/>
          </w:tcPr>
          <w:p w:rsidR="00AF3B72" w:rsidRPr="00AF3B72" w:rsidRDefault="00AF3B72" w:rsidP="00BA161A">
            <w:pPr>
              <w:rPr>
                <w:rFonts w:cs="Times New Roman"/>
                <w:sz w:val="20"/>
                <w:szCs w:val="20"/>
              </w:rPr>
            </w:pPr>
          </w:p>
        </w:tc>
      </w:tr>
      <w:tr w:rsidR="00AF3B72" w:rsidRPr="00AF3B72" w:rsidTr="00BA161A">
        <w:trPr>
          <w:cantSplit/>
        </w:trPr>
        <w:tc>
          <w:tcPr>
            <w:tcW w:w="1458" w:type="dxa"/>
          </w:tcPr>
          <w:p w:rsidR="00AF3B72" w:rsidRPr="00AF3B72" w:rsidRDefault="00AF3B72" w:rsidP="00BA161A">
            <w:pPr>
              <w:rPr>
                <w:rFonts w:cs="Times New Roman"/>
                <w:sz w:val="20"/>
                <w:szCs w:val="20"/>
              </w:rPr>
            </w:pPr>
          </w:p>
        </w:tc>
        <w:tc>
          <w:tcPr>
            <w:tcW w:w="3223" w:type="dxa"/>
          </w:tcPr>
          <w:p w:rsidR="00AF3B72" w:rsidRPr="00AF3B72" w:rsidRDefault="00AF3B72" w:rsidP="00BA161A">
            <w:pPr>
              <w:tabs>
                <w:tab w:val="left" w:pos="-1440"/>
                <w:tab w:val="left" w:pos="-720"/>
              </w:tabs>
              <w:jc w:val="both"/>
              <w:rPr>
                <w:rFonts w:cs="Times New Roman"/>
                <w:sz w:val="20"/>
                <w:szCs w:val="20"/>
              </w:rPr>
            </w:pPr>
            <w:r w:rsidRPr="00AF3B72">
              <w:rPr>
                <w:rFonts w:cs="Times New Roman"/>
                <w:sz w:val="20"/>
                <w:szCs w:val="20"/>
              </w:rPr>
              <w:tab/>
              <w:t>v. (33620)</w:t>
            </w:r>
          </w:p>
          <w:p w:rsidR="00AF3B72" w:rsidRPr="00AF3B72" w:rsidRDefault="00AF3B72" w:rsidP="00BA161A">
            <w:pPr>
              <w:rPr>
                <w:rFonts w:cs="Times New Roman"/>
                <w:sz w:val="20"/>
                <w:szCs w:val="20"/>
              </w:rPr>
            </w:pPr>
          </w:p>
        </w:tc>
        <w:tc>
          <w:tcPr>
            <w:tcW w:w="467" w:type="dxa"/>
          </w:tcPr>
          <w:p w:rsidR="00AF3B72" w:rsidRPr="00AF3B72" w:rsidRDefault="00AF3B72" w:rsidP="00BA161A">
            <w:pPr>
              <w:rPr>
                <w:rFonts w:cs="Times New Roman"/>
                <w:sz w:val="20"/>
                <w:szCs w:val="20"/>
              </w:rPr>
            </w:pPr>
          </w:p>
        </w:tc>
        <w:tc>
          <w:tcPr>
            <w:tcW w:w="4687" w:type="dxa"/>
          </w:tcPr>
          <w:p w:rsidR="00AF3B72" w:rsidRPr="00AF3B72" w:rsidRDefault="00AF3B72" w:rsidP="00BA161A">
            <w:pPr>
              <w:rPr>
                <w:rFonts w:cs="Times New Roman"/>
                <w:sz w:val="20"/>
                <w:szCs w:val="20"/>
              </w:rPr>
            </w:pPr>
          </w:p>
        </w:tc>
      </w:tr>
      <w:tr w:rsidR="00AF3B72" w:rsidRPr="00AF3B72" w:rsidTr="00BA161A">
        <w:trPr>
          <w:cantSplit/>
        </w:trPr>
        <w:tc>
          <w:tcPr>
            <w:tcW w:w="1458" w:type="dxa"/>
          </w:tcPr>
          <w:p w:rsidR="00AF3B72" w:rsidRPr="00AF3B72" w:rsidRDefault="00AF3B72" w:rsidP="00BA161A">
            <w:pPr>
              <w:rPr>
                <w:rFonts w:cs="Times New Roman"/>
                <w:sz w:val="20"/>
                <w:szCs w:val="20"/>
              </w:rPr>
            </w:pPr>
          </w:p>
        </w:tc>
        <w:tc>
          <w:tcPr>
            <w:tcW w:w="3223" w:type="dxa"/>
          </w:tcPr>
          <w:p w:rsidR="00AF3B72" w:rsidRPr="00AF3B72" w:rsidRDefault="00AF3B72" w:rsidP="00BA161A">
            <w:pPr>
              <w:rPr>
                <w:rFonts w:cs="Times New Roman"/>
                <w:sz w:val="20"/>
                <w:szCs w:val="20"/>
                <w:lang w:val="fr-CA"/>
              </w:rPr>
            </w:pPr>
            <w:r w:rsidRPr="00AF3B72">
              <w:rPr>
                <w:rFonts w:cs="Times New Roman"/>
                <w:sz w:val="20"/>
                <w:szCs w:val="20"/>
              </w:rPr>
              <w:t>Alberta Teachers' Association (Alta.)</w:t>
            </w:r>
          </w:p>
        </w:tc>
        <w:tc>
          <w:tcPr>
            <w:tcW w:w="467" w:type="dxa"/>
          </w:tcPr>
          <w:p w:rsidR="00AF3B72" w:rsidRPr="00AF3B72" w:rsidRDefault="00AF3B72" w:rsidP="00BA161A">
            <w:pPr>
              <w:rPr>
                <w:rFonts w:cs="Times New Roman"/>
                <w:sz w:val="20"/>
                <w:szCs w:val="20"/>
                <w:lang w:val="fr-CA"/>
              </w:rPr>
            </w:pPr>
          </w:p>
        </w:tc>
        <w:tc>
          <w:tcPr>
            <w:tcW w:w="4687" w:type="dxa"/>
          </w:tcPr>
          <w:p w:rsidR="00AF3B72" w:rsidRPr="00AF3B72" w:rsidRDefault="00AF3B72" w:rsidP="00BA161A">
            <w:pPr>
              <w:rPr>
                <w:rFonts w:cs="Times New Roman"/>
                <w:sz w:val="20"/>
                <w:szCs w:val="20"/>
                <w:lang w:val="fr-CA"/>
              </w:rPr>
            </w:pPr>
          </w:p>
        </w:tc>
      </w:tr>
    </w:tbl>
    <w:p w:rsidR="00AF3B72" w:rsidRPr="00AF3B72" w:rsidRDefault="00AF3B72" w:rsidP="00AF3B72">
      <w:pPr>
        <w:tabs>
          <w:tab w:val="left" w:pos="-1440"/>
          <w:tab w:val="left" w:pos="-720"/>
        </w:tabs>
        <w:jc w:val="both"/>
        <w:rPr>
          <w:rFonts w:cs="Times New Roman"/>
          <w:sz w:val="20"/>
          <w:szCs w:val="20"/>
          <w:lang w:val="fr-CA"/>
        </w:rPr>
      </w:pPr>
    </w:p>
    <w:p w:rsidR="00AF3B72" w:rsidRPr="00AF3B72" w:rsidRDefault="00AF3B72" w:rsidP="00AF3B72">
      <w:pPr>
        <w:spacing w:line="233" w:lineRule="auto"/>
        <w:jc w:val="both"/>
        <w:rPr>
          <w:rFonts w:cs="Times New Roman"/>
          <w:sz w:val="20"/>
          <w:szCs w:val="20"/>
        </w:rPr>
      </w:pPr>
      <w:r w:rsidRPr="00AF3B72">
        <w:rPr>
          <w:rFonts w:cs="Times New Roman"/>
          <w:b/>
          <w:bCs/>
          <w:sz w:val="20"/>
          <w:szCs w:val="20"/>
        </w:rPr>
        <w:t>FURTHER TO THE ORDER</w:t>
      </w:r>
      <w:r w:rsidRPr="00AF3B72">
        <w:rPr>
          <w:rFonts w:cs="Times New Roman"/>
          <w:sz w:val="20"/>
          <w:szCs w:val="20"/>
        </w:rPr>
        <w:t xml:space="preserve"> dated November 24, 2010, granting leave to intervene to the Attorney General of British Columbia, the Information and Privacy Commissioner of British Columbia and the BC Freedom of Information and Privacy Association for leave to intervene in the above appeal;</w:t>
      </w:r>
    </w:p>
    <w:p w:rsidR="00AF3B72" w:rsidRPr="00AF3B72" w:rsidRDefault="00AF3B72" w:rsidP="00AF3B72">
      <w:pPr>
        <w:spacing w:line="233" w:lineRule="auto"/>
        <w:jc w:val="both"/>
        <w:rPr>
          <w:rFonts w:cs="Times New Roman"/>
          <w:sz w:val="20"/>
          <w:szCs w:val="20"/>
        </w:rPr>
      </w:pPr>
    </w:p>
    <w:p w:rsidR="00AF3B72" w:rsidRPr="00AF3B72" w:rsidRDefault="00AF3B72" w:rsidP="00AF3B72">
      <w:pPr>
        <w:spacing w:line="233" w:lineRule="auto"/>
        <w:jc w:val="both"/>
        <w:rPr>
          <w:rFonts w:cs="Times New Roman"/>
          <w:sz w:val="20"/>
          <w:szCs w:val="20"/>
        </w:rPr>
      </w:pPr>
      <w:r w:rsidRPr="00AF3B72">
        <w:rPr>
          <w:rFonts w:cs="Times New Roman"/>
          <w:b/>
          <w:bCs/>
          <w:sz w:val="20"/>
          <w:szCs w:val="20"/>
        </w:rPr>
        <w:t xml:space="preserve">IT IS HEREBY FURTHER ORDERED THAT </w:t>
      </w:r>
      <w:r w:rsidRPr="00AF3B72">
        <w:rPr>
          <w:rFonts w:cs="Times New Roman"/>
          <w:sz w:val="20"/>
          <w:szCs w:val="20"/>
        </w:rPr>
        <w:t xml:space="preserve">the interveners Attorney General of British Columbia and the BC Freedom of Information and Privacy Association are granted permission to present oral argument not exceeding ten (10) minutes at the hearing of this appeal. </w:t>
      </w:r>
    </w:p>
    <w:p w:rsidR="00AF3B72" w:rsidRPr="00AF3B72" w:rsidRDefault="00AF3B72" w:rsidP="00AF3B72">
      <w:pPr>
        <w:spacing w:line="233" w:lineRule="auto"/>
        <w:jc w:val="both"/>
        <w:rPr>
          <w:rFonts w:cs="Times New Roman"/>
          <w:sz w:val="20"/>
          <w:szCs w:val="20"/>
        </w:rPr>
      </w:pPr>
    </w:p>
    <w:p w:rsidR="00AF3B72" w:rsidRPr="00AF3B72" w:rsidRDefault="00AF3B72" w:rsidP="00AF3B72">
      <w:pPr>
        <w:spacing w:line="233" w:lineRule="auto"/>
        <w:jc w:val="both"/>
        <w:rPr>
          <w:rFonts w:cs="Times New Roman"/>
          <w:sz w:val="20"/>
          <w:szCs w:val="20"/>
        </w:rPr>
      </w:pPr>
      <w:r w:rsidRPr="00AF3B72">
        <w:rPr>
          <w:rFonts w:cs="Times New Roman"/>
          <w:b/>
          <w:bCs/>
          <w:sz w:val="20"/>
          <w:szCs w:val="20"/>
        </w:rPr>
        <w:t xml:space="preserve">IT IS HEREBY FURTHER ORDERED THAT </w:t>
      </w:r>
      <w:r w:rsidRPr="00AF3B72">
        <w:rPr>
          <w:rFonts w:cs="Times New Roman"/>
          <w:sz w:val="20"/>
          <w:szCs w:val="20"/>
        </w:rPr>
        <w:t>that the intervener Information and Privacy Commissioner of British Columbia is denied permission to present oral argument at the hearing of the appeal.</w:t>
      </w:r>
    </w:p>
    <w:p w:rsidR="00AF3B72" w:rsidRPr="00AF3B72" w:rsidRDefault="00AF3B72" w:rsidP="00AF3B72">
      <w:pPr>
        <w:spacing w:line="233" w:lineRule="auto"/>
        <w:jc w:val="both"/>
        <w:rPr>
          <w:rFonts w:cs="Times New Roman"/>
          <w:sz w:val="20"/>
          <w:szCs w:val="20"/>
        </w:rPr>
      </w:pPr>
    </w:p>
    <w:p w:rsidR="00AF3B72" w:rsidRPr="00AF3B72" w:rsidRDefault="00AF3B72" w:rsidP="00AF3B72">
      <w:pPr>
        <w:spacing w:line="233" w:lineRule="auto"/>
        <w:jc w:val="both"/>
        <w:rPr>
          <w:rFonts w:cs="Times New Roman"/>
          <w:sz w:val="20"/>
          <w:szCs w:val="20"/>
        </w:rPr>
      </w:pPr>
    </w:p>
    <w:p w:rsidR="00AF3B72" w:rsidRPr="00AF3B72" w:rsidRDefault="00AF3B72" w:rsidP="00AF3B72">
      <w:pPr>
        <w:spacing w:line="233" w:lineRule="auto"/>
        <w:jc w:val="both"/>
        <w:rPr>
          <w:rFonts w:cs="Times New Roman"/>
          <w:sz w:val="20"/>
          <w:szCs w:val="20"/>
        </w:rPr>
      </w:pPr>
    </w:p>
    <w:p w:rsidR="00AF3B72" w:rsidRPr="00AF3B72" w:rsidRDefault="00AF3B72" w:rsidP="00AF3B72">
      <w:pPr>
        <w:spacing w:line="233" w:lineRule="auto"/>
        <w:jc w:val="both"/>
        <w:rPr>
          <w:rFonts w:cs="Times New Roman"/>
          <w:sz w:val="20"/>
          <w:szCs w:val="20"/>
          <w:lang w:val="fr-CA"/>
        </w:rPr>
      </w:pPr>
      <w:r w:rsidRPr="00AF3B72">
        <w:rPr>
          <w:rFonts w:cs="Times New Roman"/>
          <w:b/>
          <w:bCs/>
          <w:sz w:val="20"/>
          <w:szCs w:val="20"/>
          <w:lang w:val="fr-CA"/>
        </w:rPr>
        <w:t xml:space="preserve">À LA SUITE DE L’ORDONNANCE </w:t>
      </w:r>
      <w:r w:rsidRPr="00AF3B72">
        <w:rPr>
          <w:rFonts w:cs="Times New Roman"/>
          <w:sz w:val="20"/>
          <w:szCs w:val="20"/>
          <w:lang w:val="fr-CA"/>
        </w:rPr>
        <w:t>datée du 24 novembre 2010 autorisant le procureur général de la Colombie-Britannique, le Commissaire à l’information et à la protection de la vie privée de la Colombie-Britannique et BC Freedom of Information and Privacy Association à intervenir</w:t>
      </w:r>
    </w:p>
    <w:p w:rsidR="00AF3B72" w:rsidRPr="00AF3B72" w:rsidRDefault="00AF3B72" w:rsidP="00AF3B72">
      <w:pPr>
        <w:spacing w:line="233" w:lineRule="auto"/>
        <w:jc w:val="both"/>
        <w:rPr>
          <w:rFonts w:cs="Times New Roman"/>
          <w:sz w:val="20"/>
          <w:szCs w:val="20"/>
          <w:lang w:val="fr-CA"/>
        </w:rPr>
      </w:pPr>
    </w:p>
    <w:p w:rsidR="00AF3B72" w:rsidRPr="00AF3B72" w:rsidRDefault="00AF3B72" w:rsidP="00AF3B72">
      <w:pPr>
        <w:spacing w:line="233" w:lineRule="auto"/>
        <w:jc w:val="both"/>
        <w:rPr>
          <w:rFonts w:cs="Times New Roman"/>
          <w:sz w:val="20"/>
          <w:szCs w:val="20"/>
          <w:lang w:val="fr-CA"/>
        </w:rPr>
      </w:pPr>
      <w:r w:rsidRPr="00AF3B72">
        <w:rPr>
          <w:rFonts w:cs="Times New Roman"/>
          <w:b/>
          <w:bCs/>
          <w:sz w:val="20"/>
          <w:szCs w:val="20"/>
          <w:lang w:val="fr-CA"/>
        </w:rPr>
        <w:t xml:space="preserve">IL EST EN OUTRE ORDONNÉ CE QUI SUIT : </w:t>
      </w:r>
      <w:r w:rsidRPr="00AF3B72">
        <w:rPr>
          <w:rFonts w:cs="Times New Roman"/>
          <w:bCs/>
          <w:sz w:val="20"/>
          <w:szCs w:val="20"/>
          <w:lang w:val="fr-CA"/>
        </w:rPr>
        <w:t xml:space="preserve">les intervenants procureur général de la Colombie-Britannique et </w:t>
      </w:r>
      <w:r w:rsidRPr="00AF3B72">
        <w:rPr>
          <w:rFonts w:cs="Times New Roman"/>
          <w:sz w:val="20"/>
          <w:szCs w:val="20"/>
          <w:lang w:val="fr-CA"/>
        </w:rPr>
        <w:t xml:space="preserve">BC Freedom of Information and Privacy Association sont autorisés à présenter une plaidoirie orale d’au plus dix (10) minutes lors de l’audition de l’appel. </w:t>
      </w:r>
    </w:p>
    <w:p w:rsidR="00AF3B72" w:rsidRPr="00AF3B72" w:rsidRDefault="00AF3B72" w:rsidP="00AF3B72">
      <w:pPr>
        <w:spacing w:line="233" w:lineRule="auto"/>
        <w:jc w:val="both"/>
        <w:rPr>
          <w:rFonts w:cs="Times New Roman"/>
          <w:sz w:val="20"/>
          <w:szCs w:val="20"/>
          <w:lang w:val="fr-CA"/>
        </w:rPr>
      </w:pPr>
    </w:p>
    <w:p w:rsidR="00AF3B72" w:rsidRPr="00AF3B72" w:rsidRDefault="00AF3B72" w:rsidP="00AF3B72">
      <w:pPr>
        <w:spacing w:line="233" w:lineRule="auto"/>
        <w:jc w:val="both"/>
        <w:rPr>
          <w:rFonts w:cs="Times New Roman"/>
          <w:sz w:val="20"/>
          <w:szCs w:val="20"/>
          <w:lang w:val="fr-CA"/>
        </w:rPr>
      </w:pPr>
      <w:r w:rsidRPr="00AF3B72">
        <w:rPr>
          <w:rFonts w:cs="Times New Roman"/>
          <w:b/>
          <w:bCs/>
          <w:sz w:val="20"/>
          <w:szCs w:val="20"/>
          <w:lang w:val="fr-CA"/>
        </w:rPr>
        <w:t xml:space="preserve">IL EST EN OUTRE ORDONNÉ CE QUI SUIT : </w:t>
      </w:r>
      <w:r w:rsidRPr="00AF3B72">
        <w:rPr>
          <w:rFonts w:cs="Times New Roman"/>
          <w:bCs/>
          <w:sz w:val="20"/>
          <w:szCs w:val="20"/>
          <w:lang w:val="fr-CA"/>
        </w:rPr>
        <w:t xml:space="preserve">l’intervenant </w:t>
      </w:r>
      <w:r w:rsidRPr="00AF3B72">
        <w:rPr>
          <w:rFonts w:cs="Times New Roman"/>
          <w:sz w:val="20"/>
          <w:szCs w:val="20"/>
          <w:lang w:val="fr-CA"/>
        </w:rPr>
        <w:t>Commissaire à l’information et à la protection de la vie privée de la Colombie-Britannique n’est pas autorisé à présenter une plaidoirie orale lors de l’audition de l’appel</w:t>
      </w:r>
      <w:bookmarkStart w:id="2" w:name="_GoBack"/>
      <w:bookmarkEnd w:id="2"/>
      <w:r w:rsidRPr="00AF3B72">
        <w:rPr>
          <w:rFonts w:cs="Times New Roman"/>
          <w:sz w:val="20"/>
          <w:szCs w:val="20"/>
          <w:lang w:val="fr-CA"/>
        </w:rPr>
        <w:t>.</w:t>
      </w:r>
    </w:p>
    <w:p w:rsidR="00AF3B72" w:rsidRPr="00AF3B72" w:rsidRDefault="00AF3B72" w:rsidP="00AF3B72">
      <w:pPr>
        <w:spacing w:line="233" w:lineRule="auto"/>
        <w:jc w:val="both"/>
        <w:rPr>
          <w:rFonts w:cs="Times New Roman"/>
          <w:sz w:val="20"/>
          <w:szCs w:val="20"/>
          <w:lang w:val="fr-CA"/>
        </w:rPr>
      </w:pPr>
    </w:p>
    <w:p w:rsidR="00AF3B72" w:rsidRPr="00AF3B72" w:rsidRDefault="00AF3B72" w:rsidP="00AF3B72">
      <w:pPr>
        <w:tabs>
          <w:tab w:val="left" w:pos="-1440"/>
          <w:tab w:val="left" w:pos="-720"/>
        </w:tabs>
        <w:spacing w:line="-19" w:lineRule="auto"/>
        <w:jc w:val="both"/>
        <w:rPr>
          <w:rFonts w:cs="Times New Roman"/>
          <w:sz w:val="20"/>
          <w:szCs w:val="20"/>
          <w:lang w:val="fr-CA"/>
        </w:rPr>
      </w:pPr>
    </w:p>
    <w:p w:rsidR="00AF3B72" w:rsidRPr="00AF3B72" w:rsidRDefault="003E529C" w:rsidP="00AF3B72">
      <w:pPr>
        <w:tabs>
          <w:tab w:val="left" w:pos="-1440"/>
          <w:tab w:val="left" w:pos="-720"/>
        </w:tabs>
        <w:jc w:val="both"/>
        <w:rPr>
          <w:rFonts w:cs="Times New Roman"/>
          <w:sz w:val="20"/>
          <w:szCs w:val="20"/>
        </w:rPr>
      </w:pPr>
      <w:r w:rsidRPr="003E529C">
        <w:rPr>
          <w:rFonts w:cs="Times New Roman"/>
          <w:sz w:val="20"/>
          <w:szCs w:val="20"/>
          <w:lang w:val="fr-CA"/>
        </w:rPr>
        <w:pict>
          <v:rect id="_x0000_i1067" style="width:2in;height:1pt" o:hrpct="0" o:hralign="center" o:hrstd="t" o:hrnoshade="t" o:hr="t" fillcolor="black [3213]" stroked="f"/>
        </w:pict>
      </w: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9122D4"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7D613E" w:rsidP="00AF1715">
      <w:pPr>
        <w:rPr>
          <w:b/>
          <w:sz w:val="20"/>
          <w:szCs w:val="20"/>
        </w:rPr>
      </w:pPr>
      <w:r>
        <w:rPr>
          <w:b/>
          <w:sz w:val="20"/>
          <w:szCs w:val="20"/>
        </w:rPr>
        <w:t>FEBRUARY</w:t>
      </w:r>
      <w:r w:rsidR="00AF1715" w:rsidRPr="003B3977">
        <w:rPr>
          <w:b/>
          <w:sz w:val="20"/>
          <w:szCs w:val="20"/>
        </w:rPr>
        <w:t xml:space="preserve"> </w:t>
      </w:r>
      <w:r>
        <w:rPr>
          <w:b/>
          <w:sz w:val="20"/>
          <w:szCs w:val="20"/>
        </w:rPr>
        <w:t>10</w:t>
      </w:r>
      <w:r w:rsidR="00AF1715" w:rsidRPr="003B3977">
        <w:rPr>
          <w:b/>
          <w:sz w:val="20"/>
          <w:szCs w:val="20"/>
        </w:rPr>
        <w:t>, 201</w:t>
      </w:r>
      <w:r>
        <w:rPr>
          <w:b/>
          <w:sz w:val="20"/>
          <w:szCs w:val="20"/>
        </w:rPr>
        <w:t>1</w:t>
      </w:r>
      <w:r w:rsidR="00AF1715" w:rsidRPr="003B3977">
        <w:rPr>
          <w:b/>
          <w:sz w:val="20"/>
          <w:szCs w:val="20"/>
        </w:rPr>
        <w:t xml:space="preserve"> / LE </w:t>
      </w:r>
      <w:r>
        <w:rPr>
          <w:b/>
          <w:sz w:val="20"/>
          <w:szCs w:val="20"/>
        </w:rPr>
        <w:t>10 FÉVRIER</w:t>
      </w:r>
      <w:r w:rsidR="00AF1715" w:rsidRPr="003B3977">
        <w:rPr>
          <w:b/>
          <w:sz w:val="20"/>
          <w:szCs w:val="20"/>
        </w:rPr>
        <w:t xml:space="preserve"> 201</w:t>
      </w:r>
      <w:r>
        <w:rPr>
          <w:b/>
          <w:sz w:val="20"/>
          <w:szCs w:val="20"/>
        </w:rPr>
        <w:t>1</w:t>
      </w:r>
    </w:p>
    <w:p w:rsidR="00AF1715" w:rsidRDefault="00AF1715" w:rsidP="00AF1715">
      <w:pPr>
        <w:rPr>
          <w:sz w:val="20"/>
          <w:szCs w:val="20"/>
        </w:rPr>
      </w:pPr>
    </w:p>
    <w:p w:rsidR="007D613E" w:rsidRPr="001035F4" w:rsidRDefault="007D613E" w:rsidP="007D613E">
      <w:pPr>
        <w:ind w:left="1440" w:hanging="1440"/>
        <w:jc w:val="both"/>
        <w:rPr>
          <w:b/>
          <w:sz w:val="20"/>
        </w:rPr>
      </w:pPr>
      <w:r w:rsidRPr="001035F4">
        <w:rPr>
          <w:b/>
          <w:sz w:val="20"/>
        </w:rPr>
        <w:t>33066</w:t>
      </w:r>
      <w:r w:rsidRPr="001035F4">
        <w:rPr>
          <w:b/>
          <w:sz w:val="20"/>
        </w:rPr>
        <w:tab/>
      </w:r>
      <w:r w:rsidRPr="001035F4">
        <w:rPr>
          <w:b/>
          <w:sz w:val="20"/>
          <w:u w:val="single"/>
        </w:rPr>
        <w:t xml:space="preserve">Her Majesty the Queen v. Fahim Ahmad, Zakaria Amara, Asad Ansari, Shareef Adelhaleem, Mohammed Dirie, Jahmaal James, Amin Mohamed Durrani, Steven Vikash Chand, Saad Khalid and Saad Gaya </w:t>
      </w:r>
      <w:r>
        <w:rPr>
          <w:b/>
          <w:sz w:val="20"/>
          <w:u w:val="single"/>
        </w:rPr>
        <w:t xml:space="preserve">– and – </w:t>
      </w:r>
      <w:r w:rsidRPr="001035F4">
        <w:rPr>
          <w:b/>
          <w:sz w:val="20"/>
          <w:u w:val="single"/>
        </w:rPr>
        <w:t>Attorney General of Ontario and</w:t>
      </w:r>
      <w:r>
        <w:rPr>
          <w:b/>
          <w:sz w:val="20"/>
          <w:u w:val="single"/>
        </w:rPr>
        <w:t xml:space="preserve"> </w:t>
      </w:r>
      <w:r w:rsidRPr="001035F4">
        <w:rPr>
          <w:b/>
          <w:sz w:val="20"/>
          <w:u w:val="single"/>
        </w:rPr>
        <w:t>Canadian Civil Liberties Association</w:t>
      </w:r>
      <w:r w:rsidRPr="0002018D">
        <w:rPr>
          <w:b/>
          <w:sz w:val="20"/>
        </w:rPr>
        <w:t xml:space="preserve"> </w:t>
      </w:r>
      <w:r w:rsidRPr="001035F4">
        <w:rPr>
          <w:sz w:val="20"/>
        </w:rPr>
        <w:t>(Ont.)</w:t>
      </w:r>
    </w:p>
    <w:p w:rsidR="007D613E" w:rsidRPr="001035F4" w:rsidRDefault="007D613E" w:rsidP="007D613E">
      <w:pPr>
        <w:ind w:left="1440"/>
        <w:jc w:val="both"/>
        <w:rPr>
          <w:sz w:val="20"/>
        </w:rPr>
      </w:pPr>
      <w:r w:rsidRPr="001035F4">
        <w:rPr>
          <w:b/>
          <w:sz w:val="20"/>
        </w:rPr>
        <w:t>2011 SCC 6 / 2011 CSC 6</w:t>
      </w:r>
    </w:p>
    <w:p w:rsidR="007D613E" w:rsidRPr="001035F4" w:rsidRDefault="007D613E" w:rsidP="007D613E">
      <w:pPr>
        <w:ind w:left="1440" w:hanging="1440"/>
        <w:jc w:val="both"/>
        <w:rPr>
          <w:b/>
          <w:sz w:val="20"/>
        </w:rPr>
      </w:pPr>
    </w:p>
    <w:p w:rsidR="007D613E" w:rsidRPr="001035F4" w:rsidRDefault="007D613E" w:rsidP="007D613E">
      <w:pPr>
        <w:ind w:left="1440" w:hanging="1440"/>
        <w:jc w:val="both"/>
        <w:rPr>
          <w:sz w:val="20"/>
        </w:rPr>
      </w:pPr>
      <w:r w:rsidRPr="001035F4">
        <w:rPr>
          <w:sz w:val="20"/>
        </w:rPr>
        <w:t>Coram:</w:t>
      </w:r>
      <w:r w:rsidRPr="001035F4">
        <w:rPr>
          <w:sz w:val="20"/>
        </w:rPr>
        <w:tab/>
      </w:r>
      <w:r w:rsidRPr="001035F4">
        <w:rPr>
          <w:sz w:val="20"/>
          <w:u w:val="single"/>
        </w:rPr>
        <w:t>McLachlin C.J. and Binnie, LeBel, Dechamps, Fish, Abella, Charron, Rothstein and Cromwell JJ.</w:t>
      </w:r>
    </w:p>
    <w:p w:rsidR="007D613E" w:rsidRPr="001035F4" w:rsidRDefault="007D613E" w:rsidP="007D613E">
      <w:pPr>
        <w:jc w:val="both"/>
        <w:rPr>
          <w:sz w:val="20"/>
        </w:rPr>
      </w:pPr>
    </w:p>
    <w:p w:rsidR="007D613E" w:rsidRPr="001035F4" w:rsidRDefault="007D613E" w:rsidP="007D613E">
      <w:pPr>
        <w:jc w:val="both"/>
        <w:rPr>
          <w:sz w:val="20"/>
        </w:rPr>
      </w:pPr>
      <w:r w:rsidRPr="001035F4">
        <w:rPr>
          <w:sz w:val="20"/>
        </w:rPr>
        <w:t xml:space="preserve">The appeal from the judgment of the Ontario Superior Court of Justice, Number CRIMJ (F) 2025/07, dated January 15, 2009, heard on March 18, 2010, is allowed.  </w:t>
      </w:r>
    </w:p>
    <w:p w:rsidR="007D613E" w:rsidRDefault="007D613E" w:rsidP="007D613E">
      <w:pPr>
        <w:jc w:val="both"/>
        <w:rPr>
          <w:sz w:val="20"/>
        </w:rPr>
      </w:pPr>
    </w:p>
    <w:p w:rsidR="007D613E" w:rsidRPr="001035F4" w:rsidRDefault="007D613E" w:rsidP="007D613E">
      <w:pPr>
        <w:jc w:val="both"/>
        <w:rPr>
          <w:color w:val="000000"/>
          <w:sz w:val="20"/>
        </w:rPr>
      </w:pPr>
      <w:r w:rsidRPr="001035F4">
        <w:rPr>
          <w:sz w:val="20"/>
        </w:rPr>
        <w:t>The constitutional questions are answered as follows:</w:t>
      </w:r>
    </w:p>
    <w:p w:rsidR="007D613E" w:rsidRPr="001035F4" w:rsidRDefault="007D613E" w:rsidP="007D613E">
      <w:pPr>
        <w:pStyle w:val="ListParagraph"/>
        <w:spacing w:after="480"/>
        <w:ind w:left="0"/>
        <w:jc w:val="both"/>
        <w:rPr>
          <w:sz w:val="20"/>
          <w:szCs w:val="20"/>
        </w:rPr>
      </w:pPr>
    </w:p>
    <w:p w:rsidR="007D613E" w:rsidRPr="001035F4" w:rsidRDefault="007D613E" w:rsidP="007D613E">
      <w:pPr>
        <w:pStyle w:val="ListParagraph"/>
        <w:spacing w:after="480"/>
        <w:ind w:left="0"/>
        <w:jc w:val="both"/>
        <w:rPr>
          <w:sz w:val="20"/>
          <w:szCs w:val="20"/>
        </w:rPr>
      </w:pPr>
      <w:r w:rsidRPr="001035F4">
        <w:rPr>
          <w:sz w:val="20"/>
          <w:szCs w:val="20"/>
        </w:rPr>
        <w:t xml:space="preserve">1.  Are ss. 38 to 38.16 of the </w:t>
      </w:r>
      <w:r w:rsidRPr="001035F4">
        <w:rPr>
          <w:i/>
          <w:sz w:val="20"/>
          <w:szCs w:val="20"/>
        </w:rPr>
        <w:t>Canada</w:t>
      </w:r>
      <w:r w:rsidRPr="001035F4">
        <w:rPr>
          <w:sz w:val="20"/>
          <w:szCs w:val="20"/>
        </w:rPr>
        <w:t xml:space="preserve">  </w:t>
      </w:r>
      <w:r w:rsidRPr="001035F4">
        <w:rPr>
          <w:i/>
          <w:sz w:val="20"/>
          <w:szCs w:val="20"/>
        </w:rPr>
        <w:t>Evidence Act</w:t>
      </w:r>
      <w:r w:rsidRPr="001035F4">
        <w:rPr>
          <w:sz w:val="20"/>
          <w:szCs w:val="20"/>
        </w:rPr>
        <w:t xml:space="preserve">, R.S.C. 1985, c. C-5, </w:t>
      </w:r>
      <w:r w:rsidRPr="001035F4">
        <w:rPr>
          <w:i/>
          <w:sz w:val="20"/>
          <w:szCs w:val="20"/>
        </w:rPr>
        <w:t xml:space="preserve">ultra vires </w:t>
      </w:r>
      <w:r w:rsidRPr="001035F4">
        <w:rPr>
          <w:sz w:val="20"/>
          <w:szCs w:val="20"/>
        </w:rPr>
        <w:t xml:space="preserve">the Parliament of Canada on the ground that they infringe ss. 96 and 101 of the </w:t>
      </w:r>
      <w:r w:rsidRPr="001035F4">
        <w:rPr>
          <w:i/>
          <w:sz w:val="20"/>
          <w:szCs w:val="20"/>
        </w:rPr>
        <w:t>Constitution Act, 1867</w:t>
      </w:r>
      <w:r w:rsidRPr="001035F4">
        <w:rPr>
          <w:sz w:val="20"/>
          <w:szCs w:val="20"/>
        </w:rPr>
        <w:t xml:space="preserve">?  </w:t>
      </w:r>
    </w:p>
    <w:p w:rsidR="007D613E" w:rsidRPr="001035F4" w:rsidRDefault="007D613E" w:rsidP="007D613E">
      <w:pPr>
        <w:pStyle w:val="ListParagraph"/>
        <w:spacing w:after="480"/>
        <w:ind w:left="0"/>
        <w:jc w:val="both"/>
        <w:rPr>
          <w:sz w:val="20"/>
          <w:szCs w:val="20"/>
        </w:rPr>
      </w:pPr>
    </w:p>
    <w:p w:rsidR="007D613E" w:rsidRPr="001035F4" w:rsidRDefault="007D613E" w:rsidP="007D613E">
      <w:pPr>
        <w:pStyle w:val="ListParagraph"/>
        <w:spacing w:after="480"/>
        <w:ind w:left="0"/>
        <w:jc w:val="both"/>
        <w:rPr>
          <w:sz w:val="20"/>
          <w:szCs w:val="20"/>
        </w:rPr>
      </w:pPr>
      <w:r w:rsidRPr="001035F4">
        <w:rPr>
          <w:sz w:val="20"/>
          <w:szCs w:val="20"/>
          <w:u w:val="single"/>
        </w:rPr>
        <w:t>Answer</w:t>
      </w:r>
      <w:r w:rsidRPr="001035F4">
        <w:rPr>
          <w:sz w:val="20"/>
          <w:szCs w:val="20"/>
        </w:rPr>
        <w:t>:  No.</w:t>
      </w:r>
    </w:p>
    <w:p w:rsidR="007D613E" w:rsidRPr="001035F4" w:rsidRDefault="007D613E" w:rsidP="007D613E">
      <w:pPr>
        <w:pStyle w:val="ListParagraph"/>
        <w:spacing w:after="480"/>
        <w:ind w:left="0"/>
        <w:jc w:val="both"/>
        <w:rPr>
          <w:sz w:val="20"/>
          <w:szCs w:val="20"/>
        </w:rPr>
      </w:pPr>
    </w:p>
    <w:p w:rsidR="007D613E" w:rsidRPr="001035F4" w:rsidRDefault="007D613E" w:rsidP="007D613E">
      <w:pPr>
        <w:pStyle w:val="ListParagraph"/>
        <w:spacing w:after="480"/>
        <w:ind w:left="0"/>
        <w:jc w:val="both"/>
        <w:rPr>
          <w:sz w:val="20"/>
          <w:szCs w:val="20"/>
        </w:rPr>
      </w:pPr>
      <w:r w:rsidRPr="001035F4">
        <w:rPr>
          <w:sz w:val="20"/>
          <w:szCs w:val="20"/>
        </w:rPr>
        <w:t xml:space="preserve">2.  Do ss. 38 to 38.16 of the </w:t>
      </w:r>
      <w:r w:rsidRPr="001035F4">
        <w:rPr>
          <w:i/>
          <w:sz w:val="20"/>
          <w:szCs w:val="20"/>
        </w:rPr>
        <w:t>Canada Evidence Act</w:t>
      </w:r>
      <w:r w:rsidRPr="001035F4">
        <w:rPr>
          <w:sz w:val="20"/>
          <w:szCs w:val="20"/>
        </w:rPr>
        <w:t xml:space="preserve">, R.S.C. 1985, c. C-5, infringe s. 7 of the </w:t>
      </w:r>
      <w:r w:rsidRPr="001035F4">
        <w:rPr>
          <w:i/>
          <w:sz w:val="20"/>
          <w:szCs w:val="20"/>
        </w:rPr>
        <w:t>Canadian Charter of Rights and</w:t>
      </w:r>
      <w:r w:rsidRPr="001035F4">
        <w:rPr>
          <w:sz w:val="20"/>
          <w:szCs w:val="20"/>
        </w:rPr>
        <w:t xml:space="preserve"> </w:t>
      </w:r>
      <w:r w:rsidRPr="001035F4">
        <w:rPr>
          <w:i/>
          <w:sz w:val="20"/>
          <w:szCs w:val="20"/>
        </w:rPr>
        <w:t>Freedoms</w:t>
      </w:r>
      <w:r w:rsidRPr="001035F4">
        <w:rPr>
          <w:sz w:val="20"/>
          <w:szCs w:val="20"/>
        </w:rPr>
        <w:t>?</w:t>
      </w:r>
    </w:p>
    <w:p w:rsidR="007D613E" w:rsidRPr="001035F4" w:rsidRDefault="007D613E" w:rsidP="007D613E">
      <w:pPr>
        <w:pStyle w:val="ListParagraph"/>
        <w:spacing w:after="480"/>
        <w:ind w:left="0"/>
        <w:jc w:val="both"/>
        <w:rPr>
          <w:sz w:val="20"/>
          <w:szCs w:val="20"/>
        </w:rPr>
      </w:pPr>
    </w:p>
    <w:p w:rsidR="007D613E" w:rsidRPr="001035F4" w:rsidRDefault="007D613E" w:rsidP="007D613E">
      <w:pPr>
        <w:pStyle w:val="ListParagraph"/>
        <w:spacing w:after="480"/>
        <w:ind w:left="0"/>
        <w:jc w:val="both"/>
        <w:rPr>
          <w:sz w:val="20"/>
          <w:szCs w:val="20"/>
        </w:rPr>
      </w:pPr>
      <w:r w:rsidRPr="001035F4">
        <w:rPr>
          <w:sz w:val="20"/>
          <w:szCs w:val="20"/>
          <w:u w:val="single"/>
        </w:rPr>
        <w:t>Answer</w:t>
      </w:r>
      <w:r w:rsidRPr="001035F4">
        <w:rPr>
          <w:sz w:val="20"/>
          <w:szCs w:val="20"/>
        </w:rPr>
        <w:t>: No.</w:t>
      </w:r>
    </w:p>
    <w:p w:rsidR="007D613E" w:rsidRPr="001035F4" w:rsidRDefault="007D613E" w:rsidP="007D613E">
      <w:pPr>
        <w:pStyle w:val="ListParagraph"/>
        <w:spacing w:after="480"/>
        <w:ind w:left="0"/>
        <w:jc w:val="both"/>
        <w:rPr>
          <w:sz w:val="20"/>
          <w:szCs w:val="20"/>
        </w:rPr>
      </w:pPr>
    </w:p>
    <w:p w:rsidR="007D613E" w:rsidRPr="001035F4" w:rsidRDefault="007D613E" w:rsidP="007D613E">
      <w:pPr>
        <w:pStyle w:val="ListParagraph"/>
        <w:spacing w:after="480"/>
        <w:ind w:left="0"/>
        <w:jc w:val="both"/>
        <w:rPr>
          <w:sz w:val="20"/>
          <w:szCs w:val="20"/>
        </w:rPr>
      </w:pPr>
      <w:r w:rsidRPr="001035F4">
        <w:rPr>
          <w:sz w:val="20"/>
          <w:szCs w:val="20"/>
        </w:rPr>
        <w:t xml:space="preserve">3.  If so, is the infringement a reasonable limit prescribed by law as can be demonstrably justified in a free and democratic society under s. 1 of the </w:t>
      </w:r>
      <w:r w:rsidRPr="001035F4">
        <w:rPr>
          <w:i/>
          <w:sz w:val="20"/>
          <w:szCs w:val="20"/>
        </w:rPr>
        <w:t>Canadian Charter of Rights and Freedoms</w:t>
      </w:r>
      <w:r w:rsidRPr="001035F4">
        <w:rPr>
          <w:sz w:val="20"/>
          <w:szCs w:val="20"/>
        </w:rPr>
        <w:t>?</w:t>
      </w:r>
    </w:p>
    <w:p w:rsidR="007D613E" w:rsidRPr="001035F4" w:rsidRDefault="007D613E" w:rsidP="007D613E">
      <w:pPr>
        <w:pStyle w:val="ListParagraph"/>
        <w:spacing w:after="480"/>
        <w:ind w:left="0"/>
        <w:jc w:val="both"/>
        <w:rPr>
          <w:sz w:val="20"/>
          <w:szCs w:val="20"/>
        </w:rPr>
      </w:pPr>
    </w:p>
    <w:p w:rsidR="007D613E" w:rsidRPr="001035F4" w:rsidRDefault="007D613E" w:rsidP="007D613E">
      <w:pPr>
        <w:pStyle w:val="ListParagraph"/>
        <w:ind w:left="0"/>
        <w:jc w:val="both"/>
        <w:rPr>
          <w:sz w:val="20"/>
          <w:szCs w:val="20"/>
        </w:rPr>
      </w:pPr>
      <w:r w:rsidRPr="001035F4">
        <w:rPr>
          <w:sz w:val="20"/>
          <w:szCs w:val="20"/>
          <w:u w:val="single"/>
        </w:rPr>
        <w:t>Answer</w:t>
      </w:r>
      <w:r w:rsidRPr="001035F4">
        <w:rPr>
          <w:sz w:val="20"/>
          <w:szCs w:val="20"/>
        </w:rPr>
        <w:t>: It is not necessary to answer this question.</w:t>
      </w:r>
    </w:p>
    <w:p w:rsidR="007D613E" w:rsidRPr="001035F4" w:rsidRDefault="007D613E" w:rsidP="007D613E">
      <w:pPr>
        <w:pStyle w:val="ListParagraph"/>
        <w:ind w:left="0"/>
        <w:jc w:val="both"/>
        <w:rPr>
          <w:sz w:val="20"/>
          <w:szCs w:val="20"/>
        </w:rPr>
      </w:pPr>
    </w:p>
    <w:p w:rsidR="007D613E" w:rsidRPr="001035F4" w:rsidRDefault="007D613E" w:rsidP="007D613E">
      <w:pPr>
        <w:pStyle w:val="ListParagraph"/>
        <w:ind w:left="0"/>
        <w:jc w:val="both"/>
        <w:rPr>
          <w:sz w:val="20"/>
          <w:szCs w:val="20"/>
        </w:rPr>
      </w:pPr>
    </w:p>
    <w:p w:rsidR="007D613E" w:rsidRPr="001035F4" w:rsidRDefault="007D613E" w:rsidP="007D613E">
      <w:pPr>
        <w:jc w:val="both"/>
        <w:rPr>
          <w:sz w:val="20"/>
          <w:lang w:val="fr-CA"/>
        </w:rPr>
      </w:pPr>
      <w:r w:rsidRPr="001035F4">
        <w:rPr>
          <w:sz w:val="20"/>
          <w:lang w:val="fr-CA"/>
        </w:rPr>
        <w:t xml:space="preserve">L’appel interjeté contre le jugement de la Cour supérieure de justice de l’Ontario, numéro CRIMJ (F) 2025/07, en date du 15 janvier 2009, entendu le 18 mars 2010, est accueilli.  </w:t>
      </w:r>
    </w:p>
    <w:p w:rsidR="007D613E" w:rsidRPr="001035F4" w:rsidRDefault="007D613E" w:rsidP="007D613E">
      <w:pPr>
        <w:jc w:val="both"/>
        <w:rPr>
          <w:sz w:val="20"/>
          <w:lang w:val="fr-CA"/>
        </w:rPr>
      </w:pPr>
    </w:p>
    <w:p w:rsidR="007D613E" w:rsidRPr="001035F4" w:rsidRDefault="007D613E" w:rsidP="007D613E">
      <w:pPr>
        <w:jc w:val="both"/>
        <w:rPr>
          <w:sz w:val="20"/>
          <w:lang w:val="fr-CA"/>
        </w:rPr>
      </w:pPr>
      <w:r w:rsidRPr="001035F4">
        <w:rPr>
          <w:sz w:val="20"/>
          <w:lang w:val="fr-CA"/>
        </w:rPr>
        <w:t>Voici les réponses aux questions constitutionnelles :</w:t>
      </w:r>
    </w:p>
    <w:p w:rsidR="007D613E" w:rsidRPr="001035F4" w:rsidRDefault="007D613E" w:rsidP="007D613E">
      <w:pPr>
        <w:jc w:val="both"/>
        <w:rPr>
          <w:sz w:val="20"/>
          <w:lang w:val="fr-CA"/>
        </w:rPr>
      </w:pPr>
    </w:p>
    <w:p w:rsidR="007D613E" w:rsidRPr="001035F4" w:rsidRDefault="007D613E" w:rsidP="007D613E">
      <w:pPr>
        <w:jc w:val="both"/>
        <w:rPr>
          <w:sz w:val="20"/>
          <w:lang w:val="fr-CA"/>
        </w:rPr>
      </w:pPr>
      <w:r w:rsidRPr="001035F4">
        <w:rPr>
          <w:sz w:val="20"/>
          <w:lang w:val="fr-CA"/>
        </w:rPr>
        <w:t xml:space="preserve">1.  Les art. 38 à 38.16 de la </w:t>
      </w:r>
      <w:r w:rsidRPr="001035F4">
        <w:rPr>
          <w:i/>
          <w:sz w:val="20"/>
          <w:lang w:val="fr-CA"/>
        </w:rPr>
        <w:t>Loi sur la preuve au Canada</w:t>
      </w:r>
      <w:r w:rsidRPr="001035F4">
        <w:rPr>
          <w:sz w:val="20"/>
          <w:lang w:val="fr-CA"/>
        </w:rPr>
        <w:t xml:space="preserve">, L.R.C. 1985, ch. C-5, outrepassent-ils les pouvoirs du Parlement du Canada du fait qu’ils contreviennent aux art. 96 et 101 de la </w:t>
      </w:r>
      <w:r w:rsidRPr="001035F4">
        <w:rPr>
          <w:i/>
          <w:sz w:val="20"/>
          <w:lang w:val="fr-CA"/>
        </w:rPr>
        <w:t>Loi constitutionnelle de 1867</w:t>
      </w:r>
      <w:r w:rsidRPr="001035F4">
        <w:rPr>
          <w:sz w:val="20"/>
          <w:lang w:val="fr-CA"/>
        </w:rPr>
        <w:t>?</w:t>
      </w:r>
    </w:p>
    <w:p w:rsidR="007D613E" w:rsidRPr="001035F4" w:rsidRDefault="007D613E" w:rsidP="007D613E">
      <w:pPr>
        <w:jc w:val="both"/>
        <w:rPr>
          <w:sz w:val="20"/>
          <w:lang w:val="fr-CA"/>
        </w:rPr>
      </w:pPr>
    </w:p>
    <w:p w:rsidR="007D613E" w:rsidRPr="001035F4" w:rsidRDefault="007D613E" w:rsidP="007D613E">
      <w:pPr>
        <w:jc w:val="both"/>
        <w:rPr>
          <w:sz w:val="20"/>
          <w:lang w:val="fr-CA"/>
        </w:rPr>
      </w:pPr>
      <w:r w:rsidRPr="001035F4">
        <w:rPr>
          <w:sz w:val="20"/>
          <w:u w:val="single"/>
          <w:lang w:val="fr-CA"/>
        </w:rPr>
        <w:t>Réponse</w:t>
      </w:r>
      <w:r w:rsidRPr="001035F4">
        <w:rPr>
          <w:sz w:val="20"/>
          <w:lang w:val="fr-CA"/>
        </w:rPr>
        <w:t> : Non.</w:t>
      </w:r>
    </w:p>
    <w:p w:rsidR="007D613E" w:rsidRPr="001035F4" w:rsidRDefault="007D613E" w:rsidP="007D613E">
      <w:pPr>
        <w:jc w:val="both"/>
        <w:rPr>
          <w:sz w:val="20"/>
          <w:lang w:val="fr-CA"/>
        </w:rPr>
      </w:pPr>
    </w:p>
    <w:p w:rsidR="007D613E" w:rsidRPr="001035F4" w:rsidRDefault="007D613E" w:rsidP="007D613E">
      <w:pPr>
        <w:jc w:val="both"/>
        <w:rPr>
          <w:sz w:val="20"/>
          <w:lang w:val="fr-CA"/>
        </w:rPr>
      </w:pPr>
      <w:r w:rsidRPr="001035F4">
        <w:rPr>
          <w:sz w:val="20"/>
          <w:lang w:val="fr-CA"/>
        </w:rPr>
        <w:t xml:space="preserve">2.  Les art. 38 à 38.16 de la </w:t>
      </w:r>
      <w:r w:rsidRPr="001035F4">
        <w:rPr>
          <w:i/>
          <w:sz w:val="20"/>
          <w:lang w:val="fr-CA"/>
        </w:rPr>
        <w:t>Loi sur la preuve au Canada</w:t>
      </w:r>
      <w:r w:rsidRPr="001035F4">
        <w:rPr>
          <w:sz w:val="20"/>
          <w:lang w:val="fr-CA"/>
        </w:rPr>
        <w:t xml:space="preserve">, L.R.C. 1985, ch. C-5, contreviennent-ils à l’art. 7 de la </w:t>
      </w:r>
      <w:r w:rsidRPr="001035F4">
        <w:rPr>
          <w:i/>
          <w:sz w:val="20"/>
          <w:lang w:val="fr-CA"/>
        </w:rPr>
        <w:t>Charte canadienne des droits et libertés</w:t>
      </w:r>
      <w:r w:rsidRPr="001035F4">
        <w:rPr>
          <w:sz w:val="20"/>
          <w:lang w:val="fr-CA"/>
        </w:rPr>
        <w:t>?</w:t>
      </w:r>
    </w:p>
    <w:p w:rsidR="007D613E" w:rsidRPr="001035F4" w:rsidRDefault="007D613E" w:rsidP="007D613E">
      <w:pPr>
        <w:jc w:val="both"/>
        <w:rPr>
          <w:sz w:val="20"/>
          <w:lang w:val="fr-CA"/>
        </w:rPr>
      </w:pPr>
    </w:p>
    <w:p w:rsidR="007D613E" w:rsidRPr="001035F4" w:rsidRDefault="007D613E" w:rsidP="007D613E">
      <w:pPr>
        <w:jc w:val="both"/>
        <w:rPr>
          <w:sz w:val="20"/>
          <w:lang w:val="fr-CA"/>
        </w:rPr>
      </w:pPr>
      <w:r w:rsidRPr="001035F4">
        <w:rPr>
          <w:sz w:val="20"/>
          <w:u w:val="single"/>
          <w:lang w:val="fr-CA"/>
        </w:rPr>
        <w:t>Réponse</w:t>
      </w:r>
      <w:r w:rsidRPr="001035F4">
        <w:rPr>
          <w:sz w:val="20"/>
          <w:lang w:val="fr-CA"/>
        </w:rPr>
        <w:t> : Non.</w:t>
      </w:r>
    </w:p>
    <w:p w:rsidR="007D613E" w:rsidRPr="001035F4" w:rsidRDefault="007D613E" w:rsidP="007D613E">
      <w:pPr>
        <w:jc w:val="both"/>
        <w:rPr>
          <w:sz w:val="20"/>
          <w:lang w:val="fr-CA"/>
        </w:rPr>
      </w:pPr>
    </w:p>
    <w:p w:rsidR="007D613E" w:rsidRPr="001035F4" w:rsidRDefault="007D613E" w:rsidP="007D613E">
      <w:pPr>
        <w:jc w:val="both"/>
        <w:rPr>
          <w:sz w:val="20"/>
          <w:lang w:val="fr-CA"/>
        </w:rPr>
      </w:pPr>
      <w:r w:rsidRPr="001035F4">
        <w:rPr>
          <w:sz w:val="20"/>
          <w:lang w:val="fr-CA"/>
        </w:rPr>
        <w:t xml:space="preserve">3.  Dans l’affirmative, s’agit-il d’une limite raisonnable prescrite par une règle de droit et dont la justification peut se démontrer dans le cadre d’une société libre et démocratique au sens de l’article premier de la </w:t>
      </w:r>
      <w:r w:rsidRPr="001035F4">
        <w:rPr>
          <w:i/>
          <w:sz w:val="20"/>
          <w:lang w:val="fr-CA"/>
        </w:rPr>
        <w:t>Charte canadienne des droits et libertés</w:t>
      </w:r>
      <w:r w:rsidRPr="001035F4">
        <w:rPr>
          <w:sz w:val="20"/>
          <w:lang w:val="fr-CA"/>
        </w:rPr>
        <w:t>?</w:t>
      </w:r>
    </w:p>
    <w:p w:rsidR="007D613E" w:rsidRPr="001035F4" w:rsidRDefault="007D613E" w:rsidP="007D613E">
      <w:pPr>
        <w:jc w:val="both"/>
        <w:rPr>
          <w:sz w:val="20"/>
          <w:lang w:val="fr-CA"/>
        </w:rPr>
      </w:pPr>
    </w:p>
    <w:p w:rsidR="007D613E" w:rsidRPr="001035F4" w:rsidRDefault="007D613E" w:rsidP="007D613E">
      <w:pPr>
        <w:pStyle w:val="ListParagraph"/>
        <w:ind w:left="0"/>
        <w:jc w:val="both"/>
        <w:rPr>
          <w:sz w:val="20"/>
          <w:szCs w:val="20"/>
          <w:lang w:val="fr-CA"/>
        </w:rPr>
      </w:pPr>
      <w:r w:rsidRPr="001035F4">
        <w:rPr>
          <w:sz w:val="20"/>
          <w:szCs w:val="20"/>
          <w:u w:val="single"/>
          <w:lang w:val="fr-CA"/>
        </w:rPr>
        <w:lastRenderedPageBreak/>
        <w:t>Réponse</w:t>
      </w:r>
      <w:r w:rsidRPr="001035F4">
        <w:rPr>
          <w:sz w:val="20"/>
          <w:szCs w:val="20"/>
          <w:lang w:val="fr-CA"/>
        </w:rPr>
        <w:t> : Il n’est pas nécessaire de répondre à cette question.</w:t>
      </w:r>
    </w:p>
    <w:p w:rsidR="007D613E" w:rsidRPr="001035F4" w:rsidRDefault="007D613E" w:rsidP="007D613E">
      <w:pPr>
        <w:pStyle w:val="ListParagraph"/>
        <w:ind w:left="0"/>
        <w:jc w:val="both"/>
        <w:rPr>
          <w:sz w:val="20"/>
          <w:szCs w:val="20"/>
          <w:lang w:val="fr-CA"/>
        </w:rPr>
      </w:pPr>
    </w:p>
    <w:p w:rsidR="00AF1715" w:rsidRPr="003B3977" w:rsidRDefault="003E529C" w:rsidP="00AF1715">
      <w:pPr>
        <w:spacing w:line="0" w:lineRule="atLeast"/>
        <w:rPr>
          <w:sz w:val="20"/>
          <w:szCs w:val="20"/>
        </w:rPr>
      </w:pPr>
      <w:r w:rsidRPr="003E529C">
        <w:rPr>
          <w:b/>
          <w:sz w:val="20"/>
          <w:szCs w:val="20"/>
        </w:rPr>
        <w:pict>
          <v:rect id="_x0000_i1070" style="width:144.3pt;height:1pt" o:hrpct="300" o:hralign="center" o:hrstd="t" o:hrnoshade="t" o:hr="t" fillcolor="black [3213]" stroked="f"/>
        </w:pict>
      </w:r>
    </w:p>
    <w:p w:rsidR="00AF1715" w:rsidRPr="006C5F7A" w:rsidRDefault="00AF1715" w:rsidP="00AF1715">
      <w:pPr>
        <w:spacing w:line="0" w:lineRule="atLeast"/>
        <w:rPr>
          <w:rFonts w:cs="Times New Roman"/>
          <w:b/>
          <w:sz w:val="20"/>
          <w:szCs w:val="20"/>
        </w:rPr>
      </w:pPr>
    </w:p>
    <w:p w:rsidR="00AF1715" w:rsidRPr="006C5F7A" w:rsidRDefault="007D613E" w:rsidP="00AF1715">
      <w:pPr>
        <w:rPr>
          <w:rFonts w:cs="Times New Roman"/>
          <w:b/>
          <w:sz w:val="20"/>
          <w:szCs w:val="20"/>
        </w:rPr>
      </w:pPr>
      <w:r>
        <w:rPr>
          <w:rFonts w:cs="Times New Roman"/>
          <w:b/>
          <w:sz w:val="20"/>
          <w:szCs w:val="20"/>
        </w:rPr>
        <w:t>FEBRUARY 11</w:t>
      </w:r>
      <w:r w:rsidR="00AF1715" w:rsidRPr="006C5F7A">
        <w:rPr>
          <w:rFonts w:cs="Times New Roman"/>
          <w:b/>
          <w:sz w:val="20"/>
          <w:szCs w:val="20"/>
        </w:rPr>
        <w:t>, 201</w:t>
      </w:r>
      <w:r>
        <w:rPr>
          <w:rFonts w:cs="Times New Roman"/>
          <w:b/>
          <w:sz w:val="20"/>
          <w:szCs w:val="20"/>
        </w:rPr>
        <w:t>1</w:t>
      </w:r>
      <w:r w:rsidR="00AF1715" w:rsidRPr="006C5F7A">
        <w:rPr>
          <w:rFonts w:cs="Times New Roman"/>
          <w:b/>
          <w:sz w:val="20"/>
          <w:szCs w:val="20"/>
        </w:rPr>
        <w:t xml:space="preserve"> / LE </w:t>
      </w:r>
      <w:r>
        <w:rPr>
          <w:rFonts w:cs="Times New Roman"/>
          <w:b/>
          <w:sz w:val="20"/>
          <w:szCs w:val="20"/>
        </w:rPr>
        <w:t xml:space="preserve">11 FÉVRIER </w:t>
      </w:r>
      <w:r w:rsidR="00AF1715" w:rsidRPr="006C5F7A">
        <w:rPr>
          <w:rFonts w:cs="Times New Roman"/>
          <w:b/>
          <w:sz w:val="20"/>
          <w:szCs w:val="20"/>
        </w:rPr>
        <w:t>201</w:t>
      </w:r>
      <w:r>
        <w:rPr>
          <w:rFonts w:cs="Times New Roman"/>
          <w:b/>
          <w:sz w:val="20"/>
          <w:szCs w:val="20"/>
        </w:rPr>
        <w:t>1</w:t>
      </w:r>
    </w:p>
    <w:p w:rsidR="00AF1715" w:rsidRDefault="00AF1715" w:rsidP="00AF1715">
      <w:pPr>
        <w:spacing w:line="0" w:lineRule="atLeast"/>
        <w:rPr>
          <w:rFonts w:cs="Times New Roman"/>
          <w:sz w:val="20"/>
          <w:szCs w:val="20"/>
        </w:rPr>
      </w:pPr>
    </w:p>
    <w:p w:rsidR="00263790" w:rsidRPr="00137C90" w:rsidRDefault="003E529C" w:rsidP="00263790">
      <w:pPr>
        <w:ind w:left="1440" w:hanging="1440"/>
        <w:jc w:val="both"/>
        <w:rPr>
          <w:sz w:val="20"/>
        </w:rPr>
      </w:pPr>
      <w:r w:rsidRPr="0031747A">
        <w:rPr>
          <w:b/>
          <w:sz w:val="20"/>
        </w:rPr>
        <w:fldChar w:fldCharType="begin"/>
      </w:r>
      <w:r w:rsidR="00263790" w:rsidRPr="00137C90">
        <w:rPr>
          <w:b/>
          <w:sz w:val="20"/>
        </w:rPr>
        <w:instrText xml:space="preserve"> SEQ CHAPTER \h \r 1</w:instrText>
      </w:r>
      <w:r w:rsidRPr="0031747A">
        <w:rPr>
          <w:b/>
          <w:sz w:val="20"/>
        </w:rPr>
        <w:fldChar w:fldCharType="end"/>
      </w:r>
      <w:r w:rsidR="00263790" w:rsidRPr="00137C90">
        <w:rPr>
          <w:b/>
          <w:sz w:val="20"/>
        </w:rPr>
        <w:t>33</w:t>
      </w:r>
      <w:r w:rsidR="00263790">
        <w:rPr>
          <w:b/>
          <w:sz w:val="20"/>
        </w:rPr>
        <w:t>203</w:t>
      </w:r>
      <w:r w:rsidR="00263790" w:rsidRPr="00137C90">
        <w:rPr>
          <w:sz w:val="20"/>
        </w:rPr>
        <w:tab/>
      </w:r>
      <w:r w:rsidR="00263790" w:rsidRPr="006513F2">
        <w:rPr>
          <w:b/>
          <w:sz w:val="20"/>
          <w:u w:val="single"/>
        </w:rPr>
        <w:t xml:space="preserve">Vernon Joseph Smith </w:t>
      </w:r>
      <w:r w:rsidR="00263790" w:rsidRPr="00137C90">
        <w:rPr>
          <w:b/>
          <w:sz w:val="20"/>
          <w:u w:val="single"/>
        </w:rPr>
        <w:t xml:space="preserve">v. </w:t>
      </w:r>
      <w:r w:rsidR="00263790" w:rsidRPr="006513F2">
        <w:rPr>
          <w:b/>
          <w:sz w:val="20"/>
          <w:u w:val="single"/>
        </w:rPr>
        <w:t>Alliance Pipeline Ltd.</w:t>
      </w:r>
      <w:r w:rsidR="00263790">
        <w:rPr>
          <w:b/>
          <w:sz w:val="20"/>
          <w:u w:val="single"/>
        </w:rPr>
        <w:t xml:space="preserve"> – and – </w:t>
      </w:r>
      <w:r w:rsidR="00263790" w:rsidRPr="006513F2">
        <w:rPr>
          <w:b/>
          <w:sz w:val="20"/>
          <w:u w:val="single"/>
        </w:rPr>
        <w:t xml:space="preserve">Arbitration Committee, appointed pursuant to the </w:t>
      </w:r>
      <w:r w:rsidR="00263790" w:rsidRPr="006513F2">
        <w:rPr>
          <w:b/>
          <w:i/>
          <w:sz w:val="20"/>
          <w:u w:val="single"/>
        </w:rPr>
        <w:t>National Energy Board Act</w:t>
      </w:r>
      <w:r w:rsidR="00263790" w:rsidRPr="006513F2">
        <w:rPr>
          <w:b/>
          <w:sz w:val="20"/>
          <w:u w:val="single"/>
        </w:rPr>
        <w:t>, R.S.C. 1985, c.N-7, Part V</w:t>
      </w:r>
      <w:r w:rsidR="00263790" w:rsidRPr="00137C90">
        <w:rPr>
          <w:b/>
          <w:sz w:val="20"/>
        </w:rPr>
        <w:t xml:space="preserve"> </w:t>
      </w:r>
      <w:r w:rsidR="00263790" w:rsidRPr="00137C90">
        <w:rPr>
          <w:iCs/>
          <w:sz w:val="20"/>
        </w:rPr>
        <w:t>(</w:t>
      </w:r>
      <w:r w:rsidR="00263790">
        <w:rPr>
          <w:iCs/>
          <w:sz w:val="20"/>
        </w:rPr>
        <w:t>F.C.</w:t>
      </w:r>
      <w:r w:rsidR="00263790" w:rsidRPr="00137C90">
        <w:rPr>
          <w:iCs/>
          <w:sz w:val="20"/>
        </w:rPr>
        <w:t>)</w:t>
      </w:r>
    </w:p>
    <w:p w:rsidR="00263790" w:rsidRPr="006513F2" w:rsidRDefault="00263790" w:rsidP="00263790">
      <w:pPr>
        <w:ind w:left="1440"/>
        <w:jc w:val="both"/>
        <w:rPr>
          <w:sz w:val="20"/>
        </w:rPr>
      </w:pPr>
      <w:r w:rsidRPr="006513F2">
        <w:rPr>
          <w:b/>
          <w:sz w:val="20"/>
        </w:rPr>
        <w:t>2011 SCC 7 / 2011 CSC 7</w:t>
      </w:r>
    </w:p>
    <w:p w:rsidR="00263790" w:rsidRPr="006513F2" w:rsidRDefault="00263790" w:rsidP="00263790">
      <w:pPr>
        <w:jc w:val="both"/>
        <w:rPr>
          <w:sz w:val="20"/>
        </w:rPr>
      </w:pPr>
    </w:p>
    <w:p w:rsidR="00263790" w:rsidRPr="006513F2" w:rsidRDefault="00263790" w:rsidP="00263790">
      <w:pPr>
        <w:ind w:left="720" w:hanging="720"/>
        <w:jc w:val="both"/>
        <w:rPr>
          <w:sz w:val="20"/>
        </w:rPr>
      </w:pPr>
      <w:r w:rsidRPr="006513F2">
        <w:rPr>
          <w:sz w:val="20"/>
        </w:rPr>
        <w:t>Coram:</w:t>
      </w:r>
      <w:r>
        <w:rPr>
          <w:sz w:val="20"/>
        </w:rPr>
        <w:tab/>
      </w:r>
      <w:r>
        <w:rPr>
          <w:sz w:val="20"/>
        </w:rPr>
        <w:tab/>
      </w:r>
      <w:r w:rsidRPr="00263790">
        <w:rPr>
          <w:sz w:val="20"/>
          <w:u w:val="single"/>
        </w:rPr>
        <w:t>McLachlin C.J. and Binnie, LeBel, Deschamps, Fish, Abella, Charron, Rothstein and Cromwell JJ.</w:t>
      </w:r>
      <w:r w:rsidRPr="00263790">
        <w:rPr>
          <w:sz w:val="20"/>
        </w:rPr>
        <w:t xml:space="preserve"> </w:t>
      </w:r>
      <w:r w:rsidR="003E529C" w:rsidRPr="006A66E4">
        <w:rPr>
          <w:sz w:val="20"/>
          <w:u w:val="single"/>
        </w:rPr>
        <w:fldChar w:fldCharType="begin"/>
      </w:r>
      <w:r w:rsidRPr="006513F2">
        <w:rPr>
          <w:sz w:val="20"/>
          <w:u w:val="single"/>
        </w:rPr>
        <w:instrText xml:space="preserve"> SEQ CHAPTER \h \r 1</w:instrText>
      </w:r>
      <w:r w:rsidR="003E529C" w:rsidRPr="006A66E4">
        <w:rPr>
          <w:sz w:val="20"/>
          <w:u w:val="single"/>
        </w:rPr>
        <w:fldChar w:fldCharType="end"/>
      </w:r>
    </w:p>
    <w:p w:rsidR="00263790" w:rsidRPr="006513F2" w:rsidRDefault="00263790" w:rsidP="00263790">
      <w:pPr>
        <w:ind w:left="1440" w:hanging="1440"/>
        <w:jc w:val="both"/>
        <w:rPr>
          <w:sz w:val="20"/>
        </w:rPr>
      </w:pPr>
    </w:p>
    <w:p w:rsidR="00263790" w:rsidRPr="006513F2" w:rsidRDefault="00263790" w:rsidP="00263790">
      <w:pPr>
        <w:jc w:val="both"/>
        <w:rPr>
          <w:sz w:val="20"/>
        </w:rPr>
      </w:pPr>
      <w:r w:rsidRPr="006513F2">
        <w:rPr>
          <w:sz w:val="20"/>
        </w:rPr>
        <w:t>The appeal from the judgment of the Federal Court of Appeal, Number A-56-08, 2009 FCA 110, dated April 8, 2009, heard on October 5, 2010 is allowed.  The second Pipeline Arbitration Committee’s decision is restored, with costs throughout on a solicitor-client basis.</w:t>
      </w:r>
    </w:p>
    <w:p w:rsidR="00263790" w:rsidRPr="006513F2" w:rsidRDefault="00263790" w:rsidP="00263790">
      <w:pPr>
        <w:jc w:val="both"/>
        <w:rPr>
          <w:i/>
          <w:iCs/>
          <w:sz w:val="20"/>
        </w:rPr>
      </w:pPr>
    </w:p>
    <w:p w:rsidR="00263790" w:rsidRPr="006513F2" w:rsidRDefault="00263790" w:rsidP="00263790">
      <w:pPr>
        <w:spacing w:line="-19" w:lineRule="auto"/>
        <w:jc w:val="both"/>
        <w:rPr>
          <w:sz w:val="20"/>
        </w:rPr>
      </w:pPr>
    </w:p>
    <w:p w:rsidR="007D613E" w:rsidRPr="00263790" w:rsidRDefault="00263790" w:rsidP="00263790">
      <w:pPr>
        <w:spacing w:line="0" w:lineRule="atLeast"/>
        <w:jc w:val="both"/>
        <w:rPr>
          <w:rFonts w:cs="Times New Roman"/>
          <w:sz w:val="20"/>
          <w:szCs w:val="20"/>
          <w:lang w:val="fr-CA"/>
        </w:rPr>
      </w:pPr>
      <w:r w:rsidRPr="006513F2">
        <w:rPr>
          <w:sz w:val="20"/>
          <w:lang w:val="fr-CA"/>
        </w:rPr>
        <w:t>L’appel interjeté contre l’arrêt de la Cour d’appel fédérale, numéro A-56-08, 2009 CAF 110, en date du 8 avril 2009, entendu le 5 octobre 2010 est accueilli.  La décision du second comité d’arbitrage sur les pipelines est rétablie, le tout avec dépens sur la base procureur-client devant toutes les juridictions.</w:t>
      </w:r>
    </w:p>
    <w:p w:rsidR="007D613E" w:rsidRPr="00263790" w:rsidRDefault="007D613E" w:rsidP="00AF1715">
      <w:pPr>
        <w:spacing w:line="0" w:lineRule="atLeast"/>
        <w:rPr>
          <w:rFonts w:cs="Times New Roman"/>
          <w:sz w:val="20"/>
          <w:szCs w:val="20"/>
          <w:lang w:val="fr-CA"/>
        </w:rPr>
      </w:pPr>
    </w:p>
    <w:p w:rsidR="00AF1715" w:rsidRPr="006C5F7A" w:rsidRDefault="003E529C" w:rsidP="00AF1715">
      <w:pPr>
        <w:spacing w:line="0" w:lineRule="atLeast"/>
        <w:rPr>
          <w:rFonts w:cs="Times New Roman"/>
          <w:b/>
          <w:sz w:val="20"/>
          <w:szCs w:val="20"/>
        </w:rPr>
      </w:pPr>
      <w:r w:rsidRPr="003E529C">
        <w:rPr>
          <w:rFonts w:cs="Times New Roman"/>
          <w:b/>
          <w:sz w:val="20"/>
          <w:szCs w:val="20"/>
        </w:rPr>
        <w:pict>
          <v:rect id="_x0000_i1071"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61611D" w:rsidRPr="0064619D" w:rsidRDefault="0061611D" w:rsidP="0061611D">
      <w:pPr>
        <w:rPr>
          <w:rFonts w:eastAsia="Calibri" w:cs="Times New Roman"/>
          <w:sz w:val="20"/>
          <w:szCs w:val="20"/>
        </w:rPr>
      </w:pPr>
      <w:r w:rsidRPr="0064619D">
        <w:rPr>
          <w:rFonts w:eastAsia="Calibri" w:cs="Times New Roman"/>
          <w:i/>
          <w:sz w:val="20"/>
          <w:szCs w:val="20"/>
        </w:rPr>
        <w:t>Her Majesty the Queen v. F.A. et al.</w:t>
      </w:r>
      <w:r w:rsidRPr="0064619D">
        <w:rPr>
          <w:rFonts w:eastAsia="Calibri" w:cs="Times New Roman"/>
          <w:sz w:val="20"/>
          <w:szCs w:val="20"/>
        </w:rPr>
        <w:t xml:space="preserve"> (Ont.) (33066)</w:t>
      </w:r>
    </w:p>
    <w:p w:rsidR="003902DD" w:rsidRPr="006F4B3F" w:rsidRDefault="003902DD" w:rsidP="003902DD">
      <w:pPr>
        <w:jc w:val="both"/>
        <w:rPr>
          <w:rFonts w:cs="Times New Roman"/>
          <w:b/>
          <w:sz w:val="20"/>
          <w:szCs w:val="20"/>
        </w:rPr>
      </w:pPr>
      <w:r w:rsidRPr="0097017A">
        <w:rPr>
          <w:rFonts w:cs="Times New Roman"/>
          <w:b/>
          <w:sz w:val="20"/>
          <w:szCs w:val="20"/>
        </w:rPr>
        <w:t>Indexed as:  </w:t>
      </w:r>
      <w:r w:rsidRPr="003902DD">
        <w:rPr>
          <w:rStyle w:val="SCCAppellantForIndexChar"/>
          <w:rFonts w:eastAsiaTheme="minorHAnsi"/>
          <w:sz w:val="20"/>
          <w:lang w:val="en-CA"/>
        </w:rPr>
        <w:t>R.</w:t>
      </w:r>
      <w:r w:rsidRPr="0097017A">
        <w:rPr>
          <w:rFonts w:cs="Times New Roman"/>
          <w:b/>
          <w:sz w:val="20"/>
          <w:szCs w:val="20"/>
        </w:rPr>
        <w:t xml:space="preserve"> </w:t>
      </w:r>
      <w:r w:rsidRPr="0097017A">
        <w:rPr>
          <w:rFonts w:cs="Times New Roman"/>
          <w:b/>
          <w:i/>
          <w:sz w:val="20"/>
          <w:szCs w:val="20"/>
        </w:rPr>
        <w:t>v.</w:t>
      </w:r>
      <w:r w:rsidRPr="0097017A">
        <w:rPr>
          <w:rFonts w:cs="Times New Roman"/>
          <w:b/>
          <w:sz w:val="20"/>
          <w:szCs w:val="20"/>
        </w:rPr>
        <w:t xml:space="preserve"> Ahmad</w:t>
      </w:r>
      <w:r>
        <w:rPr>
          <w:rFonts w:cs="Times New Roman"/>
          <w:b/>
          <w:sz w:val="20"/>
          <w:szCs w:val="20"/>
        </w:rPr>
        <w:t xml:space="preserve"> / </w:t>
      </w:r>
      <w:r w:rsidRPr="006F4B3F">
        <w:rPr>
          <w:rFonts w:cs="Times New Roman"/>
          <w:b/>
          <w:sz w:val="20"/>
          <w:szCs w:val="20"/>
        </w:rPr>
        <w:t>Répertorié : </w:t>
      </w:r>
      <w:r w:rsidRPr="003902DD">
        <w:rPr>
          <w:rStyle w:val="SCCAppellantForIndexChar"/>
          <w:rFonts w:eastAsiaTheme="minorHAnsi"/>
          <w:sz w:val="20"/>
          <w:lang w:val="en-CA"/>
        </w:rPr>
        <w:t>R.</w:t>
      </w:r>
      <w:r w:rsidRPr="006F4B3F">
        <w:rPr>
          <w:rFonts w:cs="Times New Roman"/>
          <w:b/>
          <w:sz w:val="20"/>
          <w:szCs w:val="20"/>
        </w:rPr>
        <w:t xml:space="preserve"> </w:t>
      </w:r>
      <w:r w:rsidRPr="006F4B3F">
        <w:rPr>
          <w:rFonts w:cs="Times New Roman"/>
          <w:b/>
          <w:i/>
          <w:sz w:val="20"/>
          <w:szCs w:val="20"/>
        </w:rPr>
        <w:t>c.</w:t>
      </w:r>
      <w:r w:rsidRPr="006F4B3F">
        <w:rPr>
          <w:rFonts w:cs="Times New Roman"/>
          <w:b/>
          <w:sz w:val="20"/>
          <w:szCs w:val="20"/>
        </w:rPr>
        <w:t xml:space="preserve"> Ahmad</w:t>
      </w:r>
    </w:p>
    <w:p w:rsidR="005C6840" w:rsidRPr="003B3977" w:rsidRDefault="005C6840" w:rsidP="005C6840">
      <w:pPr>
        <w:pStyle w:val="SCCSystemYear"/>
        <w:jc w:val="both"/>
        <w:rPr>
          <w:sz w:val="20"/>
        </w:rPr>
      </w:pPr>
      <w:r w:rsidRPr="003B3977">
        <w:rPr>
          <w:sz w:val="20"/>
        </w:rPr>
        <w:t>Neutral citation:  201</w:t>
      </w:r>
      <w:r w:rsidR="007F387B">
        <w:rPr>
          <w:sz w:val="20"/>
        </w:rPr>
        <w:t>1</w:t>
      </w:r>
      <w:r w:rsidRPr="003B3977">
        <w:rPr>
          <w:sz w:val="20"/>
        </w:rPr>
        <w:t xml:space="preserve"> SCC </w:t>
      </w:r>
      <w:r w:rsidR="0061611D">
        <w:rPr>
          <w:sz w:val="20"/>
        </w:rPr>
        <w:t>6</w:t>
      </w:r>
      <w:r w:rsidRPr="003B3977">
        <w:rPr>
          <w:sz w:val="20"/>
        </w:rPr>
        <w:t xml:space="preserve"> / Référence neutre : 201</w:t>
      </w:r>
      <w:r w:rsidR="007F387B">
        <w:rPr>
          <w:sz w:val="20"/>
        </w:rPr>
        <w:t>1</w:t>
      </w:r>
      <w:r w:rsidRPr="003B3977">
        <w:rPr>
          <w:sz w:val="20"/>
        </w:rPr>
        <w:t xml:space="preserve"> CSC </w:t>
      </w:r>
      <w:r w:rsidR="0061611D">
        <w:rPr>
          <w:sz w:val="20"/>
        </w:rPr>
        <w:t>6</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61611D">
        <w:rPr>
          <w:rFonts w:cs="Times New Roman"/>
          <w:sz w:val="20"/>
          <w:szCs w:val="20"/>
          <w:lang w:val="fr-CA"/>
        </w:rPr>
        <w:t>March</w:t>
      </w:r>
      <w:r w:rsidRPr="003B3977">
        <w:rPr>
          <w:rFonts w:cs="Times New Roman"/>
          <w:sz w:val="20"/>
          <w:szCs w:val="20"/>
          <w:lang w:val="fr-CA"/>
        </w:rPr>
        <w:t xml:space="preserve"> </w:t>
      </w:r>
      <w:r w:rsidR="0061611D">
        <w:rPr>
          <w:rFonts w:cs="Times New Roman"/>
          <w:sz w:val="20"/>
          <w:szCs w:val="20"/>
          <w:lang w:val="fr-CA"/>
        </w:rPr>
        <w:t>1</w:t>
      </w:r>
      <w:r w:rsidRPr="003B3977">
        <w:rPr>
          <w:rFonts w:cs="Times New Roman"/>
          <w:sz w:val="20"/>
          <w:szCs w:val="20"/>
          <w:lang w:val="fr-CA"/>
        </w:rPr>
        <w:t xml:space="preserve">8, 2010 / Judgment:  </w:t>
      </w:r>
      <w:r w:rsidR="0061611D">
        <w:rPr>
          <w:rFonts w:cs="Times New Roman"/>
          <w:sz w:val="20"/>
          <w:szCs w:val="20"/>
          <w:lang w:val="fr-CA"/>
        </w:rPr>
        <w:t>February 10</w:t>
      </w:r>
      <w:r w:rsidRPr="003B3977">
        <w:rPr>
          <w:rFonts w:cs="Times New Roman"/>
          <w:sz w:val="20"/>
          <w:szCs w:val="20"/>
          <w:lang w:val="fr-CA"/>
        </w:rPr>
        <w:t>, 201</w:t>
      </w:r>
      <w:r w:rsidR="0061611D">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61611D">
        <w:rPr>
          <w:rFonts w:cs="Times New Roman"/>
          <w:sz w:val="20"/>
          <w:szCs w:val="20"/>
          <w:lang w:val="fr-CA"/>
        </w:rPr>
        <w:t>1</w:t>
      </w:r>
      <w:r w:rsidRPr="003B3977">
        <w:rPr>
          <w:rFonts w:cs="Times New Roman"/>
          <w:sz w:val="20"/>
          <w:szCs w:val="20"/>
          <w:lang w:val="fr-CA"/>
        </w:rPr>
        <w:t xml:space="preserve">8 </w:t>
      </w:r>
      <w:r w:rsidR="0061611D">
        <w:rPr>
          <w:rFonts w:cs="Times New Roman"/>
          <w:sz w:val="20"/>
          <w:szCs w:val="20"/>
          <w:lang w:val="fr-CA"/>
        </w:rPr>
        <w:t>mars</w:t>
      </w:r>
      <w:r w:rsidRPr="003B3977">
        <w:rPr>
          <w:rFonts w:cs="Times New Roman"/>
          <w:sz w:val="20"/>
          <w:szCs w:val="20"/>
          <w:lang w:val="fr-CA"/>
        </w:rPr>
        <w:t xml:space="preserve"> 2010 / Jugement : Le </w:t>
      </w:r>
      <w:r w:rsidR="0061611D">
        <w:rPr>
          <w:rFonts w:cs="Times New Roman"/>
          <w:sz w:val="20"/>
          <w:szCs w:val="20"/>
          <w:lang w:val="fr-CA"/>
        </w:rPr>
        <w:t>10</w:t>
      </w:r>
      <w:r w:rsidRPr="003B3977">
        <w:rPr>
          <w:rFonts w:cs="Times New Roman"/>
          <w:sz w:val="20"/>
          <w:szCs w:val="20"/>
          <w:lang w:val="fr-CA"/>
        </w:rPr>
        <w:t xml:space="preserve"> </w:t>
      </w:r>
      <w:r w:rsidR="0061611D">
        <w:rPr>
          <w:rFonts w:cs="Times New Roman"/>
          <w:sz w:val="20"/>
          <w:szCs w:val="20"/>
          <w:lang w:val="fr-CA"/>
        </w:rPr>
        <w:t>février</w:t>
      </w:r>
      <w:r w:rsidRPr="003B3977">
        <w:rPr>
          <w:rFonts w:cs="Times New Roman"/>
          <w:sz w:val="20"/>
          <w:szCs w:val="20"/>
          <w:lang w:val="fr-CA"/>
        </w:rPr>
        <w:t xml:space="preserve"> 201</w:t>
      </w:r>
      <w:r w:rsidR="0061611D">
        <w:rPr>
          <w:rFonts w:cs="Times New Roman"/>
          <w:sz w:val="20"/>
          <w:szCs w:val="20"/>
          <w:lang w:val="fr-CA"/>
        </w:rPr>
        <w:t>1</w:t>
      </w:r>
    </w:p>
    <w:p w:rsidR="005C6840" w:rsidRPr="003B3977" w:rsidRDefault="003E529C" w:rsidP="005C6840">
      <w:pPr>
        <w:rPr>
          <w:rFonts w:cs="Times New Roman"/>
          <w:sz w:val="20"/>
          <w:szCs w:val="20"/>
          <w:lang w:val="fr-CA"/>
        </w:rPr>
      </w:pPr>
      <w:r w:rsidRPr="003E529C">
        <w:rPr>
          <w:rFonts w:cs="Times New Roman"/>
          <w:i/>
          <w:sz w:val="20"/>
          <w:szCs w:val="20"/>
        </w:rPr>
        <w:pict>
          <v:rect id="_x0000_i1074" style="width:480.95pt;height:1pt" o:hralign="center" o:hrstd="t" o:hrnoshade="t" o:hr="t" fillcolor="black [3213]" stroked="f"/>
        </w:pict>
      </w:r>
    </w:p>
    <w:p w:rsidR="005C6840" w:rsidRDefault="005C6840" w:rsidP="005C6840">
      <w:pPr>
        <w:rPr>
          <w:rFonts w:cs="Times New Roman"/>
          <w:sz w:val="20"/>
          <w:szCs w:val="20"/>
          <w:lang w:val="fr-CA"/>
        </w:rPr>
      </w:pPr>
    </w:p>
    <w:p w:rsidR="003902DD" w:rsidRPr="003902DD" w:rsidRDefault="003902DD" w:rsidP="003902DD">
      <w:pPr>
        <w:jc w:val="both"/>
        <w:rPr>
          <w:sz w:val="20"/>
          <w:szCs w:val="20"/>
        </w:rPr>
      </w:pPr>
      <w:r w:rsidRPr="003902DD">
        <w:rPr>
          <w:sz w:val="20"/>
          <w:szCs w:val="20"/>
        </w:rPr>
        <w:t>Present:  McLachlin C.J. and Binnie, LeBel, Deschamps, Fish, Abella, Charron, Rothstein and Cromwell JJ.</w:t>
      </w:r>
    </w:p>
    <w:p w:rsidR="003902DD" w:rsidRPr="003902DD" w:rsidRDefault="003902DD" w:rsidP="003902DD">
      <w:pPr>
        <w:jc w:val="both"/>
        <w:rPr>
          <w:sz w:val="20"/>
          <w:szCs w:val="20"/>
        </w:rPr>
      </w:pPr>
    </w:p>
    <w:p w:rsidR="003902DD" w:rsidRPr="003902DD" w:rsidRDefault="003902DD" w:rsidP="003902DD">
      <w:pPr>
        <w:pStyle w:val="SCCNormalDoubleSpacing"/>
        <w:spacing w:line="240" w:lineRule="auto"/>
        <w:rPr>
          <w:i/>
          <w:iCs/>
          <w:sz w:val="20"/>
          <w:lang w:val="en-US"/>
        </w:rPr>
      </w:pPr>
      <w:r w:rsidRPr="003902DD">
        <w:rPr>
          <w:i/>
          <w:iCs/>
          <w:sz w:val="20"/>
          <w:lang w:val="en-US"/>
        </w:rPr>
        <w:tab/>
        <w:t>Constitutional law — Validity of legislation — Section 38 scheme of Canada Evidence Act granting jurisdiction to Federal Court to determine questions of disclosure of information pertaining to international relations, national</w:t>
      </w:r>
      <w:r w:rsidRPr="003902DD">
        <w:rPr>
          <w:i/>
          <w:iCs/>
          <w:sz w:val="20"/>
        </w:rPr>
        <w:t xml:space="preserve"> defence</w:t>
      </w:r>
      <w:r w:rsidRPr="003902DD">
        <w:rPr>
          <w:i/>
          <w:iCs/>
          <w:sz w:val="20"/>
          <w:lang w:val="en-US"/>
        </w:rPr>
        <w:t xml:space="preserve"> or national security — Whether Parliament’s decision to limit superior courts from determining those questions impermissibly invades core jurisdiction of superior courts — Canada Evidence Act, R.S.C. 1985, c. C</w:t>
      </w:r>
      <w:r w:rsidRPr="003902DD">
        <w:rPr>
          <w:i/>
          <w:iCs/>
          <w:sz w:val="20"/>
          <w:lang w:val="en-US"/>
        </w:rPr>
        <w:noBreakHyphen/>
        <w:t>5, s. 38</w:t>
      </w:r>
      <w:r w:rsidRPr="003902DD">
        <w:rPr>
          <w:i/>
          <w:iCs/>
          <w:sz w:val="20"/>
          <w:lang w:val="en-US"/>
        </w:rPr>
        <w:noBreakHyphen/>
        <w:t>38.16 — Constitution Act, 1867, s. 96.</w:t>
      </w:r>
    </w:p>
    <w:p w:rsidR="003902DD" w:rsidRPr="003902DD" w:rsidRDefault="003902DD" w:rsidP="003902DD">
      <w:pPr>
        <w:pStyle w:val="SCCNormalDoubleSpacing"/>
        <w:spacing w:line="240" w:lineRule="auto"/>
        <w:rPr>
          <w:i/>
          <w:iCs/>
          <w:sz w:val="20"/>
          <w:lang w:val="en-US"/>
        </w:rPr>
      </w:pPr>
    </w:p>
    <w:p w:rsidR="003902DD" w:rsidRPr="003902DD" w:rsidRDefault="003902DD" w:rsidP="003902DD">
      <w:pPr>
        <w:pStyle w:val="SCCNormalDoubleSpacing"/>
        <w:spacing w:line="240" w:lineRule="auto"/>
        <w:rPr>
          <w:i/>
          <w:iCs/>
          <w:sz w:val="20"/>
          <w:lang w:val="en-GB"/>
        </w:rPr>
      </w:pPr>
      <w:r w:rsidRPr="003902DD">
        <w:rPr>
          <w:i/>
          <w:sz w:val="20"/>
        </w:rPr>
        <w:tab/>
        <w:t xml:space="preserve">Constitutional law </w:t>
      </w:r>
      <w:r w:rsidRPr="003902DD">
        <w:rPr>
          <w:i/>
          <w:iCs/>
          <w:sz w:val="20"/>
          <w:lang w:val="en-US"/>
        </w:rPr>
        <w:t xml:space="preserve">— </w:t>
      </w:r>
      <w:r w:rsidRPr="003902DD">
        <w:rPr>
          <w:i/>
          <w:sz w:val="20"/>
        </w:rPr>
        <w:t xml:space="preserve">Charter of Rights </w:t>
      </w:r>
      <w:r w:rsidRPr="003902DD">
        <w:rPr>
          <w:i/>
          <w:iCs/>
          <w:sz w:val="20"/>
          <w:lang w:val="en-US"/>
        </w:rPr>
        <w:t>— Right to life, liberty and security of the person — Section 38 scheme of Canada Evidence Act granting jurisdiction to Federal Court to determine questions of disclosure of information pertaining to international relations, national defence or national security — Whether attribution</w:t>
      </w:r>
      <w:r w:rsidRPr="003902DD">
        <w:rPr>
          <w:i/>
          <w:iCs/>
          <w:sz w:val="20"/>
          <w:lang w:val="en-GB"/>
        </w:rPr>
        <w:t xml:space="preserve"> of jurisdiction to Federal Court impedes ability of superior court judges to ensure conduct of fair trial </w:t>
      </w:r>
      <w:r w:rsidRPr="003902DD">
        <w:rPr>
          <w:i/>
          <w:iCs/>
          <w:sz w:val="20"/>
          <w:lang w:val="en-US"/>
        </w:rPr>
        <w:t>— Canada Evidence Act, R.S.C. 1985, c. C</w:t>
      </w:r>
      <w:r w:rsidRPr="003902DD">
        <w:rPr>
          <w:i/>
          <w:iCs/>
          <w:sz w:val="20"/>
          <w:lang w:val="en-US"/>
        </w:rPr>
        <w:noBreakHyphen/>
        <w:t>5, s. 38</w:t>
      </w:r>
      <w:r w:rsidRPr="003902DD">
        <w:rPr>
          <w:i/>
          <w:iCs/>
          <w:sz w:val="20"/>
          <w:lang w:val="en-US"/>
        </w:rPr>
        <w:noBreakHyphen/>
        <w:t xml:space="preserve">38.16 — </w:t>
      </w:r>
      <w:r w:rsidRPr="003902DD">
        <w:rPr>
          <w:i/>
          <w:iCs/>
          <w:sz w:val="20"/>
          <w:lang w:val="en-GB"/>
        </w:rPr>
        <w:t>Canadian Charter of Rights and Freedoms, s. 7.</w:t>
      </w:r>
    </w:p>
    <w:p w:rsidR="003902DD" w:rsidRPr="003902DD" w:rsidRDefault="003902DD" w:rsidP="003902DD">
      <w:pPr>
        <w:pStyle w:val="SCCNormalDoubleSpacing"/>
        <w:spacing w:line="240" w:lineRule="auto"/>
        <w:rPr>
          <w:i/>
          <w:iCs/>
          <w:sz w:val="20"/>
        </w:rPr>
      </w:pPr>
    </w:p>
    <w:p w:rsidR="003902DD" w:rsidRPr="003902DD" w:rsidRDefault="003902DD" w:rsidP="003902DD">
      <w:pPr>
        <w:pStyle w:val="SCCNormalDoubleSpacing"/>
        <w:spacing w:line="240" w:lineRule="auto"/>
        <w:rPr>
          <w:iCs/>
          <w:sz w:val="20"/>
        </w:rPr>
      </w:pPr>
      <w:r w:rsidRPr="003902DD">
        <w:rPr>
          <w:sz w:val="20"/>
        </w:rPr>
        <w:tab/>
        <w:t xml:space="preserve">In June 2006, 18 people were arrested on the suspicion that they were plotting terrorist attacks.  Ten of the 18 people were scheduled to be tried before Dawson J. of the Ontario Superior Court of Justice.  </w:t>
      </w:r>
      <w:r w:rsidRPr="003902DD">
        <w:rPr>
          <w:iCs/>
          <w:sz w:val="20"/>
          <w:lang w:val="en-US"/>
        </w:rPr>
        <w:t xml:space="preserve">In March and June 2008, the Crown notified the Attorney General of Canada that the Superior Court proceedings might disclose </w:t>
      </w:r>
      <w:r w:rsidRPr="003902DD">
        <w:rPr>
          <w:color w:val="000000"/>
          <w:sz w:val="20"/>
        </w:rPr>
        <w:t>potentially injurious or sensitive government information.  The Attorney General brought the disclosure issue before the Federal Court pursuant to the s</w:t>
      </w:r>
      <w:r w:rsidRPr="003902DD">
        <w:rPr>
          <w:sz w:val="20"/>
        </w:rPr>
        <w:t xml:space="preserve">. 38 scheme of the </w:t>
      </w:r>
      <w:r w:rsidRPr="003902DD">
        <w:rPr>
          <w:i/>
          <w:iCs/>
          <w:sz w:val="20"/>
          <w:lang w:val="en-US"/>
        </w:rPr>
        <w:t>Canada Evidence Act</w:t>
      </w:r>
      <w:r w:rsidRPr="003902DD">
        <w:rPr>
          <w:iCs/>
          <w:sz w:val="20"/>
          <w:lang w:val="en-US"/>
        </w:rPr>
        <w:t xml:space="preserve">. Noël J. of the Federal Court </w:t>
      </w:r>
      <w:r w:rsidRPr="003902DD">
        <w:rPr>
          <w:iCs/>
          <w:sz w:val="20"/>
        </w:rPr>
        <w:t xml:space="preserve">ordered that the accused be designated as respondents in proceedings commenced by the Attorney General, that a hearing be held, and that notice be given to the Superior Court judge.  The accused then brought an application in the Superior Court to challenge the constitutionality of the s. 38 scheme.  The Federal Court halted its proceedings pending the resolution of that challenge.  The Superior Court judge held that the scheme was unconstitutional as it violated s. 96 of the </w:t>
      </w:r>
      <w:r w:rsidRPr="003902DD">
        <w:rPr>
          <w:i/>
          <w:iCs/>
          <w:sz w:val="20"/>
        </w:rPr>
        <w:t>Constitution Act, 1867</w:t>
      </w:r>
      <w:r w:rsidRPr="003902DD">
        <w:rPr>
          <w:iCs/>
          <w:sz w:val="20"/>
        </w:rPr>
        <w:t xml:space="preserve"> and s. 7 of the </w:t>
      </w:r>
      <w:r w:rsidRPr="003902DD">
        <w:rPr>
          <w:i/>
          <w:iCs/>
          <w:sz w:val="20"/>
        </w:rPr>
        <w:t>Charter</w:t>
      </w:r>
      <w:r w:rsidRPr="003902DD">
        <w:rPr>
          <w:iCs/>
          <w:sz w:val="20"/>
        </w:rPr>
        <w:t xml:space="preserve">.  He struck down the legislation to the extent that it conferred exclusive jurisdiction on the Federal Court and asserted his own responsibility, as the Superior Court judge conducting the criminal trial, to decide any national security privilege issues that might arise in the course of the proceedings. </w:t>
      </w:r>
    </w:p>
    <w:p w:rsidR="003902DD" w:rsidRPr="003902DD" w:rsidRDefault="003902DD" w:rsidP="003902DD">
      <w:pPr>
        <w:pStyle w:val="SCCNormalDoubleSpacing"/>
        <w:spacing w:line="240" w:lineRule="auto"/>
        <w:rPr>
          <w:iCs/>
          <w:sz w:val="20"/>
          <w:lang w:val="en-US"/>
        </w:rPr>
      </w:pPr>
    </w:p>
    <w:p w:rsidR="003902DD" w:rsidRPr="003902DD" w:rsidRDefault="003902DD" w:rsidP="003902DD">
      <w:pPr>
        <w:pStyle w:val="SCCNormalDoubleSpacing"/>
        <w:spacing w:line="240" w:lineRule="auto"/>
        <w:rPr>
          <w:sz w:val="20"/>
        </w:rPr>
      </w:pPr>
      <w:r w:rsidRPr="003902DD">
        <w:rPr>
          <w:sz w:val="20"/>
        </w:rPr>
        <w:tab/>
      </w:r>
      <w:r w:rsidRPr="003902DD">
        <w:rPr>
          <w:rStyle w:val="QuoteChar"/>
          <w:sz w:val="20"/>
          <w:lang w:val="en-CA"/>
        </w:rPr>
        <w:t>Held</w:t>
      </w:r>
      <w:r w:rsidRPr="003902DD">
        <w:rPr>
          <w:rStyle w:val="QuoteChar"/>
          <w:i w:val="0"/>
          <w:sz w:val="20"/>
          <w:lang w:val="en-CA"/>
        </w:rPr>
        <w:t>:</w:t>
      </w:r>
      <w:r w:rsidRPr="003902DD">
        <w:rPr>
          <w:sz w:val="20"/>
        </w:rPr>
        <w:t xml:space="preserve">  The appeal should be allowed.  Sections 38 to 38.16 of the </w:t>
      </w:r>
      <w:r w:rsidRPr="003902DD">
        <w:rPr>
          <w:i/>
          <w:sz w:val="20"/>
        </w:rPr>
        <w:t>Canada Evidence Act</w:t>
      </w:r>
      <w:r w:rsidRPr="003902DD">
        <w:rPr>
          <w:sz w:val="20"/>
        </w:rPr>
        <w:t xml:space="preserve"> are constitutional.</w:t>
      </w:r>
    </w:p>
    <w:p w:rsidR="003902DD" w:rsidRPr="003902DD" w:rsidRDefault="003902DD" w:rsidP="003902DD">
      <w:pPr>
        <w:pStyle w:val="SCCNormalDoubleSpacing"/>
        <w:spacing w:line="240" w:lineRule="auto"/>
        <w:rPr>
          <w:sz w:val="20"/>
        </w:rPr>
      </w:pPr>
    </w:p>
    <w:p w:rsidR="003902DD" w:rsidRPr="003902DD" w:rsidRDefault="003902DD" w:rsidP="003902DD">
      <w:pPr>
        <w:pStyle w:val="SCCNormalDoubleSpacing"/>
        <w:spacing w:line="240" w:lineRule="auto"/>
        <w:rPr>
          <w:color w:val="000000"/>
          <w:sz w:val="20"/>
        </w:rPr>
      </w:pPr>
      <w:r w:rsidRPr="003902DD">
        <w:rPr>
          <w:sz w:val="20"/>
        </w:rPr>
        <w:tab/>
      </w:r>
      <w:r w:rsidRPr="003902DD">
        <w:rPr>
          <w:color w:val="000000"/>
          <w:sz w:val="20"/>
        </w:rPr>
        <w:t>This</w:t>
      </w:r>
      <w:r w:rsidRPr="003902DD">
        <w:rPr>
          <w:sz w:val="20"/>
        </w:rPr>
        <w:t xml:space="preserve"> appeal concerns </w:t>
      </w:r>
      <w:r w:rsidRPr="003902DD">
        <w:rPr>
          <w:color w:val="000000"/>
          <w:sz w:val="20"/>
        </w:rPr>
        <w:t xml:space="preserve">the potential conflict between </w:t>
      </w:r>
      <w:r w:rsidRPr="003902DD">
        <w:rPr>
          <w:sz w:val="20"/>
        </w:rPr>
        <w:t xml:space="preserve">two fundamental obligations of the state under our system of government:  first, to protect society by preventing the disclosure of information that could pose a threat to international relations, national defence or national security; second, </w:t>
      </w:r>
      <w:r w:rsidRPr="003902DD">
        <w:rPr>
          <w:color w:val="000000"/>
          <w:sz w:val="20"/>
        </w:rPr>
        <w:t>to prosecute individuals accused of offences against our laws.  In the s. 38 scheme, Parliament has recognized that on occasion it may become necessary to choose between these objectives, but has laid out an elaborate framework to attempt, where possible, to reconcile them.  Where the conflict is irreconcilable, an unfair trial cannot be tolerated.  Under the rule of law, the right of an accused person to make full answer and defence may not be compromised.  The s. 38 scheme preserves the full authority and independence of the judge presiding over the criminal trial to do justice between the parties, including, where he or she deems it necessary, to enter a stay of proceedings.  While the statutory scheme of s. 38, particularly its division of responsibilities between the Federal Court and the criminal courts of the provinces, raises numerous practical and legal difficulties, properly understood and applied, it is constitutionally valid.</w:t>
      </w:r>
      <w:r w:rsidRPr="003902DD">
        <w:rPr>
          <w:sz w:val="20"/>
        </w:rPr>
        <w:t xml:space="preserve">  The test in </w:t>
      </w:r>
      <w:r w:rsidRPr="003902DD">
        <w:rPr>
          <w:i/>
          <w:sz w:val="20"/>
        </w:rPr>
        <w:t>Re Residential Tenancies Act, 1979</w:t>
      </w:r>
      <w:r w:rsidRPr="003902DD">
        <w:rPr>
          <w:sz w:val="20"/>
        </w:rPr>
        <w:t xml:space="preserve"> requires as a first step that an analysis be conducted as to whether the power conferred on a tribunal other than a s. 96 court broadly conforms to a power or jurisdiction exercised by a superior, district or county court at the time of Confederation.  </w:t>
      </w:r>
      <w:r w:rsidRPr="003902DD">
        <w:rPr>
          <w:color w:val="000000"/>
          <w:sz w:val="20"/>
        </w:rPr>
        <w:t xml:space="preserve">It is true, of course, that the judicature provisions of the </w:t>
      </w:r>
      <w:r w:rsidRPr="003902DD">
        <w:rPr>
          <w:i/>
          <w:color w:val="000000"/>
          <w:sz w:val="20"/>
        </w:rPr>
        <w:t>Constitution</w:t>
      </w:r>
      <w:r w:rsidRPr="003902DD">
        <w:rPr>
          <w:color w:val="000000"/>
          <w:sz w:val="20"/>
        </w:rPr>
        <w:t xml:space="preserve"> </w:t>
      </w:r>
      <w:r w:rsidRPr="003902DD">
        <w:rPr>
          <w:i/>
          <w:color w:val="000000"/>
          <w:sz w:val="20"/>
        </w:rPr>
        <w:t>Act, 1867</w:t>
      </w:r>
      <w:r w:rsidRPr="003902DD">
        <w:rPr>
          <w:color w:val="000000"/>
          <w:sz w:val="20"/>
        </w:rPr>
        <w:t xml:space="preserve"> create substantive constitutional limitations on Parliament’s ability to confer powers on courts or tribunals other than those established under s. 96.  Although the Court has not fully explored the interaction of ss. 96 and 101, it accepts for present purposes (without deciding) that the constitutional analysis proceeds as the respondents contend.</w:t>
      </w:r>
    </w:p>
    <w:p w:rsidR="003902DD" w:rsidRPr="003902DD" w:rsidRDefault="003902DD" w:rsidP="003902DD">
      <w:pPr>
        <w:pStyle w:val="SCCNormalDoubleSpacing"/>
        <w:spacing w:line="240" w:lineRule="auto"/>
        <w:rPr>
          <w:color w:val="000000"/>
          <w:sz w:val="20"/>
        </w:rPr>
      </w:pPr>
      <w:r w:rsidRPr="003902DD">
        <w:rPr>
          <w:sz w:val="20"/>
        </w:rPr>
        <w:lastRenderedPageBreak/>
        <w:tab/>
        <w:t xml:space="preserve">In 1867, Crown claims to refuse disclosure of potentially injurious or sensitive information were generally considered by superior courts in Canada to be a matter of unreviewable executive prerogative.  Given that the superior courts did not exercise any such power of review at the time of Confederation, the analysis under </w:t>
      </w:r>
      <w:r w:rsidRPr="003902DD">
        <w:rPr>
          <w:i/>
          <w:sz w:val="20"/>
        </w:rPr>
        <w:t>Re Residential Tenancies Act, 1979</w:t>
      </w:r>
      <w:r w:rsidRPr="003902DD">
        <w:rPr>
          <w:sz w:val="20"/>
        </w:rPr>
        <w:t xml:space="preserve"> ends at the first question and there is no infringement of s. 96 under that test.  Further, while it is true that a superior court’s ability to adjudicate the constitutional issues that come before it forms a part of its core jurisdiction, the issue here is not properly characterized as the authority of the superior court to protect the integrity of its process.  Rather, the issue relates to authority in relation to disclosure of material for which the security exemption is claimed.  Characterized in that way, the s. 38 scheme does not violate s. 96 of the </w:t>
      </w:r>
      <w:r w:rsidRPr="003902DD">
        <w:rPr>
          <w:i/>
          <w:sz w:val="20"/>
        </w:rPr>
        <w:t>Constitution Act, 1867</w:t>
      </w:r>
      <w:r w:rsidRPr="003902DD">
        <w:rPr>
          <w:sz w:val="20"/>
        </w:rPr>
        <w:t xml:space="preserve"> because it does not impede a court’s power to remedy abuses of process.  What is essential for </w:t>
      </w:r>
      <w:r w:rsidRPr="003902DD">
        <w:rPr>
          <w:color w:val="000000"/>
          <w:sz w:val="20"/>
        </w:rPr>
        <w:t>constitutional purposes</w:t>
      </w:r>
      <w:r w:rsidRPr="003902DD">
        <w:rPr>
          <w:sz w:val="20"/>
        </w:rPr>
        <w:t xml:space="preserve"> </w:t>
      </w:r>
      <w:r w:rsidRPr="003902DD">
        <w:rPr>
          <w:color w:val="000000"/>
          <w:sz w:val="20"/>
        </w:rPr>
        <w:t xml:space="preserve">is that the criminal courts retain the ability to ensure that every person who comes before them as the subject of a criminal prosecution receives a fair trial.  What is recognized in both s. 38.14 of the </w:t>
      </w:r>
      <w:r w:rsidRPr="003902DD">
        <w:rPr>
          <w:i/>
          <w:color w:val="000000"/>
          <w:sz w:val="20"/>
        </w:rPr>
        <w:t xml:space="preserve">CEA </w:t>
      </w:r>
      <w:r w:rsidRPr="003902DD">
        <w:rPr>
          <w:color w:val="000000"/>
          <w:sz w:val="20"/>
        </w:rPr>
        <w:t xml:space="preserve">and s. 24(1) of the </w:t>
      </w:r>
      <w:r w:rsidRPr="003902DD">
        <w:rPr>
          <w:i/>
          <w:color w:val="000000"/>
          <w:sz w:val="20"/>
        </w:rPr>
        <w:t>Charter</w:t>
      </w:r>
      <w:r w:rsidRPr="003902DD">
        <w:rPr>
          <w:color w:val="000000"/>
          <w:sz w:val="20"/>
        </w:rPr>
        <w:t xml:space="preserve"> is that sometimes the only way to avoid an unfair trial is to have no trial at all.  Through s. 38.14 and the </w:t>
      </w:r>
      <w:r w:rsidRPr="003902DD">
        <w:rPr>
          <w:i/>
          <w:color w:val="000000"/>
          <w:sz w:val="20"/>
        </w:rPr>
        <w:t>Charter</w:t>
      </w:r>
      <w:r w:rsidRPr="003902DD">
        <w:rPr>
          <w:color w:val="000000"/>
          <w:sz w:val="20"/>
        </w:rPr>
        <w:t>, the criminal court trial judge possesses the means to safeguard the accused’s fair trial rights.</w:t>
      </w:r>
      <w:r w:rsidRPr="003902DD">
        <w:rPr>
          <w:sz w:val="20"/>
        </w:rPr>
        <w:t xml:space="preserve">  However, t</w:t>
      </w:r>
      <w:r w:rsidRPr="003902DD">
        <w:rPr>
          <w:color w:val="000000"/>
          <w:sz w:val="20"/>
        </w:rPr>
        <w:t>he stay of proceedings remedy in s. 38.14 is a statutory remedy to be considered and applied in its own context.  It should not be limited by the non</w:t>
      </w:r>
      <w:r w:rsidRPr="003902DD">
        <w:rPr>
          <w:color w:val="000000"/>
          <w:sz w:val="20"/>
        </w:rPr>
        <w:noBreakHyphen/>
        <w:t xml:space="preserve">statutory “clearest of cases” test for a stay under the </w:t>
      </w:r>
      <w:r w:rsidRPr="003902DD">
        <w:rPr>
          <w:i/>
          <w:color w:val="000000"/>
          <w:sz w:val="20"/>
        </w:rPr>
        <w:t>Charter</w:t>
      </w:r>
      <w:r w:rsidRPr="003902DD">
        <w:rPr>
          <w:color w:val="000000"/>
          <w:sz w:val="20"/>
        </w:rPr>
        <w:t xml:space="preserve"> jurisprudence.</w:t>
      </w:r>
    </w:p>
    <w:p w:rsidR="003902DD" w:rsidRPr="003902DD" w:rsidRDefault="003902DD" w:rsidP="003902DD">
      <w:pPr>
        <w:pStyle w:val="SCCNormalDoubleSpacing"/>
        <w:spacing w:line="240" w:lineRule="auto"/>
        <w:rPr>
          <w:color w:val="000000"/>
          <w:sz w:val="20"/>
        </w:rPr>
      </w:pPr>
    </w:p>
    <w:p w:rsidR="003902DD" w:rsidRPr="003902DD" w:rsidRDefault="003902DD" w:rsidP="003902DD">
      <w:pPr>
        <w:pStyle w:val="SCCNormalDoubleSpacing"/>
        <w:spacing w:line="240" w:lineRule="auto"/>
        <w:rPr>
          <w:sz w:val="20"/>
        </w:rPr>
      </w:pPr>
      <w:r w:rsidRPr="003902DD">
        <w:rPr>
          <w:sz w:val="20"/>
        </w:rPr>
        <w:tab/>
        <w:t xml:space="preserve">For similar reasons, the challenge to the legislation under s. 7 of the </w:t>
      </w:r>
      <w:r w:rsidRPr="003902DD">
        <w:rPr>
          <w:i/>
          <w:sz w:val="20"/>
        </w:rPr>
        <w:t>Charter</w:t>
      </w:r>
      <w:r w:rsidRPr="003902DD">
        <w:rPr>
          <w:sz w:val="20"/>
        </w:rPr>
        <w:t xml:space="preserve"> also fails.  The Federal Court judge’s sole concern under the scheme is the protection of the public interest</w:t>
      </w:r>
      <w:r w:rsidRPr="003902DD">
        <w:rPr>
          <w:color w:val="000000"/>
          <w:sz w:val="20"/>
        </w:rPr>
        <w:t xml:space="preserve"> in sensitive or potentially injurious information</w:t>
      </w:r>
      <w:r w:rsidRPr="003902DD">
        <w:rPr>
          <w:sz w:val="20"/>
        </w:rPr>
        <w:t>.  If the Federal Court determines that the disclosure of the information at issue would be injurious to international relations or national defence or national security, then disclosure will only be ordered by that court if in its view the public interest in disclosure outweighs the public interest in non</w:t>
      </w:r>
      <w:r w:rsidRPr="003902DD">
        <w:rPr>
          <w:sz w:val="20"/>
        </w:rPr>
        <w:noBreakHyphen/>
        <w:t xml:space="preserve">disclosure (ss. 38.06(1) and (2) of the </w:t>
      </w:r>
      <w:r w:rsidRPr="003902DD">
        <w:rPr>
          <w:i/>
          <w:sz w:val="20"/>
        </w:rPr>
        <w:t>CEA</w:t>
      </w:r>
      <w:r w:rsidRPr="003902DD">
        <w:rPr>
          <w:sz w:val="20"/>
        </w:rPr>
        <w:t>).  While the public certainly has an interest in the effective administration of justice, the s. 38 scheme recognizes that</w:t>
      </w:r>
      <w:r w:rsidRPr="003902DD">
        <w:rPr>
          <w:color w:val="000000"/>
          <w:sz w:val="20"/>
        </w:rPr>
        <w:t xml:space="preserve"> an unfair trial is not an option</w:t>
      </w:r>
      <w:r w:rsidRPr="003902DD">
        <w:rPr>
          <w:sz w:val="20"/>
        </w:rPr>
        <w:t xml:space="preserve">.  The trial judge in this case was not deprived of the ability to adjudicate the </w:t>
      </w:r>
      <w:r w:rsidRPr="003902DD">
        <w:rPr>
          <w:i/>
          <w:sz w:val="20"/>
        </w:rPr>
        <w:t xml:space="preserve">Charter </w:t>
      </w:r>
      <w:r w:rsidRPr="003902DD">
        <w:rPr>
          <w:sz w:val="20"/>
        </w:rPr>
        <w:t xml:space="preserve">issues </w:t>
      </w:r>
      <w:r w:rsidRPr="003902DD">
        <w:rPr>
          <w:color w:val="000000"/>
          <w:sz w:val="20"/>
        </w:rPr>
        <w:t>that flowed</w:t>
      </w:r>
      <w:r w:rsidRPr="003902DD">
        <w:rPr>
          <w:sz w:val="20"/>
        </w:rPr>
        <w:t xml:space="preserve"> from the </w:t>
      </w:r>
      <w:r w:rsidRPr="003902DD">
        <w:rPr>
          <w:color w:val="000000"/>
          <w:sz w:val="20"/>
        </w:rPr>
        <w:t>non</w:t>
      </w:r>
      <w:r w:rsidRPr="003902DD">
        <w:rPr>
          <w:color w:val="000000"/>
          <w:sz w:val="20"/>
        </w:rPr>
        <w:noBreakHyphen/>
        <w:t xml:space="preserve">disclosure order.  </w:t>
      </w:r>
      <w:r w:rsidRPr="003902DD">
        <w:rPr>
          <w:sz w:val="20"/>
        </w:rPr>
        <w:t>While it is true that the legislation deprives trial judges of the ability to order the disclosure or even their own</w:t>
      </w:r>
      <w:r w:rsidRPr="003902DD">
        <w:rPr>
          <w:i/>
          <w:sz w:val="20"/>
        </w:rPr>
        <w:t xml:space="preserve"> </w:t>
      </w:r>
      <w:r w:rsidRPr="003902DD">
        <w:rPr>
          <w:sz w:val="20"/>
        </w:rPr>
        <w:t xml:space="preserve">inspection of material that is withheld pursuant to the s. 38 scheme, they retain the ability in the absence of such access to order whatever remedy pursuant to the </w:t>
      </w:r>
      <w:r w:rsidRPr="003902DD">
        <w:rPr>
          <w:i/>
          <w:sz w:val="20"/>
        </w:rPr>
        <w:t>Charter</w:t>
      </w:r>
      <w:r w:rsidRPr="003902DD">
        <w:rPr>
          <w:sz w:val="20"/>
        </w:rPr>
        <w:t xml:space="preserve"> and s. 38.14 is required to protect the accused’s right to a fair trial.  If the trial process resulting from the application of the s. 38 scheme becomes unmanageable by virtue of excessive gaps between the hearing of the evidence or such other impediments, such that the right of the accused to a fair trial is compromised, the trial judge should not hesitate to use the broad authority Parliament has conferred under s. 38.14 to put an end to the prosecution.</w:t>
      </w:r>
    </w:p>
    <w:p w:rsidR="003902DD" w:rsidRPr="003902DD" w:rsidRDefault="003902DD" w:rsidP="003902DD">
      <w:pPr>
        <w:pStyle w:val="SCCNormalDoubleSpacing"/>
        <w:spacing w:line="240" w:lineRule="auto"/>
        <w:rPr>
          <w:sz w:val="20"/>
        </w:rPr>
      </w:pPr>
    </w:p>
    <w:p w:rsidR="003902DD" w:rsidRPr="003902DD" w:rsidRDefault="003902DD" w:rsidP="003902DD">
      <w:pPr>
        <w:pStyle w:val="SCCNormalDoubleSpacing"/>
        <w:spacing w:line="240" w:lineRule="auto"/>
        <w:rPr>
          <w:sz w:val="20"/>
          <w:lang w:val="en-US"/>
        </w:rPr>
      </w:pPr>
      <w:r w:rsidRPr="003902DD">
        <w:rPr>
          <w:sz w:val="20"/>
        </w:rPr>
        <w:tab/>
        <w:t>APPEAL from a judgment of the Ontario Superior Court of Justice (</w:t>
      </w:r>
      <w:r w:rsidR="003E529C" w:rsidRPr="003902DD">
        <w:rPr>
          <w:sz w:val="20"/>
        </w:rPr>
        <w:fldChar w:fldCharType="begin"/>
      </w:r>
      <w:r w:rsidRPr="003902DD">
        <w:rPr>
          <w:sz w:val="20"/>
        </w:rPr>
        <w:instrText xml:space="preserve"> SEQ CHAPTER \h \r 1</w:instrText>
      </w:r>
      <w:r w:rsidR="003E529C" w:rsidRPr="003902DD">
        <w:rPr>
          <w:sz w:val="20"/>
        </w:rPr>
        <w:fldChar w:fldCharType="end"/>
      </w:r>
      <w:r w:rsidRPr="003902DD">
        <w:rPr>
          <w:sz w:val="20"/>
          <w:lang w:val="en-US"/>
        </w:rPr>
        <w:t>Dawson J.)</w:t>
      </w:r>
      <w:r w:rsidRPr="003902DD">
        <w:rPr>
          <w:sz w:val="20"/>
        </w:rPr>
        <w:t xml:space="preserve"> (2009), </w:t>
      </w:r>
      <w:r w:rsidRPr="003902DD">
        <w:rPr>
          <w:sz w:val="20"/>
          <w:lang w:val="en-US"/>
        </w:rPr>
        <w:t xml:space="preserve">257 C.C.C. (3d) 135, </w:t>
      </w:r>
      <w:r w:rsidR="003E529C" w:rsidRPr="003902DD">
        <w:rPr>
          <w:sz w:val="20"/>
        </w:rPr>
        <w:fldChar w:fldCharType="begin"/>
      </w:r>
      <w:r w:rsidRPr="003902DD">
        <w:rPr>
          <w:sz w:val="20"/>
        </w:rPr>
        <w:instrText xml:space="preserve"> SEQ CHAPTER \h \r 1</w:instrText>
      </w:r>
      <w:r w:rsidR="003E529C" w:rsidRPr="003902DD">
        <w:rPr>
          <w:sz w:val="20"/>
        </w:rPr>
        <w:fldChar w:fldCharType="end"/>
      </w:r>
      <w:r w:rsidRPr="003902DD">
        <w:rPr>
          <w:sz w:val="20"/>
          <w:lang w:val="en-US"/>
        </w:rPr>
        <w:t xml:space="preserve">[2009] O.J. No. 6166 (QL), 2009 CarswellOnt 9311.  Appeal allowed. </w:t>
      </w:r>
    </w:p>
    <w:p w:rsidR="003902DD" w:rsidRPr="003902DD" w:rsidRDefault="003902DD" w:rsidP="003902DD">
      <w:pPr>
        <w:pStyle w:val="SCCNormalDoubleSpacing"/>
        <w:spacing w:line="240" w:lineRule="auto"/>
        <w:rPr>
          <w:sz w:val="20"/>
          <w:lang w:val="en-US"/>
        </w:rPr>
      </w:pPr>
    </w:p>
    <w:p w:rsidR="003902DD" w:rsidRPr="003902DD" w:rsidRDefault="003902DD" w:rsidP="003902DD">
      <w:pPr>
        <w:pStyle w:val="SCCNormalDoubleSpacing"/>
        <w:spacing w:line="240" w:lineRule="auto"/>
        <w:rPr>
          <w:rStyle w:val="SCCCounselPartyRoleChar"/>
          <w:sz w:val="20"/>
        </w:rPr>
      </w:pPr>
      <w:r w:rsidRPr="003902DD">
        <w:rPr>
          <w:rStyle w:val="SCCCounselNameChar"/>
          <w:sz w:val="20"/>
          <w:lang w:val="en-US"/>
        </w:rPr>
        <w:tab/>
      </w:r>
      <w:r w:rsidRPr="003902DD">
        <w:rPr>
          <w:rStyle w:val="SCCCounselNameChar"/>
          <w:sz w:val="20"/>
        </w:rPr>
        <w:t>Croft Michaelson</w:t>
      </w:r>
      <w:r w:rsidRPr="003902DD">
        <w:rPr>
          <w:rStyle w:val="SCCCounselSeparatorChar"/>
          <w:sz w:val="20"/>
          <w:lang w:val="en-CA"/>
        </w:rPr>
        <w:t xml:space="preserve"> and </w:t>
      </w:r>
      <w:r w:rsidRPr="003902DD">
        <w:rPr>
          <w:rStyle w:val="SCCCounselNameChar"/>
          <w:sz w:val="20"/>
        </w:rPr>
        <w:t>Nicholas E. Devlin</w:t>
      </w:r>
      <w:r w:rsidRPr="003902DD">
        <w:rPr>
          <w:rStyle w:val="SCCCounselPartyRoleChar"/>
          <w:sz w:val="20"/>
        </w:rPr>
        <w:t>, for the appellant.</w:t>
      </w:r>
    </w:p>
    <w:p w:rsidR="003902DD" w:rsidRPr="003902DD" w:rsidRDefault="003902DD" w:rsidP="003902DD">
      <w:pPr>
        <w:pStyle w:val="SCCNormalDoubleSpacing"/>
        <w:spacing w:line="240" w:lineRule="auto"/>
        <w:rPr>
          <w:rStyle w:val="SCCCounselPartyRoleChar"/>
          <w:b/>
          <w:sz w:val="20"/>
        </w:rPr>
      </w:pPr>
    </w:p>
    <w:p w:rsidR="003902DD" w:rsidRPr="003902DD" w:rsidRDefault="003902DD" w:rsidP="003902DD">
      <w:pPr>
        <w:pStyle w:val="SCCNormalDoubleSpacing"/>
        <w:spacing w:line="240" w:lineRule="auto"/>
        <w:rPr>
          <w:rStyle w:val="SCCCounselPartyRoleChar"/>
          <w:sz w:val="20"/>
          <w:lang w:val="en-US"/>
        </w:rPr>
      </w:pPr>
      <w:r w:rsidRPr="003902DD">
        <w:rPr>
          <w:rStyle w:val="SCCCounselNameChar"/>
          <w:sz w:val="20"/>
        </w:rPr>
        <w:tab/>
      </w:r>
      <w:r w:rsidRPr="003902DD">
        <w:rPr>
          <w:rStyle w:val="SCCCounselNameChar"/>
          <w:sz w:val="20"/>
          <w:lang w:val="en-US"/>
        </w:rPr>
        <w:t>John Norris</w:t>
      </w:r>
      <w:r w:rsidRPr="003902DD">
        <w:rPr>
          <w:rStyle w:val="SCCCounselSeparatorChar"/>
          <w:sz w:val="20"/>
          <w:lang w:val="en-US"/>
        </w:rPr>
        <w:t xml:space="preserve"> and </w:t>
      </w:r>
      <w:r w:rsidRPr="003902DD">
        <w:rPr>
          <w:rStyle w:val="SCCCounselNameChar"/>
          <w:sz w:val="20"/>
          <w:lang w:val="en-US"/>
        </w:rPr>
        <w:t>Breese Davies</w:t>
      </w:r>
      <w:r w:rsidRPr="003902DD">
        <w:rPr>
          <w:rStyle w:val="SCCCounselPartyRoleChar"/>
          <w:sz w:val="20"/>
          <w:lang w:val="en-US"/>
        </w:rPr>
        <w:t>, for the respondent Asad Ansari.</w:t>
      </w:r>
    </w:p>
    <w:p w:rsidR="003902DD" w:rsidRPr="003902DD" w:rsidRDefault="003902DD" w:rsidP="003902DD">
      <w:pPr>
        <w:pStyle w:val="SCCNormalDoubleSpacing"/>
        <w:spacing w:line="240" w:lineRule="auto"/>
        <w:rPr>
          <w:b/>
          <w:sz w:val="20"/>
          <w:lang w:val="en-US"/>
        </w:rPr>
      </w:pPr>
    </w:p>
    <w:p w:rsidR="003902DD" w:rsidRPr="003902DD" w:rsidRDefault="003902DD" w:rsidP="003902DD">
      <w:pPr>
        <w:pStyle w:val="SCCNormalDoubleSpacing"/>
        <w:spacing w:line="240" w:lineRule="auto"/>
        <w:rPr>
          <w:rStyle w:val="SCCCounselPartyRoleChar"/>
          <w:sz w:val="20"/>
          <w:lang w:val="en-US"/>
        </w:rPr>
      </w:pPr>
      <w:r w:rsidRPr="003902DD">
        <w:rPr>
          <w:rStyle w:val="SCCCounselNameChar"/>
          <w:sz w:val="20"/>
          <w:lang w:val="en-US"/>
        </w:rPr>
        <w:tab/>
        <w:t>Rocco Galati</w:t>
      </w:r>
      <w:r w:rsidRPr="003902DD">
        <w:rPr>
          <w:rStyle w:val="SCCCounselPartyRoleChar"/>
          <w:sz w:val="20"/>
          <w:lang w:val="en-US"/>
        </w:rPr>
        <w:t>, for the respondents Shareef Adelhaleem and Amin Mohamed Durrani.</w:t>
      </w:r>
    </w:p>
    <w:p w:rsidR="003902DD" w:rsidRPr="003902DD" w:rsidRDefault="003902DD" w:rsidP="003902DD">
      <w:pPr>
        <w:pStyle w:val="SCCNormalDoubleSpacing"/>
        <w:spacing w:line="240" w:lineRule="auto"/>
        <w:rPr>
          <w:rStyle w:val="SCCCounselPartyRoleChar"/>
          <w:b/>
          <w:sz w:val="20"/>
          <w:lang w:val="en-US"/>
        </w:rPr>
      </w:pPr>
    </w:p>
    <w:p w:rsidR="003902DD" w:rsidRPr="003902DD" w:rsidRDefault="003902DD" w:rsidP="003902DD">
      <w:pPr>
        <w:pStyle w:val="SCCNormalDoubleSpacing"/>
        <w:spacing w:line="240" w:lineRule="auto"/>
        <w:rPr>
          <w:rStyle w:val="SCCCounselPartyRoleChar"/>
          <w:sz w:val="20"/>
          <w:lang w:val="en-US"/>
        </w:rPr>
      </w:pPr>
      <w:r w:rsidRPr="003902DD">
        <w:rPr>
          <w:rStyle w:val="SCCCounselNameChar"/>
          <w:sz w:val="20"/>
          <w:lang w:val="en-US"/>
        </w:rPr>
        <w:tab/>
        <w:t>Delmar Doucette</w:t>
      </w:r>
      <w:r w:rsidRPr="003902DD">
        <w:rPr>
          <w:rStyle w:val="SCCCounselPartyRoleChar"/>
          <w:sz w:val="20"/>
          <w:lang w:val="en-US"/>
        </w:rPr>
        <w:t>, for the respondent Steven Vikash Chand.</w:t>
      </w:r>
    </w:p>
    <w:p w:rsidR="003902DD" w:rsidRPr="003902DD" w:rsidRDefault="003902DD" w:rsidP="003902DD">
      <w:pPr>
        <w:pStyle w:val="SCCNormalDoubleSpacing"/>
        <w:spacing w:line="240" w:lineRule="auto"/>
        <w:rPr>
          <w:b/>
          <w:sz w:val="20"/>
          <w:lang w:val="en-US"/>
        </w:rPr>
      </w:pPr>
    </w:p>
    <w:p w:rsidR="003902DD" w:rsidRPr="003902DD" w:rsidRDefault="003902DD" w:rsidP="003902DD">
      <w:pPr>
        <w:pStyle w:val="SCCNormalDoubleSpacing"/>
        <w:spacing w:line="240" w:lineRule="auto"/>
        <w:rPr>
          <w:rStyle w:val="SCCCounselPartyRoleChar"/>
          <w:sz w:val="20"/>
        </w:rPr>
      </w:pPr>
      <w:r w:rsidRPr="003902DD">
        <w:rPr>
          <w:rStyle w:val="SCCCounselNameChar"/>
          <w:sz w:val="20"/>
          <w:lang w:val="en-US"/>
        </w:rPr>
        <w:tab/>
      </w:r>
      <w:r w:rsidRPr="003902DD">
        <w:rPr>
          <w:rStyle w:val="SCCCounselNameChar"/>
          <w:sz w:val="20"/>
        </w:rPr>
        <w:t>Paul B. Slansky</w:t>
      </w:r>
      <w:r w:rsidRPr="003902DD">
        <w:rPr>
          <w:rStyle w:val="SCCCounselPartyRoleChar"/>
          <w:sz w:val="20"/>
        </w:rPr>
        <w:t>, for the respondent Saad Gaya.</w:t>
      </w:r>
    </w:p>
    <w:p w:rsidR="003902DD" w:rsidRPr="003902DD" w:rsidRDefault="003902DD" w:rsidP="003902DD">
      <w:pPr>
        <w:pStyle w:val="SCCNormalDoubleSpacing"/>
        <w:spacing w:line="240" w:lineRule="auto"/>
        <w:rPr>
          <w:rStyle w:val="SCCCounselPartyRoleChar"/>
          <w:b/>
          <w:sz w:val="20"/>
        </w:rPr>
      </w:pPr>
    </w:p>
    <w:p w:rsidR="003902DD" w:rsidRPr="003902DD" w:rsidRDefault="003902DD" w:rsidP="003902DD">
      <w:pPr>
        <w:pStyle w:val="SCCNormalDoubleSpacing"/>
        <w:spacing w:line="240" w:lineRule="auto"/>
        <w:rPr>
          <w:rStyle w:val="SCCCounselPartyRoleChar"/>
          <w:sz w:val="20"/>
        </w:rPr>
      </w:pPr>
      <w:r w:rsidRPr="003902DD">
        <w:rPr>
          <w:rStyle w:val="SCCCounselNameChar"/>
          <w:sz w:val="20"/>
        </w:rPr>
        <w:tab/>
        <w:t>Sarah T. Kraicer</w:t>
      </w:r>
      <w:r w:rsidRPr="003902DD">
        <w:rPr>
          <w:rStyle w:val="SCCCounselSeparatorChar"/>
          <w:sz w:val="20"/>
          <w:lang w:val="en-CA"/>
        </w:rPr>
        <w:t xml:space="preserve"> and </w:t>
      </w:r>
      <w:r w:rsidRPr="003902DD">
        <w:rPr>
          <w:rStyle w:val="SCCCounselNameChar"/>
          <w:sz w:val="20"/>
        </w:rPr>
        <w:t>Josh Hunter</w:t>
      </w:r>
      <w:r w:rsidRPr="003902DD">
        <w:rPr>
          <w:rStyle w:val="SCCCounselPartyRoleChar"/>
          <w:sz w:val="20"/>
        </w:rPr>
        <w:t>, for the intervener the Attorney General of Ontario.</w:t>
      </w:r>
    </w:p>
    <w:p w:rsidR="003902DD" w:rsidRPr="003902DD" w:rsidRDefault="003902DD" w:rsidP="003902DD">
      <w:pPr>
        <w:pStyle w:val="SCCNormalDoubleSpacing"/>
        <w:spacing w:line="240" w:lineRule="auto"/>
        <w:rPr>
          <w:sz w:val="20"/>
        </w:rPr>
      </w:pPr>
    </w:p>
    <w:p w:rsidR="003902DD" w:rsidRPr="003902DD" w:rsidRDefault="003902DD" w:rsidP="003902DD">
      <w:pPr>
        <w:pStyle w:val="SCCNormalDoubleSpacing"/>
        <w:spacing w:line="240" w:lineRule="auto"/>
        <w:rPr>
          <w:rStyle w:val="SCCCounselPartyRoleChar"/>
          <w:sz w:val="20"/>
        </w:rPr>
      </w:pPr>
      <w:r w:rsidRPr="003902DD">
        <w:rPr>
          <w:rStyle w:val="SCCCounselNameChar"/>
          <w:sz w:val="20"/>
        </w:rPr>
        <w:tab/>
        <w:t>Anil K. Kapoor</w:t>
      </w:r>
      <w:r w:rsidRPr="003902DD">
        <w:rPr>
          <w:rStyle w:val="SCCCounselSeparatorChar"/>
          <w:sz w:val="20"/>
          <w:lang w:val="en-CA"/>
        </w:rPr>
        <w:t xml:space="preserve"> and </w:t>
      </w:r>
      <w:r w:rsidRPr="003902DD">
        <w:rPr>
          <w:rStyle w:val="SCCCounselNameChar"/>
          <w:sz w:val="20"/>
        </w:rPr>
        <w:t>Lindsay L. Daviau</w:t>
      </w:r>
      <w:r w:rsidRPr="003902DD">
        <w:rPr>
          <w:rStyle w:val="SCCCounselPartyRoleChar"/>
          <w:sz w:val="20"/>
        </w:rPr>
        <w:t>, for the intervener the Canadian Civil Liberties Association.</w:t>
      </w:r>
    </w:p>
    <w:p w:rsidR="003902DD" w:rsidRPr="003902DD" w:rsidRDefault="003902DD" w:rsidP="003902DD">
      <w:pPr>
        <w:pStyle w:val="SCCNormalDoubleSpacing"/>
        <w:spacing w:line="240" w:lineRule="auto"/>
        <w:rPr>
          <w:rStyle w:val="SCCCounselPartyRoleChar"/>
          <w:sz w:val="20"/>
        </w:rPr>
      </w:pPr>
    </w:p>
    <w:p w:rsidR="003902DD" w:rsidRPr="003902DD" w:rsidRDefault="003902DD" w:rsidP="003902DD">
      <w:pPr>
        <w:pStyle w:val="SCCNormalDoubleSpacing"/>
        <w:spacing w:line="240" w:lineRule="auto"/>
        <w:rPr>
          <w:rStyle w:val="SCCCounselPartyRoleChar"/>
          <w:sz w:val="20"/>
        </w:rPr>
      </w:pPr>
      <w:r w:rsidRPr="003902DD">
        <w:rPr>
          <w:rStyle w:val="SCCCounselPartyRoleChar"/>
          <w:sz w:val="20"/>
        </w:rPr>
        <w:tab/>
        <w:t xml:space="preserve">No one appeared for the respondents Fahim Ahmad, Zakaria Amara, Mohammed Dirie, </w:t>
      </w:r>
      <w:r w:rsidRPr="003902DD">
        <w:rPr>
          <w:rStyle w:val="SCCCounselPartyRoleChar"/>
          <w:sz w:val="20"/>
          <w:lang w:val="en-US"/>
        </w:rPr>
        <w:t>Jahmaal James</w:t>
      </w:r>
      <w:r w:rsidRPr="003902DD">
        <w:rPr>
          <w:rStyle w:val="SCCCounselPartyRoleChar"/>
          <w:sz w:val="20"/>
        </w:rPr>
        <w:t xml:space="preserve"> and Saad Khalid.</w:t>
      </w:r>
    </w:p>
    <w:p w:rsidR="003902DD" w:rsidRPr="003902DD" w:rsidRDefault="003902DD" w:rsidP="003902DD">
      <w:pPr>
        <w:pStyle w:val="SCCNormalDoubleSpacing"/>
        <w:spacing w:line="240" w:lineRule="auto"/>
        <w:rPr>
          <w:sz w:val="20"/>
        </w:rPr>
      </w:pPr>
    </w:p>
    <w:p w:rsidR="003902DD" w:rsidRPr="003902DD" w:rsidRDefault="003902DD" w:rsidP="003902DD">
      <w:pPr>
        <w:pStyle w:val="SCCNormalDoubleSpacing"/>
        <w:spacing w:line="240" w:lineRule="auto"/>
        <w:rPr>
          <w:i/>
          <w:sz w:val="20"/>
        </w:rPr>
      </w:pPr>
      <w:r w:rsidRPr="003902DD">
        <w:rPr>
          <w:sz w:val="20"/>
        </w:rPr>
        <w:tab/>
      </w:r>
      <w:r w:rsidRPr="003902DD">
        <w:rPr>
          <w:i/>
          <w:sz w:val="20"/>
        </w:rPr>
        <w:t>Solicitor for the appellant:  Public Prosecution Service of Canada, Toronto.</w:t>
      </w:r>
    </w:p>
    <w:p w:rsidR="003902DD" w:rsidRPr="003902DD" w:rsidRDefault="003902DD" w:rsidP="003902DD">
      <w:pPr>
        <w:pStyle w:val="SCCNormalDoubleSpacing"/>
        <w:spacing w:line="240" w:lineRule="auto"/>
        <w:rPr>
          <w:i/>
          <w:sz w:val="20"/>
        </w:rPr>
      </w:pPr>
    </w:p>
    <w:p w:rsidR="003902DD" w:rsidRPr="003902DD" w:rsidRDefault="003902DD" w:rsidP="003902DD">
      <w:pPr>
        <w:pStyle w:val="SCCNormalDoubleSpacing"/>
        <w:spacing w:line="240" w:lineRule="auto"/>
        <w:rPr>
          <w:i/>
          <w:sz w:val="20"/>
        </w:rPr>
      </w:pPr>
      <w:r w:rsidRPr="003902DD">
        <w:rPr>
          <w:i/>
          <w:sz w:val="20"/>
        </w:rPr>
        <w:tab/>
        <w:t xml:space="preserve">Solicitor for the respondent </w:t>
      </w:r>
      <w:r w:rsidRPr="003902DD">
        <w:rPr>
          <w:rStyle w:val="SCCCounselPartyRoleChar"/>
          <w:i/>
          <w:sz w:val="20"/>
          <w:lang w:val="en-US"/>
        </w:rPr>
        <w:t>Asad Ansari</w:t>
      </w:r>
      <w:r w:rsidRPr="003902DD">
        <w:rPr>
          <w:i/>
          <w:sz w:val="20"/>
        </w:rPr>
        <w:t>:  John Norris, Toronto.</w:t>
      </w:r>
    </w:p>
    <w:p w:rsidR="003902DD" w:rsidRPr="003902DD" w:rsidRDefault="003902DD" w:rsidP="003902DD">
      <w:pPr>
        <w:pStyle w:val="SCCNormalDoubleSpacing"/>
        <w:spacing w:line="240" w:lineRule="auto"/>
        <w:rPr>
          <w:i/>
          <w:sz w:val="20"/>
        </w:rPr>
      </w:pPr>
    </w:p>
    <w:p w:rsidR="003902DD" w:rsidRPr="003902DD" w:rsidRDefault="003902DD" w:rsidP="003902DD">
      <w:pPr>
        <w:pStyle w:val="SCCNormalDoubleSpacing"/>
        <w:spacing w:line="240" w:lineRule="auto"/>
        <w:rPr>
          <w:i/>
          <w:sz w:val="20"/>
        </w:rPr>
      </w:pPr>
      <w:r w:rsidRPr="003902DD">
        <w:rPr>
          <w:i/>
          <w:sz w:val="20"/>
        </w:rPr>
        <w:lastRenderedPageBreak/>
        <w:tab/>
        <w:t>Solicitors for the respondents</w:t>
      </w:r>
      <w:r w:rsidRPr="003902DD">
        <w:rPr>
          <w:rStyle w:val="SCCCounselPartyRoleChar"/>
          <w:i/>
          <w:sz w:val="20"/>
        </w:rPr>
        <w:t xml:space="preserve"> </w:t>
      </w:r>
      <w:r w:rsidRPr="003902DD">
        <w:rPr>
          <w:rStyle w:val="SCCCounselPartyRoleChar"/>
          <w:i/>
          <w:sz w:val="20"/>
          <w:lang w:val="en-US"/>
        </w:rPr>
        <w:t>Shareef Adelhaleem</w:t>
      </w:r>
      <w:r w:rsidRPr="003902DD">
        <w:rPr>
          <w:rStyle w:val="SCCCounselPartyRoleChar"/>
          <w:i/>
          <w:sz w:val="20"/>
        </w:rPr>
        <w:t xml:space="preserve"> and </w:t>
      </w:r>
      <w:r w:rsidRPr="003902DD">
        <w:rPr>
          <w:rStyle w:val="SCCCounselPartyRoleChar"/>
          <w:i/>
          <w:sz w:val="20"/>
          <w:lang w:val="en-US"/>
        </w:rPr>
        <w:t>Amin Mohamed Durrani</w:t>
      </w:r>
      <w:r w:rsidRPr="003902DD">
        <w:rPr>
          <w:i/>
          <w:sz w:val="20"/>
        </w:rPr>
        <w:t>:  Rocco Galati Law Firm Professional Corporation, Toronto.</w:t>
      </w:r>
    </w:p>
    <w:p w:rsidR="003902DD" w:rsidRPr="003902DD" w:rsidRDefault="003902DD" w:rsidP="003902DD">
      <w:pPr>
        <w:pStyle w:val="SCCNormalDoubleSpacing"/>
        <w:spacing w:line="240" w:lineRule="auto"/>
        <w:rPr>
          <w:i/>
          <w:sz w:val="20"/>
        </w:rPr>
      </w:pPr>
    </w:p>
    <w:p w:rsidR="003902DD" w:rsidRPr="003902DD" w:rsidRDefault="003902DD" w:rsidP="003902DD">
      <w:pPr>
        <w:pStyle w:val="SCCNormalDoubleSpacing"/>
        <w:spacing w:line="240" w:lineRule="auto"/>
        <w:rPr>
          <w:i/>
          <w:sz w:val="20"/>
        </w:rPr>
      </w:pPr>
      <w:r w:rsidRPr="003902DD">
        <w:rPr>
          <w:i/>
          <w:sz w:val="20"/>
        </w:rPr>
        <w:tab/>
        <w:t>Solicitors for the respondent</w:t>
      </w:r>
      <w:r w:rsidRPr="003902DD">
        <w:rPr>
          <w:rStyle w:val="SCCCounselPartyRoleChar"/>
          <w:i/>
          <w:sz w:val="20"/>
        </w:rPr>
        <w:t xml:space="preserve"> </w:t>
      </w:r>
      <w:r w:rsidRPr="003902DD">
        <w:rPr>
          <w:rStyle w:val="SCCCounselPartyRoleChar"/>
          <w:i/>
          <w:sz w:val="20"/>
          <w:lang w:val="en-US"/>
        </w:rPr>
        <w:t>Steven Vikash Chand</w:t>
      </w:r>
      <w:r w:rsidRPr="003902DD">
        <w:rPr>
          <w:rStyle w:val="SCCCounselPartyRoleChar"/>
          <w:i/>
          <w:sz w:val="20"/>
        </w:rPr>
        <w:t>:  </w:t>
      </w:r>
      <w:r w:rsidRPr="003902DD">
        <w:rPr>
          <w:i/>
          <w:sz w:val="20"/>
        </w:rPr>
        <w:t>Marlys Edwardh Barristers Professional Corporation, Toronto.</w:t>
      </w:r>
    </w:p>
    <w:p w:rsidR="003902DD" w:rsidRPr="003902DD" w:rsidRDefault="003902DD" w:rsidP="003902DD">
      <w:pPr>
        <w:pStyle w:val="SCCNormalDoubleSpacing"/>
        <w:spacing w:line="240" w:lineRule="auto"/>
        <w:rPr>
          <w:i/>
          <w:sz w:val="20"/>
        </w:rPr>
      </w:pPr>
    </w:p>
    <w:p w:rsidR="003902DD" w:rsidRPr="003902DD" w:rsidRDefault="003902DD" w:rsidP="003902DD">
      <w:pPr>
        <w:pStyle w:val="SCCNormalDoubleSpacing"/>
        <w:spacing w:line="240" w:lineRule="auto"/>
        <w:rPr>
          <w:rStyle w:val="SCCCounselPartyRoleChar"/>
          <w:i/>
          <w:sz w:val="20"/>
        </w:rPr>
      </w:pPr>
      <w:r w:rsidRPr="003902DD">
        <w:rPr>
          <w:i/>
          <w:sz w:val="20"/>
        </w:rPr>
        <w:tab/>
        <w:t>Solicitor for the respondent</w:t>
      </w:r>
      <w:r w:rsidRPr="003902DD">
        <w:rPr>
          <w:rStyle w:val="SCCCounselPartyRoleChar"/>
          <w:i/>
          <w:sz w:val="20"/>
        </w:rPr>
        <w:t xml:space="preserve"> Saad Gaya:  Paul B. Slansky, Toronto.</w:t>
      </w:r>
    </w:p>
    <w:p w:rsidR="003902DD" w:rsidRPr="003902DD" w:rsidRDefault="003902DD" w:rsidP="003902DD">
      <w:pPr>
        <w:pStyle w:val="SCCNormalDoubleSpacing"/>
        <w:spacing w:line="240" w:lineRule="auto"/>
        <w:rPr>
          <w:rStyle w:val="SCCCounselPartyRoleChar"/>
          <w:i/>
          <w:sz w:val="20"/>
        </w:rPr>
      </w:pPr>
    </w:p>
    <w:p w:rsidR="003902DD" w:rsidRPr="003902DD" w:rsidRDefault="003902DD" w:rsidP="003902DD">
      <w:pPr>
        <w:pStyle w:val="SCCNormalDoubleSpacing"/>
        <w:spacing w:line="240" w:lineRule="auto"/>
        <w:rPr>
          <w:i/>
          <w:sz w:val="20"/>
        </w:rPr>
      </w:pPr>
      <w:r w:rsidRPr="003902DD">
        <w:rPr>
          <w:i/>
          <w:sz w:val="20"/>
        </w:rPr>
        <w:tab/>
        <w:t>Solicitor for the intervener the Attorney General of Ontario:  Attorney General of Ontario, Toronto.</w:t>
      </w:r>
    </w:p>
    <w:p w:rsidR="003902DD" w:rsidRPr="003902DD" w:rsidRDefault="003902DD" w:rsidP="003902DD">
      <w:pPr>
        <w:pStyle w:val="SCCNormalDoubleSpacing"/>
        <w:spacing w:line="240" w:lineRule="auto"/>
        <w:rPr>
          <w:i/>
          <w:sz w:val="20"/>
        </w:rPr>
      </w:pPr>
    </w:p>
    <w:p w:rsidR="003902DD" w:rsidRPr="003902DD" w:rsidRDefault="003902DD" w:rsidP="003902DD">
      <w:pPr>
        <w:pStyle w:val="SCCNormalDoubleSpacing"/>
        <w:spacing w:line="240" w:lineRule="auto"/>
        <w:rPr>
          <w:i/>
          <w:sz w:val="20"/>
        </w:rPr>
      </w:pPr>
      <w:r w:rsidRPr="003902DD">
        <w:rPr>
          <w:i/>
          <w:sz w:val="20"/>
        </w:rPr>
        <w:tab/>
        <w:t>Solicitors for the intervener the Canadian Civil Liberties Association:  Kapoor Barristers,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Default="00DD0B49" w:rsidP="00DD0B49">
      <w:pPr>
        <w:rPr>
          <w:rFonts w:cs="Times New Roman"/>
          <w:sz w:val="20"/>
          <w:szCs w:val="20"/>
          <w:lang w:val="fr-CA"/>
        </w:rPr>
      </w:pPr>
    </w:p>
    <w:p w:rsidR="003902DD" w:rsidRPr="003902DD" w:rsidRDefault="003902DD" w:rsidP="003902DD">
      <w:pPr>
        <w:jc w:val="both"/>
        <w:rPr>
          <w:sz w:val="20"/>
          <w:lang w:val="fr-CA"/>
        </w:rPr>
      </w:pPr>
      <w:r w:rsidRPr="003902DD">
        <w:rPr>
          <w:sz w:val="20"/>
          <w:lang w:val="fr-CA"/>
        </w:rPr>
        <w:t>Présents : La juge en chef McLachlin et les juges Binnie, LeBel, Deschamps, Fish, Abella, Charron, Rothstein et Cromwell.</w:t>
      </w:r>
    </w:p>
    <w:p w:rsidR="003902DD" w:rsidRDefault="003902DD" w:rsidP="00DD0B49">
      <w:pPr>
        <w:rPr>
          <w:rFonts w:cs="Times New Roman"/>
          <w:sz w:val="20"/>
          <w:szCs w:val="20"/>
          <w:lang w:val="fr-CA"/>
        </w:rPr>
      </w:pPr>
    </w:p>
    <w:p w:rsidR="003902DD" w:rsidRPr="003902DD" w:rsidRDefault="003902DD" w:rsidP="003902DD">
      <w:pPr>
        <w:pStyle w:val="SCCNormalDoubleSpacing"/>
        <w:spacing w:line="240" w:lineRule="auto"/>
        <w:rPr>
          <w:i/>
          <w:iCs/>
          <w:sz w:val="20"/>
          <w:lang w:val="fr-CA"/>
        </w:rPr>
      </w:pPr>
      <w:r w:rsidRPr="008F3FC7">
        <w:rPr>
          <w:i/>
          <w:iCs/>
          <w:sz w:val="20"/>
          <w:lang w:val="fr-CA"/>
        </w:rPr>
        <w:tab/>
      </w:r>
      <w:r w:rsidRPr="003902DD">
        <w:rPr>
          <w:i/>
          <w:iCs/>
          <w:sz w:val="20"/>
          <w:lang w:val="fr-CA"/>
        </w:rPr>
        <w:t>Droit constitutionnel — Validité de la loi — Pouvoir de trancher les questions de divulgation de renseignements ayant trait aux relations internationales, à la défense nationale ou à la sécurité nationale conféré à la Cour fédérale par le régime établi par l’art. 38 de la Loi sur la preuve au Canada — La décision du législateur de limiter le pouvoir des cours supérieures de trancher ces questions empiète</w:t>
      </w:r>
      <w:r w:rsidRPr="003902DD">
        <w:rPr>
          <w:i/>
          <w:iCs/>
          <w:sz w:val="20"/>
          <w:lang w:val="fr-CA"/>
        </w:rPr>
        <w:noBreakHyphen/>
        <w:t>t</w:t>
      </w:r>
      <w:r w:rsidRPr="003902DD">
        <w:rPr>
          <w:i/>
          <w:iCs/>
          <w:sz w:val="20"/>
          <w:lang w:val="fr-CA"/>
        </w:rPr>
        <w:noBreakHyphen/>
        <w:t>elle de manière inacceptable sur la compétence fondamentale de ces tribunaux? — Loi sur la preuve au Canada,  L.R.C. 1985, ch. C</w:t>
      </w:r>
      <w:r w:rsidRPr="003902DD">
        <w:rPr>
          <w:i/>
          <w:iCs/>
          <w:sz w:val="20"/>
          <w:lang w:val="fr-CA"/>
        </w:rPr>
        <w:noBreakHyphen/>
        <w:t>5, art. 38</w:t>
      </w:r>
      <w:r w:rsidRPr="003902DD">
        <w:rPr>
          <w:i/>
          <w:iCs/>
          <w:sz w:val="20"/>
          <w:lang w:val="fr-CA"/>
        </w:rPr>
        <w:noBreakHyphen/>
        <w:t>38.16 — Loi constitutionnelle de 1867, art. 96.</w:t>
      </w:r>
    </w:p>
    <w:p w:rsidR="003902DD" w:rsidRPr="003902DD" w:rsidRDefault="003902DD" w:rsidP="003902DD">
      <w:pPr>
        <w:pStyle w:val="SCCNormalDoubleSpacing"/>
        <w:spacing w:line="240" w:lineRule="auto"/>
        <w:rPr>
          <w:i/>
          <w:iCs/>
          <w:sz w:val="20"/>
          <w:lang w:val="fr-CA"/>
        </w:rPr>
      </w:pPr>
    </w:p>
    <w:p w:rsidR="003902DD" w:rsidRPr="003902DD" w:rsidRDefault="003902DD" w:rsidP="003902DD">
      <w:pPr>
        <w:pStyle w:val="SCCNormalDoubleSpacing"/>
        <w:spacing w:line="240" w:lineRule="auto"/>
        <w:rPr>
          <w:i/>
          <w:iCs/>
          <w:sz w:val="20"/>
          <w:lang w:val="fr-CA"/>
        </w:rPr>
      </w:pPr>
      <w:r w:rsidRPr="003902DD">
        <w:rPr>
          <w:i/>
          <w:sz w:val="20"/>
          <w:lang w:val="fr-CA"/>
        </w:rPr>
        <w:tab/>
        <w:t xml:space="preserve">Droit constitutionnel </w:t>
      </w:r>
      <w:r w:rsidRPr="003902DD">
        <w:rPr>
          <w:i/>
          <w:iCs/>
          <w:sz w:val="20"/>
          <w:lang w:val="fr-CA"/>
        </w:rPr>
        <w:t xml:space="preserve">— </w:t>
      </w:r>
      <w:r w:rsidRPr="003902DD">
        <w:rPr>
          <w:i/>
          <w:sz w:val="20"/>
          <w:lang w:val="fr-CA"/>
        </w:rPr>
        <w:t xml:space="preserve">Charte des droits </w:t>
      </w:r>
      <w:r w:rsidRPr="003902DD">
        <w:rPr>
          <w:i/>
          <w:iCs/>
          <w:sz w:val="20"/>
          <w:lang w:val="fr-CA"/>
        </w:rPr>
        <w:t>— Droit à la vie, à la liberté et à la sécurité de la personne — Pouvoir de trancher les questions de divulgation de renseignements ayant trait aux relations internationales, à la défense nationale ou à la sécurité nationale conféré à la Cour fédérale par le régime établi par l’art. 38 de la Loi sur la preuve au Canada — L’attribution de ce pouvoir à la Cour fédérale empêche</w:t>
      </w:r>
      <w:r w:rsidRPr="003902DD">
        <w:rPr>
          <w:i/>
          <w:iCs/>
          <w:sz w:val="20"/>
          <w:lang w:val="fr-CA"/>
        </w:rPr>
        <w:noBreakHyphen/>
        <w:t>t</w:t>
      </w:r>
      <w:r w:rsidRPr="003902DD">
        <w:rPr>
          <w:i/>
          <w:iCs/>
          <w:sz w:val="20"/>
          <w:lang w:val="fr-CA"/>
        </w:rPr>
        <w:noBreakHyphen/>
        <w:t>elle les juges des cours supérieures de garantir un procès équitable? — Loi sur la preuve au Canada, L.R.C. 1985, ch. C</w:t>
      </w:r>
      <w:r w:rsidRPr="003902DD">
        <w:rPr>
          <w:i/>
          <w:iCs/>
          <w:sz w:val="20"/>
          <w:lang w:val="fr-CA"/>
        </w:rPr>
        <w:noBreakHyphen/>
        <w:t>5, art. 38</w:t>
      </w:r>
      <w:r w:rsidRPr="003902DD">
        <w:rPr>
          <w:i/>
          <w:iCs/>
          <w:sz w:val="20"/>
          <w:lang w:val="fr-CA"/>
        </w:rPr>
        <w:noBreakHyphen/>
        <w:t>38.16 — Charte canadienne des droits et libertés, art. 7.</w:t>
      </w:r>
    </w:p>
    <w:p w:rsidR="003902DD" w:rsidRPr="003902DD" w:rsidRDefault="003902DD" w:rsidP="003902DD">
      <w:pPr>
        <w:pStyle w:val="SCCNormalDoubleSpacing"/>
        <w:spacing w:line="240" w:lineRule="auto"/>
        <w:rPr>
          <w:i/>
          <w:iCs/>
          <w:sz w:val="20"/>
          <w:lang w:val="fr-CA"/>
        </w:rPr>
      </w:pPr>
    </w:p>
    <w:p w:rsidR="003902DD" w:rsidRPr="003902DD" w:rsidRDefault="003902DD" w:rsidP="003902DD">
      <w:pPr>
        <w:pStyle w:val="SCCNormalDoubleSpacing"/>
        <w:spacing w:line="240" w:lineRule="auto"/>
        <w:rPr>
          <w:iCs/>
          <w:sz w:val="20"/>
          <w:lang w:val="fr-CA"/>
        </w:rPr>
      </w:pPr>
      <w:r w:rsidRPr="003902DD">
        <w:rPr>
          <w:sz w:val="20"/>
          <w:lang w:val="fr-CA"/>
        </w:rPr>
        <w:tab/>
        <w:t>En juin 2006, 18 personnes ont été arrêtées parce qu’on les soupçonnait de comploter des attaques terroristes.  Dix des dix</w:t>
      </w:r>
      <w:r w:rsidRPr="003902DD">
        <w:rPr>
          <w:sz w:val="20"/>
          <w:lang w:val="fr-CA"/>
        </w:rPr>
        <w:noBreakHyphen/>
        <w:t>huit suspects devaient subir un procès devant le juge Dawson de la Cour supérieure de justice de l’Ontario.  En mars et en juin 2008, la Couronne a avisé le procureur général du Canada de la possibilité que des renseignements gouvernementaux sensibles ou potentiellement préjudiciables soient divulgués dans le cadre d’instances devant la Cour supérieure de justice</w:t>
      </w:r>
      <w:r w:rsidRPr="003902DD">
        <w:rPr>
          <w:color w:val="000000"/>
          <w:sz w:val="20"/>
          <w:lang w:val="fr-CA"/>
        </w:rPr>
        <w:t>.  Le procureur général a, conformément au régime établi par l’art. </w:t>
      </w:r>
      <w:r w:rsidRPr="003902DD">
        <w:rPr>
          <w:sz w:val="20"/>
          <w:lang w:val="fr-CA"/>
        </w:rPr>
        <w:t xml:space="preserve">38 de la </w:t>
      </w:r>
      <w:r w:rsidRPr="003902DD">
        <w:rPr>
          <w:i/>
          <w:sz w:val="20"/>
          <w:lang w:val="fr-CA"/>
        </w:rPr>
        <w:t xml:space="preserve">Loi sur la preuve au </w:t>
      </w:r>
      <w:r w:rsidRPr="003902DD">
        <w:rPr>
          <w:i/>
          <w:iCs/>
          <w:sz w:val="20"/>
          <w:lang w:val="fr-CA"/>
        </w:rPr>
        <w:t>Canada</w:t>
      </w:r>
      <w:r w:rsidRPr="003902DD">
        <w:rPr>
          <w:iCs/>
          <w:sz w:val="20"/>
          <w:lang w:val="fr-CA"/>
        </w:rPr>
        <w:t xml:space="preserve">, </w:t>
      </w:r>
      <w:r w:rsidRPr="003902DD">
        <w:rPr>
          <w:color w:val="000000"/>
          <w:sz w:val="20"/>
          <w:lang w:val="fr-CA"/>
        </w:rPr>
        <w:t>soumis la question de la divulgation à la Cour fédérale</w:t>
      </w:r>
      <w:r w:rsidRPr="003902DD">
        <w:rPr>
          <w:iCs/>
          <w:sz w:val="20"/>
          <w:lang w:val="fr-CA"/>
        </w:rPr>
        <w:t xml:space="preserve">.  </w:t>
      </w:r>
      <w:r w:rsidRPr="003902DD">
        <w:rPr>
          <w:sz w:val="20"/>
          <w:lang w:val="fr-CA"/>
        </w:rPr>
        <w:t>Le juge Noël de ce tribunal a ordonné que les accusés soient désignés intimés dans les procédures engagées par le procureur général, qu’une audience soit tenue et qu’avis de celle-ci soit donné au juge de la Cour supérieure de justice.</w:t>
      </w:r>
      <w:r w:rsidRPr="003902DD">
        <w:rPr>
          <w:iCs/>
          <w:sz w:val="20"/>
          <w:lang w:val="fr-CA"/>
        </w:rPr>
        <w:t xml:space="preserve">  </w:t>
      </w:r>
      <w:r w:rsidRPr="003902DD">
        <w:rPr>
          <w:sz w:val="20"/>
          <w:lang w:val="fr-CA"/>
        </w:rPr>
        <w:t>Les accusés ont ensuite déposé à la Cour supérieure de justice une demande visant à contester la constitutionnalité du régime établi par l’art. 38</w:t>
      </w:r>
      <w:r w:rsidRPr="003902DD">
        <w:rPr>
          <w:iCs/>
          <w:sz w:val="20"/>
          <w:lang w:val="fr-CA"/>
        </w:rPr>
        <w:t xml:space="preserve">.  </w:t>
      </w:r>
      <w:r w:rsidRPr="003902DD">
        <w:rPr>
          <w:sz w:val="20"/>
          <w:lang w:val="fr-CA"/>
        </w:rPr>
        <w:t>La Cour fédérale a suspendu ses procédures en attendant que cette contestation ait été tranchée</w:t>
      </w:r>
      <w:r w:rsidRPr="003902DD">
        <w:rPr>
          <w:iCs/>
          <w:sz w:val="20"/>
          <w:lang w:val="fr-CA"/>
        </w:rPr>
        <w:t xml:space="preserve">.  Le juge de la Cour supérieure de justice </w:t>
      </w:r>
      <w:r w:rsidRPr="003902DD">
        <w:rPr>
          <w:sz w:val="20"/>
          <w:lang w:val="fr-CA"/>
        </w:rPr>
        <w:t xml:space="preserve">a conclu à l’inconstitutionnalité du régime établi par l’art. 38, parce qu’il violait l’art. 96 de la </w:t>
      </w:r>
      <w:r w:rsidRPr="003902DD">
        <w:rPr>
          <w:i/>
          <w:sz w:val="20"/>
          <w:lang w:val="fr-CA"/>
        </w:rPr>
        <w:t>Loi constitutionnelle de 1867</w:t>
      </w:r>
      <w:r w:rsidRPr="003902DD">
        <w:rPr>
          <w:iCs/>
          <w:sz w:val="20"/>
          <w:lang w:val="fr-CA"/>
        </w:rPr>
        <w:t xml:space="preserve"> et l’art. 7 de la </w:t>
      </w:r>
      <w:r w:rsidRPr="003902DD">
        <w:rPr>
          <w:i/>
          <w:iCs/>
          <w:sz w:val="20"/>
          <w:lang w:val="fr-CA"/>
        </w:rPr>
        <w:t>Charte</w:t>
      </w:r>
      <w:r w:rsidRPr="003902DD">
        <w:rPr>
          <w:iCs/>
          <w:sz w:val="20"/>
          <w:lang w:val="fr-CA"/>
        </w:rPr>
        <w:t xml:space="preserve">.  </w:t>
      </w:r>
      <w:r w:rsidRPr="003902DD">
        <w:rPr>
          <w:sz w:val="20"/>
          <w:lang w:val="fr-CA"/>
        </w:rPr>
        <w:t>Il a invalidé la loi conférant compétence exclusive à la Cour fédérale et déclaré qu’il lui appartenait, à titre de juge de la cour supérieure présidant le procès criminel, de statuer sur toute question de privilège liée à la sécurité nationale pouvant être soulevée dans le cadre de l’instance.</w:t>
      </w:r>
      <w:r w:rsidRPr="003902DD">
        <w:rPr>
          <w:iCs/>
          <w:sz w:val="20"/>
          <w:lang w:val="fr-CA"/>
        </w:rPr>
        <w:t xml:space="preserve"> </w:t>
      </w:r>
    </w:p>
    <w:p w:rsidR="003902DD" w:rsidRPr="003902DD" w:rsidRDefault="003902DD" w:rsidP="003902DD">
      <w:pPr>
        <w:pStyle w:val="SCCNormalDoubleSpacing"/>
        <w:spacing w:line="240" w:lineRule="auto"/>
        <w:rPr>
          <w:iCs/>
          <w:sz w:val="20"/>
          <w:lang w:val="fr-CA"/>
        </w:rPr>
      </w:pPr>
    </w:p>
    <w:p w:rsidR="003902DD" w:rsidRPr="003902DD" w:rsidRDefault="003902DD" w:rsidP="003902DD">
      <w:pPr>
        <w:pStyle w:val="SCCNormalDoubleSpacing"/>
        <w:spacing w:line="240" w:lineRule="auto"/>
        <w:rPr>
          <w:sz w:val="20"/>
          <w:lang w:val="fr-CA"/>
        </w:rPr>
      </w:pPr>
      <w:r w:rsidRPr="003902DD">
        <w:rPr>
          <w:sz w:val="20"/>
          <w:lang w:val="fr-CA"/>
        </w:rPr>
        <w:tab/>
      </w:r>
      <w:r w:rsidRPr="003902DD">
        <w:rPr>
          <w:i/>
          <w:sz w:val="20"/>
          <w:lang w:val="fr-CA"/>
        </w:rPr>
        <w:t>Arrêt </w:t>
      </w:r>
      <w:r w:rsidRPr="006F4B3F">
        <w:rPr>
          <w:rStyle w:val="QuoteChar"/>
          <w:i w:val="0"/>
        </w:rPr>
        <w:t>:</w:t>
      </w:r>
      <w:r w:rsidRPr="003902DD">
        <w:rPr>
          <w:sz w:val="20"/>
          <w:lang w:val="fr-CA"/>
        </w:rPr>
        <w:t xml:space="preserve"> Le pourvoi est accueilli.  Les articles 38 à 38.16 de la </w:t>
      </w:r>
      <w:r w:rsidRPr="003902DD">
        <w:rPr>
          <w:i/>
          <w:sz w:val="20"/>
          <w:lang w:val="fr-CA"/>
        </w:rPr>
        <w:t>Loi sur la preuve au Canada</w:t>
      </w:r>
      <w:r w:rsidRPr="003902DD">
        <w:rPr>
          <w:sz w:val="20"/>
          <w:lang w:val="fr-CA"/>
        </w:rPr>
        <w:t xml:space="preserve"> sont constitutionnels.</w:t>
      </w:r>
    </w:p>
    <w:p w:rsidR="003902DD" w:rsidRPr="003902DD" w:rsidRDefault="003902DD" w:rsidP="003902DD">
      <w:pPr>
        <w:pStyle w:val="SCCNormalDoubleSpacing"/>
        <w:spacing w:line="240" w:lineRule="auto"/>
        <w:rPr>
          <w:sz w:val="20"/>
          <w:lang w:val="fr-CA"/>
        </w:rPr>
      </w:pPr>
    </w:p>
    <w:p w:rsidR="003902DD" w:rsidRPr="003902DD" w:rsidRDefault="003902DD" w:rsidP="003902DD">
      <w:pPr>
        <w:pStyle w:val="SCCNormalDoubleSpacing"/>
        <w:spacing w:line="240" w:lineRule="auto"/>
        <w:rPr>
          <w:color w:val="000000"/>
          <w:sz w:val="20"/>
          <w:lang w:val="fr-CA"/>
        </w:rPr>
      </w:pPr>
      <w:r w:rsidRPr="003902DD">
        <w:rPr>
          <w:sz w:val="20"/>
          <w:lang w:val="fr-CA"/>
        </w:rPr>
        <w:tab/>
        <w:t>Le présent pourvoi concerne le conflit potentiel entre deux obligations fondamentales de l’État dans notre système de gouvernement : premièrement, protéger la société en empêchant la divulgation de renseignements susceptibles de constituer une menace pour les relations internationales ou pour la défense ou la sécurité nationales; deuxièmement, poursuivre les individus accusés d’infractions à nos lois</w:t>
      </w:r>
      <w:r w:rsidRPr="003902DD">
        <w:rPr>
          <w:color w:val="000000"/>
          <w:sz w:val="20"/>
          <w:lang w:val="fr-CA"/>
        </w:rPr>
        <w:t xml:space="preserve">.  Dans le régime établi par </w:t>
      </w:r>
      <w:r w:rsidRPr="003902DD">
        <w:rPr>
          <w:sz w:val="20"/>
          <w:lang w:val="fr-CA"/>
        </w:rPr>
        <w:t xml:space="preserve">l’art. 38, le législateur a reconnu qu’il peut à l’occasion devenir nécessaire de choisir entre ces objectifs, mais il a conçu un cadre détaillé pour tenter de les concilier lorsque la chose est possible. </w:t>
      </w:r>
      <w:r w:rsidRPr="003902DD">
        <w:rPr>
          <w:color w:val="000000"/>
          <w:sz w:val="20"/>
          <w:lang w:val="fr-CA"/>
        </w:rPr>
        <w:t xml:space="preserve"> </w:t>
      </w:r>
      <w:r w:rsidRPr="003902DD">
        <w:rPr>
          <w:sz w:val="20"/>
          <w:lang w:val="fr-CA"/>
        </w:rPr>
        <w:t xml:space="preserve">Lorsque le conflit est insoluble, il ne saurait être question de tolérer un procès inéquitable.  Suivant la primauté du droit, le droit de l’accusé à une défense pleine et </w:t>
      </w:r>
      <w:r w:rsidRPr="003902DD">
        <w:rPr>
          <w:sz w:val="20"/>
          <w:lang w:val="fr-CA"/>
        </w:rPr>
        <w:lastRenderedPageBreak/>
        <w:t>entière ne peut pas être compromis</w:t>
      </w:r>
      <w:r w:rsidRPr="003902DD">
        <w:rPr>
          <w:color w:val="000000"/>
          <w:sz w:val="20"/>
          <w:lang w:val="fr-CA"/>
        </w:rPr>
        <w:t xml:space="preserve">.  Le régime établi par </w:t>
      </w:r>
      <w:r w:rsidRPr="003902DD">
        <w:rPr>
          <w:sz w:val="20"/>
          <w:lang w:val="fr-CA"/>
        </w:rPr>
        <w:t>l’art. 38 préserve pleinement l’indépendance et les pouvoirs du juge présidant le procès criminel d’assurer la justice entre les parties, y compris son pouvoir d’ordonner l’arrêt des procédures, lorsqu’il estime une telle mesure nécessaire.</w:t>
      </w:r>
      <w:r w:rsidRPr="003902DD">
        <w:rPr>
          <w:color w:val="000000"/>
          <w:sz w:val="20"/>
          <w:lang w:val="fr-CA"/>
        </w:rPr>
        <w:t xml:space="preserve">  </w:t>
      </w:r>
      <w:r w:rsidRPr="003902DD">
        <w:rPr>
          <w:sz w:val="20"/>
          <w:lang w:val="fr-CA"/>
        </w:rPr>
        <w:t>Bien que le régime de l’art. 38, et en particulier le partage des responsabilités qui y est établi entre la Cour fédérale et les cours criminelles des provinces, soulève bon nombre de difficultés pratiques et juridiques, adéquatement compris et appliqué, ce régime est constitutionnel</w:t>
      </w:r>
      <w:r w:rsidRPr="003902DD">
        <w:rPr>
          <w:color w:val="000000"/>
          <w:sz w:val="20"/>
          <w:lang w:val="fr-CA"/>
        </w:rPr>
        <w:t>.</w:t>
      </w:r>
      <w:r w:rsidRPr="003902DD">
        <w:rPr>
          <w:sz w:val="20"/>
          <w:lang w:val="fr-CA"/>
        </w:rPr>
        <w:t xml:space="preserve">  Suivant l’analyse énoncée dans le </w:t>
      </w:r>
      <w:r w:rsidRPr="003902DD">
        <w:rPr>
          <w:i/>
          <w:sz w:val="20"/>
          <w:lang w:val="fr-CA"/>
        </w:rPr>
        <w:t>Renvoi sur la Loi de 1979 sur la location résidentielle</w:t>
      </w:r>
      <w:r w:rsidRPr="003902DD">
        <w:rPr>
          <w:sz w:val="20"/>
          <w:lang w:val="fr-CA"/>
        </w:rPr>
        <w:t xml:space="preserve">, il convient tout d’abord de se demander si le pouvoir conféré à un tribunal non établi en vertu de l’article 96 correspond généralement à un pouvoir ou à une compétence qu’exerçaient les cours supérieures, de district ou de comté au moment de la Confédération.  Il est vrai, bien sûr, que les dispositions de la </w:t>
      </w:r>
      <w:r w:rsidRPr="003902DD">
        <w:rPr>
          <w:i/>
          <w:sz w:val="20"/>
          <w:lang w:val="fr-CA"/>
        </w:rPr>
        <w:t>Loi constitutionnelle de 1867</w:t>
      </w:r>
      <w:r w:rsidRPr="003902DD">
        <w:rPr>
          <w:sz w:val="20"/>
          <w:lang w:val="fr-CA"/>
        </w:rPr>
        <w:t xml:space="preserve"> relatives au pouvoir judiciaire créent des limites substantielles de nature constitutionnelle restreignant la capacité du législateur de conférer des pouvoirs à des tribunaux judiciaires ou autres qui ne sont pas établis en vertu de l’art. 96.  Sans avoir exploré à fond l’interaction des art. 96 et 101, la Cour tient pour acquis, pour les besoins du présent pourvoi (et sans pour autant statuer sur la question), que l’analyse constitutionnelle est conforme à la thèse des intimés</w:t>
      </w:r>
      <w:r w:rsidRPr="003902DD">
        <w:rPr>
          <w:color w:val="000000"/>
          <w:sz w:val="20"/>
          <w:lang w:val="fr-CA"/>
        </w:rPr>
        <w:t xml:space="preserve">. </w:t>
      </w:r>
    </w:p>
    <w:p w:rsidR="003902DD" w:rsidRPr="003902DD" w:rsidRDefault="003902DD" w:rsidP="003902DD">
      <w:pPr>
        <w:pStyle w:val="SCCNormalDoubleSpacing"/>
        <w:spacing w:line="240" w:lineRule="auto"/>
        <w:rPr>
          <w:sz w:val="20"/>
          <w:lang w:val="fr-CA"/>
        </w:rPr>
      </w:pPr>
    </w:p>
    <w:p w:rsidR="003902DD" w:rsidRPr="003902DD" w:rsidRDefault="003902DD" w:rsidP="003902DD">
      <w:pPr>
        <w:pStyle w:val="SCCNormalDoubleSpacing"/>
        <w:spacing w:line="240" w:lineRule="auto"/>
        <w:rPr>
          <w:sz w:val="20"/>
          <w:lang w:val="fr-CA"/>
        </w:rPr>
      </w:pPr>
      <w:r w:rsidRPr="003902DD">
        <w:rPr>
          <w:sz w:val="20"/>
          <w:lang w:val="fr-CA"/>
        </w:rPr>
        <w:tab/>
        <w:t xml:space="preserve">En 1867, les motifs invoqués par la Couronne pour refuser de divulguer des renseignements potentiellement préjudiciables ou sensibles étaient généralement considérés par les cours supérieures du Canada comme relevant d’une prérogative de l’exécutif non susceptible de révision.  Étant donné qu’à l’époque de la Confédération les cours supérieures n’exerçaient aucun pouvoir de contrôle semblable, l’analyse prescrite par le </w:t>
      </w:r>
      <w:r w:rsidRPr="003902DD">
        <w:rPr>
          <w:i/>
          <w:sz w:val="20"/>
          <w:lang w:val="fr-CA"/>
        </w:rPr>
        <w:t>Renvoi sur la Loi de 1979 sur la location résidentielle</w:t>
      </w:r>
      <w:r w:rsidRPr="003902DD">
        <w:rPr>
          <w:sz w:val="20"/>
          <w:lang w:val="fr-CA"/>
        </w:rPr>
        <w:t xml:space="preserve"> se termine à la première question et il n’y a pas d’atteinte à l’art. 96 selon cette analyse.  De plus, bien qu’il soit vrai que le pouvoir d’une cour supérieure de statuer sur les questions constitutionnelles qui lui sont soumises fait partie de sa compétence fondamentale, la question litigieuse en l’espèce ne concerne pas à proprement parler le pouvoir de la cour supérieure de protéger l’intégrité de sa procédure.  Elle porte plutôt sur le pouvoir relatif à la divulgation de renseignements à l’égard desquels l’exemption relative à la sécurité est invoquée.  Lorsque la question est définie ainsi, le régime établi par l’art. 38 ne viole pas l’art. 96 de la </w:t>
      </w:r>
      <w:r w:rsidRPr="003902DD">
        <w:rPr>
          <w:i/>
          <w:sz w:val="20"/>
          <w:lang w:val="fr-CA"/>
        </w:rPr>
        <w:t>Loi constitutionnelle de 1867</w:t>
      </w:r>
      <w:r w:rsidRPr="003902DD">
        <w:rPr>
          <w:sz w:val="20"/>
          <w:lang w:val="fr-CA"/>
        </w:rPr>
        <w:t>, parce qu’il n’empêche pas en soi un tribunal d’exercer son pouvoir de remédier aux abus de procédure.  L’essentiel, sur le plan constitutionnel, c’est que les cours criminelles conservent la faculté de s’assurer que chaque personne qui comparaît devant elles pour répondre à des accusations criminelles jouisse d’un procès équitable</w:t>
      </w:r>
      <w:r w:rsidRPr="003902DD">
        <w:rPr>
          <w:color w:val="000000"/>
          <w:sz w:val="20"/>
          <w:lang w:val="fr-CA"/>
        </w:rPr>
        <w:t xml:space="preserve">.  </w:t>
      </w:r>
      <w:r w:rsidRPr="003902DD">
        <w:rPr>
          <w:sz w:val="20"/>
          <w:lang w:val="fr-CA"/>
        </w:rPr>
        <w:t xml:space="preserve">Ce qui est reconnu à la fois à l’art. 38.14 de la </w:t>
      </w:r>
      <w:r w:rsidRPr="003902DD">
        <w:rPr>
          <w:i/>
          <w:sz w:val="20"/>
          <w:lang w:val="fr-CA"/>
        </w:rPr>
        <w:t>LPC</w:t>
      </w:r>
      <w:r w:rsidRPr="003902DD">
        <w:rPr>
          <w:sz w:val="20"/>
          <w:lang w:val="fr-CA"/>
        </w:rPr>
        <w:t xml:space="preserve"> et au par. 24(1) de la </w:t>
      </w:r>
      <w:r w:rsidRPr="003902DD">
        <w:rPr>
          <w:i/>
          <w:sz w:val="20"/>
          <w:lang w:val="fr-CA"/>
        </w:rPr>
        <w:t>Charte</w:t>
      </w:r>
      <w:r w:rsidRPr="003902DD">
        <w:rPr>
          <w:sz w:val="20"/>
          <w:lang w:val="fr-CA"/>
        </w:rPr>
        <w:t>, c’est que parfois la seule façon d’éviter un procès inéquitable est qu’il n’y ait pas de procès du tout.</w:t>
      </w:r>
      <w:r w:rsidRPr="003902DD">
        <w:rPr>
          <w:color w:val="000000"/>
          <w:sz w:val="20"/>
          <w:lang w:val="fr-CA"/>
        </w:rPr>
        <w:t xml:space="preserve">  </w:t>
      </w:r>
      <w:r w:rsidRPr="003902DD">
        <w:rPr>
          <w:sz w:val="20"/>
          <w:lang w:val="fr-CA"/>
        </w:rPr>
        <w:t xml:space="preserve">Le juge d’une cour criminelle dispose, grâce à l’art. 38.14 et à la </w:t>
      </w:r>
      <w:r w:rsidRPr="003902DD">
        <w:rPr>
          <w:i/>
          <w:sz w:val="20"/>
          <w:lang w:val="fr-CA"/>
        </w:rPr>
        <w:t>Charte</w:t>
      </w:r>
      <w:r w:rsidRPr="003902DD">
        <w:rPr>
          <w:sz w:val="20"/>
          <w:lang w:val="fr-CA"/>
        </w:rPr>
        <w:t xml:space="preserve">, des moyens de protéger le droit de l’accusé à un procès équitable.  L’arrêt des procédures envisagé à l’article 38.14 est une réparation prévue par un texte législatif, qui doit être considérée et appliquée dans le contexte qui lui est propre.  Il ne faut pas en limiter l’application en recourant au critère des « cas les plus manifestes » en telle matière prévu par la jurisprudence relative à la </w:t>
      </w:r>
      <w:r w:rsidRPr="003902DD">
        <w:rPr>
          <w:i/>
          <w:sz w:val="20"/>
          <w:lang w:val="fr-CA"/>
        </w:rPr>
        <w:t>Charte</w:t>
      </w:r>
      <w:r w:rsidRPr="003902DD">
        <w:rPr>
          <w:sz w:val="20"/>
          <w:lang w:val="fr-CA"/>
        </w:rPr>
        <w:t>.</w:t>
      </w:r>
    </w:p>
    <w:p w:rsidR="003902DD" w:rsidRPr="003902DD" w:rsidRDefault="003902DD" w:rsidP="003902DD">
      <w:pPr>
        <w:pStyle w:val="SCCNormalDoubleSpacing"/>
        <w:spacing w:line="240" w:lineRule="auto"/>
        <w:rPr>
          <w:color w:val="000000"/>
          <w:sz w:val="20"/>
          <w:lang w:val="fr-CA"/>
        </w:rPr>
      </w:pPr>
    </w:p>
    <w:p w:rsidR="003902DD" w:rsidRPr="003902DD" w:rsidRDefault="003902DD" w:rsidP="003902DD">
      <w:pPr>
        <w:pStyle w:val="SCCNormalDoubleSpacing"/>
        <w:spacing w:line="240" w:lineRule="auto"/>
        <w:rPr>
          <w:sz w:val="20"/>
          <w:lang w:val="fr-CA"/>
        </w:rPr>
      </w:pPr>
      <w:r w:rsidRPr="003902DD">
        <w:rPr>
          <w:sz w:val="20"/>
          <w:lang w:val="fr-CA"/>
        </w:rPr>
        <w:tab/>
        <w:t xml:space="preserve">Pour des raisons analogues, la contestation fondée sur l’art. 7 de la </w:t>
      </w:r>
      <w:r w:rsidRPr="003902DD">
        <w:rPr>
          <w:i/>
          <w:sz w:val="20"/>
          <w:lang w:val="fr-CA"/>
        </w:rPr>
        <w:t>Charte</w:t>
      </w:r>
      <w:r w:rsidRPr="003902DD">
        <w:rPr>
          <w:sz w:val="20"/>
          <w:lang w:val="fr-CA"/>
        </w:rPr>
        <w:t xml:space="preserve"> doit elle aussi être rejetée.  Sous le régime établi par l’art. 38, l’unique souci du juge de la Cour fédérale consiste à protéger l’intérêt du public à l’égard des renseignements sensibles ou potentiellement préjudiciables.  Si la Cour fédérale conclut que la divulgation des renseignements en cause porterait préjudice aux relations internationales ou à la défense ou à la sécurité nationales, elle ordonnera cette mesure seulement si elle estime que les raisons d’intérêt public qui justifient la divulgation l’emportent sur celles justifiant leur non</w:t>
      </w:r>
      <w:r w:rsidRPr="003902DD">
        <w:rPr>
          <w:sz w:val="20"/>
          <w:lang w:val="fr-CA"/>
        </w:rPr>
        <w:noBreakHyphen/>
        <w:t xml:space="preserve">divulgation (par. 38.06(1) et (2) de la </w:t>
      </w:r>
      <w:r w:rsidRPr="003902DD">
        <w:rPr>
          <w:i/>
          <w:sz w:val="20"/>
          <w:lang w:val="fr-CA"/>
        </w:rPr>
        <w:t>LPC</w:t>
      </w:r>
      <w:r w:rsidRPr="003902DD">
        <w:rPr>
          <w:sz w:val="20"/>
          <w:lang w:val="fr-CA"/>
        </w:rPr>
        <w:t xml:space="preserve">).  Bien que le public ait certes intérêt à ce que la justice soit administrée efficacement, le régime établi par l’art. 38 reconnaît qu’il est hors de question de tenir un procès inéquitable.  En l’espèce, le juge du procès n’a pas été privé du pouvoir de trancher les questions relatives à la </w:t>
      </w:r>
      <w:r w:rsidRPr="003902DD">
        <w:rPr>
          <w:i/>
          <w:sz w:val="20"/>
          <w:lang w:val="fr-CA"/>
        </w:rPr>
        <w:t>Charte</w:t>
      </w:r>
      <w:r w:rsidRPr="003902DD">
        <w:rPr>
          <w:sz w:val="20"/>
          <w:lang w:val="fr-CA"/>
        </w:rPr>
        <w:t xml:space="preserve"> soulevées par l’ordonnance de non</w:t>
      </w:r>
      <w:r w:rsidRPr="003902DD">
        <w:rPr>
          <w:sz w:val="20"/>
          <w:lang w:val="fr-CA"/>
        </w:rPr>
        <w:noBreakHyphen/>
        <w:t xml:space="preserve">divulgation.  Il est vrai que les dispositions en cause privent le juge du procès de la possibilité d’ordonner la divulgation, et même de la possibilité d’examiner personnellement les renseignements écartés en vertu du régime établi par l’art. 38, mais il n’en conserve pas moins — malgré l’absence d’accès à ces renseignements — la possibilité d’ordonner, en vertu de la </w:t>
      </w:r>
      <w:r w:rsidRPr="003902DD">
        <w:rPr>
          <w:i/>
          <w:sz w:val="20"/>
          <w:lang w:val="fr-CA"/>
        </w:rPr>
        <w:t>Charte</w:t>
      </w:r>
      <w:r w:rsidRPr="003902DD">
        <w:rPr>
          <w:sz w:val="20"/>
          <w:lang w:val="fr-CA"/>
        </w:rPr>
        <w:t xml:space="preserve"> et de l’art. 38.14, toute mesure nécessaire pour protéger le droit de l’accusé à un procès équitable.  Si le processus judiciaire découlant de l’application du régime établi par l’art. 38 devient ingérable en raison soit d’intervalles excessifs dans l’audition de la preuve soit d’autres obstacles analogues ayant pour effet de compromettre le droit de l’accusé à un procès équitable, le juge du procès ne devrait pas hésiter à exercer le large pouvoir que lui a conféré le législateur à l’art. 38.14 pour mettre fin au procès.</w:t>
      </w:r>
    </w:p>
    <w:p w:rsidR="003902DD" w:rsidRPr="003902DD" w:rsidRDefault="003902DD" w:rsidP="003902DD">
      <w:pPr>
        <w:pStyle w:val="SCCNormalDoubleSpacing"/>
        <w:spacing w:line="240" w:lineRule="auto"/>
        <w:rPr>
          <w:sz w:val="20"/>
          <w:lang w:val="fr-CA"/>
        </w:rPr>
      </w:pPr>
    </w:p>
    <w:p w:rsidR="003902DD" w:rsidRPr="003902DD" w:rsidRDefault="003902DD" w:rsidP="003902DD">
      <w:pPr>
        <w:pStyle w:val="SCCNormalDoubleSpacing"/>
        <w:spacing w:line="240" w:lineRule="auto"/>
        <w:rPr>
          <w:sz w:val="20"/>
          <w:lang w:val="fr-CA"/>
        </w:rPr>
      </w:pPr>
      <w:r w:rsidRPr="003902DD">
        <w:rPr>
          <w:sz w:val="20"/>
          <w:lang w:val="fr-CA"/>
        </w:rPr>
        <w:tab/>
        <w:t xml:space="preserve">POURVOI contre un jugement de la Cour supérieure de justice de l’Ontario (le juge </w:t>
      </w:r>
      <w:r w:rsidR="003E529C" w:rsidRPr="006F4B3F">
        <w:rPr>
          <w:sz w:val="20"/>
        </w:rPr>
        <w:fldChar w:fldCharType="begin"/>
      </w:r>
      <w:r w:rsidRPr="003902DD">
        <w:rPr>
          <w:sz w:val="20"/>
          <w:lang w:val="fr-CA"/>
        </w:rPr>
        <w:instrText xml:space="preserve"> SEQ CHAPTER \h \r 1</w:instrText>
      </w:r>
      <w:r w:rsidR="003E529C" w:rsidRPr="006F4B3F">
        <w:rPr>
          <w:sz w:val="20"/>
        </w:rPr>
        <w:fldChar w:fldCharType="end"/>
      </w:r>
      <w:r w:rsidRPr="003902DD">
        <w:rPr>
          <w:sz w:val="20"/>
          <w:lang w:val="fr-CA"/>
        </w:rPr>
        <w:t xml:space="preserve">Dawson) (2009), 257 C.C.C. (3d) 135, </w:t>
      </w:r>
      <w:r w:rsidR="003E529C" w:rsidRPr="006F4B3F">
        <w:rPr>
          <w:sz w:val="20"/>
        </w:rPr>
        <w:fldChar w:fldCharType="begin"/>
      </w:r>
      <w:r w:rsidRPr="003902DD">
        <w:rPr>
          <w:sz w:val="20"/>
          <w:lang w:val="fr-CA"/>
        </w:rPr>
        <w:instrText xml:space="preserve"> SEQ CHAPTER \h \r 1</w:instrText>
      </w:r>
      <w:r w:rsidR="003E529C" w:rsidRPr="006F4B3F">
        <w:rPr>
          <w:sz w:val="20"/>
        </w:rPr>
        <w:fldChar w:fldCharType="end"/>
      </w:r>
      <w:r w:rsidRPr="003902DD">
        <w:rPr>
          <w:sz w:val="20"/>
          <w:lang w:val="fr-CA"/>
        </w:rPr>
        <w:t xml:space="preserve">[2009] O.J. No. 6166 (QL), 2009 CarswellOnt 9311.  Pourvoi accueilli. </w:t>
      </w:r>
    </w:p>
    <w:p w:rsidR="003902DD" w:rsidRPr="003902DD" w:rsidRDefault="003902DD" w:rsidP="003902DD">
      <w:pPr>
        <w:pStyle w:val="SCCNormalDoubleSpacing"/>
        <w:spacing w:line="240" w:lineRule="auto"/>
        <w:rPr>
          <w:sz w:val="20"/>
          <w:lang w:val="fr-CA"/>
        </w:rPr>
      </w:pPr>
    </w:p>
    <w:p w:rsidR="003902DD" w:rsidRPr="003902DD" w:rsidRDefault="003902DD" w:rsidP="003902DD">
      <w:pPr>
        <w:pStyle w:val="SCCNormalDoubleSpacing"/>
        <w:spacing w:line="240" w:lineRule="auto"/>
        <w:rPr>
          <w:sz w:val="20"/>
          <w:lang w:val="fr-CA"/>
        </w:rPr>
      </w:pPr>
      <w:r w:rsidRPr="003902DD">
        <w:rPr>
          <w:rStyle w:val="SCCCounselNameChar"/>
          <w:sz w:val="20"/>
          <w:lang w:val="fr-CA"/>
        </w:rPr>
        <w:tab/>
        <w:t>Croft Michaelson</w:t>
      </w:r>
      <w:r w:rsidRPr="006F4B3F">
        <w:rPr>
          <w:rStyle w:val="SCCCounselSeparatorChar"/>
          <w:sz w:val="20"/>
        </w:rPr>
        <w:t xml:space="preserve"> et </w:t>
      </w:r>
      <w:r w:rsidRPr="003902DD">
        <w:rPr>
          <w:rStyle w:val="SCCCounselNameChar"/>
          <w:sz w:val="20"/>
          <w:lang w:val="fr-CA"/>
        </w:rPr>
        <w:t>Nicholas E. Devlin</w:t>
      </w:r>
      <w:r w:rsidRPr="003902DD">
        <w:rPr>
          <w:rStyle w:val="SCCCounselPartyRoleChar"/>
          <w:sz w:val="20"/>
          <w:lang w:val="fr-CA"/>
        </w:rPr>
        <w:t>, pour l’appelante.</w:t>
      </w:r>
    </w:p>
    <w:p w:rsidR="003902DD" w:rsidRPr="003902DD" w:rsidRDefault="003902DD" w:rsidP="003902DD">
      <w:pPr>
        <w:pStyle w:val="SCCNormalDoubleSpacing"/>
        <w:spacing w:line="240" w:lineRule="auto"/>
        <w:rPr>
          <w:sz w:val="20"/>
          <w:lang w:val="fr-CA"/>
        </w:rPr>
      </w:pPr>
      <w:r w:rsidRPr="003902DD">
        <w:rPr>
          <w:rStyle w:val="SCCCounselNameChar"/>
          <w:sz w:val="20"/>
          <w:lang w:val="fr-CA"/>
        </w:rPr>
        <w:lastRenderedPageBreak/>
        <w:tab/>
        <w:t>John Norris</w:t>
      </w:r>
      <w:r w:rsidRPr="006F4B3F">
        <w:rPr>
          <w:rStyle w:val="SCCCounselSeparatorChar"/>
          <w:sz w:val="20"/>
        </w:rPr>
        <w:t xml:space="preserve"> et </w:t>
      </w:r>
      <w:r w:rsidRPr="003902DD">
        <w:rPr>
          <w:rStyle w:val="SCCCounselNameChar"/>
          <w:sz w:val="20"/>
          <w:lang w:val="fr-CA"/>
        </w:rPr>
        <w:t>Breese Davies</w:t>
      </w:r>
      <w:r w:rsidRPr="003902DD">
        <w:rPr>
          <w:rStyle w:val="SCCCounselPartyRoleChar"/>
          <w:sz w:val="20"/>
          <w:lang w:val="fr-CA"/>
        </w:rPr>
        <w:t>, pour l’intimé Asad Ansari.</w:t>
      </w:r>
    </w:p>
    <w:p w:rsidR="003902DD" w:rsidRPr="003902DD" w:rsidRDefault="003902DD" w:rsidP="003902DD">
      <w:pPr>
        <w:pStyle w:val="SCCNormalDoubleSpacing"/>
        <w:spacing w:line="240" w:lineRule="auto"/>
        <w:rPr>
          <w:rStyle w:val="SCCCounselNameChar"/>
          <w:sz w:val="20"/>
          <w:lang w:val="fr-CA"/>
        </w:rPr>
      </w:pPr>
    </w:p>
    <w:p w:rsidR="003902DD" w:rsidRPr="003902DD" w:rsidRDefault="003902DD" w:rsidP="003902DD">
      <w:pPr>
        <w:pStyle w:val="SCCNormalDoubleSpacing"/>
        <w:spacing w:line="240" w:lineRule="auto"/>
        <w:rPr>
          <w:sz w:val="20"/>
          <w:lang w:val="fr-CA"/>
        </w:rPr>
      </w:pPr>
      <w:r w:rsidRPr="003902DD">
        <w:rPr>
          <w:rStyle w:val="SCCCounselNameChar"/>
          <w:sz w:val="20"/>
          <w:lang w:val="fr-CA"/>
        </w:rPr>
        <w:tab/>
        <w:t>Rocco Galati</w:t>
      </w:r>
      <w:r w:rsidRPr="003902DD">
        <w:rPr>
          <w:rStyle w:val="SCCCounselPartyRoleChar"/>
          <w:sz w:val="20"/>
          <w:lang w:val="fr-CA"/>
        </w:rPr>
        <w:t>, pour les intimés Shareef Adelhaleem et Amin Mohamed Durrani.</w:t>
      </w:r>
    </w:p>
    <w:p w:rsidR="003902DD" w:rsidRPr="003902DD" w:rsidRDefault="003902DD" w:rsidP="003902DD">
      <w:pPr>
        <w:pStyle w:val="SCCNormalDoubleSpacing"/>
        <w:spacing w:line="240" w:lineRule="auto"/>
        <w:rPr>
          <w:rStyle w:val="SCCCounselNameChar"/>
          <w:sz w:val="20"/>
          <w:lang w:val="fr-CA"/>
        </w:rPr>
      </w:pPr>
    </w:p>
    <w:p w:rsidR="003902DD" w:rsidRPr="003902DD" w:rsidRDefault="003902DD" w:rsidP="003902DD">
      <w:pPr>
        <w:pStyle w:val="SCCNormalDoubleSpacing"/>
        <w:spacing w:line="240" w:lineRule="auto"/>
        <w:rPr>
          <w:sz w:val="20"/>
          <w:lang w:val="fr-CA"/>
        </w:rPr>
      </w:pPr>
      <w:r w:rsidRPr="003902DD">
        <w:rPr>
          <w:rStyle w:val="SCCCounselNameChar"/>
          <w:sz w:val="20"/>
          <w:lang w:val="fr-CA"/>
        </w:rPr>
        <w:tab/>
        <w:t>Delmar Doucette</w:t>
      </w:r>
      <w:r w:rsidRPr="003902DD">
        <w:rPr>
          <w:rStyle w:val="SCCCounselPartyRoleChar"/>
          <w:sz w:val="20"/>
          <w:lang w:val="fr-CA"/>
        </w:rPr>
        <w:t>, pour l’intimé Steven Vikash Chand.</w:t>
      </w:r>
    </w:p>
    <w:p w:rsidR="003902DD" w:rsidRPr="003902DD" w:rsidRDefault="003902DD" w:rsidP="003902DD">
      <w:pPr>
        <w:pStyle w:val="SCCNormalDoubleSpacing"/>
        <w:spacing w:line="240" w:lineRule="auto"/>
        <w:rPr>
          <w:rStyle w:val="SCCCounselNameChar"/>
          <w:sz w:val="20"/>
          <w:lang w:val="fr-CA"/>
        </w:rPr>
      </w:pPr>
    </w:p>
    <w:p w:rsidR="003902DD" w:rsidRPr="003902DD" w:rsidRDefault="003902DD" w:rsidP="003902DD">
      <w:pPr>
        <w:pStyle w:val="SCCNormalDoubleSpacing"/>
        <w:spacing w:line="240" w:lineRule="auto"/>
        <w:rPr>
          <w:sz w:val="20"/>
          <w:lang w:val="fr-CA"/>
        </w:rPr>
      </w:pPr>
      <w:r w:rsidRPr="003902DD">
        <w:rPr>
          <w:rStyle w:val="SCCCounselNameChar"/>
          <w:sz w:val="20"/>
          <w:lang w:val="fr-CA"/>
        </w:rPr>
        <w:tab/>
        <w:t>Paul B. Slansky</w:t>
      </w:r>
      <w:r w:rsidRPr="003902DD">
        <w:rPr>
          <w:rStyle w:val="SCCCounselPartyRoleChar"/>
          <w:sz w:val="20"/>
          <w:lang w:val="fr-CA"/>
        </w:rPr>
        <w:t>, pour l’intimé Saad Gaya.</w:t>
      </w:r>
    </w:p>
    <w:p w:rsidR="003902DD" w:rsidRPr="003902DD" w:rsidRDefault="003902DD" w:rsidP="003902DD">
      <w:pPr>
        <w:pStyle w:val="SCCNormalDoubleSpacing"/>
        <w:spacing w:line="240" w:lineRule="auto"/>
        <w:rPr>
          <w:rStyle w:val="SCCCounselNameChar"/>
          <w:sz w:val="20"/>
          <w:lang w:val="fr-CA"/>
        </w:rPr>
      </w:pPr>
    </w:p>
    <w:p w:rsidR="003902DD" w:rsidRPr="003902DD" w:rsidRDefault="003902DD" w:rsidP="003902DD">
      <w:pPr>
        <w:pStyle w:val="SCCNormalDoubleSpacing"/>
        <w:spacing w:line="240" w:lineRule="auto"/>
        <w:rPr>
          <w:sz w:val="20"/>
          <w:lang w:val="fr-CA"/>
        </w:rPr>
      </w:pPr>
      <w:r w:rsidRPr="003902DD">
        <w:rPr>
          <w:rStyle w:val="SCCCounselNameChar"/>
          <w:sz w:val="20"/>
          <w:lang w:val="fr-CA"/>
        </w:rPr>
        <w:tab/>
        <w:t>Sarah T. Kraicer</w:t>
      </w:r>
      <w:r w:rsidRPr="006F4B3F">
        <w:rPr>
          <w:rStyle w:val="SCCCounselSeparatorChar"/>
          <w:sz w:val="20"/>
        </w:rPr>
        <w:t xml:space="preserve"> et </w:t>
      </w:r>
      <w:r w:rsidRPr="003902DD">
        <w:rPr>
          <w:rStyle w:val="SCCCounselNameChar"/>
          <w:sz w:val="20"/>
          <w:lang w:val="fr-CA"/>
        </w:rPr>
        <w:t>Josh Hunter</w:t>
      </w:r>
      <w:r w:rsidRPr="003902DD">
        <w:rPr>
          <w:rStyle w:val="SCCCounselPartyRoleChar"/>
          <w:sz w:val="20"/>
          <w:lang w:val="fr-CA"/>
        </w:rPr>
        <w:t>, pour l’intervenant le procureur général de l’Ontario.</w:t>
      </w:r>
    </w:p>
    <w:p w:rsidR="003902DD" w:rsidRPr="003902DD" w:rsidRDefault="003902DD" w:rsidP="003902DD">
      <w:pPr>
        <w:pStyle w:val="SCCNormalDoubleSpacing"/>
        <w:spacing w:line="240" w:lineRule="auto"/>
        <w:rPr>
          <w:rStyle w:val="SCCCounselNameChar"/>
          <w:sz w:val="20"/>
          <w:lang w:val="fr-CA"/>
        </w:rPr>
      </w:pPr>
    </w:p>
    <w:p w:rsidR="003902DD" w:rsidRPr="003902DD" w:rsidRDefault="003902DD" w:rsidP="003902DD">
      <w:pPr>
        <w:pStyle w:val="SCCNormalDoubleSpacing"/>
        <w:spacing w:line="240" w:lineRule="auto"/>
        <w:rPr>
          <w:rStyle w:val="SCCCounselPartyRoleChar"/>
          <w:sz w:val="20"/>
          <w:lang w:val="fr-CA"/>
        </w:rPr>
      </w:pPr>
      <w:r w:rsidRPr="003902DD">
        <w:rPr>
          <w:rStyle w:val="SCCCounselNameChar"/>
          <w:sz w:val="20"/>
          <w:lang w:val="fr-CA"/>
        </w:rPr>
        <w:tab/>
        <w:t>Anil K. Kapoor</w:t>
      </w:r>
      <w:r w:rsidRPr="006F4B3F">
        <w:rPr>
          <w:rStyle w:val="SCCCounselSeparatorChar"/>
          <w:sz w:val="20"/>
        </w:rPr>
        <w:t xml:space="preserve"> et </w:t>
      </w:r>
      <w:r w:rsidRPr="003902DD">
        <w:rPr>
          <w:rStyle w:val="SCCCounselNameChar"/>
          <w:sz w:val="20"/>
          <w:lang w:val="fr-CA"/>
        </w:rPr>
        <w:t>Lindsay L. Daviau</w:t>
      </w:r>
      <w:r w:rsidRPr="003902DD">
        <w:rPr>
          <w:rStyle w:val="SCCCounselPartyRoleChar"/>
          <w:sz w:val="20"/>
          <w:lang w:val="fr-CA"/>
        </w:rPr>
        <w:t>, pour l’intervenante l’Association canadienne des libertés civiles.</w:t>
      </w:r>
    </w:p>
    <w:p w:rsidR="003902DD" w:rsidRPr="003902DD" w:rsidRDefault="003902DD" w:rsidP="003902DD">
      <w:pPr>
        <w:pStyle w:val="SCCNormalDoubleSpacing"/>
        <w:spacing w:line="240" w:lineRule="auto"/>
        <w:rPr>
          <w:rStyle w:val="SCCCounselPartyRoleChar"/>
          <w:sz w:val="20"/>
          <w:lang w:val="fr-CA"/>
        </w:rPr>
      </w:pPr>
    </w:p>
    <w:p w:rsidR="003902DD" w:rsidRPr="003902DD" w:rsidRDefault="003902DD" w:rsidP="003902DD">
      <w:pPr>
        <w:pStyle w:val="SCCNormalDoubleSpacing"/>
        <w:spacing w:line="240" w:lineRule="auto"/>
        <w:rPr>
          <w:sz w:val="20"/>
          <w:lang w:val="fr-CA"/>
        </w:rPr>
      </w:pPr>
      <w:r w:rsidRPr="003902DD">
        <w:rPr>
          <w:rStyle w:val="SCCCounselPartyRoleChar"/>
          <w:sz w:val="20"/>
          <w:lang w:val="fr-CA"/>
        </w:rPr>
        <w:tab/>
        <w:t>Personne n’a comparu pour les intimés Fahim Ahmad, Zakaria Amara, Mohammed Dirie, Jahmaal James et Saad Khalid.</w:t>
      </w:r>
    </w:p>
    <w:p w:rsidR="003902DD" w:rsidRPr="003902DD" w:rsidRDefault="003902DD" w:rsidP="003902DD">
      <w:pPr>
        <w:pStyle w:val="SCCNormalDoubleSpacing"/>
        <w:spacing w:line="240" w:lineRule="auto"/>
        <w:rPr>
          <w:sz w:val="20"/>
          <w:lang w:val="fr-CA"/>
        </w:rPr>
      </w:pPr>
    </w:p>
    <w:p w:rsidR="003902DD" w:rsidRPr="003902DD" w:rsidRDefault="003902DD" w:rsidP="003902DD">
      <w:pPr>
        <w:pStyle w:val="SCCNormalDoubleSpacing"/>
        <w:spacing w:line="240" w:lineRule="auto"/>
        <w:rPr>
          <w:i/>
          <w:sz w:val="20"/>
          <w:lang w:val="fr-CA"/>
        </w:rPr>
      </w:pPr>
      <w:r w:rsidRPr="003902DD">
        <w:rPr>
          <w:sz w:val="20"/>
          <w:lang w:val="fr-CA"/>
        </w:rPr>
        <w:tab/>
      </w:r>
      <w:r w:rsidRPr="003902DD">
        <w:rPr>
          <w:i/>
          <w:sz w:val="20"/>
          <w:lang w:val="fr-CA"/>
        </w:rPr>
        <w:t>Procureur de l’appelante : Service des poursuites pénales du Canada, Toronto.</w:t>
      </w:r>
    </w:p>
    <w:p w:rsidR="003902DD" w:rsidRPr="003902DD" w:rsidRDefault="003902DD" w:rsidP="003902DD">
      <w:pPr>
        <w:pStyle w:val="SCCNormalDoubleSpacing"/>
        <w:spacing w:line="240" w:lineRule="auto"/>
        <w:rPr>
          <w:i/>
          <w:sz w:val="20"/>
          <w:lang w:val="fr-CA"/>
        </w:rPr>
      </w:pPr>
    </w:p>
    <w:p w:rsidR="003902DD" w:rsidRPr="003902DD" w:rsidRDefault="003902DD" w:rsidP="003902DD">
      <w:pPr>
        <w:pStyle w:val="SCCNormalDoubleSpacing"/>
        <w:spacing w:line="240" w:lineRule="auto"/>
        <w:rPr>
          <w:i/>
          <w:sz w:val="20"/>
          <w:lang w:val="fr-CA"/>
        </w:rPr>
      </w:pPr>
      <w:r w:rsidRPr="003902DD">
        <w:rPr>
          <w:i/>
          <w:sz w:val="20"/>
          <w:lang w:val="fr-CA"/>
        </w:rPr>
        <w:tab/>
        <w:t xml:space="preserve">Procureur de l’intimé </w:t>
      </w:r>
      <w:r w:rsidRPr="003902DD">
        <w:rPr>
          <w:rStyle w:val="SCCCounselPartyRoleChar"/>
          <w:i/>
          <w:sz w:val="20"/>
          <w:lang w:val="fr-CA"/>
        </w:rPr>
        <w:t>Asad Ansari</w:t>
      </w:r>
      <w:r w:rsidRPr="003902DD">
        <w:rPr>
          <w:i/>
          <w:sz w:val="20"/>
          <w:lang w:val="fr-CA"/>
        </w:rPr>
        <w:t> : John Norris, Toronto.</w:t>
      </w:r>
    </w:p>
    <w:p w:rsidR="003902DD" w:rsidRPr="003902DD" w:rsidRDefault="003902DD" w:rsidP="003902DD">
      <w:pPr>
        <w:pStyle w:val="SCCNormalDoubleSpacing"/>
        <w:spacing w:line="240" w:lineRule="auto"/>
        <w:rPr>
          <w:i/>
          <w:sz w:val="20"/>
          <w:lang w:val="fr-CA"/>
        </w:rPr>
      </w:pPr>
    </w:p>
    <w:p w:rsidR="003902DD" w:rsidRPr="003902DD" w:rsidRDefault="003902DD" w:rsidP="003902DD">
      <w:pPr>
        <w:pStyle w:val="SCCNormalDoubleSpacing"/>
        <w:spacing w:line="240" w:lineRule="auto"/>
        <w:rPr>
          <w:i/>
          <w:sz w:val="20"/>
          <w:lang w:val="fr-CA"/>
        </w:rPr>
      </w:pPr>
      <w:r w:rsidRPr="003902DD">
        <w:rPr>
          <w:i/>
          <w:sz w:val="20"/>
          <w:lang w:val="fr-CA"/>
        </w:rPr>
        <w:tab/>
        <w:t xml:space="preserve">Procureurs des intimés </w:t>
      </w:r>
      <w:r w:rsidRPr="003902DD">
        <w:rPr>
          <w:rStyle w:val="SCCCounselPartyRoleChar"/>
          <w:i/>
          <w:sz w:val="20"/>
          <w:lang w:val="fr-CA"/>
        </w:rPr>
        <w:t>Shareef Adelhaleem</w:t>
      </w:r>
      <w:r w:rsidRPr="003902DD">
        <w:rPr>
          <w:i/>
          <w:sz w:val="20"/>
          <w:lang w:val="fr-CA"/>
        </w:rPr>
        <w:t xml:space="preserve"> et </w:t>
      </w:r>
      <w:r w:rsidRPr="003902DD">
        <w:rPr>
          <w:rStyle w:val="SCCCounselPartyRoleChar"/>
          <w:i/>
          <w:sz w:val="20"/>
          <w:lang w:val="fr-CA"/>
        </w:rPr>
        <w:t>Amin Mohamed Durrani</w:t>
      </w:r>
      <w:r w:rsidRPr="003902DD">
        <w:rPr>
          <w:i/>
          <w:sz w:val="20"/>
          <w:lang w:val="fr-CA"/>
        </w:rPr>
        <w:t> : Rocco Galati Law Firm Professional Corporation, Toronto.</w:t>
      </w:r>
    </w:p>
    <w:p w:rsidR="003902DD" w:rsidRPr="003902DD" w:rsidRDefault="003902DD" w:rsidP="003902DD">
      <w:pPr>
        <w:pStyle w:val="SCCNormalDoubleSpacing"/>
        <w:spacing w:line="240" w:lineRule="auto"/>
        <w:rPr>
          <w:i/>
          <w:sz w:val="20"/>
          <w:lang w:val="fr-CA"/>
        </w:rPr>
      </w:pPr>
    </w:p>
    <w:p w:rsidR="003902DD" w:rsidRPr="003902DD" w:rsidRDefault="003902DD" w:rsidP="003902DD">
      <w:pPr>
        <w:pStyle w:val="SCCNormalDoubleSpacing"/>
        <w:spacing w:line="240" w:lineRule="auto"/>
        <w:rPr>
          <w:i/>
          <w:sz w:val="20"/>
          <w:lang w:val="fr-CA"/>
        </w:rPr>
      </w:pPr>
      <w:r w:rsidRPr="003902DD">
        <w:rPr>
          <w:i/>
          <w:sz w:val="20"/>
          <w:lang w:val="fr-CA"/>
        </w:rPr>
        <w:tab/>
        <w:t xml:space="preserve">Procureurs de l’intimé </w:t>
      </w:r>
      <w:r w:rsidRPr="003902DD">
        <w:rPr>
          <w:rStyle w:val="SCCCounselPartyRoleChar"/>
          <w:i/>
          <w:sz w:val="20"/>
          <w:lang w:val="fr-CA"/>
        </w:rPr>
        <w:t>Steven Vikash Chand</w:t>
      </w:r>
      <w:r w:rsidRPr="003902DD">
        <w:rPr>
          <w:i/>
          <w:sz w:val="20"/>
          <w:lang w:val="fr-CA"/>
        </w:rPr>
        <w:t> : Marlys Edwardh Barristers Professional Corporation, Toronto.</w:t>
      </w:r>
    </w:p>
    <w:p w:rsidR="003902DD" w:rsidRPr="003902DD" w:rsidRDefault="003902DD" w:rsidP="003902DD">
      <w:pPr>
        <w:pStyle w:val="SCCNormalDoubleSpacing"/>
        <w:spacing w:line="240" w:lineRule="auto"/>
        <w:rPr>
          <w:i/>
          <w:sz w:val="20"/>
          <w:lang w:val="fr-CA"/>
        </w:rPr>
      </w:pPr>
    </w:p>
    <w:p w:rsidR="003902DD" w:rsidRDefault="003902DD" w:rsidP="003902DD">
      <w:pPr>
        <w:pStyle w:val="SCCNormalDoubleSpacing"/>
        <w:spacing w:line="240" w:lineRule="auto"/>
        <w:rPr>
          <w:i/>
          <w:sz w:val="20"/>
          <w:lang w:val="fr-CA"/>
        </w:rPr>
      </w:pPr>
      <w:r w:rsidRPr="003902DD">
        <w:rPr>
          <w:i/>
          <w:sz w:val="20"/>
          <w:lang w:val="fr-CA"/>
        </w:rPr>
        <w:tab/>
        <w:t>Procureur de l’intimé Saad Gaya : Paul B. Slansky, Toronto.</w:t>
      </w:r>
    </w:p>
    <w:p w:rsidR="003902DD" w:rsidRPr="003902DD" w:rsidRDefault="003902DD" w:rsidP="003902DD">
      <w:pPr>
        <w:pStyle w:val="SCCNormalDoubleSpacing"/>
        <w:spacing w:line="240" w:lineRule="auto"/>
        <w:rPr>
          <w:i/>
          <w:sz w:val="20"/>
          <w:lang w:val="fr-CA"/>
        </w:rPr>
      </w:pPr>
    </w:p>
    <w:p w:rsidR="003902DD" w:rsidRPr="003902DD" w:rsidRDefault="003902DD" w:rsidP="003902DD">
      <w:pPr>
        <w:pStyle w:val="SCCNormalDoubleSpacing"/>
        <w:spacing w:line="240" w:lineRule="auto"/>
        <w:rPr>
          <w:i/>
          <w:sz w:val="20"/>
          <w:lang w:val="fr-CA"/>
        </w:rPr>
      </w:pPr>
      <w:r w:rsidRPr="003902DD">
        <w:rPr>
          <w:i/>
          <w:sz w:val="20"/>
          <w:lang w:val="fr-CA"/>
        </w:rPr>
        <w:tab/>
        <w:t>Procureur de l’intervenant le procureur général de l’Ontario : Procureur général de l’Ontario, Toronto.</w:t>
      </w:r>
    </w:p>
    <w:p w:rsidR="003902DD" w:rsidRPr="003902DD" w:rsidRDefault="003902DD" w:rsidP="003902DD">
      <w:pPr>
        <w:pStyle w:val="SCCNormalDoubleSpacing"/>
        <w:spacing w:line="240" w:lineRule="auto"/>
        <w:rPr>
          <w:i/>
          <w:sz w:val="20"/>
          <w:lang w:val="fr-CA"/>
        </w:rPr>
      </w:pPr>
    </w:p>
    <w:p w:rsidR="003902DD" w:rsidRPr="003902DD" w:rsidRDefault="003902DD" w:rsidP="003902DD">
      <w:pPr>
        <w:pStyle w:val="SCCNormalDoubleSpacing"/>
        <w:spacing w:line="240" w:lineRule="auto"/>
        <w:rPr>
          <w:i/>
          <w:sz w:val="20"/>
          <w:lang w:val="fr-CA"/>
        </w:rPr>
      </w:pPr>
      <w:r w:rsidRPr="003902DD">
        <w:rPr>
          <w:i/>
          <w:sz w:val="20"/>
          <w:lang w:val="fr-CA"/>
        </w:rPr>
        <w:tab/>
        <w:t>Procureurs de l’intervenante l’Association canadienne des libertés civiles : Kapoor Barristers, Toronto.</w:t>
      </w:r>
    </w:p>
    <w:p w:rsidR="003B3977" w:rsidRDefault="003B3977" w:rsidP="005C6840">
      <w:pPr>
        <w:rPr>
          <w:rFonts w:cs="Times New Roman"/>
          <w:sz w:val="20"/>
          <w:szCs w:val="20"/>
          <w:lang w:val="fr-CA"/>
        </w:rPr>
      </w:pPr>
    </w:p>
    <w:p w:rsidR="005C6840" w:rsidRDefault="003E529C" w:rsidP="005C6840">
      <w:pPr>
        <w:rPr>
          <w:lang w:val="fr-CA"/>
        </w:rPr>
      </w:pPr>
      <w:r w:rsidRPr="003E529C">
        <w:rPr>
          <w:rFonts w:cs="Times New Roman"/>
          <w:sz w:val="20"/>
          <w:szCs w:val="20"/>
          <w:lang w:val="fr-CA"/>
        </w:rPr>
        <w:pict>
          <v:rect id="_x0000_i1075" style="width:144.3pt;height:1pt" o:hrpct="300" o:hralign="center" o:hrstd="t" o:hrnoshade="t" o:hr="t" fillcolor="black [3213]" stroked="f"/>
        </w:pict>
      </w:r>
      <w:r w:rsidR="005C6840">
        <w:rPr>
          <w:lang w:val="fr-CA"/>
        </w:rPr>
        <w:br w:type="page"/>
      </w:r>
    </w:p>
    <w:p w:rsidR="0061611D" w:rsidRPr="0064619D" w:rsidRDefault="0061611D" w:rsidP="0061611D">
      <w:pPr>
        <w:jc w:val="both"/>
        <w:rPr>
          <w:rFonts w:eastAsia="Calibri" w:cs="Times New Roman"/>
          <w:sz w:val="20"/>
          <w:szCs w:val="20"/>
          <w:lang w:val="en-GB"/>
        </w:rPr>
      </w:pPr>
      <w:r w:rsidRPr="0064619D">
        <w:rPr>
          <w:rFonts w:eastAsia="Calibri" w:cs="Times New Roman"/>
          <w:i/>
          <w:sz w:val="20"/>
          <w:szCs w:val="20"/>
          <w:lang w:val="en-GB"/>
        </w:rPr>
        <w:lastRenderedPageBreak/>
        <w:t>Vernon Joseph Smith v. Alliance Pipeline Ltd.</w:t>
      </w:r>
      <w:r w:rsidRPr="0064619D">
        <w:rPr>
          <w:rFonts w:eastAsia="Calibri" w:cs="Times New Roman"/>
          <w:sz w:val="20"/>
          <w:szCs w:val="20"/>
          <w:lang w:val="en-GB"/>
        </w:rPr>
        <w:t xml:space="preserve"> (F.C.) (33203)</w:t>
      </w:r>
    </w:p>
    <w:p w:rsidR="00E022C0" w:rsidRPr="00E7529C" w:rsidRDefault="00E022C0" w:rsidP="00E022C0">
      <w:pPr>
        <w:jc w:val="both"/>
        <w:rPr>
          <w:rFonts w:cs="Times New Roman"/>
          <w:b/>
          <w:sz w:val="20"/>
          <w:szCs w:val="20"/>
        </w:rPr>
      </w:pPr>
      <w:r w:rsidRPr="00125C32">
        <w:rPr>
          <w:rFonts w:cs="Times New Roman"/>
          <w:b/>
          <w:sz w:val="20"/>
          <w:szCs w:val="20"/>
        </w:rPr>
        <w:t xml:space="preserve">Indexed as:  </w:t>
      </w:r>
      <w:r w:rsidRPr="00E022C0">
        <w:rPr>
          <w:rStyle w:val="SCCAppellantForIndexChar"/>
          <w:rFonts w:eastAsiaTheme="minorHAnsi"/>
          <w:sz w:val="20"/>
          <w:lang w:val="en-CA"/>
        </w:rPr>
        <w:t>Smith</w:t>
      </w:r>
      <w:r w:rsidRPr="00125C32">
        <w:rPr>
          <w:rFonts w:cs="Times New Roman"/>
          <w:b/>
          <w:sz w:val="20"/>
          <w:szCs w:val="20"/>
        </w:rPr>
        <w:t xml:space="preserve"> </w:t>
      </w:r>
      <w:r w:rsidRPr="00125C32">
        <w:rPr>
          <w:rFonts w:cs="Times New Roman"/>
          <w:b/>
          <w:i/>
          <w:sz w:val="20"/>
          <w:szCs w:val="20"/>
        </w:rPr>
        <w:t>v.</w:t>
      </w:r>
      <w:r w:rsidRPr="00125C32">
        <w:rPr>
          <w:rFonts w:cs="Times New Roman"/>
          <w:b/>
          <w:sz w:val="20"/>
          <w:szCs w:val="20"/>
        </w:rPr>
        <w:t xml:space="preserve"> </w:t>
      </w:r>
      <w:r w:rsidRPr="00125C32">
        <w:rPr>
          <w:rStyle w:val="SCCRespondentForIndexChar"/>
          <w:rFonts w:eastAsiaTheme="minorHAnsi"/>
          <w:sz w:val="20"/>
        </w:rPr>
        <w:t>Alliance Pipeline Ltd.</w:t>
      </w:r>
      <w:r>
        <w:rPr>
          <w:rStyle w:val="SCCRespondentForIndexChar"/>
          <w:rFonts w:eastAsiaTheme="minorHAnsi"/>
          <w:sz w:val="20"/>
        </w:rPr>
        <w:t xml:space="preserve"> / </w:t>
      </w:r>
      <w:r w:rsidRPr="00E7529C">
        <w:rPr>
          <w:rFonts w:cs="Times New Roman"/>
          <w:b/>
          <w:sz w:val="20"/>
          <w:szCs w:val="20"/>
        </w:rPr>
        <w:t>Répertorié : </w:t>
      </w:r>
      <w:r w:rsidRPr="00E022C0">
        <w:rPr>
          <w:rStyle w:val="SCCAppellantForIndexChar"/>
          <w:rFonts w:eastAsiaTheme="minorHAnsi"/>
          <w:sz w:val="20"/>
          <w:lang w:val="en-CA"/>
        </w:rPr>
        <w:t>Smith</w:t>
      </w:r>
      <w:r w:rsidRPr="00E7529C">
        <w:rPr>
          <w:rFonts w:cs="Times New Roman"/>
          <w:b/>
          <w:sz w:val="20"/>
          <w:szCs w:val="20"/>
        </w:rPr>
        <w:t xml:space="preserve"> </w:t>
      </w:r>
      <w:r w:rsidRPr="00E7529C">
        <w:rPr>
          <w:rFonts w:cs="Times New Roman"/>
          <w:b/>
          <w:i/>
          <w:sz w:val="20"/>
          <w:szCs w:val="20"/>
        </w:rPr>
        <w:t>c.</w:t>
      </w:r>
      <w:r w:rsidRPr="00E7529C">
        <w:rPr>
          <w:rFonts w:cs="Times New Roman"/>
          <w:b/>
          <w:sz w:val="20"/>
          <w:szCs w:val="20"/>
        </w:rPr>
        <w:t xml:space="preserve"> </w:t>
      </w:r>
      <w:r w:rsidRPr="00E7529C">
        <w:rPr>
          <w:rStyle w:val="SCCRespondentForIndexChar"/>
          <w:rFonts w:eastAsia="Calibri"/>
          <w:sz w:val="20"/>
        </w:rPr>
        <w:t>Alliance Pipeline Ltd.</w:t>
      </w:r>
    </w:p>
    <w:p w:rsidR="005C6840" w:rsidRPr="0061611D" w:rsidRDefault="005C6840" w:rsidP="005C6840">
      <w:pPr>
        <w:pStyle w:val="SCCSystemYear"/>
        <w:jc w:val="both"/>
        <w:rPr>
          <w:sz w:val="20"/>
        </w:rPr>
      </w:pPr>
      <w:r w:rsidRPr="0061611D">
        <w:rPr>
          <w:sz w:val="20"/>
        </w:rPr>
        <w:t>Neutral citation:  201</w:t>
      </w:r>
      <w:r w:rsidR="007F387B" w:rsidRPr="0061611D">
        <w:rPr>
          <w:sz w:val="20"/>
        </w:rPr>
        <w:t>1</w:t>
      </w:r>
      <w:r w:rsidRPr="0061611D">
        <w:rPr>
          <w:sz w:val="20"/>
        </w:rPr>
        <w:t xml:space="preserve"> SCC </w:t>
      </w:r>
      <w:r w:rsidR="0061611D" w:rsidRPr="0061611D">
        <w:rPr>
          <w:sz w:val="20"/>
        </w:rPr>
        <w:t>7</w:t>
      </w:r>
      <w:r w:rsidRPr="0061611D">
        <w:rPr>
          <w:sz w:val="20"/>
        </w:rPr>
        <w:t xml:space="preserve"> / Référence neutre : 201</w:t>
      </w:r>
      <w:r w:rsidR="007F387B" w:rsidRPr="0061611D">
        <w:rPr>
          <w:sz w:val="20"/>
        </w:rPr>
        <w:t>1</w:t>
      </w:r>
      <w:r w:rsidRPr="0061611D">
        <w:rPr>
          <w:sz w:val="20"/>
        </w:rPr>
        <w:t xml:space="preserve"> CSC </w:t>
      </w:r>
      <w:r w:rsidR="0061611D" w:rsidRPr="0061611D">
        <w:rPr>
          <w:sz w:val="20"/>
        </w:rPr>
        <w:t>7</w:t>
      </w:r>
    </w:p>
    <w:p w:rsidR="005C6840" w:rsidRPr="0061611D" w:rsidRDefault="005C6840" w:rsidP="005C6840">
      <w:pPr>
        <w:rPr>
          <w:sz w:val="20"/>
          <w:szCs w:val="20"/>
          <w:lang w:val="fr-CA"/>
        </w:rPr>
      </w:pPr>
      <w:r w:rsidRPr="0061611D">
        <w:rPr>
          <w:sz w:val="20"/>
          <w:szCs w:val="20"/>
          <w:lang w:val="fr-CA"/>
        </w:rPr>
        <w:t xml:space="preserve">Hearing:  </w:t>
      </w:r>
      <w:r w:rsidR="00E022C0">
        <w:rPr>
          <w:sz w:val="20"/>
          <w:szCs w:val="20"/>
          <w:lang w:val="fr-CA"/>
        </w:rPr>
        <w:t>October 5</w:t>
      </w:r>
      <w:r w:rsidRPr="0061611D">
        <w:rPr>
          <w:sz w:val="20"/>
          <w:szCs w:val="20"/>
          <w:lang w:val="fr-CA"/>
        </w:rPr>
        <w:t xml:space="preserve">, 2010 / Judgment:  </w:t>
      </w:r>
      <w:r w:rsidR="0061611D" w:rsidRPr="0061611D">
        <w:rPr>
          <w:sz w:val="20"/>
          <w:szCs w:val="20"/>
          <w:lang w:val="fr-CA"/>
        </w:rPr>
        <w:t>February</w:t>
      </w:r>
      <w:r w:rsidRPr="0061611D">
        <w:rPr>
          <w:sz w:val="20"/>
          <w:szCs w:val="20"/>
          <w:lang w:val="fr-CA"/>
        </w:rPr>
        <w:t xml:space="preserve"> </w:t>
      </w:r>
      <w:r w:rsidR="0061611D" w:rsidRPr="0061611D">
        <w:rPr>
          <w:sz w:val="20"/>
          <w:szCs w:val="20"/>
          <w:lang w:val="fr-CA"/>
        </w:rPr>
        <w:t>11</w:t>
      </w:r>
      <w:r w:rsidRPr="0061611D">
        <w:rPr>
          <w:sz w:val="20"/>
          <w:szCs w:val="20"/>
          <w:lang w:val="fr-CA"/>
        </w:rPr>
        <w:t>, 201</w:t>
      </w:r>
      <w:r w:rsidR="0061611D" w:rsidRPr="0061611D">
        <w:rPr>
          <w:sz w:val="20"/>
          <w:szCs w:val="20"/>
          <w:lang w:val="fr-CA"/>
        </w:rPr>
        <w:t>1</w:t>
      </w:r>
    </w:p>
    <w:p w:rsidR="005C6840" w:rsidRPr="003B3977" w:rsidRDefault="005C6840" w:rsidP="005C6840">
      <w:pPr>
        <w:rPr>
          <w:sz w:val="20"/>
          <w:szCs w:val="20"/>
          <w:lang w:val="fr-CA"/>
        </w:rPr>
      </w:pPr>
      <w:r w:rsidRPr="003B3977">
        <w:rPr>
          <w:sz w:val="20"/>
          <w:szCs w:val="20"/>
          <w:lang w:val="fr-CA"/>
        </w:rPr>
        <w:t xml:space="preserve">Audition : Le </w:t>
      </w:r>
      <w:r w:rsidR="00E022C0">
        <w:rPr>
          <w:sz w:val="20"/>
          <w:szCs w:val="20"/>
          <w:lang w:val="fr-CA"/>
        </w:rPr>
        <w:t>5 octobre</w:t>
      </w:r>
      <w:r w:rsidRPr="003B3977">
        <w:rPr>
          <w:sz w:val="20"/>
          <w:szCs w:val="20"/>
          <w:lang w:val="fr-CA"/>
        </w:rPr>
        <w:t xml:space="preserve"> 2010 / Jugement : Le </w:t>
      </w:r>
      <w:r w:rsidR="0061611D">
        <w:rPr>
          <w:sz w:val="20"/>
          <w:szCs w:val="20"/>
          <w:lang w:val="fr-CA"/>
        </w:rPr>
        <w:t>11 février</w:t>
      </w:r>
      <w:r w:rsidRPr="003B3977">
        <w:rPr>
          <w:sz w:val="20"/>
          <w:szCs w:val="20"/>
          <w:lang w:val="fr-CA"/>
        </w:rPr>
        <w:t xml:space="preserve"> 201</w:t>
      </w:r>
      <w:r w:rsidR="0061611D">
        <w:rPr>
          <w:sz w:val="20"/>
          <w:szCs w:val="20"/>
          <w:lang w:val="fr-CA"/>
        </w:rPr>
        <w:t>1</w:t>
      </w:r>
    </w:p>
    <w:p w:rsidR="005C6840" w:rsidRPr="003B3977" w:rsidRDefault="003E529C" w:rsidP="005C6840">
      <w:pPr>
        <w:rPr>
          <w:sz w:val="20"/>
          <w:szCs w:val="20"/>
          <w:lang w:val="fr-CA"/>
        </w:rPr>
      </w:pPr>
      <w:r w:rsidRPr="003E529C">
        <w:rPr>
          <w:i/>
          <w:sz w:val="20"/>
          <w:szCs w:val="20"/>
        </w:rPr>
        <w:pict>
          <v:rect id="_x0000_i1076" style="width:480.95pt;height:1pt" o:hralign="center" o:hrstd="t" o:hrnoshade="t" o:hr="t" fillcolor="black [3213]" stroked="f"/>
        </w:pict>
      </w:r>
    </w:p>
    <w:p w:rsidR="005C6840" w:rsidRDefault="005C6840" w:rsidP="005C6840">
      <w:pPr>
        <w:spacing w:line="0" w:lineRule="atLeast"/>
        <w:rPr>
          <w:sz w:val="20"/>
          <w:szCs w:val="20"/>
          <w:lang w:val="fr-CA"/>
        </w:rPr>
      </w:pPr>
    </w:p>
    <w:p w:rsidR="00E022C0" w:rsidRDefault="00E022C0" w:rsidP="00E022C0">
      <w:pPr>
        <w:jc w:val="both"/>
        <w:rPr>
          <w:sz w:val="20"/>
        </w:rPr>
      </w:pPr>
      <w:r w:rsidRPr="00125C32">
        <w:rPr>
          <w:rFonts w:cs="Times New Roman"/>
          <w:sz w:val="20"/>
          <w:szCs w:val="20"/>
        </w:rPr>
        <w:t>Present:  McLachlin C.J. and Binnie, LeBel, Deschamps, Fish, Abella, Charron, Rothstein and Cromwell JJ.</w:t>
      </w:r>
    </w:p>
    <w:p w:rsidR="00E022C0" w:rsidRDefault="00E022C0" w:rsidP="00E022C0">
      <w:pPr>
        <w:pStyle w:val="SCCNormalDoubleSpacing"/>
        <w:spacing w:line="240" w:lineRule="auto"/>
        <w:rPr>
          <w:sz w:val="20"/>
        </w:rPr>
      </w:pPr>
    </w:p>
    <w:p w:rsidR="00E022C0" w:rsidRDefault="00E022C0" w:rsidP="00E022C0">
      <w:pPr>
        <w:pStyle w:val="SCCNormalDoubleSpacing"/>
        <w:spacing w:line="240" w:lineRule="auto"/>
        <w:rPr>
          <w:i/>
          <w:sz w:val="20"/>
        </w:rPr>
      </w:pPr>
      <w:r w:rsidRPr="00125C32">
        <w:rPr>
          <w:sz w:val="20"/>
        </w:rPr>
        <w:tab/>
      </w:r>
      <w:r w:rsidRPr="00125C32">
        <w:rPr>
          <w:i/>
          <w:sz w:val="20"/>
        </w:rPr>
        <w:t>Administrative law — Judicial Review — Standard of Review — Land expropriated by pipeline company pursuant to agreement — Expropriated party not fully compensated and Pipeline Arbitration Committee appointed pursuant to National Energy Board Act — Queen’s Bench action commenced by company and then discontinued — First committee aborted and a second committee appointed — Second committee awarding costs for proceedings before both committees and for court action — Whether standard of reasonableness applicable to second committee’s decision on costs — National Energy Board Act, R.S.C. 1985, c. N</w:t>
      </w:r>
      <w:r w:rsidRPr="00125C32">
        <w:rPr>
          <w:i/>
          <w:sz w:val="20"/>
        </w:rPr>
        <w:noBreakHyphen/>
        <w:t>7, ss. 75, 99(1).</w:t>
      </w:r>
    </w:p>
    <w:p w:rsidR="00E022C0" w:rsidRPr="00125C32" w:rsidRDefault="00E022C0" w:rsidP="00E022C0">
      <w:pPr>
        <w:pStyle w:val="SCCNormalDoubleSpacing"/>
        <w:spacing w:line="240" w:lineRule="auto"/>
        <w:rPr>
          <w:i/>
          <w:sz w:val="20"/>
        </w:rPr>
      </w:pPr>
    </w:p>
    <w:p w:rsidR="00E022C0" w:rsidRDefault="00E022C0" w:rsidP="00E022C0">
      <w:pPr>
        <w:pStyle w:val="SCCNormalDoubleSpacing"/>
        <w:spacing w:line="240" w:lineRule="auto"/>
        <w:rPr>
          <w:i/>
          <w:sz w:val="20"/>
        </w:rPr>
      </w:pPr>
      <w:r w:rsidRPr="00125C32">
        <w:rPr>
          <w:i/>
          <w:sz w:val="20"/>
        </w:rPr>
        <w:tab/>
        <w:t>Administrative law — Boards and Tribunals — Jurisdiction — Costs — Land expropriated by pipeline company pursuant to agreement — Expropriated party not fully compensated and Pipeline Arbitration Committee appointed pursuant to National Energy Board Act — Queen’s Bench action commenced by company and then discontinued — First committee aborted and a second committee appointed — Second committee awarding costs for proceedings before both committees and for court action — Whether tribunal having jurisdiction to order such costs — National Energy Board Act, R.S.C. 1985, c.</w:t>
      </w:r>
      <w:r w:rsidRPr="00125C32">
        <w:rPr>
          <w:sz w:val="20"/>
        </w:rPr>
        <w:t> </w:t>
      </w:r>
      <w:r w:rsidRPr="00125C32">
        <w:rPr>
          <w:i/>
          <w:sz w:val="20"/>
        </w:rPr>
        <w:t>N</w:t>
      </w:r>
      <w:r w:rsidRPr="00125C32">
        <w:rPr>
          <w:i/>
          <w:sz w:val="20"/>
        </w:rPr>
        <w:noBreakHyphen/>
        <w:t>7, ss. 75, 99(1).</w:t>
      </w:r>
    </w:p>
    <w:p w:rsidR="00E022C0" w:rsidRPr="00125C32" w:rsidRDefault="00E022C0" w:rsidP="00E022C0">
      <w:pPr>
        <w:pStyle w:val="SCCNormalDoubleSpacing"/>
        <w:spacing w:line="240" w:lineRule="auto"/>
        <w:rPr>
          <w:i/>
          <w:sz w:val="20"/>
        </w:rPr>
      </w:pPr>
    </w:p>
    <w:p w:rsidR="00E022C0" w:rsidRDefault="00E022C0" w:rsidP="00E022C0">
      <w:pPr>
        <w:pStyle w:val="SCCNormalDoubleSpacing"/>
        <w:spacing w:line="240" w:lineRule="auto"/>
        <w:rPr>
          <w:sz w:val="20"/>
        </w:rPr>
      </w:pPr>
      <w:r w:rsidRPr="00125C32">
        <w:rPr>
          <w:sz w:val="20"/>
        </w:rPr>
        <w:tab/>
        <w:t>In 1998, the respondent, A obtained approval from the National Energy Board to build a pipeline that would cross the farmland of Mr. S.  A completed the pipeline in 1999, but failed to perform the agreed-upon reclamation work on the easement the following spring. Mr. S proceeded to do so on his own.  A offered to pay only part of the invoice submitted by Mr. S.  Mr. S filed a Notice of Arbitration and a hearing took place before the first Pipeline Arbitration Committee.  Before a decision was rendered, A decided to perform maintenance work on its easement and asked Mr. S for permission to use a portion of his private property that lay outside the company’s right-of-way.  Mr. S asked for prior compensation before giving his approval and in response, A instituted proceedings before the Alberta Court of Queen’s Bench seeking, among other things, unhindered access to Mr. S’s land and an order that the first committee not render its decision until the Queen’s Bench action was resolved.  A eventually discontinued its action and ultimately paid less than one quarter of the fees and disbursements Mr. S had by then incurred in defending the action.  Meanwhile, the arbitration proceedings failed to get resolved because one of the members of the first arbitration committee was elevated to the bench.  A second arbitration committee was appointed and in his amended notice of arbitration, Mr. S sought compensation for his reclamation work as well as his costs before the first arbitration committee and for $16,222.57 in solicitor</w:t>
      </w:r>
      <w:r w:rsidRPr="00125C32">
        <w:rPr>
          <w:sz w:val="20"/>
        </w:rPr>
        <w:noBreakHyphen/>
        <w:t>client costs which was the balance of his legal expenses resulting from the discontinued Queen’s Bench action.  The second arbitration committee awarded him a portion of his costs from the first arbitration committee proceedings and the balance of his solicitor-client costs on the action and motion before the Court of Queen’s Bench.  On appeal by A, the Federal Court concluded that this decision was reasonable but on further appeal, the Federal Court of Appeal concluded that the second arbitration committee had erred.</w:t>
      </w:r>
    </w:p>
    <w:p w:rsidR="00E022C0" w:rsidRPr="00125C32" w:rsidRDefault="00E022C0" w:rsidP="00E022C0">
      <w:pPr>
        <w:pStyle w:val="SCCNormalDoubleSpacing"/>
        <w:spacing w:line="240" w:lineRule="auto"/>
        <w:rPr>
          <w:sz w:val="20"/>
        </w:rPr>
      </w:pPr>
    </w:p>
    <w:p w:rsidR="00E022C0" w:rsidRPr="00125C32" w:rsidRDefault="00E022C0" w:rsidP="00E022C0">
      <w:pPr>
        <w:pStyle w:val="SCCNormalDoubleSpacing"/>
        <w:spacing w:line="240" w:lineRule="auto"/>
        <w:rPr>
          <w:sz w:val="20"/>
        </w:rPr>
      </w:pPr>
      <w:r w:rsidRPr="00125C32">
        <w:rPr>
          <w:sz w:val="20"/>
        </w:rPr>
        <w:tab/>
      </w:r>
      <w:r w:rsidRPr="00E022C0">
        <w:rPr>
          <w:rStyle w:val="QuoteChar"/>
          <w:sz w:val="20"/>
          <w:lang w:val="en-CA"/>
        </w:rPr>
        <w:t>Held:</w:t>
      </w:r>
      <w:r w:rsidRPr="00125C32">
        <w:rPr>
          <w:sz w:val="20"/>
        </w:rPr>
        <w:t xml:space="preserve">  The appeal is allowed and the decision of the second arbitration committee is restored with costs to Mr. S throughout, on a solicitor</w:t>
      </w:r>
      <w:r w:rsidRPr="00125C32">
        <w:rPr>
          <w:sz w:val="20"/>
        </w:rPr>
        <w:noBreakHyphen/>
        <w:t>client basis.</w:t>
      </w:r>
    </w:p>
    <w:p w:rsidR="00E022C0" w:rsidRPr="00125C32" w:rsidRDefault="00E022C0" w:rsidP="00E022C0">
      <w:pPr>
        <w:pStyle w:val="SCCNormalDoubleSpacing"/>
        <w:spacing w:line="240" w:lineRule="auto"/>
        <w:rPr>
          <w:sz w:val="20"/>
        </w:rPr>
      </w:pPr>
    </w:p>
    <w:p w:rsidR="00E022C0" w:rsidRPr="00125C32" w:rsidRDefault="00E022C0" w:rsidP="00E022C0">
      <w:pPr>
        <w:pStyle w:val="SCCNormalDoubleSpacing"/>
        <w:spacing w:line="240" w:lineRule="auto"/>
        <w:rPr>
          <w:sz w:val="20"/>
        </w:rPr>
      </w:pPr>
      <w:r w:rsidRPr="00125C32">
        <w:rPr>
          <w:sz w:val="20"/>
        </w:rPr>
        <w:tab/>
      </w:r>
      <w:r w:rsidRPr="00125C32">
        <w:rPr>
          <w:i/>
          <w:sz w:val="20"/>
        </w:rPr>
        <w:t xml:space="preserve">Per </w:t>
      </w:r>
      <w:r w:rsidRPr="00125C32">
        <w:rPr>
          <w:sz w:val="20"/>
        </w:rPr>
        <w:t xml:space="preserve">McLachlin C.J. and Binnie, LeBel, </w:t>
      </w:r>
      <w:r w:rsidRPr="00125C32">
        <w:rPr>
          <w:b/>
          <w:sz w:val="20"/>
        </w:rPr>
        <w:t>Fish</w:t>
      </w:r>
      <w:r w:rsidRPr="00125C32">
        <w:rPr>
          <w:sz w:val="20"/>
        </w:rPr>
        <w:t xml:space="preserve">, Abella, Charron, Rothstein and Cromwell JJ.:  Applying the analytical framework of </w:t>
      </w:r>
      <w:r w:rsidRPr="00125C32">
        <w:rPr>
          <w:i/>
          <w:sz w:val="20"/>
        </w:rPr>
        <w:t>Dunsmuir</w:t>
      </w:r>
      <w:r w:rsidRPr="00125C32">
        <w:rPr>
          <w:sz w:val="20"/>
        </w:rPr>
        <w:t xml:space="preserve">, it is clear that the governing standard of review is reasonableness.  The second committee was interpreting its home statute which usually attracts a reasonableness standard of review.  Moreover, the committee was interpreting s. 99(1) of the </w:t>
      </w:r>
      <w:r w:rsidRPr="00125C32">
        <w:rPr>
          <w:i/>
          <w:sz w:val="20"/>
        </w:rPr>
        <w:t>National Energy Board Act</w:t>
      </w:r>
      <w:r w:rsidRPr="00125C32">
        <w:rPr>
          <w:sz w:val="20"/>
        </w:rPr>
        <w:t xml:space="preserve"> (“</w:t>
      </w:r>
      <w:r w:rsidRPr="00125C32">
        <w:rPr>
          <w:i/>
          <w:sz w:val="20"/>
        </w:rPr>
        <w:t>NEBA</w:t>
      </w:r>
      <w:r w:rsidRPr="00125C32">
        <w:rPr>
          <w:sz w:val="20"/>
        </w:rPr>
        <w:t xml:space="preserve">”), a provision of its home statute regarding awards for costs. Awards for costs are invariably fact-sensitive and generally discretionary.  The statutory language involved reflects a legislative intention to vest in arbitration committees sole responsibility for determining the nature and the amount of the costs to be awarded in the disputes they are bound under the </w:t>
      </w:r>
      <w:r w:rsidRPr="00125C32">
        <w:rPr>
          <w:i/>
          <w:sz w:val="20"/>
        </w:rPr>
        <w:t>NEBA</w:t>
      </w:r>
      <w:r w:rsidRPr="00125C32">
        <w:rPr>
          <w:sz w:val="20"/>
        </w:rPr>
        <w:t xml:space="preserve"> to resolve.  In discharging that responsibility, committees must interpret s. 99(1) in order to apply it in accordance with their statutory mandate.  These considerations all fall within categories which according to </w:t>
      </w:r>
      <w:r w:rsidRPr="00125C32">
        <w:rPr>
          <w:i/>
          <w:sz w:val="20"/>
        </w:rPr>
        <w:t xml:space="preserve">Dunsmuir </w:t>
      </w:r>
      <w:r w:rsidRPr="00125C32">
        <w:rPr>
          <w:sz w:val="20"/>
        </w:rPr>
        <w:t xml:space="preserve">generally attract the standard of reasonableness.  Cumulatively considered, they point unmistakably to that standard. </w:t>
      </w:r>
    </w:p>
    <w:p w:rsidR="00E022C0" w:rsidRPr="00125C32" w:rsidRDefault="00E022C0" w:rsidP="00E022C0">
      <w:pPr>
        <w:pStyle w:val="SCCNormalDoubleSpacing"/>
        <w:spacing w:line="240" w:lineRule="auto"/>
        <w:rPr>
          <w:sz w:val="20"/>
        </w:rPr>
      </w:pPr>
      <w:r w:rsidRPr="00125C32">
        <w:rPr>
          <w:sz w:val="20"/>
        </w:rPr>
        <w:lastRenderedPageBreak/>
        <w:tab/>
        <w:t xml:space="preserve">The impugned decision of the second committee satisfies that standard. The second committee reasonably found that it was entitled under s. 99(1) of the </w:t>
      </w:r>
      <w:r w:rsidRPr="00125C32">
        <w:rPr>
          <w:i/>
          <w:sz w:val="20"/>
        </w:rPr>
        <w:t>NEBA</w:t>
      </w:r>
      <w:r w:rsidRPr="00125C32">
        <w:rPr>
          <w:sz w:val="20"/>
        </w:rPr>
        <w:t xml:space="preserve"> to make the impugned awards on costs.  The committee’s reasoning in interpreting and applying this provision is coherent.  It acknowledged that it had</w:t>
      </w:r>
      <w:r w:rsidRPr="00125C32">
        <w:rPr>
          <w:color w:val="000000"/>
          <w:sz w:val="20"/>
        </w:rPr>
        <w:t xml:space="preserve"> awarded Mr. S compensation exceeding eighty</w:t>
      </w:r>
      <w:r w:rsidRPr="00125C32">
        <w:rPr>
          <w:color w:val="000000"/>
          <w:sz w:val="20"/>
        </w:rPr>
        <w:noBreakHyphen/>
        <w:t xml:space="preserve">five percent of the amount offered by A, thereby triggering the application of s. 99(1).  </w:t>
      </w:r>
      <w:r w:rsidRPr="00125C32">
        <w:rPr>
          <w:sz w:val="20"/>
        </w:rPr>
        <w:t xml:space="preserve">The reasonableness of the second committee’s conclusion that s. 99(1) of the </w:t>
      </w:r>
      <w:r w:rsidRPr="00125C32">
        <w:rPr>
          <w:i/>
          <w:sz w:val="20"/>
        </w:rPr>
        <w:t xml:space="preserve">NEBA </w:t>
      </w:r>
      <w:r w:rsidRPr="00125C32">
        <w:rPr>
          <w:sz w:val="20"/>
        </w:rPr>
        <w:t xml:space="preserve">merits a broad reading accords with the plain words of the provision, its legislative history, its evident purpose, and its statutory context. Moreover, it rests comfortably on the foundational principle of full compensation that animates both the </w:t>
      </w:r>
      <w:r w:rsidRPr="00125C32">
        <w:rPr>
          <w:i/>
          <w:sz w:val="20"/>
        </w:rPr>
        <w:t xml:space="preserve">NEBA </w:t>
      </w:r>
      <w:r w:rsidRPr="00125C32">
        <w:rPr>
          <w:sz w:val="20"/>
        </w:rPr>
        <w:t>and expropriation law generally.</w:t>
      </w:r>
    </w:p>
    <w:p w:rsidR="00E022C0" w:rsidRDefault="00E022C0" w:rsidP="00E022C0">
      <w:pPr>
        <w:pStyle w:val="SCCNormalDoubleSpacing"/>
        <w:spacing w:line="240" w:lineRule="auto"/>
        <w:rPr>
          <w:sz w:val="20"/>
        </w:rPr>
      </w:pPr>
    </w:p>
    <w:p w:rsidR="00E022C0" w:rsidRPr="00125C32" w:rsidRDefault="00E022C0" w:rsidP="00E022C0">
      <w:pPr>
        <w:pStyle w:val="SCCNormalDoubleSpacing"/>
        <w:spacing w:line="240" w:lineRule="auto"/>
        <w:rPr>
          <w:sz w:val="20"/>
        </w:rPr>
      </w:pPr>
      <w:r w:rsidRPr="00125C32">
        <w:rPr>
          <w:sz w:val="20"/>
        </w:rPr>
        <w:tab/>
        <w:t xml:space="preserve">It is not open to dispute that Mr. S, as a matter of fact, incurred all of the costs he was awarded by the committee.  The committee found those costs to have been reasonably incurred.  The committee concluded, again reasonably, that Mr. S’s costs before both arbitration committees and in the Queen’s Bench all related to a single claim for compensation in respect of a single expropriation by a single expropriating party.  </w:t>
      </w:r>
    </w:p>
    <w:p w:rsidR="00E022C0" w:rsidRDefault="00E022C0" w:rsidP="00E022C0">
      <w:pPr>
        <w:pStyle w:val="SCCNormalDoubleSpacing"/>
        <w:spacing w:line="240" w:lineRule="auto"/>
        <w:rPr>
          <w:sz w:val="20"/>
        </w:rPr>
      </w:pPr>
    </w:p>
    <w:p w:rsidR="00E022C0" w:rsidRPr="00125C32" w:rsidRDefault="00E022C0" w:rsidP="00E022C0">
      <w:pPr>
        <w:pStyle w:val="SCCNormalDoubleSpacing"/>
        <w:spacing w:line="240" w:lineRule="auto"/>
        <w:rPr>
          <w:sz w:val="20"/>
        </w:rPr>
      </w:pPr>
      <w:r w:rsidRPr="00125C32">
        <w:rPr>
          <w:sz w:val="20"/>
        </w:rPr>
        <w:tab/>
        <w:t>In allowing the appeal and restoring the second committee’s decision, Mr. S is also awarded his costs throughout, on a solicitor</w:t>
      </w:r>
      <w:r w:rsidRPr="00125C32">
        <w:rPr>
          <w:sz w:val="20"/>
        </w:rPr>
        <w:noBreakHyphen/>
        <w:t>client basis. In the context of modern expropriation law, where statutes authorize awards of “</w:t>
      </w:r>
      <w:r w:rsidRPr="00125C32">
        <w:rPr>
          <w:sz w:val="20"/>
          <w:u w:val="single"/>
        </w:rPr>
        <w:t>all</w:t>
      </w:r>
      <w:r w:rsidRPr="00125C32">
        <w:rPr>
          <w:sz w:val="20"/>
        </w:rPr>
        <w:t xml:space="preserve"> legal, appraisal </w:t>
      </w:r>
      <w:r w:rsidRPr="00125C32">
        <w:rPr>
          <w:sz w:val="20"/>
          <w:u w:val="single"/>
        </w:rPr>
        <w:t>and other</w:t>
      </w:r>
      <w:r w:rsidRPr="00125C32">
        <w:rPr>
          <w:sz w:val="20"/>
        </w:rPr>
        <w:t xml:space="preserve"> costs”, Canadian jurisprudence and doctrine demonstrate that costs on a solicitor</w:t>
      </w:r>
      <w:r w:rsidRPr="00125C32">
        <w:rPr>
          <w:sz w:val="20"/>
        </w:rPr>
        <w:noBreakHyphen/>
        <w:t>and</w:t>
      </w:r>
      <w:r w:rsidRPr="00125C32">
        <w:rPr>
          <w:sz w:val="20"/>
        </w:rPr>
        <w:noBreakHyphen/>
        <w:t xml:space="preserve">client basis should generally be given.  Awarding costs on a solicitor-client basis accords well with the object and purpose of the </w:t>
      </w:r>
      <w:r w:rsidRPr="00125C32">
        <w:rPr>
          <w:i/>
          <w:sz w:val="20"/>
        </w:rPr>
        <w:t>NEBA</w:t>
      </w:r>
      <w:r w:rsidRPr="00125C32">
        <w:rPr>
          <w:sz w:val="20"/>
        </w:rPr>
        <w:t>.  Only this type of award can indemnify Mr. S as best one can for the inordinate amount of money — to say nothing of time — he has had to invest in what should have been an expeditious process.  Lastly, Mr. S should not be made to bear the costs of what is clearly a test case for A.</w:t>
      </w:r>
    </w:p>
    <w:p w:rsidR="00E022C0" w:rsidRDefault="00E022C0" w:rsidP="00E022C0">
      <w:pPr>
        <w:pStyle w:val="SCCNormalDoubleSpacing"/>
        <w:spacing w:line="240" w:lineRule="auto"/>
        <w:rPr>
          <w:sz w:val="20"/>
        </w:rPr>
      </w:pPr>
    </w:p>
    <w:p w:rsidR="00E022C0" w:rsidRPr="00125C32" w:rsidRDefault="00E022C0" w:rsidP="00E022C0">
      <w:pPr>
        <w:pStyle w:val="SCCNormalDoubleSpacing"/>
        <w:spacing w:line="240" w:lineRule="auto"/>
        <w:rPr>
          <w:sz w:val="20"/>
        </w:rPr>
      </w:pPr>
      <w:r w:rsidRPr="00125C32">
        <w:rPr>
          <w:sz w:val="20"/>
        </w:rPr>
        <w:tab/>
      </w:r>
      <w:r w:rsidRPr="00125C32">
        <w:rPr>
          <w:i/>
          <w:sz w:val="20"/>
        </w:rPr>
        <w:t>Per</w:t>
      </w:r>
      <w:r w:rsidRPr="00125C32">
        <w:rPr>
          <w:sz w:val="20"/>
        </w:rPr>
        <w:t xml:space="preserve"> </w:t>
      </w:r>
      <w:r w:rsidRPr="00125C32">
        <w:rPr>
          <w:b/>
          <w:sz w:val="20"/>
        </w:rPr>
        <w:t>Deschamps</w:t>
      </w:r>
      <w:r w:rsidRPr="00125C32">
        <w:rPr>
          <w:sz w:val="20"/>
        </w:rPr>
        <w:t> J.:  While it is agreed that the proper standard of review in this case is reasonableness and that the decision of the second committee in making the costs award to Mr. S satisfied that standard, the same cannot be said for the proposition that an administrative decision</w:t>
      </w:r>
      <w:r w:rsidRPr="00125C32">
        <w:rPr>
          <w:sz w:val="20"/>
        </w:rPr>
        <w:noBreakHyphen/>
        <w:t>maker’s interpretation of its home statute, absent indicia of its particular familiarity with the statute, attracts deference unless the question raised is constitutional, of central importance to the legal system or concerned with demarcating one tribunal’s authority from another.  On the contrary, principles of administrative law, jurisprudence and commentary support the position that according deference to an administrative decision-maker’s interpretation of its home statute is anchored in the need to respect legislative intent to leave these interpretative issues to certain decision-makers when there is good reason to do so. Most of the time, the reason is that the decision-maker possesses expertise or experience that puts it in a better position to interpret its home statute relative to a court.  There is no presumption of expertise or experience flowing from the mere fact that an administrative decision-maker is interpreting its enabling statute.</w:t>
      </w:r>
    </w:p>
    <w:p w:rsidR="00E022C0" w:rsidRDefault="00E022C0" w:rsidP="00E022C0">
      <w:pPr>
        <w:pStyle w:val="SCCNormalDoubleSpacing"/>
        <w:spacing w:line="240" w:lineRule="auto"/>
        <w:rPr>
          <w:sz w:val="20"/>
        </w:rPr>
      </w:pPr>
    </w:p>
    <w:p w:rsidR="00E022C0" w:rsidRPr="00125C32" w:rsidRDefault="00E022C0" w:rsidP="00E022C0">
      <w:pPr>
        <w:pStyle w:val="SCCNormalDoubleSpacing"/>
        <w:spacing w:line="240" w:lineRule="auto"/>
        <w:rPr>
          <w:sz w:val="20"/>
        </w:rPr>
      </w:pPr>
      <w:r w:rsidRPr="00125C32">
        <w:rPr>
          <w:sz w:val="20"/>
        </w:rPr>
        <w:tab/>
        <w:t xml:space="preserve">In </w:t>
      </w:r>
      <w:r w:rsidRPr="00125C32">
        <w:rPr>
          <w:i/>
          <w:sz w:val="20"/>
        </w:rPr>
        <w:t>Dunsmuir</w:t>
      </w:r>
      <w:r w:rsidRPr="00125C32">
        <w:rPr>
          <w:sz w:val="20"/>
        </w:rPr>
        <w:t xml:space="preserve">, various categories of question were articulated based on pre-existing jurisprudence in order to assist in resolving the standard of review. </w:t>
      </w:r>
      <w:r w:rsidRPr="00125C32">
        <w:rPr>
          <w:i/>
          <w:sz w:val="20"/>
        </w:rPr>
        <w:t>Dunsmuir</w:t>
      </w:r>
      <w:r w:rsidRPr="00125C32">
        <w:rPr>
          <w:sz w:val="20"/>
        </w:rPr>
        <w:t xml:space="preserve"> does not, however, recognize a broad home statute category, but rather a category grounded in the relative expertise or experience of the decision</w:t>
      </w:r>
      <w:r w:rsidRPr="00125C32">
        <w:rPr>
          <w:sz w:val="20"/>
        </w:rPr>
        <w:noBreakHyphen/>
        <w:t>maker. According deference to an administrative decision</w:t>
      </w:r>
      <w:r w:rsidRPr="00125C32">
        <w:rPr>
          <w:sz w:val="20"/>
        </w:rPr>
        <w:noBreakHyphen/>
        <w:t>maker merely for the reason that it is interpreting its home statute and no constitutional question, centrally</w:t>
      </w:r>
      <w:r w:rsidRPr="00125C32">
        <w:rPr>
          <w:sz w:val="20"/>
        </w:rPr>
        <w:noBreakHyphen/>
        <w:t xml:space="preserve">important legal question, or question about the limits of its authority </w:t>
      </w:r>
      <w:r w:rsidRPr="00125C32">
        <w:rPr>
          <w:i/>
          <w:sz w:val="20"/>
        </w:rPr>
        <w:t>vis</w:t>
      </w:r>
      <w:r w:rsidRPr="00125C32">
        <w:rPr>
          <w:i/>
          <w:sz w:val="20"/>
        </w:rPr>
        <w:noBreakHyphen/>
        <w:t>à</w:t>
      </w:r>
      <w:r w:rsidRPr="00125C32">
        <w:rPr>
          <w:i/>
          <w:sz w:val="20"/>
        </w:rPr>
        <w:noBreakHyphen/>
        <w:t>vis</w:t>
      </w:r>
      <w:r w:rsidRPr="00125C32">
        <w:rPr>
          <w:sz w:val="20"/>
        </w:rPr>
        <w:t xml:space="preserve"> another tribunal is incomplete.  Such a position is purely formalistic and loses sight of the rationale for according deference to an interpretation of the home statute that has developed in the jurisprudence:  namely, that the legislature has manifested an intent to draw on the relative expertise or experience of the administrative body to resolve the interpretative issues before it.  Such intent cannot simply be presumed from the creation of an administrative body by the legislature.  Provided that no other category of question for resolving the standard of review is engaged and absent indicia of the decision-maker’s familiarity with its home statute, courts should move to the second step of </w:t>
      </w:r>
      <w:r w:rsidRPr="00125C32">
        <w:rPr>
          <w:i/>
          <w:sz w:val="20"/>
        </w:rPr>
        <w:t>Dunsmuir</w:t>
      </w:r>
      <w:r w:rsidRPr="00125C32">
        <w:rPr>
          <w:sz w:val="20"/>
        </w:rPr>
        <w:t xml:space="preserve"> and consider the contextual factors.</w:t>
      </w:r>
    </w:p>
    <w:p w:rsidR="00E022C0" w:rsidRDefault="00E022C0" w:rsidP="00E022C0">
      <w:pPr>
        <w:pStyle w:val="SCCNormalDoubleSpacing"/>
        <w:spacing w:line="240" w:lineRule="auto"/>
        <w:rPr>
          <w:sz w:val="20"/>
        </w:rPr>
      </w:pPr>
    </w:p>
    <w:p w:rsidR="00E022C0" w:rsidRDefault="00E022C0" w:rsidP="00E022C0">
      <w:pPr>
        <w:pStyle w:val="SCCNormalDoubleSpacing"/>
        <w:spacing w:line="240" w:lineRule="auto"/>
        <w:rPr>
          <w:sz w:val="20"/>
        </w:rPr>
      </w:pPr>
      <w:r w:rsidRPr="00125C32">
        <w:rPr>
          <w:sz w:val="20"/>
        </w:rPr>
        <w:tab/>
        <w:t xml:space="preserve">In the case at bar, there is no indication that Parliament intended the arbitration committee to have particular familiarity with its home statute, the </w:t>
      </w:r>
      <w:r w:rsidRPr="00125C32">
        <w:rPr>
          <w:i/>
          <w:sz w:val="20"/>
        </w:rPr>
        <w:t>NEBA</w:t>
      </w:r>
      <w:r w:rsidRPr="00125C32">
        <w:rPr>
          <w:sz w:val="20"/>
        </w:rPr>
        <w:t xml:space="preserve">. Arbitration committees are appointed </w:t>
      </w:r>
      <w:r w:rsidRPr="00125C32">
        <w:rPr>
          <w:i/>
          <w:sz w:val="20"/>
        </w:rPr>
        <w:t>ad hoc</w:t>
      </w:r>
      <w:r w:rsidRPr="00125C32">
        <w:rPr>
          <w:sz w:val="20"/>
        </w:rPr>
        <w:t xml:space="preserve"> under the </w:t>
      </w:r>
      <w:r w:rsidRPr="00125C32">
        <w:rPr>
          <w:i/>
          <w:sz w:val="20"/>
        </w:rPr>
        <w:t>NEBA</w:t>
      </w:r>
      <w:r w:rsidRPr="00125C32">
        <w:rPr>
          <w:sz w:val="20"/>
        </w:rPr>
        <w:t xml:space="preserve"> and while they may include practising lawyers, there is nothing to suggest — in the legislative scheme or otherwise — that they hold any sort of expertise or experience relative to a court when it comes to interpreting the </w:t>
      </w:r>
      <w:r w:rsidRPr="00125C32">
        <w:rPr>
          <w:i/>
          <w:sz w:val="20"/>
        </w:rPr>
        <w:t>NEBA</w:t>
      </w:r>
      <w:r w:rsidRPr="00125C32">
        <w:rPr>
          <w:sz w:val="20"/>
        </w:rPr>
        <w:t>.  Though decisions of arbitration committees are subject to review on questions of law or jurisdiction, it is notable that Parliament grants a right of appeal from a committee decision to the Federal Court.  In this appeal, deference should be accorded to the second committee, not because it interpreted its home statute, but because it exercised its statutorily</w:t>
      </w:r>
      <w:r w:rsidRPr="00125C32">
        <w:rPr>
          <w:sz w:val="20"/>
        </w:rPr>
        <w:noBreakHyphen/>
        <w:t xml:space="preserve">conferred discretion to make an award of costs.  </w:t>
      </w:r>
      <w:r w:rsidRPr="00125C32">
        <w:rPr>
          <w:i/>
          <w:sz w:val="20"/>
        </w:rPr>
        <w:t>Dunsmuir</w:t>
      </w:r>
      <w:r w:rsidRPr="00125C32">
        <w:rPr>
          <w:sz w:val="20"/>
        </w:rPr>
        <w:t xml:space="preserve"> recognized that for matters of discretion, “deference will usually apply </w:t>
      </w:r>
      <w:r w:rsidRPr="00125C32">
        <w:rPr>
          <w:sz w:val="20"/>
        </w:rPr>
        <w:lastRenderedPageBreak/>
        <w:t xml:space="preserve">automatically”.  This, and not the mere fact that the second committee was interpreting its home statute, militates in favour of according deference. </w:t>
      </w:r>
    </w:p>
    <w:p w:rsidR="00E022C0" w:rsidRDefault="00E022C0" w:rsidP="00E022C0">
      <w:pPr>
        <w:pStyle w:val="SCCNormalDoubleSpacing"/>
        <w:spacing w:line="240" w:lineRule="auto"/>
        <w:rPr>
          <w:sz w:val="20"/>
        </w:rPr>
      </w:pPr>
    </w:p>
    <w:p w:rsidR="00E022C0" w:rsidRPr="00125C32" w:rsidRDefault="00E022C0" w:rsidP="00E022C0">
      <w:pPr>
        <w:pStyle w:val="SCCNormalDoubleSpacing"/>
        <w:spacing w:line="240" w:lineRule="auto"/>
        <w:rPr>
          <w:sz w:val="20"/>
        </w:rPr>
      </w:pPr>
      <w:r w:rsidRPr="00125C32">
        <w:rPr>
          <w:sz w:val="20"/>
        </w:rPr>
        <w:tab/>
        <w:t>APPEAL from a judgment of the Federal Court of Appeal (Noël, Nadon and Pelletier JJ.A.), 2009 FCA 110, 389 N.R. 363, 42 C.E.L.R. (3d) 1, [2009] F.C.J. No. 407 (QL), 2009 CarswellNat 836, reversing a decision of O’Keefe J., 2008 FC 12, 34 C.E.L.R. (3d) 138, 318 F.T.R. 100, [2008] F.C.J. No. 28 (QL), 2008 CarswellNat 35, which upheld a decision of the second Pipeline Arbitration Committee.  Appeal allowed.</w:t>
      </w:r>
    </w:p>
    <w:p w:rsidR="00E022C0" w:rsidRDefault="00E022C0" w:rsidP="00E022C0">
      <w:pPr>
        <w:pStyle w:val="SCCNormalDoubleSpacing"/>
        <w:spacing w:line="240" w:lineRule="auto"/>
        <w:rPr>
          <w:rStyle w:val="SCCCounselNameChar"/>
          <w:sz w:val="20"/>
        </w:rPr>
      </w:pPr>
    </w:p>
    <w:p w:rsidR="00E022C0" w:rsidRPr="00125C32" w:rsidRDefault="00E022C0" w:rsidP="00E022C0">
      <w:pPr>
        <w:pStyle w:val="SCCNormalDoubleSpacing"/>
        <w:spacing w:line="240" w:lineRule="auto"/>
        <w:rPr>
          <w:sz w:val="20"/>
        </w:rPr>
      </w:pPr>
      <w:r w:rsidRPr="00125C32">
        <w:rPr>
          <w:rStyle w:val="SCCCounselNameChar"/>
          <w:sz w:val="20"/>
        </w:rPr>
        <w:tab/>
        <w:t>Richard C. Secord</w:t>
      </w:r>
      <w:r w:rsidRPr="00E022C0">
        <w:rPr>
          <w:rStyle w:val="SCCCounselSeparatorChar"/>
          <w:sz w:val="20"/>
          <w:lang w:val="en-CA"/>
        </w:rPr>
        <w:t xml:space="preserve">, </w:t>
      </w:r>
      <w:r w:rsidRPr="00125C32">
        <w:rPr>
          <w:rStyle w:val="SCCCounselNameChar"/>
          <w:sz w:val="20"/>
        </w:rPr>
        <w:t>Meaghan M. Conroy</w:t>
      </w:r>
      <w:r w:rsidRPr="00E022C0">
        <w:rPr>
          <w:rStyle w:val="SCCCounselSeparatorChar"/>
          <w:sz w:val="20"/>
          <w:lang w:val="en-CA"/>
        </w:rPr>
        <w:t xml:space="preserve"> and </w:t>
      </w:r>
      <w:r w:rsidRPr="00125C32">
        <w:rPr>
          <w:rStyle w:val="SCCCounselNameChar"/>
          <w:sz w:val="20"/>
        </w:rPr>
        <w:t>Yuk</w:t>
      </w:r>
      <w:r w:rsidRPr="00125C32">
        <w:rPr>
          <w:rStyle w:val="SCCCounselNameChar"/>
          <w:sz w:val="20"/>
        </w:rPr>
        <w:noBreakHyphen/>
        <w:t>Sing Cheng</w:t>
      </w:r>
      <w:r w:rsidRPr="00125C32">
        <w:rPr>
          <w:rStyle w:val="SCCCounselPartyRoleChar"/>
          <w:sz w:val="20"/>
        </w:rPr>
        <w:t>, for the appellant.</w:t>
      </w:r>
    </w:p>
    <w:p w:rsidR="00E022C0" w:rsidRDefault="00E022C0" w:rsidP="00E022C0">
      <w:pPr>
        <w:pStyle w:val="SCCNormalDoubleSpacing"/>
        <w:spacing w:line="240" w:lineRule="auto"/>
        <w:rPr>
          <w:rStyle w:val="SCCCounselNameChar"/>
          <w:sz w:val="20"/>
        </w:rPr>
      </w:pPr>
    </w:p>
    <w:p w:rsidR="00E022C0" w:rsidRPr="00125C32" w:rsidRDefault="00E022C0" w:rsidP="00E022C0">
      <w:pPr>
        <w:pStyle w:val="SCCNormalDoubleSpacing"/>
        <w:spacing w:line="240" w:lineRule="auto"/>
        <w:rPr>
          <w:sz w:val="20"/>
        </w:rPr>
      </w:pPr>
      <w:r w:rsidRPr="00125C32">
        <w:rPr>
          <w:rStyle w:val="SCCCounselNameChar"/>
          <w:sz w:val="20"/>
        </w:rPr>
        <w:tab/>
        <w:t>Munaf Mohamed</w:t>
      </w:r>
      <w:r w:rsidRPr="00E022C0">
        <w:rPr>
          <w:rStyle w:val="SCCCounselSeparatorChar"/>
          <w:sz w:val="20"/>
          <w:lang w:val="en-CA"/>
        </w:rPr>
        <w:t xml:space="preserve"> and </w:t>
      </w:r>
      <w:r w:rsidRPr="00125C32">
        <w:rPr>
          <w:rStyle w:val="SCCCounselNameChar"/>
          <w:sz w:val="20"/>
        </w:rPr>
        <w:t>Jillian Strugnell</w:t>
      </w:r>
      <w:r w:rsidRPr="00125C32">
        <w:rPr>
          <w:rStyle w:val="SCCCounselPartyRoleChar"/>
          <w:sz w:val="20"/>
        </w:rPr>
        <w:t>, for the respondent.</w:t>
      </w:r>
    </w:p>
    <w:p w:rsidR="00E022C0" w:rsidRDefault="00E022C0" w:rsidP="00E022C0">
      <w:pPr>
        <w:pStyle w:val="SCCNormalDoubleSpacing"/>
        <w:spacing w:line="240" w:lineRule="auto"/>
        <w:rPr>
          <w:rStyle w:val="SCCCounselNameChar"/>
          <w:sz w:val="20"/>
        </w:rPr>
      </w:pPr>
    </w:p>
    <w:p w:rsidR="00E022C0" w:rsidRPr="00125C32" w:rsidRDefault="00E022C0" w:rsidP="00E022C0">
      <w:pPr>
        <w:pStyle w:val="SCCNormalDoubleSpacing"/>
        <w:spacing w:line="240" w:lineRule="auto"/>
        <w:rPr>
          <w:sz w:val="20"/>
        </w:rPr>
      </w:pPr>
      <w:r w:rsidRPr="00125C32">
        <w:rPr>
          <w:rStyle w:val="SCCCounselNameChar"/>
          <w:sz w:val="20"/>
        </w:rPr>
        <w:tab/>
      </w:r>
      <w:r w:rsidRPr="00125C32">
        <w:rPr>
          <w:rStyle w:val="SCCCounselNameChar"/>
          <w:i w:val="0"/>
          <w:sz w:val="20"/>
        </w:rPr>
        <w:t>No one appeared</w:t>
      </w:r>
      <w:r w:rsidRPr="00125C32">
        <w:rPr>
          <w:rStyle w:val="SCCCounselNameChar"/>
          <w:sz w:val="20"/>
        </w:rPr>
        <w:t xml:space="preserve"> </w:t>
      </w:r>
      <w:r w:rsidRPr="00125C32">
        <w:rPr>
          <w:rStyle w:val="SCCCounselPartyRoleChar"/>
          <w:sz w:val="20"/>
        </w:rPr>
        <w:t xml:space="preserve">for the intervener the Arbitration Committee, appointed pursuant to the </w:t>
      </w:r>
      <w:r w:rsidRPr="00125C32">
        <w:rPr>
          <w:rStyle w:val="SCCCounselPartyRoleChar"/>
          <w:i/>
          <w:sz w:val="20"/>
        </w:rPr>
        <w:t>National Energy Board Act</w:t>
      </w:r>
      <w:r w:rsidRPr="00125C32">
        <w:rPr>
          <w:rStyle w:val="SCCCounselPartyRoleChar"/>
          <w:sz w:val="20"/>
        </w:rPr>
        <w:t>, R.S.C. 1985, c. N</w:t>
      </w:r>
      <w:r w:rsidRPr="00125C32">
        <w:rPr>
          <w:rStyle w:val="SCCCounselPartyRoleChar"/>
          <w:sz w:val="20"/>
        </w:rPr>
        <w:noBreakHyphen/>
        <w:t>7, Part V.</w:t>
      </w:r>
    </w:p>
    <w:p w:rsidR="00E022C0" w:rsidRDefault="00E022C0" w:rsidP="00E022C0">
      <w:pPr>
        <w:pStyle w:val="SCCLawFirm"/>
        <w:spacing w:line="240" w:lineRule="auto"/>
        <w:rPr>
          <w:sz w:val="20"/>
        </w:rPr>
      </w:pPr>
    </w:p>
    <w:p w:rsidR="00E022C0" w:rsidRPr="00125C32" w:rsidRDefault="00E022C0" w:rsidP="00E022C0">
      <w:pPr>
        <w:pStyle w:val="SCCLawFirm"/>
        <w:spacing w:line="240" w:lineRule="auto"/>
        <w:rPr>
          <w:sz w:val="20"/>
        </w:rPr>
      </w:pPr>
      <w:r w:rsidRPr="00125C32">
        <w:rPr>
          <w:sz w:val="20"/>
        </w:rPr>
        <w:tab/>
        <w:t>Solicitors for the appellant:  Ackroyd, Edmonton.</w:t>
      </w:r>
    </w:p>
    <w:p w:rsidR="00E022C0" w:rsidRDefault="00E022C0" w:rsidP="00E022C0">
      <w:pPr>
        <w:pStyle w:val="SCCLawFirm"/>
        <w:spacing w:line="240" w:lineRule="auto"/>
        <w:rPr>
          <w:sz w:val="20"/>
        </w:rPr>
      </w:pPr>
    </w:p>
    <w:p w:rsidR="00E022C0" w:rsidRDefault="00E022C0" w:rsidP="00E022C0">
      <w:pPr>
        <w:pStyle w:val="SCCLawFirm"/>
        <w:spacing w:line="240" w:lineRule="auto"/>
        <w:rPr>
          <w:sz w:val="20"/>
        </w:rPr>
      </w:pPr>
      <w:r w:rsidRPr="00125C32">
        <w:rPr>
          <w:sz w:val="20"/>
        </w:rPr>
        <w:tab/>
        <w:t>Solicitors for the respondent:  Bennett Jones, Calgary.</w:t>
      </w:r>
    </w:p>
    <w:p w:rsidR="003B3977" w:rsidRPr="004919E3" w:rsidRDefault="003B3977" w:rsidP="003B3977">
      <w:pPr>
        <w:rPr>
          <w:sz w:val="20"/>
          <w:szCs w:val="20"/>
          <w:lang w:val="fr-CA"/>
        </w:rPr>
      </w:pPr>
      <w:r w:rsidRPr="004919E3">
        <w:rPr>
          <w:sz w:val="20"/>
          <w:szCs w:val="20"/>
          <w:lang w:val="fr-CA"/>
        </w:rPr>
        <w:t>________________________</w:t>
      </w:r>
    </w:p>
    <w:p w:rsidR="003B3977" w:rsidRPr="004919E3" w:rsidRDefault="003B3977" w:rsidP="003B3977">
      <w:pPr>
        <w:rPr>
          <w:sz w:val="20"/>
          <w:szCs w:val="20"/>
          <w:lang w:val="fr-CA"/>
        </w:rPr>
      </w:pPr>
    </w:p>
    <w:p w:rsidR="00F1263D" w:rsidRPr="00F1263D" w:rsidRDefault="00F1263D" w:rsidP="00F1263D">
      <w:pPr>
        <w:jc w:val="both"/>
        <w:rPr>
          <w:sz w:val="20"/>
          <w:lang w:val="fr-CA"/>
        </w:rPr>
      </w:pPr>
      <w:r w:rsidRPr="00F1263D">
        <w:rPr>
          <w:rFonts w:cs="Times New Roman"/>
          <w:sz w:val="20"/>
          <w:szCs w:val="20"/>
          <w:lang w:val="fr-CA"/>
        </w:rPr>
        <w:t>Présents : La juge en chef McLachlin et les juges Binnie, LeBel, Deschamps, Fish, Abella, Charron, Rothstein et Cromwell.</w:t>
      </w:r>
    </w:p>
    <w:p w:rsidR="00F1263D" w:rsidRPr="00F1263D" w:rsidRDefault="00F1263D" w:rsidP="00F1263D">
      <w:pPr>
        <w:jc w:val="both"/>
        <w:rPr>
          <w:rFonts w:cs="Times New Roman"/>
          <w:sz w:val="20"/>
          <w:szCs w:val="20"/>
          <w:lang w:val="fr-CA"/>
        </w:rPr>
      </w:pPr>
    </w:p>
    <w:p w:rsidR="00F1263D" w:rsidRPr="00E7529C" w:rsidRDefault="00F1263D" w:rsidP="00F1263D">
      <w:pPr>
        <w:pStyle w:val="SCCNormalDoubleSpacing"/>
        <w:spacing w:line="240" w:lineRule="auto"/>
        <w:rPr>
          <w:i/>
          <w:sz w:val="20"/>
          <w:lang w:val="fr-FR"/>
        </w:rPr>
      </w:pPr>
      <w:r w:rsidRPr="00F1263D">
        <w:rPr>
          <w:sz w:val="20"/>
          <w:lang w:val="fr-CA"/>
        </w:rPr>
        <w:tab/>
      </w:r>
      <w:r w:rsidRPr="00E7529C">
        <w:rPr>
          <w:i/>
          <w:sz w:val="20"/>
          <w:lang w:val="fr-FR"/>
        </w:rPr>
        <w:t>Droit administratif — Contrôle judiciaire — Norme de contrôle — Expropriation d’un terrain par une compagnie de pipeline aux termes d’un contrat — Indemnisation partielle de la partie expropriée et constitution d’un comité d’arbitrage sur les pipelines en vertu de la Loi sur l’Office national de l’énergie — Action intentée devant la Cour du Banc de la Reine puis retirée par la compagnie — Dissolution du premier comité et constitution d’un second comité — Octroi par le second comité des frais afférents aux</w:t>
      </w:r>
      <w:r w:rsidRPr="00F1263D">
        <w:rPr>
          <w:i/>
          <w:sz w:val="20"/>
          <w:lang w:val="fr-CA"/>
        </w:rPr>
        <w:t xml:space="preserve"> instances</w:t>
      </w:r>
      <w:r w:rsidRPr="00E7529C">
        <w:rPr>
          <w:i/>
          <w:sz w:val="20"/>
          <w:lang w:val="fr-FR"/>
        </w:rPr>
        <w:t xml:space="preserve"> devant les deux comités et des dépens relatifs à l’action devant la Cour — La norme de la décision raisonnable s’applique</w:t>
      </w:r>
      <w:r w:rsidRPr="00E7529C">
        <w:rPr>
          <w:i/>
          <w:sz w:val="20"/>
          <w:lang w:val="fr-FR"/>
        </w:rPr>
        <w:noBreakHyphen/>
        <w:t>t</w:t>
      </w:r>
      <w:r w:rsidRPr="00E7529C">
        <w:rPr>
          <w:i/>
          <w:sz w:val="20"/>
          <w:lang w:val="fr-FR"/>
        </w:rPr>
        <w:noBreakHyphen/>
        <w:t>elle à la décision du second comité sur les frais et dépens? — Loi sur l’Office national de l’énergie, L.R.C. 1985, ch. N</w:t>
      </w:r>
      <w:r w:rsidRPr="00E7529C">
        <w:rPr>
          <w:i/>
          <w:sz w:val="20"/>
          <w:lang w:val="fr-FR"/>
        </w:rPr>
        <w:noBreakHyphen/>
        <w:t>7, art. 75 et 99(1).</w:t>
      </w:r>
    </w:p>
    <w:p w:rsidR="00F1263D" w:rsidRDefault="00F1263D" w:rsidP="00F1263D">
      <w:pPr>
        <w:pStyle w:val="SCCNormalDoubleSpacing"/>
        <w:spacing w:line="240" w:lineRule="auto"/>
        <w:rPr>
          <w:i/>
          <w:sz w:val="20"/>
          <w:lang w:val="fr-FR"/>
        </w:rPr>
      </w:pPr>
    </w:p>
    <w:p w:rsidR="00F1263D" w:rsidRPr="00E7529C" w:rsidRDefault="00F1263D" w:rsidP="00F1263D">
      <w:pPr>
        <w:pStyle w:val="SCCNormalDoubleSpacing"/>
        <w:spacing w:line="240" w:lineRule="auto"/>
        <w:rPr>
          <w:i/>
          <w:sz w:val="20"/>
          <w:lang w:val="fr-FR"/>
        </w:rPr>
      </w:pPr>
      <w:r w:rsidRPr="00E7529C">
        <w:rPr>
          <w:i/>
          <w:sz w:val="20"/>
          <w:lang w:val="fr-FR"/>
        </w:rPr>
        <w:tab/>
        <w:t>Droit administratif — Organismes et tribunaux administratifs — Compétence — Frais et dépens — Expropriation d’un terrain par une compagnie de pipeline aux termes d’un contrat — Indemnisation partielle de la partie expropriée et constitution d’un comité d’arbitrage sur les pipelines en vertu de la Loi sur l’Office national de l’énergie — Action intentée devant la Cour du Banc de la Reine puis retirée par la compagnie — Dissolution du premier comité et constitution d’un second comité — Octroi par le second comité des frais afférents aux</w:t>
      </w:r>
      <w:r w:rsidRPr="00F1263D">
        <w:rPr>
          <w:i/>
          <w:sz w:val="20"/>
          <w:lang w:val="fr-CA"/>
        </w:rPr>
        <w:t xml:space="preserve"> instances</w:t>
      </w:r>
      <w:r w:rsidRPr="00E7529C">
        <w:rPr>
          <w:i/>
          <w:sz w:val="20"/>
          <w:lang w:val="fr-FR"/>
        </w:rPr>
        <w:t xml:space="preserve"> devant les deux comités et des dépens relatifs à l’action devant la Cour — Le tribunal administratif est</w:t>
      </w:r>
      <w:r w:rsidRPr="00E7529C">
        <w:rPr>
          <w:i/>
          <w:sz w:val="20"/>
          <w:lang w:val="fr-FR"/>
        </w:rPr>
        <w:noBreakHyphen/>
        <w:t>il habilité à accorder ces frais et dépens? — Loi sur l’Office national de l’énergie, L.R.C. 1985, ch. N</w:t>
      </w:r>
      <w:r w:rsidRPr="00E7529C">
        <w:rPr>
          <w:i/>
          <w:sz w:val="20"/>
          <w:lang w:val="fr-FR"/>
        </w:rPr>
        <w:noBreakHyphen/>
        <w:t>7, art. 75 et 99(1).</w:t>
      </w:r>
    </w:p>
    <w:p w:rsidR="00F1263D" w:rsidRDefault="00F1263D" w:rsidP="00F1263D">
      <w:pPr>
        <w:pStyle w:val="SCCNormalDoubleSpacing"/>
        <w:spacing w:line="240" w:lineRule="auto"/>
        <w:rPr>
          <w:i/>
          <w:sz w:val="20"/>
          <w:lang w:val="fr-FR"/>
        </w:rPr>
      </w:pPr>
    </w:p>
    <w:p w:rsidR="00F1263D" w:rsidRPr="00E7529C" w:rsidRDefault="00F1263D" w:rsidP="00F1263D">
      <w:pPr>
        <w:pStyle w:val="SCCNormalDoubleSpacing"/>
        <w:spacing w:line="240" w:lineRule="auto"/>
        <w:rPr>
          <w:sz w:val="20"/>
          <w:lang w:val="fr-FR"/>
        </w:rPr>
      </w:pPr>
      <w:r w:rsidRPr="00E7529C">
        <w:rPr>
          <w:i/>
          <w:sz w:val="20"/>
          <w:lang w:val="fr-FR"/>
        </w:rPr>
        <w:tab/>
      </w:r>
      <w:r w:rsidRPr="00F1263D">
        <w:rPr>
          <w:sz w:val="20"/>
          <w:lang w:val="fr-CA"/>
        </w:rPr>
        <w:t>En 1998, l’intimée, A, a obtenu de l’Office national de l’énergie l’autorisation de construire un pipeline traversant les terres agricoles de Monsieur S.  A a achevé la construction du pipeline en 1999, mais elle a négligé d’exécuter les travaux de bonification qu’elle s’était engagée à réaliser sur l’emprise le printemps suivant</w:t>
      </w:r>
      <w:r w:rsidRPr="00E7529C">
        <w:rPr>
          <w:sz w:val="20"/>
          <w:lang w:val="fr-FR"/>
        </w:rPr>
        <w:t>.  Monsieur S a effectué lui</w:t>
      </w:r>
      <w:r w:rsidRPr="00E7529C">
        <w:rPr>
          <w:sz w:val="20"/>
          <w:lang w:val="fr-FR"/>
        </w:rPr>
        <w:noBreakHyphen/>
        <w:t xml:space="preserve">même les travaux.  A n’a offert de payer qu’une partie des frais établis dans la facture qu’il avait soumise.  Monsieur S a déposé un avis d’arbitrage et une audience a eu lieu devant </w:t>
      </w:r>
      <w:r w:rsidRPr="00F1263D">
        <w:rPr>
          <w:sz w:val="20"/>
          <w:lang w:val="fr-CA"/>
        </w:rPr>
        <w:t xml:space="preserve">le premier comité d’arbitrage sur les pipelines. </w:t>
      </w:r>
      <w:r w:rsidRPr="00E7529C">
        <w:rPr>
          <w:sz w:val="20"/>
          <w:lang w:val="fr-FR"/>
        </w:rPr>
        <w:t xml:space="preserve"> Avant qu’une décision soit rendue, A a décidé de procéder à des travaux d’entretien sur l’emprise et </w:t>
      </w:r>
      <w:r w:rsidRPr="00F1263D">
        <w:rPr>
          <w:sz w:val="20"/>
          <w:lang w:val="fr-CA"/>
        </w:rPr>
        <w:t xml:space="preserve">a demandé à M. S la permission d’utiliser une parcelle de la propriété privée de ce dernier qui se trouvait à l’extérieur de l’emprise de la compagnie.  </w:t>
      </w:r>
      <w:r w:rsidRPr="00E7529C">
        <w:rPr>
          <w:sz w:val="20"/>
          <w:lang w:val="fr-FR"/>
        </w:rPr>
        <w:t xml:space="preserve">Monsieur S a demandé d’être indemnisé avant de donner son accord.  En réaction, A a introduit une instance devant la Cour du Banc de la Reine de l’Alberta pour réclamer notamment </w:t>
      </w:r>
      <w:r w:rsidRPr="00E7529C">
        <w:rPr>
          <w:spacing w:val="-3"/>
          <w:sz w:val="20"/>
          <w:lang w:val="fr-FR"/>
        </w:rPr>
        <w:t xml:space="preserve">l’accès sans entrave à la terre de </w:t>
      </w:r>
      <w:r w:rsidRPr="00E7529C">
        <w:rPr>
          <w:sz w:val="20"/>
          <w:lang w:val="fr-FR"/>
        </w:rPr>
        <w:t xml:space="preserve">M. S et </w:t>
      </w:r>
      <w:r w:rsidRPr="00F1263D">
        <w:rPr>
          <w:spacing w:val="-3"/>
          <w:sz w:val="20"/>
          <w:lang w:val="fr-CA"/>
        </w:rPr>
        <w:t xml:space="preserve">une ordonnance enjoignant au premier comité de ne pas rendre de décision tant que l’action intentée devant la Cour du Banc de la Reine ne serait pas tranchée. </w:t>
      </w:r>
      <w:r w:rsidRPr="00E7529C">
        <w:rPr>
          <w:sz w:val="20"/>
          <w:lang w:val="fr-FR"/>
        </w:rPr>
        <w:t xml:space="preserve"> A a fini par se désister de l’action et</w:t>
      </w:r>
      <w:r w:rsidRPr="00F1263D">
        <w:rPr>
          <w:sz w:val="20"/>
          <w:lang w:val="fr-CA"/>
        </w:rPr>
        <w:t xml:space="preserve"> par payer moins du quart des frais et débours que M. S avait jusque</w:t>
      </w:r>
      <w:r w:rsidRPr="00F1263D">
        <w:rPr>
          <w:sz w:val="20"/>
          <w:lang w:val="fr-CA"/>
        </w:rPr>
        <w:noBreakHyphen/>
        <w:t xml:space="preserve">là engagés pour contester l’action.  Entretemps, la procédure d’arbitrage s’est enlisée parce qu’un des membres du premier comité avait été nommé juge.  </w:t>
      </w:r>
      <w:r w:rsidRPr="00E7529C">
        <w:rPr>
          <w:sz w:val="20"/>
          <w:lang w:val="fr-FR"/>
        </w:rPr>
        <w:t>Un second comité d’arbitrage a été constitué et, d</w:t>
      </w:r>
      <w:r w:rsidRPr="00F1263D">
        <w:rPr>
          <w:sz w:val="20"/>
          <w:lang w:val="fr-CA"/>
        </w:rPr>
        <w:t>ans son avis d’arbitrage modifié, M. S a demandé à être indemnisé des travaux de bonification qu’il avait effectués, des frais de l’instance qui s’était déroulée devant le premier comité, ainsi que de 16 222,57 $ à titre de dépens procureur</w:t>
      </w:r>
      <w:r w:rsidRPr="00F1263D">
        <w:rPr>
          <w:sz w:val="20"/>
          <w:lang w:val="fr-CA"/>
        </w:rPr>
        <w:noBreakHyphen/>
        <w:t xml:space="preserve">client, soit le reste de ses frais de justice à la suite de l’action annulée devant la Cour du Banc de la Reine.  </w:t>
      </w:r>
      <w:r w:rsidRPr="00E7529C">
        <w:rPr>
          <w:sz w:val="20"/>
          <w:lang w:val="fr-FR"/>
        </w:rPr>
        <w:lastRenderedPageBreak/>
        <w:t xml:space="preserve">Le second comité d’arbitrage lui a </w:t>
      </w:r>
      <w:r w:rsidRPr="00F1263D">
        <w:rPr>
          <w:sz w:val="20"/>
          <w:lang w:val="fr-CA"/>
        </w:rPr>
        <w:t>accordé une partie de ses frais afférents à l’instance s’étant déroulée devant le premier comité d’arbitrage ainsi que le reste de ses dépens procureur</w:t>
      </w:r>
      <w:r w:rsidRPr="00F1263D">
        <w:rPr>
          <w:sz w:val="20"/>
          <w:lang w:val="fr-CA"/>
        </w:rPr>
        <w:noBreakHyphen/>
        <w:t>client relatifs à l’action et à la requête devant la Cour du Banc de la Reine.</w:t>
      </w:r>
      <w:r w:rsidRPr="00E7529C">
        <w:rPr>
          <w:sz w:val="20"/>
          <w:lang w:val="fr-FR"/>
        </w:rPr>
        <w:t xml:space="preserve">  Lors de l’appel interjeté par A, la Cour fédérale a conclu que cette décision était raisonnable, mais, </w:t>
      </w:r>
      <w:r w:rsidRPr="00F1263D">
        <w:rPr>
          <w:sz w:val="20"/>
          <w:lang w:val="fr-CA"/>
        </w:rPr>
        <w:t>saisie à son tour d’un appel, la Cour d’appel fédérale a conclu que le second comité d’arbitrage avait commis une erreur.</w:t>
      </w:r>
    </w:p>
    <w:p w:rsidR="00F1263D" w:rsidRDefault="00F1263D" w:rsidP="00F1263D">
      <w:pPr>
        <w:pStyle w:val="SCCNormalDoubleSpacing"/>
        <w:spacing w:line="240" w:lineRule="auto"/>
        <w:rPr>
          <w:sz w:val="20"/>
          <w:lang w:val="fr-FR"/>
        </w:rPr>
      </w:pPr>
    </w:p>
    <w:p w:rsidR="00F1263D" w:rsidRPr="00E7529C" w:rsidRDefault="00F1263D" w:rsidP="00F1263D">
      <w:pPr>
        <w:pStyle w:val="SCCNormalDoubleSpacing"/>
        <w:spacing w:line="240" w:lineRule="auto"/>
        <w:rPr>
          <w:sz w:val="20"/>
          <w:lang w:val="fr-FR"/>
        </w:rPr>
      </w:pPr>
      <w:r w:rsidRPr="00E7529C">
        <w:rPr>
          <w:sz w:val="20"/>
          <w:lang w:val="fr-FR"/>
        </w:rPr>
        <w:tab/>
      </w:r>
      <w:r w:rsidRPr="00E7529C">
        <w:rPr>
          <w:rStyle w:val="QuoteChar"/>
          <w:sz w:val="20"/>
          <w:lang w:val="fr-FR"/>
        </w:rPr>
        <w:t>Arrêt :</w:t>
      </w:r>
      <w:r w:rsidRPr="00E7529C">
        <w:rPr>
          <w:sz w:val="20"/>
          <w:lang w:val="fr-FR"/>
        </w:rPr>
        <w:t xml:space="preserve"> Le pourvoi est accueilli et la décision du second comité d’arbitrage est rétablie avec dépens en faveur de M. S devant toutes les juridictions sur la base procureur</w:t>
      </w:r>
      <w:r w:rsidRPr="00E7529C">
        <w:rPr>
          <w:sz w:val="20"/>
          <w:lang w:val="fr-FR"/>
        </w:rPr>
        <w:noBreakHyphen/>
        <w:t>client.</w:t>
      </w:r>
    </w:p>
    <w:p w:rsidR="00F1263D" w:rsidRDefault="00F1263D" w:rsidP="00F1263D">
      <w:pPr>
        <w:pStyle w:val="SCCNormalDoubleSpacing"/>
        <w:spacing w:line="240" w:lineRule="auto"/>
        <w:rPr>
          <w:sz w:val="20"/>
          <w:lang w:val="fr-FR"/>
        </w:rPr>
      </w:pPr>
    </w:p>
    <w:p w:rsidR="00F1263D" w:rsidRPr="00E7529C" w:rsidRDefault="00F1263D" w:rsidP="00F1263D">
      <w:pPr>
        <w:pStyle w:val="SCCNormalDoubleSpacing"/>
        <w:spacing w:line="240" w:lineRule="auto"/>
        <w:rPr>
          <w:sz w:val="20"/>
          <w:lang w:val="fr-FR"/>
        </w:rPr>
      </w:pPr>
      <w:r w:rsidRPr="00E7529C">
        <w:rPr>
          <w:sz w:val="20"/>
          <w:lang w:val="fr-FR"/>
        </w:rPr>
        <w:tab/>
      </w:r>
      <w:r w:rsidRPr="00E7529C">
        <w:rPr>
          <w:i/>
          <w:sz w:val="20"/>
          <w:lang w:val="fr-FR"/>
        </w:rPr>
        <w:t xml:space="preserve">La </w:t>
      </w:r>
      <w:r w:rsidRPr="00E7529C">
        <w:rPr>
          <w:sz w:val="20"/>
          <w:lang w:val="fr-FR"/>
        </w:rPr>
        <w:t xml:space="preserve">juge en chef McLachlin et les juges Binnie, LeBel, </w:t>
      </w:r>
      <w:r w:rsidRPr="00E7529C">
        <w:rPr>
          <w:b/>
          <w:sz w:val="20"/>
          <w:lang w:val="fr-FR"/>
        </w:rPr>
        <w:t>Fish</w:t>
      </w:r>
      <w:r w:rsidRPr="00E7529C">
        <w:rPr>
          <w:sz w:val="20"/>
          <w:lang w:val="fr-FR"/>
        </w:rPr>
        <w:t xml:space="preserve">, Abella, Charron, Rothstein et Cromwell : Il ressort clairement de l’application du cadre analytique énoncé dans l’arrêt </w:t>
      </w:r>
      <w:r w:rsidRPr="00E7529C">
        <w:rPr>
          <w:i/>
          <w:sz w:val="20"/>
          <w:lang w:val="fr-FR"/>
        </w:rPr>
        <w:t>Dunsmuir</w:t>
      </w:r>
      <w:r w:rsidRPr="00E7529C">
        <w:rPr>
          <w:sz w:val="20"/>
          <w:lang w:val="fr-FR"/>
        </w:rPr>
        <w:t xml:space="preserve"> que la norme de contrôle applicable est celle de la décision raisonnable.  L</w:t>
      </w:r>
      <w:r w:rsidRPr="00F1263D">
        <w:rPr>
          <w:sz w:val="20"/>
          <w:lang w:val="fr-CA"/>
        </w:rPr>
        <w:t xml:space="preserve">e second comité interprétait sa loi constitutive, ce qui entraîne généralement l’application de la norme de contrôle de la décision raisonnable.  En outre, le comité interprétait le par. 99(1) de la </w:t>
      </w:r>
      <w:r w:rsidRPr="00F1263D">
        <w:rPr>
          <w:i/>
          <w:sz w:val="20"/>
          <w:lang w:val="fr-CA"/>
        </w:rPr>
        <w:t>Loi sur l’Office national de l’énergie</w:t>
      </w:r>
      <w:r w:rsidRPr="00F1263D">
        <w:rPr>
          <w:sz w:val="20"/>
          <w:lang w:val="fr-CA"/>
        </w:rPr>
        <w:t xml:space="preserve"> (la « </w:t>
      </w:r>
      <w:r w:rsidRPr="00F1263D">
        <w:rPr>
          <w:i/>
          <w:sz w:val="20"/>
          <w:lang w:val="fr-CA"/>
        </w:rPr>
        <w:t>LONE</w:t>
      </w:r>
      <w:r w:rsidRPr="00F1263D">
        <w:rPr>
          <w:sz w:val="20"/>
          <w:lang w:val="fr-CA"/>
        </w:rPr>
        <w:t> »), une disposition de sa loi constitutive portant sur l’adjudication des dépens.  Les décisions à cet égard sont invariablement tributaires des faits et ont en règle générale un caractère discrétionnaire.</w:t>
      </w:r>
      <w:r w:rsidRPr="00E7529C">
        <w:rPr>
          <w:sz w:val="20"/>
          <w:lang w:val="fr-FR"/>
        </w:rPr>
        <w:t xml:space="preserve">  </w:t>
      </w:r>
      <w:r w:rsidRPr="00F1263D">
        <w:rPr>
          <w:sz w:val="20"/>
          <w:lang w:val="fr-CA"/>
        </w:rPr>
        <w:t xml:space="preserve">Le texte de la loi concernée traduit la volonté du législateur de confier en exclusivité aux comités d’arbitrage la responsabilité de déterminer la nature et le montant des frais à accorder dans les litiges qu’ils sont tenus de trancher aux termes de la </w:t>
      </w:r>
      <w:r w:rsidRPr="00F1263D">
        <w:rPr>
          <w:i/>
          <w:sz w:val="20"/>
          <w:lang w:val="fr-CA"/>
        </w:rPr>
        <w:t>LONE</w:t>
      </w:r>
      <w:r w:rsidRPr="00F1263D">
        <w:rPr>
          <w:sz w:val="20"/>
          <w:lang w:val="fr-CA"/>
        </w:rPr>
        <w:t>.</w:t>
      </w:r>
      <w:r w:rsidRPr="00E7529C">
        <w:rPr>
          <w:sz w:val="20"/>
          <w:lang w:val="fr-FR"/>
        </w:rPr>
        <w:t xml:space="preserve">  L</w:t>
      </w:r>
      <w:r w:rsidRPr="00F1263D">
        <w:rPr>
          <w:sz w:val="20"/>
          <w:lang w:val="fr-CA"/>
        </w:rPr>
        <w:t>orsqu’ils s’acquittent de cette responsabilité, les comités doivent interpréter le par. 99(1) de manière à l’appliquer conformément au mandat que la loi leur confie.</w:t>
      </w:r>
      <w:r w:rsidRPr="00E7529C">
        <w:rPr>
          <w:sz w:val="20"/>
          <w:lang w:val="fr-FR"/>
        </w:rPr>
        <w:t xml:space="preserve">  </w:t>
      </w:r>
      <w:r w:rsidRPr="00F1263D">
        <w:rPr>
          <w:sz w:val="20"/>
          <w:lang w:val="fr-CA"/>
        </w:rPr>
        <w:t xml:space="preserve">Ces considérations entrent toutes dans des catégories qui, d’après l’arrêt </w:t>
      </w:r>
      <w:r w:rsidRPr="00F1263D">
        <w:rPr>
          <w:i/>
          <w:sz w:val="20"/>
          <w:lang w:val="fr-CA"/>
        </w:rPr>
        <w:t>Dunsmuir</w:t>
      </w:r>
      <w:r w:rsidRPr="00F1263D">
        <w:rPr>
          <w:sz w:val="20"/>
          <w:lang w:val="fr-CA"/>
        </w:rPr>
        <w:t>, donnent généralement lieu à l’application de la norme de la raisonnabilité.  Prises globalement, elles indiquent sans l’ombre d’un doute que c’est bien cette norme qui s’applique.</w:t>
      </w:r>
    </w:p>
    <w:p w:rsidR="00F1263D" w:rsidRDefault="00F1263D" w:rsidP="00F1263D">
      <w:pPr>
        <w:pStyle w:val="SCCNormalDoubleSpacing"/>
        <w:spacing w:line="240" w:lineRule="auto"/>
        <w:rPr>
          <w:i/>
          <w:sz w:val="20"/>
          <w:lang w:val="fr-FR"/>
        </w:rPr>
      </w:pPr>
    </w:p>
    <w:p w:rsidR="00F1263D" w:rsidRPr="00E7529C" w:rsidRDefault="00F1263D" w:rsidP="00F1263D">
      <w:pPr>
        <w:pStyle w:val="SCCNormalDoubleSpacing"/>
        <w:spacing w:line="240" w:lineRule="auto"/>
        <w:rPr>
          <w:sz w:val="20"/>
          <w:lang w:val="fr-FR"/>
        </w:rPr>
      </w:pPr>
      <w:r w:rsidRPr="00E7529C">
        <w:rPr>
          <w:i/>
          <w:sz w:val="20"/>
          <w:lang w:val="fr-FR"/>
        </w:rPr>
        <w:tab/>
      </w:r>
      <w:r w:rsidRPr="00F1263D">
        <w:rPr>
          <w:sz w:val="20"/>
          <w:lang w:val="fr-CA"/>
        </w:rPr>
        <w:t>La décision contestée du second comité satisfait à cette norme.</w:t>
      </w:r>
      <w:r w:rsidRPr="00E7529C">
        <w:rPr>
          <w:sz w:val="20"/>
          <w:lang w:val="fr-FR"/>
        </w:rPr>
        <w:t xml:space="preserve">  </w:t>
      </w:r>
      <w:r w:rsidRPr="00F1263D">
        <w:rPr>
          <w:sz w:val="20"/>
          <w:lang w:val="fr-CA"/>
        </w:rPr>
        <w:t xml:space="preserve">Le second comité a  raisonnablement conclu que le par. 99(1) de la </w:t>
      </w:r>
      <w:r w:rsidRPr="00F1263D">
        <w:rPr>
          <w:i/>
          <w:sz w:val="20"/>
          <w:lang w:val="fr-CA"/>
        </w:rPr>
        <w:t>LONE</w:t>
      </w:r>
      <w:r w:rsidRPr="00F1263D">
        <w:rPr>
          <w:sz w:val="20"/>
          <w:lang w:val="fr-CA"/>
        </w:rPr>
        <w:t xml:space="preserve"> l’autorisait à rendre les décisions qu’il a prises au sujet des frais et des dépens et qui sont contestées.  Le raisonnement qu’a suivi le comité pour interpréter et appliquer cette disposition est cohérent.  Il a reconnu qu’il avait accordé à M. S une indemnité supérieure à quatre</w:t>
      </w:r>
      <w:r w:rsidRPr="00F1263D">
        <w:rPr>
          <w:sz w:val="20"/>
          <w:lang w:val="fr-CA"/>
        </w:rPr>
        <w:noBreakHyphen/>
        <w:t>vingt</w:t>
      </w:r>
      <w:r w:rsidRPr="00F1263D">
        <w:rPr>
          <w:sz w:val="20"/>
          <w:lang w:val="fr-CA"/>
        </w:rPr>
        <w:noBreakHyphen/>
        <w:t xml:space="preserve">cinq pour cent de celle offerte par A, ce qui entraînait l’application du par. 99(1).  Le caractère raisonnable de la conclusion du second comité suivant laquelle il convient d’interpréter de façon large le par. 99(1) de la </w:t>
      </w:r>
      <w:r w:rsidRPr="00F1263D">
        <w:rPr>
          <w:i/>
          <w:sz w:val="20"/>
          <w:lang w:val="fr-CA"/>
        </w:rPr>
        <w:t>LONE</w:t>
      </w:r>
      <w:r w:rsidRPr="00F1263D">
        <w:rPr>
          <w:sz w:val="20"/>
          <w:lang w:val="fr-CA"/>
        </w:rPr>
        <w:t xml:space="preserve"> s’accorde avec le libellé explicite de cette disposition, ainsi qu’avec son historique législatif, son objet manifeste et son contexte législatif.  Qui plus est, cette interprétation est solidement ancrée dans le principe fondamental de l’indemnisation intégrale, lequel imprègne tant la </w:t>
      </w:r>
      <w:r w:rsidRPr="00F1263D">
        <w:rPr>
          <w:i/>
          <w:sz w:val="20"/>
          <w:lang w:val="fr-CA"/>
        </w:rPr>
        <w:t xml:space="preserve">LONE </w:t>
      </w:r>
      <w:r w:rsidRPr="00F1263D">
        <w:rPr>
          <w:sz w:val="20"/>
          <w:lang w:val="fr-CA"/>
        </w:rPr>
        <w:t>que le droit de l’expropriation en général.</w:t>
      </w:r>
      <w:r w:rsidRPr="00E7529C">
        <w:rPr>
          <w:sz w:val="20"/>
          <w:lang w:val="fr-FR"/>
        </w:rPr>
        <w:t xml:space="preserve"> </w:t>
      </w:r>
    </w:p>
    <w:p w:rsidR="00F1263D" w:rsidRDefault="00F1263D" w:rsidP="00F1263D">
      <w:pPr>
        <w:pStyle w:val="SCCNormalDoubleSpacing"/>
        <w:spacing w:line="240" w:lineRule="auto"/>
        <w:rPr>
          <w:i/>
          <w:sz w:val="20"/>
          <w:lang w:val="fr-FR"/>
        </w:rPr>
      </w:pPr>
    </w:p>
    <w:p w:rsidR="00F1263D" w:rsidRPr="00E7529C" w:rsidRDefault="00F1263D" w:rsidP="00F1263D">
      <w:pPr>
        <w:pStyle w:val="SCCNormalDoubleSpacing"/>
        <w:spacing w:line="240" w:lineRule="auto"/>
        <w:rPr>
          <w:sz w:val="20"/>
          <w:lang w:val="fr-FR"/>
        </w:rPr>
      </w:pPr>
      <w:r w:rsidRPr="00E7529C">
        <w:rPr>
          <w:i/>
          <w:sz w:val="20"/>
          <w:lang w:val="fr-FR"/>
        </w:rPr>
        <w:tab/>
      </w:r>
      <w:r w:rsidRPr="00F1263D">
        <w:rPr>
          <w:sz w:val="20"/>
          <w:lang w:val="fr-CA"/>
        </w:rPr>
        <w:t>Il est incontestable que M. S a effectivement engagé tous les frais que le comité a ordonné à la compagnie de lui payer.  Le comité a conclu que ces frais avaient été entraînés par l’exercice du recours.  Le comité a jugé, là encore de façon raisonnable, que les frais et les dépens engagés par M. S — tant devant les comités d’arbitrage que devant la Cour du Banc de la Reine — se rapportaient tous à une seule et même demande d’indemnité</w:t>
      </w:r>
      <w:r w:rsidRPr="00F1263D">
        <w:rPr>
          <w:i/>
          <w:sz w:val="20"/>
          <w:lang w:val="fr-CA"/>
        </w:rPr>
        <w:t xml:space="preserve"> </w:t>
      </w:r>
      <w:r w:rsidRPr="00F1263D">
        <w:rPr>
          <w:sz w:val="20"/>
          <w:lang w:val="fr-CA"/>
        </w:rPr>
        <w:t>portant sur une seule et même expropriation effectuée par une seule et même autorité expropriante.</w:t>
      </w:r>
    </w:p>
    <w:p w:rsidR="00F1263D" w:rsidRDefault="00F1263D" w:rsidP="00F1263D">
      <w:pPr>
        <w:pStyle w:val="SCCNormalDoubleSpacing"/>
        <w:spacing w:line="240" w:lineRule="auto"/>
        <w:rPr>
          <w:i/>
          <w:sz w:val="20"/>
          <w:lang w:val="fr-FR"/>
        </w:rPr>
      </w:pPr>
    </w:p>
    <w:p w:rsidR="00F1263D" w:rsidRPr="00E7529C" w:rsidRDefault="00F1263D" w:rsidP="00F1263D">
      <w:pPr>
        <w:pStyle w:val="SCCNormalDoubleSpacing"/>
        <w:spacing w:line="240" w:lineRule="auto"/>
        <w:rPr>
          <w:sz w:val="20"/>
          <w:lang w:val="fr-FR"/>
        </w:rPr>
      </w:pPr>
      <w:r w:rsidRPr="00E7529C">
        <w:rPr>
          <w:i/>
          <w:sz w:val="20"/>
          <w:lang w:val="fr-FR"/>
        </w:rPr>
        <w:tab/>
      </w:r>
      <w:r w:rsidRPr="00E7529C">
        <w:rPr>
          <w:sz w:val="20"/>
          <w:lang w:val="fr-FR"/>
        </w:rPr>
        <w:t>La décision faisant droit à l’appel et rétablissant la décision du second comité accorde également à M. S ses dépens devant toutes les juridictions sur la base procureur</w:t>
      </w:r>
      <w:r w:rsidRPr="00E7529C">
        <w:rPr>
          <w:sz w:val="20"/>
          <w:lang w:val="fr-FR"/>
        </w:rPr>
        <w:noBreakHyphen/>
        <w:t xml:space="preserve">client.  </w:t>
      </w:r>
      <w:r w:rsidRPr="00F1263D">
        <w:rPr>
          <w:sz w:val="20"/>
          <w:lang w:val="fr-CA"/>
        </w:rPr>
        <w:t>Dans le contexte du droit de l’expropriation actuel, où la loi permet d’accorder « </w:t>
      </w:r>
      <w:r w:rsidRPr="00F1263D">
        <w:rPr>
          <w:sz w:val="20"/>
          <w:u w:val="single"/>
          <w:lang w:val="fr-CA"/>
        </w:rPr>
        <w:t>tous</w:t>
      </w:r>
      <w:r w:rsidRPr="00F1263D">
        <w:rPr>
          <w:i/>
          <w:sz w:val="20"/>
          <w:lang w:val="fr-CA"/>
        </w:rPr>
        <w:t xml:space="preserve"> </w:t>
      </w:r>
      <w:r w:rsidRPr="00F1263D">
        <w:rPr>
          <w:sz w:val="20"/>
          <w:lang w:val="fr-CA"/>
        </w:rPr>
        <w:t xml:space="preserve">les frais, </w:t>
      </w:r>
      <w:r w:rsidRPr="00F1263D">
        <w:rPr>
          <w:sz w:val="20"/>
          <w:u w:val="single"/>
          <w:lang w:val="fr-CA"/>
        </w:rPr>
        <w:t>notamment</w:t>
      </w:r>
      <w:r w:rsidRPr="00F1263D">
        <w:rPr>
          <w:sz w:val="20"/>
          <w:lang w:val="fr-CA"/>
        </w:rPr>
        <w:t xml:space="preserve"> de procédure et d’évaluation », il ressort de la jurisprudence et de la doctrine canadiennes qu’il convient en règle générale d’adjuger les dépens sur la base procureur</w:t>
      </w:r>
      <w:r w:rsidRPr="00F1263D">
        <w:rPr>
          <w:sz w:val="20"/>
          <w:lang w:val="fr-CA"/>
        </w:rPr>
        <w:noBreakHyphen/>
        <w:t>client.</w:t>
      </w:r>
      <w:r w:rsidRPr="00E7529C">
        <w:rPr>
          <w:sz w:val="20"/>
          <w:lang w:val="fr-FR"/>
        </w:rPr>
        <w:t xml:space="preserve">  </w:t>
      </w:r>
      <w:r w:rsidRPr="00F1263D">
        <w:rPr>
          <w:sz w:val="20"/>
          <w:lang w:val="fr-CA"/>
        </w:rPr>
        <w:t xml:space="preserve">L’adjudication des dépens sur cette base s’accorde bien avec l’objet de la </w:t>
      </w:r>
      <w:r w:rsidRPr="00F1263D">
        <w:rPr>
          <w:i/>
          <w:sz w:val="20"/>
          <w:lang w:val="fr-CA"/>
        </w:rPr>
        <w:t>LONE</w:t>
      </w:r>
      <w:r w:rsidRPr="00F1263D">
        <w:rPr>
          <w:sz w:val="20"/>
          <w:lang w:val="fr-CA"/>
        </w:rPr>
        <w:t>.</w:t>
      </w:r>
      <w:r w:rsidRPr="00E7529C">
        <w:rPr>
          <w:color w:val="000000"/>
          <w:sz w:val="20"/>
          <w:lang w:val="fr-FR"/>
        </w:rPr>
        <w:t xml:space="preserve">  </w:t>
      </w:r>
      <w:r w:rsidRPr="00F1263D">
        <w:rPr>
          <w:sz w:val="20"/>
          <w:lang w:val="fr-CA"/>
        </w:rPr>
        <w:t>Seule une décision de ce genre est susceptible d’indemniser M. S aussi intégralement que faire se peut des sommes considérables — sans parler du temps — que ce dernier a dû consacrer à ce qui aurait dû être une procédure expéditive.</w:t>
      </w:r>
      <w:r w:rsidRPr="00E7529C">
        <w:rPr>
          <w:sz w:val="20"/>
          <w:lang w:val="fr-FR"/>
        </w:rPr>
        <w:t xml:space="preserve">  Enfin, il ne convient pas d’obliger M. S à supporter les frais d’une affaire qui constitue manifestement une cause</w:t>
      </w:r>
      <w:r w:rsidRPr="00E7529C">
        <w:rPr>
          <w:sz w:val="20"/>
          <w:lang w:val="fr-FR"/>
        </w:rPr>
        <w:noBreakHyphen/>
        <w:t>type pour A.</w:t>
      </w:r>
    </w:p>
    <w:p w:rsidR="00F1263D" w:rsidRDefault="00F1263D" w:rsidP="00F1263D">
      <w:pPr>
        <w:pStyle w:val="SCCNormalDoubleSpacing"/>
        <w:spacing w:line="240" w:lineRule="auto"/>
        <w:rPr>
          <w:sz w:val="20"/>
          <w:lang w:val="fr-FR"/>
        </w:rPr>
      </w:pPr>
    </w:p>
    <w:p w:rsidR="00F1263D" w:rsidRPr="00E7529C" w:rsidRDefault="00F1263D" w:rsidP="00F1263D">
      <w:pPr>
        <w:pStyle w:val="SCCNormalDoubleSpacing"/>
        <w:spacing w:line="240" w:lineRule="auto"/>
        <w:rPr>
          <w:sz w:val="20"/>
          <w:lang w:val="fr-FR"/>
        </w:rPr>
      </w:pPr>
      <w:r w:rsidRPr="00E7529C">
        <w:rPr>
          <w:sz w:val="20"/>
          <w:lang w:val="fr-FR"/>
        </w:rPr>
        <w:tab/>
      </w:r>
      <w:r w:rsidRPr="00E7529C">
        <w:rPr>
          <w:i/>
          <w:sz w:val="20"/>
          <w:lang w:val="fr-FR"/>
        </w:rPr>
        <w:t>La</w:t>
      </w:r>
      <w:r w:rsidRPr="00E7529C">
        <w:rPr>
          <w:sz w:val="20"/>
          <w:lang w:val="fr-FR"/>
        </w:rPr>
        <w:t xml:space="preserve"> juge </w:t>
      </w:r>
      <w:r w:rsidRPr="00E7529C">
        <w:rPr>
          <w:b/>
          <w:sz w:val="20"/>
          <w:lang w:val="fr-FR"/>
        </w:rPr>
        <w:t>Deschamps</w:t>
      </w:r>
      <w:r w:rsidRPr="00E7529C">
        <w:rPr>
          <w:sz w:val="20"/>
          <w:lang w:val="fr-FR"/>
        </w:rPr>
        <w:t xml:space="preserve"> : Certes, nous convenons que la norme de contrôle appropriée en l’espèce est celle de la décision raisonnable et que la décision du second comité accordant à M. S les frais et dépens satisfaisait à cette norme.  Or, il n’en va pas de même de la thèse selon laquelle </w:t>
      </w:r>
      <w:r w:rsidRPr="00F1263D">
        <w:rPr>
          <w:sz w:val="20"/>
          <w:lang w:val="fr-CA"/>
        </w:rPr>
        <w:t>l’interprétation par un décideur administratif de sa loi constitutive — en l’absence d’indices démontrant que ce dernier possède une connaissance approfondie de cette loi — commande la déférence sauf si la question soulevée est d’ordre constitutionnel, si elle revêt une importance capitale pour le système juridique ou si elle vise à délimiter les compétences respectives de tribunaux administratifs.</w:t>
      </w:r>
      <w:r w:rsidRPr="00E7529C">
        <w:rPr>
          <w:sz w:val="20"/>
          <w:lang w:val="fr-FR"/>
        </w:rPr>
        <w:t xml:space="preserve">  </w:t>
      </w:r>
      <w:r w:rsidRPr="00F1263D">
        <w:rPr>
          <w:sz w:val="20"/>
          <w:lang w:val="fr-CA"/>
        </w:rPr>
        <w:t xml:space="preserve">Au contraire, les principes de droit administratif, la jurisprudence et la doctrine appuient l’argument selon lequel la déférence accordée à l’interprétation par un tribunal administratif de sa loi constitutive repose sur la nécessité de respecter l’intention du </w:t>
      </w:r>
      <w:r w:rsidRPr="00F1263D">
        <w:rPr>
          <w:sz w:val="20"/>
          <w:lang w:val="fr-CA"/>
        </w:rPr>
        <w:lastRenderedPageBreak/>
        <w:t>législateur de laisser certains décideurs administratifs trancher ces questions d’interprétation lorsqu’il existe une bonne raison de le faire.  La plupart du temps, c’est parce que le décideur possède une expertise ou une expérience qui le place dans une meilleure position que les tribunaux judiciaires pour interpréter sa loi constitutive.  Aucune présomption au sujet de l’expertise ou de l’expérience ne découle du simple fait qu’un décideur administratif interprète sa loi habilitante.</w:t>
      </w:r>
    </w:p>
    <w:p w:rsidR="00F1263D" w:rsidRDefault="00F1263D" w:rsidP="00F1263D">
      <w:pPr>
        <w:pStyle w:val="SCCNormalDoubleSpacing"/>
        <w:spacing w:line="240" w:lineRule="auto"/>
        <w:rPr>
          <w:i/>
          <w:sz w:val="20"/>
          <w:lang w:val="fr-FR"/>
        </w:rPr>
      </w:pPr>
    </w:p>
    <w:p w:rsidR="00F1263D" w:rsidRPr="00F1263D" w:rsidRDefault="00F1263D" w:rsidP="00F1263D">
      <w:pPr>
        <w:pStyle w:val="SCCNormalDoubleSpacing"/>
        <w:spacing w:line="240" w:lineRule="auto"/>
        <w:rPr>
          <w:sz w:val="20"/>
          <w:lang w:val="fr-CA"/>
        </w:rPr>
      </w:pPr>
      <w:r w:rsidRPr="00E7529C">
        <w:rPr>
          <w:i/>
          <w:sz w:val="20"/>
          <w:lang w:val="fr-FR"/>
        </w:rPr>
        <w:tab/>
      </w:r>
      <w:r w:rsidRPr="00E7529C">
        <w:rPr>
          <w:sz w:val="20"/>
          <w:lang w:val="fr-FR"/>
        </w:rPr>
        <w:t xml:space="preserve">Dans l’arrêt </w:t>
      </w:r>
      <w:r w:rsidRPr="00E7529C">
        <w:rPr>
          <w:i/>
          <w:sz w:val="20"/>
          <w:lang w:val="fr-FR"/>
        </w:rPr>
        <w:t>Dunsmuir</w:t>
      </w:r>
      <w:r w:rsidRPr="00E7529C">
        <w:rPr>
          <w:sz w:val="20"/>
          <w:lang w:val="fr-FR"/>
        </w:rPr>
        <w:t xml:space="preserve">, </w:t>
      </w:r>
      <w:r w:rsidRPr="00F1263D">
        <w:rPr>
          <w:sz w:val="20"/>
          <w:lang w:val="fr-CA"/>
        </w:rPr>
        <w:t>diverses catégories de questions ont été dégagées de la jurisprudence pour permettre de déterminer la bonne norme de contrôle.</w:t>
      </w:r>
      <w:r w:rsidRPr="00E7529C">
        <w:rPr>
          <w:sz w:val="20"/>
          <w:lang w:val="fr-FR"/>
        </w:rPr>
        <w:t xml:space="preserve">  Cependant, </w:t>
      </w:r>
      <w:r w:rsidRPr="00F1263D">
        <w:rPr>
          <w:i/>
          <w:sz w:val="20"/>
          <w:lang w:val="fr-CA"/>
        </w:rPr>
        <w:t>Dunsmuir</w:t>
      </w:r>
      <w:r w:rsidRPr="00F1263D">
        <w:rPr>
          <w:sz w:val="20"/>
          <w:lang w:val="fr-CA"/>
        </w:rPr>
        <w:t xml:space="preserve"> reconnaît non pas une vaste catégorie de questions relatives à la loi constitutive, mais plutôt une catégorie fondée sur l’expertise ou l’expérience relative du décideur administratif.</w:t>
      </w:r>
      <w:r w:rsidRPr="00E7529C">
        <w:rPr>
          <w:sz w:val="20"/>
          <w:lang w:val="fr-FR"/>
        </w:rPr>
        <w:t xml:space="preserve">  </w:t>
      </w:r>
      <w:r w:rsidRPr="00F1263D">
        <w:rPr>
          <w:sz w:val="20"/>
          <w:lang w:val="fr-CA"/>
        </w:rPr>
        <w:t xml:space="preserve">Faire preuve de déférence envers un décideur administratif simplement parce qu’il interprète sa loi constitutive et qu’il n’est saisi d’aucune question constitutionnelle ou question revêtant une importance capitale pour le système juridique ou visant à délimiter sa compétence par rapport à celle d’un autre tribunal administratif témoigne d’une démarche incomplète.  Cette position purement formaliste fait abstraction de la raison énoncée dans la jurisprudence pour justifier la déférence à l’égard de l’interprétation par un tribunal administratif de sa loi constitutive, à savoir l’intention exprimée par le législateur de s’en remettre à l’expertise ou à l’expérience relative de l’organisme administratif en cause pour résoudre les questions d’interprétation soumises à ce dernier.  Cette intention ne peut pas être présumée du seul fait que le législateur a créé l’organisme administratif en question.  Si aucune autre catégorie de questions ne permet d’arrêter la norme de contrôle et en l’absence d’indices relatifs à la connaissance que possède le décideur de sa loi constitutive, la cour doit alors passer à la seconde étape de l’analyse établie dans l’arrêt </w:t>
      </w:r>
      <w:r w:rsidRPr="00F1263D">
        <w:rPr>
          <w:i/>
          <w:sz w:val="20"/>
          <w:lang w:val="fr-CA"/>
        </w:rPr>
        <w:t>Dunsmuir</w:t>
      </w:r>
      <w:r w:rsidRPr="00F1263D">
        <w:rPr>
          <w:sz w:val="20"/>
          <w:lang w:val="fr-CA"/>
        </w:rPr>
        <w:t xml:space="preserve"> et tenir compte de facteurs contextuels </w:t>
      </w:r>
    </w:p>
    <w:p w:rsidR="00F1263D" w:rsidRDefault="00F1263D" w:rsidP="00F1263D">
      <w:pPr>
        <w:pStyle w:val="SCCNormalDoubleSpacing"/>
        <w:spacing w:line="240" w:lineRule="auto"/>
        <w:rPr>
          <w:i/>
          <w:sz w:val="20"/>
          <w:lang w:val="fr-FR"/>
        </w:rPr>
      </w:pPr>
    </w:p>
    <w:p w:rsidR="00F1263D" w:rsidRPr="00F1263D" w:rsidRDefault="00F1263D" w:rsidP="00F1263D">
      <w:pPr>
        <w:pStyle w:val="SCCNormalDoubleSpacing"/>
        <w:spacing w:line="240" w:lineRule="auto"/>
        <w:rPr>
          <w:sz w:val="20"/>
          <w:lang w:val="fr-CA"/>
        </w:rPr>
      </w:pPr>
      <w:r w:rsidRPr="00E7529C">
        <w:rPr>
          <w:i/>
          <w:sz w:val="20"/>
          <w:lang w:val="fr-FR"/>
        </w:rPr>
        <w:tab/>
      </w:r>
      <w:r w:rsidRPr="00F1263D">
        <w:rPr>
          <w:sz w:val="20"/>
          <w:lang w:val="fr-CA"/>
        </w:rPr>
        <w:t xml:space="preserve">En l’espèce, rien n’indique que le législateur requérait que le comité d’arbitrage ait une connaissance approfondie de sa loi constitutive, en l’occurrence la </w:t>
      </w:r>
      <w:r w:rsidRPr="00F1263D">
        <w:rPr>
          <w:i/>
          <w:sz w:val="20"/>
          <w:lang w:val="fr-CA"/>
        </w:rPr>
        <w:t>LONE</w:t>
      </w:r>
      <w:r w:rsidRPr="00F1263D">
        <w:rPr>
          <w:sz w:val="20"/>
          <w:lang w:val="fr-CA"/>
        </w:rPr>
        <w:t xml:space="preserve">.  </w:t>
      </w:r>
      <w:r w:rsidRPr="00E7529C">
        <w:rPr>
          <w:sz w:val="20"/>
          <w:lang w:val="fr-FR"/>
        </w:rPr>
        <w:t xml:space="preserve">Les comités d’arbitrage sont des comités </w:t>
      </w:r>
      <w:r w:rsidRPr="00E7529C">
        <w:rPr>
          <w:i/>
          <w:sz w:val="20"/>
          <w:lang w:val="fr-FR"/>
        </w:rPr>
        <w:t>ad hoc</w:t>
      </w:r>
      <w:r w:rsidRPr="00E7529C">
        <w:rPr>
          <w:sz w:val="20"/>
          <w:lang w:val="fr-FR"/>
        </w:rPr>
        <w:t xml:space="preserve">, constitués en vertu de la </w:t>
      </w:r>
      <w:r w:rsidRPr="00E7529C">
        <w:rPr>
          <w:i/>
          <w:sz w:val="20"/>
          <w:lang w:val="fr-FR"/>
        </w:rPr>
        <w:t>LONE</w:t>
      </w:r>
      <w:r w:rsidRPr="00E7529C">
        <w:rPr>
          <w:sz w:val="20"/>
          <w:lang w:val="fr-FR"/>
        </w:rPr>
        <w:t xml:space="preserve">, </w:t>
      </w:r>
      <w:r w:rsidRPr="00F1263D">
        <w:rPr>
          <w:sz w:val="20"/>
          <w:lang w:val="fr-CA"/>
        </w:rPr>
        <w:t xml:space="preserve">et, bien qu’ils puissent y avoir des avocats en exercice dans leurs rangs, rien — dans le régime établi par la loi ou ailleurs — ne tend à indiquer qu’ils possèdent quelque expertise ou expérience particulière par rapport aux tribunaux judiciaires lorsqu’il s’agit d’interpréter la </w:t>
      </w:r>
      <w:r w:rsidRPr="00F1263D">
        <w:rPr>
          <w:i/>
          <w:sz w:val="20"/>
          <w:lang w:val="fr-CA"/>
        </w:rPr>
        <w:t>LONE</w:t>
      </w:r>
      <w:r w:rsidRPr="00F1263D">
        <w:rPr>
          <w:sz w:val="20"/>
          <w:lang w:val="fr-CA"/>
        </w:rPr>
        <w:t xml:space="preserve">.  Bien que les décisions des comités d’arbitrage soient susceptibles de contrôle judiciaire sur une question de droit ou de compétence, il convient de signaler que le législateur a prévu la possibilité d’interjeter appel des décisions des comités devant la Cour fédérale.  En l’espèce, il convient de faire montre de déférence envers le second comité, non pas parce qu’il interprétait sa loi constitutive, mais parce qu’il exerçait le pouvoir discrétionnaire que lui confère la </w:t>
      </w:r>
      <w:r w:rsidRPr="00F1263D">
        <w:rPr>
          <w:i/>
          <w:sz w:val="20"/>
          <w:lang w:val="fr-CA"/>
        </w:rPr>
        <w:t>LONE</w:t>
      </w:r>
      <w:r w:rsidRPr="00F1263D">
        <w:rPr>
          <w:sz w:val="20"/>
          <w:lang w:val="fr-CA"/>
        </w:rPr>
        <w:t xml:space="preserve"> en matière d’adjudication de frais.  Il a été reconnu dans </w:t>
      </w:r>
      <w:r w:rsidRPr="00F1263D">
        <w:rPr>
          <w:i/>
          <w:sz w:val="20"/>
          <w:lang w:val="fr-CA"/>
        </w:rPr>
        <w:t>Dunsmuir</w:t>
      </w:r>
      <w:r w:rsidRPr="00F1263D">
        <w:rPr>
          <w:sz w:val="20"/>
          <w:lang w:val="fr-CA"/>
        </w:rPr>
        <w:t xml:space="preserve"> qu’en présence d’une question touchant au pouvoir discrétionnaire « la retenue s’impose habituellement d’emblée ».  Ces considérations, et non le simple fait que le second comité interprétait sa loi constitutive, militent en faveur de la déférence en l’espèce.</w:t>
      </w:r>
      <w:r w:rsidRPr="00E7529C">
        <w:rPr>
          <w:sz w:val="20"/>
          <w:lang w:val="fr-FR"/>
        </w:rPr>
        <w:t xml:space="preserve"> </w:t>
      </w:r>
    </w:p>
    <w:p w:rsidR="00F1263D" w:rsidRPr="00F1263D" w:rsidRDefault="00F1263D" w:rsidP="00F1263D">
      <w:pPr>
        <w:pStyle w:val="SCCNormalDoubleSpacing"/>
        <w:spacing w:line="240" w:lineRule="auto"/>
        <w:rPr>
          <w:sz w:val="20"/>
          <w:lang w:val="fr-CA"/>
        </w:rPr>
      </w:pPr>
    </w:p>
    <w:p w:rsidR="00F1263D" w:rsidRPr="00F1263D" w:rsidRDefault="00F1263D" w:rsidP="00F1263D">
      <w:pPr>
        <w:pStyle w:val="SCCNormalDoubleSpacing"/>
        <w:spacing w:line="240" w:lineRule="auto"/>
        <w:rPr>
          <w:sz w:val="20"/>
          <w:lang w:val="fr-CA"/>
        </w:rPr>
      </w:pPr>
      <w:r w:rsidRPr="00F1263D">
        <w:rPr>
          <w:sz w:val="20"/>
          <w:lang w:val="fr-CA"/>
        </w:rPr>
        <w:tab/>
        <w:t>POURVOI contre un arrêt de la Cour d’appel fédérale (les juges Noël, Nadon et Pelletier), 2009 CAF 110, 389 N.R. 363, 42 C.E.L.R. (3d) 1, [2009] A.C.F. n</w:t>
      </w:r>
      <w:r w:rsidRPr="00F1263D">
        <w:rPr>
          <w:sz w:val="20"/>
          <w:vertAlign w:val="superscript"/>
          <w:lang w:val="fr-CA"/>
        </w:rPr>
        <w:t>o</w:t>
      </w:r>
      <w:r w:rsidRPr="00F1263D">
        <w:rPr>
          <w:sz w:val="20"/>
          <w:lang w:val="fr-CA"/>
        </w:rPr>
        <w:t xml:space="preserve"> 407 (QL), 2009 CarswellNat 5476, qui a infirmé une décision du juge O’Keefe, 2008 CF 12, 34 C.E.L.R. (3d) 138, 318 F.T.R. 100, [2008] F.C.J. No. 28 (QL), 2008 CarswellNat 1427, qui a confirmé une décision du second comité d’arbitrage sur les pipelines.  Pourvoi accueilli.</w:t>
      </w:r>
    </w:p>
    <w:p w:rsidR="00F1263D" w:rsidRPr="00F1263D" w:rsidRDefault="00F1263D" w:rsidP="00F1263D">
      <w:pPr>
        <w:pStyle w:val="SCCNormalDoubleSpacing"/>
        <w:spacing w:line="240" w:lineRule="auto"/>
        <w:rPr>
          <w:rStyle w:val="SCCCounselNameChar"/>
          <w:sz w:val="20"/>
          <w:lang w:val="fr-CA"/>
        </w:rPr>
      </w:pPr>
    </w:p>
    <w:p w:rsidR="00F1263D" w:rsidRPr="00F1263D" w:rsidRDefault="00F1263D" w:rsidP="00F1263D">
      <w:pPr>
        <w:pStyle w:val="SCCNormalDoubleSpacing"/>
        <w:spacing w:line="240" w:lineRule="auto"/>
        <w:rPr>
          <w:sz w:val="20"/>
          <w:lang w:val="fr-CA"/>
        </w:rPr>
      </w:pPr>
      <w:r w:rsidRPr="00F1263D">
        <w:rPr>
          <w:rStyle w:val="SCCCounselNameChar"/>
          <w:sz w:val="20"/>
          <w:lang w:val="fr-CA"/>
        </w:rPr>
        <w:tab/>
        <w:t>Richard C. Secord</w:t>
      </w:r>
      <w:r w:rsidRPr="00E7529C">
        <w:rPr>
          <w:rStyle w:val="SCCCounselSeparatorChar"/>
          <w:sz w:val="20"/>
        </w:rPr>
        <w:t xml:space="preserve">, </w:t>
      </w:r>
      <w:r w:rsidRPr="00F1263D">
        <w:rPr>
          <w:rStyle w:val="SCCCounselNameChar"/>
          <w:sz w:val="20"/>
          <w:lang w:val="fr-CA"/>
        </w:rPr>
        <w:t>Meaghan M. Conroy</w:t>
      </w:r>
      <w:r w:rsidRPr="00E7529C">
        <w:rPr>
          <w:rStyle w:val="SCCCounselSeparatorChar"/>
          <w:sz w:val="20"/>
        </w:rPr>
        <w:t xml:space="preserve"> et </w:t>
      </w:r>
      <w:r w:rsidRPr="00F1263D">
        <w:rPr>
          <w:rStyle w:val="SCCCounselNameChar"/>
          <w:sz w:val="20"/>
          <w:lang w:val="fr-CA"/>
        </w:rPr>
        <w:t>Yuk</w:t>
      </w:r>
      <w:r w:rsidRPr="00F1263D">
        <w:rPr>
          <w:rStyle w:val="SCCCounselNameChar"/>
          <w:sz w:val="20"/>
          <w:lang w:val="fr-CA"/>
        </w:rPr>
        <w:noBreakHyphen/>
        <w:t>Sing Cheng</w:t>
      </w:r>
      <w:r w:rsidRPr="00F1263D">
        <w:rPr>
          <w:rStyle w:val="SCCCounselPartyRoleChar"/>
          <w:sz w:val="20"/>
          <w:lang w:val="fr-CA"/>
        </w:rPr>
        <w:t>, pour l’appelant.</w:t>
      </w:r>
    </w:p>
    <w:p w:rsidR="00F1263D" w:rsidRPr="00F1263D" w:rsidRDefault="00F1263D" w:rsidP="00F1263D">
      <w:pPr>
        <w:pStyle w:val="SCCNormalDoubleSpacing"/>
        <w:spacing w:line="240" w:lineRule="auto"/>
        <w:rPr>
          <w:rStyle w:val="SCCCounselNameChar"/>
          <w:sz w:val="20"/>
          <w:lang w:val="fr-CA"/>
        </w:rPr>
      </w:pPr>
    </w:p>
    <w:p w:rsidR="00F1263D" w:rsidRPr="00E7529C" w:rsidRDefault="00F1263D" w:rsidP="00F1263D">
      <w:pPr>
        <w:pStyle w:val="SCCNormalDoubleSpacing"/>
        <w:spacing w:line="240" w:lineRule="auto"/>
        <w:rPr>
          <w:sz w:val="20"/>
          <w:lang w:val="fr-FR"/>
        </w:rPr>
      </w:pPr>
      <w:r w:rsidRPr="00F1263D">
        <w:rPr>
          <w:rStyle w:val="SCCCounselNameChar"/>
          <w:sz w:val="20"/>
          <w:lang w:val="fr-CA"/>
        </w:rPr>
        <w:tab/>
      </w:r>
      <w:r w:rsidRPr="00E7529C">
        <w:rPr>
          <w:rStyle w:val="SCCCounselNameChar"/>
          <w:sz w:val="20"/>
          <w:lang w:val="fr-FR"/>
        </w:rPr>
        <w:t>Munaf Mohamed</w:t>
      </w:r>
      <w:r w:rsidRPr="00E7529C">
        <w:rPr>
          <w:rStyle w:val="SCCCounselSeparatorChar"/>
          <w:sz w:val="20"/>
          <w:lang w:val="fr-FR"/>
        </w:rPr>
        <w:t xml:space="preserve"> et </w:t>
      </w:r>
      <w:r w:rsidRPr="00E7529C">
        <w:rPr>
          <w:rStyle w:val="SCCCounselNameChar"/>
          <w:sz w:val="20"/>
          <w:lang w:val="fr-FR"/>
        </w:rPr>
        <w:t>Jillian Strugnell</w:t>
      </w:r>
      <w:r w:rsidRPr="00E7529C">
        <w:rPr>
          <w:rStyle w:val="SCCCounselPartyRoleChar"/>
          <w:sz w:val="20"/>
          <w:lang w:val="fr-FR"/>
        </w:rPr>
        <w:t>, pour l’intimée.</w:t>
      </w:r>
    </w:p>
    <w:p w:rsidR="00F1263D" w:rsidRDefault="00F1263D" w:rsidP="00F1263D">
      <w:pPr>
        <w:pStyle w:val="SCCNormalDoubleSpacing"/>
        <w:spacing w:line="240" w:lineRule="auto"/>
        <w:rPr>
          <w:rStyle w:val="SCCCounselNameChar"/>
          <w:sz w:val="20"/>
          <w:lang w:val="fr-FR"/>
        </w:rPr>
      </w:pPr>
    </w:p>
    <w:p w:rsidR="00F1263D" w:rsidRPr="00F1263D" w:rsidRDefault="00F1263D" w:rsidP="00F1263D">
      <w:pPr>
        <w:pStyle w:val="SCCNormalDoubleSpacing"/>
        <w:spacing w:line="240" w:lineRule="auto"/>
        <w:rPr>
          <w:sz w:val="20"/>
          <w:lang w:val="fr-CA"/>
        </w:rPr>
      </w:pPr>
      <w:r w:rsidRPr="00E7529C">
        <w:rPr>
          <w:rStyle w:val="SCCCounselNameChar"/>
          <w:sz w:val="20"/>
          <w:lang w:val="fr-FR"/>
        </w:rPr>
        <w:tab/>
      </w:r>
      <w:r w:rsidRPr="006731C9">
        <w:rPr>
          <w:rStyle w:val="SCCCounselNameChar"/>
          <w:i w:val="0"/>
          <w:sz w:val="20"/>
          <w:lang w:val="fr-CA"/>
        </w:rPr>
        <w:t>Personne n’a comparu pour</w:t>
      </w:r>
      <w:r w:rsidRPr="00F1263D">
        <w:rPr>
          <w:rStyle w:val="SCCCounselNameChar"/>
          <w:sz w:val="20"/>
          <w:lang w:val="fr-CA"/>
        </w:rPr>
        <w:t xml:space="preserve"> </w:t>
      </w:r>
      <w:r w:rsidRPr="00F1263D">
        <w:rPr>
          <w:rStyle w:val="SCCCounselPartyRoleChar"/>
          <w:sz w:val="20"/>
          <w:lang w:val="fr-CA"/>
        </w:rPr>
        <w:t xml:space="preserve">l’intervenant le Comité d’arbitrage, nommé en vertu de la </w:t>
      </w:r>
      <w:r w:rsidRPr="00F1263D">
        <w:rPr>
          <w:rStyle w:val="SCCCounselPartyRoleChar"/>
          <w:i/>
          <w:sz w:val="20"/>
          <w:lang w:val="fr-CA"/>
        </w:rPr>
        <w:t>Loi sur l’Office national de l’énergie</w:t>
      </w:r>
      <w:r w:rsidRPr="00F1263D">
        <w:rPr>
          <w:rStyle w:val="SCCCounselPartyRoleChar"/>
          <w:sz w:val="20"/>
          <w:lang w:val="fr-CA"/>
        </w:rPr>
        <w:t>, L.R.C. 1985, ch. N</w:t>
      </w:r>
      <w:r w:rsidRPr="00F1263D">
        <w:rPr>
          <w:rStyle w:val="SCCCounselPartyRoleChar"/>
          <w:sz w:val="20"/>
          <w:lang w:val="fr-CA"/>
        </w:rPr>
        <w:noBreakHyphen/>
        <w:t>7, partie V.</w:t>
      </w:r>
    </w:p>
    <w:p w:rsidR="00F1263D" w:rsidRPr="00F1263D" w:rsidRDefault="00F1263D" w:rsidP="00F1263D">
      <w:pPr>
        <w:pStyle w:val="SCCNormalDoubleSpacing"/>
        <w:spacing w:line="240" w:lineRule="auto"/>
        <w:rPr>
          <w:sz w:val="20"/>
          <w:lang w:val="fr-CA"/>
        </w:rPr>
      </w:pPr>
    </w:p>
    <w:p w:rsidR="00F1263D" w:rsidRPr="00F1263D" w:rsidRDefault="00F1263D" w:rsidP="00F1263D">
      <w:pPr>
        <w:pStyle w:val="SCCNormalDoubleSpacing"/>
        <w:spacing w:line="240" w:lineRule="auto"/>
        <w:rPr>
          <w:i/>
          <w:sz w:val="20"/>
          <w:lang w:val="fr-CA"/>
        </w:rPr>
      </w:pPr>
      <w:r w:rsidRPr="00F1263D">
        <w:rPr>
          <w:sz w:val="20"/>
          <w:lang w:val="fr-CA"/>
        </w:rPr>
        <w:tab/>
      </w:r>
      <w:r w:rsidRPr="00F1263D">
        <w:rPr>
          <w:i/>
          <w:sz w:val="20"/>
          <w:lang w:val="fr-CA"/>
        </w:rPr>
        <w:t>Procureurs de l’appelant : Ackroyd, Edmonton.</w:t>
      </w:r>
    </w:p>
    <w:p w:rsidR="00F1263D" w:rsidRPr="00F1263D" w:rsidRDefault="00F1263D" w:rsidP="00F1263D">
      <w:pPr>
        <w:pStyle w:val="SCCNormalDoubleSpacing"/>
        <w:spacing w:line="240" w:lineRule="auto"/>
        <w:rPr>
          <w:i/>
          <w:sz w:val="20"/>
          <w:lang w:val="fr-CA"/>
        </w:rPr>
      </w:pPr>
    </w:p>
    <w:p w:rsidR="00F1263D" w:rsidRPr="00F1263D" w:rsidRDefault="00F1263D" w:rsidP="00F1263D">
      <w:pPr>
        <w:pStyle w:val="SCCNormalDoubleSpacing"/>
        <w:spacing w:line="240" w:lineRule="auto"/>
        <w:rPr>
          <w:i/>
          <w:sz w:val="20"/>
          <w:lang w:val="fr-CA"/>
        </w:rPr>
      </w:pPr>
      <w:r w:rsidRPr="00F1263D">
        <w:rPr>
          <w:i/>
          <w:sz w:val="20"/>
          <w:lang w:val="fr-CA"/>
        </w:rPr>
        <w:tab/>
        <w:t>Procureurs de l’intimée : Bennett Jones, Calgary.</w:t>
      </w:r>
    </w:p>
    <w:p w:rsidR="00E022C0" w:rsidRDefault="00E022C0" w:rsidP="003B3977">
      <w:pPr>
        <w:rPr>
          <w:sz w:val="20"/>
          <w:szCs w:val="20"/>
          <w:lang w:val="fr-CA"/>
        </w:rPr>
      </w:pPr>
    </w:p>
    <w:p w:rsidR="005C51DB" w:rsidRPr="00F1263D" w:rsidRDefault="003E529C" w:rsidP="003B3977">
      <w:pPr>
        <w:rPr>
          <w:sz w:val="20"/>
          <w:szCs w:val="20"/>
          <w:lang w:val="fr-CA"/>
        </w:rPr>
      </w:pPr>
      <w:r w:rsidRPr="003E529C">
        <w:rPr>
          <w:rFonts w:cs="Times New Roman"/>
          <w:sz w:val="20"/>
          <w:szCs w:val="20"/>
          <w:lang w:val="fr-CA"/>
        </w:rPr>
        <w:pict>
          <v:rect id="_x0000_i1077" style="width:144.3pt;height:1pt" o:hrpct="300" o:hralign="center" o:hrstd="t" o:hrnoshade="t" o:hr="t" fillcolor="black [3213]" stroked="f"/>
        </w:pict>
      </w:r>
    </w:p>
    <w:p w:rsidR="005C6840" w:rsidRPr="00F1263D" w:rsidRDefault="005C6840" w:rsidP="005C6840">
      <w:pPr>
        <w:jc w:val="both"/>
        <w:rPr>
          <w:sz w:val="20"/>
          <w:szCs w:val="20"/>
          <w:lang w:val="fr-CA"/>
        </w:rPr>
      </w:pPr>
    </w:p>
    <w:p w:rsidR="00102926" w:rsidRPr="00F1263D" w:rsidRDefault="00102926" w:rsidP="00782AE4">
      <w:pPr>
        <w:jc w:val="both"/>
        <w:rPr>
          <w:sz w:val="20"/>
          <w:szCs w:val="20"/>
          <w:lang w:val="fr-CA"/>
        </w:rPr>
        <w:sectPr w:rsidR="00102926" w:rsidRPr="00F1263D" w:rsidSect="00782AE4">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576" w:footer="960" w:gutter="0"/>
          <w:cols w:space="720"/>
          <w:titlePg/>
          <w:docGrid w:linePitch="272"/>
        </w:sectPr>
      </w:pPr>
    </w:p>
    <w:p w:rsidR="00924065" w:rsidRPr="00DE5525" w:rsidRDefault="003E529C"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47"/>
      <w:footerReference w:type="default" r:id="rId48"/>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F20" w:rsidRDefault="00E31F20" w:rsidP="00A87207">
      <w:r>
        <w:separator/>
      </w:r>
    </w:p>
  </w:endnote>
  <w:endnote w:type="continuationSeparator" w:id="0">
    <w:p w:rsidR="00E31F20" w:rsidRDefault="00E31F20"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3E529C">
    <w:pPr>
      <w:pStyle w:val="Footer"/>
      <w:rPr>
        <w:lang w:val="fr-CA"/>
      </w:rPr>
    </w:pPr>
    <w:r w:rsidRPr="003E529C">
      <w:rPr>
        <w:lang w:val="fr-CA"/>
      </w:rPr>
      <w:pict>
        <v:rect id="_x0000_i1064" style="width:480.95pt;height:1pt" o:hralign="center" o:hrstd="t" o:hrnoshade="t" o:hr="t" fillcolor="black [3213]" stroked="f"/>
      </w:pict>
    </w:r>
  </w:p>
  <w:p w:rsidR="00E31F20" w:rsidRDefault="00E31F20" w:rsidP="00245129">
    <w:pPr>
      <w:tabs>
        <w:tab w:val="center" w:pos="4680"/>
      </w:tabs>
    </w:pPr>
    <w:r>
      <w:tab/>
    </w:r>
    <w:r w:rsidRPr="0009648D">
      <w:t xml:space="preserve">- </w:t>
    </w:r>
    <w:fldSimple w:instr=" PAGE   \* MERGEFORMAT ">
      <w:r w:rsidR="00BE7681">
        <w:rPr>
          <w:noProof/>
        </w:rPr>
        <w:t>189</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31F20"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31F20" w:rsidRDefault="00E31F20">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3E529C" w:rsidP="00755F22">
    <w:pPr>
      <w:tabs>
        <w:tab w:val="left" w:pos="-1440"/>
        <w:tab w:val="left" w:pos="-720"/>
      </w:tabs>
    </w:pPr>
    <w:r>
      <w:pict>
        <v:rect id="_x0000_i1068" style="width:480.95pt;height:1pt" o:hralign="center" o:hrstd="t" o:hrnoshade="t" o:hr="t" fillcolor="black [3213]" stroked="f"/>
      </w:pict>
    </w:r>
  </w:p>
  <w:p w:rsidR="00E31F20" w:rsidRDefault="00E31F20" w:rsidP="00EB2B90">
    <w:pPr>
      <w:tabs>
        <w:tab w:val="center" w:pos="4680"/>
      </w:tabs>
    </w:pPr>
    <w:r>
      <w:tab/>
      <w:t xml:space="preserve">- </w:t>
    </w:r>
    <w:fldSimple w:instr=" PAGE   \* MERGEFORMAT ">
      <w:r w:rsidR="00BE7681">
        <w:rPr>
          <w:noProof/>
        </w:rPr>
        <w:t>212</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3E529C" w:rsidP="00EB2B90">
    <w:pPr>
      <w:tabs>
        <w:tab w:val="center" w:pos="4680"/>
      </w:tabs>
    </w:pPr>
    <w:r>
      <w:pict>
        <v:rect id="_x0000_i1069" style="width:480.95pt;height:1pt" o:hralign="center" o:hrstd="t" o:hrnoshade="t" o:hr="t" fillcolor="black [3213]" stroked="f"/>
      </w:pict>
    </w:r>
  </w:p>
  <w:p w:rsidR="00E31F20" w:rsidRPr="0031432F" w:rsidRDefault="00E31F20" w:rsidP="00EB2B90">
    <w:pPr>
      <w:tabs>
        <w:tab w:val="center" w:pos="4680"/>
      </w:tabs>
    </w:pPr>
    <w:r>
      <w:tab/>
      <w:t xml:space="preserve">- </w:t>
    </w:r>
    <w:fldSimple w:instr=" PAGE   \* MERGEFORMAT ">
      <w:r w:rsidR="00BE7681">
        <w:rPr>
          <w:noProof/>
        </w:rPr>
        <w:t>211</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31F20"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31F20" w:rsidRDefault="00E31F2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3E529C" w:rsidP="00732DB7">
    <w:r>
      <w:pict>
        <v:rect id="_x0000_i1072" style="width:480.95pt;height:1pt" o:hralign="center" o:hrstd="t" o:hrnoshade="t" o:hr="t" fillcolor="black" stroked="f"/>
      </w:pict>
    </w:r>
  </w:p>
  <w:p w:rsidR="00E31F20" w:rsidRDefault="00E31F20">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3E529C">
    <w:pPr>
      <w:pStyle w:val="Footer"/>
    </w:pPr>
    <w:r>
      <w:pict>
        <v:rect id="_x0000_i1073" style="width:480.95pt;height:1pt" o:hralign="center" o:hrstd="t" o:hrnoshade="t" o:hr="t" fillcolor="black [3213]" stroked="f"/>
      </w:pict>
    </w:r>
  </w:p>
  <w:p w:rsidR="00E31F20" w:rsidRPr="003C2C0F" w:rsidRDefault="00E31F20" w:rsidP="00697C62">
    <w:pPr>
      <w:tabs>
        <w:tab w:val="center" w:pos="4680"/>
      </w:tabs>
    </w:pPr>
    <w:r>
      <w:tab/>
      <w:t xml:space="preserve">- </w:t>
    </w:r>
    <w:fldSimple w:instr=" PAGE   \* MERGEFORMAT ">
      <w:r w:rsidR="00BE7681">
        <w:rPr>
          <w:noProof/>
        </w:rPr>
        <w:t>213</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31F20"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31F20" w:rsidRDefault="00E31F20">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31F20" w:rsidRDefault="003E52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8" style="width:480.95pt;height:1pt" o:hralign="center" o:hrstd="t" o:hrnoshade="t" o:hr="t" fillcolor="black [3213]" stroked="f"/>
      </w:pict>
    </w:r>
  </w:p>
  <w:p w:rsidR="00E31F20" w:rsidRDefault="00E31F20" w:rsidP="00782AE4">
    <w:pPr>
      <w:tabs>
        <w:tab w:val="center" w:pos="4680"/>
      </w:tabs>
    </w:pPr>
    <w:r>
      <w:tab/>
      <w:t xml:space="preserve">- </w:t>
    </w:r>
    <w:r w:rsidR="003E529C" w:rsidRPr="001775C1">
      <w:rPr>
        <w:szCs w:val="24"/>
      </w:rPr>
      <w:fldChar w:fldCharType="begin"/>
    </w:r>
    <w:r w:rsidRPr="001775C1">
      <w:rPr>
        <w:szCs w:val="24"/>
      </w:rPr>
      <w:instrText xml:space="preserve"> PAGE   \* MERGEFORMAT </w:instrText>
    </w:r>
    <w:r w:rsidR="003E529C" w:rsidRPr="001775C1">
      <w:rPr>
        <w:szCs w:val="24"/>
      </w:rPr>
      <w:fldChar w:fldCharType="separate"/>
    </w:r>
    <w:r w:rsidR="00BE7681">
      <w:rPr>
        <w:noProof/>
        <w:szCs w:val="24"/>
      </w:rPr>
      <w:t>224</w:t>
    </w:r>
    <w:r w:rsidR="003E529C" w:rsidRPr="001775C1">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3E529C" w:rsidP="00782AE4">
    <w:pPr>
      <w:tabs>
        <w:tab w:val="center" w:pos="4680"/>
      </w:tabs>
    </w:pPr>
    <w:r>
      <w:pict>
        <v:rect id="_x0000_i1079" style="width:480.95pt;height:1pt" o:hralign="center" o:hrstd="t" o:hrnoshade="t" o:hr="t" fillcolor="black [3213]" stroked="f"/>
      </w:pict>
    </w:r>
  </w:p>
  <w:p w:rsidR="00E31F20" w:rsidRDefault="00E31F20" w:rsidP="00782AE4">
    <w:pPr>
      <w:tabs>
        <w:tab w:val="center" w:pos="4680"/>
      </w:tabs>
    </w:pPr>
    <w:r>
      <w:tab/>
      <w:t xml:space="preserve">- </w:t>
    </w:r>
    <w:r w:rsidR="003E529C" w:rsidRPr="001775C1">
      <w:rPr>
        <w:szCs w:val="24"/>
      </w:rPr>
      <w:fldChar w:fldCharType="begin"/>
    </w:r>
    <w:r w:rsidRPr="001775C1">
      <w:rPr>
        <w:szCs w:val="24"/>
      </w:rPr>
      <w:instrText xml:space="preserve"> PAGE   \* MERGEFORMAT </w:instrText>
    </w:r>
    <w:r w:rsidR="003E529C" w:rsidRPr="001775C1">
      <w:rPr>
        <w:szCs w:val="24"/>
      </w:rPr>
      <w:fldChar w:fldCharType="separate"/>
    </w:r>
    <w:r w:rsidR="00BE7681">
      <w:rPr>
        <w:noProof/>
        <w:szCs w:val="24"/>
      </w:rPr>
      <w:t>215</w:t>
    </w:r>
    <w:r w:rsidR="003E529C"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Pr="00924065" w:rsidRDefault="00E31F20"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3E529C" w:rsidP="00A87207">
    <w:pPr>
      <w:pStyle w:val="Footer"/>
    </w:pPr>
    <w:r>
      <w:pict>
        <v:rect id="_x0000_i1034" style="width:480.95pt;height:1pt" o:hralign="center" o:hrstd="t" o:hrnoshade="t" o:hr="t" fillcolor="black [3213]" stroked="f"/>
      </w:pict>
    </w:r>
  </w:p>
  <w:p w:rsidR="00E31F20" w:rsidRPr="00B7374B" w:rsidRDefault="00E31F20" w:rsidP="00B7374B">
    <w:pPr>
      <w:tabs>
        <w:tab w:val="center" w:pos="4680"/>
      </w:tabs>
      <w:rPr>
        <w:szCs w:val="24"/>
      </w:rPr>
    </w:pPr>
    <w:r w:rsidRPr="00954D22">
      <w:rPr>
        <w:szCs w:val="24"/>
      </w:rPr>
      <w:tab/>
      <w:t xml:space="preserve">- </w:t>
    </w:r>
    <w:r w:rsidR="003E529C" w:rsidRPr="00954D22">
      <w:rPr>
        <w:szCs w:val="24"/>
      </w:rPr>
      <w:fldChar w:fldCharType="begin"/>
    </w:r>
    <w:r w:rsidRPr="00954D22">
      <w:rPr>
        <w:szCs w:val="24"/>
      </w:rPr>
      <w:instrText xml:space="preserve"> PAGE   \* MERGEFORMAT </w:instrText>
    </w:r>
    <w:r w:rsidR="003E529C" w:rsidRPr="00954D22">
      <w:rPr>
        <w:szCs w:val="24"/>
      </w:rPr>
      <w:fldChar w:fldCharType="separate"/>
    </w:r>
    <w:r w:rsidR="00BE7681">
      <w:rPr>
        <w:noProof/>
        <w:szCs w:val="24"/>
      </w:rPr>
      <w:t>187</w:t>
    </w:r>
    <w:r w:rsidR="003E529C"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3E529C" w:rsidP="00755F22">
    <w:pPr>
      <w:tabs>
        <w:tab w:val="left" w:pos="-1440"/>
        <w:tab w:val="left" w:pos="-720"/>
      </w:tabs>
    </w:pPr>
    <w:r>
      <w:pict>
        <v:rect id="_x0000_i1035" style="width:480.95pt;height:1pt" o:hralign="center" o:hrstd="t" o:hrnoshade="t" o:hr="t" fillcolor="black [3213]" stroked="f"/>
      </w:pict>
    </w:r>
  </w:p>
  <w:p w:rsidR="00E31F20" w:rsidRPr="00954D22" w:rsidRDefault="00E31F20" w:rsidP="00B7374B">
    <w:pPr>
      <w:tabs>
        <w:tab w:val="center" w:pos="4680"/>
      </w:tabs>
      <w:rPr>
        <w:szCs w:val="24"/>
      </w:rPr>
    </w:pPr>
    <w:r w:rsidRPr="00954D22">
      <w:rPr>
        <w:szCs w:val="24"/>
      </w:rPr>
      <w:tab/>
      <w:t xml:space="preserve">- </w:t>
    </w:r>
    <w:r w:rsidR="003E529C">
      <w:rPr>
        <w:szCs w:val="24"/>
      </w:rPr>
      <w:fldChar w:fldCharType="begin"/>
    </w:r>
    <w:r>
      <w:rPr>
        <w:szCs w:val="24"/>
      </w:rPr>
      <w:instrText xml:space="preserve"> PAGE   \* MERGEFORMAT </w:instrText>
    </w:r>
    <w:r w:rsidR="003E529C">
      <w:rPr>
        <w:szCs w:val="24"/>
      </w:rPr>
      <w:fldChar w:fldCharType="separate"/>
    </w:r>
    <w:r w:rsidR="00BE7681">
      <w:rPr>
        <w:noProof/>
        <w:szCs w:val="24"/>
      </w:rPr>
      <w:t>186</w:t>
    </w:r>
    <w:r w:rsidR="003E529C">
      <w:rPr>
        <w:szCs w:val="24"/>
      </w:rPr>
      <w:fldChar w:fldCharType="end"/>
    </w:r>
    <w:r w:rsidRPr="00954D22">
      <w:rPr>
        <w:szCs w:val="24"/>
      </w:rPr>
      <w:t xml:space="preserve"> -</w:t>
    </w:r>
  </w:p>
  <w:p w:rsidR="00E31F20" w:rsidRDefault="00E31F2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3E529C" w:rsidP="00A87207">
    <w:pPr>
      <w:pStyle w:val="Footer"/>
    </w:pPr>
    <w:r>
      <w:pict>
        <v:rect id="_x0000_i1037" style="width:480.95pt;height:1pt" o:hralign="center" o:hrstd="t" o:hrnoshade="t" o:hr="t" fillcolor="black [3213]" stroked="f"/>
      </w:pict>
    </w:r>
  </w:p>
  <w:p w:rsidR="00E31F20" w:rsidRPr="00B7374B" w:rsidRDefault="00E31F20" w:rsidP="00B7374B">
    <w:pPr>
      <w:tabs>
        <w:tab w:val="center" w:pos="4680"/>
      </w:tabs>
      <w:rPr>
        <w:szCs w:val="24"/>
      </w:rPr>
    </w:pPr>
    <w:r w:rsidRPr="00954D22">
      <w:rPr>
        <w:szCs w:val="24"/>
      </w:rPr>
      <w:tab/>
      <w:t xml:space="preserve">- </w:t>
    </w:r>
    <w:r w:rsidR="003E529C" w:rsidRPr="00954D22">
      <w:rPr>
        <w:szCs w:val="24"/>
      </w:rPr>
      <w:fldChar w:fldCharType="begin"/>
    </w:r>
    <w:r w:rsidRPr="00954D22">
      <w:rPr>
        <w:szCs w:val="24"/>
      </w:rPr>
      <w:instrText xml:space="preserve"> PAGE   \* MERGEFORMAT </w:instrText>
    </w:r>
    <w:r w:rsidR="003E529C" w:rsidRPr="00954D22">
      <w:rPr>
        <w:szCs w:val="24"/>
      </w:rPr>
      <w:fldChar w:fldCharType="separate"/>
    </w:r>
    <w:r>
      <w:rPr>
        <w:noProof/>
        <w:szCs w:val="24"/>
      </w:rPr>
      <w:t>189</w:t>
    </w:r>
    <w:r w:rsidR="003E529C"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3E529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8" style="width:480.95pt;height:1pt" o:hralign="center" o:hrstd="t" o:hrnoshade="t" o:hr="t" fillcolor="black [3213]" stroked="f"/>
      </w:pict>
    </w:r>
  </w:p>
  <w:p w:rsidR="00E31F20" w:rsidRPr="00954D22" w:rsidRDefault="00E31F20" w:rsidP="00B7374B">
    <w:pPr>
      <w:tabs>
        <w:tab w:val="center" w:pos="4680"/>
      </w:tabs>
      <w:rPr>
        <w:szCs w:val="24"/>
      </w:rPr>
    </w:pPr>
    <w:r w:rsidRPr="00954D22">
      <w:rPr>
        <w:szCs w:val="24"/>
      </w:rPr>
      <w:tab/>
      <w:t xml:space="preserve">- </w:t>
    </w:r>
    <w:r w:rsidR="003E529C" w:rsidRPr="00954D22">
      <w:rPr>
        <w:szCs w:val="24"/>
      </w:rPr>
      <w:fldChar w:fldCharType="begin"/>
    </w:r>
    <w:r w:rsidRPr="00954D22">
      <w:rPr>
        <w:szCs w:val="24"/>
      </w:rPr>
      <w:instrText xml:space="preserve"> PAGE   \* MERGEFORMAT </w:instrText>
    </w:r>
    <w:r w:rsidR="003E529C" w:rsidRPr="00954D22">
      <w:rPr>
        <w:szCs w:val="24"/>
      </w:rPr>
      <w:fldChar w:fldCharType="separate"/>
    </w:r>
    <w:r w:rsidR="00BE7681">
      <w:rPr>
        <w:noProof/>
        <w:szCs w:val="24"/>
      </w:rPr>
      <w:t>188</w:t>
    </w:r>
    <w:r w:rsidR="003E529C"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31F20"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31F20" w:rsidRDefault="00E31F20">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3E52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E529C">
      <w:rPr>
        <w:lang w:val="fr-CA"/>
      </w:rPr>
      <w:pict>
        <v:rect id="_x0000_i1063" style="width:480.95pt;height:1pt" o:hralign="center" o:hrstd="t" o:hrnoshade="t" o:hr="t" fillcolor="black [3213]" stroked="f"/>
      </w:pict>
    </w:r>
  </w:p>
  <w:p w:rsidR="00E31F20" w:rsidRPr="0009648D" w:rsidRDefault="00E31F20" w:rsidP="00ED7E83">
    <w:pPr>
      <w:tabs>
        <w:tab w:val="center" w:pos="4680"/>
      </w:tabs>
    </w:pPr>
    <w:r>
      <w:tab/>
    </w:r>
    <w:r w:rsidRPr="0009648D">
      <w:t xml:space="preserve">- </w:t>
    </w:r>
    <w:fldSimple w:instr=" PAGE   \* MERGEFORMAT ">
      <w:r w:rsidR="00BE7681">
        <w:rPr>
          <w:noProof/>
        </w:rPr>
        <w:t>210</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F20" w:rsidRDefault="00E31F20" w:rsidP="00A87207">
      <w:r>
        <w:separator/>
      </w:r>
    </w:p>
  </w:footnote>
  <w:footnote w:type="continuationSeparator" w:id="0">
    <w:p w:rsidR="00E31F20" w:rsidRDefault="00E31F20"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E31F20">
      <w:tc>
        <w:tcPr>
          <w:tcW w:w="4230" w:type="dxa"/>
          <w:tcMar>
            <w:left w:w="0" w:type="dxa"/>
            <w:right w:w="0" w:type="dxa"/>
          </w:tcMar>
        </w:tcPr>
        <w:p w:rsidR="00E31F20" w:rsidRDefault="00E31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31F20" w:rsidRDefault="00E31F2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31F20" w:rsidRDefault="00E31F2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31F20">
      <w:trPr>
        <w:gridAfter w:val="2"/>
        <w:wAfter w:w="5250" w:type="dxa"/>
      </w:trPr>
      <w:tc>
        <w:tcPr>
          <w:tcW w:w="4230" w:type="dxa"/>
          <w:tcMar>
            <w:left w:w="0" w:type="dxa"/>
            <w:right w:w="0" w:type="dxa"/>
          </w:tcMar>
        </w:tcPr>
        <w:p w:rsidR="00E31F20"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31F20"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E31F20" w:rsidRPr="00755F22" w:rsidTr="00245129">
      <w:tc>
        <w:tcPr>
          <w:tcW w:w="4230" w:type="dxa"/>
          <w:tcMar>
            <w:left w:w="0" w:type="dxa"/>
            <w:right w:w="0" w:type="dxa"/>
          </w:tcMar>
        </w:tcPr>
        <w:p w:rsidR="00E31F20" w:rsidRPr="00755F22" w:rsidRDefault="00E31F20" w:rsidP="00831CA9">
          <w:pPr>
            <w:keepNext/>
            <w:keepLines/>
            <w:rPr>
              <w:sz w:val="20"/>
              <w:szCs w:val="20"/>
            </w:rPr>
          </w:pPr>
          <w:r w:rsidRPr="00755F22">
            <w:rPr>
              <w:sz w:val="20"/>
              <w:szCs w:val="20"/>
            </w:rPr>
            <w:t>MOTIONS</w:t>
          </w:r>
        </w:p>
      </w:tc>
      <w:tc>
        <w:tcPr>
          <w:tcW w:w="1170" w:type="dxa"/>
          <w:tcMar>
            <w:left w:w="0" w:type="dxa"/>
            <w:right w:w="0" w:type="dxa"/>
          </w:tcMar>
        </w:tcPr>
        <w:p w:rsidR="00E31F20" w:rsidRPr="00755F22" w:rsidRDefault="00E31F20" w:rsidP="00831CA9">
          <w:pPr>
            <w:keepLines/>
            <w:jc w:val="center"/>
            <w:rPr>
              <w:sz w:val="20"/>
              <w:szCs w:val="20"/>
            </w:rPr>
          </w:pPr>
        </w:p>
        <w:p w:rsidR="00E31F20" w:rsidRPr="00755F22" w:rsidRDefault="00E31F20" w:rsidP="00831CA9">
          <w:pPr>
            <w:keepLines/>
            <w:tabs>
              <w:tab w:val="left" w:pos="-1440"/>
              <w:tab w:val="left" w:pos="-720"/>
            </w:tabs>
            <w:jc w:val="center"/>
            <w:rPr>
              <w:sz w:val="20"/>
              <w:szCs w:val="20"/>
            </w:rPr>
          </w:pPr>
        </w:p>
      </w:tc>
      <w:tc>
        <w:tcPr>
          <w:tcW w:w="4080" w:type="dxa"/>
          <w:tcMar>
            <w:left w:w="0" w:type="dxa"/>
            <w:right w:w="0" w:type="dxa"/>
          </w:tcMar>
        </w:tcPr>
        <w:p w:rsidR="00E31F20" w:rsidRPr="00BA6468" w:rsidRDefault="00E31F20" w:rsidP="00BA6468">
          <w:pPr>
            <w:keepLines/>
            <w:rPr>
              <w:sz w:val="20"/>
              <w:szCs w:val="20"/>
              <w:lang w:val="fr-CA"/>
            </w:rPr>
          </w:pPr>
          <w:r w:rsidRPr="00BA6468">
            <w:rPr>
              <w:sz w:val="20"/>
              <w:szCs w:val="20"/>
              <w:lang w:val="fr-CA"/>
            </w:rPr>
            <w:t>REQUÊTES</w:t>
          </w:r>
        </w:p>
      </w:tc>
    </w:tr>
  </w:tbl>
  <w:p w:rsidR="00E31F20" w:rsidRDefault="00E31F20"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31F20" w:rsidRPr="00AB7F34">
      <w:tc>
        <w:tcPr>
          <w:tcW w:w="4200" w:type="dxa"/>
          <w:tcMar>
            <w:left w:w="0" w:type="dxa"/>
            <w:right w:w="0" w:type="dxa"/>
          </w:tcMar>
        </w:tcPr>
        <w:p w:rsidR="00E31F20" w:rsidRDefault="00E31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31F20" w:rsidRDefault="00E31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31F20" w:rsidRDefault="00E31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31F20" w:rsidRPr="003C2C0F" w:rsidRDefault="00E31F2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31F20" w:rsidRPr="003C2C0F"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31F20" w:rsidRPr="003C2C0F"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31F20" w:rsidRPr="00AB7F34" w:rsidTr="00245129">
      <w:tc>
        <w:tcPr>
          <w:tcW w:w="4200" w:type="dxa"/>
          <w:tcMar>
            <w:left w:w="0" w:type="dxa"/>
            <w:right w:w="0" w:type="dxa"/>
          </w:tcMar>
        </w:tcPr>
        <w:p w:rsidR="00E31F20" w:rsidRPr="00FF6EEC" w:rsidRDefault="00E31F20" w:rsidP="00FF6EEC">
          <w:pPr>
            <w:rPr>
              <w:sz w:val="20"/>
              <w:szCs w:val="20"/>
            </w:rPr>
          </w:pPr>
          <w:r w:rsidRPr="00FF6EEC">
            <w:rPr>
              <w:sz w:val="20"/>
              <w:szCs w:val="20"/>
            </w:rPr>
            <w:t>PRONOUNCEMENTS OF APPEALS RESERVED</w:t>
          </w:r>
        </w:p>
      </w:tc>
      <w:tc>
        <w:tcPr>
          <w:tcW w:w="1200" w:type="dxa"/>
          <w:tcMar>
            <w:left w:w="0" w:type="dxa"/>
            <w:right w:w="0" w:type="dxa"/>
          </w:tcMar>
        </w:tcPr>
        <w:p w:rsidR="00E31F20" w:rsidRPr="00FF6EEC" w:rsidRDefault="00E31F20" w:rsidP="00FF6EEC">
          <w:pPr>
            <w:jc w:val="center"/>
            <w:rPr>
              <w:sz w:val="20"/>
              <w:szCs w:val="20"/>
            </w:rPr>
          </w:pPr>
        </w:p>
        <w:p w:rsidR="00E31F20" w:rsidRPr="00FF6EEC" w:rsidRDefault="00E31F20" w:rsidP="00FF6EEC">
          <w:pPr>
            <w:jc w:val="center"/>
            <w:rPr>
              <w:sz w:val="20"/>
              <w:szCs w:val="20"/>
            </w:rPr>
          </w:pPr>
        </w:p>
        <w:p w:rsidR="00E31F20" w:rsidRPr="00FF6EEC" w:rsidRDefault="00E31F20" w:rsidP="00FF6EEC">
          <w:pPr>
            <w:jc w:val="center"/>
            <w:rPr>
              <w:sz w:val="20"/>
              <w:szCs w:val="20"/>
            </w:rPr>
          </w:pPr>
        </w:p>
      </w:tc>
      <w:tc>
        <w:tcPr>
          <w:tcW w:w="4080" w:type="dxa"/>
          <w:tcMar>
            <w:left w:w="0" w:type="dxa"/>
            <w:right w:w="0" w:type="dxa"/>
          </w:tcMar>
        </w:tcPr>
        <w:p w:rsidR="00E31F20" w:rsidRPr="00FF6EEC" w:rsidRDefault="00E31F20" w:rsidP="00FF6EEC">
          <w:pPr>
            <w:rPr>
              <w:sz w:val="20"/>
              <w:szCs w:val="20"/>
              <w:lang w:val="fr-CA"/>
            </w:rPr>
          </w:pPr>
          <w:r w:rsidRPr="00FF6EEC">
            <w:rPr>
              <w:sz w:val="20"/>
              <w:szCs w:val="20"/>
              <w:lang w:val="fr-CA"/>
            </w:rPr>
            <w:t>JUGEMENTS RENDUS SUR LES APPELS EN DÉLIBÉRÉ</w:t>
          </w:r>
        </w:p>
      </w:tc>
    </w:tr>
  </w:tbl>
  <w:p w:rsidR="00E31F20" w:rsidRPr="003C2C0F" w:rsidRDefault="00E31F20"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E31F20">
      <w:tc>
        <w:tcPr>
          <w:tcW w:w="4230" w:type="dxa"/>
          <w:tcMar>
            <w:left w:w="0" w:type="dxa"/>
            <w:right w:w="0" w:type="dxa"/>
          </w:tcMar>
        </w:tcPr>
        <w:p w:rsidR="00E31F20" w:rsidRDefault="00E31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31F20" w:rsidRDefault="00E31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31F20" w:rsidRDefault="00E31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31F20" w:rsidRDefault="00E31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31F20" w:rsidRDefault="00E31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31F20" w:rsidRDefault="00E31F2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31F20"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31F20"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E31F20" w:rsidRPr="00782AE4" w:rsidTr="00245129">
      <w:tc>
        <w:tcPr>
          <w:tcW w:w="4230" w:type="dxa"/>
          <w:tcMar>
            <w:left w:w="0" w:type="dxa"/>
            <w:right w:w="0" w:type="dxa"/>
          </w:tcMar>
        </w:tcPr>
        <w:p w:rsidR="00E31F20" w:rsidRPr="00782AE4" w:rsidRDefault="00E31F20" w:rsidP="00102926">
          <w:pPr>
            <w:keepNext/>
            <w:keepLines/>
            <w:tabs>
              <w:tab w:val="left" w:pos="-1440"/>
              <w:tab w:val="left" w:pos="-720"/>
            </w:tabs>
            <w:rPr>
              <w:sz w:val="20"/>
              <w:szCs w:val="20"/>
            </w:rPr>
          </w:pPr>
          <w:r w:rsidRPr="00782AE4">
            <w:rPr>
              <w:sz w:val="20"/>
              <w:szCs w:val="20"/>
            </w:rPr>
            <w:t xml:space="preserve">HEADNOTES OF RECENT </w:t>
          </w:r>
        </w:p>
        <w:p w:rsidR="00E31F20" w:rsidRPr="00782AE4" w:rsidRDefault="00E31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31F20" w:rsidRDefault="00E31F20" w:rsidP="00102926">
          <w:pPr>
            <w:keepNext/>
            <w:keepLines/>
            <w:tabs>
              <w:tab w:val="left" w:pos="-1440"/>
              <w:tab w:val="left" w:pos="-720"/>
            </w:tabs>
            <w:jc w:val="center"/>
            <w:rPr>
              <w:sz w:val="20"/>
              <w:szCs w:val="20"/>
            </w:rPr>
          </w:pPr>
        </w:p>
        <w:p w:rsidR="00E31F20" w:rsidRDefault="00E31F20" w:rsidP="00102926">
          <w:pPr>
            <w:keepNext/>
            <w:keepLines/>
            <w:tabs>
              <w:tab w:val="left" w:pos="-1440"/>
              <w:tab w:val="left" w:pos="-720"/>
            </w:tabs>
            <w:jc w:val="center"/>
            <w:rPr>
              <w:sz w:val="20"/>
              <w:szCs w:val="20"/>
            </w:rPr>
          </w:pPr>
        </w:p>
        <w:p w:rsidR="00E31F20" w:rsidRPr="00782AE4" w:rsidRDefault="00E31F20" w:rsidP="00102926">
          <w:pPr>
            <w:keepNext/>
            <w:keepLines/>
            <w:tabs>
              <w:tab w:val="left" w:pos="-1440"/>
              <w:tab w:val="left" w:pos="-720"/>
            </w:tabs>
            <w:jc w:val="center"/>
            <w:rPr>
              <w:sz w:val="20"/>
              <w:szCs w:val="20"/>
            </w:rPr>
          </w:pPr>
        </w:p>
      </w:tc>
      <w:tc>
        <w:tcPr>
          <w:tcW w:w="4080" w:type="dxa"/>
          <w:tcMar>
            <w:left w:w="0" w:type="dxa"/>
            <w:right w:w="0" w:type="dxa"/>
          </w:tcMar>
        </w:tcPr>
        <w:p w:rsidR="00E31F20" w:rsidRPr="00102926" w:rsidRDefault="00E31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31F20" w:rsidRPr="00782AE4" w:rsidRDefault="00E31F20" w:rsidP="00102926">
          <w:pPr>
            <w:keepLines/>
            <w:tabs>
              <w:tab w:val="left" w:pos="-1440"/>
              <w:tab w:val="left" w:pos="-720"/>
            </w:tabs>
            <w:rPr>
              <w:sz w:val="20"/>
              <w:szCs w:val="20"/>
            </w:rPr>
          </w:pPr>
          <w:r w:rsidRPr="00102926">
            <w:rPr>
              <w:sz w:val="20"/>
              <w:szCs w:val="20"/>
              <w:lang w:val="fr-CA"/>
            </w:rPr>
            <w:t>RÉCENTS</w:t>
          </w:r>
        </w:p>
      </w:tc>
    </w:tr>
  </w:tbl>
  <w:p w:rsidR="00E31F20" w:rsidRDefault="00E31F2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E31F20" w:rsidRPr="0044776A" w:rsidTr="00245129">
      <w:tc>
        <w:tcPr>
          <w:tcW w:w="4290" w:type="dxa"/>
          <w:tcMar>
            <w:left w:w="0" w:type="dxa"/>
            <w:right w:w="0" w:type="dxa"/>
          </w:tcMar>
        </w:tcPr>
        <w:p w:rsidR="00E31F20" w:rsidRPr="0044776A" w:rsidRDefault="00E31F2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31F20" w:rsidRPr="0044776A" w:rsidRDefault="00E31F20" w:rsidP="002E2327">
          <w:pPr>
            <w:keepNext/>
            <w:keepLines/>
            <w:tabs>
              <w:tab w:val="left" w:pos="-1440"/>
              <w:tab w:val="left" w:pos="-720"/>
            </w:tabs>
            <w:jc w:val="center"/>
            <w:rPr>
              <w:sz w:val="20"/>
              <w:szCs w:val="20"/>
            </w:rPr>
          </w:pPr>
        </w:p>
        <w:p w:rsidR="00E31F20" w:rsidRPr="0044776A" w:rsidRDefault="00E31F20" w:rsidP="002E2327">
          <w:pPr>
            <w:keepNext/>
            <w:keepLines/>
            <w:tabs>
              <w:tab w:val="left" w:pos="-1440"/>
              <w:tab w:val="left" w:pos="-720"/>
            </w:tabs>
            <w:jc w:val="center"/>
            <w:rPr>
              <w:sz w:val="20"/>
              <w:szCs w:val="20"/>
            </w:rPr>
          </w:pPr>
        </w:p>
        <w:p w:rsidR="00E31F20" w:rsidRPr="0044776A" w:rsidRDefault="00E31F20" w:rsidP="002E2327">
          <w:pPr>
            <w:keepNext/>
            <w:keepLines/>
            <w:tabs>
              <w:tab w:val="left" w:pos="-1440"/>
              <w:tab w:val="left" w:pos="-720"/>
            </w:tabs>
            <w:jc w:val="center"/>
            <w:rPr>
              <w:sz w:val="20"/>
              <w:szCs w:val="20"/>
            </w:rPr>
          </w:pPr>
        </w:p>
      </w:tc>
      <w:tc>
        <w:tcPr>
          <w:tcW w:w="4320" w:type="dxa"/>
          <w:tcMar>
            <w:left w:w="0" w:type="dxa"/>
            <w:right w:w="0" w:type="dxa"/>
          </w:tcMar>
        </w:tcPr>
        <w:p w:rsidR="00E31F20" w:rsidRPr="0044776A" w:rsidRDefault="00E31F20" w:rsidP="002E2327">
          <w:pPr>
            <w:keepLines/>
            <w:rPr>
              <w:sz w:val="20"/>
              <w:szCs w:val="20"/>
              <w:lang w:val="fr-CA"/>
            </w:rPr>
          </w:pPr>
          <w:r w:rsidRPr="0044776A">
            <w:rPr>
              <w:sz w:val="20"/>
              <w:szCs w:val="20"/>
              <w:lang w:val="fr-CA"/>
            </w:rPr>
            <w:t>DEMANDES D'AUTORISATION D'APPEL DÉPOSÉES</w:t>
          </w:r>
        </w:p>
      </w:tc>
    </w:tr>
  </w:tbl>
  <w:p w:rsidR="00E31F20" w:rsidRDefault="00E31F2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31F20" w:rsidRPr="00AB7F34" w:rsidTr="00245129">
      <w:tc>
        <w:tcPr>
          <w:tcW w:w="4200" w:type="dxa"/>
          <w:tcMar>
            <w:left w:w="0" w:type="dxa"/>
            <w:right w:w="0" w:type="dxa"/>
          </w:tcMar>
        </w:tcPr>
        <w:p w:rsidR="00E31F20" w:rsidRPr="0044776A" w:rsidRDefault="00E31F20" w:rsidP="0044776A">
          <w:pPr>
            <w:keepNext/>
            <w:keepLines/>
            <w:widowControl w:val="0"/>
            <w:rPr>
              <w:sz w:val="20"/>
              <w:szCs w:val="20"/>
            </w:rPr>
          </w:pPr>
          <w:r>
            <w:rPr>
              <w:sz w:val="20"/>
              <w:szCs w:val="20"/>
            </w:rPr>
            <w:t>APPLICATIONS FOR LEAVE</w:t>
          </w:r>
        </w:p>
        <w:p w:rsidR="00E31F20" w:rsidRPr="0044776A" w:rsidRDefault="00E31F2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31F20" w:rsidRPr="0044776A" w:rsidRDefault="00E31F20" w:rsidP="0044776A">
          <w:pPr>
            <w:keepNext/>
            <w:keepLines/>
            <w:widowControl w:val="0"/>
            <w:jc w:val="center"/>
            <w:rPr>
              <w:sz w:val="20"/>
              <w:szCs w:val="20"/>
            </w:rPr>
          </w:pPr>
        </w:p>
        <w:p w:rsidR="00E31F20" w:rsidRPr="0044776A" w:rsidRDefault="00E31F20" w:rsidP="0044776A">
          <w:pPr>
            <w:keepNext/>
            <w:keepLines/>
            <w:widowControl w:val="0"/>
            <w:jc w:val="center"/>
            <w:rPr>
              <w:sz w:val="20"/>
              <w:szCs w:val="20"/>
            </w:rPr>
          </w:pPr>
        </w:p>
        <w:p w:rsidR="00E31F20" w:rsidRPr="0044776A" w:rsidRDefault="00E31F20" w:rsidP="0044776A">
          <w:pPr>
            <w:keepNext/>
            <w:keepLines/>
            <w:widowControl w:val="0"/>
            <w:jc w:val="center"/>
            <w:rPr>
              <w:sz w:val="20"/>
              <w:szCs w:val="20"/>
            </w:rPr>
          </w:pPr>
        </w:p>
      </w:tc>
      <w:tc>
        <w:tcPr>
          <w:tcW w:w="4080" w:type="dxa"/>
          <w:tcMar>
            <w:left w:w="0" w:type="dxa"/>
            <w:right w:w="0" w:type="dxa"/>
          </w:tcMar>
        </w:tcPr>
        <w:p w:rsidR="00E31F20" w:rsidRPr="0044776A" w:rsidRDefault="00E31F20" w:rsidP="0044776A">
          <w:pPr>
            <w:keepLines/>
            <w:widowControl w:val="0"/>
            <w:rPr>
              <w:sz w:val="20"/>
              <w:szCs w:val="20"/>
              <w:lang w:val="fr-CA"/>
            </w:rPr>
          </w:pPr>
          <w:r w:rsidRPr="0044776A">
            <w:rPr>
              <w:sz w:val="20"/>
              <w:szCs w:val="20"/>
              <w:lang w:val="fr-CA"/>
            </w:rPr>
            <w:t>DEMANDES SOUMISES À LA COUR DEPUIS LA DERNIÈRE PARUTION</w:t>
          </w:r>
        </w:p>
        <w:p w:rsidR="00E31F20" w:rsidRPr="0044776A" w:rsidRDefault="00E31F20" w:rsidP="0044776A">
          <w:pPr>
            <w:widowControl w:val="0"/>
            <w:rPr>
              <w:sz w:val="20"/>
              <w:szCs w:val="20"/>
              <w:lang w:val="fr-CA"/>
            </w:rPr>
          </w:pPr>
        </w:p>
      </w:tc>
    </w:tr>
  </w:tbl>
  <w:p w:rsidR="00E31F20" w:rsidRPr="002E2327" w:rsidRDefault="00E31F20">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0" w:rsidRDefault="00E31F2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E31F20" w:rsidRPr="00AB7F34">
      <w:tc>
        <w:tcPr>
          <w:tcW w:w="4200" w:type="dxa"/>
          <w:tcMar>
            <w:left w:w="0" w:type="dxa"/>
            <w:right w:w="0" w:type="dxa"/>
          </w:tcMar>
        </w:tcPr>
        <w:p w:rsidR="00E31F20" w:rsidRDefault="00E31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31F20" w:rsidRDefault="00E31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31F20" w:rsidRDefault="00E31F2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31F20" w:rsidRPr="00FF6BA5" w:rsidRDefault="00E31F2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31F20" w:rsidRPr="00FF6BA5"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31F20" w:rsidRPr="00FF6BA5"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31F20" w:rsidRPr="00FF6BA5" w:rsidRDefault="00E31F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E31F20" w:rsidRPr="00AB7F34" w:rsidTr="00245129">
      <w:tc>
        <w:tcPr>
          <w:tcW w:w="4200" w:type="dxa"/>
          <w:tcMar>
            <w:left w:w="0" w:type="dxa"/>
            <w:right w:w="0" w:type="dxa"/>
          </w:tcMar>
        </w:tcPr>
        <w:p w:rsidR="00E31F20" w:rsidRPr="00755F22" w:rsidRDefault="00E31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31F20" w:rsidRPr="00755F22" w:rsidRDefault="00E31F2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31F20" w:rsidRPr="00755F22" w:rsidRDefault="00E31F2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31F20" w:rsidRPr="00755F22" w:rsidRDefault="00E31F2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31F20" w:rsidRPr="00755F22" w:rsidRDefault="00E31F2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31F20" w:rsidRPr="00755F22" w:rsidRDefault="00E31F2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31F20" w:rsidRPr="00FF6BA5" w:rsidRDefault="00E31F20"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7661"/>
  </w:hdrShapeDefaults>
  <w:footnotePr>
    <w:footnote w:id="-1"/>
    <w:footnote w:id="0"/>
  </w:footnotePr>
  <w:endnotePr>
    <w:endnote w:id="-1"/>
    <w:endnote w:id="0"/>
  </w:endnotePr>
  <w:compat/>
  <w:rsids>
    <w:rsidRoot w:val="00444EFC"/>
    <w:rsid w:val="00024935"/>
    <w:rsid w:val="000327B2"/>
    <w:rsid w:val="00096BD9"/>
    <w:rsid w:val="000B3C9A"/>
    <w:rsid w:val="000B40A2"/>
    <w:rsid w:val="000C0ACD"/>
    <w:rsid w:val="00102926"/>
    <w:rsid w:val="0010431F"/>
    <w:rsid w:val="0010587F"/>
    <w:rsid w:val="00107746"/>
    <w:rsid w:val="00111C6B"/>
    <w:rsid w:val="0013369E"/>
    <w:rsid w:val="00164E6D"/>
    <w:rsid w:val="001A3224"/>
    <w:rsid w:val="001B2464"/>
    <w:rsid w:val="001B5C23"/>
    <w:rsid w:val="001B7F1C"/>
    <w:rsid w:val="001D0D5F"/>
    <w:rsid w:val="001D6B8C"/>
    <w:rsid w:val="001E60EC"/>
    <w:rsid w:val="001F1F83"/>
    <w:rsid w:val="002021A9"/>
    <w:rsid w:val="002139A7"/>
    <w:rsid w:val="00214711"/>
    <w:rsid w:val="00215F7C"/>
    <w:rsid w:val="0022323B"/>
    <w:rsid w:val="002410B8"/>
    <w:rsid w:val="00242AEE"/>
    <w:rsid w:val="00245129"/>
    <w:rsid w:val="00245879"/>
    <w:rsid w:val="00263790"/>
    <w:rsid w:val="00267FD5"/>
    <w:rsid w:val="002868D0"/>
    <w:rsid w:val="002B516C"/>
    <w:rsid w:val="002C4486"/>
    <w:rsid w:val="002D72EB"/>
    <w:rsid w:val="002E2327"/>
    <w:rsid w:val="002E3583"/>
    <w:rsid w:val="002E5576"/>
    <w:rsid w:val="00331B52"/>
    <w:rsid w:val="00331EF2"/>
    <w:rsid w:val="00343ED8"/>
    <w:rsid w:val="0034540E"/>
    <w:rsid w:val="00355967"/>
    <w:rsid w:val="00382C47"/>
    <w:rsid w:val="00384384"/>
    <w:rsid w:val="003902DD"/>
    <w:rsid w:val="003B3977"/>
    <w:rsid w:val="003E529C"/>
    <w:rsid w:val="004246B1"/>
    <w:rsid w:val="00432989"/>
    <w:rsid w:val="00440E24"/>
    <w:rsid w:val="00444EFC"/>
    <w:rsid w:val="0044776A"/>
    <w:rsid w:val="00460AFC"/>
    <w:rsid w:val="00472ED4"/>
    <w:rsid w:val="0047471F"/>
    <w:rsid w:val="0047650D"/>
    <w:rsid w:val="004919E3"/>
    <w:rsid w:val="004B66B4"/>
    <w:rsid w:val="004C1AAC"/>
    <w:rsid w:val="004F090E"/>
    <w:rsid w:val="00527CC7"/>
    <w:rsid w:val="005666FF"/>
    <w:rsid w:val="00571CA4"/>
    <w:rsid w:val="00582136"/>
    <w:rsid w:val="005B054B"/>
    <w:rsid w:val="005B6444"/>
    <w:rsid w:val="005C28A9"/>
    <w:rsid w:val="005C461D"/>
    <w:rsid w:val="005C4973"/>
    <w:rsid w:val="005C51DB"/>
    <w:rsid w:val="005C6840"/>
    <w:rsid w:val="005F263E"/>
    <w:rsid w:val="00600252"/>
    <w:rsid w:val="006023CD"/>
    <w:rsid w:val="00606DFC"/>
    <w:rsid w:val="00607422"/>
    <w:rsid w:val="00612A40"/>
    <w:rsid w:val="0061611D"/>
    <w:rsid w:val="0061618F"/>
    <w:rsid w:val="006731C9"/>
    <w:rsid w:val="00675479"/>
    <w:rsid w:val="00675CE9"/>
    <w:rsid w:val="00697C62"/>
    <w:rsid w:val="006A329B"/>
    <w:rsid w:val="006A7EB8"/>
    <w:rsid w:val="006B49B0"/>
    <w:rsid w:val="006B6926"/>
    <w:rsid w:val="006C3F47"/>
    <w:rsid w:val="006C5F7A"/>
    <w:rsid w:val="006F350F"/>
    <w:rsid w:val="0070396C"/>
    <w:rsid w:val="00732DB7"/>
    <w:rsid w:val="00745CFE"/>
    <w:rsid w:val="00755F22"/>
    <w:rsid w:val="00766E4A"/>
    <w:rsid w:val="007820CE"/>
    <w:rsid w:val="00782AE4"/>
    <w:rsid w:val="0079724F"/>
    <w:rsid w:val="007A3EAE"/>
    <w:rsid w:val="007C04FC"/>
    <w:rsid w:val="007D3E0F"/>
    <w:rsid w:val="007D613E"/>
    <w:rsid w:val="007F387B"/>
    <w:rsid w:val="00802863"/>
    <w:rsid w:val="00815B3C"/>
    <w:rsid w:val="0082783A"/>
    <w:rsid w:val="00831CA9"/>
    <w:rsid w:val="00850E1F"/>
    <w:rsid w:val="00851FCB"/>
    <w:rsid w:val="0085476B"/>
    <w:rsid w:val="00890FEB"/>
    <w:rsid w:val="00891C10"/>
    <w:rsid w:val="008A4FDF"/>
    <w:rsid w:val="008D292F"/>
    <w:rsid w:val="008E03DC"/>
    <w:rsid w:val="008F3FC7"/>
    <w:rsid w:val="009122D4"/>
    <w:rsid w:val="009131FA"/>
    <w:rsid w:val="00924065"/>
    <w:rsid w:val="00930D68"/>
    <w:rsid w:val="00932DB4"/>
    <w:rsid w:val="00936957"/>
    <w:rsid w:val="009460B3"/>
    <w:rsid w:val="00946242"/>
    <w:rsid w:val="0095096B"/>
    <w:rsid w:val="00970CD3"/>
    <w:rsid w:val="009723FA"/>
    <w:rsid w:val="00984546"/>
    <w:rsid w:val="00996510"/>
    <w:rsid w:val="009B7E09"/>
    <w:rsid w:val="009D1F15"/>
    <w:rsid w:val="009D555E"/>
    <w:rsid w:val="009F33D1"/>
    <w:rsid w:val="00A0355E"/>
    <w:rsid w:val="00A375D1"/>
    <w:rsid w:val="00A51D10"/>
    <w:rsid w:val="00A52A83"/>
    <w:rsid w:val="00A87207"/>
    <w:rsid w:val="00A935AA"/>
    <w:rsid w:val="00AB2201"/>
    <w:rsid w:val="00AB7F34"/>
    <w:rsid w:val="00AE09A3"/>
    <w:rsid w:val="00AE43BF"/>
    <w:rsid w:val="00AE499C"/>
    <w:rsid w:val="00AE4F42"/>
    <w:rsid w:val="00AF1715"/>
    <w:rsid w:val="00AF3904"/>
    <w:rsid w:val="00AF3B72"/>
    <w:rsid w:val="00AF63D3"/>
    <w:rsid w:val="00B010C0"/>
    <w:rsid w:val="00B12ED2"/>
    <w:rsid w:val="00B4740D"/>
    <w:rsid w:val="00B61629"/>
    <w:rsid w:val="00B7374B"/>
    <w:rsid w:val="00B90DC0"/>
    <w:rsid w:val="00BA116A"/>
    <w:rsid w:val="00BA161A"/>
    <w:rsid w:val="00BA5582"/>
    <w:rsid w:val="00BA6468"/>
    <w:rsid w:val="00BD06DA"/>
    <w:rsid w:val="00BD4217"/>
    <w:rsid w:val="00BE7681"/>
    <w:rsid w:val="00BF25F3"/>
    <w:rsid w:val="00C155B1"/>
    <w:rsid w:val="00C1697B"/>
    <w:rsid w:val="00C22C82"/>
    <w:rsid w:val="00C50A5C"/>
    <w:rsid w:val="00C50FDF"/>
    <w:rsid w:val="00C73E1B"/>
    <w:rsid w:val="00C77713"/>
    <w:rsid w:val="00C869D3"/>
    <w:rsid w:val="00C90399"/>
    <w:rsid w:val="00CA2A5A"/>
    <w:rsid w:val="00CA7C12"/>
    <w:rsid w:val="00CB43D5"/>
    <w:rsid w:val="00CC4D84"/>
    <w:rsid w:val="00D02375"/>
    <w:rsid w:val="00D64901"/>
    <w:rsid w:val="00D76BDF"/>
    <w:rsid w:val="00D862C1"/>
    <w:rsid w:val="00D93B50"/>
    <w:rsid w:val="00D94670"/>
    <w:rsid w:val="00DD0B49"/>
    <w:rsid w:val="00E022C0"/>
    <w:rsid w:val="00E06DFA"/>
    <w:rsid w:val="00E31F20"/>
    <w:rsid w:val="00E356C7"/>
    <w:rsid w:val="00E4122F"/>
    <w:rsid w:val="00E64FA7"/>
    <w:rsid w:val="00E770CB"/>
    <w:rsid w:val="00E940EB"/>
    <w:rsid w:val="00EB2B90"/>
    <w:rsid w:val="00EB3462"/>
    <w:rsid w:val="00ED7E83"/>
    <w:rsid w:val="00EF4B63"/>
    <w:rsid w:val="00F0068D"/>
    <w:rsid w:val="00F0576D"/>
    <w:rsid w:val="00F1263D"/>
    <w:rsid w:val="00F15EA8"/>
    <w:rsid w:val="00F16C8D"/>
    <w:rsid w:val="00F26C61"/>
    <w:rsid w:val="00F33CCE"/>
    <w:rsid w:val="00F40249"/>
    <w:rsid w:val="00F526C8"/>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qFormat/>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styleId="Quote">
    <w:name w:val="Quote"/>
    <w:basedOn w:val="Normal"/>
    <w:next w:val="Normal"/>
    <w:link w:val="QuoteChar"/>
    <w:uiPriority w:val="29"/>
    <w:qFormat/>
    <w:rsid w:val="003902DD"/>
    <w:rPr>
      <w:rFonts w:cs="Times New Roman"/>
      <w:i/>
      <w:iCs/>
      <w:color w:val="000000" w:themeColor="text1"/>
      <w:szCs w:val="20"/>
      <w:lang w:val="fr-CA" w:eastAsia="en-CA"/>
    </w:rPr>
  </w:style>
  <w:style w:type="character" w:customStyle="1" w:styleId="QuoteChar">
    <w:name w:val="Quote Char"/>
    <w:basedOn w:val="DefaultParagraphFont"/>
    <w:link w:val="Quote"/>
    <w:uiPriority w:val="29"/>
    <w:rsid w:val="003902DD"/>
    <w:rPr>
      <w:rFonts w:cs="Times New Roman"/>
      <w:i/>
      <w:iCs/>
      <w:color w:val="000000" w:themeColor="text1"/>
      <w:szCs w:val="20"/>
      <w:lang w:val="fr-CA" w:eastAsia="en-CA"/>
    </w:rPr>
  </w:style>
  <w:style w:type="paragraph" w:customStyle="1" w:styleId="SCCLsocParty">
    <w:name w:val="SCC.Lsoc.Party"/>
    <w:basedOn w:val="Normal"/>
    <w:next w:val="Normal"/>
    <w:link w:val="SCCLsocPartyChar"/>
    <w:rsid w:val="009131FA"/>
    <w:pPr>
      <w:jc w:val="center"/>
    </w:pPr>
    <w:rPr>
      <w:rFonts w:eastAsia="Calibri" w:cs="Times New Roman"/>
      <w:lang w:val="fr-CA"/>
    </w:rPr>
  </w:style>
  <w:style w:type="character" w:customStyle="1" w:styleId="SCCLsocPartyChar">
    <w:name w:val="SCC.Lsoc.Party Char"/>
    <w:basedOn w:val="DefaultParagraphFont"/>
    <w:link w:val="SCCLsocParty"/>
    <w:rsid w:val="009131FA"/>
    <w:rPr>
      <w:rFonts w:eastAsia="Calibri" w:cs="Times New Roman"/>
      <w:lang w:val="fr-CA"/>
    </w:rPr>
  </w:style>
  <w:style w:type="paragraph" w:customStyle="1" w:styleId="SCCFileNumber">
    <w:name w:val="SCC.FileNumber"/>
    <w:basedOn w:val="Normal"/>
    <w:next w:val="Normal"/>
    <w:link w:val="SCCFileNumberChar"/>
    <w:rsid w:val="009131FA"/>
    <w:pPr>
      <w:jc w:val="both"/>
    </w:pPr>
    <w:rPr>
      <w:rFonts w:eastAsia="Calibri" w:cs="Times New Roman"/>
      <w:b/>
    </w:rPr>
  </w:style>
  <w:style w:type="character" w:customStyle="1" w:styleId="SCCFileNumberChar">
    <w:name w:val="SCC.FileNumber Char"/>
    <w:basedOn w:val="DefaultParagraphFont"/>
    <w:link w:val="SCCFileNumber"/>
    <w:rsid w:val="009131FA"/>
    <w:rPr>
      <w:rFonts w:eastAsia="Calibri" w:cs="Times New Roman"/>
      <w:b/>
      <w:lang w:val="en-CA"/>
    </w:rPr>
  </w:style>
  <w:style w:type="paragraph" w:customStyle="1" w:styleId="SCCLsoc">
    <w:name w:val="SCC.Lsoc"/>
    <w:basedOn w:val="Normal"/>
    <w:next w:val="Normal"/>
    <w:link w:val="SCCLsocChar"/>
    <w:rsid w:val="008F3FC7"/>
    <w:pPr>
      <w:jc w:val="center"/>
    </w:pPr>
    <w:rPr>
      <w:b/>
      <w:szCs w:val="24"/>
      <w:u w:val="single"/>
      <w:lang w:val="fr-CA"/>
    </w:rPr>
  </w:style>
  <w:style w:type="character" w:customStyle="1" w:styleId="SCCLsocChar">
    <w:name w:val="SCC.Lsoc Char"/>
    <w:basedOn w:val="DefaultParagraphFont"/>
    <w:link w:val="SCCLsoc"/>
    <w:rsid w:val="008F3FC7"/>
    <w:rPr>
      <w:b/>
      <w:szCs w:val="24"/>
      <w:u w:val="single"/>
      <w:lang w:val="fr-CA"/>
    </w:rPr>
  </w:style>
  <w:style w:type="paragraph" w:customStyle="1" w:styleId="SCCCoram">
    <w:name w:val="SCC.Coram"/>
    <w:basedOn w:val="Normal"/>
    <w:next w:val="Normal"/>
    <w:link w:val="SCCCoramChar"/>
    <w:rsid w:val="008F3FC7"/>
    <w:pPr>
      <w:jc w:val="center"/>
    </w:pPr>
    <w:rPr>
      <w:szCs w:val="24"/>
      <w:u w:val="single"/>
      <w:lang w:val="fr-CA"/>
    </w:rPr>
  </w:style>
  <w:style w:type="character" w:customStyle="1" w:styleId="SCCCoramChar">
    <w:name w:val="SCC.Coram Char"/>
    <w:basedOn w:val="DefaultParagraphFont"/>
    <w:link w:val="SCCCoram"/>
    <w:rsid w:val="008F3FC7"/>
    <w:rPr>
      <w:szCs w:val="24"/>
      <w:u w:val="single"/>
      <w:lang w:val="fr-CA"/>
    </w:rPr>
  </w:style>
  <w:style w:type="paragraph" w:customStyle="1" w:styleId="SCCShortJudgment">
    <w:name w:val="SCC.ShortJudgment"/>
    <w:basedOn w:val="Normal"/>
    <w:qFormat/>
    <w:rsid w:val="008F3FC7"/>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3AB1-482C-4CC6-8A51-E8348864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18311</Words>
  <Characters>104377</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2011-02-14T18:43:00Z</dcterms:created>
  <dcterms:modified xsi:type="dcterms:W3CDTF">2011-02-14T18:53:00Z</dcterms:modified>
</cp:coreProperties>
</file>