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customXml/itemProps1.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Default Extension="wmf" ContentType="image/x-wmf"/>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2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5F3" w:rsidRPr="002E2327" w:rsidRDefault="00382C47">
      <w:r w:rsidRPr="002E2327">
        <w:rPr>
          <w:noProof/>
          <w:lang w:eastAsia="en-CA"/>
        </w:rPr>
        <w:drawing>
          <wp:anchor distT="57150" distB="57150" distL="57150" distR="57150" simplePos="0" relativeHeight="251659264" behindDoc="0" locked="0" layoutInCell="0" allowOverlap="1">
            <wp:simplePos x="0" y="0"/>
            <wp:positionH relativeFrom="margin">
              <wp:align>center</wp:align>
            </wp:positionH>
            <wp:positionV relativeFrom="margin">
              <wp:posOffset>133350</wp:posOffset>
            </wp:positionV>
            <wp:extent cx="1276350" cy="16668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276350" cy="1666875"/>
                    </a:xfrm>
                    <a:prstGeom prst="rect">
                      <a:avLst/>
                    </a:prstGeom>
                    <a:noFill/>
                    <a:ln w="9525">
                      <a:noFill/>
                      <a:miter lim="800000"/>
                      <a:headEnd/>
                      <a:tailEnd/>
                    </a:ln>
                  </pic:spPr>
                </pic:pic>
              </a:graphicData>
            </a:graphic>
          </wp:anchor>
        </w:drawing>
      </w:r>
    </w:p>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384384" w:rsidRPr="002E2327" w:rsidRDefault="00BF25F3" w:rsidP="00BF25F3">
      <w:pPr>
        <w:tabs>
          <w:tab w:val="left" w:pos="6075"/>
        </w:tabs>
      </w:pPr>
      <w:r w:rsidRPr="002E2327">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45145A"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45145A"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45145A"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Subscriptions may be had at $300 per year, payable in advance, in accordance with the Court tariff.  During Court sessions it 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prix de l'abonnement, fixé dans le tarif de la Cour, est de 300 $ l'an, payable d'avance.  Le Bulletin paraît en principe toutes les semaines pendant les sessions de la Cour.</w:t>
            </w:r>
          </w:p>
        </w:tc>
      </w:tr>
      <w:tr w:rsidR="00BF25F3" w:rsidRPr="0045145A"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45145A" w:rsidTr="002E5576">
        <w:tc>
          <w:tcPr>
            <w:tcW w:w="4518" w:type="dxa"/>
          </w:tcPr>
          <w:p w:rsidR="00BF25F3" w:rsidRPr="002E2327" w:rsidRDefault="0004334C"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04334C"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bl>
    <w:p w:rsidR="00BF25F3" w:rsidRPr="00675479" w:rsidRDefault="00BF25F3" w:rsidP="00BF25F3">
      <w:pPr>
        <w:tabs>
          <w:tab w:val="left" w:pos="6075"/>
        </w:tabs>
        <w:rPr>
          <w:lang w:val="fr-CA"/>
        </w:rPr>
      </w:pPr>
    </w:p>
    <w:p w:rsidR="00600252" w:rsidRPr="00675479" w:rsidRDefault="00600252" w:rsidP="00BF25F3">
      <w:pPr>
        <w:pBdr>
          <w:bottom w:val="single" w:sz="6" w:space="1" w:color="auto"/>
        </w:pBdr>
        <w:tabs>
          <w:tab w:val="left" w:pos="6075"/>
        </w:tabs>
        <w:rPr>
          <w:lang w:val="fr-CA"/>
        </w:rPr>
      </w:pPr>
    </w:p>
    <w:p w:rsidR="00440E24" w:rsidRPr="00675479" w:rsidRDefault="00440E24" w:rsidP="00440E24">
      <w:pPr>
        <w:pBdr>
          <w:bottom w:val="single" w:sz="6" w:space="1" w:color="auto"/>
        </w:pBdr>
        <w:tabs>
          <w:tab w:val="left" w:pos="6075"/>
        </w:tabs>
        <w:rPr>
          <w:lang w:val="fr-CA"/>
        </w:rPr>
      </w:pPr>
    </w:p>
    <w:p w:rsidR="00440E24" w:rsidRPr="00675479" w:rsidRDefault="00440E24" w:rsidP="00440E24">
      <w:pPr>
        <w:rPr>
          <w:lang w:val="fr-CA"/>
        </w:rPr>
      </w:pPr>
    </w:p>
    <w:p w:rsidR="00600252" w:rsidRPr="00675479" w:rsidRDefault="00366E24" w:rsidP="00F0068D">
      <w:pPr>
        <w:pBdr>
          <w:bottom w:val="single" w:sz="6" w:space="1" w:color="auto"/>
        </w:pBdr>
        <w:tabs>
          <w:tab w:val="center" w:pos="4680"/>
          <w:tab w:val="right" w:pos="9360"/>
        </w:tabs>
        <w:rPr>
          <w:lang w:val="fr-CA"/>
        </w:rPr>
      </w:pPr>
      <w:r>
        <w:rPr>
          <w:lang w:val="fr-CA"/>
        </w:rPr>
        <w:t>March 11</w:t>
      </w:r>
      <w:r w:rsidR="00440E24" w:rsidRPr="00675479">
        <w:rPr>
          <w:lang w:val="fr-CA"/>
        </w:rPr>
        <w:t>, 201</w:t>
      </w:r>
      <w:r>
        <w:rPr>
          <w:lang w:val="fr-CA"/>
        </w:rPr>
        <w:t>1</w:t>
      </w:r>
      <w:r w:rsidR="00F0068D" w:rsidRPr="00675479">
        <w:rPr>
          <w:lang w:val="fr-CA"/>
        </w:rPr>
        <w:tab/>
      </w:r>
      <w:r w:rsidR="00124235">
        <w:rPr>
          <w:lang w:val="fr-CA"/>
        </w:rPr>
        <w:t>344</w:t>
      </w:r>
      <w:r w:rsidR="00F0068D" w:rsidRPr="00675479">
        <w:rPr>
          <w:lang w:val="fr-CA"/>
        </w:rPr>
        <w:t xml:space="preserve"> - </w:t>
      </w:r>
      <w:r w:rsidR="00D16C03">
        <w:rPr>
          <w:lang w:val="fr-CA"/>
        </w:rPr>
        <w:t>374</w:t>
      </w:r>
      <w:r w:rsidR="00440E24" w:rsidRPr="00675479">
        <w:rPr>
          <w:lang w:val="fr-CA"/>
        </w:rPr>
        <w:tab/>
      </w:r>
      <w:r w:rsidR="00440E24" w:rsidRPr="002E2327">
        <w:rPr>
          <w:lang w:val="fr-CA"/>
        </w:rPr>
        <w:t xml:space="preserve">Le </w:t>
      </w:r>
      <w:r>
        <w:rPr>
          <w:lang w:val="fr-CA"/>
        </w:rPr>
        <w:t>11 m</w:t>
      </w:r>
      <w:r w:rsidR="00440E24" w:rsidRPr="002E2327">
        <w:rPr>
          <w:lang w:val="fr-CA"/>
        </w:rPr>
        <w:t>ar</w:t>
      </w:r>
      <w:r>
        <w:rPr>
          <w:lang w:val="fr-CA"/>
        </w:rPr>
        <w:t>s</w:t>
      </w:r>
      <w:r w:rsidR="00440E24" w:rsidRPr="002E2327">
        <w:rPr>
          <w:lang w:val="fr-CA"/>
        </w:rPr>
        <w:t xml:space="preserve"> 201</w:t>
      </w:r>
      <w:r>
        <w:rPr>
          <w:lang w:val="fr-CA"/>
        </w:rPr>
        <w:t>1</w:t>
      </w:r>
    </w:p>
    <w:p w:rsidR="00440E24" w:rsidRPr="00675479" w:rsidRDefault="00440E24" w:rsidP="00440E24">
      <w:pPr>
        <w:pBdr>
          <w:bottom w:val="single" w:sz="6" w:space="1" w:color="auto"/>
        </w:pBdr>
        <w:tabs>
          <w:tab w:val="right" w:pos="9360"/>
        </w:tabs>
        <w:rPr>
          <w:lang w:val="fr-CA"/>
        </w:rPr>
      </w:pPr>
    </w:p>
    <w:p w:rsidR="00440E24" w:rsidRPr="007F387B" w:rsidRDefault="00440E24" w:rsidP="00440E24">
      <w:pPr>
        <w:pBdr>
          <w:bottom w:val="single" w:sz="6" w:space="1" w:color="auto"/>
        </w:pBdr>
        <w:tabs>
          <w:tab w:val="right" w:pos="9360"/>
        </w:tabs>
        <w:rPr>
          <w:sz w:val="18"/>
          <w:szCs w:val="18"/>
          <w:lang w:val="fr-CA"/>
        </w:rPr>
      </w:pPr>
      <w:r w:rsidRPr="007F387B">
        <w:rPr>
          <w:sz w:val="18"/>
          <w:szCs w:val="18"/>
          <w:lang w:val="fr-CA"/>
        </w:rPr>
        <w:t xml:space="preserve">© </w:t>
      </w:r>
      <w:proofErr w:type="spellStart"/>
      <w:r w:rsidRPr="007F387B">
        <w:rPr>
          <w:sz w:val="18"/>
          <w:szCs w:val="18"/>
          <w:lang w:val="fr-CA"/>
        </w:rPr>
        <w:t>Supreme</w:t>
      </w:r>
      <w:proofErr w:type="spellEnd"/>
      <w:r w:rsidRPr="007F387B">
        <w:rPr>
          <w:sz w:val="18"/>
          <w:szCs w:val="18"/>
          <w:lang w:val="fr-CA"/>
        </w:rPr>
        <w:t xml:space="preserve"> Court of Canada (201</w:t>
      </w:r>
      <w:r w:rsidR="00D94670" w:rsidRPr="007F387B">
        <w:rPr>
          <w:sz w:val="18"/>
          <w:szCs w:val="18"/>
          <w:lang w:val="fr-CA"/>
        </w:rPr>
        <w:t>1</w:t>
      </w:r>
      <w:r w:rsidRPr="007F387B">
        <w:rPr>
          <w:sz w:val="18"/>
          <w:szCs w:val="18"/>
          <w:lang w:val="fr-CA"/>
        </w:rPr>
        <w:t>)</w:t>
      </w:r>
      <w:r w:rsidRPr="007F387B">
        <w:rPr>
          <w:sz w:val="18"/>
          <w:szCs w:val="18"/>
          <w:lang w:val="fr-CA"/>
        </w:rPr>
        <w:tab/>
        <w:t>© Cour suprême du Canada (201</w:t>
      </w:r>
      <w:r w:rsidR="00D94670" w:rsidRPr="007F387B">
        <w:rPr>
          <w:sz w:val="18"/>
          <w:szCs w:val="18"/>
          <w:lang w:val="fr-CA"/>
        </w:rPr>
        <w:t>1</w:t>
      </w:r>
      <w:r w:rsidRPr="007F387B">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1193-8536 (</w:t>
      </w:r>
      <w:proofErr w:type="spellStart"/>
      <w:r w:rsidRPr="00675479">
        <w:rPr>
          <w:sz w:val="18"/>
          <w:szCs w:val="18"/>
          <w:lang w:val="fr-CA"/>
        </w:rPr>
        <w:t>Print</w:t>
      </w:r>
      <w:proofErr w:type="spellEnd"/>
      <w:r w:rsidRPr="00675479">
        <w:rPr>
          <w:sz w:val="18"/>
          <w:szCs w:val="18"/>
          <w:lang w:val="fr-CA"/>
        </w:rPr>
        <w:t>)</w:t>
      </w:r>
      <w:r w:rsidRPr="00675479">
        <w:rPr>
          <w:sz w:val="18"/>
          <w:szCs w:val="18"/>
          <w:lang w:val="fr-CA"/>
        </w:rPr>
        <w:tab/>
        <w:t>ISSN 1193-8536 (</w:t>
      </w:r>
      <w:r w:rsidRPr="002E2327">
        <w:rPr>
          <w:sz w:val="18"/>
          <w:szCs w:val="18"/>
          <w:lang w:val="fr-CA"/>
        </w:rPr>
        <w:t>Imprimé</w:t>
      </w:r>
      <w:r w:rsidRPr="00675479">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Pr="00675479" w:rsidRDefault="00600252" w:rsidP="00BF25F3">
      <w:pPr>
        <w:pBdr>
          <w:bottom w:val="single" w:sz="6" w:space="1" w:color="auto"/>
        </w:pBdr>
        <w:tabs>
          <w:tab w:val="left" w:pos="6075"/>
        </w:tabs>
        <w:rPr>
          <w:lang w:val="fr-CA"/>
        </w:rPr>
      </w:pPr>
    </w:p>
    <w:p w:rsidR="00600252" w:rsidRPr="00675479" w:rsidRDefault="00600252">
      <w:pPr>
        <w:rPr>
          <w:lang w:val="fr-CA"/>
        </w:rPr>
      </w:pPr>
      <w:r w:rsidRPr="00675479">
        <w:rPr>
          <w:lang w:val="fr-CA"/>
        </w:rPr>
        <w:br w:type="page"/>
      </w:r>
    </w:p>
    <w:tbl>
      <w:tblPr>
        <w:tblW w:w="9540" w:type="dxa"/>
        <w:tblInd w:w="-90" w:type="dxa"/>
        <w:tblBorders>
          <w:bottom w:val="single" w:sz="8" w:space="0" w:color="auto"/>
        </w:tblBorders>
        <w:tblLayout w:type="fixed"/>
        <w:tblCellMar>
          <w:left w:w="0" w:type="dxa"/>
          <w:right w:w="0" w:type="dxa"/>
        </w:tblCellMar>
        <w:tblLook w:val="0000"/>
      </w:tblPr>
      <w:tblGrid>
        <w:gridCol w:w="4290"/>
        <w:gridCol w:w="1200"/>
        <w:gridCol w:w="4050"/>
      </w:tblGrid>
      <w:tr w:rsidR="00245129" w:rsidRPr="002E2327" w:rsidTr="00245129">
        <w:tc>
          <w:tcPr>
            <w:tcW w:w="4290" w:type="dxa"/>
            <w:shd w:val="clear" w:color="auto" w:fill="auto"/>
            <w:tcMar>
              <w:left w:w="0" w:type="dxa"/>
              <w:right w:w="0" w:type="dxa"/>
            </w:tcMar>
          </w:tcPr>
          <w:p w:rsidR="00245129" w:rsidRPr="002E2327" w:rsidRDefault="00245129" w:rsidP="00245129">
            <w:pPr>
              <w:jc w:val="both"/>
              <w:rPr>
                <w:rFonts w:eastAsia="Times New Roman" w:cs="Times New Roman"/>
                <w:b/>
                <w:sz w:val="20"/>
                <w:szCs w:val="20"/>
                <w:lang w:eastAsia="en-CA"/>
              </w:rPr>
            </w:pPr>
            <w:r w:rsidRPr="002E2327">
              <w:rPr>
                <w:b/>
              </w:rPr>
              <w:lastRenderedPageBreak/>
              <w:t>CONTENTS</w:t>
            </w:r>
          </w:p>
        </w:tc>
        <w:tc>
          <w:tcPr>
            <w:tcW w:w="1200" w:type="dxa"/>
            <w:shd w:val="clear" w:color="auto" w:fill="auto"/>
            <w:tcMar>
              <w:left w:w="0" w:type="dxa"/>
              <w:right w:w="0" w:type="dxa"/>
            </w:tcMar>
          </w:tcPr>
          <w:p w:rsidR="00245129" w:rsidRPr="002E2327" w:rsidRDefault="00245129" w:rsidP="00245129">
            <w:pPr>
              <w:jc w:val="center"/>
              <w:rPr>
                <w:rFonts w:eastAsia="Times New Roman" w:cs="Times New Roman"/>
                <w:b/>
                <w:sz w:val="20"/>
                <w:szCs w:val="20"/>
                <w:lang w:eastAsia="en-CA"/>
              </w:rPr>
            </w:pPr>
          </w:p>
          <w:p w:rsidR="00245129" w:rsidRPr="002E2327"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2E2327" w:rsidRDefault="00245129" w:rsidP="00245129">
            <w:pPr>
              <w:rPr>
                <w:rFonts w:eastAsia="Times New Roman" w:cs="Times New Roman"/>
                <w:b/>
                <w:sz w:val="20"/>
                <w:szCs w:val="20"/>
                <w:lang w:val="fr-CA" w:eastAsia="en-CA"/>
              </w:rPr>
            </w:pPr>
            <w:r w:rsidRPr="002E2327">
              <w:rPr>
                <w:b/>
                <w:lang w:val="fr-CA"/>
              </w:rPr>
              <w:t>TABLE DES MATIÈRES</w:t>
            </w:r>
          </w:p>
        </w:tc>
      </w:tr>
    </w:tbl>
    <w:p w:rsidR="0095096B" w:rsidRPr="002E2327"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08"/>
        <w:gridCol w:w="1980"/>
        <w:gridCol w:w="3888"/>
      </w:tblGrid>
      <w:tr w:rsidR="0095096B" w:rsidRPr="002E2327" w:rsidTr="00164E6D">
        <w:tc>
          <w:tcPr>
            <w:tcW w:w="3708" w:type="dxa"/>
          </w:tcPr>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to appeal </w:t>
            </w:r>
          </w:p>
          <w:p w:rsidR="0095096B" w:rsidRPr="002E2327" w:rsidRDefault="0095096B" w:rsidP="0095096B">
            <w:pPr>
              <w:tabs>
                <w:tab w:val="right" w:pos="9360"/>
              </w:tabs>
              <w:rPr>
                <w:rFonts w:cs="Times New Roman"/>
                <w:sz w:val="20"/>
                <w:szCs w:val="20"/>
              </w:rPr>
            </w:pPr>
            <w:r w:rsidRPr="002E2327">
              <w:rPr>
                <w:rFonts w:cs="Times New Roman"/>
                <w:sz w:val="20"/>
                <w:szCs w:val="20"/>
              </w:rPr>
              <w:t>filed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submitted </w:t>
            </w:r>
          </w:p>
          <w:p w:rsidR="0095096B" w:rsidRPr="002E2327" w:rsidRDefault="0095096B" w:rsidP="0095096B">
            <w:pPr>
              <w:tabs>
                <w:tab w:val="right" w:pos="9360"/>
              </w:tabs>
              <w:rPr>
                <w:rFonts w:cs="Times New Roman"/>
                <w:sz w:val="20"/>
                <w:szCs w:val="20"/>
              </w:rPr>
            </w:pPr>
            <w:r w:rsidRPr="002E2327">
              <w:rPr>
                <w:rFonts w:cs="Times New Roman"/>
                <w:sz w:val="20"/>
                <w:szCs w:val="20"/>
              </w:rPr>
              <w:t>to Court since 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Judgments on applications for </w:t>
            </w:r>
          </w:p>
          <w:p w:rsidR="0095096B" w:rsidRPr="002E2327" w:rsidRDefault="0095096B" w:rsidP="0095096B">
            <w:pPr>
              <w:tabs>
                <w:tab w:val="right" w:pos="9360"/>
              </w:tabs>
              <w:rPr>
                <w:rFonts w:cs="Times New Roman"/>
                <w:sz w:val="20"/>
                <w:szCs w:val="20"/>
              </w:rPr>
            </w:pPr>
            <w:r w:rsidRPr="002E2327">
              <w:rPr>
                <w:rFonts w:cs="Times New Roman"/>
                <w:sz w:val="20"/>
                <w:szCs w:val="20"/>
              </w:rPr>
              <w:t>leave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Motions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Pronouncements of appeals reserved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proofErr w:type="spellStart"/>
            <w:r w:rsidRPr="002E2327">
              <w:rPr>
                <w:rFonts w:cs="Times New Roman"/>
                <w:sz w:val="20"/>
                <w:szCs w:val="20"/>
              </w:rPr>
              <w:t>Headnotes</w:t>
            </w:r>
            <w:proofErr w:type="spellEnd"/>
            <w:r w:rsidRPr="002E2327">
              <w:rPr>
                <w:rFonts w:cs="Times New Roman"/>
                <w:sz w:val="20"/>
                <w:szCs w:val="20"/>
              </w:rPr>
              <w:t xml:space="preserve"> of recent judgments</w:t>
            </w:r>
          </w:p>
          <w:p w:rsidR="00A87207" w:rsidRPr="002E2327" w:rsidRDefault="00A87207" w:rsidP="00AB696F">
            <w:pPr>
              <w:tabs>
                <w:tab w:val="right" w:pos="9360"/>
              </w:tabs>
              <w:rPr>
                <w:rFonts w:cs="Times New Roman"/>
                <w:sz w:val="20"/>
                <w:szCs w:val="20"/>
              </w:rPr>
            </w:pPr>
          </w:p>
        </w:tc>
        <w:tc>
          <w:tcPr>
            <w:tcW w:w="1980" w:type="dxa"/>
          </w:tcPr>
          <w:p w:rsidR="0095096B" w:rsidRPr="002E2327" w:rsidRDefault="009F75BE" w:rsidP="0095096B">
            <w:pPr>
              <w:jc w:val="center"/>
              <w:rPr>
                <w:rFonts w:cs="Times New Roman"/>
                <w:sz w:val="20"/>
                <w:szCs w:val="20"/>
              </w:rPr>
            </w:pPr>
            <w:r>
              <w:rPr>
                <w:rFonts w:cs="Times New Roman"/>
                <w:sz w:val="20"/>
                <w:szCs w:val="20"/>
              </w:rPr>
              <w:t xml:space="preserve">344 </w:t>
            </w:r>
            <w:r w:rsidR="0004334C" w:rsidRPr="002E2327">
              <w:rPr>
                <w:rFonts w:cs="Times New Roman"/>
                <w:sz w:val="20"/>
                <w:szCs w:val="20"/>
              </w:rPr>
              <w:fldChar w:fldCharType="begin"/>
            </w:r>
            <w:r w:rsidR="0095096B" w:rsidRPr="002E2327">
              <w:rPr>
                <w:rFonts w:cs="Times New Roman"/>
                <w:sz w:val="20"/>
                <w:szCs w:val="20"/>
              </w:rPr>
              <w:instrText xml:space="preserve"> SEQ CHAPTER \h \r 1</w:instrText>
            </w:r>
            <w:r w:rsidR="0004334C" w:rsidRPr="002E2327">
              <w:rPr>
                <w:rFonts w:cs="Times New Roman"/>
                <w:sz w:val="20"/>
                <w:szCs w:val="20"/>
              </w:rPr>
              <w:fldChar w:fldCharType="end"/>
            </w:r>
            <w:r w:rsidR="0095096B" w:rsidRPr="002E2327">
              <w:rPr>
                <w:rFonts w:cs="Times New Roman"/>
                <w:sz w:val="20"/>
                <w:szCs w:val="20"/>
              </w:rPr>
              <w:t>-</w:t>
            </w:r>
            <w:r>
              <w:rPr>
                <w:rFonts w:cs="Times New Roman"/>
                <w:sz w:val="20"/>
                <w:szCs w:val="20"/>
              </w:rPr>
              <w:t xml:space="preserve"> 346</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9F75BE" w:rsidP="0095096B">
            <w:pPr>
              <w:jc w:val="center"/>
              <w:rPr>
                <w:rFonts w:cs="Times New Roman"/>
                <w:sz w:val="20"/>
                <w:szCs w:val="20"/>
              </w:rPr>
            </w:pPr>
            <w:r>
              <w:rPr>
                <w:rFonts w:cs="Times New Roman"/>
                <w:sz w:val="20"/>
                <w:szCs w:val="20"/>
              </w:rPr>
              <w:t>347</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9F75BE" w:rsidP="0095096B">
            <w:pPr>
              <w:jc w:val="center"/>
              <w:rPr>
                <w:rFonts w:cs="Times New Roman"/>
                <w:sz w:val="20"/>
                <w:szCs w:val="20"/>
              </w:rPr>
            </w:pPr>
            <w:r>
              <w:rPr>
                <w:rFonts w:cs="Times New Roman"/>
                <w:sz w:val="20"/>
                <w:szCs w:val="20"/>
              </w:rPr>
              <w:t xml:space="preserve">348 </w:t>
            </w:r>
            <w:r w:rsidR="0095096B" w:rsidRPr="002E2327">
              <w:rPr>
                <w:rFonts w:cs="Times New Roman"/>
                <w:sz w:val="20"/>
                <w:szCs w:val="20"/>
              </w:rPr>
              <w:t>-</w:t>
            </w:r>
            <w:r w:rsidR="0072279A">
              <w:rPr>
                <w:rFonts w:cs="Times New Roman"/>
                <w:sz w:val="20"/>
                <w:szCs w:val="20"/>
              </w:rPr>
              <w:t xml:space="preserve"> 361</w:t>
            </w:r>
          </w:p>
          <w:p w:rsidR="0095096B" w:rsidRDefault="0095096B" w:rsidP="0095096B">
            <w:pPr>
              <w:jc w:val="center"/>
              <w:rPr>
                <w:rFonts w:cs="Times New Roman"/>
                <w:sz w:val="20"/>
                <w:szCs w:val="20"/>
              </w:rPr>
            </w:pPr>
          </w:p>
          <w:p w:rsidR="0072279A" w:rsidRPr="002E2327" w:rsidRDefault="0072279A" w:rsidP="0095096B">
            <w:pPr>
              <w:jc w:val="center"/>
              <w:rPr>
                <w:rFonts w:cs="Times New Roman"/>
                <w:sz w:val="20"/>
                <w:szCs w:val="20"/>
              </w:rPr>
            </w:pPr>
          </w:p>
          <w:p w:rsidR="0095096B" w:rsidRPr="002E2327" w:rsidRDefault="0072279A" w:rsidP="0095096B">
            <w:pPr>
              <w:jc w:val="center"/>
              <w:rPr>
                <w:rFonts w:cs="Times New Roman"/>
                <w:sz w:val="20"/>
                <w:szCs w:val="20"/>
              </w:rPr>
            </w:pPr>
            <w:r>
              <w:rPr>
                <w:rFonts w:cs="Times New Roman"/>
                <w:sz w:val="20"/>
                <w:szCs w:val="20"/>
              </w:rPr>
              <w:t xml:space="preserve">362 </w:t>
            </w:r>
            <w:r w:rsidR="0095096B" w:rsidRPr="002E2327">
              <w:rPr>
                <w:rFonts w:cs="Times New Roman"/>
                <w:sz w:val="20"/>
                <w:szCs w:val="20"/>
              </w:rPr>
              <w:t>-</w:t>
            </w:r>
            <w:r>
              <w:rPr>
                <w:rFonts w:cs="Times New Roman"/>
                <w:sz w:val="20"/>
                <w:szCs w:val="20"/>
              </w:rPr>
              <w:t xml:space="preserve"> 364</w:t>
            </w:r>
          </w:p>
          <w:p w:rsidR="0095096B" w:rsidRPr="002E2327" w:rsidRDefault="0095096B" w:rsidP="0095096B">
            <w:pPr>
              <w:jc w:val="center"/>
              <w:rPr>
                <w:rFonts w:cs="Times New Roman"/>
                <w:sz w:val="20"/>
                <w:szCs w:val="20"/>
              </w:rPr>
            </w:pPr>
          </w:p>
          <w:p w:rsidR="0095096B" w:rsidRPr="002E2327" w:rsidRDefault="0072279A" w:rsidP="0095096B">
            <w:pPr>
              <w:jc w:val="center"/>
              <w:rPr>
                <w:rFonts w:cs="Times New Roman"/>
                <w:sz w:val="20"/>
                <w:szCs w:val="20"/>
              </w:rPr>
            </w:pPr>
            <w:r>
              <w:rPr>
                <w:rFonts w:cs="Times New Roman"/>
                <w:sz w:val="20"/>
                <w:szCs w:val="20"/>
              </w:rPr>
              <w:t>365</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72279A" w:rsidP="0095096B">
            <w:pPr>
              <w:jc w:val="center"/>
              <w:rPr>
                <w:rFonts w:cs="Times New Roman"/>
                <w:sz w:val="20"/>
                <w:szCs w:val="20"/>
              </w:rPr>
            </w:pPr>
            <w:r>
              <w:rPr>
                <w:rFonts w:cs="Times New Roman"/>
                <w:sz w:val="20"/>
                <w:szCs w:val="20"/>
              </w:rPr>
              <w:t xml:space="preserve">366 </w:t>
            </w:r>
            <w:r w:rsidR="0095096B" w:rsidRPr="002E2327">
              <w:rPr>
                <w:rFonts w:cs="Times New Roman"/>
                <w:sz w:val="20"/>
                <w:szCs w:val="20"/>
              </w:rPr>
              <w:t>-</w:t>
            </w:r>
            <w:r>
              <w:rPr>
                <w:rFonts w:cs="Times New Roman"/>
                <w:sz w:val="20"/>
                <w:szCs w:val="20"/>
              </w:rPr>
              <w:t xml:space="preserve"> 374</w:t>
            </w:r>
          </w:p>
          <w:p w:rsidR="00A87207" w:rsidRPr="002E2327" w:rsidRDefault="00A87207" w:rsidP="00AB696F">
            <w:pPr>
              <w:jc w:val="center"/>
              <w:rPr>
                <w:rFonts w:cs="Times New Roman"/>
                <w:sz w:val="20"/>
                <w:szCs w:val="20"/>
              </w:rPr>
            </w:pPr>
          </w:p>
        </w:tc>
        <w:tc>
          <w:tcPr>
            <w:tcW w:w="3888" w:type="dxa"/>
          </w:tcPr>
          <w:p w:rsidR="0095096B" w:rsidRPr="002E2327" w:rsidRDefault="0004334C" w:rsidP="0095096B">
            <w:pPr>
              <w:rPr>
                <w:rFonts w:cs="Times New Roman"/>
                <w:sz w:val="20"/>
                <w:szCs w:val="20"/>
                <w:lang w:val="fr-CA"/>
              </w:rPr>
            </w:pPr>
            <w:r w:rsidRPr="002E2327">
              <w:rPr>
                <w:rFonts w:cs="Times New Roman"/>
                <w:sz w:val="20"/>
                <w:szCs w:val="20"/>
                <w:lang w:val="fr-CA"/>
              </w:rPr>
              <w:fldChar w:fldCharType="begin"/>
            </w:r>
            <w:r w:rsidR="0095096B" w:rsidRPr="002E2327">
              <w:rPr>
                <w:rFonts w:cs="Times New Roman"/>
                <w:sz w:val="20"/>
                <w:szCs w:val="20"/>
                <w:lang w:val="fr-CA"/>
              </w:rPr>
              <w:instrText xml:space="preserve"> SEQ CHAPTER \h \r 1</w:instrText>
            </w:r>
            <w:r w:rsidRPr="002E2327">
              <w:rPr>
                <w:rFonts w:cs="Times New Roman"/>
                <w:sz w:val="20"/>
                <w:szCs w:val="20"/>
                <w:lang w:val="fr-CA"/>
              </w:rPr>
              <w:fldChar w:fldCharType="end"/>
            </w:r>
            <w:r w:rsidR="0095096B" w:rsidRPr="002E2327">
              <w:rPr>
                <w:rFonts w:cs="Times New Roman"/>
                <w:sz w:val="20"/>
                <w:szCs w:val="20"/>
                <w:lang w:val="fr-CA"/>
              </w:rPr>
              <w:t xml:space="preserve">Demandes d'autorisation d'appel </w:t>
            </w:r>
          </w:p>
          <w:p w:rsidR="0095096B" w:rsidRPr="002E2327" w:rsidRDefault="0095096B" w:rsidP="0095096B">
            <w:pPr>
              <w:rPr>
                <w:rFonts w:cs="Times New Roman"/>
                <w:sz w:val="20"/>
                <w:szCs w:val="20"/>
                <w:lang w:val="fr-CA"/>
              </w:rPr>
            </w:pPr>
            <w:r w:rsidRPr="002E2327">
              <w:rPr>
                <w:rFonts w:cs="Times New Roman"/>
                <w:sz w:val="20"/>
                <w:szCs w:val="20"/>
                <w:lang w:val="fr-CA"/>
              </w:rPr>
              <w:t>déposées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Demandes soumises à la Cour depuis la </w:t>
            </w:r>
          </w:p>
          <w:p w:rsidR="0095096B" w:rsidRPr="002E2327" w:rsidRDefault="0095096B" w:rsidP="0095096B">
            <w:pPr>
              <w:rPr>
                <w:rFonts w:cs="Times New Roman"/>
                <w:sz w:val="20"/>
                <w:szCs w:val="20"/>
                <w:lang w:val="fr-CA"/>
              </w:rPr>
            </w:pPr>
            <w:r w:rsidRPr="002E2327">
              <w:rPr>
                <w:rFonts w:cs="Times New Roman"/>
                <w:sz w:val="20"/>
                <w:szCs w:val="20"/>
                <w:lang w:val="fr-CA"/>
              </w:rPr>
              <w:t>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demandes </w:t>
            </w:r>
          </w:p>
          <w:p w:rsidR="0095096B" w:rsidRPr="002E2327" w:rsidRDefault="0095096B" w:rsidP="0095096B">
            <w:pPr>
              <w:rPr>
                <w:rFonts w:cs="Times New Roman"/>
                <w:sz w:val="20"/>
                <w:szCs w:val="20"/>
                <w:lang w:val="fr-CA"/>
              </w:rPr>
            </w:pPr>
            <w:r w:rsidRPr="002E2327">
              <w:rPr>
                <w:rFonts w:cs="Times New Roman"/>
                <w:sz w:val="20"/>
                <w:szCs w:val="20"/>
                <w:lang w:val="fr-CA"/>
              </w:rPr>
              <w:t>d'autorisation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Requêtes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appels en </w:t>
            </w:r>
          </w:p>
          <w:p w:rsidR="0095096B" w:rsidRPr="002E2327" w:rsidRDefault="0095096B" w:rsidP="0095096B">
            <w:pPr>
              <w:rPr>
                <w:rFonts w:cs="Times New Roman"/>
                <w:sz w:val="20"/>
                <w:szCs w:val="20"/>
                <w:lang w:val="fr-CA"/>
              </w:rPr>
            </w:pPr>
            <w:r w:rsidRPr="002E2327">
              <w:rPr>
                <w:rFonts w:cs="Times New Roman"/>
                <w:sz w:val="20"/>
                <w:szCs w:val="20"/>
                <w:lang w:val="fr-CA"/>
              </w:rPr>
              <w:t>délibéré</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Sommaires de </w:t>
            </w:r>
            <w:r w:rsidR="00C50A5C">
              <w:rPr>
                <w:rFonts w:cs="Times New Roman"/>
                <w:sz w:val="20"/>
                <w:szCs w:val="20"/>
                <w:lang w:val="fr-CA"/>
              </w:rPr>
              <w:t xml:space="preserve">jugements </w:t>
            </w:r>
            <w:r w:rsidR="00C50A5C" w:rsidRPr="002E2327">
              <w:rPr>
                <w:rFonts w:cs="Times New Roman"/>
                <w:sz w:val="20"/>
                <w:szCs w:val="20"/>
                <w:lang w:val="fr-CA"/>
              </w:rPr>
              <w:t>récents</w:t>
            </w:r>
          </w:p>
          <w:p w:rsidR="00A87207" w:rsidRPr="002E2327" w:rsidRDefault="00A87207" w:rsidP="00AB696F">
            <w:pPr>
              <w:tabs>
                <w:tab w:val="right" w:pos="9360"/>
              </w:tabs>
              <w:rPr>
                <w:rFonts w:cs="Times New Roman"/>
                <w:sz w:val="20"/>
                <w:szCs w:val="20"/>
                <w:lang w:val="fr-CA"/>
              </w:rPr>
            </w:pPr>
          </w:p>
        </w:tc>
      </w:tr>
    </w:tbl>
    <w:p w:rsidR="0095096B" w:rsidRDefault="0095096B" w:rsidP="0095096B">
      <w:pPr>
        <w:tabs>
          <w:tab w:val="right" w:pos="9360"/>
        </w:tabs>
      </w:pPr>
    </w:p>
    <w:p w:rsidR="00AB696F" w:rsidRDefault="00AB696F" w:rsidP="0095096B">
      <w:pPr>
        <w:tabs>
          <w:tab w:val="right" w:pos="9360"/>
        </w:tabs>
      </w:pPr>
    </w:p>
    <w:p w:rsidR="00AB696F" w:rsidRDefault="00AB696F" w:rsidP="0095096B">
      <w:pPr>
        <w:tabs>
          <w:tab w:val="right" w:pos="9360"/>
        </w:tabs>
      </w:pPr>
    </w:p>
    <w:p w:rsidR="00AB696F" w:rsidRDefault="00AB696F" w:rsidP="0095096B">
      <w:pPr>
        <w:tabs>
          <w:tab w:val="right" w:pos="9360"/>
        </w:tabs>
      </w:pPr>
    </w:p>
    <w:p w:rsidR="00AB696F" w:rsidRDefault="00AB696F" w:rsidP="0095096B">
      <w:pPr>
        <w:tabs>
          <w:tab w:val="right" w:pos="9360"/>
        </w:tabs>
      </w:pPr>
    </w:p>
    <w:p w:rsidR="00AB696F" w:rsidRPr="002E2327" w:rsidRDefault="00AB696F" w:rsidP="0095096B">
      <w:pPr>
        <w:tabs>
          <w:tab w:val="right" w:pos="9360"/>
        </w:tabs>
      </w:pPr>
    </w:p>
    <w:tbl>
      <w:tblPr>
        <w:tblStyle w:val="TableGrid"/>
        <w:tblW w:w="0" w:type="auto"/>
        <w:tblLook w:val="04A0"/>
      </w:tblPr>
      <w:tblGrid>
        <w:gridCol w:w="9576"/>
      </w:tblGrid>
      <w:tr w:rsidR="0079724F" w:rsidRPr="001602E4"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215F7C">
            <w:pPr>
              <w:keepNext/>
              <w:tabs>
                <w:tab w:val="right" w:pos="9360"/>
              </w:tabs>
              <w:jc w:val="both"/>
              <w:rPr>
                <w:sz w:val="20"/>
                <w:szCs w:val="20"/>
                <w:lang w:val="fr-CA"/>
              </w:rPr>
            </w:pPr>
            <w:r w:rsidRPr="00245129">
              <w:rPr>
                <w:szCs w:val="24"/>
                <w:lang w:val="fr-CA"/>
              </w:rPr>
              <w:t>Les résumés de dossiers publiés dans le bulletin sont préparés par le Bureau du registraire (Direction générale du droit) uniquement à titre d’information.</w:t>
            </w:r>
          </w:p>
        </w:tc>
      </w:tr>
    </w:tbl>
    <w:p w:rsidR="0095096B" w:rsidRPr="00675479" w:rsidRDefault="0095096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headerReference w:type="even" r:id="rId9"/>
          <w:headerReference w:type="default" r:id="rId10"/>
          <w:footerReference w:type="even" r:id="rId11"/>
          <w:footerReference w:type="default" r:id="rId12"/>
          <w:headerReference w:type="first" r:id="rId13"/>
          <w:footerReference w:type="first" r:id="rId14"/>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tblPr>
      <w:tblGrid>
        <w:gridCol w:w="4200"/>
        <w:gridCol w:w="1200"/>
        <w:gridCol w:w="4230"/>
      </w:tblGrid>
      <w:tr w:rsidR="00A87207" w:rsidRPr="002E2327" w:rsidTr="00245129">
        <w:tc>
          <w:tcPr>
            <w:tcW w:w="4200" w:type="dxa"/>
            <w:shd w:val="clear" w:color="auto" w:fill="auto"/>
            <w:tcMar>
              <w:left w:w="0" w:type="dxa"/>
              <w:right w:w="0" w:type="dxa"/>
            </w:tcMar>
          </w:tcPr>
          <w:p w:rsidR="00A87207" w:rsidRPr="002E2327" w:rsidRDefault="00A87207" w:rsidP="00BA6468">
            <w:pPr>
              <w:rPr>
                <w:rFonts w:eastAsia="Times New Roman" w:cs="Times New Roman"/>
                <w:b/>
                <w:sz w:val="20"/>
                <w:szCs w:val="20"/>
                <w:lang w:eastAsia="en-CA"/>
              </w:rPr>
            </w:pPr>
            <w:r w:rsidRPr="002E2327">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2E2327" w:rsidRDefault="00A87207" w:rsidP="00A87207">
            <w:pPr>
              <w:rPr>
                <w:rFonts w:eastAsia="Times New Roman" w:cs="Times New Roman"/>
                <w:b/>
                <w:sz w:val="20"/>
                <w:szCs w:val="20"/>
                <w:lang w:val="fr-CA" w:eastAsia="en-CA"/>
              </w:rPr>
            </w:pPr>
            <w:r w:rsidRPr="002E2327">
              <w:rPr>
                <w:rFonts w:eastAsia="Times New Roman" w:cs="Times New Roman"/>
                <w:b/>
                <w:szCs w:val="20"/>
                <w:lang w:val="fr-CA" w:eastAsia="en-CA"/>
              </w:rPr>
              <w:t>DEMANDES D’AUTORISATION D’APPEL DÉPOSÉES</w:t>
            </w:r>
          </w:p>
        </w:tc>
      </w:tr>
    </w:tbl>
    <w:p w:rsidR="00A87207" w:rsidRPr="00C50A5C"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0"/>
        <w:gridCol w:w="1181"/>
        <w:gridCol w:w="4320"/>
      </w:tblGrid>
      <w:tr w:rsidR="00242AEE" w:rsidRPr="00A935AA" w:rsidTr="00707A29">
        <w:trPr>
          <w:cantSplit/>
        </w:trPr>
        <w:tc>
          <w:tcPr>
            <w:tcW w:w="4320" w:type="dxa"/>
            <w:shd w:val="clear" w:color="auto" w:fill="auto"/>
          </w:tcPr>
          <w:p w:rsidR="00242AEE" w:rsidRPr="00A935AA" w:rsidRDefault="00CD1F41" w:rsidP="003B3977">
            <w:pPr>
              <w:rPr>
                <w:b/>
                <w:sz w:val="20"/>
                <w:szCs w:val="20"/>
              </w:rPr>
            </w:pPr>
            <w:proofErr w:type="spellStart"/>
            <w:r>
              <w:rPr>
                <w:b/>
                <w:sz w:val="20"/>
                <w:szCs w:val="20"/>
              </w:rPr>
              <w:t>Vincenzo</w:t>
            </w:r>
            <w:proofErr w:type="spellEnd"/>
            <w:r>
              <w:rPr>
                <w:b/>
                <w:sz w:val="20"/>
                <w:szCs w:val="20"/>
              </w:rPr>
              <w:t xml:space="preserve"> Salvatore </w:t>
            </w:r>
            <w:proofErr w:type="spellStart"/>
            <w:r>
              <w:rPr>
                <w:b/>
                <w:sz w:val="20"/>
                <w:szCs w:val="20"/>
              </w:rPr>
              <w:t>Schifano</w:t>
            </w:r>
            <w:proofErr w:type="spellEnd"/>
          </w:p>
          <w:p w:rsidR="00242AEE" w:rsidRPr="00A935AA" w:rsidRDefault="00242AEE" w:rsidP="003B3977">
            <w:pPr>
              <w:tabs>
                <w:tab w:val="left" w:pos="-1440"/>
                <w:tab w:val="left" w:pos="-720"/>
              </w:tabs>
              <w:rPr>
                <w:sz w:val="20"/>
                <w:szCs w:val="20"/>
              </w:rPr>
            </w:pPr>
            <w:r w:rsidRPr="00A935AA">
              <w:rPr>
                <w:sz w:val="20"/>
                <w:szCs w:val="20"/>
              </w:rPr>
              <w:tab/>
            </w:r>
            <w:proofErr w:type="spellStart"/>
            <w:r w:rsidR="00CD1F41">
              <w:rPr>
                <w:sz w:val="20"/>
                <w:szCs w:val="20"/>
              </w:rPr>
              <w:t>Vincenzo</w:t>
            </w:r>
            <w:proofErr w:type="spellEnd"/>
            <w:r w:rsidR="00CD1F41">
              <w:rPr>
                <w:sz w:val="20"/>
                <w:szCs w:val="20"/>
              </w:rPr>
              <w:t xml:space="preserve"> Salvatore </w:t>
            </w:r>
            <w:proofErr w:type="spellStart"/>
            <w:r w:rsidR="00CD1F41">
              <w:rPr>
                <w:sz w:val="20"/>
                <w:szCs w:val="20"/>
              </w:rPr>
              <w:t>Schifano</w:t>
            </w:r>
            <w:proofErr w:type="spellEnd"/>
          </w:p>
          <w:p w:rsidR="00242AEE" w:rsidRPr="00A935AA" w:rsidRDefault="00242AEE" w:rsidP="003B3977">
            <w:pPr>
              <w:tabs>
                <w:tab w:val="left" w:pos="-1440"/>
                <w:tab w:val="left" w:pos="-720"/>
              </w:tabs>
              <w:rPr>
                <w:sz w:val="20"/>
                <w:szCs w:val="20"/>
              </w:rPr>
            </w:pPr>
          </w:p>
          <w:p w:rsidR="00242AEE" w:rsidRPr="00A935AA" w:rsidRDefault="00242AEE" w:rsidP="003B3977">
            <w:pPr>
              <w:tabs>
                <w:tab w:val="left" w:pos="-1440"/>
                <w:tab w:val="left" w:pos="-720"/>
              </w:tabs>
              <w:rPr>
                <w:sz w:val="20"/>
                <w:szCs w:val="20"/>
              </w:rPr>
            </w:pPr>
            <w:r w:rsidRPr="00A935AA">
              <w:rPr>
                <w:sz w:val="20"/>
                <w:szCs w:val="20"/>
              </w:rPr>
              <w:tab/>
              <w:t>v. (3</w:t>
            </w:r>
            <w:r w:rsidR="00E5508D">
              <w:rPr>
                <w:sz w:val="20"/>
                <w:szCs w:val="20"/>
              </w:rPr>
              <w:t>4</w:t>
            </w:r>
            <w:r w:rsidR="00CD1F41">
              <w:rPr>
                <w:sz w:val="20"/>
                <w:szCs w:val="20"/>
              </w:rPr>
              <w:t>098</w:t>
            </w:r>
            <w:r w:rsidRPr="00A935AA">
              <w:rPr>
                <w:sz w:val="20"/>
                <w:szCs w:val="20"/>
              </w:rPr>
              <w:t>)</w:t>
            </w:r>
          </w:p>
          <w:p w:rsidR="00242AEE" w:rsidRPr="00A935AA" w:rsidRDefault="00242AEE" w:rsidP="003B3977">
            <w:pPr>
              <w:tabs>
                <w:tab w:val="left" w:pos="-1440"/>
                <w:tab w:val="left" w:pos="-720"/>
              </w:tabs>
              <w:rPr>
                <w:sz w:val="20"/>
                <w:szCs w:val="20"/>
              </w:rPr>
            </w:pPr>
          </w:p>
          <w:p w:rsidR="00242AEE" w:rsidRPr="00313303" w:rsidRDefault="00CD1F41" w:rsidP="003B3977">
            <w:pPr>
              <w:tabs>
                <w:tab w:val="left" w:pos="-1440"/>
                <w:tab w:val="left" w:pos="-720"/>
              </w:tabs>
              <w:rPr>
                <w:b/>
                <w:sz w:val="20"/>
                <w:szCs w:val="20"/>
              </w:rPr>
            </w:pPr>
            <w:proofErr w:type="spellStart"/>
            <w:r w:rsidRPr="00313303">
              <w:rPr>
                <w:b/>
                <w:sz w:val="20"/>
                <w:szCs w:val="20"/>
              </w:rPr>
              <w:t>Josnic</w:t>
            </w:r>
            <w:proofErr w:type="spellEnd"/>
            <w:r w:rsidRPr="00313303">
              <w:rPr>
                <w:b/>
                <w:sz w:val="20"/>
                <w:szCs w:val="20"/>
              </w:rPr>
              <w:t xml:space="preserve"> Limited et al. </w:t>
            </w:r>
            <w:r w:rsidR="00242AEE" w:rsidRPr="00313303">
              <w:rPr>
                <w:b/>
                <w:sz w:val="20"/>
                <w:szCs w:val="20"/>
              </w:rPr>
              <w:t>(</w:t>
            </w:r>
            <w:r w:rsidRPr="00313303">
              <w:rPr>
                <w:b/>
                <w:sz w:val="20"/>
                <w:szCs w:val="20"/>
              </w:rPr>
              <w:t>Ont</w:t>
            </w:r>
            <w:r w:rsidR="00242AEE" w:rsidRPr="00313303">
              <w:rPr>
                <w:b/>
                <w:sz w:val="20"/>
                <w:szCs w:val="20"/>
              </w:rPr>
              <w:t>.)</w:t>
            </w:r>
          </w:p>
          <w:p w:rsidR="00242AEE" w:rsidRPr="00313303" w:rsidRDefault="00242AEE" w:rsidP="003B3977">
            <w:pPr>
              <w:tabs>
                <w:tab w:val="left" w:pos="-1440"/>
                <w:tab w:val="left" w:pos="-720"/>
              </w:tabs>
              <w:rPr>
                <w:sz w:val="20"/>
                <w:szCs w:val="20"/>
              </w:rPr>
            </w:pPr>
            <w:r w:rsidRPr="00313303">
              <w:rPr>
                <w:sz w:val="20"/>
                <w:szCs w:val="20"/>
              </w:rPr>
              <w:tab/>
            </w:r>
            <w:r w:rsidR="00CD1F41" w:rsidRPr="00313303">
              <w:rPr>
                <w:sz w:val="20"/>
                <w:szCs w:val="20"/>
              </w:rPr>
              <w:t xml:space="preserve">Domenic </w:t>
            </w:r>
            <w:proofErr w:type="spellStart"/>
            <w:r w:rsidR="00CD1F41" w:rsidRPr="00313303">
              <w:rPr>
                <w:sz w:val="20"/>
                <w:szCs w:val="20"/>
              </w:rPr>
              <w:t>Severino</w:t>
            </w:r>
            <w:proofErr w:type="spellEnd"/>
          </w:p>
          <w:p w:rsidR="00242AEE" w:rsidRPr="00313303" w:rsidRDefault="00242AEE" w:rsidP="003B3977">
            <w:pPr>
              <w:tabs>
                <w:tab w:val="left" w:pos="-1440"/>
                <w:tab w:val="left" w:pos="-720"/>
              </w:tabs>
              <w:rPr>
                <w:sz w:val="20"/>
                <w:szCs w:val="20"/>
              </w:rPr>
            </w:pPr>
          </w:p>
          <w:p w:rsidR="00242AEE" w:rsidRPr="00A935AA" w:rsidRDefault="00242AEE" w:rsidP="003B3977">
            <w:pPr>
              <w:rPr>
                <w:sz w:val="20"/>
                <w:szCs w:val="20"/>
              </w:rPr>
            </w:pPr>
            <w:r w:rsidRPr="00A935AA">
              <w:rPr>
                <w:sz w:val="20"/>
                <w:szCs w:val="20"/>
              </w:rPr>
              <w:t xml:space="preserve">FILING DATE: </w:t>
            </w:r>
            <w:r w:rsidR="00E5508D">
              <w:rPr>
                <w:sz w:val="20"/>
                <w:szCs w:val="20"/>
              </w:rPr>
              <w:t>0</w:t>
            </w:r>
            <w:r w:rsidRPr="00A935AA">
              <w:rPr>
                <w:sz w:val="20"/>
                <w:szCs w:val="20"/>
              </w:rPr>
              <w:t>7.0</w:t>
            </w:r>
            <w:r w:rsidR="00E5508D">
              <w:rPr>
                <w:sz w:val="20"/>
                <w:szCs w:val="20"/>
              </w:rPr>
              <w:t>1</w:t>
            </w:r>
            <w:r w:rsidRPr="00A935AA">
              <w:rPr>
                <w:sz w:val="20"/>
                <w:szCs w:val="20"/>
              </w:rPr>
              <w:t>.201</w:t>
            </w:r>
            <w:r w:rsidR="00E5508D">
              <w:rPr>
                <w:sz w:val="20"/>
                <w:szCs w:val="20"/>
              </w:rPr>
              <w:t>1</w:t>
            </w:r>
          </w:p>
          <w:p w:rsidR="00242AEE" w:rsidRDefault="0004334C" w:rsidP="003B3977">
            <w:pPr>
              <w:rPr>
                <w:sz w:val="20"/>
                <w:szCs w:val="20"/>
                <w:lang w:val="fr-CA"/>
              </w:rPr>
            </w:pPr>
            <w:r w:rsidRPr="0004334C">
              <w:rPr>
                <w:sz w:val="20"/>
                <w:szCs w:val="20"/>
                <w:lang w:val="fr-CA"/>
              </w:rPr>
              <w:pict>
                <v:rect id="_x0000_i1025" style="width:108pt;height:1pt" o:hrpct="0" o:hralign="center" o:hrstd="t" o:hrnoshade="t" o:hr="t" fillcolor="black [3213]" stroked="f"/>
              </w:pict>
            </w:r>
          </w:p>
          <w:p w:rsidR="00BB4E58" w:rsidRDefault="00BB4E58" w:rsidP="003B3977">
            <w:pPr>
              <w:rPr>
                <w:sz w:val="20"/>
                <w:szCs w:val="20"/>
                <w:lang w:val="fr-CA"/>
              </w:rPr>
            </w:pPr>
          </w:p>
          <w:p w:rsidR="00BB4E58" w:rsidRPr="00A935AA" w:rsidRDefault="00387177" w:rsidP="00387177">
            <w:pPr>
              <w:rPr>
                <w:sz w:val="20"/>
                <w:szCs w:val="20"/>
              </w:rPr>
            </w:pPr>
            <w:r>
              <w:rPr>
                <w:b/>
                <w:sz w:val="20"/>
                <w:szCs w:val="20"/>
              </w:rPr>
              <w:t xml:space="preserve">Larry Peter </w:t>
            </w:r>
            <w:proofErr w:type="spellStart"/>
            <w:r>
              <w:rPr>
                <w:b/>
                <w:sz w:val="20"/>
                <w:szCs w:val="20"/>
              </w:rPr>
              <w:t>Klippenstein</w:t>
            </w:r>
            <w:proofErr w:type="spellEnd"/>
          </w:p>
        </w:tc>
        <w:tc>
          <w:tcPr>
            <w:tcW w:w="1181" w:type="dxa"/>
            <w:shd w:val="clear" w:color="auto" w:fill="auto"/>
          </w:tcPr>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tc>
        <w:tc>
          <w:tcPr>
            <w:tcW w:w="4320" w:type="dxa"/>
            <w:shd w:val="clear" w:color="auto" w:fill="auto"/>
          </w:tcPr>
          <w:p w:rsidR="00387177" w:rsidRPr="00387177" w:rsidRDefault="00387177" w:rsidP="00387177">
            <w:pPr>
              <w:keepNext/>
              <w:keepLines/>
              <w:tabs>
                <w:tab w:val="left" w:pos="-1440"/>
                <w:tab w:val="left" w:pos="-720"/>
              </w:tabs>
              <w:rPr>
                <w:b/>
                <w:sz w:val="20"/>
                <w:szCs w:val="20"/>
                <w:lang w:val="fr-CA"/>
              </w:rPr>
            </w:pPr>
            <w:proofErr w:type="spellStart"/>
            <w:r w:rsidRPr="00387177">
              <w:rPr>
                <w:b/>
                <w:sz w:val="20"/>
                <w:szCs w:val="20"/>
                <w:lang w:val="fr-CA"/>
              </w:rPr>
              <w:t>Ur</w:t>
            </w:r>
            <w:r w:rsidR="000F0D8A">
              <w:rPr>
                <w:b/>
                <w:sz w:val="20"/>
                <w:szCs w:val="20"/>
                <w:lang w:val="fr-CA"/>
              </w:rPr>
              <w:t>a</w:t>
            </w:r>
            <w:r w:rsidRPr="00387177">
              <w:rPr>
                <w:b/>
                <w:sz w:val="20"/>
                <w:szCs w:val="20"/>
                <w:lang w:val="fr-CA"/>
              </w:rPr>
              <w:t>l</w:t>
            </w:r>
            <w:proofErr w:type="spellEnd"/>
            <w:r w:rsidRPr="00387177">
              <w:rPr>
                <w:b/>
                <w:sz w:val="20"/>
                <w:szCs w:val="20"/>
                <w:lang w:val="fr-CA"/>
              </w:rPr>
              <w:t xml:space="preserve"> </w:t>
            </w:r>
            <w:proofErr w:type="spellStart"/>
            <w:r w:rsidRPr="00387177">
              <w:rPr>
                <w:b/>
                <w:sz w:val="20"/>
                <w:szCs w:val="20"/>
                <w:lang w:val="fr-CA"/>
              </w:rPr>
              <w:t>Direk</w:t>
            </w:r>
            <w:proofErr w:type="spellEnd"/>
            <w:r w:rsidRPr="00387177">
              <w:rPr>
                <w:b/>
                <w:sz w:val="20"/>
                <w:szCs w:val="20"/>
                <w:lang w:val="fr-CA"/>
              </w:rPr>
              <w:t xml:space="preserve"> et al.</w:t>
            </w:r>
          </w:p>
          <w:p w:rsidR="00387177" w:rsidRPr="00387177" w:rsidRDefault="00387177" w:rsidP="00387177">
            <w:pPr>
              <w:keepNext/>
              <w:keepLines/>
              <w:tabs>
                <w:tab w:val="left" w:pos="-1440"/>
                <w:tab w:val="left" w:pos="-720"/>
              </w:tabs>
              <w:rPr>
                <w:sz w:val="20"/>
                <w:szCs w:val="20"/>
                <w:lang w:val="fr-CA"/>
              </w:rPr>
            </w:pPr>
            <w:r w:rsidRPr="00387177">
              <w:rPr>
                <w:sz w:val="20"/>
                <w:szCs w:val="20"/>
                <w:lang w:val="fr-CA"/>
              </w:rPr>
              <w:tab/>
            </w:r>
            <w:proofErr w:type="spellStart"/>
            <w:r w:rsidRPr="00387177">
              <w:rPr>
                <w:sz w:val="20"/>
                <w:szCs w:val="20"/>
                <w:lang w:val="fr-CA"/>
              </w:rPr>
              <w:t>Ural</w:t>
            </w:r>
            <w:proofErr w:type="spellEnd"/>
            <w:r w:rsidRPr="00387177">
              <w:rPr>
                <w:sz w:val="20"/>
                <w:szCs w:val="20"/>
                <w:lang w:val="fr-CA"/>
              </w:rPr>
              <w:t xml:space="preserve"> </w:t>
            </w:r>
            <w:proofErr w:type="spellStart"/>
            <w:r w:rsidRPr="00387177">
              <w:rPr>
                <w:sz w:val="20"/>
                <w:szCs w:val="20"/>
                <w:lang w:val="fr-CA"/>
              </w:rPr>
              <w:t>Direk</w:t>
            </w:r>
            <w:proofErr w:type="spellEnd"/>
          </w:p>
          <w:p w:rsidR="00387177" w:rsidRPr="00387177" w:rsidRDefault="00387177" w:rsidP="00387177">
            <w:pPr>
              <w:keepNext/>
              <w:keepLines/>
              <w:tabs>
                <w:tab w:val="left" w:pos="-1440"/>
                <w:tab w:val="left" w:pos="-720"/>
              </w:tabs>
              <w:rPr>
                <w:sz w:val="20"/>
                <w:szCs w:val="20"/>
                <w:lang w:val="fr-CA"/>
              </w:rPr>
            </w:pPr>
          </w:p>
          <w:p w:rsidR="00387177" w:rsidRPr="00387177" w:rsidRDefault="00387177" w:rsidP="00387177">
            <w:pPr>
              <w:keepNext/>
              <w:keepLines/>
              <w:tabs>
                <w:tab w:val="left" w:pos="-1440"/>
                <w:tab w:val="left" w:pos="-720"/>
              </w:tabs>
              <w:rPr>
                <w:sz w:val="20"/>
                <w:szCs w:val="20"/>
                <w:lang w:val="fr-CA"/>
              </w:rPr>
            </w:pPr>
            <w:r w:rsidRPr="00387177">
              <w:rPr>
                <w:sz w:val="20"/>
                <w:szCs w:val="20"/>
                <w:lang w:val="fr-CA"/>
              </w:rPr>
              <w:tab/>
              <w:t>v. (34093)</w:t>
            </w:r>
          </w:p>
          <w:p w:rsidR="00387177" w:rsidRPr="00387177" w:rsidRDefault="00387177" w:rsidP="00387177">
            <w:pPr>
              <w:keepNext/>
              <w:keepLines/>
              <w:tabs>
                <w:tab w:val="left" w:pos="-1440"/>
                <w:tab w:val="left" w:pos="-720"/>
              </w:tabs>
              <w:rPr>
                <w:sz w:val="20"/>
                <w:szCs w:val="20"/>
                <w:lang w:val="fr-CA"/>
              </w:rPr>
            </w:pPr>
          </w:p>
          <w:p w:rsidR="00387177" w:rsidRPr="00387177" w:rsidRDefault="00387177" w:rsidP="00387177">
            <w:pPr>
              <w:keepNext/>
              <w:keepLines/>
              <w:tabs>
                <w:tab w:val="left" w:pos="-1440"/>
                <w:tab w:val="left" w:pos="-720"/>
              </w:tabs>
              <w:rPr>
                <w:b/>
                <w:sz w:val="20"/>
                <w:szCs w:val="20"/>
                <w:lang w:val="fr-CA"/>
              </w:rPr>
            </w:pPr>
            <w:proofErr w:type="spellStart"/>
            <w:r w:rsidRPr="00387177">
              <w:rPr>
                <w:b/>
                <w:sz w:val="20"/>
                <w:szCs w:val="20"/>
                <w:lang w:val="fr-CA"/>
              </w:rPr>
              <w:t>Argiris</w:t>
            </w:r>
            <w:proofErr w:type="spellEnd"/>
            <w:r w:rsidRPr="00387177">
              <w:rPr>
                <w:b/>
                <w:sz w:val="20"/>
                <w:szCs w:val="20"/>
                <w:lang w:val="fr-CA"/>
              </w:rPr>
              <w:t xml:space="preserve"> &amp; Associates, </w:t>
            </w:r>
            <w:proofErr w:type="spellStart"/>
            <w:r w:rsidRPr="00387177">
              <w:rPr>
                <w:b/>
                <w:sz w:val="20"/>
                <w:szCs w:val="20"/>
                <w:lang w:val="fr-CA"/>
              </w:rPr>
              <w:t>Barristers</w:t>
            </w:r>
            <w:proofErr w:type="spellEnd"/>
            <w:r w:rsidRPr="00387177">
              <w:rPr>
                <w:b/>
                <w:sz w:val="20"/>
                <w:szCs w:val="20"/>
                <w:lang w:val="fr-CA"/>
              </w:rPr>
              <w:t xml:space="preserve">, Solicitors, </w:t>
            </w:r>
            <w:proofErr w:type="spellStart"/>
            <w:r w:rsidRPr="00387177">
              <w:rPr>
                <w:b/>
                <w:sz w:val="20"/>
                <w:szCs w:val="20"/>
                <w:lang w:val="fr-CA"/>
              </w:rPr>
              <w:t>Notaries</w:t>
            </w:r>
            <w:proofErr w:type="spellEnd"/>
            <w:r w:rsidRPr="00387177">
              <w:rPr>
                <w:b/>
                <w:sz w:val="20"/>
                <w:szCs w:val="20"/>
                <w:lang w:val="fr-CA"/>
              </w:rPr>
              <w:t xml:space="preserve"> et al. (Ont.)</w:t>
            </w:r>
          </w:p>
          <w:p w:rsidR="00387177" w:rsidRPr="00CD1F41" w:rsidRDefault="00387177" w:rsidP="00387177">
            <w:pPr>
              <w:keepNext/>
              <w:keepLines/>
              <w:tabs>
                <w:tab w:val="left" w:pos="-1440"/>
                <w:tab w:val="left" w:pos="-720"/>
              </w:tabs>
              <w:rPr>
                <w:sz w:val="20"/>
                <w:szCs w:val="20"/>
                <w:lang w:val="fr-CA"/>
              </w:rPr>
            </w:pPr>
            <w:r w:rsidRPr="00387177">
              <w:rPr>
                <w:sz w:val="20"/>
                <w:szCs w:val="20"/>
                <w:lang w:val="fr-CA"/>
              </w:rPr>
              <w:tab/>
              <w:t xml:space="preserve">Jamie K. </w:t>
            </w:r>
            <w:proofErr w:type="spellStart"/>
            <w:r w:rsidRPr="00387177">
              <w:rPr>
                <w:sz w:val="20"/>
                <w:szCs w:val="20"/>
                <w:lang w:val="fr-CA"/>
              </w:rPr>
              <w:t>Tr</w:t>
            </w:r>
            <w:r>
              <w:rPr>
                <w:sz w:val="20"/>
                <w:szCs w:val="20"/>
                <w:lang w:val="fr-CA"/>
              </w:rPr>
              <w:t>imble</w:t>
            </w:r>
            <w:proofErr w:type="spellEnd"/>
          </w:p>
          <w:p w:rsidR="00387177" w:rsidRPr="00CD1F41" w:rsidRDefault="00387177" w:rsidP="00387177">
            <w:pPr>
              <w:keepNext/>
              <w:keepLines/>
              <w:tabs>
                <w:tab w:val="left" w:pos="-1440"/>
                <w:tab w:val="left" w:pos="-720"/>
              </w:tabs>
              <w:rPr>
                <w:sz w:val="20"/>
                <w:szCs w:val="20"/>
                <w:lang w:val="fr-CA"/>
              </w:rPr>
            </w:pPr>
            <w:r w:rsidRPr="00CD1F41">
              <w:rPr>
                <w:sz w:val="20"/>
                <w:szCs w:val="20"/>
                <w:lang w:val="fr-CA"/>
              </w:rPr>
              <w:tab/>
            </w:r>
            <w:r>
              <w:rPr>
                <w:sz w:val="20"/>
                <w:szCs w:val="20"/>
                <w:lang w:val="fr-CA"/>
              </w:rPr>
              <w:t xml:space="preserve">Hughes, </w:t>
            </w:r>
            <w:proofErr w:type="spellStart"/>
            <w:r>
              <w:rPr>
                <w:sz w:val="20"/>
                <w:szCs w:val="20"/>
                <w:lang w:val="fr-CA"/>
              </w:rPr>
              <w:t>Amys</w:t>
            </w:r>
            <w:proofErr w:type="spellEnd"/>
          </w:p>
          <w:p w:rsidR="00387177" w:rsidRPr="00CD1F41" w:rsidRDefault="00387177" w:rsidP="00387177">
            <w:pPr>
              <w:keepNext/>
              <w:keepLines/>
              <w:tabs>
                <w:tab w:val="left" w:pos="-1440"/>
                <w:tab w:val="left" w:pos="-720"/>
              </w:tabs>
              <w:rPr>
                <w:sz w:val="20"/>
                <w:szCs w:val="20"/>
                <w:lang w:val="fr-CA"/>
              </w:rPr>
            </w:pPr>
          </w:p>
          <w:p w:rsidR="00242AEE" w:rsidRPr="00A935AA" w:rsidRDefault="00387177" w:rsidP="00387177">
            <w:pPr>
              <w:rPr>
                <w:sz w:val="20"/>
                <w:szCs w:val="20"/>
              </w:rPr>
            </w:pPr>
            <w:r w:rsidRPr="00A935AA">
              <w:rPr>
                <w:sz w:val="20"/>
                <w:szCs w:val="20"/>
              </w:rPr>
              <w:t>FILING DATE: 2</w:t>
            </w:r>
            <w:r>
              <w:rPr>
                <w:sz w:val="20"/>
                <w:szCs w:val="20"/>
              </w:rPr>
              <w:t>0</w:t>
            </w:r>
            <w:r w:rsidRPr="00A935AA">
              <w:rPr>
                <w:sz w:val="20"/>
                <w:szCs w:val="20"/>
              </w:rPr>
              <w:t>.0</w:t>
            </w:r>
            <w:r>
              <w:rPr>
                <w:sz w:val="20"/>
                <w:szCs w:val="20"/>
              </w:rPr>
              <w:t>1</w:t>
            </w:r>
            <w:r w:rsidRPr="00A935AA">
              <w:rPr>
                <w:sz w:val="20"/>
                <w:szCs w:val="20"/>
              </w:rPr>
              <w:t>.201</w:t>
            </w:r>
            <w:r>
              <w:rPr>
                <w:sz w:val="20"/>
                <w:szCs w:val="20"/>
              </w:rPr>
              <w:t>1</w:t>
            </w:r>
            <w:r w:rsidR="0004334C" w:rsidRPr="0004334C">
              <w:rPr>
                <w:sz w:val="20"/>
                <w:szCs w:val="20"/>
                <w:lang w:val="fr-CA"/>
              </w:rPr>
              <w:pict>
                <v:rect id="_x0000_i1026" style="width:108pt;height:1pt" o:hrpct="0" o:hralign="center" o:hrstd="t" o:hrnoshade="t" o:hr="t" fillcolor="black [3213]" stroked="f"/>
              </w:pict>
            </w:r>
          </w:p>
        </w:tc>
      </w:tr>
      <w:tr w:rsidR="00387177" w:rsidRPr="00A935AA" w:rsidTr="00707A29">
        <w:trPr>
          <w:cantSplit/>
        </w:trPr>
        <w:tc>
          <w:tcPr>
            <w:tcW w:w="4320" w:type="dxa"/>
            <w:shd w:val="clear" w:color="auto" w:fill="auto"/>
          </w:tcPr>
          <w:p w:rsidR="00387177" w:rsidRPr="00387177" w:rsidRDefault="00387177" w:rsidP="003B3977">
            <w:pPr>
              <w:rPr>
                <w:sz w:val="20"/>
                <w:szCs w:val="20"/>
              </w:rPr>
            </w:pPr>
            <w:r>
              <w:rPr>
                <w:sz w:val="20"/>
                <w:szCs w:val="20"/>
              </w:rPr>
              <w:tab/>
            </w:r>
            <w:r w:rsidRPr="00387177">
              <w:rPr>
                <w:sz w:val="20"/>
                <w:szCs w:val="20"/>
              </w:rPr>
              <w:t xml:space="preserve">Larry Peter </w:t>
            </w:r>
            <w:proofErr w:type="spellStart"/>
            <w:r w:rsidRPr="00387177">
              <w:rPr>
                <w:sz w:val="20"/>
                <w:szCs w:val="20"/>
              </w:rPr>
              <w:t>Klippenstein</w:t>
            </w:r>
            <w:proofErr w:type="spellEnd"/>
          </w:p>
          <w:p w:rsidR="00387177" w:rsidRDefault="00387177" w:rsidP="003B3977">
            <w:pPr>
              <w:rPr>
                <w:sz w:val="20"/>
                <w:szCs w:val="20"/>
              </w:rPr>
            </w:pPr>
          </w:p>
          <w:p w:rsidR="00387177" w:rsidRDefault="00387177" w:rsidP="003B3977">
            <w:pPr>
              <w:rPr>
                <w:sz w:val="20"/>
                <w:szCs w:val="20"/>
              </w:rPr>
            </w:pPr>
            <w:r>
              <w:rPr>
                <w:sz w:val="20"/>
                <w:szCs w:val="20"/>
              </w:rPr>
              <w:tab/>
              <w:t>v. (34102)</w:t>
            </w:r>
          </w:p>
          <w:p w:rsidR="00387177" w:rsidRDefault="00387177" w:rsidP="003B3977">
            <w:pPr>
              <w:rPr>
                <w:sz w:val="20"/>
                <w:szCs w:val="20"/>
              </w:rPr>
            </w:pPr>
          </w:p>
          <w:p w:rsidR="00387177" w:rsidRPr="00387177" w:rsidRDefault="00387177" w:rsidP="003B3977">
            <w:pPr>
              <w:rPr>
                <w:b/>
                <w:sz w:val="20"/>
                <w:szCs w:val="20"/>
              </w:rPr>
            </w:pPr>
            <w:r w:rsidRPr="00387177">
              <w:rPr>
                <w:b/>
                <w:sz w:val="20"/>
                <w:szCs w:val="20"/>
              </w:rPr>
              <w:t>Edison Rental Agency</w:t>
            </w:r>
            <w:r w:rsidR="00707A29">
              <w:rPr>
                <w:b/>
                <w:sz w:val="20"/>
                <w:szCs w:val="20"/>
              </w:rPr>
              <w:t xml:space="preserve"> (Man.)</w:t>
            </w:r>
          </w:p>
          <w:p w:rsidR="00387177" w:rsidRDefault="00387177" w:rsidP="003B3977">
            <w:pPr>
              <w:rPr>
                <w:sz w:val="20"/>
                <w:szCs w:val="20"/>
              </w:rPr>
            </w:pPr>
            <w:r>
              <w:rPr>
                <w:sz w:val="20"/>
                <w:szCs w:val="20"/>
              </w:rPr>
              <w:tab/>
              <w:t>Jonathan M. Woolley</w:t>
            </w:r>
          </w:p>
          <w:p w:rsidR="00387177" w:rsidRDefault="00387177" w:rsidP="003B3977">
            <w:pPr>
              <w:rPr>
                <w:sz w:val="20"/>
                <w:szCs w:val="20"/>
              </w:rPr>
            </w:pPr>
            <w:r>
              <w:rPr>
                <w:sz w:val="20"/>
                <w:szCs w:val="20"/>
              </w:rPr>
              <w:tab/>
              <w:t xml:space="preserve">Thompson </w:t>
            </w:r>
            <w:proofErr w:type="spellStart"/>
            <w:r>
              <w:rPr>
                <w:sz w:val="20"/>
                <w:szCs w:val="20"/>
              </w:rPr>
              <w:t>Dorfman</w:t>
            </w:r>
            <w:proofErr w:type="spellEnd"/>
            <w:r>
              <w:rPr>
                <w:sz w:val="20"/>
                <w:szCs w:val="20"/>
              </w:rPr>
              <w:t xml:space="preserve"> </w:t>
            </w:r>
            <w:proofErr w:type="spellStart"/>
            <w:r>
              <w:rPr>
                <w:sz w:val="20"/>
                <w:szCs w:val="20"/>
              </w:rPr>
              <w:t>Sweatman</w:t>
            </w:r>
            <w:proofErr w:type="spellEnd"/>
            <w:r>
              <w:rPr>
                <w:sz w:val="20"/>
                <w:szCs w:val="20"/>
              </w:rPr>
              <w:t xml:space="preserve"> LLP</w:t>
            </w:r>
          </w:p>
          <w:p w:rsidR="00387177" w:rsidRDefault="00387177" w:rsidP="003B3977">
            <w:pPr>
              <w:rPr>
                <w:sz w:val="20"/>
                <w:szCs w:val="20"/>
              </w:rPr>
            </w:pPr>
          </w:p>
          <w:p w:rsidR="00387177" w:rsidRDefault="00387177" w:rsidP="003B3977">
            <w:pPr>
              <w:rPr>
                <w:sz w:val="20"/>
                <w:szCs w:val="20"/>
              </w:rPr>
            </w:pPr>
            <w:r>
              <w:rPr>
                <w:sz w:val="20"/>
                <w:szCs w:val="20"/>
              </w:rPr>
              <w:t>FILING DATE: 20.01.2011</w:t>
            </w:r>
          </w:p>
          <w:p w:rsidR="00387177" w:rsidRPr="00387177" w:rsidRDefault="0004334C" w:rsidP="00387177">
            <w:pPr>
              <w:rPr>
                <w:sz w:val="20"/>
                <w:szCs w:val="20"/>
              </w:rPr>
            </w:pPr>
            <w:r w:rsidRPr="0004334C">
              <w:rPr>
                <w:sz w:val="20"/>
                <w:szCs w:val="20"/>
                <w:lang w:val="fr-CA"/>
              </w:rPr>
              <w:pict>
                <v:rect id="_x0000_i1027" style="width:108pt;height:1pt" o:hrpct="0" o:hralign="center" o:hrstd="t" o:hrnoshade="t" o:hr="t" fillcolor="black [3213]" stroked="f"/>
              </w:pict>
            </w:r>
          </w:p>
          <w:p w:rsidR="00387177" w:rsidRPr="00387177" w:rsidRDefault="00387177" w:rsidP="00387177">
            <w:pPr>
              <w:rPr>
                <w:sz w:val="20"/>
                <w:szCs w:val="20"/>
              </w:rPr>
            </w:pPr>
          </w:p>
          <w:p w:rsidR="00387177" w:rsidRDefault="00387177" w:rsidP="00387177">
            <w:pPr>
              <w:rPr>
                <w:b/>
                <w:sz w:val="20"/>
                <w:szCs w:val="20"/>
              </w:rPr>
            </w:pPr>
            <w:r>
              <w:rPr>
                <w:b/>
                <w:sz w:val="20"/>
                <w:szCs w:val="20"/>
              </w:rPr>
              <w:t>Park Avenue Flooring Inc.</w:t>
            </w:r>
          </w:p>
          <w:p w:rsidR="00387177" w:rsidRPr="00387177" w:rsidRDefault="00387177" w:rsidP="00387177">
            <w:pPr>
              <w:rPr>
                <w:sz w:val="20"/>
                <w:szCs w:val="20"/>
              </w:rPr>
            </w:pPr>
            <w:r>
              <w:rPr>
                <w:b/>
                <w:sz w:val="20"/>
                <w:szCs w:val="20"/>
              </w:rPr>
              <w:tab/>
            </w:r>
            <w:r>
              <w:rPr>
                <w:sz w:val="20"/>
                <w:szCs w:val="20"/>
              </w:rPr>
              <w:t>Debbie J. Miller</w:t>
            </w:r>
          </w:p>
        </w:tc>
        <w:tc>
          <w:tcPr>
            <w:tcW w:w="1181" w:type="dxa"/>
            <w:shd w:val="clear" w:color="auto" w:fill="auto"/>
          </w:tcPr>
          <w:p w:rsidR="00387177" w:rsidRDefault="00387177" w:rsidP="00242AEE">
            <w:pPr>
              <w:jc w:val="center"/>
              <w:rPr>
                <w:sz w:val="20"/>
                <w:szCs w:val="20"/>
              </w:rPr>
            </w:pPr>
          </w:p>
          <w:p w:rsidR="002C079C" w:rsidRDefault="002C079C" w:rsidP="00242AEE">
            <w:pPr>
              <w:jc w:val="center"/>
              <w:rPr>
                <w:sz w:val="20"/>
                <w:szCs w:val="20"/>
              </w:rPr>
            </w:pPr>
          </w:p>
          <w:p w:rsidR="002C079C" w:rsidRDefault="002C079C" w:rsidP="00242AEE">
            <w:pPr>
              <w:jc w:val="center"/>
              <w:rPr>
                <w:sz w:val="20"/>
                <w:szCs w:val="20"/>
              </w:rPr>
            </w:pPr>
          </w:p>
          <w:p w:rsidR="002C079C" w:rsidRDefault="002C079C" w:rsidP="00242AEE">
            <w:pPr>
              <w:jc w:val="center"/>
              <w:rPr>
                <w:sz w:val="20"/>
                <w:szCs w:val="20"/>
              </w:rPr>
            </w:pPr>
          </w:p>
          <w:p w:rsidR="002C079C" w:rsidRDefault="002C079C" w:rsidP="00242AEE">
            <w:pPr>
              <w:jc w:val="center"/>
              <w:rPr>
                <w:sz w:val="20"/>
                <w:szCs w:val="20"/>
              </w:rPr>
            </w:pPr>
          </w:p>
          <w:p w:rsidR="002C079C" w:rsidRDefault="002C079C" w:rsidP="00242AEE">
            <w:pPr>
              <w:jc w:val="center"/>
              <w:rPr>
                <w:sz w:val="20"/>
                <w:szCs w:val="20"/>
              </w:rPr>
            </w:pPr>
          </w:p>
          <w:p w:rsidR="002C079C" w:rsidRDefault="002C079C" w:rsidP="00242AEE">
            <w:pPr>
              <w:jc w:val="center"/>
              <w:rPr>
                <w:sz w:val="20"/>
                <w:szCs w:val="20"/>
              </w:rPr>
            </w:pPr>
          </w:p>
          <w:p w:rsidR="002C079C" w:rsidRDefault="002C079C" w:rsidP="00242AEE">
            <w:pPr>
              <w:jc w:val="center"/>
              <w:rPr>
                <w:sz w:val="20"/>
                <w:szCs w:val="20"/>
              </w:rPr>
            </w:pPr>
          </w:p>
          <w:p w:rsidR="002C079C" w:rsidRDefault="002C079C" w:rsidP="00242AEE">
            <w:pPr>
              <w:jc w:val="center"/>
              <w:rPr>
                <w:sz w:val="20"/>
                <w:szCs w:val="20"/>
              </w:rPr>
            </w:pPr>
          </w:p>
          <w:p w:rsidR="002C079C" w:rsidRDefault="002C079C" w:rsidP="00242AEE">
            <w:pPr>
              <w:jc w:val="center"/>
              <w:rPr>
                <w:sz w:val="20"/>
                <w:szCs w:val="20"/>
              </w:rPr>
            </w:pPr>
          </w:p>
          <w:p w:rsidR="002C079C" w:rsidRDefault="002C079C" w:rsidP="00242AEE">
            <w:pPr>
              <w:jc w:val="center"/>
              <w:rPr>
                <w:sz w:val="20"/>
                <w:szCs w:val="20"/>
              </w:rPr>
            </w:pPr>
          </w:p>
          <w:p w:rsidR="002C079C" w:rsidRDefault="002C079C" w:rsidP="00242AEE">
            <w:pPr>
              <w:jc w:val="center"/>
              <w:rPr>
                <w:sz w:val="20"/>
                <w:szCs w:val="20"/>
              </w:rPr>
            </w:pPr>
          </w:p>
          <w:p w:rsidR="002C079C" w:rsidRPr="00A935AA" w:rsidRDefault="002C079C" w:rsidP="00242AEE">
            <w:pPr>
              <w:jc w:val="center"/>
              <w:rPr>
                <w:sz w:val="20"/>
                <w:szCs w:val="20"/>
              </w:rPr>
            </w:pPr>
          </w:p>
        </w:tc>
        <w:tc>
          <w:tcPr>
            <w:tcW w:w="4320" w:type="dxa"/>
            <w:shd w:val="clear" w:color="auto" w:fill="auto"/>
          </w:tcPr>
          <w:p w:rsidR="00387177" w:rsidRPr="00922E3D" w:rsidRDefault="00387177" w:rsidP="00387177">
            <w:pPr>
              <w:keepNext/>
              <w:keepLines/>
              <w:tabs>
                <w:tab w:val="left" w:pos="-1440"/>
                <w:tab w:val="left" w:pos="-720"/>
              </w:tabs>
              <w:rPr>
                <w:b/>
                <w:sz w:val="20"/>
                <w:szCs w:val="20"/>
              </w:rPr>
            </w:pPr>
          </w:p>
          <w:p w:rsidR="00387177" w:rsidRPr="00922E3D" w:rsidRDefault="00387177" w:rsidP="00387177">
            <w:pPr>
              <w:keepNext/>
              <w:keepLines/>
              <w:tabs>
                <w:tab w:val="left" w:pos="-1440"/>
                <w:tab w:val="left" w:pos="-720"/>
              </w:tabs>
              <w:rPr>
                <w:sz w:val="20"/>
                <w:szCs w:val="20"/>
              </w:rPr>
            </w:pPr>
            <w:r w:rsidRPr="00922E3D">
              <w:rPr>
                <w:b/>
                <w:sz w:val="20"/>
                <w:szCs w:val="20"/>
              </w:rPr>
              <w:t>Carol Truong</w:t>
            </w:r>
          </w:p>
          <w:p w:rsidR="00387177" w:rsidRPr="00A935AA" w:rsidRDefault="00387177" w:rsidP="00387177">
            <w:pPr>
              <w:tabs>
                <w:tab w:val="left" w:pos="-1440"/>
                <w:tab w:val="left" w:pos="-720"/>
              </w:tabs>
              <w:rPr>
                <w:sz w:val="20"/>
                <w:szCs w:val="20"/>
              </w:rPr>
            </w:pPr>
            <w:r w:rsidRPr="00A935AA">
              <w:rPr>
                <w:sz w:val="20"/>
                <w:szCs w:val="20"/>
              </w:rPr>
              <w:tab/>
            </w:r>
            <w:r>
              <w:rPr>
                <w:sz w:val="20"/>
                <w:szCs w:val="20"/>
              </w:rPr>
              <w:t xml:space="preserve">Aurora M. </w:t>
            </w:r>
            <w:proofErr w:type="spellStart"/>
            <w:r>
              <w:rPr>
                <w:sz w:val="20"/>
                <w:szCs w:val="20"/>
              </w:rPr>
              <w:t>Beraldin</w:t>
            </w:r>
            <w:proofErr w:type="spellEnd"/>
          </w:p>
          <w:p w:rsidR="00387177" w:rsidRPr="00A935AA" w:rsidRDefault="00387177" w:rsidP="00387177">
            <w:pPr>
              <w:tabs>
                <w:tab w:val="left" w:pos="-1440"/>
                <w:tab w:val="left" w:pos="-720"/>
              </w:tabs>
              <w:rPr>
                <w:sz w:val="20"/>
                <w:szCs w:val="20"/>
              </w:rPr>
            </w:pPr>
            <w:r w:rsidRPr="00A935AA">
              <w:rPr>
                <w:sz w:val="20"/>
                <w:szCs w:val="20"/>
              </w:rPr>
              <w:tab/>
            </w:r>
            <w:r>
              <w:rPr>
                <w:sz w:val="20"/>
                <w:szCs w:val="20"/>
              </w:rPr>
              <w:t>Carr Buchan &amp; Company</w:t>
            </w:r>
          </w:p>
          <w:p w:rsidR="00387177" w:rsidRPr="00A935AA" w:rsidRDefault="00387177" w:rsidP="00387177">
            <w:pPr>
              <w:tabs>
                <w:tab w:val="left" w:pos="-1440"/>
                <w:tab w:val="left" w:pos="-720"/>
              </w:tabs>
              <w:rPr>
                <w:sz w:val="20"/>
                <w:szCs w:val="20"/>
              </w:rPr>
            </w:pPr>
          </w:p>
          <w:p w:rsidR="00387177" w:rsidRPr="00A935AA" w:rsidRDefault="00387177" w:rsidP="00387177">
            <w:pPr>
              <w:tabs>
                <w:tab w:val="left" w:pos="-1440"/>
                <w:tab w:val="left" w:pos="-720"/>
              </w:tabs>
              <w:rPr>
                <w:sz w:val="20"/>
                <w:szCs w:val="20"/>
              </w:rPr>
            </w:pPr>
            <w:r w:rsidRPr="00A935AA">
              <w:rPr>
                <w:sz w:val="20"/>
                <w:szCs w:val="20"/>
              </w:rPr>
              <w:tab/>
              <w:t>v. (3</w:t>
            </w:r>
            <w:r>
              <w:rPr>
                <w:sz w:val="20"/>
                <w:szCs w:val="20"/>
              </w:rPr>
              <w:t>4072</w:t>
            </w:r>
            <w:r w:rsidRPr="00A935AA">
              <w:rPr>
                <w:sz w:val="20"/>
                <w:szCs w:val="20"/>
              </w:rPr>
              <w:t>)</w:t>
            </w:r>
          </w:p>
          <w:p w:rsidR="00387177" w:rsidRPr="00A935AA" w:rsidRDefault="00387177" w:rsidP="00387177">
            <w:pPr>
              <w:tabs>
                <w:tab w:val="left" w:pos="-1440"/>
                <w:tab w:val="left" w:pos="-720"/>
              </w:tabs>
              <w:rPr>
                <w:sz w:val="20"/>
                <w:szCs w:val="20"/>
              </w:rPr>
            </w:pPr>
          </w:p>
          <w:p w:rsidR="00387177" w:rsidRPr="00A935AA" w:rsidRDefault="00387177" w:rsidP="00387177">
            <w:pPr>
              <w:tabs>
                <w:tab w:val="left" w:pos="-1440"/>
                <w:tab w:val="left" w:pos="-720"/>
              </w:tabs>
              <w:rPr>
                <w:b/>
                <w:sz w:val="20"/>
                <w:szCs w:val="20"/>
              </w:rPr>
            </w:pPr>
            <w:r>
              <w:rPr>
                <w:b/>
                <w:sz w:val="20"/>
                <w:szCs w:val="20"/>
              </w:rPr>
              <w:t xml:space="preserve">Her Majesty the Queen </w:t>
            </w:r>
            <w:r w:rsidRPr="00A935AA">
              <w:rPr>
                <w:b/>
                <w:sz w:val="20"/>
                <w:szCs w:val="20"/>
              </w:rPr>
              <w:t>(B.C.)</w:t>
            </w:r>
          </w:p>
          <w:p w:rsidR="00387177" w:rsidRPr="00A935AA" w:rsidRDefault="00387177" w:rsidP="00387177">
            <w:pPr>
              <w:tabs>
                <w:tab w:val="left" w:pos="-1440"/>
                <w:tab w:val="left" w:pos="-720"/>
              </w:tabs>
              <w:rPr>
                <w:sz w:val="20"/>
                <w:szCs w:val="20"/>
              </w:rPr>
            </w:pPr>
            <w:r w:rsidRPr="00A935AA">
              <w:rPr>
                <w:sz w:val="20"/>
                <w:szCs w:val="20"/>
              </w:rPr>
              <w:tab/>
            </w:r>
            <w:r>
              <w:rPr>
                <w:sz w:val="20"/>
                <w:szCs w:val="20"/>
              </w:rPr>
              <w:t>Roger F. Cutler</w:t>
            </w:r>
          </w:p>
          <w:p w:rsidR="00387177" w:rsidRPr="00A935AA" w:rsidRDefault="00387177" w:rsidP="00387177">
            <w:pPr>
              <w:tabs>
                <w:tab w:val="left" w:pos="-1440"/>
                <w:tab w:val="left" w:pos="-720"/>
              </w:tabs>
              <w:rPr>
                <w:sz w:val="20"/>
                <w:szCs w:val="20"/>
              </w:rPr>
            </w:pPr>
            <w:r w:rsidRPr="00A935AA">
              <w:rPr>
                <w:sz w:val="20"/>
                <w:szCs w:val="20"/>
              </w:rPr>
              <w:tab/>
            </w:r>
            <w:r>
              <w:rPr>
                <w:sz w:val="20"/>
                <w:szCs w:val="20"/>
              </w:rPr>
              <w:t>A.G. of British Columbia</w:t>
            </w:r>
          </w:p>
          <w:p w:rsidR="00387177" w:rsidRPr="00A935AA" w:rsidRDefault="00387177" w:rsidP="00387177">
            <w:pPr>
              <w:tabs>
                <w:tab w:val="left" w:pos="-1440"/>
                <w:tab w:val="left" w:pos="-720"/>
              </w:tabs>
              <w:rPr>
                <w:sz w:val="20"/>
                <w:szCs w:val="20"/>
              </w:rPr>
            </w:pPr>
          </w:p>
          <w:p w:rsidR="00387177" w:rsidRPr="00A935AA" w:rsidRDefault="00387177" w:rsidP="00387177">
            <w:pPr>
              <w:rPr>
                <w:sz w:val="20"/>
                <w:szCs w:val="20"/>
              </w:rPr>
            </w:pPr>
            <w:r w:rsidRPr="00A935AA">
              <w:rPr>
                <w:sz w:val="20"/>
                <w:szCs w:val="20"/>
              </w:rPr>
              <w:t xml:space="preserve">FILING DATE: </w:t>
            </w:r>
            <w:r>
              <w:rPr>
                <w:sz w:val="20"/>
                <w:szCs w:val="20"/>
              </w:rPr>
              <w:t>2</w:t>
            </w:r>
            <w:r w:rsidRPr="00A935AA">
              <w:rPr>
                <w:sz w:val="20"/>
                <w:szCs w:val="20"/>
              </w:rPr>
              <w:t>7.0</w:t>
            </w:r>
            <w:r>
              <w:rPr>
                <w:sz w:val="20"/>
                <w:szCs w:val="20"/>
              </w:rPr>
              <w:t>1</w:t>
            </w:r>
            <w:r w:rsidRPr="00A935AA">
              <w:rPr>
                <w:sz w:val="20"/>
                <w:szCs w:val="20"/>
              </w:rPr>
              <w:t>.201</w:t>
            </w:r>
            <w:r>
              <w:rPr>
                <w:sz w:val="20"/>
                <w:szCs w:val="20"/>
              </w:rPr>
              <w:t>1</w:t>
            </w:r>
          </w:p>
          <w:p w:rsidR="00387177" w:rsidRPr="00387177" w:rsidRDefault="0004334C" w:rsidP="00387177">
            <w:pPr>
              <w:rPr>
                <w:sz w:val="20"/>
                <w:szCs w:val="20"/>
                <w:lang w:val="fr-CA"/>
              </w:rPr>
            </w:pPr>
            <w:r w:rsidRPr="0004334C">
              <w:rPr>
                <w:sz w:val="20"/>
                <w:szCs w:val="20"/>
                <w:lang w:val="fr-CA"/>
              </w:rPr>
              <w:pict>
                <v:rect id="_x0000_i1028" style="width:108pt;height:1pt" o:hrpct="0" o:hralign="center" o:hrstd="t" o:hrnoshade="t" o:hr="t" fillcolor="black [3213]" stroked="f"/>
              </w:pict>
            </w:r>
          </w:p>
        </w:tc>
      </w:tr>
      <w:tr w:rsidR="00E5508D" w:rsidRPr="00A935AA" w:rsidTr="00707A29">
        <w:trPr>
          <w:cantSplit/>
        </w:trPr>
        <w:tc>
          <w:tcPr>
            <w:tcW w:w="4320" w:type="dxa"/>
            <w:shd w:val="clear" w:color="auto" w:fill="auto"/>
          </w:tcPr>
          <w:p w:rsidR="00E5508D" w:rsidRDefault="00E5508D" w:rsidP="00CD1F41">
            <w:pPr>
              <w:rPr>
                <w:sz w:val="20"/>
                <w:szCs w:val="20"/>
                <w:lang w:val="fr-CA"/>
              </w:rPr>
            </w:pPr>
          </w:p>
          <w:p w:rsidR="00387177" w:rsidRPr="00CD1F41" w:rsidRDefault="00387177" w:rsidP="00387177">
            <w:pPr>
              <w:tabs>
                <w:tab w:val="left" w:pos="-1440"/>
                <w:tab w:val="left" w:pos="-720"/>
              </w:tabs>
              <w:rPr>
                <w:sz w:val="20"/>
                <w:szCs w:val="20"/>
                <w:lang w:val="fr-CA"/>
              </w:rPr>
            </w:pPr>
            <w:r w:rsidRPr="00A935AA">
              <w:rPr>
                <w:sz w:val="20"/>
                <w:szCs w:val="20"/>
              </w:rPr>
              <w:tab/>
            </w:r>
            <w:r w:rsidRPr="00CD1F41">
              <w:rPr>
                <w:sz w:val="20"/>
                <w:szCs w:val="20"/>
                <w:lang w:val="fr-CA"/>
              </w:rPr>
              <w:t>v. (34118)</w:t>
            </w:r>
          </w:p>
          <w:p w:rsidR="00387177" w:rsidRPr="00CD1F41" w:rsidRDefault="00387177" w:rsidP="00387177">
            <w:pPr>
              <w:tabs>
                <w:tab w:val="left" w:pos="-1440"/>
                <w:tab w:val="left" w:pos="-720"/>
              </w:tabs>
              <w:rPr>
                <w:sz w:val="20"/>
                <w:szCs w:val="20"/>
                <w:lang w:val="fr-CA"/>
              </w:rPr>
            </w:pPr>
          </w:p>
          <w:p w:rsidR="00387177" w:rsidRPr="00922E3D" w:rsidRDefault="00387177" w:rsidP="00387177">
            <w:pPr>
              <w:tabs>
                <w:tab w:val="left" w:pos="-1440"/>
                <w:tab w:val="left" w:pos="-720"/>
              </w:tabs>
              <w:rPr>
                <w:b/>
                <w:sz w:val="20"/>
                <w:szCs w:val="20"/>
              </w:rPr>
            </w:pPr>
            <w:proofErr w:type="spellStart"/>
            <w:r w:rsidRPr="00CD1F41">
              <w:rPr>
                <w:b/>
                <w:sz w:val="20"/>
                <w:szCs w:val="20"/>
                <w:lang w:val="fr-CA"/>
              </w:rPr>
              <w:t>Ellisdon</w:t>
            </w:r>
            <w:proofErr w:type="spellEnd"/>
            <w:r w:rsidRPr="00CD1F41">
              <w:rPr>
                <w:b/>
                <w:sz w:val="20"/>
                <w:szCs w:val="20"/>
                <w:lang w:val="fr-CA"/>
              </w:rPr>
              <w:t xml:space="preserve"> Construction Services Inc. </w:t>
            </w:r>
            <w:r w:rsidRPr="00922E3D">
              <w:rPr>
                <w:b/>
                <w:sz w:val="20"/>
                <w:szCs w:val="20"/>
              </w:rPr>
              <w:t>(Alta.)</w:t>
            </w:r>
          </w:p>
          <w:p w:rsidR="00387177" w:rsidRPr="00A935AA" w:rsidRDefault="00387177" w:rsidP="00387177">
            <w:pPr>
              <w:tabs>
                <w:tab w:val="left" w:pos="-1440"/>
                <w:tab w:val="left" w:pos="-720"/>
              </w:tabs>
              <w:rPr>
                <w:sz w:val="20"/>
                <w:szCs w:val="20"/>
              </w:rPr>
            </w:pPr>
            <w:r w:rsidRPr="00922E3D">
              <w:rPr>
                <w:sz w:val="20"/>
                <w:szCs w:val="20"/>
              </w:rPr>
              <w:tab/>
            </w:r>
            <w:r>
              <w:rPr>
                <w:sz w:val="20"/>
                <w:szCs w:val="20"/>
              </w:rPr>
              <w:t>Terry R. Davis</w:t>
            </w:r>
          </w:p>
          <w:p w:rsidR="00387177" w:rsidRPr="00A935AA" w:rsidRDefault="00387177" w:rsidP="00387177">
            <w:pPr>
              <w:tabs>
                <w:tab w:val="left" w:pos="-1440"/>
                <w:tab w:val="left" w:pos="-720"/>
              </w:tabs>
              <w:rPr>
                <w:sz w:val="20"/>
                <w:szCs w:val="20"/>
              </w:rPr>
            </w:pPr>
            <w:r w:rsidRPr="00A935AA">
              <w:rPr>
                <w:sz w:val="20"/>
                <w:szCs w:val="20"/>
              </w:rPr>
              <w:tab/>
            </w:r>
            <w:proofErr w:type="spellStart"/>
            <w:r>
              <w:rPr>
                <w:sz w:val="20"/>
                <w:szCs w:val="20"/>
              </w:rPr>
              <w:t>Parlee</w:t>
            </w:r>
            <w:proofErr w:type="spellEnd"/>
            <w:r>
              <w:rPr>
                <w:sz w:val="20"/>
                <w:szCs w:val="20"/>
              </w:rPr>
              <w:t xml:space="preserve"> </w:t>
            </w:r>
            <w:proofErr w:type="spellStart"/>
            <w:r>
              <w:rPr>
                <w:sz w:val="20"/>
                <w:szCs w:val="20"/>
              </w:rPr>
              <w:t>McLaws</w:t>
            </w:r>
            <w:proofErr w:type="spellEnd"/>
            <w:r>
              <w:rPr>
                <w:sz w:val="20"/>
                <w:szCs w:val="20"/>
              </w:rPr>
              <w:t xml:space="preserve"> LLP</w:t>
            </w:r>
          </w:p>
          <w:p w:rsidR="00387177" w:rsidRPr="00A935AA" w:rsidRDefault="00387177" w:rsidP="00387177">
            <w:pPr>
              <w:tabs>
                <w:tab w:val="left" w:pos="-1440"/>
                <w:tab w:val="left" w:pos="-720"/>
              </w:tabs>
              <w:rPr>
                <w:sz w:val="20"/>
                <w:szCs w:val="20"/>
              </w:rPr>
            </w:pPr>
          </w:p>
          <w:p w:rsidR="00387177" w:rsidRPr="00A935AA" w:rsidRDefault="00387177" w:rsidP="00387177">
            <w:pPr>
              <w:rPr>
                <w:sz w:val="20"/>
                <w:szCs w:val="20"/>
              </w:rPr>
            </w:pPr>
            <w:r w:rsidRPr="00A935AA">
              <w:rPr>
                <w:sz w:val="20"/>
                <w:szCs w:val="20"/>
              </w:rPr>
              <w:t xml:space="preserve">FILING DATE: </w:t>
            </w:r>
            <w:r>
              <w:rPr>
                <w:sz w:val="20"/>
                <w:szCs w:val="20"/>
              </w:rPr>
              <w:t>01</w:t>
            </w:r>
            <w:r w:rsidRPr="00A935AA">
              <w:rPr>
                <w:sz w:val="20"/>
                <w:szCs w:val="20"/>
              </w:rPr>
              <w:t>.0</w:t>
            </w:r>
            <w:r>
              <w:rPr>
                <w:sz w:val="20"/>
                <w:szCs w:val="20"/>
              </w:rPr>
              <w:t>2</w:t>
            </w:r>
            <w:r w:rsidRPr="00A935AA">
              <w:rPr>
                <w:sz w:val="20"/>
                <w:szCs w:val="20"/>
              </w:rPr>
              <w:t>.201</w:t>
            </w:r>
            <w:r>
              <w:rPr>
                <w:sz w:val="20"/>
                <w:szCs w:val="20"/>
              </w:rPr>
              <w:t>1</w:t>
            </w:r>
          </w:p>
          <w:p w:rsidR="00387177" w:rsidRDefault="0004334C" w:rsidP="00387177">
            <w:pPr>
              <w:rPr>
                <w:sz w:val="20"/>
                <w:szCs w:val="20"/>
                <w:lang w:val="fr-CA"/>
              </w:rPr>
            </w:pPr>
            <w:r w:rsidRPr="0004334C">
              <w:rPr>
                <w:sz w:val="20"/>
                <w:szCs w:val="20"/>
                <w:lang w:val="fr-CA"/>
              </w:rPr>
              <w:pict>
                <v:rect id="_x0000_i1029" style="width:108pt;height:1pt" o:hrpct="0" o:hralign="center" o:hrstd="t" o:hrnoshade="t" o:hr="t" fillcolor="black [3213]" stroked="f"/>
              </w:pict>
            </w:r>
          </w:p>
          <w:p w:rsidR="00387177" w:rsidRDefault="00387177" w:rsidP="00CD1F41">
            <w:pPr>
              <w:rPr>
                <w:sz w:val="20"/>
                <w:szCs w:val="20"/>
                <w:lang w:val="fr-CA"/>
              </w:rPr>
            </w:pPr>
          </w:p>
          <w:p w:rsidR="00BB4E58" w:rsidRDefault="009C08F0" w:rsidP="009C08F0">
            <w:pPr>
              <w:rPr>
                <w:b/>
                <w:sz w:val="20"/>
                <w:szCs w:val="20"/>
                <w:lang w:val="fr-CA"/>
              </w:rPr>
            </w:pPr>
            <w:r>
              <w:rPr>
                <w:b/>
                <w:sz w:val="20"/>
                <w:szCs w:val="20"/>
                <w:lang w:val="fr-CA"/>
              </w:rPr>
              <w:t>Sa Majesté la Reine</w:t>
            </w:r>
          </w:p>
          <w:p w:rsidR="00707A29" w:rsidRPr="00922E3D" w:rsidRDefault="00707A29" w:rsidP="00707A29">
            <w:pPr>
              <w:rPr>
                <w:sz w:val="20"/>
                <w:szCs w:val="20"/>
                <w:lang w:val="fr-CA"/>
              </w:rPr>
            </w:pPr>
            <w:r>
              <w:rPr>
                <w:sz w:val="20"/>
                <w:szCs w:val="20"/>
                <w:lang w:val="fr-CA"/>
              </w:rPr>
              <w:tab/>
              <w:t>Madeleine Giauque</w:t>
            </w:r>
          </w:p>
        </w:tc>
        <w:tc>
          <w:tcPr>
            <w:tcW w:w="1181" w:type="dxa"/>
            <w:shd w:val="clear" w:color="auto" w:fill="auto"/>
          </w:tcPr>
          <w:p w:rsidR="00E5508D" w:rsidRPr="00922E3D" w:rsidRDefault="00E5508D" w:rsidP="00CD1F41">
            <w:pPr>
              <w:jc w:val="center"/>
              <w:rPr>
                <w:sz w:val="20"/>
                <w:szCs w:val="20"/>
                <w:lang w:val="fr-CA"/>
              </w:rPr>
            </w:pPr>
          </w:p>
          <w:p w:rsidR="00E5508D" w:rsidRPr="00922E3D" w:rsidRDefault="00E5508D" w:rsidP="00CD1F41">
            <w:pPr>
              <w:jc w:val="center"/>
              <w:rPr>
                <w:sz w:val="20"/>
                <w:szCs w:val="20"/>
                <w:lang w:val="fr-CA"/>
              </w:rPr>
            </w:pPr>
          </w:p>
          <w:p w:rsidR="00E5508D" w:rsidRPr="00922E3D" w:rsidRDefault="00E5508D" w:rsidP="00CD1F41">
            <w:pPr>
              <w:jc w:val="center"/>
              <w:rPr>
                <w:sz w:val="20"/>
                <w:szCs w:val="20"/>
                <w:lang w:val="fr-CA"/>
              </w:rPr>
            </w:pPr>
          </w:p>
          <w:p w:rsidR="00E5508D" w:rsidRPr="00922E3D" w:rsidRDefault="00E5508D" w:rsidP="00CD1F41">
            <w:pPr>
              <w:jc w:val="center"/>
              <w:rPr>
                <w:sz w:val="20"/>
                <w:szCs w:val="20"/>
                <w:lang w:val="fr-CA"/>
              </w:rPr>
            </w:pPr>
          </w:p>
          <w:p w:rsidR="00E5508D" w:rsidRPr="00922E3D" w:rsidRDefault="00E5508D" w:rsidP="00CD1F41">
            <w:pPr>
              <w:jc w:val="center"/>
              <w:rPr>
                <w:sz w:val="20"/>
                <w:szCs w:val="20"/>
                <w:lang w:val="fr-CA"/>
              </w:rPr>
            </w:pPr>
          </w:p>
          <w:p w:rsidR="00E5508D" w:rsidRPr="00922E3D" w:rsidRDefault="00E5508D" w:rsidP="00CD1F41">
            <w:pPr>
              <w:jc w:val="center"/>
              <w:rPr>
                <w:sz w:val="20"/>
                <w:szCs w:val="20"/>
                <w:lang w:val="fr-CA"/>
              </w:rPr>
            </w:pPr>
          </w:p>
          <w:p w:rsidR="00E5508D" w:rsidRPr="00922E3D" w:rsidRDefault="00E5508D" w:rsidP="00CD1F41">
            <w:pPr>
              <w:jc w:val="center"/>
              <w:rPr>
                <w:sz w:val="20"/>
                <w:szCs w:val="20"/>
                <w:lang w:val="fr-CA"/>
              </w:rPr>
            </w:pPr>
          </w:p>
          <w:p w:rsidR="00E5508D" w:rsidRPr="00922E3D" w:rsidRDefault="00E5508D" w:rsidP="00CD1F41">
            <w:pPr>
              <w:jc w:val="center"/>
              <w:rPr>
                <w:sz w:val="20"/>
                <w:szCs w:val="20"/>
                <w:lang w:val="fr-CA"/>
              </w:rPr>
            </w:pPr>
          </w:p>
          <w:p w:rsidR="00E5508D" w:rsidRPr="00922E3D" w:rsidRDefault="00E5508D" w:rsidP="00CD1F41">
            <w:pPr>
              <w:jc w:val="center"/>
              <w:rPr>
                <w:sz w:val="20"/>
                <w:szCs w:val="20"/>
                <w:lang w:val="fr-CA"/>
              </w:rPr>
            </w:pPr>
          </w:p>
          <w:p w:rsidR="00E5508D" w:rsidRPr="00922E3D" w:rsidRDefault="00E5508D" w:rsidP="00CD1F41">
            <w:pPr>
              <w:jc w:val="center"/>
              <w:rPr>
                <w:sz w:val="20"/>
                <w:szCs w:val="20"/>
                <w:lang w:val="fr-CA"/>
              </w:rPr>
            </w:pPr>
          </w:p>
          <w:p w:rsidR="00E5508D" w:rsidRPr="00922E3D" w:rsidRDefault="00E5508D" w:rsidP="00CD1F41">
            <w:pPr>
              <w:jc w:val="center"/>
              <w:rPr>
                <w:sz w:val="20"/>
                <w:szCs w:val="20"/>
                <w:lang w:val="fr-CA"/>
              </w:rPr>
            </w:pPr>
          </w:p>
          <w:p w:rsidR="00E5508D" w:rsidRPr="00922E3D" w:rsidRDefault="00E5508D" w:rsidP="00CD1F41">
            <w:pPr>
              <w:jc w:val="center"/>
              <w:rPr>
                <w:sz w:val="20"/>
                <w:szCs w:val="20"/>
                <w:lang w:val="fr-CA"/>
              </w:rPr>
            </w:pPr>
          </w:p>
        </w:tc>
        <w:tc>
          <w:tcPr>
            <w:tcW w:w="4320" w:type="dxa"/>
            <w:shd w:val="clear" w:color="auto" w:fill="auto"/>
          </w:tcPr>
          <w:p w:rsidR="00E5508D" w:rsidRPr="00922E3D" w:rsidRDefault="00E5508D" w:rsidP="00CD1F41">
            <w:pPr>
              <w:keepNext/>
              <w:keepLines/>
              <w:tabs>
                <w:tab w:val="left" w:pos="-1440"/>
                <w:tab w:val="left" w:pos="-720"/>
              </w:tabs>
              <w:rPr>
                <w:b/>
                <w:sz w:val="20"/>
                <w:szCs w:val="20"/>
                <w:lang w:val="fr-CA"/>
              </w:rPr>
            </w:pPr>
          </w:p>
          <w:p w:rsidR="00CD1F41" w:rsidRPr="00A935AA" w:rsidRDefault="00CD1F41" w:rsidP="00CD1F41">
            <w:pPr>
              <w:keepNext/>
              <w:keepLines/>
              <w:tabs>
                <w:tab w:val="left" w:pos="-1440"/>
                <w:tab w:val="left" w:pos="-720"/>
              </w:tabs>
              <w:rPr>
                <w:b/>
                <w:sz w:val="20"/>
                <w:szCs w:val="20"/>
              </w:rPr>
            </w:pPr>
            <w:r>
              <w:rPr>
                <w:b/>
                <w:sz w:val="20"/>
                <w:szCs w:val="20"/>
              </w:rPr>
              <w:t xml:space="preserve">Mark </w:t>
            </w:r>
            <w:proofErr w:type="spellStart"/>
            <w:r>
              <w:rPr>
                <w:b/>
                <w:sz w:val="20"/>
                <w:szCs w:val="20"/>
              </w:rPr>
              <w:t>DeMarco</w:t>
            </w:r>
            <w:proofErr w:type="spellEnd"/>
          </w:p>
          <w:p w:rsidR="00E5508D" w:rsidRPr="00A935AA" w:rsidRDefault="00E5508D" w:rsidP="00CD1F41">
            <w:pPr>
              <w:keepNext/>
              <w:keepLines/>
              <w:tabs>
                <w:tab w:val="left" w:pos="-1440"/>
                <w:tab w:val="left" w:pos="-720"/>
              </w:tabs>
              <w:rPr>
                <w:sz w:val="20"/>
                <w:szCs w:val="20"/>
              </w:rPr>
            </w:pPr>
            <w:r w:rsidRPr="00A935AA">
              <w:rPr>
                <w:sz w:val="20"/>
                <w:szCs w:val="20"/>
              </w:rPr>
              <w:tab/>
            </w:r>
            <w:r w:rsidR="00CD1F41">
              <w:rPr>
                <w:sz w:val="20"/>
                <w:szCs w:val="20"/>
              </w:rPr>
              <w:t xml:space="preserve">Mark </w:t>
            </w:r>
            <w:proofErr w:type="spellStart"/>
            <w:r w:rsidR="00CD1F41">
              <w:rPr>
                <w:sz w:val="20"/>
                <w:szCs w:val="20"/>
              </w:rPr>
              <w:t>DeMarco</w:t>
            </w:r>
            <w:proofErr w:type="spellEnd"/>
          </w:p>
          <w:p w:rsidR="00E5508D" w:rsidRPr="00A935AA" w:rsidRDefault="00E5508D" w:rsidP="00CD1F41">
            <w:pPr>
              <w:keepNext/>
              <w:keepLines/>
              <w:tabs>
                <w:tab w:val="left" w:pos="-1440"/>
                <w:tab w:val="left" w:pos="-720"/>
              </w:tabs>
              <w:rPr>
                <w:sz w:val="20"/>
                <w:szCs w:val="20"/>
              </w:rPr>
            </w:pPr>
          </w:p>
          <w:p w:rsidR="00E5508D" w:rsidRPr="00CD1F41" w:rsidRDefault="00E5508D" w:rsidP="00CD1F41">
            <w:pPr>
              <w:keepNext/>
              <w:keepLines/>
              <w:tabs>
                <w:tab w:val="left" w:pos="-1440"/>
                <w:tab w:val="left" w:pos="-720"/>
              </w:tabs>
              <w:rPr>
                <w:sz w:val="20"/>
                <w:szCs w:val="20"/>
              </w:rPr>
            </w:pPr>
            <w:r w:rsidRPr="00A935AA">
              <w:rPr>
                <w:sz w:val="20"/>
                <w:szCs w:val="20"/>
              </w:rPr>
              <w:tab/>
            </w:r>
            <w:r w:rsidRPr="00CD1F41">
              <w:rPr>
                <w:sz w:val="20"/>
                <w:szCs w:val="20"/>
              </w:rPr>
              <w:t>v. (34</w:t>
            </w:r>
            <w:r w:rsidR="00CD1F41">
              <w:rPr>
                <w:sz w:val="20"/>
                <w:szCs w:val="20"/>
              </w:rPr>
              <w:t>108</w:t>
            </w:r>
            <w:r w:rsidRPr="00CD1F41">
              <w:rPr>
                <w:sz w:val="20"/>
                <w:szCs w:val="20"/>
              </w:rPr>
              <w:t>)</w:t>
            </w:r>
          </w:p>
          <w:p w:rsidR="00E5508D" w:rsidRPr="00CD1F41" w:rsidRDefault="00E5508D" w:rsidP="00CD1F41">
            <w:pPr>
              <w:keepNext/>
              <w:keepLines/>
              <w:tabs>
                <w:tab w:val="left" w:pos="-1440"/>
                <w:tab w:val="left" w:pos="-720"/>
              </w:tabs>
              <w:rPr>
                <w:sz w:val="20"/>
                <w:szCs w:val="20"/>
              </w:rPr>
            </w:pPr>
          </w:p>
          <w:p w:rsidR="00E5508D" w:rsidRPr="00CD1F41" w:rsidRDefault="00CD1F41" w:rsidP="00CD1F41">
            <w:pPr>
              <w:keepNext/>
              <w:keepLines/>
              <w:tabs>
                <w:tab w:val="left" w:pos="-1440"/>
                <w:tab w:val="left" w:pos="-720"/>
              </w:tabs>
              <w:rPr>
                <w:b/>
                <w:sz w:val="20"/>
                <w:szCs w:val="20"/>
              </w:rPr>
            </w:pPr>
            <w:r>
              <w:rPr>
                <w:b/>
                <w:sz w:val="20"/>
                <w:szCs w:val="20"/>
              </w:rPr>
              <w:t xml:space="preserve">The Estate of Joseph </w:t>
            </w:r>
            <w:proofErr w:type="spellStart"/>
            <w:r>
              <w:rPr>
                <w:b/>
                <w:sz w:val="20"/>
                <w:szCs w:val="20"/>
              </w:rPr>
              <w:t>Nicoletti</w:t>
            </w:r>
            <w:proofErr w:type="spellEnd"/>
            <w:r>
              <w:rPr>
                <w:b/>
                <w:sz w:val="20"/>
                <w:szCs w:val="20"/>
              </w:rPr>
              <w:t xml:space="preserve"> </w:t>
            </w:r>
            <w:r w:rsidR="00E5508D" w:rsidRPr="00CD1F41">
              <w:rPr>
                <w:b/>
                <w:sz w:val="20"/>
                <w:szCs w:val="20"/>
              </w:rPr>
              <w:t>(Ont.)</w:t>
            </w:r>
          </w:p>
          <w:p w:rsidR="00E5508D" w:rsidRPr="00CD1F41" w:rsidRDefault="00E5508D" w:rsidP="00CD1F41">
            <w:pPr>
              <w:keepNext/>
              <w:keepLines/>
              <w:tabs>
                <w:tab w:val="left" w:pos="-1440"/>
                <w:tab w:val="left" w:pos="-720"/>
              </w:tabs>
              <w:rPr>
                <w:sz w:val="20"/>
                <w:szCs w:val="20"/>
              </w:rPr>
            </w:pPr>
            <w:r w:rsidRPr="00CD1F41">
              <w:rPr>
                <w:sz w:val="20"/>
                <w:szCs w:val="20"/>
              </w:rPr>
              <w:tab/>
            </w:r>
            <w:r w:rsidR="00CD1F41">
              <w:rPr>
                <w:sz w:val="20"/>
                <w:szCs w:val="20"/>
              </w:rPr>
              <w:t>Charles E. Sinclair</w:t>
            </w:r>
          </w:p>
          <w:p w:rsidR="00E5508D" w:rsidRPr="00CD1F41" w:rsidRDefault="00E5508D" w:rsidP="00CD1F41">
            <w:pPr>
              <w:keepNext/>
              <w:keepLines/>
              <w:tabs>
                <w:tab w:val="left" w:pos="-1440"/>
                <w:tab w:val="left" w:pos="-720"/>
              </w:tabs>
              <w:rPr>
                <w:sz w:val="20"/>
                <w:szCs w:val="20"/>
              </w:rPr>
            </w:pPr>
            <w:r w:rsidRPr="00CD1F41">
              <w:rPr>
                <w:sz w:val="20"/>
                <w:szCs w:val="20"/>
              </w:rPr>
              <w:tab/>
            </w:r>
            <w:r w:rsidR="00CD1F41">
              <w:rPr>
                <w:sz w:val="20"/>
                <w:szCs w:val="20"/>
              </w:rPr>
              <w:t xml:space="preserve">Sack </w:t>
            </w:r>
            <w:proofErr w:type="spellStart"/>
            <w:r w:rsidR="00CD1F41">
              <w:rPr>
                <w:sz w:val="20"/>
                <w:szCs w:val="20"/>
              </w:rPr>
              <w:t>Goldblatt</w:t>
            </w:r>
            <w:proofErr w:type="spellEnd"/>
            <w:r w:rsidR="00CD1F41">
              <w:rPr>
                <w:sz w:val="20"/>
                <w:szCs w:val="20"/>
              </w:rPr>
              <w:t xml:space="preserve"> Mitchell LLP</w:t>
            </w:r>
          </w:p>
          <w:p w:rsidR="00E5508D" w:rsidRPr="00CD1F41" w:rsidRDefault="00E5508D" w:rsidP="00CD1F41">
            <w:pPr>
              <w:keepNext/>
              <w:keepLines/>
              <w:tabs>
                <w:tab w:val="left" w:pos="-1440"/>
                <w:tab w:val="left" w:pos="-720"/>
              </w:tabs>
              <w:rPr>
                <w:sz w:val="20"/>
                <w:szCs w:val="20"/>
              </w:rPr>
            </w:pPr>
          </w:p>
          <w:p w:rsidR="00E5508D" w:rsidRPr="00A935AA" w:rsidRDefault="00E5508D" w:rsidP="00CD1F41">
            <w:pPr>
              <w:rPr>
                <w:sz w:val="20"/>
                <w:szCs w:val="20"/>
              </w:rPr>
            </w:pPr>
            <w:r w:rsidRPr="00A935AA">
              <w:rPr>
                <w:sz w:val="20"/>
                <w:szCs w:val="20"/>
              </w:rPr>
              <w:t xml:space="preserve">FILING DATE: </w:t>
            </w:r>
            <w:r w:rsidR="00CD1F41">
              <w:rPr>
                <w:sz w:val="20"/>
                <w:szCs w:val="20"/>
              </w:rPr>
              <w:t>01</w:t>
            </w:r>
            <w:r w:rsidRPr="00A935AA">
              <w:rPr>
                <w:sz w:val="20"/>
                <w:szCs w:val="20"/>
              </w:rPr>
              <w:t>.0</w:t>
            </w:r>
            <w:r>
              <w:rPr>
                <w:sz w:val="20"/>
                <w:szCs w:val="20"/>
              </w:rPr>
              <w:t>2</w:t>
            </w:r>
            <w:r w:rsidRPr="00A935AA">
              <w:rPr>
                <w:sz w:val="20"/>
                <w:szCs w:val="20"/>
              </w:rPr>
              <w:t>.201</w:t>
            </w:r>
            <w:r>
              <w:rPr>
                <w:sz w:val="20"/>
                <w:szCs w:val="20"/>
              </w:rPr>
              <w:t>1</w:t>
            </w:r>
            <w:r w:rsidR="0004334C" w:rsidRPr="0004334C">
              <w:rPr>
                <w:sz w:val="20"/>
                <w:szCs w:val="20"/>
                <w:lang w:val="fr-CA"/>
              </w:rPr>
              <w:pict>
                <v:rect id="_x0000_i1030" style="width:108pt;height:1pt" o:hrpct="0" o:hralign="center" o:hrstd="t" o:hrnoshade="t" o:hr="t" fillcolor="black [3213]" stroked="f"/>
              </w:pict>
            </w:r>
          </w:p>
        </w:tc>
      </w:tr>
      <w:tr w:rsidR="00707A29" w:rsidRPr="00BB4E58" w:rsidTr="00707A29">
        <w:trPr>
          <w:cantSplit/>
        </w:trPr>
        <w:tc>
          <w:tcPr>
            <w:tcW w:w="4320" w:type="dxa"/>
            <w:shd w:val="clear" w:color="auto" w:fill="auto"/>
          </w:tcPr>
          <w:p w:rsidR="00707A29" w:rsidRPr="00CD1F41" w:rsidRDefault="00707A29" w:rsidP="00BB4E58">
            <w:pPr>
              <w:keepNext/>
              <w:keepLines/>
              <w:tabs>
                <w:tab w:val="left" w:pos="-1440"/>
                <w:tab w:val="left" w:pos="-720"/>
              </w:tabs>
              <w:rPr>
                <w:sz w:val="20"/>
                <w:szCs w:val="20"/>
                <w:lang w:val="fr-CA"/>
              </w:rPr>
            </w:pPr>
            <w:r w:rsidRPr="00CD1F41">
              <w:rPr>
                <w:sz w:val="20"/>
                <w:szCs w:val="20"/>
                <w:lang w:val="fr-CA"/>
              </w:rPr>
              <w:tab/>
            </w:r>
            <w:r>
              <w:rPr>
                <w:sz w:val="20"/>
                <w:szCs w:val="20"/>
                <w:lang w:val="fr-CA"/>
              </w:rPr>
              <w:t xml:space="preserve">Poursuites criminelles et pénales du </w:t>
            </w:r>
            <w:r>
              <w:rPr>
                <w:sz w:val="20"/>
                <w:szCs w:val="20"/>
                <w:lang w:val="fr-CA"/>
              </w:rPr>
              <w:tab/>
              <w:t>Québec</w:t>
            </w:r>
          </w:p>
          <w:p w:rsidR="00707A29" w:rsidRPr="00CD1F41" w:rsidRDefault="00707A29" w:rsidP="00BB4E58">
            <w:pPr>
              <w:keepNext/>
              <w:keepLines/>
              <w:tabs>
                <w:tab w:val="left" w:pos="-1440"/>
                <w:tab w:val="left" w:pos="-720"/>
              </w:tabs>
              <w:rPr>
                <w:sz w:val="20"/>
                <w:szCs w:val="20"/>
                <w:lang w:val="fr-CA"/>
              </w:rPr>
            </w:pPr>
          </w:p>
          <w:p w:rsidR="00707A29" w:rsidRPr="00CD1F41" w:rsidRDefault="00707A29" w:rsidP="00BB4E58">
            <w:pPr>
              <w:keepNext/>
              <w:keepLines/>
              <w:tabs>
                <w:tab w:val="left" w:pos="-1440"/>
                <w:tab w:val="left" w:pos="-720"/>
              </w:tabs>
              <w:rPr>
                <w:sz w:val="20"/>
                <w:szCs w:val="20"/>
                <w:lang w:val="fr-CA"/>
              </w:rPr>
            </w:pPr>
            <w:r w:rsidRPr="00CD1F41">
              <w:rPr>
                <w:sz w:val="20"/>
                <w:szCs w:val="20"/>
                <w:lang w:val="fr-CA"/>
              </w:rPr>
              <w:tab/>
            </w:r>
            <w:r>
              <w:rPr>
                <w:sz w:val="20"/>
                <w:szCs w:val="20"/>
                <w:lang w:val="fr-CA"/>
              </w:rPr>
              <w:t>c</w:t>
            </w:r>
            <w:r w:rsidRPr="00CD1F41">
              <w:rPr>
                <w:sz w:val="20"/>
                <w:szCs w:val="20"/>
                <w:lang w:val="fr-CA"/>
              </w:rPr>
              <w:t>. (340</w:t>
            </w:r>
            <w:r>
              <w:rPr>
                <w:sz w:val="20"/>
                <w:szCs w:val="20"/>
                <w:lang w:val="fr-CA"/>
              </w:rPr>
              <w:t>79</w:t>
            </w:r>
            <w:r w:rsidRPr="00CD1F41">
              <w:rPr>
                <w:sz w:val="20"/>
                <w:szCs w:val="20"/>
                <w:lang w:val="fr-CA"/>
              </w:rPr>
              <w:t>)</w:t>
            </w:r>
          </w:p>
          <w:p w:rsidR="00707A29" w:rsidRPr="00CD1F41" w:rsidRDefault="00707A29" w:rsidP="00BB4E58">
            <w:pPr>
              <w:keepNext/>
              <w:keepLines/>
              <w:tabs>
                <w:tab w:val="left" w:pos="-1440"/>
                <w:tab w:val="left" w:pos="-720"/>
              </w:tabs>
              <w:rPr>
                <w:sz w:val="20"/>
                <w:szCs w:val="20"/>
                <w:lang w:val="fr-CA"/>
              </w:rPr>
            </w:pPr>
          </w:p>
          <w:p w:rsidR="00707A29" w:rsidRPr="00CD1F41" w:rsidRDefault="00707A29" w:rsidP="00BB4E58">
            <w:pPr>
              <w:keepNext/>
              <w:keepLines/>
              <w:tabs>
                <w:tab w:val="left" w:pos="-1440"/>
                <w:tab w:val="left" w:pos="-720"/>
              </w:tabs>
              <w:rPr>
                <w:b/>
                <w:sz w:val="20"/>
                <w:szCs w:val="20"/>
                <w:lang w:val="fr-CA"/>
              </w:rPr>
            </w:pPr>
            <w:r>
              <w:rPr>
                <w:b/>
                <w:sz w:val="20"/>
                <w:szCs w:val="20"/>
                <w:lang w:val="fr-CA"/>
              </w:rPr>
              <w:t>Rob</w:t>
            </w:r>
            <w:r w:rsidRPr="00CD1F41">
              <w:rPr>
                <w:b/>
                <w:sz w:val="20"/>
                <w:szCs w:val="20"/>
                <w:lang w:val="fr-CA"/>
              </w:rPr>
              <w:t>e</w:t>
            </w:r>
            <w:r>
              <w:rPr>
                <w:b/>
                <w:sz w:val="20"/>
                <w:szCs w:val="20"/>
                <w:lang w:val="fr-CA"/>
              </w:rPr>
              <w:t>r</w:t>
            </w:r>
            <w:r w:rsidRPr="00CD1F41">
              <w:rPr>
                <w:b/>
                <w:sz w:val="20"/>
                <w:szCs w:val="20"/>
                <w:lang w:val="fr-CA"/>
              </w:rPr>
              <w:t>t</w:t>
            </w:r>
            <w:r>
              <w:rPr>
                <w:b/>
                <w:sz w:val="20"/>
                <w:szCs w:val="20"/>
                <w:lang w:val="fr-CA"/>
              </w:rPr>
              <w:t xml:space="preserve"> </w:t>
            </w:r>
            <w:proofErr w:type="spellStart"/>
            <w:r>
              <w:rPr>
                <w:b/>
                <w:sz w:val="20"/>
                <w:szCs w:val="20"/>
                <w:lang w:val="fr-CA"/>
              </w:rPr>
              <w:t>Bonomo</w:t>
            </w:r>
            <w:proofErr w:type="spellEnd"/>
            <w:r w:rsidRPr="00CD1F41">
              <w:rPr>
                <w:b/>
                <w:sz w:val="20"/>
                <w:szCs w:val="20"/>
                <w:lang w:val="fr-CA"/>
              </w:rPr>
              <w:t xml:space="preserve"> (</w:t>
            </w:r>
            <w:proofErr w:type="spellStart"/>
            <w:r>
              <w:rPr>
                <w:b/>
                <w:sz w:val="20"/>
                <w:szCs w:val="20"/>
                <w:lang w:val="fr-CA"/>
              </w:rPr>
              <w:t>Qc</w:t>
            </w:r>
            <w:proofErr w:type="spellEnd"/>
            <w:r w:rsidRPr="00CD1F41">
              <w:rPr>
                <w:b/>
                <w:sz w:val="20"/>
                <w:szCs w:val="20"/>
                <w:lang w:val="fr-CA"/>
              </w:rPr>
              <w:t>)</w:t>
            </w:r>
          </w:p>
          <w:p w:rsidR="00707A29" w:rsidRPr="00CD1F41" w:rsidRDefault="00707A29" w:rsidP="00BB4E58">
            <w:pPr>
              <w:keepNext/>
              <w:keepLines/>
              <w:tabs>
                <w:tab w:val="left" w:pos="-1440"/>
                <w:tab w:val="left" w:pos="-720"/>
              </w:tabs>
              <w:rPr>
                <w:sz w:val="20"/>
                <w:szCs w:val="20"/>
                <w:lang w:val="fr-CA"/>
              </w:rPr>
            </w:pPr>
            <w:r w:rsidRPr="00CD1F41">
              <w:rPr>
                <w:sz w:val="20"/>
                <w:szCs w:val="20"/>
                <w:lang w:val="fr-CA"/>
              </w:rPr>
              <w:tab/>
            </w:r>
            <w:r>
              <w:rPr>
                <w:sz w:val="20"/>
                <w:szCs w:val="20"/>
                <w:lang w:val="fr-CA"/>
              </w:rPr>
              <w:t xml:space="preserve">Pierre </w:t>
            </w:r>
            <w:proofErr w:type="spellStart"/>
            <w:r>
              <w:rPr>
                <w:sz w:val="20"/>
                <w:szCs w:val="20"/>
                <w:lang w:val="fr-CA"/>
              </w:rPr>
              <w:t>Panaccio</w:t>
            </w:r>
            <w:proofErr w:type="spellEnd"/>
          </w:p>
          <w:p w:rsidR="00707A29" w:rsidRPr="00CD1F41" w:rsidRDefault="00707A29" w:rsidP="00BB4E58">
            <w:pPr>
              <w:keepNext/>
              <w:keepLines/>
              <w:tabs>
                <w:tab w:val="left" w:pos="-1440"/>
                <w:tab w:val="left" w:pos="-720"/>
              </w:tabs>
              <w:rPr>
                <w:sz w:val="20"/>
                <w:szCs w:val="20"/>
                <w:lang w:val="fr-CA"/>
              </w:rPr>
            </w:pPr>
          </w:p>
          <w:p w:rsidR="00707A29" w:rsidRPr="009C08F0" w:rsidRDefault="00707A29" w:rsidP="009C08F0">
            <w:pPr>
              <w:rPr>
                <w:sz w:val="20"/>
                <w:szCs w:val="20"/>
                <w:lang w:val="fr-CA"/>
              </w:rPr>
            </w:pPr>
            <w:r w:rsidRPr="00BB4E58">
              <w:rPr>
                <w:sz w:val="20"/>
                <w:szCs w:val="20"/>
                <w:lang w:val="fr-CA"/>
              </w:rPr>
              <w:t>DATE</w:t>
            </w:r>
            <w:r>
              <w:rPr>
                <w:sz w:val="20"/>
                <w:szCs w:val="20"/>
                <w:lang w:val="fr-CA"/>
              </w:rPr>
              <w:t xml:space="preserve"> DE PRODUCTION </w:t>
            </w:r>
            <w:r w:rsidRPr="00BB4E58">
              <w:rPr>
                <w:sz w:val="20"/>
                <w:szCs w:val="20"/>
                <w:lang w:val="fr-CA"/>
              </w:rPr>
              <w:t>: 0</w:t>
            </w:r>
            <w:r>
              <w:rPr>
                <w:sz w:val="20"/>
                <w:szCs w:val="20"/>
                <w:lang w:val="fr-CA"/>
              </w:rPr>
              <w:t>2</w:t>
            </w:r>
            <w:r w:rsidRPr="00BB4E58">
              <w:rPr>
                <w:sz w:val="20"/>
                <w:szCs w:val="20"/>
                <w:lang w:val="fr-CA"/>
              </w:rPr>
              <w:t>.02.2011</w:t>
            </w:r>
            <w:r w:rsidR="0004334C" w:rsidRPr="0004334C">
              <w:rPr>
                <w:sz w:val="20"/>
                <w:szCs w:val="20"/>
                <w:lang w:val="fr-CA"/>
              </w:rPr>
              <w:pict>
                <v:rect id="_x0000_i1031" style="width:108pt;height:1pt" o:hrpct="0" o:hralign="center" o:hrstd="t" o:hrnoshade="t" o:hr="t" fillcolor="black [3213]" stroked="f"/>
              </w:pict>
            </w:r>
          </w:p>
        </w:tc>
        <w:tc>
          <w:tcPr>
            <w:tcW w:w="1181" w:type="dxa"/>
            <w:shd w:val="clear" w:color="auto" w:fill="auto"/>
          </w:tcPr>
          <w:p w:rsidR="00707A29" w:rsidRPr="009C08F0" w:rsidRDefault="00707A29" w:rsidP="00CD1F41">
            <w:pPr>
              <w:jc w:val="center"/>
              <w:rPr>
                <w:sz w:val="20"/>
                <w:szCs w:val="20"/>
                <w:lang w:val="fr-CA"/>
              </w:rPr>
            </w:pPr>
          </w:p>
          <w:p w:rsidR="00707A29" w:rsidRPr="009C08F0" w:rsidRDefault="00707A29" w:rsidP="00CD1F41">
            <w:pPr>
              <w:jc w:val="center"/>
              <w:rPr>
                <w:sz w:val="20"/>
                <w:szCs w:val="20"/>
                <w:lang w:val="fr-CA"/>
              </w:rPr>
            </w:pPr>
          </w:p>
          <w:p w:rsidR="00707A29" w:rsidRPr="009C08F0" w:rsidRDefault="00707A29" w:rsidP="00CD1F41">
            <w:pPr>
              <w:jc w:val="center"/>
              <w:rPr>
                <w:sz w:val="20"/>
                <w:szCs w:val="20"/>
                <w:lang w:val="fr-CA"/>
              </w:rPr>
            </w:pPr>
          </w:p>
          <w:p w:rsidR="00707A29" w:rsidRPr="009C08F0" w:rsidRDefault="00707A29" w:rsidP="00CD1F41">
            <w:pPr>
              <w:jc w:val="center"/>
              <w:rPr>
                <w:sz w:val="20"/>
                <w:szCs w:val="20"/>
                <w:lang w:val="fr-CA"/>
              </w:rPr>
            </w:pPr>
          </w:p>
          <w:p w:rsidR="00707A29" w:rsidRPr="009C08F0" w:rsidRDefault="00707A29" w:rsidP="00CD1F41">
            <w:pPr>
              <w:jc w:val="center"/>
              <w:rPr>
                <w:sz w:val="20"/>
                <w:szCs w:val="20"/>
                <w:lang w:val="fr-CA"/>
              </w:rPr>
            </w:pPr>
          </w:p>
          <w:p w:rsidR="00707A29" w:rsidRPr="009C08F0" w:rsidRDefault="00707A29" w:rsidP="00CD1F41">
            <w:pPr>
              <w:jc w:val="center"/>
              <w:rPr>
                <w:sz w:val="20"/>
                <w:szCs w:val="20"/>
                <w:lang w:val="fr-CA"/>
              </w:rPr>
            </w:pPr>
          </w:p>
          <w:p w:rsidR="00707A29" w:rsidRPr="009C08F0" w:rsidRDefault="00707A29" w:rsidP="00CD1F41">
            <w:pPr>
              <w:jc w:val="center"/>
              <w:rPr>
                <w:sz w:val="20"/>
                <w:szCs w:val="20"/>
                <w:lang w:val="fr-CA"/>
              </w:rPr>
            </w:pPr>
          </w:p>
          <w:p w:rsidR="00707A29" w:rsidRPr="009C08F0" w:rsidRDefault="00707A29" w:rsidP="00CD1F41">
            <w:pPr>
              <w:jc w:val="center"/>
              <w:rPr>
                <w:sz w:val="20"/>
                <w:szCs w:val="20"/>
                <w:lang w:val="fr-CA"/>
              </w:rPr>
            </w:pPr>
          </w:p>
          <w:p w:rsidR="00707A29" w:rsidRPr="009C08F0" w:rsidRDefault="00707A29" w:rsidP="00CD1F41">
            <w:pPr>
              <w:jc w:val="center"/>
              <w:rPr>
                <w:sz w:val="20"/>
                <w:szCs w:val="20"/>
                <w:lang w:val="fr-CA"/>
              </w:rPr>
            </w:pPr>
          </w:p>
          <w:p w:rsidR="00707A29" w:rsidRPr="009C08F0" w:rsidRDefault="00707A29" w:rsidP="00CD1F41">
            <w:pPr>
              <w:jc w:val="center"/>
              <w:rPr>
                <w:sz w:val="20"/>
                <w:szCs w:val="20"/>
                <w:lang w:val="fr-CA"/>
              </w:rPr>
            </w:pPr>
          </w:p>
          <w:p w:rsidR="00707A29" w:rsidRPr="009C08F0" w:rsidRDefault="00707A29" w:rsidP="00CD1F41">
            <w:pPr>
              <w:jc w:val="center"/>
              <w:rPr>
                <w:sz w:val="20"/>
                <w:szCs w:val="20"/>
                <w:lang w:val="fr-CA"/>
              </w:rPr>
            </w:pPr>
          </w:p>
          <w:p w:rsidR="00707A29" w:rsidRPr="009C08F0" w:rsidRDefault="00707A29" w:rsidP="00CD1F41">
            <w:pPr>
              <w:jc w:val="center"/>
              <w:rPr>
                <w:sz w:val="20"/>
                <w:szCs w:val="20"/>
                <w:lang w:val="fr-CA"/>
              </w:rPr>
            </w:pPr>
          </w:p>
        </w:tc>
        <w:tc>
          <w:tcPr>
            <w:tcW w:w="4320" w:type="dxa"/>
            <w:shd w:val="clear" w:color="auto" w:fill="auto"/>
          </w:tcPr>
          <w:p w:rsidR="00707A29" w:rsidRDefault="00707A29" w:rsidP="00922E3D">
            <w:pPr>
              <w:rPr>
                <w:b/>
                <w:sz w:val="20"/>
                <w:szCs w:val="20"/>
              </w:rPr>
            </w:pPr>
          </w:p>
          <w:p w:rsidR="00707A29" w:rsidRPr="00313303" w:rsidRDefault="00707A29" w:rsidP="00922E3D">
            <w:pPr>
              <w:rPr>
                <w:sz w:val="20"/>
                <w:szCs w:val="20"/>
              </w:rPr>
            </w:pPr>
            <w:proofErr w:type="spellStart"/>
            <w:r w:rsidRPr="00313303">
              <w:rPr>
                <w:b/>
                <w:sz w:val="20"/>
                <w:szCs w:val="20"/>
              </w:rPr>
              <w:t>Rhita</w:t>
            </w:r>
            <w:proofErr w:type="spellEnd"/>
            <w:r w:rsidRPr="00313303">
              <w:rPr>
                <w:b/>
                <w:sz w:val="20"/>
                <w:szCs w:val="20"/>
              </w:rPr>
              <w:t xml:space="preserve"> El </w:t>
            </w:r>
            <w:proofErr w:type="spellStart"/>
            <w:r w:rsidRPr="00313303">
              <w:rPr>
                <w:b/>
                <w:sz w:val="20"/>
                <w:szCs w:val="20"/>
              </w:rPr>
              <w:t>Ansari</w:t>
            </w:r>
            <w:proofErr w:type="spellEnd"/>
          </w:p>
          <w:p w:rsidR="00707A29" w:rsidRPr="00313303" w:rsidRDefault="00707A29" w:rsidP="00922E3D">
            <w:pPr>
              <w:rPr>
                <w:sz w:val="20"/>
                <w:szCs w:val="20"/>
              </w:rPr>
            </w:pPr>
            <w:r w:rsidRPr="00313303">
              <w:rPr>
                <w:b/>
                <w:sz w:val="20"/>
                <w:szCs w:val="20"/>
              </w:rPr>
              <w:tab/>
            </w:r>
            <w:proofErr w:type="spellStart"/>
            <w:r w:rsidRPr="00313303">
              <w:rPr>
                <w:sz w:val="20"/>
                <w:szCs w:val="20"/>
              </w:rPr>
              <w:t>Rhita</w:t>
            </w:r>
            <w:proofErr w:type="spellEnd"/>
            <w:r w:rsidRPr="00313303">
              <w:rPr>
                <w:sz w:val="20"/>
                <w:szCs w:val="20"/>
              </w:rPr>
              <w:t xml:space="preserve"> El </w:t>
            </w:r>
            <w:proofErr w:type="spellStart"/>
            <w:r w:rsidRPr="00313303">
              <w:rPr>
                <w:sz w:val="20"/>
                <w:szCs w:val="20"/>
              </w:rPr>
              <w:t>Ansari</w:t>
            </w:r>
            <w:proofErr w:type="spellEnd"/>
          </w:p>
          <w:p w:rsidR="00707A29" w:rsidRPr="00CF6F63" w:rsidRDefault="00707A29" w:rsidP="00922E3D">
            <w:pPr>
              <w:rPr>
                <w:sz w:val="20"/>
                <w:szCs w:val="20"/>
              </w:rPr>
            </w:pPr>
          </w:p>
          <w:p w:rsidR="00707A29" w:rsidRDefault="00707A29" w:rsidP="00922E3D">
            <w:pPr>
              <w:rPr>
                <w:sz w:val="20"/>
                <w:szCs w:val="20"/>
                <w:lang w:val="fr-CA"/>
              </w:rPr>
            </w:pPr>
            <w:r w:rsidRPr="00CF6F63">
              <w:rPr>
                <w:sz w:val="20"/>
                <w:szCs w:val="20"/>
              </w:rPr>
              <w:tab/>
            </w:r>
            <w:r>
              <w:rPr>
                <w:sz w:val="20"/>
                <w:szCs w:val="20"/>
                <w:lang w:val="fr-CA"/>
              </w:rPr>
              <w:t>c</w:t>
            </w:r>
            <w:r w:rsidR="007D14B5">
              <w:rPr>
                <w:sz w:val="20"/>
                <w:szCs w:val="20"/>
                <w:lang w:val="fr-CA"/>
              </w:rPr>
              <w:t>.</w:t>
            </w:r>
            <w:r>
              <w:rPr>
                <w:sz w:val="20"/>
                <w:szCs w:val="20"/>
                <w:lang w:val="fr-CA"/>
              </w:rPr>
              <w:t xml:space="preserve"> (34124)</w:t>
            </w:r>
          </w:p>
          <w:p w:rsidR="00707A29" w:rsidRDefault="00707A29" w:rsidP="00922E3D">
            <w:pPr>
              <w:rPr>
                <w:sz w:val="20"/>
                <w:szCs w:val="20"/>
                <w:lang w:val="fr-CA"/>
              </w:rPr>
            </w:pPr>
          </w:p>
          <w:p w:rsidR="00707A29" w:rsidRPr="003A1D0C" w:rsidRDefault="00707A29" w:rsidP="00922E3D">
            <w:pPr>
              <w:rPr>
                <w:b/>
                <w:sz w:val="20"/>
                <w:szCs w:val="20"/>
                <w:lang w:val="fr-CA"/>
              </w:rPr>
            </w:pPr>
            <w:r w:rsidRPr="003A1D0C">
              <w:rPr>
                <w:b/>
                <w:sz w:val="20"/>
                <w:szCs w:val="20"/>
                <w:lang w:val="fr-CA"/>
              </w:rPr>
              <w:t>Gouvernement du Royaume du Maroc (</w:t>
            </w:r>
            <w:proofErr w:type="spellStart"/>
            <w:r w:rsidRPr="003A1D0C">
              <w:rPr>
                <w:b/>
                <w:sz w:val="20"/>
                <w:szCs w:val="20"/>
                <w:lang w:val="fr-CA"/>
              </w:rPr>
              <w:t>Qc</w:t>
            </w:r>
            <w:proofErr w:type="spellEnd"/>
            <w:r w:rsidRPr="003A1D0C">
              <w:rPr>
                <w:b/>
                <w:sz w:val="20"/>
                <w:szCs w:val="20"/>
                <w:lang w:val="fr-CA"/>
              </w:rPr>
              <w:t>)</w:t>
            </w:r>
          </w:p>
          <w:p w:rsidR="00707A29" w:rsidRDefault="00707A29" w:rsidP="00922E3D">
            <w:pPr>
              <w:rPr>
                <w:sz w:val="20"/>
                <w:szCs w:val="20"/>
                <w:lang w:val="fr-CA"/>
              </w:rPr>
            </w:pPr>
            <w:r>
              <w:rPr>
                <w:sz w:val="20"/>
                <w:szCs w:val="20"/>
                <w:lang w:val="fr-CA"/>
              </w:rPr>
              <w:tab/>
              <w:t xml:space="preserve">Gabrielle </w:t>
            </w:r>
            <w:proofErr w:type="spellStart"/>
            <w:r>
              <w:rPr>
                <w:sz w:val="20"/>
                <w:szCs w:val="20"/>
                <w:lang w:val="fr-CA"/>
              </w:rPr>
              <w:t>Azran</w:t>
            </w:r>
            <w:proofErr w:type="spellEnd"/>
          </w:p>
          <w:p w:rsidR="00707A29" w:rsidRDefault="00707A29" w:rsidP="00922E3D">
            <w:pPr>
              <w:rPr>
                <w:sz w:val="20"/>
                <w:szCs w:val="20"/>
                <w:lang w:val="fr-CA"/>
              </w:rPr>
            </w:pPr>
            <w:r>
              <w:rPr>
                <w:sz w:val="20"/>
                <w:szCs w:val="20"/>
                <w:lang w:val="fr-CA"/>
              </w:rPr>
              <w:tab/>
            </w:r>
            <w:proofErr w:type="spellStart"/>
            <w:r>
              <w:rPr>
                <w:sz w:val="20"/>
                <w:szCs w:val="20"/>
                <w:lang w:val="fr-CA"/>
              </w:rPr>
              <w:t>Azran</w:t>
            </w:r>
            <w:proofErr w:type="spellEnd"/>
            <w:r>
              <w:rPr>
                <w:sz w:val="20"/>
                <w:szCs w:val="20"/>
                <w:lang w:val="fr-CA"/>
              </w:rPr>
              <w:t xml:space="preserve"> &amp; Associés </w:t>
            </w:r>
          </w:p>
          <w:p w:rsidR="00707A29" w:rsidRDefault="00707A29" w:rsidP="00922E3D">
            <w:pPr>
              <w:rPr>
                <w:sz w:val="20"/>
                <w:szCs w:val="20"/>
                <w:lang w:val="fr-CA"/>
              </w:rPr>
            </w:pPr>
          </w:p>
          <w:p w:rsidR="00707A29" w:rsidRDefault="00707A29" w:rsidP="00922E3D">
            <w:pPr>
              <w:rPr>
                <w:sz w:val="20"/>
                <w:szCs w:val="20"/>
                <w:lang w:val="fr-CA"/>
              </w:rPr>
            </w:pPr>
            <w:r>
              <w:rPr>
                <w:sz w:val="20"/>
                <w:szCs w:val="20"/>
                <w:lang w:val="fr-CA"/>
              </w:rPr>
              <w:t>DATE DE PRODUCTION : 07.02.2011</w:t>
            </w:r>
          </w:p>
          <w:p w:rsidR="00707A29" w:rsidRDefault="0004334C" w:rsidP="00922E3D">
            <w:pPr>
              <w:rPr>
                <w:b/>
                <w:sz w:val="20"/>
                <w:szCs w:val="20"/>
              </w:rPr>
            </w:pPr>
            <w:r w:rsidRPr="0004334C">
              <w:rPr>
                <w:sz w:val="20"/>
                <w:szCs w:val="20"/>
                <w:lang w:val="fr-CA"/>
              </w:rPr>
              <w:pict>
                <v:rect id="_x0000_i1032" style="width:108pt;height:1pt" o:hrpct="0" o:hralign="center" o:hrstd="t" o:hrnoshade="t" o:hr="t" fillcolor="black [3213]" stroked="f"/>
              </w:pict>
            </w:r>
          </w:p>
        </w:tc>
      </w:tr>
    </w:tbl>
    <w:p w:rsidR="00707A29" w:rsidRDefault="00707A29"/>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0"/>
        <w:gridCol w:w="1181"/>
        <w:gridCol w:w="4320"/>
      </w:tblGrid>
      <w:tr w:rsidR="00707A29" w:rsidRPr="00922E3D" w:rsidTr="00707A29">
        <w:trPr>
          <w:cantSplit/>
        </w:trPr>
        <w:tc>
          <w:tcPr>
            <w:tcW w:w="4320" w:type="dxa"/>
            <w:shd w:val="clear" w:color="auto" w:fill="auto"/>
          </w:tcPr>
          <w:p w:rsidR="00707A29" w:rsidRPr="00313303" w:rsidRDefault="00707A29" w:rsidP="00CD1F41">
            <w:pPr>
              <w:rPr>
                <w:b/>
                <w:sz w:val="20"/>
                <w:szCs w:val="20"/>
                <w:lang w:val="fr-CA"/>
              </w:rPr>
            </w:pPr>
            <w:r w:rsidRPr="00313303">
              <w:rPr>
                <w:b/>
                <w:sz w:val="20"/>
                <w:szCs w:val="20"/>
                <w:lang w:val="fr-CA"/>
              </w:rPr>
              <w:lastRenderedPageBreak/>
              <w:t xml:space="preserve">Ferme Avicole </w:t>
            </w:r>
            <w:proofErr w:type="spellStart"/>
            <w:r w:rsidRPr="00313303">
              <w:rPr>
                <w:b/>
                <w:sz w:val="20"/>
                <w:szCs w:val="20"/>
                <w:lang w:val="fr-CA"/>
              </w:rPr>
              <w:t>Laplante</w:t>
            </w:r>
            <w:proofErr w:type="spellEnd"/>
            <w:r w:rsidRPr="00313303">
              <w:rPr>
                <w:b/>
                <w:sz w:val="20"/>
                <w:szCs w:val="20"/>
                <w:lang w:val="fr-CA"/>
              </w:rPr>
              <w:t xml:space="preserve"> </w:t>
            </w:r>
            <w:proofErr w:type="spellStart"/>
            <w:r w:rsidRPr="00313303">
              <w:rPr>
                <w:b/>
                <w:sz w:val="20"/>
                <w:szCs w:val="20"/>
                <w:lang w:val="fr-CA"/>
              </w:rPr>
              <w:t>Ltée</w:t>
            </w:r>
            <w:proofErr w:type="spellEnd"/>
          </w:p>
          <w:p w:rsidR="00707A29" w:rsidRPr="009C08F0" w:rsidRDefault="00707A29" w:rsidP="00313303">
            <w:pPr>
              <w:rPr>
                <w:sz w:val="20"/>
                <w:szCs w:val="20"/>
                <w:lang w:val="fr-CA"/>
              </w:rPr>
            </w:pPr>
            <w:r>
              <w:rPr>
                <w:sz w:val="20"/>
                <w:szCs w:val="20"/>
                <w:lang w:val="fr-CA"/>
              </w:rPr>
              <w:tab/>
            </w:r>
            <w:r w:rsidRPr="009C08F0">
              <w:rPr>
                <w:sz w:val="20"/>
                <w:szCs w:val="20"/>
                <w:lang w:val="fr-CA"/>
              </w:rPr>
              <w:t>Joseph-André Roy</w:t>
            </w:r>
          </w:p>
          <w:p w:rsidR="00707A29" w:rsidRPr="00CD1F41" w:rsidRDefault="00707A29" w:rsidP="00313303">
            <w:pPr>
              <w:keepNext/>
              <w:keepLines/>
              <w:tabs>
                <w:tab w:val="left" w:pos="-1440"/>
                <w:tab w:val="left" w:pos="-720"/>
              </w:tabs>
              <w:rPr>
                <w:sz w:val="20"/>
                <w:szCs w:val="20"/>
                <w:lang w:val="fr-CA"/>
              </w:rPr>
            </w:pPr>
            <w:r w:rsidRPr="00CD1F41">
              <w:rPr>
                <w:sz w:val="20"/>
                <w:szCs w:val="20"/>
                <w:lang w:val="fr-CA"/>
              </w:rPr>
              <w:tab/>
            </w:r>
            <w:proofErr w:type="spellStart"/>
            <w:r>
              <w:rPr>
                <w:sz w:val="20"/>
                <w:szCs w:val="20"/>
                <w:lang w:val="fr-CA"/>
              </w:rPr>
              <w:t>Heenan</w:t>
            </w:r>
            <w:proofErr w:type="spellEnd"/>
            <w:r>
              <w:rPr>
                <w:sz w:val="20"/>
                <w:szCs w:val="20"/>
                <w:lang w:val="fr-CA"/>
              </w:rPr>
              <w:t xml:space="preserve"> </w:t>
            </w:r>
            <w:proofErr w:type="spellStart"/>
            <w:r>
              <w:rPr>
                <w:sz w:val="20"/>
                <w:szCs w:val="20"/>
                <w:lang w:val="fr-CA"/>
              </w:rPr>
              <w:t>Blaikie</w:t>
            </w:r>
            <w:proofErr w:type="spellEnd"/>
            <w:r>
              <w:rPr>
                <w:sz w:val="20"/>
                <w:szCs w:val="20"/>
                <w:lang w:val="fr-CA"/>
              </w:rPr>
              <w:t xml:space="preserve"> Aubut</w:t>
            </w:r>
          </w:p>
          <w:p w:rsidR="00707A29" w:rsidRPr="00CD1F41" w:rsidRDefault="00707A29" w:rsidP="00313303">
            <w:pPr>
              <w:keepNext/>
              <w:keepLines/>
              <w:tabs>
                <w:tab w:val="left" w:pos="-1440"/>
                <w:tab w:val="left" w:pos="-720"/>
              </w:tabs>
              <w:rPr>
                <w:sz w:val="20"/>
                <w:szCs w:val="20"/>
                <w:lang w:val="fr-CA"/>
              </w:rPr>
            </w:pPr>
          </w:p>
          <w:p w:rsidR="00707A29" w:rsidRPr="00CD1F41" w:rsidRDefault="00707A29" w:rsidP="00313303">
            <w:pPr>
              <w:keepNext/>
              <w:keepLines/>
              <w:tabs>
                <w:tab w:val="left" w:pos="-1440"/>
                <w:tab w:val="left" w:pos="-720"/>
              </w:tabs>
              <w:rPr>
                <w:sz w:val="20"/>
                <w:szCs w:val="20"/>
                <w:lang w:val="fr-CA"/>
              </w:rPr>
            </w:pPr>
            <w:r w:rsidRPr="00CD1F41">
              <w:rPr>
                <w:sz w:val="20"/>
                <w:szCs w:val="20"/>
                <w:lang w:val="fr-CA"/>
              </w:rPr>
              <w:tab/>
            </w:r>
            <w:r>
              <w:rPr>
                <w:sz w:val="20"/>
                <w:szCs w:val="20"/>
                <w:lang w:val="fr-CA"/>
              </w:rPr>
              <w:t>c</w:t>
            </w:r>
            <w:r w:rsidRPr="00CD1F41">
              <w:rPr>
                <w:sz w:val="20"/>
                <w:szCs w:val="20"/>
                <w:lang w:val="fr-CA"/>
              </w:rPr>
              <w:t>. (34083)</w:t>
            </w:r>
          </w:p>
          <w:p w:rsidR="00707A29" w:rsidRPr="00CD1F41" w:rsidRDefault="00707A29" w:rsidP="00313303">
            <w:pPr>
              <w:keepNext/>
              <w:keepLines/>
              <w:tabs>
                <w:tab w:val="left" w:pos="-1440"/>
                <w:tab w:val="left" w:pos="-720"/>
              </w:tabs>
              <w:rPr>
                <w:sz w:val="20"/>
                <w:szCs w:val="20"/>
                <w:lang w:val="fr-CA"/>
              </w:rPr>
            </w:pPr>
          </w:p>
          <w:p w:rsidR="00707A29" w:rsidRPr="00CD1F41" w:rsidRDefault="00707A29" w:rsidP="00313303">
            <w:pPr>
              <w:keepNext/>
              <w:keepLines/>
              <w:tabs>
                <w:tab w:val="left" w:pos="-1440"/>
                <w:tab w:val="left" w:pos="-720"/>
              </w:tabs>
              <w:rPr>
                <w:b/>
                <w:sz w:val="20"/>
                <w:szCs w:val="20"/>
                <w:lang w:val="fr-CA"/>
              </w:rPr>
            </w:pPr>
            <w:r w:rsidRPr="00CD1F41">
              <w:rPr>
                <w:b/>
                <w:sz w:val="20"/>
                <w:szCs w:val="20"/>
                <w:lang w:val="fr-CA"/>
              </w:rPr>
              <w:t>Régie des marchés agricoles et alimentaires du Québec et autres (</w:t>
            </w:r>
            <w:proofErr w:type="spellStart"/>
            <w:r>
              <w:rPr>
                <w:b/>
                <w:sz w:val="20"/>
                <w:szCs w:val="20"/>
                <w:lang w:val="fr-CA"/>
              </w:rPr>
              <w:t>Qc</w:t>
            </w:r>
            <w:proofErr w:type="spellEnd"/>
            <w:r w:rsidRPr="00CD1F41">
              <w:rPr>
                <w:b/>
                <w:sz w:val="20"/>
                <w:szCs w:val="20"/>
                <w:lang w:val="fr-CA"/>
              </w:rPr>
              <w:t>)</w:t>
            </w:r>
          </w:p>
          <w:p w:rsidR="00707A29" w:rsidRPr="00CD1F41" w:rsidRDefault="00707A29" w:rsidP="00313303">
            <w:pPr>
              <w:keepNext/>
              <w:keepLines/>
              <w:tabs>
                <w:tab w:val="left" w:pos="-1440"/>
                <w:tab w:val="left" w:pos="-720"/>
              </w:tabs>
              <w:rPr>
                <w:sz w:val="20"/>
                <w:szCs w:val="20"/>
                <w:lang w:val="fr-CA"/>
              </w:rPr>
            </w:pPr>
            <w:r w:rsidRPr="00CD1F41">
              <w:rPr>
                <w:sz w:val="20"/>
                <w:szCs w:val="20"/>
                <w:lang w:val="fr-CA"/>
              </w:rPr>
              <w:tab/>
            </w:r>
            <w:r>
              <w:rPr>
                <w:sz w:val="20"/>
                <w:szCs w:val="20"/>
                <w:lang w:val="fr-CA"/>
              </w:rPr>
              <w:t>France Dionne</w:t>
            </w:r>
          </w:p>
          <w:p w:rsidR="00707A29" w:rsidRPr="00CD1F41" w:rsidRDefault="00707A29" w:rsidP="00313303">
            <w:pPr>
              <w:keepNext/>
              <w:keepLines/>
              <w:tabs>
                <w:tab w:val="left" w:pos="-1440"/>
                <w:tab w:val="left" w:pos="-720"/>
              </w:tabs>
              <w:rPr>
                <w:sz w:val="20"/>
                <w:szCs w:val="20"/>
                <w:lang w:val="fr-CA"/>
              </w:rPr>
            </w:pPr>
            <w:r w:rsidRPr="00CD1F41">
              <w:rPr>
                <w:sz w:val="20"/>
                <w:szCs w:val="20"/>
                <w:lang w:val="fr-CA"/>
              </w:rPr>
              <w:tab/>
            </w:r>
            <w:proofErr w:type="spellStart"/>
            <w:r>
              <w:rPr>
                <w:sz w:val="20"/>
                <w:szCs w:val="20"/>
                <w:lang w:val="fr-CA"/>
              </w:rPr>
              <w:t>Nepveu</w:t>
            </w:r>
            <w:proofErr w:type="spellEnd"/>
            <w:r>
              <w:rPr>
                <w:sz w:val="20"/>
                <w:szCs w:val="20"/>
                <w:lang w:val="fr-CA"/>
              </w:rPr>
              <w:t xml:space="preserve"> &amp; Dionne</w:t>
            </w:r>
          </w:p>
          <w:p w:rsidR="00707A29" w:rsidRPr="00CD1F41" w:rsidRDefault="00707A29" w:rsidP="00313303">
            <w:pPr>
              <w:keepNext/>
              <w:keepLines/>
              <w:tabs>
                <w:tab w:val="left" w:pos="-1440"/>
                <w:tab w:val="left" w:pos="-720"/>
              </w:tabs>
              <w:rPr>
                <w:sz w:val="20"/>
                <w:szCs w:val="20"/>
                <w:lang w:val="fr-CA"/>
              </w:rPr>
            </w:pPr>
          </w:p>
          <w:p w:rsidR="00707A29" w:rsidRDefault="00707A29" w:rsidP="00313303">
            <w:pPr>
              <w:rPr>
                <w:sz w:val="20"/>
                <w:szCs w:val="20"/>
                <w:lang w:val="fr-CA"/>
              </w:rPr>
            </w:pPr>
            <w:r w:rsidRPr="00BB4E58">
              <w:rPr>
                <w:sz w:val="20"/>
                <w:szCs w:val="20"/>
                <w:lang w:val="fr-CA"/>
              </w:rPr>
              <w:t>DATE</w:t>
            </w:r>
            <w:r>
              <w:rPr>
                <w:sz w:val="20"/>
                <w:szCs w:val="20"/>
                <w:lang w:val="fr-CA"/>
              </w:rPr>
              <w:t xml:space="preserve"> DE PRODUCTION </w:t>
            </w:r>
            <w:r w:rsidRPr="00BB4E58">
              <w:rPr>
                <w:sz w:val="20"/>
                <w:szCs w:val="20"/>
                <w:lang w:val="fr-CA"/>
              </w:rPr>
              <w:t>: 04.02.2011</w:t>
            </w:r>
            <w:r w:rsidR="0004334C" w:rsidRPr="0004334C">
              <w:rPr>
                <w:sz w:val="20"/>
                <w:szCs w:val="20"/>
                <w:lang w:val="fr-CA"/>
              </w:rPr>
              <w:pict>
                <v:rect id="_x0000_i1033" style="width:108pt;height:1pt" o:hrpct="0" o:hralign="center" o:hrstd="t" o:hrnoshade="t" o:hr="t" fillcolor="black [3213]" stroked="f"/>
              </w:pict>
            </w:r>
          </w:p>
        </w:tc>
        <w:tc>
          <w:tcPr>
            <w:tcW w:w="1181" w:type="dxa"/>
            <w:shd w:val="clear" w:color="auto" w:fill="auto"/>
          </w:tcPr>
          <w:p w:rsidR="00707A29" w:rsidRDefault="00707A29" w:rsidP="00CD1F41">
            <w:pPr>
              <w:jc w:val="center"/>
              <w:rPr>
                <w:sz w:val="20"/>
                <w:szCs w:val="20"/>
                <w:lang w:val="fr-CA"/>
              </w:rPr>
            </w:pPr>
          </w:p>
          <w:p w:rsidR="00707A29" w:rsidRDefault="00707A29" w:rsidP="00CD1F41">
            <w:pPr>
              <w:jc w:val="center"/>
              <w:rPr>
                <w:sz w:val="20"/>
                <w:szCs w:val="20"/>
                <w:lang w:val="fr-CA"/>
              </w:rPr>
            </w:pPr>
          </w:p>
          <w:p w:rsidR="00707A29" w:rsidRDefault="00707A29" w:rsidP="00CD1F41">
            <w:pPr>
              <w:jc w:val="center"/>
              <w:rPr>
                <w:sz w:val="20"/>
                <w:szCs w:val="20"/>
                <w:lang w:val="fr-CA"/>
              </w:rPr>
            </w:pPr>
          </w:p>
          <w:p w:rsidR="00707A29" w:rsidRDefault="00707A29" w:rsidP="00CD1F41">
            <w:pPr>
              <w:jc w:val="center"/>
              <w:rPr>
                <w:sz w:val="20"/>
                <w:szCs w:val="20"/>
                <w:lang w:val="fr-CA"/>
              </w:rPr>
            </w:pPr>
          </w:p>
          <w:p w:rsidR="00707A29" w:rsidRDefault="00707A29" w:rsidP="00CD1F41">
            <w:pPr>
              <w:jc w:val="center"/>
              <w:rPr>
                <w:sz w:val="20"/>
                <w:szCs w:val="20"/>
                <w:lang w:val="fr-CA"/>
              </w:rPr>
            </w:pPr>
          </w:p>
          <w:p w:rsidR="00707A29" w:rsidRDefault="00707A29" w:rsidP="00CD1F41">
            <w:pPr>
              <w:jc w:val="center"/>
              <w:rPr>
                <w:sz w:val="20"/>
                <w:szCs w:val="20"/>
                <w:lang w:val="fr-CA"/>
              </w:rPr>
            </w:pPr>
          </w:p>
          <w:p w:rsidR="00707A29" w:rsidRDefault="00707A29" w:rsidP="00CD1F41">
            <w:pPr>
              <w:jc w:val="center"/>
              <w:rPr>
                <w:sz w:val="20"/>
                <w:szCs w:val="20"/>
                <w:lang w:val="fr-CA"/>
              </w:rPr>
            </w:pPr>
          </w:p>
          <w:p w:rsidR="00707A29" w:rsidRDefault="00707A29" w:rsidP="00CD1F41">
            <w:pPr>
              <w:jc w:val="center"/>
              <w:rPr>
                <w:sz w:val="20"/>
                <w:szCs w:val="20"/>
                <w:lang w:val="fr-CA"/>
              </w:rPr>
            </w:pPr>
          </w:p>
          <w:p w:rsidR="00707A29" w:rsidRDefault="00707A29" w:rsidP="00CD1F41">
            <w:pPr>
              <w:jc w:val="center"/>
              <w:rPr>
                <w:sz w:val="20"/>
                <w:szCs w:val="20"/>
                <w:lang w:val="fr-CA"/>
              </w:rPr>
            </w:pPr>
          </w:p>
          <w:p w:rsidR="00707A29" w:rsidRDefault="00707A29" w:rsidP="00CD1F41">
            <w:pPr>
              <w:jc w:val="center"/>
              <w:rPr>
                <w:sz w:val="20"/>
                <w:szCs w:val="20"/>
                <w:lang w:val="fr-CA"/>
              </w:rPr>
            </w:pPr>
          </w:p>
          <w:p w:rsidR="00707A29" w:rsidRDefault="00707A29" w:rsidP="00CD1F41">
            <w:pPr>
              <w:jc w:val="center"/>
              <w:rPr>
                <w:sz w:val="20"/>
                <w:szCs w:val="20"/>
                <w:lang w:val="fr-CA"/>
              </w:rPr>
            </w:pPr>
          </w:p>
          <w:p w:rsidR="00707A29" w:rsidRDefault="00707A29" w:rsidP="00CD1F41">
            <w:pPr>
              <w:jc w:val="center"/>
              <w:rPr>
                <w:sz w:val="20"/>
                <w:szCs w:val="20"/>
                <w:lang w:val="fr-CA"/>
              </w:rPr>
            </w:pPr>
          </w:p>
          <w:p w:rsidR="000C712D" w:rsidRDefault="000C712D" w:rsidP="00CD1F41">
            <w:pPr>
              <w:jc w:val="center"/>
              <w:rPr>
                <w:sz w:val="20"/>
                <w:szCs w:val="20"/>
                <w:lang w:val="fr-CA"/>
              </w:rPr>
            </w:pPr>
          </w:p>
          <w:p w:rsidR="00707A29" w:rsidRPr="009C08F0" w:rsidRDefault="00707A29" w:rsidP="00CD1F41">
            <w:pPr>
              <w:jc w:val="center"/>
              <w:rPr>
                <w:sz w:val="20"/>
                <w:szCs w:val="20"/>
                <w:lang w:val="fr-CA"/>
              </w:rPr>
            </w:pPr>
          </w:p>
        </w:tc>
        <w:tc>
          <w:tcPr>
            <w:tcW w:w="4320" w:type="dxa"/>
            <w:shd w:val="clear" w:color="auto" w:fill="auto"/>
          </w:tcPr>
          <w:p w:rsidR="00707A29" w:rsidRDefault="00922E3D" w:rsidP="00922E3D">
            <w:pPr>
              <w:rPr>
                <w:sz w:val="20"/>
                <w:szCs w:val="20"/>
              </w:rPr>
            </w:pPr>
            <w:proofErr w:type="spellStart"/>
            <w:r>
              <w:rPr>
                <w:b/>
                <w:sz w:val="20"/>
                <w:szCs w:val="20"/>
              </w:rPr>
              <w:t>Davoud</w:t>
            </w:r>
            <w:proofErr w:type="spellEnd"/>
            <w:r>
              <w:rPr>
                <w:b/>
                <w:sz w:val="20"/>
                <w:szCs w:val="20"/>
              </w:rPr>
              <w:t xml:space="preserve"> </w:t>
            </w:r>
            <w:proofErr w:type="spellStart"/>
            <w:r>
              <w:rPr>
                <w:b/>
                <w:sz w:val="20"/>
                <w:szCs w:val="20"/>
              </w:rPr>
              <w:t>Tohidy</w:t>
            </w:r>
            <w:proofErr w:type="spellEnd"/>
          </w:p>
          <w:p w:rsidR="00922E3D" w:rsidRDefault="00922E3D" w:rsidP="00922E3D">
            <w:pPr>
              <w:rPr>
                <w:sz w:val="20"/>
                <w:szCs w:val="20"/>
              </w:rPr>
            </w:pPr>
            <w:r>
              <w:rPr>
                <w:sz w:val="20"/>
                <w:szCs w:val="20"/>
              </w:rPr>
              <w:tab/>
            </w:r>
            <w:proofErr w:type="spellStart"/>
            <w:r>
              <w:rPr>
                <w:sz w:val="20"/>
                <w:szCs w:val="20"/>
              </w:rPr>
              <w:t>Davoud</w:t>
            </w:r>
            <w:proofErr w:type="spellEnd"/>
            <w:r>
              <w:rPr>
                <w:sz w:val="20"/>
                <w:szCs w:val="20"/>
              </w:rPr>
              <w:t xml:space="preserve"> </w:t>
            </w:r>
            <w:proofErr w:type="spellStart"/>
            <w:r>
              <w:rPr>
                <w:sz w:val="20"/>
                <w:szCs w:val="20"/>
              </w:rPr>
              <w:t>Tohidy</w:t>
            </w:r>
            <w:proofErr w:type="spellEnd"/>
          </w:p>
          <w:p w:rsidR="00922E3D" w:rsidRDefault="00922E3D" w:rsidP="00922E3D">
            <w:pPr>
              <w:rPr>
                <w:sz w:val="20"/>
                <w:szCs w:val="20"/>
              </w:rPr>
            </w:pPr>
          </w:p>
          <w:p w:rsidR="00922E3D" w:rsidRDefault="00922E3D" w:rsidP="00922E3D">
            <w:pPr>
              <w:rPr>
                <w:sz w:val="20"/>
                <w:szCs w:val="20"/>
              </w:rPr>
            </w:pPr>
            <w:r>
              <w:rPr>
                <w:sz w:val="20"/>
                <w:szCs w:val="20"/>
              </w:rPr>
              <w:tab/>
              <w:t>v. (34119)</w:t>
            </w:r>
          </w:p>
          <w:p w:rsidR="00922E3D" w:rsidRDefault="00922E3D" w:rsidP="00922E3D">
            <w:pPr>
              <w:rPr>
                <w:sz w:val="20"/>
                <w:szCs w:val="20"/>
              </w:rPr>
            </w:pPr>
          </w:p>
          <w:p w:rsidR="00922E3D" w:rsidRDefault="00922E3D" w:rsidP="00922E3D">
            <w:pPr>
              <w:rPr>
                <w:sz w:val="20"/>
                <w:szCs w:val="20"/>
                <w:lang w:val="fr-CA"/>
              </w:rPr>
            </w:pPr>
            <w:r w:rsidRPr="00922E3D">
              <w:rPr>
                <w:b/>
                <w:sz w:val="20"/>
                <w:szCs w:val="20"/>
                <w:lang w:val="fr-CA"/>
              </w:rPr>
              <w:t xml:space="preserve">Algonquin </w:t>
            </w:r>
            <w:proofErr w:type="spellStart"/>
            <w:r w:rsidRPr="00922E3D">
              <w:rPr>
                <w:b/>
                <w:sz w:val="20"/>
                <w:szCs w:val="20"/>
                <w:lang w:val="fr-CA"/>
              </w:rPr>
              <w:t>College</w:t>
            </w:r>
            <w:proofErr w:type="spellEnd"/>
            <w:r w:rsidRPr="00922E3D">
              <w:rPr>
                <w:b/>
                <w:sz w:val="20"/>
                <w:szCs w:val="20"/>
                <w:lang w:val="fr-CA"/>
              </w:rPr>
              <w:t xml:space="preserve"> et al. (Ont.)</w:t>
            </w:r>
          </w:p>
          <w:p w:rsidR="00922E3D" w:rsidRPr="007D14B5" w:rsidRDefault="00922E3D" w:rsidP="00922E3D">
            <w:pPr>
              <w:rPr>
                <w:sz w:val="20"/>
                <w:szCs w:val="20"/>
              </w:rPr>
            </w:pPr>
            <w:r>
              <w:rPr>
                <w:sz w:val="20"/>
                <w:szCs w:val="20"/>
                <w:lang w:val="fr-CA"/>
              </w:rPr>
              <w:tab/>
            </w:r>
            <w:r w:rsidRPr="007D14B5">
              <w:rPr>
                <w:sz w:val="20"/>
                <w:szCs w:val="20"/>
              </w:rPr>
              <w:t>Douglas W.J. Smyth</w:t>
            </w:r>
          </w:p>
          <w:p w:rsidR="00922E3D" w:rsidRPr="007D14B5" w:rsidRDefault="00922E3D" w:rsidP="00922E3D">
            <w:pPr>
              <w:rPr>
                <w:sz w:val="20"/>
                <w:szCs w:val="20"/>
              </w:rPr>
            </w:pPr>
          </w:p>
          <w:p w:rsidR="00922E3D" w:rsidRDefault="00922E3D" w:rsidP="00922E3D">
            <w:pPr>
              <w:rPr>
                <w:sz w:val="20"/>
                <w:szCs w:val="20"/>
              </w:rPr>
            </w:pPr>
            <w:r w:rsidRPr="00922E3D">
              <w:rPr>
                <w:sz w:val="20"/>
                <w:szCs w:val="20"/>
              </w:rPr>
              <w:t>FILING DATE: 03.02.</w:t>
            </w:r>
            <w:r>
              <w:rPr>
                <w:sz w:val="20"/>
                <w:szCs w:val="20"/>
              </w:rPr>
              <w:t>2011</w:t>
            </w:r>
          </w:p>
          <w:p w:rsidR="00922E3D" w:rsidRDefault="0004334C" w:rsidP="00922E3D">
            <w:pPr>
              <w:rPr>
                <w:sz w:val="20"/>
                <w:szCs w:val="20"/>
                <w:lang w:val="fr-CA"/>
              </w:rPr>
            </w:pPr>
            <w:r w:rsidRPr="0004334C">
              <w:rPr>
                <w:sz w:val="20"/>
                <w:szCs w:val="20"/>
                <w:lang w:val="fr-CA"/>
              </w:rPr>
              <w:pict>
                <v:rect id="_x0000_i1034" style="width:108pt;height:1pt" o:hrpct="0" o:hralign="center" o:hrstd="t" o:hrnoshade="t" o:hr="t" fillcolor="black [3213]" stroked="f"/>
              </w:pict>
            </w:r>
          </w:p>
          <w:p w:rsidR="000C712D" w:rsidRDefault="000C712D" w:rsidP="00922E3D">
            <w:pPr>
              <w:rPr>
                <w:sz w:val="20"/>
                <w:szCs w:val="20"/>
                <w:lang w:val="fr-CA"/>
              </w:rPr>
            </w:pPr>
          </w:p>
          <w:p w:rsidR="000C712D" w:rsidRPr="00A935AA" w:rsidRDefault="000C712D" w:rsidP="000C712D">
            <w:pPr>
              <w:keepNext/>
              <w:keepLines/>
              <w:tabs>
                <w:tab w:val="left" w:pos="-1440"/>
                <w:tab w:val="left" w:pos="-720"/>
              </w:tabs>
              <w:rPr>
                <w:b/>
                <w:sz w:val="20"/>
                <w:szCs w:val="20"/>
              </w:rPr>
            </w:pPr>
            <w:proofErr w:type="spellStart"/>
            <w:r>
              <w:rPr>
                <w:b/>
                <w:sz w:val="20"/>
                <w:szCs w:val="20"/>
              </w:rPr>
              <w:t>Tercon</w:t>
            </w:r>
            <w:proofErr w:type="spellEnd"/>
            <w:r>
              <w:rPr>
                <w:b/>
                <w:sz w:val="20"/>
                <w:szCs w:val="20"/>
              </w:rPr>
              <w:t xml:space="preserve"> Construction Ltd.</w:t>
            </w:r>
          </w:p>
          <w:p w:rsidR="000C712D" w:rsidRDefault="000C712D" w:rsidP="000C712D">
            <w:pPr>
              <w:rPr>
                <w:sz w:val="20"/>
                <w:szCs w:val="20"/>
              </w:rPr>
            </w:pPr>
            <w:r w:rsidRPr="00A935AA">
              <w:rPr>
                <w:sz w:val="20"/>
                <w:szCs w:val="20"/>
              </w:rPr>
              <w:tab/>
            </w:r>
            <w:r>
              <w:rPr>
                <w:sz w:val="20"/>
                <w:szCs w:val="20"/>
              </w:rPr>
              <w:t>Peter A. Spencer</w:t>
            </w:r>
          </w:p>
          <w:p w:rsidR="000C712D" w:rsidRPr="00922E3D" w:rsidRDefault="000C712D" w:rsidP="000C712D">
            <w:pPr>
              <w:rPr>
                <w:sz w:val="20"/>
                <w:szCs w:val="20"/>
              </w:rPr>
            </w:pPr>
            <w:r w:rsidRPr="00A935AA">
              <w:rPr>
                <w:sz w:val="20"/>
                <w:szCs w:val="20"/>
              </w:rPr>
              <w:tab/>
            </w:r>
            <w:proofErr w:type="spellStart"/>
            <w:r>
              <w:rPr>
                <w:sz w:val="20"/>
                <w:szCs w:val="20"/>
              </w:rPr>
              <w:t>Gourlay</w:t>
            </w:r>
            <w:proofErr w:type="spellEnd"/>
            <w:r>
              <w:rPr>
                <w:sz w:val="20"/>
                <w:szCs w:val="20"/>
              </w:rPr>
              <w:t xml:space="preserve"> Spencer Wade</w:t>
            </w:r>
          </w:p>
        </w:tc>
      </w:tr>
      <w:tr w:rsidR="00922E3D" w:rsidRPr="00BB4E58" w:rsidTr="00707A29">
        <w:trPr>
          <w:cantSplit/>
        </w:trPr>
        <w:tc>
          <w:tcPr>
            <w:tcW w:w="4320" w:type="dxa"/>
            <w:shd w:val="clear" w:color="auto" w:fill="auto"/>
          </w:tcPr>
          <w:p w:rsidR="00922E3D" w:rsidRPr="00F728F0" w:rsidRDefault="00922E3D" w:rsidP="00922E3D">
            <w:pPr>
              <w:rPr>
                <w:b/>
                <w:sz w:val="20"/>
                <w:szCs w:val="20"/>
              </w:rPr>
            </w:pPr>
            <w:proofErr w:type="spellStart"/>
            <w:r w:rsidRPr="00F728F0">
              <w:rPr>
                <w:b/>
                <w:sz w:val="20"/>
                <w:szCs w:val="20"/>
              </w:rPr>
              <w:t>Ladislav</w:t>
            </w:r>
            <w:proofErr w:type="spellEnd"/>
            <w:r w:rsidRPr="00F728F0">
              <w:rPr>
                <w:b/>
                <w:sz w:val="20"/>
                <w:szCs w:val="20"/>
              </w:rPr>
              <w:t xml:space="preserve"> </w:t>
            </w:r>
            <w:proofErr w:type="spellStart"/>
            <w:r w:rsidRPr="00F728F0">
              <w:rPr>
                <w:b/>
                <w:sz w:val="20"/>
                <w:szCs w:val="20"/>
              </w:rPr>
              <w:t>Konecny</w:t>
            </w:r>
            <w:proofErr w:type="spellEnd"/>
          </w:p>
          <w:p w:rsidR="00922E3D" w:rsidRPr="00F728F0" w:rsidRDefault="00922E3D" w:rsidP="00922E3D">
            <w:pPr>
              <w:tabs>
                <w:tab w:val="left" w:pos="-1440"/>
                <w:tab w:val="left" w:pos="-720"/>
              </w:tabs>
              <w:rPr>
                <w:sz w:val="20"/>
                <w:szCs w:val="20"/>
              </w:rPr>
            </w:pPr>
            <w:r w:rsidRPr="00F728F0">
              <w:rPr>
                <w:sz w:val="20"/>
                <w:szCs w:val="20"/>
              </w:rPr>
              <w:tab/>
              <w:t xml:space="preserve">Paul D. </w:t>
            </w:r>
            <w:proofErr w:type="spellStart"/>
            <w:r>
              <w:rPr>
                <w:sz w:val="20"/>
                <w:szCs w:val="20"/>
              </w:rPr>
              <w:t>Koven</w:t>
            </w:r>
            <w:proofErr w:type="spellEnd"/>
          </w:p>
          <w:p w:rsidR="00922E3D" w:rsidRPr="00F728F0" w:rsidRDefault="00922E3D" w:rsidP="00922E3D">
            <w:pPr>
              <w:tabs>
                <w:tab w:val="left" w:pos="-1440"/>
                <w:tab w:val="left" w:pos="-720"/>
              </w:tabs>
              <w:rPr>
                <w:sz w:val="20"/>
                <w:szCs w:val="20"/>
              </w:rPr>
            </w:pPr>
            <w:r w:rsidRPr="00F728F0">
              <w:rPr>
                <w:sz w:val="20"/>
                <w:szCs w:val="20"/>
              </w:rPr>
              <w:tab/>
            </w:r>
            <w:proofErr w:type="spellStart"/>
            <w:r>
              <w:rPr>
                <w:sz w:val="20"/>
                <w:szCs w:val="20"/>
              </w:rPr>
              <w:t>Gertler</w:t>
            </w:r>
            <w:proofErr w:type="spellEnd"/>
            <w:r>
              <w:rPr>
                <w:sz w:val="20"/>
                <w:szCs w:val="20"/>
              </w:rPr>
              <w:t xml:space="preserve"> &amp; </w:t>
            </w:r>
            <w:proofErr w:type="spellStart"/>
            <w:r>
              <w:rPr>
                <w:sz w:val="20"/>
                <w:szCs w:val="20"/>
              </w:rPr>
              <w:t>Koven</w:t>
            </w:r>
            <w:proofErr w:type="spellEnd"/>
          </w:p>
          <w:p w:rsidR="00922E3D" w:rsidRPr="00F728F0" w:rsidRDefault="00922E3D" w:rsidP="00922E3D">
            <w:pPr>
              <w:tabs>
                <w:tab w:val="left" w:pos="-1440"/>
                <w:tab w:val="left" w:pos="-720"/>
              </w:tabs>
              <w:rPr>
                <w:sz w:val="20"/>
                <w:szCs w:val="20"/>
              </w:rPr>
            </w:pPr>
          </w:p>
          <w:p w:rsidR="00922E3D" w:rsidRPr="00A935AA" w:rsidRDefault="00922E3D" w:rsidP="00922E3D">
            <w:pPr>
              <w:tabs>
                <w:tab w:val="left" w:pos="-1440"/>
                <w:tab w:val="left" w:pos="-720"/>
              </w:tabs>
              <w:rPr>
                <w:sz w:val="20"/>
                <w:szCs w:val="20"/>
              </w:rPr>
            </w:pPr>
            <w:r w:rsidRPr="00F728F0">
              <w:rPr>
                <w:sz w:val="20"/>
                <w:szCs w:val="20"/>
              </w:rPr>
              <w:tab/>
            </w:r>
            <w:r w:rsidRPr="00A935AA">
              <w:rPr>
                <w:sz w:val="20"/>
                <w:szCs w:val="20"/>
              </w:rPr>
              <w:t>v. (3</w:t>
            </w:r>
            <w:r>
              <w:rPr>
                <w:sz w:val="20"/>
                <w:szCs w:val="20"/>
              </w:rPr>
              <w:t>4096</w:t>
            </w:r>
            <w:r w:rsidRPr="00A935AA">
              <w:rPr>
                <w:sz w:val="20"/>
                <w:szCs w:val="20"/>
              </w:rPr>
              <w:t>)</w:t>
            </w:r>
          </w:p>
          <w:p w:rsidR="00922E3D" w:rsidRPr="00A935AA" w:rsidRDefault="00922E3D" w:rsidP="00922E3D">
            <w:pPr>
              <w:tabs>
                <w:tab w:val="left" w:pos="-1440"/>
                <w:tab w:val="left" w:pos="-720"/>
              </w:tabs>
              <w:rPr>
                <w:sz w:val="20"/>
                <w:szCs w:val="20"/>
              </w:rPr>
            </w:pPr>
          </w:p>
          <w:p w:rsidR="00922E3D" w:rsidRPr="00A935AA" w:rsidRDefault="00922E3D" w:rsidP="00922E3D">
            <w:pPr>
              <w:tabs>
                <w:tab w:val="left" w:pos="-1440"/>
                <w:tab w:val="left" w:pos="-720"/>
              </w:tabs>
              <w:rPr>
                <w:b/>
                <w:sz w:val="20"/>
                <w:szCs w:val="20"/>
              </w:rPr>
            </w:pPr>
            <w:r>
              <w:rPr>
                <w:b/>
                <w:sz w:val="20"/>
                <w:szCs w:val="20"/>
              </w:rPr>
              <w:t xml:space="preserve">Ontario Power Generation </w:t>
            </w:r>
            <w:r w:rsidRPr="00A935AA">
              <w:rPr>
                <w:b/>
                <w:sz w:val="20"/>
                <w:szCs w:val="20"/>
              </w:rPr>
              <w:t>(</w:t>
            </w:r>
            <w:r>
              <w:rPr>
                <w:b/>
                <w:sz w:val="20"/>
                <w:szCs w:val="20"/>
              </w:rPr>
              <w:t>F.C.</w:t>
            </w:r>
            <w:r w:rsidRPr="00A935AA">
              <w:rPr>
                <w:b/>
                <w:sz w:val="20"/>
                <w:szCs w:val="20"/>
              </w:rPr>
              <w:t>)</w:t>
            </w:r>
          </w:p>
          <w:p w:rsidR="00922E3D" w:rsidRPr="00A935AA" w:rsidRDefault="00922E3D" w:rsidP="00922E3D">
            <w:pPr>
              <w:tabs>
                <w:tab w:val="left" w:pos="-1440"/>
                <w:tab w:val="left" w:pos="-720"/>
              </w:tabs>
              <w:rPr>
                <w:sz w:val="20"/>
                <w:szCs w:val="20"/>
              </w:rPr>
            </w:pPr>
            <w:r w:rsidRPr="00A935AA">
              <w:rPr>
                <w:sz w:val="20"/>
                <w:szCs w:val="20"/>
              </w:rPr>
              <w:tab/>
            </w:r>
            <w:r>
              <w:rPr>
                <w:sz w:val="20"/>
                <w:szCs w:val="20"/>
              </w:rPr>
              <w:t>Brett Christen</w:t>
            </w:r>
          </w:p>
          <w:p w:rsidR="00922E3D" w:rsidRPr="00A935AA" w:rsidRDefault="00922E3D" w:rsidP="00922E3D">
            <w:pPr>
              <w:tabs>
                <w:tab w:val="left" w:pos="-1440"/>
                <w:tab w:val="left" w:pos="-720"/>
              </w:tabs>
              <w:rPr>
                <w:sz w:val="20"/>
                <w:szCs w:val="20"/>
              </w:rPr>
            </w:pPr>
            <w:r w:rsidRPr="00A935AA">
              <w:rPr>
                <w:sz w:val="20"/>
                <w:szCs w:val="20"/>
              </w:rPr>
              <w:tab/>
            </w:r>
            <w:proofErr w:type="spellStart"/>
            <w:r>
              <w:rPr>
                <w:sz w:val="20"/>
                <w:szCs w:val="20"/>
              </w:rPr>
              <w:t>Filion</w:t>
            </w:r>
            <w:proofErr w:type="spellEnd"/>
            <w:r>
              <w:rPr>
                <w:sz w:val="20"/>
                <w:szCs w:val="20"/>
              </w:rPr>
              <w:t xml:space="preserve"> </w:t>
            </w:r>
            <w:proofErr w:type="spellStart"/>
            <w:r>
              <w:rPr>
                <w:sz w:val="20"/>
                <w:szCs w:val="20"/>
              </w:rPr>
              <w:t>Wakely</w:t>
            </w:r>
            <w:proofErr w:type="spellEnd"/>
            <w:r>
              <w:rPr>
                <w:sz w:val="20"/>
                <w:szCs w:val="20"/>
              </w:rPr>
              <w:t xml:space="preserve"> </w:t>
            </w:r>
            <w:proofErr w:type="spellStart"/>
            <w:r>
              <w:rPr>
                <w:sz w:val="20"/>
                <w:szCs w:val="20"/>
              </w:rPr>
              <w:t>Thorup</w:t>
            </w:r>
            <w:proofErr w:type="spellEnd"/>
            <w:r>
              <w:rPr>
                <w:sz w:val="20"/>
                <w:szCs w:val="20"/>
              </w:rPr>
              <w:t xml:space="preserve"> </w:t>
            </w:r>
            <w:proofErr w:type="spellStart"/>
            <w:r>
              <w:rPr>
                <w:sz w:val="20"/>
                <w:szCs w:val="20"/>
              </w:rPr>
              <w:t>Angeletti</w:t>
            </w:r>
            <w:proofErr w:type="spellEnd"/>
            <w:r>
              <w:rPr>
                <w:sz w:val="20"/>
                <w:szCs w:val="20"/>
              </w:rPr>
              <w:t xml:space="preserve"> LLP</w:t>
            </w:r>
          </w:p>
          <w:p w:rsidR="00922E3D" w:rsidRPr="00A935AA" w:rsidRDefault="00922E3D" w:rsidP="00922E3D">
            <w:pPr>
              <w:tabs>
                <w:tab w:val="left" w:pos="-1440"/>
                <w:tab w:val="left" w:pos="-720"/>
              </w:tabs>
              <w:rPr>
                <w:sz w:val="20"/>
                <w:szCs w:val="20"/>
              </w:rPr>
            </w:pPr>
          </w:p>
          <w:p w:rsidR="00922E3D" w:rsidRPr="00A935AA" w:rsidRDefault="00922E3D" w:rsidP="00922E3D">
            <w:pPr>
              <w:rPr>
                <w:sz w:val="20"/>
                <w:szCs w:val="20"/>
              </w:rPr>
            </w:pPr>
            <w:r w:rsidRPr="00A935AA">
              <w:rPr>
                <w:sz w:val="20"/>
                <w:szCs w:val="20"/>
              </w:rPr>
              <w:t xml:space="preserve">FILING DATE: </w:t>
            </w:r>
            <w:r>
              <w:rPr>
                <w:sz w:val="20"/>
                <w:szCs w:val="20"/>
              </w:rPr>
              <w:t>11</w:t>
            </w:r>
            <w:r w:rsidRPr="00A935AA">
              <w:rPr>
                <w:sz w:val="20"/>
                <w:szCs w:val="20"/>
              </w:rPr>
              <w:t>.0</w:t>
            </w:r>
            <w:r>
              <w:rPr>
                <w:sz w:val="20"/>
                <w:szCs w:val="20"/>
              </w:rPr>
              <w:t>2</w:t>
            </w:r>
            <w:r w:rsidRPr="00A935AA">
              <w:rPr>
                <w:sz w:val="20"/>
                <w:szCs w:val="20"/>
              </w:rPr>
              <w:t>.201</w:t>
            </w:r>
            <w:r>
              <w:rPr>
                <w:sz w:val="20"/>
                <w:szCs w:val="20"/>
              </w:rPr>
              <w:t>1</w:t>
            </w:r>
          </w:p>
          <w:p w:rsidR="00922E3D" w:rsidRPr="00A935AA" w:rsidRDefault="0004334C" w:rsidP="00922E3D">
            <w:pPr>
              <w:rPr>
                <w:sz w:val="20"/>
                <w:szCs w:val="20"/>
              </w:rPr>
            </w:pPr>
            <w:r w:rsidRPr="0004334C">
              <w:rPr>
                <w:sz w:val="20"/>
                <w:szCs w:val="20"/>
                <w:lang w:val="fr-CA"/>
              </w:rPr>
              <w:pict>
                <v:rect id="_x0000_i1035" style="width:108pt;height:1pt" o:hrpct="0" o:hralign="center" o:hrstd="t" o:hrnoshade="t" o:hr="t" fillcolor="black [3213]" stroked="f"/>
              </w:pict>
            </w:r>
          </w:p>
        </w:tc>
        <w:tc>
          <w:tcPr>
            <w:tcW w:w="1181" w:type="dxa"/>
            <w:shd w:val="clear" w:color="auto" w:fill="auto"/>
          </w:tcPr>
          <w:p w:rsidR="00922E3D" w:rsidRDefault="00922E3D" w:rsidP="00CD1F41">
            <w:pPr>
              <w:jc w:val="center"/>
              <w:rPr>
                <w:sz w:val="20"/>
                <w:szCs w:val="20"/>
                <w:lang w:val="fr-CA"/>
              </w:rPr>
            </w:pPr>
          </w:p>
          <w:p w:rsidR="000C712D" w:rsidRDefault="000C712D" w:rsidP="00CD1F41">
            <w:pPr>
              <w:jc w:val="center"/>
              <w:rPr>
                <w:sz w:val="20"/>
                <w:szCs w:val="20"/>
                <w:lang w:val="fr-CA"/>
              </w:rPr>
            </w:pPr>
          </w:p>
          <w:p w:rsidR="000C712D" w:rsidRDefault="000C712D" w:rsidP="00CD1F41">
            <w:pPr>
              <w:jc w:val="center"/>
              <w:rPr>
                <w:sz w:val="20"/>
                <w:szCs w:val="20"/>
                <w:lang w:val="fr-CA"/>
              </w:rPr>
            </w:pPr>
          </w:p>
          <w:p w:rsidR="000C712D" w:rsidRDefault="000C712D" w:rsidP="00CD1F41">
            <w:pPr>
              <w:jc w:val="center"/>
              <w:rPr>
                <w:sz w:val="20"/>
                <w:szCs w:val="20"/>
                <w:lang w:val="fr-CA"/>
              </w:rPr>
            </w:pPr>
          </w:p>
          <w:p w:rsidR="000C712D" w:rsidRDefault="000C712D" w:rsidP="00CD1F41">
            <w:pPr>
              <w:jc w:val="center"/>
              <w:rPr>
                <w:sz w:val="20"/>
                <w:szCs w:val="20"/>
                <w:lang w:val="fr-CA"/>
              </w:rPr>
            </w:pPr>
          </w:p>
          <w:p w:rsidR="000C712D" w:rsidRDefault="000C712D" w:rsidP="00CD1F41">
            <w:pPr>
              <w:jc w:val="center"/>
              <w:rPr>
                <w:sz w:val="20"/>
                <w:szCs w:val="20"/>
                <w:lang w:val="fr-CA"/>
              </w:rPr>
            </w:pPr>
          </w:p>
          <w:p w:rsidR="000C712D" w:rsidRDefault="000C712D" w:rsidP="00CD1F41">
            <w:pPr>
              <w:jc w:val="center"/>
              <w:rPr>
                <w:sz w:val="20"/>
                <w:szCs w:val="20"/>
                <w:lang w:val="fr-CA"/>
              </w:rPr>
            </w:pPr>
          </w:p>
          <w:p w:rsidR="000C712D" w:rsidRDefault="000C712D" w:rsidP="00CD1F41">
            <w:pPr>
              <w:jc w:val="center"/>
              <w:rPr>
                <w:sz w:val="20"/>
                <w:szCs w:val="20"/>
                <w:lang w:val="fr-CA"/>
              </w:rPr>
            </w:pPr>
          </w:p>
          <w:p w:rsidR="000C712D" w:rsidRDefault="000C712D" w:rsidP="00CD1F41">
            <w:pPr>
              <w:jc w:val="center"/>
              <w:rPr>
                <w:sz w:val="20"/>
                <w:szCs w:val="20"/>
                <w:lang w:val="fr-CA"/>
              </w:rPr>
            </w:pPr>
          </w:p>
          <w:p w:rsidR="000C712D" w:rsidRDefault="000C712D" w:rsidP="00CD1F41">
            <w:pPr>
              <w:jc w:val="center"/>
              <w:rPr>
                <w:sz w:val="20"/>
                <w:szCs w:val="20"/>
                <w:lang w:val="fr-CA"/>
              </w:rPr>
            </w:pPr>
          </w:p>
          <w:p w:rsidR="000C712D" w:rsidRDefault="000C712D" w:rsidP="00CD1F41">
            <w:pPr>
              <w:jc w:val="center"/>
              <w:rPr>
                <w:sz w:val="20"/>
                <w:szCs w:val="20"/>
                <w:lang w:val="fr-CA"/>
              </w:rPr>
            </w:pPr>
          </w:p>
          <w:p w:rsidR="000C712D" w:rsidRDefault="000C712D" w:rsidP="00CD1F41">
            <w:pPr>
              <w:jc w:val="center"/>
              <w:rPr>
                <w:sz w:val="20"/>
                <w:szCs w:val="20"/>
                <w:lang w:val="fr-CA"/>
              </w:rPr>
            </w:pPr>
          </w:p>
          <w:p w:rsidR="000C712D" w:rsidRDefault="000C712D" w:rsidP="00CD1F41">
            <w:pPr>
              <w:jc w:val="center"/>
              <w:rPr>
                <w:sz w:val="20"/>
                <w:szCs w:val="20"/>
                <w:lang w:val="fr-CA"/>
              </w:rPr>
            </w:pPr>
          </w:p>
        </w:tc>
        <w:tc>
          <w:tcPr>
            <w:tcW w:w="4320" w:type="dxa"/>
            <w:shd w:val="clear" w:color="auto" w:fill="auto"/>
          </w:tcPr>
          <w:p w:rsidR="00922E3D" w:rsidRPr="00A935AA" w:rsidRDefault="00922E3D" w:rsidP="00922E3D">
            <w:pPr>
              <w:keepNext/>
              <w:keepLines/>
              <w:tabs>
                <w:tab w:val="left" w:pos="-1440"/>
                <w:tab w:val="left" w:pos="-720"/>
              </w:tabs>
              <w:rPr>
                <w:sz w:val="20"/>
                <w:szCs w:val="20"/>
              </w:rPr>
            </w:pPr>
          </w:p>
          <w:p w:rsidR="00922E3D" w:rsidRPr="00F728F0" w:rsidRDefault="00922E3D" w:rsidP="00922E3D">
            <w:pPr>
              <w:keepNext/>
              <w:keepLines/>
              <w:tabs>
                <w:tab w:val="left" w:pos="-1440"/>
                <w:tab w:val="left" w:pos="-720"/>
              </w:tabs>
              <w:rPr>
                <w:sz w:val="20"/>
                <w:szCs w:val="20"/>
              </w:rPr>
            </w:pPr>
            <w:r w:rsidRPr="00A935AA">
              <w:rPr>
                <w:sz w:val="20"/>
                <w:szCs w:val="20"/>
              </w:rPr>
              <w:tab/>
            </w:r>
            <w:r w:rsidRPr="00F728F0">
              <w:rPr>
                <w:sz w:val="20"/>
                <w:szCs w:val="20"/>
              </w:rPr>
              <w:t>v. (34</w:t>
            </w:r>
            <w:r>
              <w:rPr>
                <w:sz w:val="20"/>
                <w:szCs w:val="20"/>
              </w:rPr>
              <w:t>099</w:t>
            </w:r>
            <w:r w:rsidRPr="00F728F0">
              <w:rPr>
                <w:sz w:val="20"/>
                <w:szCs w:val="20"/>
              </w:rPr>
              <w:t>)</w:t>
            </w:r>
          </w:p>
          <w:p w:rsidR="00922E3D" w:rsidRPr="00F728F0" w:rsidRDefault="00922E3D" w:rsidP="00922E3D">
            <w:pPr>
              <w:keepNext/>
              <w:keepLines/>
              <w:tabs>
                <w:tab w:val="left" w:pos="-1440"/>
                <w:tab w:val="left" w:pos="-720"/>
              </w:tabs>
              <w:rPr>
                <w:sz w:val="20"/>
                <w:szCs w:val="20"/>
              </w:rPr>
            </w:pPr>
          </w:p>
          <w:p w:rsidR="00922E3D" w:rsidRPr="00F728F0" w:rsidRDefault="00922E3D" w:rsidP="00922E3D">
            <w:pPr>
              <w:keepNext/>
              <w:keepLines/>
              <w:tabs>
                <w:tab w:val="left" w:pos="-1440"/>
                <w:tab w:val="left" w:pos="-720"/>
              </w:tabs>
              <w:rPr>
                <w:b/>
                <w:sz w:val="20"/>
                <w:szCs w:val="20"/>
              </w:rPr>
            </w:pPr>
            <w:proofErr w:type="spellStart"/>
            <w:r>
              <w:rPr>
                <w:b/>
                <w:sz w:val="20"/>
                <w:szCs w:val="20"/>
              </w:rPr>
              <w:t>Allnorth</w:t>
            </w:r>
            <w:proofErr w:type="spellEnd"/>
            <w:r>
              <w:rPr>
                <w:b/>
                <w:sz w:val="20"/>
                <w:szCs w:val="20"/>
              </w:rPr>
              <w:t xml:space="preserve"> Consultants Limited </w:t>
            </w:r>
            <w:r w:rsidRPr="00F728F0">
              <w:rPr>
                <w:b/>
                <w:sz w:val="20"/>
                <w:szCs w:val="20"/>
              </w:rPr>
              <w:t>(</w:t>
            </w:r>
            <w:r>
              <w:rPr>
                <w:b/>
                <w:sz w:val="20"/>
                <w:szCs w:val="20"/>
              </w:rPr>
              <w:t>B</w:t>
            </w:r>
            <w:r w:rsidRPr="00F728F0">
              <w:rPr>
                <w:b/>
                <w:sz w:val="20"/>
                <w:szCs w:val="20"/>
              </w:rPr>
              <w:t>.</w:t>
            </w:r>
            <w:r>
              <w:rPr>
                <w:b/>
                <w:sz w:val="20"/>
                <w:szCs w:val="20"/>
              </w:rPr>
              <w:t>C.</w:t>
            </w:r>
            <w:r w:rsidRPr="00F728F0">
              <w:rPr>
                <w:b/>
                <w:sz w:val="20"/>
                <w:szCs w:val="20"/>
              </w:rPr>
              <w:t>)</w:t>
            </w:r>
          </w:p>
          <w:p w:rsidR="00922E3D" w:rsidRPr="00F728F0" w:rsidRDefault="00922E3D" w:rsidP="00922E3D">
            <w:pPr>
              <w:keepNext/>
              <w:keepLines/>
              <w:tabs>
                <w:tab w:val="left" w:pos="-1440"/>
                <w:tab w:val="left" w:pos="-720"/>
              </w:tabs>
              <w:rPr>
                <w:sz w:val="20"/>
                <w:szCs w:val="20"/>
              </w:rPr>
            </w:pPr>
            <w:r w:rsidRPr="00F728F0">
              <w:rPr>
                <w:sz w:val="20"/>
                <w:szCs w:val="20"/>
              </w:rPr>
              <w:tab/>
            </w:r>
            <w:r>
              <w:rPr>
                <w:sz w:val="20"/>
                <w:szCs w:val="20"/>
              </w:rPr>
              <w:t>Robert G. Ward</w:t>
            </w:r>
          </w:p>
          <w:p w:rsidR="00922E3D" w:rsidRPr="00F728F0" w:rsidRDefault="00922E3D" w:rsidP="00922E3D">
            <w:pPr>
              <w:keepNext/>
              <w:keepLines/>
              <w:tabs>
                <w:tab w:val="left" w:pos="-1440"/>
                <w:tab w:val="left" w:pos="-720"/>
              </w:tabs>
              <w:rPr>
                <w:sz w:val="20"/>
                <w:szCs w:val="20"/>
              </w:rPr>
            </w:pPr>
            <w:r w:rsidRPr="00F728F0">
              <w:rPr>
                <w:sz w:val="20"/>
                <w:szCs w:val="20"/>
              </w:rPr>
              <w:tab/>
            </w:r>
            <w:r>
              <w:rPr>
                <w:sz w:val="20"/>
                <w:szCs w:val="20"/>
              </w:rPr>
              <w:t xml:space="preserve">Edwards, Kenny &amp; Bray </w:t>
            </w:r>
          </w:p>
          <w:p w:rsidR="00922E3D" w:rsidRPr="00F728F0" w:rsidRDefault="00922E3D" w:rsidP="00922E3D">
            <w:pPr>
              <w:keepNext/>
              <w:keepLines/>
              <w:tabs>
                <w:tab w:val="left" w:pos="-1440"/>
                <w:tab w:val="left" w:pos="-720"/>
              </w:tabs>
              <w:rPr>
                <w:sz w:val="20"/>
                <w:szCs w:val="20"/>
              </w:rPr>
            </w:pPr>
          </w:p>
          <w:p w:rsidR="00922E3D" w:rsidRPr="004704BD" w:rsidRDefault="00922E3D" w:rsidP="00922E3D">
            <w:pPr>
              <w:rPr>
                <w:sz w:val="20"/>
                <w:szCs w:val="20"/>
              </w:rPr>
            </w:pPr>
            <w:r w:rsidRPr="00A935AA">
              <w:rPr>
                <w:sz w:val="20"/>
                <w:szCs w:val="20"/>
              </w:rPr>
              <w:t xml:space="preserve">FILING DATE: </w:t>
            </w:r>
            <w:r>
              <w:rPr>
                <w:sz w:val="20"/>
                <w:szCs w:val="20"/>
              </w:rPr>
              <w:t>11</w:t>
            </w:r>
            <w:r w:rsidRPr="00A935AA">
              <w:rPr>
                <w:sz w:val="20"/>
                <w:szCs w:val="20"/>
              </w:rPr>
              <w:t>.0</w:t>
            </w:r>
            <w:r>
              <w:rPr>
                <w:sz w:val="20"/>
                <w:szCs w:val="20"/>
              </w:rPr>
              <w:t>2</w:t>
            </w:r>
            <w:r w:rsidRPr="00A935AA">
              <w:rPr>
                <w:sz w:val="20"/>
                <w:szCs w:val="20"/>
              </w:rPr>
              <w:t>.201</w:t>
            </w:r>
            <w:r>
              <w:rPr>
                <w:sz w:val="20"/>
                <w:szCs w:val="20"/>
              </w:rPr>
              <w:t>1</w:t>
            </w:r>
            <w:r w:rsidR="0004334C" w:rsidRPr="0004334C">
              <w:rPr>
                <w:sz w:val="20"/>
                <w:szCs w:val="20"/>
                <w:lang w:val="fr-CA"/>
              </w:rPr>
              <w:pict>
                <v:rect id="_x0000_i1036" style="width:108pt;height:1pt" o:hrpct="0" o:hralign="center" o:hrstd="t" o:hrnoshade="t" o:hr="t" fillcolor="black [3213]" stroked="f"/>
              </w:pict>
            </w:r>
          </w:p>
          <w:p w:rsidR="000C712D" w:rsidRPr="004704BD" w:rsidRDefault="000C712D" w:rsidP="00922E3D">
            <w:pPr>
              <w:rPr>
                <w:sz w:val="20"/>
                <w:szCs w:val="20"/>
              </w:rPr>
            </w:pPr>
          </w:p>
          <w:p w:rsidR="000C712D" w:rsidRPr="00922E3D" w:rsidRDefault="000C712D" w:rsidP="000C712D">
            <w:pPr>
              <w:rPr>
                <w:sz w:val="20"/>
                <w:szCs w:val="20"/>
              </w:rPr>
            </w:pPr>
            <w:r w:rsidRPr="00922E3D">
              <w:rPr>
                <w:b/>
                <w:sz w:val="20"/>
                <w:szCs w:val="20"/>
              </w:rPr>
              <w:t xml:space="preserve">Mohammad </w:t>
            </w:r>
            <w:proofErr w:type="spellStart"/>
            <w:r w:rsidRPr="00922E3D">
              <w:rPr>
                <w:b/>
                <w:sz w:val="20"/>
                <w:szCs w:val="20"/>
              </w:rPr>
              <w:t>Momim</w:t>
            </w:r>
            <w:proofErr w:type="spellEnd"/>
            <w:r w:rsidRPr="00922E3D">
              <w:rPr>
                <w:b/>
                <w:sz w:val="20"/>
                <w:szCs w:val="20"/>
              </w:rPr>
              <w:t xml:space="preserve"> </w:t>
            </w:r>
            <w:proofErr w:type="spellStart"/>
            <w:r w:rsidRPr="00922E3D">
              <w:rPr>
                <w:b/>
                <w:sz w:val="20"/>
                <w:szCs w:val="20"/>
              </w:rPr>
              <w:t>Khawaja</w:t>
            </w:r>
            <w:proofErr w:type="spellEnd"/>
          </w:p>
          <w:p w:rsidR="000C712D" w:rsidRDefault="000C712D" w:rsidP="000C712D">
            <w:pPr>
              <w:rPr>
                <w:sz w:val="20"/>
                <w:szCs w:val="20"/>
              </w:rPr>
            </w:pPr>
            <w:r w:rsidRPr="00922E3D">
              <w:rPr>
                <w:sz w:val="20"/>
                <w:szCs w:val="20"/>
              </w:rPr>
              <w:tab/>
              <w:t xml:space="preserve">Lawrence </w:t>
            </w:r>
            <w:proofErr w:type="spellStart"/>
            <w:r w:rsidRPr="00922E3D">
              <w:rPr>
                <w:sz w:val="20"/>
                <w:szCs w:val="20"/>
              </w:rPr>
              <w:t>Greenspon</w:t>
            </w:r>
            <w:proofErr w:type="spellEnd"/>
          </w:p>
          <w:p w:rsidR="000F0D8A" w:rsidRPr="00A935AA" w:rsidRDefault="000F0D8A" w:rsidP="000C712D">
            <w:pPr>
              <w:rPr>
                <w:sz w:val="20"/>
                <w:szCs w:val="20"/>
              </w:rPr>
            </w:pPr>
            <w:r>
              <w:rPr>
                <w:sz w:val="20"/>
                <w:szCs w:val="20"/>
              </w:rPr>
              <w:tab/>
            </w:r>
            <w:proofErr w:type="spellStart"/>
            <w:r>
              <w:rPr>
                <w:sz w:val="20"/>
                <w:szCs w:val="20"/>
              </w:rPr>
              <w:t>Greenspon</w:t>
            </w:r>
            <w:proofErr w:type="spellEnd"/>
            <w:r>
              <w:rPr>
                <w:sz w:val="20"/>
                <w:szCs w:val="20"/>
              </w:rPr>
              <w:t>, Brown &amp; Associates</w:t>
            </w:r>
          </w:p>
        </w:tc>
      </w:tr>
      <w:tr w:rsidR="00707A29" w:rsidRPr="00A935AA" w:rsidTr="00707A29">
        <w:trPr>
          <w:cantSplit/>
        </w:trPr>
        <w:tc>
          <w:tcPr>
            <w:tcW w:w="4320" w:type="dxa"/>
            <w:shd w:val="clear" w:color="auto" w:fill="auto"/>
          </w:tcPr>
          <w:p w:rsidR="00922E3D" w:rsidRPr="007D14B5" w:rsidRDefault="00922E3D" w:rsidP="00CD1F41">
            <w:pPr>
              <w:rPr>
                <w:sz w:val="20"/>
                <w:szCs w:val="20"/>
                <w:lang w:val="fr-CA"/>
              </w:rPr>
            </w:pPr>
            <w:r w:rsidRPr="007D14B5">
              <w:rPr>
                <w:b/>
                <w:sz w:val="20"/>
                <w:szCs w:val="20"/>
                <w:lang w:val="fr-CA"/>
              </w:rPr>
              <w:t>Sarto Landry</w:t>
            </w:r>
          </w:p>
          <w:p w:rsidR="00922E3D" w:rsidRPr="00707A29" w:rsidRDefault="00922E3D" w:rsidP="00922E3D">
            <w:pPr>
              <w:rPr>
                <w:sz w:val="20"/>
                <w:szCs w:val="20"/>
                <w:lang w:val="fr-CA"/>
              </w:rPr>
            </w:pPr>
            <w:r>
              <w:rPr>
                <w:sz w:val="20"/>
                <w:szCs w:val="20"/>
                <w:lang w:val="fr-CA"/>
              </w:rPr>
              <w:tab/>
              <w:t>Sarto Landry</w:t>
            </w:r>
          </w:p>
          <w:p w:rsidR="00922E3D" w:rsidRDefault="00922E3D" w:rsidP="00922E3D">
            <w:pPr>
              <w:rPr>
                <w:sz w:val="20"/>
                <w:szCs w:val="20"/>
                <w:lang w:val="fr-CA"/>
              </w:rPr>
            </w:pPr>
          </w:p>
          <w:p w:rsidR="00922E3D" w:rsidRDefault="00922E3D" w:rsidP="00922E3D">
            <w:pPr>
              <w:rPr>
                <w:sz w:val="20"/>
                <w:szCs w:val="20"/>
                <w:lang w:val="fr-CA"/>
              </w:rPr>
            </w:pPr>
            <w:r>
              <w:rPr>
                <w:sz w:val="20"/>
                <w:szCs w:val="20"/>
                <w:lang w:val="fr-CA"/>
              </w:rPr>
              <w:tab/>
              <w:t>c. (34115)</w:t>
            </w:r>
          </w:p>
          <w:p w:rsidR="00922E3D" w:rsidRDefault="00922E3D" w:rsidP="00922E3D">
            <w:pPr>
              <w:rPr>
                <w:sz w:val="20"/>
                <w:szCs w:val="20"/>
                <w:lang w:val="fr-CA"/>
              </w:rPr>
            </w:pPr>
          </w:p>
          <w:p w:rsidR="00922E3D" w:rsidRDefault="00922E3D" w:rsidP="00922E3D">
            <w:pPr>
              <w:rPr>
                <w:sz w:val="20"/>
                <w:szCs w:val="20"/>
                <w:lang w:val="fr-CA"/>
              </w:rPr>
            </w:pPr>
            <w:r>
              <w:rPr>
                <w:b/>
                <w:sz w:val="20"/>
                <w:szCs w:val="20"/>
                <w:lang w:val="fr-CA"/>
              </w:rPr>
              <w:t>Ville de Ste-Foy (Québec) (</w:t>
            </w:r>
            <w:proofErr w:type="spellStart"/>
            <w:r>
              <w:rPr>
                <w:b/>
                <w:sz w:val="20"/>
                <w:szCs w:val="20"/>
                <w:lang w:val="fr-CA"/>
              </w:rPr>
              <w:t>Qc</w:t>
            </w:r>
            <w:proofErr w:type="spellEnd"/>
            <w:r>
              <w:rPr>
                <w:b/>
                <w:sz w:val="20"/>
                <w:szCs w:val="20"/>
                <w:lang w:val="fr-CA"/>
              </w:rPr>
              <w:t>)</w:t>
            </w:r>
          </w:p>
          <w:p w:rsidR="00922E3D" w:rsidRDefault="00922E3D" w:rsidP="00922E3D">
            <w:pPr>
              <w:rPr>
                <w:sz w:val="20"/>
                <w:szCs w:val="20"/>
                <w:lang w:val="fr-CA"/>
              </w:rPr>
            </w:pPr>
            <w:r>
              <w:rPr>
                <w:sz w:val="20"/>
                <w:szCs w:val="20"/>
                <w:lang w:val="fr-CA"/>
              </w:rPr>
              <w:tab/>
              <w:t>Marc Desrosiers</w:t>
            </w:r>
          </w:p>
          <w:p w:rsidR="00922E3D" w:rsidRDefault="00922E3D" w:rsidP="00922E3D">
            <w:pPr>
              <w:rPr>
                <w:sz w:val="20"/>
                <w:szCs w:val="20"/>
                <w:lang w:val="fr-CA"/>
              </w:rPr>
            </w:pPr>
            <w:r>
              <w:rPr>
                <w:sz w:val="20"/>
                <w:szCs w:val="20"/>
                <w:lang w:val="fr-CA"/>
              </w:rPr>
              <w:tab/>
            </w:r>
            <w:proofErr w:type="spellStart"/>
            <w:r>
              <w:rPr>
                <w:sz w:val="20"/>
                <w:szCs w:val="20"/>
                <w:lang w:val="fr-CA"/>
              </w:rPr>
              <w:t>Giasson</w:t>
            </w:r>
            <w:proofErr w:type="spellEnd"/>
            <w:r>
              <w:rPr>
                <w:sz w:val="20"/>
                <w:szCs w:val="20"/>
                <w:lang w:val="fr-CA"/>
              </w:rPr>
              <w:t xml:space="preserve"> et </w:t>
            </w:r>
            <w:r w:rsidR="00927205">
              <w:rPr>
                <w:sz w:val="20"/>
                <w:szCs w:val="20"/>
                <w:lang w:val="fr-CA"/>
              </w:rPr>
              <w:t>A</w:t>
            </w:r>
            <w:r>
              <w:rPr>
                <w:sz w:val="20"/>
                <w:szCs w:val="20"/>
                <w:lang w:val="fr-CA"/>
              </w:rPr>
              <w:t>ssociés</w:t>
            </w:r>
          </w:p>
          <w:p w:rsidR="00922E3D" w:rsidRDefault="00922E3D" w:rsidP="00922E3D">
            <w:pPr>
              <w:rPr>
                <w:sz w:val="20"/>
                <w:szCs w:val="20"/>
                <w:lang w:val="fr-CA"/>
              </w:rPr>
            </w:pPr>
          </w:p>
          <w:p w:rsidR="00922E3D" w:rsidRPr="00707A29" w:rsidRDefault="00922E3D" w:rsidP="00922E3D">
            <w:pPr>
              <w:rPr>
                <w:sz w:val="20"/>
                <w:szCs w:val="20"/>
                <w:lang w:val="fr-CA"/>
              </w:rPr>
            </w:pPr>
            <w:r>
              <w:rPr>
                <w:sz w:val="20"/>
                <w:szCs w:val="20"/>
                <w:lang w:val="fr-CA"/>
              </w:rPr>
              <w:t>DATE DE PRODUCTION : 14.02.2011</w:t>
            </w:r>
          </w:p>
          <w:p w:rsidR="00922E3D" w:rsidRPr="00922E3D" w:rsidRDefault="0004334C" w:rsidP="00922E3D">
            <w:pPr>
              <w:rPr>
                <w:sz w:val="20"/>
                <w:szCs w:val="20"/>
              </w:rPr>
            </w:pPr>
            <w:r w:rsidRPr="0004334C">
              <w:rPr>
                <w:sz w:val="20"/>
                <w:szCs w:val="20"/>
                <w:lang w:val="fr-CA"/>
              </w:rPr>
              <w:pict>
                <v:rect id="_x0000_i1037" style="width:108pt;height:1pt" o:hrpct="0" o:hralign="center" o:hrstd="t" o:hrnoshade="t" o:hr="t" fillcolor="black [3213]" stroked="f"/>
              </w:pict>
            </w:r>
          </w:p>
        </w:tc>
        <w:tc>
          <w:tcPr>
            <w:tcW w:w="1181" w:type="dxa"/>
            <w:shd w:val="clear" w:color="auto" w:fill="auto"/>
          </w:tcPr>
          <w:p w:rsidR="00707A29" w:rsidRPr="00A935AA" w:rsidRDefault="00707A29" w:rsidP="00CD1F41">
            <w:pPr>
              <w:jc w:val="center"/>
              <w:rPr>
                <w:sz w:val="20"/>
                <w:szCs w:val="20"/>
              </w:rPr>
            </w:pPr>
          </w:p>
          <w:p w:rsidR="00707A29" w:rsidRPr="00A935AA" w:rsidRDefault="00707A29" w:rsidP="00CD1F41">
            <w:pPr>
              <w:jc w:val="center"/>
              <w:rPr>
                <w:sz w:val="20"/>
                <w:szCs w:val="20"/>
              </w:rPr>
            </w:pPr>
          </w:p>
          <w:p w:rsidR="00707A29" w:rsidRPr="00A935AA" w:rsidRDefault="00707A29" w:rsidP="00CD1F41">
            <w:pPr>
              <w:jc w:val="center"/>
              <w:rPr>
                <w:sz w:val="20"/>
                <w:szCs w:val="20"/>
              </w:rPr>
            </w:pPr>
          </w:p>
          <w:p w:rsidR="00707A29" w:rsidRPr="00A935AA" w:rsidRDefault="00707A29" w:rsidP="00CD1F41">
            <w:pPr>
              <w:jc w:val="center"/>
              <w:rPr>
                <w:sz w:val="20"/>
                <w:szCs w:val="20"/>
              </w:rPr>
            </w:pPr>
          </w:p>
          <w:p w:rsidR="00707A29" w:rsidRPr="00A935AA" w:rsidRDefault="00707A29" w:rsidP="00CD1F41">
            <w:pPr>
              <w:jc w:val="center"/>
              <w:rPr>
                <w:sz w:val="20"/>
                <w:szCs w:val="20"/>
              </w:rPr>
            </w:pPr>
          </w:p>
          <w:p w:rsidR="00707A29" w:rsidRPr="00A935AA" w:rsidRDefault="00707A29" w:rsidP="00CD1F41">
            <w:pPr>
              <w:jc w:val="center"/>
              <w:rPr>
                <w:sz w:val="20"/>
                <w:szCs w:val="20"/>
              </w:rPr>
            </w:pPr>
          </w:p>
          <w:p w:rsidR="00707A29" w:rsidRPr="00A935AA" w:rsidRDefault="00707A29" w:rsidP="00CD1F41">
            <w:pPr>
              <w:jc w:val="center"/>
              <w:rPr>
                <w:sz w:val="20"/>
                <w:szCs w:val="20"/>
              </w:rPr>
            </w:pPr>
          </w:p>
          <w:p w:rsidR="00707A29" w:rsidRPr="00A935AA" w:rsidRDefault="00707A29" w:rsidP="00CD1F41">
            <w:pPr>
              <w:jc w:val="center"/>
              <w:rPr>
                <w:sz w:val="20"/>
                <w:szCs w:val="20"/>
              </w:rPr>
            </w:pPr>
          </w:p>
          <w:p w:rsidR="00707A29" w:rsidRPr="00A935AA" w:rsidRDefault="00707A29" w:rsidP="00CD1F41">
            <w:pPr>
              <w:jc w:val="center"/>
              <w:rPr>
                <w:sz w:val="20"/>
                <w:szCs w:val="20"/>
              </w:rPr>
            </w:pPr>
          </w:p>
          <w:p w:rsidR="00707A29" w:rsidRPr="00A935AA" w:rsidRDefault="00707A29" w:rsidP="00CD1F41">
            <w:pPr>
              <w:jc w:val="center"/>
              <w:rPr>
                <w:sz w:val="20"/>
                <w:szCs w:val="20"/>
              </w:rPr>
            </w:pPr>
          </w:p>
          <w:p w:rsidR="00707A29" w:rsidRPr="00A935AA" w:rsidRDefault="00707A29" w:rsidP="00CD1F41">
            <w:pPr>
              <w:jc w:val="center"/>
              <w:rPr>
                <w:sz w:val="20"/>
                <w:szCs w:val="20"/>
              </w:rPr>
            </w:pPr>
          </w:p>
          <w:p w:rsidR="00707A29" w:rsidRPr="00A935AA" w:rsidRDefault="00707A29" w:rsidP="00CD1F41">
            <w:pPr>
              <w:jc w:val="center"/>
              <w:rPr>
                <w:sz w:val="20"/>
                <w:szCs w:val="20"/>
              </w:rPr>
            </w:pPr>
          </w:p>
        </w:tc>
        <w:tc>
          <w:tcPr>
            <w:tcW w:w="4320" w:type="dxa"/>
            <w:shd w:val="clear" w:color="auto" w:fill="auto"/>
          </w:tcPr>
          <w:p w:rsidR="00922E3D" w:rsidRPr="00922E3D" w:rsidRDefault="00922E3D" w:rsidP="00BF37EB">
            <w:pPr>
              <w:rPr>
                <w:sz w:val="20"/>
                <w:szCs w:val="20"/>
              </w:rPr>
            </w:pPr>
          </w:p>
          <w:p w:rsidR="00707A29" w:rsidRPr="00922E3D" w:rsidRDefault="00707A29" w:rsidP="00BF37EB">
            <w:pPr>
              <w:rPr>
                <w:sz w:val="20"/>
                <w:szCs w:val="20"/>
              </w:rPr>
            </w:pPr>
            <w:r w:rsidRPr="00922E3D">
              <w:rPr>
                <w:sz w:val="20"/>
                <w:szCs w:val="20"/>
              </w:rPr>
              <w:tab/>
            </w:r>
            <w:r w:rsidR="00922E3D" w:rsidRPr="00922E3D">
              <w:rPr>
                <w:sz w:val="20"/>
                <w:szCs w:val="20"/>
              </w:rPr>
              <w:t>v</w:t>
            </w:r>
            <w:r w:rsidRPr="00922E3D">
              <w:rPr>
                <w:sz w:val="20"/>
                <w:szCs w:val="20"/>
              </w:rPr>
              <w:t>. (341</w:t>
            </w:r>
            <w:r w:rsidR="00922E3D">
              <w:rPr>
                <w:sz w:val="20"/>
                <w:szCs w:val="20"/>
              </w:rPr>
              <w:t>03</w:t>
            </w:r>
            <w:r w:rsidRPr="00922E3D">
              <w:rPr>
                <w:sz w:val="20"/>
                <w:szCs w:val="20"/>
              </w:rPr>
              <w:t>)</w:t>
            </w:r>
          </w:p>
          <w:p w:rsidR="00707A29" w:rsidRPr="00922E3D" w:rsidRDefault="00707A29" w:rsidP="00BF37EB">
            <w:pPr>
              <w:rPr>
                <w:sz w:val="20"/>
                <w:szCs w:val="20"/>
              </w:rPr>
            </w:pPr>
          </w:p>
          <w:p w:rsidR="00707A29" w:rsidRPr="00922E3D" w:rsidRDefault="00922E3D" w:rsidP="00BF37EB">
            <w:pPr>
              <w:rPr>
                <w:sz w:val="20"/>
                <w:szCs w:val="20"/>
              </w:rPr>
            </w:pPr>
            <w:r w:rsidRPr="00922E3D">
              <w:rPr>
                <w:b/>
                <w:sz w:val="20"/>
                <w:szCs w:val="20"/>
              </w:rPr>
              <w:t>Her Majesty the Queen</w:t>
            </w:r>
            <w:r w:rsidR="00707A29" w:rsidRPr="00922E3D">
              <w:rPr>
                <w:b/>
                <w:sz w:val="20"/>
                <w:szCs w:val="20"/>
              </w:rPr>
              <w:t xml:space="preserve"> (</w:t>
            </w:r>
            <w:r w:rsidRPr="00922E3D">
              <w:rPr>
                <w:b/>
                <w:sz w:val="20"/>
                <w:szCs w:val="20"/>
              </w:rPr>
              <w:t>Ont.</w:t>
            </w:r>
            <w:r w:rsidR="00707A29" w:rsidRPr="00922E3D">
              <w:rPr>
                <w:b/>
                <w:sz w:val="20"/>
                <w:szCs w:val="20"/>
              </w:rPr>
              <w:t>)</w:t>
            </w:r>
          </w:p>
          <w:p w:rsidR="00707A29" w:rsidRPr="007D14B5" w:rsidRDefault="00707A29" w:rsidP="00BF37EB">
            <w:pPr>
              <w:rPr>
                <w:sz w:val="20"/>
                <w:szCs w:val="20"/>
              </w:rPr>
            </w:pPr>
            <w:r w:rsidRPr="00922E3D">
              <w:rPr>
                <w:sz w:val="20"/>
                <w:szCs w:val="20"/>
              </w:rPr>
              <w:tab/>
            </w:r>
            <w:r w:rsidR="00922E3D" w:rsidRPr="007D14B5">
              <w:rPr>
                <w:sz w:val="20"/>
                <w:szCs w:val="20"/>
              </w:rPr>
              <w:t>Nicolas E. Devlin</w:t>
            </w:r>
          </w:p>
          <w:p w:rsidR="00707A29" w:rsidRPr="00922E3D" w:rsidRDefault="00707A29" w:rsidP="00BF37EB">
            <w:pPr>
              <w:rPr>
                <w:sz w:val="20"/>
                <w:szCs w:val="20"/>
              </w:rPr>
            </w:pPr>
            <w:r w:rsidRPr="007D14B5">
              <w:rPr>
                <w:sz w:val="20"/>
                <w:szCs w:val="20"/>
              </w:rPr>
              <w:tab/>
            </w:r>
            <w:r w:rsidR="00922E3D" w:rsidRPr="00922E3D">
              <w:rPr>
                <w:sz w:val="20"/>
                <w:szCs w:val="20"/>
              </w:rPr>
              <w:t>Public Prosecution Service of Canada</w:t>
            </w:r>
          </w:p>
          <w:p w:rsidR="00922E3D" w:rsidRPr="00922E3D" w:rsidRDefault="00922E3D" w:rsidP="00BF37EB">
            <w:pPr>
              <w:rPr>
                <w:sz w:val="20"/>
                <w:szCs w:val="20"/>
              </w:rPr>
            </w:pPr>
          </w:p>
          <w:p w:rsidR="00922E3D" w:rsidRPr="00922E3D" w:rsidRDefault="00922E3D" w:rsidP="00BF37EB">
            <w:pPr>
              <w:rPr>
                <w:sz w:val="20"/>
                <w:szCs w:val="20"/>
              </w:rPr>
            </w:pPr>
            <w:r>
              <w:rPr>
                <w:sz w:val="20"/>
                <w:szCs w:val="20"/>
              </w:rPr>
              <w:t xml:space="preserve">FILING </w:t>
            </w:r>
            <w:r w:rsidRPr="00922E3D">
              <w:rPr>
                <w:sz w:val="20"/>
                <w:szCs w:val="20"/>
              </w:rPr>
              <w:t>DATE: 1</w:t>
            </w:r>
            <w:r>
              <w:rPr>
                <w:sz w:val="20"/>
                <w:szCs w:val="20"/>
              </w:rPr>
              <w:t>5</w:t>
            </w:r>
            <w:r w:rsidRPr="00922E3D">
              <w:rPr>
                <w:sz w:val="20"/>
                <w:szCs w:val="20"/>
              </w:rPr>
              <w:t>.02.2011</w:t>
            </w:r>
          </w:p>
          <w:p w:rsidR="00707A29" w:rsidRDefault="0004334C" w:rsidP="00BF37EB">
            <w:pPr>
              <w:rPr>
                <w:sz w:val="20"/>
                <w:szCs w:val="20"/>
                <w:lang w:val="fr-CA"/>
              </w:rPr>
            </w:pPr>
            <w:r w:rsidRPr="0004334C">
              <w:rPr>
                <w:sz w:val="20"/>
                <w:szCs w:val="20"/>
                <w:lang w:val="fr-CA"/>
              </w:rPr>
              <w:pict>
                <v:rect id="_x0000_i1038" style="width:108pt;height:1pt" o:hrpct="0" o:hralign="center" o:hrstd="t" o:hrnoshade="t" o:hr="t" fillcolor="black [3213]" stroked="f"/>
              </w:pict>
            </w:r>
          </w:p>
          <w:p w:rsidR="000C712D" w:rsidRDefault="000C712D" w:rsidP="00BF37EB">
            <w:pPr>
              <w:rPr>
                <w:sz w:val="20"/>
                <w:szCs w:val="20"/>
                <w:lang w:val="fr-CA"/>
              </w:rPr>
            </w:pPr>
          </w:p>
          <w:p w:rsidR="000C712D" w:rsidRDefault="000C712D" w:rsidP="000C712D">
            <w:pPr>
              <w:keepNext/>
              <w:keepLines/>
              <w:tabs>
                <w:tab w:val="left" w:pos="-1440"/>
                <w:tab w:val="left" w:pos="-720"/>
              </w:tabs>
              <w:rPr>
                <w:b/>
                <w:sz w:val="20"/>
                <w:szCs w:val="20"/>
                <w:lang w:val="fr-CA"/>
              </w:rPr>
            </w:pPr>
            <w:r w:rsidRPr="00927205">
              <w:rPr>
                <w:b/>
                <w:sz w:val="20"/>
                <w:szCs w:val="20"/>
                <w:lang w:val="fr-CA"/>
              </w:rPr>
              <w:t xml:space="preserve">Philip Daniel </w:t>
            </w:r>
            <w:proofErr w:type="spellStart"/>
            <w:r w:rsidRPr="00927205">
              <w:rPr>
                <w:b/>
                <w:sz w:val="20"/>
                <w:szCs w:val="20"/>
                <w:lang w:val="fr-CA"/>
              </w:rPr>
              <w:t>Dickerson</w:t>
            </w:r>
            <w:proofErr w:type="spellEnd"/>
          </w:p>
          <w:p w:rsidR="000F0D8A" w:rsidRPr="00A935AA" w:rsidRDefault="000F0D8A" w:rsidP="000F0D8A">
            <w:pPr>
              <w:keepNext/>
              <w:keepLines/>
              <w:tabs>
                <w:tab w:val="left" w:pos="-1440"/>
                <w:tab w:val="left" w:pos="-720"/>
              </w:tabs>
              <w:rPr>
                <w:sz w:val="20"/>
                <w:szCs w:val="20"/>
              </w:rPr>
            </w:pPr>
            <w:r w:rsidRPr="00927205">
              <w:rPr>
                <w:sz w:val="20"/>
                <w:szCs w:val="20"/>
                <w:lang w:val="fr-CA"/>
              </w:rPr>
              <w:tab/>
              <w:t>James D. Virtue</w:t>
            </w:r>
          </w:p>
        </w:tc>
      </w:tr>
      <w:tr w:rsidR="00927205" w:rsidRPr="00927205" w:rsidTr="00707A29">
        <w:trPr>
          <w:cantSplit/>
        </w:trPr>
        <w:tc>
          <w:tcPr>
            <w:tcW w:w="4320" w:type="dxa"/>
            <w:shd w:val="clear" w:color="auto" w:fill="auto"/>
          </w:tcPr>
          <w:p w:rsidR="00927205" w:rsidRPr="007D14B5" w:rsidRDefault="00927205" w:rsidP="00CD1F41">
            <w:pPr>
              <w:rPr>
                <w:sz w:val="20"/>
                <w:szCs w:val="20"/>
                <w:lang w:val="fr-CA"/>
              </w:rPr>
            </w:pPr>
            <w:r w:rsidRPr="007D14B5">
              <w:rPr>
                <w:b/>
                <w:sz w:val="20"/>
                <w:szCs w:val="20"/>
                <w:lang w:val="fr-CA"/>
              </w:rPr>
              <w:t xml:space="preserve">Nicole </w:t>
            </w:r>
            <w:proofErr w:type="spellStart"/>
            <w:r w:rsidRPr="007D14B5">
              <w:rPr>
                <w:b/>
                <w:sz w:val="20"/>
                <w:szCs w:val="20"/>
                <w:lang w:val="fr-CA"/>
              </w:rPr>
              <w:t>Lajeunesse</w:t>
            </w:r>
            <w:proofErr w:type="spellEnd"/>
            <w:r w:rsidRPr="007D14B5">
              <w:rPr>
                <w:b/>
                <w:sz w:val="20"/>
                <w:szCs w:val="20"/>
                <w:lang w:val="fr-CA"/>
              </w:rPr>
              <w:t xml:space="preserve"> et autre</w:t>
            </w:r>
          </w:p>
          <w:p w:rsidR="00927205" w:rsidRPr="007D14B5" w:rsidRDefault="00927205" w:rsidP="00CD1F41">
            <w:pPr>
              <w:rPr>
                <w:sz w:val="20"/>
                <w:szCs w:val="20"/>
                <w:lang w:val="fr-CA"/>
              </w:rPr>
            </w:pPr>
            <w:r w:rsidRPr="007D14B5">
              <w:rPr>
                <w:sz w:val="20"/>
                <w:szCs w:val="20"/>
                <w:lang w:val="fr-CA"/>
              </w:rPr>
              <w:tab/>
              <w:t xml:space="preserve">Nicole </w:t>
            </w:r>
            <w:proofErr w:type="spellStart"/>
            <w:r w:rsidRPr="007D14B5">
              <w:rPr>
                <w:sz w:val="20"/>
                <w:szCs w:val="20"/>
                <w:lang w:val="fr-CA"/>
              </w:rPr>
              <w:t>Lajeunesse</w:t>
            </w:r>
            <w:proofErr w:type="spellEnd"/>
          </w:p>
          <w:p w:rsidR="00927205" w:rsidRPr="007D14B5" w:rsidRDefault="00927205" w:rsidP="00CD1F41">
            <w:pPr>
              <w:rPr>
                <w:sz w:val="20"/>
                <w:szCs w:val="20"/>
                <w:lang w:val="fr-CA"/>
              </w:rPr>
            </w:pPr>
          </w:p>
          <w:p w:rsidR="00927205" w:rsidRPr="007D14B5" w:rsidRDefault="00927205" w:rsidP="00CD1F41">
            <w:pPr>
              <w:rPr>
                <w:sz w:val="20"/>
                <w:szCs w:val="20"/>
                <w:lang w:val="fr-CA"/>
              </w:rPr>
            </w:pPr>
            <w:r w:rsidRPr="007D14B5">
              <w:rPr>
                <w:sz w:val="20"/>
                <w:szCs w:val="20"/>
                <w:lang w:val="fr-CA"/>
              </w:rPr>
              <w:tab/>
              <w:t>c. (34122)</w:t>
            </w:r>
          </w:p>
          <w:p w:rsidR="00927205" w:rsidRPr="007D14B5" w:rsidRDefault="00927205" w:rsidP="00CD1F41">
            <w:pPr>
              <w:rPr>
                <w:sz w:val="20"/>
                <w:szCs w:val="20"/>
                <w:lang w:val="fr-CA"/>
              </w:rPr>
            </w:pPr>
          </w:p>
          <w:p w:rsidR="00927205" w:rsidRDefault="00927205" w:rsidP="00CD1F41">
            <w:pPr>
              <w:rPr>
                <w:sz w:val="20"/>
                <w:szCs w:val="20"/>
                <w:lang w:val="fr-CA"/>
              </w:rPr>
            </w:pPr>
            <w:r w:rsidRPr="00927205">
              <w:rPr>
                <w:b/>
                <w:sz w:val="20"/>
                <w:szCs w:val="20"/>
                <w:lang w:val="fr-CA"/>
              </w:rPr>
              <w:t>Ars</w:t>
            </w:r>
            <w:r>
              <w:rPr>
                <w:b/>
                <w:sz w:val="20"/>
                <w:szCs w:val="20"/>
                <w:lang w:val="fr-CA"/>
              </w:rPr>
              <w:t>è</w:t>
            </w:r>
            <w:r w:rsidRPr="00927205">
              <w:rPr>
                <w:b/>
                <w:sz w:val="20"/>
                <w:szCs w:val="20"/>
                <w:lang w:val="fr-CA"/>
              </w:rPr>
              <w:t xml:space="preserve">ne </w:t>
            </w:r>
            <w:proofErr w:type="spellStart"/>
            <w:r w:rsidRPr="00927205">
              <w:rPr>
                <w:b/>
                <w:sz w:val="20"/>
                <w:szCs w:val="20"/>
                <w:lang w:val="fr-CA"/>
              </w:rPr>
              <w:t>Nantel</w:t>
            </w:r>
            <w:proofErr w:type="spellEnd"/>
            <w:r w:rsidRPr="00927205">
              <w:rPr>
                <w:b/>
                <w:sz w:val="20"/>
                <w:szCs w:val="20"/>
                <w:lang w:val="fr-CA"/>
              </w:rPr>
              <w:t xml:space="preserve"> et autre (</w:t>
            </w:r>
            <w:proofErr w:type="spellStart"/>
            <w:r w:rsidRPr="00927205">
              <w:rPr>
                <w:b/>
                <w:sz w:val="20"/>
                <w:szCs w:val="20"/>
                <w:lang w:val="fr-CA"/>
              </w:rPr>
              <w:t>Qc</w:t>
            </w:r>
            <w:proofErr w:type="spellEnd"/>
            <w:r w:rsidRPr="00927205">
              <w:rPr>
                <w:b/>
                <w:sz w:val="20"/>
                <w:szCs w:val="20"/>
                <w:lang w:val="fr-CA"/>
              </w:rPr>
              <w:t>)</w:t>
            </w:r>
          </w:p>
          <w:p w:rsidR="00927205" w:rsidRDefault="00927205" w:rsidP="00CD1F41">
            <w:pPr>
              <w:rPr>
                <w:sz w:val="20"/>
                <w:szCs w:val="20"/>
                <w:lang w:val="fr-CA"/>
              </w:rPr>
            </w:pPr>
            <w:r>
              <w:rPr>
                <w:sz w:val="20"/>
                <w:szCs w:val="20"/>
                <w:lang w:val="fr-CA"/>
              </w:rPr>
              <w:tab/>
              <w:t xml:space="preserve">Arsène </w:t>
            </w:r>
            <w:proofErr w:type="spellStart"/>
            <w:r>
              <w:rPr>
                <w:sz w:val="20"/>
                <w:szCs w:val="20"/>
                <w:lang w:val="fr-CA"/>
              </w:rPr>
              <w:t>Nantel</w:t>
            </w:r>
            <w:proofErr w:type="spellEnd"/>
          </w:p>
          <w:p w:rsidR="00927205" w:rsidRDefault="00927205" w:rsidP="00CD1F41">
            <w:pPr>
              <w:rPr>
                <w:sz w:val="20"/>
                <w:szCs w:val="20"/>
                <w:lang w:val="fr-CA"/>
              </w:rPr>
            </w:pPr>
          </w:p>
          <w:p w:rsidR="00927205" w:rsidRDefault="00927205" w:rsidP="00CD1F41">
            <w:pPr>
              <w:rPr>
                <w:sz w:val="20"/>
                <w:szCs w:val="20"/>
                <w:lang w:val="fr-CA"/>
              </w:rPr>
            </w:pPr>
            <w:r>
              <w:rPr>
                <w:sz w:val="20"/>
                <w:szCs w:val="20"/>
                <w:lang w:val="fr-CA"/>
              </w:rPr>
              <w:t>DATE DE PRODUCTION : 15.02.2011</w:t>
            </w:r>
          </w:p>
          <w:p w:rsidR="00927205" w:rsidRPr="00927205" w:rsidRDefault="0004334C" w:rsidP="00CD1F41">
            <w:pPr>
              <w:rPr>
                <w:sz w:val="20"/>
                <w:szCs w:val="20"/>
                <w:lang w:val="fr-CA"/>
              </w:rPr>
            </w:pPr>
            <w:r w:rsidRPr="0004334C">
              <w:rPr>
                <w:sz w:val="20"/>
                <w:szCs w:val="20"/>
                <w:lang w:val="fr-CA"/>
              </w:rPr>
              <w:pict>
                <v:rect id="_x0000_i1039" style="width:108pt;height:1pt" o:hrpct="0" o:hralign="center" o:hrstd="t" o:hrnoshade="t" o:hr="t" fillcolor="black [3213]" stroked="f"/>
              </w:pict>
            </w:r>
          </w:p>
        </w:tc>
        <w:tc>
          <w:tcPr>
            <w:tcW w:w="1181" w:type="dxa"/>
            <w:shd w:val="clear" w:color="auto" w:fill="auto"/>
          </w:tcPr>
          <w:p w:rsidR="00927205" w:rsidRDefault="00927205" w:rsidP="00CD1F41">
            <w:pPr>
              <w:jc w:val="center"/>
              <w:rPr>
                <w:sz w:val="20"/>
                <w:szCs w:val="20"/>
                <w:lang w:val="fr-CA"/>
              </w:rPr>
            </w:pPr>
          </w:p>
          <w:p w:rsidR="002C079C" w:rsidRDefault="002C079C" w:rsidP="00CD1F41">
            <w:pPr>
              <w:jc w:val="center"/>
              <w:rPr>
                <w:sz w:val="20"/>
                <w:szCs w:val="20"/>
                <w:lang w:val="fr-CA"/>
              </w:rPr>
            </w:pPr>
          </w:p>
          <w:p w:rsidR="002C079C" w:rsidRDefault="002C079C" w:rsidP="00CD1F41">
            <w:pPr>
              <w:jc w:val="center"/>
              <w:rPr>
                <w:sz w:val="20"/>
                <w:szCs w:val="20"/>
                <w:lang w:val="fr-CA"/>
              </w:rPr>
            </w:pPr>
          </w:p>
          <w:p w:rsidR="002C079C" w:rsidRDefault="002C079C" w:rsidP="00CD1F41">
            <w:pPr>
              <w:jc w:val="center"/>
              <w:rPr>
                <w:sz w:val="20"/>
                <w:szCs w:val="20"/>
                <w:lang w:val="fr-CA"/>
              </w:rPr>
            </w:pPr>
          </w:p>
          <w:p w:rsidR="002C079C" w:rsidRDefault="002C079C" w:rsidP="00CD1F41">
            <w:pPr>
              <w:jc w:val="center"/>
              <w:rPr>
                <w:sz w:val="20"/>
                <w:szCs w:val="20"/>
                <w:lang w:val="fr-CA"/>
              </w:rPr>
            </w:pPr>
          </w:p>
          <w:p w:rsidR="002C079C" w:rsidRDefault="002C079C" w:rsidP="00CD1F41">
            <w:pPr>
              <w:jc w:val="center"/>
              <w:rPr>
                <w:sz w:val="20"/>
                <w:szCs w:val="20"/>
                <w:lang w:val="fr-CA"/>
              </w:rPr>
            </w:pPr>
          </w:p>
          <w:p w:rsidR="002C079C" w:rsidRDefault="002C079C" w:rsidP="00CD1F41">
            <w:pPr>
              <w:jc w:val="center"/>
              <w:rPr>
                <w:sz w:val="20"/>
                <w:szCs w:val="20"/>
                <w:lang w:val="fr-CA"/>
              </w:rPr>
            </w:pPr>
          </w:p>
          <w:p w:rsidR="002C079C" w:rsidRDefault="002C079C" w:rsidP="00CD1F41">
            <w:pPr>
              <w:jc w:val="center"/>
              <w:rPr>
                <w:sz w:val="20"/>
                <w:szCs w:val="20"/>
                <w:lang w:val="fr-CA"/>
              </w:rPr>
            </w:pPr>
          </w:p>
          <w:p w:rsidR="002C079C" w:rsidRDefault="002C079C" w:rsidP="00CD1F41">
            <w:pPr>
              <w:jc w:val="center"/>
              <w:rPr>
                <w:sz w:val="20"/>
                <w:szCs w:val="20"/>
                <w:lang w:val="fr-CA"/>
              </w:rPr>
            </w:pPr>
          </w:p>
          <w:p w:rsidR="002C079C" w:rsidRDefault="002C079C" w:rsidP="00CD1F41">
            <w:pPr>
              <w:jc w:val="center"/>
              <w:rPr>
                <w:sz w:val="20"/>
                <w:szCs w:val="20"/>
                <w:lang w:val="fr-CA"/>
              </w:rPr>
            </w:pPr>
          </w:p>
          <w:p w:rsidR="002C079C" w:rsidRDefault="002C079C" w:rsidP="00CD1F41">
            <w:pPr>
              <w:jc w:val="center"/>
              <w:rPr>
                <w:sz w:val="20"/>
                <w:szCs w:val="20"/>
                <w:lang w:val="fr-CA"/>
              </w:rPr>
            </w:pPr>
          </w:p>
          <w:p w:rsidR="002C079C" w:rsidRPr="00927205" w:rsidRDefault="002C079C" w:rsidP="00CD1F41">
            <w:pPr>
              <w:jc w:val="center"/>
              <w:rPr>
                <w:sz w:val="20"/>
                <w:szCs w:val="20"/>
                <w:lang w:val="fr-CA"/>
              </w:rPr>
            </w:pPr>
          </w:p>
        </w:tc>
        <w:tc>
          <w:tcPr>
            <w:tcW w:w="4320" w:type="dxa"/>
            <w:shd w:val="clear" w:color="auto" w:fill="auto"/>
          </w:tcPr>
          <w:p w:rsidR="00927205" w:rsidRPr="005F3D4C" w:rsidRDefault="00927205" w:rsidP="00927205">
            <w:pPr>
              <w:keepNext/>
              <w:keepLines/>
              <w:tabs>
                <w:tab w:val="left" w:pos="-1440"/>
                <w:tab w:val="left" w:pos="-720"/>
              </w:tabs>
              <w:rPr>
                <w:sz w:val="20"/>
                <w:szCs w:val="20"/>
              </w:rPr>
            </w:pPr>
            <w:r w:rsidRPr="00927205">
              <w:rPr>
                <w:sz w:val="20"/>
                <w:szCs w:val="20"/>
                <w:lang w:val="fr-CA"/>
              </w:rPr>
              <w:tab/>
            </w:r>
            <w:proofErr w:type="spellStart"/>
            <w:r w:rsidRPr="005F3D4C">
              <w:rPr>
                <w:sz w:val="20"/>
                <w:szCs w:val="20"/>
              </w:rPr>
              <w:t>Siskinds</w:t>
            </w:r>
            <w:proofErr w:type="spellEnd"/>
            <w:r w:rsidRPr="005F3D4C">
              <w:rPr>
                <w:sz w:val="20"/>
                <w:szCs w:val="20"/>
              </w:rPr>
              <w:t xml:space="preserve"> LLP</w:t>
            </w:r>
          </w:p>
          <w:p w:rsidR="00927205" w:rsidRPr="005F3D4C" w:rsidRDefault="00927205" w:rsidP="00927205">
            <w:pPr>
              <w:keepNext/>
              <w:keepLines/>
              <w:tabs>
                <w:tab w:val="left" w:pos="-1440"/>
                <w:tab w:val="left" w:pos="-720"/>
              </w:tabs>
              <w:rPr>
                <w:sz w:val="20"/>
                <w:szCs w:val="20"/>
              </w:rPr>
            </w:pPr>
          </w:p>
          <w:p w:rsidR="00927205" w:rsidRPr="005F3D4C" w:rsidRDefault="00927205" w:rsidP="00927205">
            <w:pPr>
              <w:keepNext/>
              <w:keepLines/>
              <w:tabs>
                <w:tab w:val="left" w:pos="-1440"/>
                <w:tab w:val="left" w:pos="-720"/>
              </w:tabs>
              <w:rPr>
                <w:sz w:val="20"/>
                <w:szCs w:val="20"/>
              </w:rPr>
            </w:pPr>
            <w:r w:rsidRPr="005F3D4C">
              <w:rPr>
                <w:sz w:val="20"/>
                <w:szCs w:val="20"/>
              </w:rPr>
              <w:tab/>
              <w:t>v. (34110)</w:t>
            </w:r>
          </w:p>
          <w:p w:rsidR="00927205" w:rsidRPr="005F3D4C" w:rsidRDefault="00927205" w:rsidP="00927205">
            <w:pPr>
              <w:keepNext/>
              <w:keepLines/>
              <w:tabs>
                <w:tab w:val="left" w:pos="-1440"/>
                <w:tab w:val="left" w:pos="-720"/>
              </w:tabs>
              <w:rPr>
                <w:sz w:val="20"/>
                <w:szCs w:val="20"/>
              </w:rPr>
            </w:pPr>
          </w:p>
          <w:p w:rsidR="00927205" w:rsidRPr="00313303" w:rsidRDefault="00927205" w:rsidP="00927205">
            <w:pPr>
              <w:keepNext/>
              <w:keepLines/>
              <w:tabs>
                <w:tab w:val="left" w:pos="-1440"/>
                <w:tab w:val="left" w:pos="-720"/>
              </w:tabs>
              <w:rPr>
                <w:b/>
                <w:sz w:val="20"/>
                <w:szCs w:val="20"/>
                <w:lang w:val="fr-CA"/>
              </w:rPr>
            </w:pPr>
            <w:r w:rsidRPr="005F3D4C">
              <w:rPr>
                <w:b/>
                <w:sz w:val="20"/>
                <w:szCs w:val="20"/>
              </w:rPr>
              <w:t xml:space="preserve">1610396 Ontario Inc. </w:t>
            </w:r>
            <w:proofErr w:type="spellStart"/>
            <w:r w:rsidRPr="005F3D4C">
              <w:rPr>
                <w:b/>
                <w:sz w:val="20"/>
                <w:szCs w:val="20"/>
              </w:rPr>
              <w:t>c.o.b</w:t>
            </w:r>
            <w:proofErr w:type="spellEnd"/>
            <w:r w:rsidRPr="005F3D4C">
              <w:rPr>
                <w:b/>
                <w:sz w:val="20"/>
                <w:szCs w:val="20"/>
              </w:rPr>
              <w:t xml:space="preserve">. as Carey’s Pub &amp; Grill et al. </w:t>
            </w:r>
            <w:r w:rsidRPr="00313303">
              <w:rPr>
                <w:b/>
                <w:sz w:val="20"/>
                <w:szCs w:val="20"/>
                <w:lang w:val="fr-CA"/>
              </w:rPr>
              <w:t>(Ont.)</w:t>
            </w:r>
          </w:p>
          <w:p w:rsidR="00927205" w:rsidRPr="00313303" w:rsidRDefault="00927205" w:rsidP="00927205">
            <w:pPr>
              <w:keepNext/>
              <w:keepLines/>
              <w:tabs>
                <w:tab w:val="left" w:pos="-1440"/>
                <w:tab w:val="left" w:pos="-720"/>
              </w:tabs>
              <w:rPr>
                <w:sz w:val="20"/>
                <w:szCs w:val="20"/>
                <w:lang w:val="fr-CA"/>
              </w:rPr>
            </w:pPr>
            <w:r w:rsidRPr="00313303">
              <w:rPr>
                <w:sz w:val="20"/>
                <w:szCs w:val="20"/>
                <w:lang w:val="fr-CA"/>
              </w:rPr>
              <w:tab/>
              <w:t>Joseph M. Dillon, Q.C.</w:t>
            </w:r>
          </w:p>
          <w:p w:rsidR="00927205" w:rsidRPr="00BF37EB" w:rsidRDefault="00927205" w:rsidP="00927205">
            <w:pPr>
              <w:keepNext/>
              <w:keepLines/>
              <w:tabs>
                <w:tab w:val="left" w:pos="-1440"/>
                <w:tab w:val="left" w:pos="-720"/>
              </w:tabs>
              <w:rPr>
                <w:sz w:val="20"/>
                <w:szCs w:val="20"/>
              </w:rPr>
            </w:pPr>
            <w:r w:rsidRPr="00313303">
              <w:rPr>
                <w:sz w:val="20"/>
                <w:szCs w:val="20"/>
                <w:lang w:val="fr-CA"/>
              </w:rPr>
              <w:tab/>
            </w:r>
            <w:r>
              <w:rPr>
                <w:sz w:val="20"/>
                <w:szCs w:val="20"/>
              </w:rPr>
              <w:t>Brown Beattie O’Donovan LLP</w:t>
            </w:r>
          </w:p>
          <w:p w:rsidR="00927205" w:rsidRPr="00BF37EB" w:rsidRDefault="00927205" w:rsidP="00927205">
            <w:pPr>
              <w:keepNext/>
              <w:keepLines/>
              <w:tabs>
                <w:tab w:val="left" w:pos="-1440"/>
                <w:tab w:val="left" w:pos="-720"/>
              </w:tabs>
              <w:rPr>
                <w:sz w:val="20"/>
                <w:szCs w:val="20"/>
              </w:rPr>
            </w:pPr>
          </w:p>
          <w:p w:rsidR="00927205" w:rsidRPr="00A935AA" w:rsidRDefault="00927205" w:rsidP="00927205">
            <w:pPr>
              <w:rPr>
                <w:sz w:val="20"/>
                <w:szCs w:val="20"/>
              </w:rPr>
            </w:pPr>
            <w:r w:rsidRPr="00A935AA">
              <w:rPr>
                <w:sz w:val="20"/>
                <w:szCs w:val="20"/>
              </w:rPr>
              <w:t xml:space="preserve">FILING DATE: </w:t>
            </w:r>
            <w:r>
              <w:rPr>
                <w:sz w:val="20"/>
                <w:szCs w:val="20"/>
              </w:rPr>
              <w:t>1</w:t>
            </w:r>
            <w:r w:rsidRPr="00A935AA">
              <w:rPr>
                <w:sz w:val="20"/>
                <w:szCs w:val="20"/>
              </w:rPr>
              <w:t>8.0</w:t>
            </w:r>
            <w:r>
              <w:rPr>
                <w:sz w:val="20"/>
                <w:szCs w:val="20"/>
              </w:rPr>
              <w:t>2</w:t>
            </w:r>
            <w:r w:rsidRPr="00A935AA">
              <w:rPr>
                <w:sz w:val="20"/>
                <w:szCs w:val="20"/>
              </w:rPr>
              <w:t>.201</w:t>
            </w:r>
            <w:r>
              <w:rPr>
                <w:sz w:val="20"/>
                <w:szCs w:val="20"/>
              </w:rPr>
              <w:t>1</w:t>
            </w:r>
            <w:r w:rsidR="0004334C" w:rsidRPr="0004334C">
              <w:rPr>
                <w:sz w:val="20"/>
                <w:szCs w:val="20"/>
                <w:lang w:val="fr-CA"/>
              </w:rPr>
              <w:pict>
                <v:rect id="_x0000_i1040" style="width:108pt;height:1pt" o:hrpct="0" o:hralign="center" o:hrstd="t" o:hrnoshade="t" o:hr="t" fillcolor="black [3213]" stroked="f"/>
              </w:pict>
            </w:r>
          </w:p>
        </w:tc>
      </w:tr>
      <w:tr w:rsidR="00927205" w:rsidRPr="00A935AA" w:rsidTr="00707A29">
        <w:trPr>
          <w:cantSplit/>
        </w:trPr>
        <w:tc>
          <w:tcPr>
            <w:tcW w:w="4320" w:type="dxa"/>
            <w:shd w:val="clear" w:color="auto" w:fill="auto"/>
          </w:tcPr>
          <w:p w:rsidR="00927205" w:rsidRPr="00A935AA" w:rsidRDefault="00927205" w:rsidP="00CD1F41">
            <w:pPr>
              <w:rPr>
                <w:b/>
                <w:sz w:val="20"/>
                <w:szCs w:val="20"/>
              </w:rPr>
            </w:pPr>
            <w:r>
              <w:rPr>
                <w:b/>
                <w:sz w:val="20"/>
                <w:szCs w:val="20"/>
              </w:rPr>
              <w:lastRenderedPageBreak/>
              <w:t xml:space="preserve">Albano </w:t>
            </w:r>
            <w:proofErr w:type="spellStart"/>
            <w:r>
              <w:rPr>
                <w:b/>
                <w:sz w:val="20"/>
                <w:szCs w:val="20"/>
              </w:rPr>
              <w:t>Andriano</w:t>
            </w:r>
            <w:proofErr w:type="spellEnd"/>
          </w:p>
          <w:p w:rsidR="00927205" w:rsidRPr="00A935AA" w:rsidRDefault="00927205" w:rsidP="00CD1F41">
            <w:pPr>
              <w:tabs>
                <w:tab w:val="left" w:pos="-1440"/>
                <w:tab w:val="left" w:pos="-720"/>
              </w:tabs>
              <w:rPr>
                <w:sz w:val="20"/>
                <w:szCs w:val="20"/>
              </w:rPr>
            </w:pPr>
            <w:r w:rsidRPr="00A935AA">
              <w:rPr>
                <w:sz w:val="20"/>
                <w:szCs w:val="20"/>
              </w:rPr>
              <w:tab/>
            </w:r>
            <w:r>
              <w:rPr>
                <w:sz w:val="20"/>
                <w:szCs w:val="20"/>
              </w:rPr>
              <w:t>Alan D. Gold</w:t>
            </w:r>
          </w:p>
          <w:p w:rsidR="00927205" w:rsidRPr="00A935AA" w:rsidRDefault="00927205" w:rsidP="00CD1F41">
            <w:pPr>
              <w:tabs>
                <w:tab w:val="left" w:pos="-1440"/>
                <w:tab w:val="left" w:pos="-720"/>
              </w:tabs>
              <w:rPr>
                <w:sz w:val="20"/>
                <w:szCs w:val="20"/>
              </w:rPr>
            </w:pPr>
            <w:r w:rsidRPr="00A935AA">
              <w:rPr>
                <w:sz w:val="20"/>
                <w:szCs w:val="20"/>
              </w:rPr>
              <w:tab/>
            </w:r>
            <w:r>
              <w:rPr>
                <w:sz w:val="20"/>
                <w:szCs w:val="20"/>
              </w:rPr>
              <w:t>Alan D. Gold Professional Corporation</w:t>
            </w:r>
          </w:p>
          <w:p w:rsidR="00927205" w:rsidRPr="00A935AA" w:rsidRDefault="00927205" w:rsidP="00CD1F41">
            <w:pPr>
              <w:tabs>
                <w:tab w:val="left" w:pos="-1440"/>
                <w:tab w:val="left" w:pos="-720"/>
              </w:tabs>
              <w:rPr>
                <w:sz w:val="20"/>
                <w:szCs w:val="20"/>
              </w:rPr>
            </w:pPr>
          </w:p>
          <w:p w:rsidR="00927205" w:rsidRPr="00A935AA" w:rsidRDefault="00927205" w:rsidP="00CD1F41">
            <w:pPr>
              <w:tabs>
                <w:tab w:val="left" w:pos="-1440"/>
                <w:tab w:val="left" w:pos="-720"/>
              </w:tabs>
              <w:rPr>
                <w:sz w:val="20"/>
                <w:szCs w:val="20"/>
              </w:rPr>
            </w:pPr>
            <w:r w:rsidRPr="00A935AA">
              <w:rPr>
                <w:sz w:val="20"/>
                <w:szCs w:val="20"/>
              </w:rPr>
              <w:tab/>
              <w:t>v. (3</w:t>
            </w:r>
            <w:r>
              <w:rPr>
                <w:sz w:val="20"/>
                <w:szCs w:val="20"/>
              </w:rPr>
              <w:t>4109</w:t>
            </w:r>
            <w:r w:rsidRPr="00A935AA">
              <w:rPr>
                <w:sz w:val="20"/>
                <w:szCs w:val="20"/>
              </w:rPr>
              <w:t>)</w:t>
            </w:r>
          </w:p>
          <w:p w:rsidR="00927205" w:rsidRPr="00A935AA" w:rsidRDefault="00927205" w:rsidP="00CD1F41">
            <w:pPr>
              <w:tabs>
                <w:tab w:val="left" w:pos="-1440"/>
                <w:tab w:val="left" w:pos="-720"/>
              </w:tabs>
              <w:rPr>
                <w:sz w:val="20"/>
                <w:szCs w:val="20"/>
              </w:rPr>
            </w:pPr>
          </w:p>
          <w:p w:rsidR="00927205" w:rsidRPr="00A935AA" w:rsidRDefault="00927205" w:rsidP="00CD1F41">
            <w:pPr>
              <w:tabs>
                <w:tab w:val="left" w:pos="-1440"/>
                <w:tab w:val="left" w:pos="-720"/>
              </w:tabs>
              <w:rPr>
                <w:b/>
                <w:sz w:val="20"/>
                <w:szCs w:val="20"/>
              </w:rPr>
            </w:pPr>
            <w:r>
              <w:rPr>
                <w:b/>
                <w:sz w:val="20"/>
                <w:szCs w:val="20"/>
              </w:rPr>
              <w:t xml:space="preserve">Attorney General of Canada on behalf of the Republic of Italy </w:t>
            </w:r>
            <w:r w:rsidRPr="00A935AA">
              <w:rPr>
                <w:b/>
                <w:sz w:val="20"/>
                <w:szCs w:val="20"/>
              </w:rPr>
              <w:t>(</w:t>
            </w:r>
            <w:r>
              <w:rPr>
                <w:b/>
                <w:sz w:val="20"/>
                <w:szCs w:val="20"/>
              </w:rPr>
              <w:t>Ont</w:t>
            </w:r>
            <w:r w:rsidRPr="00A935AA">
              <w:rPr>
                <w:b/>
                <w:sz w:val="20"/>
                <w:szCs w:val="20"/>
              </w:rPr>
              <w:t>.)</w:t>
            </w:r>
          </w:p>
          <w:p w:rsidR="00927205" w:rsidRPr="00A935AA" w:rsidRDefault="00927205" w:rsidP="00CD1F41">
            <w:pPr>
              <w:tabs>
                <w:tab w:val="left" w:pos="-1440"/>
                <w:tab w:val="left" w:pos="-720"/>
              </w:tabs>
              <w:rPr>
                <w:sz w:val="20"/>
                <w:szCs w:val="20"/>
              </w:rPr>
            </w:pPr>
            <w:r w:rsidRPr="00A935AA">
              <w:rPr>
                <w:sz w:val="20"/>
                <w:szCs w:val="20"/>
              </w:rPr>
              <w:tab/>
            </w:r>
            <w:r>
              <w:rPr>
                <w:sz w:val="20"/>
                <w:szCs w:val="20"/>
              </w:rPr>
              <w:t>Nancy Dennison</w:t>
            </w:r>
          </w:p>
          <w:p w:rsidR="00927205" w:rsidRPr="00A935AA" w:rsidRDefault="00927205" w:rsidP="00CD1F41">
            <w:pPr>
              <w:tabs>
                <w:tab w:val="left" w:pos="-1440"/>
                <w:tab w:val="left" w:pos="-720"/>
              </w:tabs>
              <w:rPr>
                <w:sz w:val="20"/>
                <w:szCs w:val="20"/>
              </w:rPr>
            </w:pPr>
            <w:r w:rsidRPr="00A935AA">
              <w:rPr>
                <w:sz w:val="20"/>
                <w:szCs w:val="20"/>
              </w:rPr>
              <w:tab/>
            </w:r>
            <w:r>
              <w:rPr>
                <w:sz w:val="20"/>
                <w:szCs w:val="20"/>
              </w:rPr>
              <w:t>A.G. of Canada</w:t>
            </w:r>
          </w:p>
          <w:p w:rsidR="00927205" w:rsidRPr="00A935AA" w:rsidRDefault="00927205" w:rsidP="00CD1F41">
            <w:pPr>
              <w:tabs>
                <w:tab w:val="left" w:pos="-1440"/>
                <w:tab w:val="left" w:pos="-720"/>
              </w:tabs>
              <w:rPr>
                <w:sz w:val="20"/>
                <w:szCs w:val="20"/>
              </w:rPr>
            </w:pPr>
          </w:p>
          <w:p w:rsidR="00927205" w:rsidRPr="00A935AA" w:rsidRDefault="00927205" w:rsidP="00CD1F41">
            <w:pPr>
              <w:rPr>
                <w:sz w:val="20"/>
                <w:szCs w:val="20"/>
              </w:rPr>
            </w:pPr>
            <w:r w:rsidRPr="00A935AA">
              <w:rPr>
                <w:sz w:val="20"/>
                <w:szCs w:val="20"/>
              </w:rPr>
              <w:t xml:space="preserve">FILING DATE: </w:t>
            </w:r>
            <w:r>
              <w:rPr>
                <w:sz w:val="20"/>
                <w:szCs w:val="20"/>
              </w:rPr>
              <w:t>18</w:t>
            </w:r>
            <w:r w:rsidRPr="00A935AA">
              <w:rPr>
                <w:sz w:val="20"/>
                <w:szCs w:val="20"/>
              </w:rPr>
              <w:t>.0</w:t>
            </w:r>
            <w:r>
              <w:rPr>
                <w:sz w:val="20"/>
                <w:szCs w:val="20"/>
              </w:rPr>
              <w:t>2</w:t>
            </w:r>
            <w:r w:rsidRPr="00A935AA">
              <w:rPr>
                <w:sz w:val="20"/>
                <w:szCs w:val="20"/>
              </w:rPr>
              <w:t>.201</w:t>
            </w:r>
            <w:r>
              <w:rPr>
                <w:sz w:val="20"/>
                <w:szCs w:val="20"/>
              </w:rPr>
              <w:t>1</w:t>
            </w:r>
          </w:p>
          <w:p w:rsidR="00927205" w:rsidRPr="00A935AA" w:rsidRDefault="0004334C" w:rsidP="00CD1F41">
            <w:pPr>
              <w:rPr>
                <w:sz w:val="20"/>
                <w:szCs w:val="20"/>
              </w:rPr>
            </w:pPr>
            <w:r w:rsidRPr="0004334C">
              <w:rPr>
                <w:sz w:val="20"/>
                <w:szCs w:val="20"/>
                <w:lang w:val="fr-CA"/>
              </w:rPr>
              <w:pict>
                <v:rect id="_x0000_i1041" style="width:108pt;height:1pt" o:hrpct="0" o:hralign="center" o:hrstd="t" o:hrnoshade="t" o:hr="t" fillcolor="black [3213]" stroked="f"/>
              </w:pict>
            </w:r>
          </w:p>
        </w:tc>
        <w:tc>
          <w:tcPr>
            <w:tcW w:w="1181" w:type="dxa"/>
            <w:shd w:val="clear" w:color="auto" w:fill="auto"/>
          </w:tcPr>
          <w:p w:rsidR="00927205" w:rsidRPr="00A935AA" w:rsidRDefault="00927205" w:rsidP="00CD1F41">
            <w:pPr>
              <w:jc w:val="center"/>
              <w:rPr>
                <w:sz w:val="20"/>
                <w:szCs w:val="20"/>
              </w:rPr>
            </w:pPr>
          </w:p>
          <w:p w:rsidR="00927205" w:rsidRPr="00A935AA" w:rsidRDefault="00927205" w:rsidP="00CD1F41">
            <w:pPr>
              <w:jc w:val="center"/>
              <w:rPr>
                <w:sz w:val="20"/>
                <w:szCs w:val="20"/>
              </w:rPr>
            </w:pPr>
          </w:p>
          <w:p w:rsidR="00927205" w:rsidRPr="00A935AA" w:rsidRDefault="00927205" w:rsidP="00CD1F41">
            <w:pPr>
              <w:jc w:val="center"/>
              <w:rPr>
                <w:sz w:val="20"/>
                <w:szCs w:val="20"/>
              </w:rPr>
            </w:pPr>
          </w:p>
          <w:p w:rsidR="00927205" w:rsidRPr="00A935AA" w:rsidRDefault="00927205" w:rsidP="00CD1F41">
            <w:pPr>
              <w:jc w:val="center"/>
              <w:rPr>
                <w:sz w:val="20"/>
                <w:szCs w:val="20"/>
              </w:rPr>
            </w:pPr>
          </w:p>
          <w:p w:rsidR="00927205" w:rsidRPr="00A935AA" w:rsidRDefault="00927205" w:rsidP="00CD1F41">
            <w:pPr>
              <w:jc w:val="center"/>
              <w:rPr>
                <w:sz w:val="20"/>
                <w:szCs w:val="20"/>
              </w:rPr>
            </w:pPr>
          </w:p>
          <w:p w:rsidR="00927205" w:rsidRPr="00A935AA" w:rsidRDefault="00927205" w:rsidP="00CD1F41">
            <w:pPr>
              <w:jc w:val="center"/>
              <w:rPr>
                <w:sz w:val="20"/>
                <w:szCs w:val="20"/>
              </w:rPr>
            </w:pPr>
          </w:p>
          <w:p w:rsidR="00927205" w:rsidRPr="00A935AA" w:rsidRDefault="00927205" w:rsidP="00CD1F41">
            <w:pPr>
              <w:jc w:val="center"/>
              <w:rPr>
                <w:sz w:val="20"/>
                <w:szCs w:val="20"/>
              </w:rPr>
            </w:pPr>
          </w:p>
          <w:p w:rsidR="00927205" w:rsidRPr="00A935AA" w:rsidRDefault="00927205" w:rsidP="00CD1F41">
            <w:pPr>
              <w:jc w:val="center"/>
              <w:rPr>
                <w:sz w:val="20"/>
                <w:szCs w:val="20"/>
              </w:rPr>
            </w:pPr>
          </w:p>
          <w:p w:rsidR="00927205" w:rsidRPr="00A935AA" w:rsidRDefault="00927205" w:rsidP="00CD1F41">
            <w:pPr>
              <w:jc w:val="center"/>
              <w:rPr>
                <w:sz w:val="20"/>
                <w:szCs w:val="20"/>
              </w:rPr>
            </w:pPr>
          </w:p>
          <w:p w:rsidR="00927205" w:rsidRPr="00A935AA" w:rsidRDefault="00927205" w:rsidP="00CD1F41">
            <w:pPr>
              <w:jc w:val="center"/>
              <w:rPr>
                <w:sz w:val="20"/>
                <w:szCs w:val="20"/>
              </w:rPr>
            </w:pPr>
          </w:p>
          <w:p w:rsidR="00927205" w:rsidRPr="00A935AA" w:rsidRDefault="00927205" w:rsidP="00CD1F41">
            <w:pPr>
              <w:jc w:val="center"/>
              <w:rPr>
                <w:sz w:val="20"/>
                <w:szCs w:val="20"/>
              </w:rPr>
            </w:pPr>
          </w:p>
          <w:p w:rsidR="00927205" w:rsidRDefault="00927205" w:rsidP="00CD1F41">
            <w:pPr>
              <w:jc w:val="center"/>
              <w:rPr>
                <w:sz w:val="20"/>
                <w:szCs w:val="20"/>
              </w:rPr>
            </w:pPr>
          </w:p>
          <w:p w:rsidR="00927205" w:rsidRPr="00A935AA" w:rsidRDefault="00927205" w:rsidP="00CD1F41">
            <w:pPr>
              <w:jc w:val="center"/>
              <w:rPr>
                <w:sz w:val="20"/>
                <w:szCs w:val="20"/>
              </w:rPr>
            </w:pPr>
          </w:p>
          <w:p w:rsidR="00927205" w:rsidRPr="00A935AA" w:rsidRDefault="00927205" w:rsidP="00CD1F41">
            <w:pPr>
              <w:jc w:val="center"/>
              <w:rPr>
                <w:sz w:val="20"/>
                <w:szCs w:val="20"/>
              </w:rPr>
            </w:pPr>
          </w:p>
        </w:tc>
        <w:tc>
          <w:tcPr>
            <w:tcW w:w="4320" w:type="dxa"/>
            <w:shd w:val="clear" w:color="auto" w:fill="auto"/>
          </w:tcPr>
          <w:p w:rsidR="00927205" w:rsidRPr="00A935AA" w:rsidRDefault="00927205" w:rsidP="00927205">
            <w:pPr>
              <w:keepNext/>
              <w:keepLines/>
              <w:tabs>
                <w:tab w:val="left" w:pos="-1440"/>
                <w:tab w:val="left" w:pos="-720"/>
              </w:tabs>
              <w:rPr>
                <w:b/>
                <w:sz w:val="20"/>
                <w:szCs w:val="20"/>
              </w:rPr>
            </w:pPr>
            <w:proofErr w:type="spellStart"/>
            <w:r>
              <w:rPr>
                <w:b/>
                <w:sz w:val="20"/>
                <w:szCs w:val="20"/>
              </w:rPr>
              <w:t>Aecon</w:t>
            </w:r>
            <w:proofErr w:type="spellEnd"/>
            <w:r>
              <w:rPr>
                <w:b/>
                <w:sz w:val="20"/>
                <w:szCs w:val="20"/>
              </w:rPr>
              <w:t xml:space="preserve"> Buildings, A Division of </w:t>
            </w:r>
            <w:proofErr w:type="spellStart"/>
            <w:r>
              <w:rPr>
                <w:b/>
                <w:sz w:val="20"/>
                <w:szCs w:val="20"/>
              </w:rPr>
              <w:t>Aecon</w:t>
            </w:r>
            <w:proofErr w:type="spellEnd"/>
            <w:r>
              <w:rPr>
                <w:b/>
                <w:sz w:val="20"/>
                <w:szCs w:val="20"/>
              </w:rPr>
              <w:t xml:space="preserve"> Construction Group Inc.</w:t>
            </w:r>
          </w:p>
          <w:p w:rsidR="00927205" w:rsidRPr="00A935AA" w:rsidRDefault="00927205" w:rsidP="00927205">
            <w:pPr>
              <w:keepNext/>
              <w:keepLines/>
              <w:tabs>
                <w:tab w:val="left" w:pos="-1440"/>
                <w:tab w:val="left" w:pos="-720"/>
              </w:tabs>
              <w:rPr>
                <w:sz w:val="20"/>
                <w:szCs w:val="20"/>
              </w:rPr>
            </w:pPr>
            <w:r w:rsidRPr="00A935AA">
              <w:rPr>
                <w:sz w:val="20"/>
                <w:szCs w:val="20"/>
              </w:rPr>
              <w:tab/>
            </w:r>
            <w:r>
              <w:rPr>
                <w:sz w:val="20"/>
                <w:szCs w:val="20"/>
              </w:rPr>
              <w:t>Peter W.G. Carey</w:t>
            </w:r>
          </w:p>
          <w:p w:rsidR="00927205" w:rsidRPr="00A935AA" w:rsidRDefault="00927205" w:rsidP="00927205">
            <w:pPr>
              <w:keepNext/>
              <w:keepLines/>
              <w:tabs>
                <w:tab w:val="left" w:pos="-1440"/>
                <w:tab w:val="left" w:pos="-720"/>
              </w:tabs>
              <w:rPr>
                <w:sz w:val="20"/>
                <w:szCs w:val="20"/>
              </w:rPr>
            </w:pPr>
            <w:r w:rsidRPr="00A935AA">
              <w:rPr>
                <w:sz w:val="20"/>
                <w:szCs w:val="20"/>
              </w:rPr>
              <w:tab/>
            </w:r>
            <w:proofErr w:type="spellStart"/>
            <w:r>
              <w:rPr>
                <w:sz w:val="20"/>
                <w:szCs w:val="20"/>
              </w:rPr>
              <w:t>Fogler</w:t>
            </w:r>
            <w:proofErr w:type="spellEnd"/>
            <w:r>
              <w:rPr>
                <w:sz w:val="20"/>
                <w:szCs w:val="20"/>
              </w:rPr>
              <w:t xml:space="preserve">, </w:t>
            </w:r>
            <w:proofErr w:type="spellStart"/>
            <w:r>
              <w:rPr>
                <w:sz w:val="20"/>
                <w:szCs w:val="20"/>
              </w:rPr>
              <w:t>Rubinoff</w:t>
            </w:r>
            <w:proofErr w:type="spellEnd"/>
          </w:p>
          <w:p w:rsidR="00927205" w:rsidRPr="00A935AA" w:rsidRDefault="00927205" w:rsidP="00927205">
            <w:pPr>
              <w:keepNext/>
              <w:keepLines/>
              <w:tabs>
                <w:tab w:val="left" w:pos="-1440"/>
                <w:tab w:val="left" w:pos="-720"/>
              </w:tabs>
              <w:rPr>
                <w:sz w:val="20"/>
                <w:szCs w:val="20"/>
              </w:rPr>
            </w:pPr>
          </w:p>
          <w:p w:rsidR="00927205" w:rsidRPr="00BF37EB" w:rsidRDefault="00927205" w:rsidP="00927205">
            <w:pPr>
              <w:keepNext/>
              <w:keepLines/>
              <w:tabs>
                <w:tab w:val="left" w:pos="-1440"/>
                <w:tab w:val="left" w:pos="-720"/>
              </w:tabs>
              <w:rPr>
                <w:sz w:val="20"/>
                <w:szCs w:val="20"/>
              </w:rPr>
            </w:pPr>
            <w:r w:rsidRPr="00A935AA">
              <w:rPr>
                <w:sz w:val="20"/>
                <w:szCs w:val="20"/>
              </w:rPr>
              <w:tab/>
            </w:r>
            <w:r w:rsidRPr="00BF37EB">
              <w:rPr>
                <w:sz w:val="20"/>
                <w:szCs w:val="20"/>
              </w:rPr>
              <w:t>v. (34</w:t>
            </w:r>
            <w:r>
              <w:rPr>
                <w:sz w:val="20"/>
                <w:szCs w:val="20"/>
              </w:rPr>
              <w:t>112</w:t>
            </w:r>
            <w:r w:rsidRPr="00BF37EB">
              <w:rPr>
                <w:sz w:val="20"/>
                <w:szCs w:val="20"/>
              </w:rPr>
              <w:t>)</w:t>
            </w:r>
          </w:p>
          <w:p w:rsidR="00927205" w:rsidRPr="00BF37EB" w:rsidRDefault="00927205" w:rsidP="00927205">
            <w:pPr>
              <w:keepNext/>
              <w:keepLines/>
              <w:tabs>
                <w:tab w:val="left" w:pos="-1440"/>
                <w:tab w:val="left" w:pos="-720"/>
              </w:tabs>
              <w:rPr>
                <w:sz w:val="20"/>
                <w:szCs w:val="20"/>
              </w:rPr>
            </w:pPr>
          </w:p>
          <w:p w:rsidR="00927205" w:rsidRPr="00BF37EB" w:rsidRDefault="00927205" w:rsidP="00927205">
            <w:pPr>
              <w:keepNext/>
              <w:keepLines/>
              <w:tabs>
                <w:tab w:val="left" w:pos="-1440"/>
                <w:tab w:val="left" w:pos="-720"/>
              </w:tabs>
              <w:rPr>
                <w:b/>
                <w:sz w:val="20"/>
                <w:szCs w:val="20"/>
              </w:rPr>
            </w:pPr>
            <w:r>
              <w:rPr>
                <w:b/>
                <w:sz w:val="20"/>
                <w:szCs w:val="20"/>
              </w:rPr>
              <w:t xml:space="preserve">Stephenson Engineering Limited </w:t>
            </w:r>
            <w:r w:rsidRPr="00BF37EB">
              <w:rPr>
                <w:b/>
                <w:sz w:val="20"/>
                <w:szCs w:val="20"/>
              </w:rPr>
              <w:t>(Ont.)</w:t>
            </w:r>
          </w:p>
          <w:p w:rsidR="00927205" w:rsidRPr="00BF37EB" w:rsidRDefault="00927205" w:rsidP="00927205">
            <w:pPr>
              <w:keepNext/>
              <w:keepLines/>
              <w:tabs>
                <w:tab w:val="left" w:pos="-1440"/>
                <w:tab w:val="left" w:pos="-720"/>
              </w:tabs>
              <w:rPr>
                <w:sz w:val="20"/>
                <w:szCs w:val="20"/>
              </w:rPr>
            </w:pPr>
            <w:r w:rsidRPr="00BF37EB">
              <w:rPr>
                <w:sz w:val="20"/>
                <w:szCs w:val="20"/>
              </w:rPr>
              <w:tab/>
            </w:r>
            <w:r>
              <w:rPr>
                <w:sz w:val="20"/>
                <w:szCs w:val="20"/>
              </w:rPr>
              <w:t>Thomas J. Corbett</w:t>
            </w:r>
          </w:p>
          <w:p w:rsidR="00927205" w:rsidRPr="00BF37EB" w:rsidRDefault="00927205" w:rsidP="00927205">
            <w:pPr>
              <w:keepNext/>
              <w:keepLines/>
              <w:tabs>
                <w:tab w:val="left" w:pos="-1440"/>
                <w:tab w:val="left" w:pos="-720"/>
              </w:tabs>
              <w:rPr>
                <w:sz w:val="20"/>
                <w:szCs w:val="20"/>
              </w:rPr>
            </w:pPr>
            <w:r w:rsidRPr="00BF37EB">
              <w:rPr>
                <w:sz w:val="20"/>
                <w:szCs w:val="20"/>
              </w:rPr>
              <w:tab/>
            </w:r>
            <w:r>
              <w:rPr>
                <w:sz w:val="20"/>
                <w:szCs w:val="20"/>
              </w:rPr>
              <w:t>Advocates LLP</w:t>
            </w:r>
          </w:p>
          <w:p w:rsidR="00927205" w:rsidRPr="00BF37EB" w:rsidRDefault="00927205" w:rsidP="00927205">
            <w:pPr>
              <w:keepNext/>
              <w:keepLines/>
              <w:tabs>
                <w:tab w:val="left" w:pos="-1440"/>
                <w:tab w:val="left" w:pos="-720"/>
              </w:tabs>
              <w:rPr>
                <w:sz w:val="20"/>
                <w:szCs w:val="20"/>
              </w:rPr>
            </w:pPr>
          </w:p>
          <w:p w:rsidR="00927205" w:rsidRPr="00A935AA" w:rsidRDefault="00927205" w:rsidP="00927205">
            <w:pPr>
              <w:rPr>
                <w:sz w:val="20"/>
                <w:szCs w:val="20"/>
              </w:rPr>
            </w:pPr>
            <w:r w:rsidRPr="00A935AA">
              <w:rPr>
                <w:sz w:val="20"/>
                <w:szCs w:val="20"/>
              </w:rPr>
              <w:t xml:space="preserve">FILING DATE: </w:t>
            </w:r>
            <w:r>
              <w:rPr>
                <w:sz w:val="20"/>
                <w:szCs w:val="20"/>
              </w:rPr>
              <w:t>1</w:t>
            </w:r>
            <w:r w:rsidRPr="00A935AA">
              <w:rPr>
                <w:sz w:val="20"/>
                <w:szCs w:val="20"/>
              </w:rPr>
              <w:t>8.0</w:t>
            </w:r>
            <w:r>
              <w:rPr>
                <w:sz w:val="20"/>
                <w:szCs w:val="20"/>
              </w:rPr>
              <w:t>2</w:t>
            </w:r>
            <w:r w:rsidRPr="00A935AA">
              <w:rPr>
                <w:sz w:val="20"/>
                <w:szCs w:val="20"/>
              </w:rPr>
              <w:t>.201</w:t>
            </w:r>
            <w:r>
              <w:rPr>
                <w:sz w:val="20"/>
                <w:szCs w:val="20"/>
              </w:rPr>
              <w:t>1</w:t>
            </w:r>
            <w:r w:rsidR="0004334C" w:rsidRPr="0004334C">
              <w:rPr>
                <w:sz w:val="20"/>
                <w:szCs w:val="20"/>
                <w:lang w:val="fr-CA"/>
              </w:rPr>
              <w:pict>
                <v:rect id="_x0000_i1042" style="width:108pt;height:1pt" o:hrpct="0" o:hralign="center" o:hrstd="t" o:hrnoshade="t" o:hr="t" fillcolor="black [3213]" stroked="f"/>
              </w:pict>
            </w:r>
          </w:p>
        </w:tc>
      </w:tr>
      <w:tr w:rsidR="00927205" w:rsidRPr="00A935AA" w:rsidTr="00707A29">
        <w:trPr>
          <w:cantSplit/>
        </w:trPr>
        <w:tc>
          <w:tcPr>
            <w:tcW w:w="4320" w:type="dxa"/>
            <w:shd w:val="clear" w:color="auto" w:fill="auto"/>
          </w:tcPr>
          <w:p w:rsidR="00927205" w:rsidRPr="00A935AA" w:rsidRDefault="00927205" w:rsidP="00CD1F41">
            <w:pPr>
              <w:rPr>
                <w:b/>
                <w:sz w:val="20"/>
                <w:szCs w:val="20"/>
              </w:rPr>
            </w:pPr>
            <w:r>
              <w:rPr>
                <w:b/>
                <w:sz w:val="20"/>
                <w:szCs w:val="20"/>
              </w:rPr>
              <w:t>Tracey Margaret Harris</w:t>
            </w:r>
          </w:p>
          <w:p w:rsidR="00927205" w:rsidRPr="00A935AA" w:rsidRDefault="00927205" w:rsidP="00CD1F41">
            <w:pPr>
              <w:tabs>
                <w:tab w:val="left" w:pos="-1440"/>
                <w:tab w:val="left" w:pos="-720"/>
              </w:tabs>
              <w:rPr>
                <w:sz w:val="20"/>
                <w:szCs w:val="20"/>
              </w:rPr>
            </w:pPr>
            <w:r w:rsidRPr="00A935AA">
              <w:rPr>
                <w:sz w:val="20"/>
                <w:szCs w:val="20"/>
              </w:rPr>
              <w:tab/>
            </w:r>
            <w:r>
              <w:rPr>
                <w:sz w:val="20"/>
                <w:szCs w:val="20"/>
              </w:rPr>
              <w:t xml:space="preserve">William V. </w:t>
            </w:r>
            <w:proofErr w:type="spellStart"/>
            <w:r>
              <w:rPr>
                <w:sz w:val="20"/>
                <w:szCs w:val="20"/>
              </w:rPr>
              <w:t>Sasso</w:t>
            </w:r>
            <w:proofErr w:type="spellEnd"/>
          </w:p>
          <w:p w:rsidR="00927205" w:rsidRPr="00313303" w:rsidRDefault="00927205" w:rsidP="00CD1F41">
            <w:pPr>
              <w:tabs>
                <w:tab w:val="left" w:pos="-1440"/>
                <w:tab w:val="left" w:pos="-720"/>
              </w:tabs>
              <w:rPr>
                <w:sz w:val="20"/>
                <w:szCs w:val="20"/>
                <w:lang w:val="fr-CA"/>
              </w:rPr>
            </w:pPr>
            <w:r w:rsidRPr="00A935AA">
              <w:rPr>
                <w:sz w:val="20"/>
                <w:szCs w:val="20"/>
              </w:rPr>
              <w:tab/>
            </w:r>
            <w:proofErr w:type="spellStart"/>
            <w:r w:rsidRPr="00313303">
              <w:rPr>
                <w:sz w:val="20"/>
                <w:szCs w:val="20"/>
                <w:lang w:val="fr-CA"/>
              </w:rPr>
              <w:t>Sutts</w:t>
            </w:r>
            <w:proofErr w:type="spellEnd"/>
            <w:r w:rsidRPr="00313303">
              <w:rPr>
                <w:sz w:val="20"/>
                <w:szCs w:val="20"/>
                <w:lang w:val="fr-CA"/>
              </w:rPr>
              <w:t xml:space="preserve">, </w:t>
            </w:r>
            <w:proofErr w:type="spellStart"/>
            <w:r w:rsidRPr="00313303">
              <w:rPr>
                <w:sz w:val="20"/>
                <w:szCs w:val="20"/>
                <w:lang w:val="fr-CA"/>
              </w:rPr>
              <w:t>Strosberg</w:t>
            </w:r>
            <w:proofErr w:type="spellEnd"/>
            <w:r w:rsidRPr="00313303">
              <w:rPr>
                <w:sz w:val="20"/>
                <w:szCs w:val="20"/>
                <w:lang w:val="fr-CA"/>
              </w:rPr>
              <w:t xml:space="preserve"> LLP</w:t>
            </w:r>
          </w:p>
          <w:p w:rsidR="00927205" w:rsidRPr="00313303" w:rsidRDefault="00927205" w:rsidP="00CD1F41">
            <w:pPr>
              <w:tabs>
                <w:tab w:val="left" w:pos="-1440"/>
                <w:tab w:val="left" w:pos="-720"/>
              </w:tabs>
              <w:rPr>
                <w:sz w:val="20"/>
                <w:szCs w:val="20"/>
                <w:lang w:val="fr-CA"/>
              </w:rPr>
            </w:pPr>
          </w:p>
          <w:p w:rsidR="00927205" w:rsidRPr="00313303" w:rsidRDefault="00927205" w:rsidP="00CD1F41">
            <w:pPr>
              <w:tabs>
                <w:tab w:val="left" w:pos="-1440"/>
                <w:tab w:val="left" w:pos="-720"/>
              </w:tabs>
              <w:rPr>
                <w:sz w:val="20"/>
                <w:szCs w:val="20"/>
                <w:lang w:val="fr-CA"/>
              </w:rPr>
            </w:pPr>
            <w:r w:rsidRPr="00313303">
              <w:rPr>
                <w:sz w:val="20"/>
                <w:szCs w:val="20"/>
                <w:lang w:val="fr-CA"/>
              </w:rPr>
              <w:tab/>
              <w:t>v. (34111)</w:t>
            </w:r>
          </w:p>
          <w:p w:rsidR="00927205" w:rsidRPr="00313303" w:rsidRDefault="00927205" w:rsidP="00CD1F41">
            <w:pPr>
              <w:tabs>
                <w:tab w:val="left" w:pos="-1440"/>
                <w:tab w:val="left" w:pos="-720"/>
              </w:tabs>
              <w:rPr>
                <w:sz w:val="20"/>
                <w:szCs w:val="20"/>
                <w:lang w:val="fr-CA"/>
              </w:rPr>
            </w:pPr>
          </w:p>
          <w:p w:rsidR="00927205" w:rsidRPr="00BF37EB" w:rsidRDefault="00927205" w:rsidP="00CD1F41">
            <w:pPr>
              <w:tabs>
                <w:tab w:val="left" w:pos="-1440"/>
                <w:tab w:val="left" w:pos="-720"/>
              </w:tabs>
              <w:rPr>
                <w:b/>
                <w:sz w:val="20"/>
                <w:szCs w:val="20"/>
                <w:lang w:val="fr-CA"/>
              </w:rPr>
            </w:pPr>
            <w:proofErr w:type="spellStart"/>
            <w:r w:rsidRPr="00BF37EB">
              <w:rPr>
                <w:b/>
                <w:sz w:val="20"/>
                <w:szCs w:val="20"/>
                <w:lang w:val="fr-CA"/>
              </w:rPr>
              <w:t>Glaxosmithkline</w:t>
            </w:r>
            <w:proofErr w:type="spellEnd"/>
            <w:r w:rsidRPr="00BF37EB">
              <w:rPr>
                <w:b/>
                <w:sz w:val="20"/>
                <w:szCs w:val="20"/>
                <w:lang w:val="fr-CA"/>
              </w:rPr>
              <w:t xml:space="preserve"> Inc. et al. (Ont.)</w:t>
            </w:r>
          </w:p>
          <w:p w:rsidR="00927205" w:rsidRPr="00BF37EB" w:rsidRDefault="00927205" w:rsidP="00CD1F41">
            <w:pPr>
              <w:tabs>
                <w:tab w:val="left" w:pos="-1440"/>
                <w:tab w:val="left" w:pos="-720"/>
              </w:tabs>
              <w:rPr>
                <w:sz w:val="20"/>
                <w:szCs w:val="20"/>
              </w:rPr>
            </w:pPr>
            <w:r w:rsidRPr="00BF37EB">
              <w:rPr>
                <w:sz w:val="20"/>
                <w:szCs w:val="20"/>
                <w:lang w:val="fr-CA"/>
              </w:rPr>
              <w:tab/>
            </w:r>
            <w:r w:rsidRPr="00BF37EB">
              <w:rPr>
                <w:sz w:val="20"/>
                <w:szCs w:val="20"/>
              </w:rPr>
              <w:t>David W. Kent</w:t>
            </w:r>
          </w:p>
          <w:p w:rsidR="00927205" w:rsidRPr="00BF37EB" w:rsidRDefault="00927205" w:rsidP="00CD1F41">
            <w:pPr>
              <w:tabs>
                <w:tab w:val="left" w:pos="-1440"/>
                <w:tab w:val="left" w:pos="-720"/>
              </w:tabs>
              <w:rPr>
                <w:sz w:val="20"/>
                <w:szCs w:val="20"/>
              </w:rPr>
            </w:pPr>
            <w:r w:rsidRPr="00BF37EB">
              <w:rPr>
                <w:sz w:val="20"/>
                <w:szCs w:val="20"/>
              </w:rPr>
              <w:tab/>
              <w:t>McMillan LLP</w:t>
            </w:r>
          </w:p>
          <w:p w:rsidR="00927205" w:rsidRPr="00BF37EB" w:rsidRDefault="00927205" w:rsidP="00CD1F41">
            <w:pPr>
              <w:tabs>
                <w:tab w:val="left" w:pos="-1440"/>
                <w:tab w:val="left" w:pos="-720"/>
              </w:tabs>
              <w:rPr>
                <w:sz w:val="20"/>
                <w:szCs w:val="20"/>
              </w:rPr>
            </w:pPr>
          </w:p>
          <w:p w:rsidR="00927205" w:rsidRPr="00A935AA" w:rsidRDefault="00927205" w:rsidP="00CD1F41">
            <w:pPr>
              <w:rPr>
                <w:sz w:val="20"/>
                <w:szCs w:val="20"/>
              </w:rPr>
            </w:pPr>
            <w:r w:rsidRPr="00A935AA">
              <w:rPr>
                <w:sz w:val="20"/>
                <w:szCs w:val="20"/>
              </w:rPr>
              <w:t>FILING DATE:</w:t>
            </w:r>
            <w:r>
              <w:rPr>
                <w:sz w:val="20"/>
                <w:szCs w:val="20"/>
              </w:rPr>
              <w:t xml:space="preserve"> 18</w:t>
            </w:r>
            <w:r w:rsidRPr="00A935AA">
              <w:rPr>
                <w:sz w:val="20"/>
                <w:szCs w:val="20"/>
              </w:rPr>
              <w:t>.0</w:t>
            </w:r>
            <w:r>
              <w:rPr>
                <w:sz w:val="20"/>
                <w:szCs w:val="20"/>
              </w:rPr>
              <w:t>2</w:t>
            </w:r>
            <w:r w:rsidRPr="00A935AA">
              <w:rPr>
                <w:sz w:val="20"/>
                <w:szCs w:val="20"/>
              </w:rPr>
              <w:t>.201</w:t>
            </w:r>
            <w:r>
              <w:rPr>
                <w:sz w:val="20"/>
                <w:szCs w:val="20"/>
              </w:rPr>
              <w:t>1</w:t>
            </w:r>
          </w:p>
          <w:p w:rsidR="00927205" w:rsidRPr="00A935AA" w:rsidRDefault="0004334C" w:rsidP="00CD1F41">
            <w:pPr>
              <w:rPr>
                <w:sz w:val="20"/>
                <w:szCs w:val="20"/>
              </w:rPr>
            </w:pPr>
            <w:r w:rsidRPr="0004334C">
              <w:rPr>
                <w:sz w:val="20"/>
                <w:szCs w:val="20"/>
                <w:lang w:val="fr-CA"/>
              </w:rPr>
              <w:pict>
                <v:rect id="_x0000_i1043" style="width:108pt;height:1pt" o:hrpct="0" o:hralign="center" o:hrstd="t" o:hrnoshade="t" o:hr="t" fillcolor="black [3213]" stroked="f"/>
              </w:pict>
            </w:r>
          </w:p>
        </w:tc>
        <w:tc>
          <w:tcPr>
            <w:tcW w:w="1181" w:type="dxa"/>
            <w:shd w:val="clear" w:color="auto" w:fill="auto"/>
          </w:tcPr>
          <w:p w:rsidR="00927205" w:rsidRPr="00A935AA" w:rsidRDefault="00927205" w:rsidP="00CD1F41">
            <w:pPr>
              <w:jc w:val="center"/>
              <w:rPr>
                <w:sz w:val="20"/>
                <w:szCs w:val="20"/>
              </w:rPr>
            </w:pPr>
          </w:p>
          <w:p w:rsidR="00927205" w:rsidRPr="00A935AA" w:rsidRDefault="00927205" w:rsidP="00CD1F41">
            <w:pPr>
              <w:jc w:val="center"/>
              <w:rPr>
                <w:sz w:val="20"/>
                <w:szCs w:val="20"/>
              </w:rPr>
            </w:pPr>
          </w:p>
          <w:p w:rsidR="00927205" w:rsidRPr="00A935AA" w:rsidRDefault="00927205" w:rsidP="00CD1F41">
            <w:pPr>
              <w:jc w:val="center"/>
              <w:rPr>
                <w:sz w:val="20"/>
                <w:szCs w:val="20"/>
              </w:rPr>
            </w:pPr>
          </w:p>
          <w:p w:rsidR="00927205" w:rsidRPr="00A935AA" w:rsidRDefault="00927205" w:rsidP="00CD1F41">
            <w:pPr>
              <w:jc w:val="center"/>
              <w:rPr>
                <w:sz w:val="20"/>
                <w:szCs w:val="20"/>
              </w:rPr>
            </w:pPr>
          </w:p>
          <w:p w:rsidR="00927205" w:rsidRPr="00A935AA" w:rsidRDefault="00927205" w:rsidP="00CD1F41">
            <w:pPr>
              <w:jc w:val="center"/>
              <w:rPr>
                <w:sz w:val="20"/>
                <w:szCs w:val="20"/>
              </w:rPr>
            </w:pPr>
          </w:p>
          <w:p w:rsidR="00927205" w:rsidRPr="00A935AA" w:rsidRDefault="00927205" w:rsidP="00CD1F41">
            <w:pPr>
              <w:jc w:val="center"/>
              <w:rPr>
                <w:sz w:val="20"/>
                <w:szCs w:val="20"/>
              </w:rPr>
            </w:pPr>
          </w:p>
          <w:p w:rsidR="00927205" w:rsidRPr="00A935AA" w:rsidRDefault="00927205" w:rsidP="00CD1F41">
            <w:pPr>
              <w:jc w:val="center"/>
              <w:rPr>
                <w:sz w:val="20"/>
                <w:szCs w:val="20"/>
              </w:rPr>
            </w:pPr>
          </w:p>
          <w:p w:rsidR="00927205" w:rsidRPr="00A935AA" w:rsidRDefault="00927205" w:rsidP="00CD1F41">
            <w:pPr>
              <w:jc w:val="center"/>
              <w:rPr>
                <w:sz w:val="20"/>
                <w:szCs w:val="20"/>
              </w:rPr>
            </w:pPr>
          </w:p>
          <w:p w:rsidR="00927205" w:rsidRPr="00A935AA" w:rsidRDefault="00927205" w:rsidP="00CD1F41">
            <w:pPr>
              <w:jc w:val="center"/>
              <w:rPr>
                <w:sz w:val="20"/>
                <w:szCs w:val="20"/>
              </w:rPr>
            </w:pPr>
          </w:p>
          <w:p w:rsidR="00927205" w:rsidRPr="00A935AA" w:rsidRDefault="00927205" w:rsidP="00CD1F41">
            <w:pPr>
              <w:jc w:val="center"/>
              <w:rPr>
                <w:sz w:val="20"/>
                <w:szCs w:val="20"/>
              </w:rPr>
            </w:pPr>
          </w:p>
          <w:p w:rsidR="00927205" w:rsidRPr="00A935AA" w:rsidRDefault="00927205" w:rsidP="00CD1F41">
            <w:pPr>
              <w:jc w:val="center"/>
              <w:rPr>
                <w:sz w:val="20"/>
                <w:szCs w:val="20"/>
              </w:rPr>
            </w:pPr>
          </w:p>
          <w:p w:rsidR="00927205" w:rsidRPr="00A935AA" w:rsidRDefault="00927205" w:rsidP="00CD1F41">
            <w:pPr>
              <w:jc w:val="center"/>
              <w:rPr>
                <w:sz w:val="20"/>
                <w:szCs w:val="20"/>
              </w:rPr>
            </w:pPr>
          </w:p>
          <w:p w:rsidR="00927205" w:rsidRPr="00A935AA" w:rsidRDefault="00927205" w:rsidP="00CD1F41">
            <w:pPr>
              <w:jc w:val="center"/>
              <w:rPr>
                <w:sz w:val="20"/>
                <w:szCs w:val="20"/>
              </w:rPr>
            </w:pPr>
          </w:p>
        </w:tc>
        <w:tc>
          <w:tcPr>
            <w:tcW w:w="4320" w:type="dxa"/>
            <w:shd w:val="clear" w:color="auto" w:fill="auto"/>
          </w:tcPr>
          <w:p w:rsidR="00927205" w:rsidRPr="005E4D2D" w:rsidRDefault="00927205" w:rsidP="00927205">
            <w:pPr>
              <w:keepNext/>
              <w:keepLines/>
              <w:tabs>
                <w:tab w:val="left" w:pos="-1440"/>
                <w:tab w:val="left" w:pos="-720"/>
              </w:tabs>
              <w:rPr>
                <w:b/>
                <w:sz w:val="20"/>
                <w:szCs w:val="20"/>
                <w:lang w:val="fr-CA"/>
              </w:rPr>
            </w:pPr>
            <w:r w:rsidRPr="005E4D2D">
              <w:rPr>
                <w:b/>
                <w:sz w:val="20"/>
                <w:szCs w:val="20"/>
                <w:lang w:val="fr-CA"/>
              </w:rPr>
              <w:t>Guylaine Gauthier et autre</w:t>
            </w:r>
          </w:p>
          <w:p w:rsidR="00927205" w:rsidRPr="005E4D2D" w:rsidRDefault="00927205" w:rsidP="00927205">
            <w:pPr>
              <w:keepNext/>
              <w:keepLines/>
              <w:tabs>
                <w:tab w:val="left" w:pos="-1440"/>
                <w:tab w:val="left" w:pos="-720"/>
              </w:tabs>
              <w:rPr>
                <w:sz w:val="20"/>
                <w:szCs w:val="20"/>
                <w:lang w:val="fr-CA"/>
              </w:rPr>
            </w:pPr>
            <w:r w:rsidRPr="005E4D2D">
              <w:rPr>
                <w:sz w:val="20"/>
                <w:szCs w:val="20"/>
                <w:lang w:val="fr-CA"/>
              </w:rPr>
              <w:tab/>
              <w:t>Guylaine Gauthier</w:t>
            </w:r>
          </w:p>
          <w:p w:rsidR="00927205" w:rsidRPr="005E4D2D" w:rsidRDefault="00927205" w:rsidP="00927205">
            <w:pPr>
              <w:keepNext/>
              <w:keepLines/>
              <w:tabs>
                <w:tab w:val="left" w:pos="-1440"/>
                <w:tab w:val="left" w:pos="-720"/>
              </w:tabs>
              <w:rPr>
                <w:sz w:val="20"/>
                <w:szCs w:val="20"/>
                <w:lang w:val="fr-CA"/>
              </w:rPr>
            </w:pPr>
          </w:p>
          <w:p w:rsidR="00927205" w:rsidRPr="005E4D2D" w:rsidRDefault="00927205" w:rsidP="00927205">
            <w:pPr>
              <w:keepNext/>
              <w:keepLines/>
              <w:tabs>
                <w:tab w:val="left" w:pos="-1440"/>
                <w:tab w:val="left" w:pos="-720"/>
              </w:tabs>
              <w:rPr>
                <w:sz w:val="20"/>
                <w:szCs w:val="20"/>
                <w:lang w:val="fr-CA"/>
              </w:rPr>
            </w:pPr>
            <w:r w:rsidRPr="005E4D2D">
              <w:rPr>
                <w:sz w:val="20"/>
                <w:szCs w:val="20"/>
                <w:lang w:val="fr-CA"/>
              </w:rPr>
              <w:tab/>
              <w:t>c. (34116)</w:t>
            </w:r>
          </w:p>
          <w:p w:rsidR="00927205" w:rsidRPr="005E4D2D" w:rsidRDefault="00927205" w:rsidP="00927205">
            <w:pPr>
              <w:keepNext/>
              <w:keepLines/>
              <w:tabs>
                <w:tab w:val="left" w:pos="-1440"/>
                <w:tab w:val="left" w:pos="-720"/>
              </w:tabs>
              <w:rPr>
                <w:sz w:val="20"/>
                <w:szCs w:val="20"/>
                <w:lang w:val="fr-CA"/>
              </w:rPr>
            </w:pPr>
          </w:p>
          <w:p w:rsidR="00927205" w:rsidRPr="005E4D2D" w:rsidRDefault="00927205" w:rsidP="00927205">
            <w:pPr>
              <w:keepNext/>
              <w:keepLines/>
              <w:tabs>
                <w:tab w:val="left" w:pos="-1440"/>
                <w:tab w:val="left" w:pos="-720"/>
              </w:tabs>
              <w:rPr>
                <w:b/>
                <w:sz w:val="20"/>
                <w:szCs w:val="20"/>
                <w:lang w:val="fr-CA"/>
              </w:rPr>
            </w:pPr>
            <w:r w:rsidRPr="005E4D2D">
              <w:rPr>
                <w:b/>
                <w:sz w:val="20"/>
                <w:szCs w:val="20"/>
                <w:lang w:val="fr-CA"/>
              </w:rPr>
              <w:t xml:space="preserve">Pierre-Gabriel </w:t>
            </w:r>
            <w:proofErr w:type="spellStart"/>
            <w:r w:rsidRPr="005E4D2D">
              <w:rPr>
                <w:b/>
                <w:sz w:val="20"/>
                <w:szCs w:val="20"/>
                <w:lang w:val="fr-CA"/>
              </w:rPr>
              <w:t>Guimont</w:t>
            </w:r>
            <w:proofErr w:type="spellEnd"/>
            <w:r w:rsidRPr="005E4D2D">
              <w:rPr>
                <w:b/>
                <w:sz w:val="20"/>
                <w:szCs w:val="20"/>
                <w:lang w:val="fr-CA"/>
              </w:rPr>
              <w:t>, es qualité de syndic adjoint du Barreau du Québec et autre (</w:t>
            </w:r>
            <w:proofErr w:type="spellStart"/>
            <w:r w:rsidRPr="005E4D2D">
              <w:rPr>
                <w:b/>
                <w:sz w:val="20"/>
                <w:szCs w:val="20"/>
                <w:lang w:val="fr-CA"/>
              </w:rPr>
              <w:t>Qc</w:t>
            </w:r>
            <w:proofErr w:type="spellEnd"/>
            <w:r w:rsidRPr="005E4D2D">
              <w:rPr>
                <w:b/>
                <w:sz w:val="20"/>
                <w:szCs w:val="20"/>
                <w:lang w:val="fr-CA"/>
              </w:rPr>
              <w:t>)</w:t>
            </w:r>
          </w:p>
          <w:p w:rsidR="00927205" w:rsidRPr="005E4D2D" w:rsidRDefault="00927205" w:rsidP="00927205">
            <w:pPr>
              <w:keepNext/>
              <w:keepLines/>
              <w:tabs>
                <w:tab w:val="left" w:pos="-1440"/>
                <w:tab w:val="left" w:pos="-720"/>
              </w:tabs>
              <w:rPr>
                <w:sz w:val="20"/>
                <w:szCs w:val="20"/>
                <w:lang w:val="fr-CA"/>
              </w:rPr>
            </w:pPr>
            <w:r w:rsidRPr="005E4D2D">
              <w:rPr>
                <w:sz w:val="20"/>
                <w:szCs w:val="20"/>
                <w:lang w:val="fr-CA"/>
              </w:rPr>
              <w:tab/>
            </w:r>
            <w:r>
              <w:rPr>
                <w:sz w:val="20"/>
                <w:szCs w:val="20"/>
                <w:lang w:val="fr-CA"/>
              </w:rPr>
              <w:t xml:space="preserve">Jean-François De </w:t>
            </w:r>
            <w:proofErr w:type="spellStart"/>
            <w:r>
              <w:rPr>
                <w:sz w:val="20"/>
                <w:szCs w:val="20"/>
                <w:lang w:val="fr-CA"/>
              </w:rPr>
              <w:t>Rico</w:t>
            </w:r>
            <w:proofErr w:type="spellEnd"/>
          </w:p>
          <w:p w:rsidR="00927205" w:rsidRPr="005E4D2D" w:rsidRDefault="00927205" w:rsidP="00927205">
            <w:pPr>
              <w:keepNext/>
              <w:keepLines/>
              <w:tabs>
                <w:tab w:val="left" w:pos="-1440"/>
                <w:tab w:val="left" w:pos="-720"/>
              </w:tabs>
              <w:rPr>
                <w:sz w:val="20"/>
                <w:szCs w:val="20"/>
                <w:lang w:val="fr-CA"/>
              </w:rPr>
            </w:pPr>
            <w:r w:rsidRPr="005E4D2D">
              <w:rPr>
                <w:sz w:val="20"/>
                <w:szCs w:val="20"/>
                <w:lang w:val="fr-CA"/>
              </w:rPr>
              <w:tab/>
            </w:r>
            <w:r>
              <w:rPr>
                <w:sz w:val="20"/>
                <w:szCs w:val="20"/>
                <w:lang w:val="fr-CA"/>
              </w:rPr>
              <w:t xml:space="preserve">Langlois </w:t>
            </w:r>
            <w:proofErr w:type="spellStart"/>
            <w:r>
              <w:rPr>
                <w:sz w:val="20"/>
                <w:szCs w:val="20"/>
                <w:lang w:val="fr-CA"/>
              </w:rPr>
              <w:t>Kronström</w:t>
            </w:r>
            <w:proofErr w:type="spellEnd"/>
            <w:r>
              <w:rPr>
                <w:sz w:val="20"/>
                <w:szCs w:val="20"/>
                <w:lang w:val="fr-CA"/>
              </w:rPr>
              <w:t xml:space="preserve"> Desjardins</w:t>
            </w:r>
          </w:p>
          <w:p w:rsidR="00927205" w:rsidRPr="005E4D2D" w:rsidRDefault="00927205" w:rsidP="00927205">
            <w:pPr>
              <w:keepNext/>
              <w:keepLines/>
              <w:tabs>
                <w:tab w:val="left" w:pos="-1440"/>
                <w:tab w:val="left" w:pos="-720"/>
              </w:tabs>
              <w:rPr>
                <w:sz w:val="20"/>
                <w:szCs w:val="20"/>
                <w:lang w:val="fr-CA"/>
              </w:rPr>
            </w:pPr>
          </w:p>
          <w:p w:rsidR="00927205" w:rsidRPr="00A935AA" w:rsidRDefault="00927205" w:rsidP="00927205">
            <w:pPr>
              <w:rPr>
                <w:sz w:val="20"/>
                <w:szCs w:val="20"/>
              </w:rPr>
            </w:pPr>
            <w:r w:rsidRPr="00A935AA">
              <w:rPr>
                <w:sz w:val="20"/>
                <w:szCs w:val="20"/>
              </w:rPr>
              <w:t>DATE</w:t>
            </w:r>
            <w:r>
              <w:rPr>
                <w:sz w:val="20"/>
                <w:szCs w:val="20"/>
              </w:rPr>
              <w:t xml:space="preserve"> DE PRODUCTION </w:t>
            </w:r>
            <w:r w:rsidRPr="00A935AA">
              <w:rPr>
                <w:sz w:val="20"/>
                <w:szCs w:val="20"/>
              </w:rPr>
              <w:t>: 2</w:t>
            </w:r>
            <w:r>
              <w:rPr>
                <w:sz w:val="20"/>
                <w:szCs w:val="20"/>
              </w:rPr>
              <w:t>1</w:t>
            </w:r>
            <w:r w:rsidRPr="00A935AA">
              <w:rPr>
                <w:sz w:val="20"/>
                <w:szCs w:val="20"/>
              </w:rPr>
              <w:t>.0</w:t>
            </w:r>
            <w:r>
              <w:rPr>
                <w:sz w:val="20"/>
                <w:szCs w:val="20"/>
              </w:rPr>
              <w:t>2</w:t>
            </w:r>
            <w:r w:rsidRPr="00A935AA">
              <w:rPr>
                <w:sz w:val="20"/>
                <w:szCs w:val="20"/>
              </w:rPr>
              <w:t>.201</w:t>
            </w:r>
            <w:r>
              <w:rPr>
                <w:sz w:val="20"/>
                <w:szCs w:val="20"/>
              </w:rPr>
              <w:t>1</w:t>
            </w:r>
            <w:r w:rsidR="0004334C" w:rsidRPr="0004334C">
              <w:rPr>
                <w:sz w:val="20"/>
                <w:szCs w:val="20"/>
                <w:lang w:val="fr-CA"/>
              </w:rPr>
              <w:pict>
                <v:rect id="_x0000_i1044" style="width:108pt;height:1pt" o:hrpct="0" o:hralign="center" o:hrstd="t" o:hrnoshade="t" o:hr="t" fillcolor="black [3213]" stroked="f"/>
              </w:pict>
            </w:r>
          </w:p>
        </w:tc>
      </w:tr>
      <w:tr w:rsidR="00927205" w:rsidRPr="00A935AA" w:rsidTr="00707A29">
        <w:trPr>
          <w:cantSplit/>
        </w:trPr>
        <w:tc>
          <w:tcPr>
            <w:tcW w:w="4320" w:type="dxa"/>
            <w:shd w:val="clear" w:color="auto" w:fill="auto"/>
          </w:tcPr>
          <w:p w:rsidR="00927205" w:rsidRPr="00A935AA" w:rsidRDefault="00927205" w:rsidP="00BF37EB">
            <w:pPr>
              <w:rPr>
                <w:b/>
                <w:sz w:val="20"/>
                <w:szCs w:val="20"/>
              </w:rPr>
            </w:pPr>
            <w:r>
              <w:rPr>
                <w:b/>
                <w:sz w:val="20"/>
                <w:szCs w:val="20"/>
              </w:rPr>
              <w:t xml:space="preserve">M.B. </w:t>
            </w:r>
            <w:proofErr w:type="spellStart"/>
            <w:r>
              <w:rPr>
                <w:b/>
                <w:sz w:val="20"/>
                <w:szCs w:val="20"/>
              </w:rPr>
              <w:t>Kouri</w:t>
            </w:r>
            <w:proofErr w:type="spellEnd"/>
            <w:r>
              <w:rPr>
                <w:b/>
                <w:sz w:val="20"/>
                <w:szCs w:val="20"/>
              </w:rPr>
              <w:t xml:space="preserve"> Insurance Brokers Ltd. </w:t>
            </w:r>
          </w:p>
          <w:p w:rsidR="00927205" w:rsidRPr="00A935AA" w:rsidRDefault="00927205" w:rsidP="00BF37EB">
            <w:pPr>
              <w:tabs>
                <w:tab w:val="left" w:pos="-1440"/>
                <w:tab w:val="left" w:pos="-720"/>
              </w:tabs>
              <w:rPr>
                <w:sz w:val="20"/>
                <w:szCs w:val="20"/>
              </w:rPr>
            </w:pPr>
            <w:r w:rsidRPr="00A935AA">
              <w:rPr>
                <w:sz w:val="20"/>
                <w:szCs w:val="20"/>
              </w:rPr>
              <w:tab/>
            </w:r>
            <w:r>
              <w:rPr>
                <w:sz w:val="20"/>
                <w:szCs w:val="20"/>
              </w:rPr>
              <w:t>Kurt Pearson</w:t>
            </w:r>
          </w:p>
          <w:p w:rsidR="00927205" w:rsidRPr="00A935AA" w:rsidRDefault="00927205" w:rsidP="00BF37EB">
            <w:pPr>
              <w:tabs>
                <w:tab w:val="left" w:pos="-1440"/>
                <w:tab w:val="left" w:pos="-720"/>
              </w:tabs>
              <w:rPr>
                <w:sz w:val="20"/>
                <w:szCs w:val="20"/>
              </w:rPr>
            </w:pPr>
            <w:r w:rsidRPr="00A935AA">
              <w:rPr>
                <w:sz w:val="20"/>
                <w:szCs w:val="20"/>
              </w:rPr>
              <w:tab/>
            </w:r>
            <w:r>
              <w:rPr>
                <w:sz w:val="20"/>
                <w:szCs w:val="20"/>
              </w:rPr>
              <w:t xml:space="preserve">Cunningham, Swan, Carty, Little &amp; </w:t>
            </w:r>
            <w:r>
              <w:rPr>
                <w:sz w:val="20"/>
                <w:szCs w:val="20"/>
              </w:rPr>
              <w:tab/>
              <w:t>Bonham</w:t>
            </w:r>
          </w:p>
          <w:p w:rsidR="00927205" w:rsidRPr="00A935AA" w:rsidRDefault="00927205" w:rsidP="00BF37EB">
            <w:pPr>
              <w:tabs>
                <w:tab w:val="left" w:pos="-1440"/>
                <w:tab w:val="left" w:pos="-720"/>
              </w:tabs>
              <w:rPr>
                <w:sz w:val="20"/>
                <w:szCs w:val="20"/>
              </w:rPr>
            </w:pPr>
          </w:p>
          <w:p w:rsidR="00927205" w:rsidRPr="00A935AA" w:rsidRDefault="00927205" w:rsidP="00BF37EB">
            <w:pPr>
              <w:tabs>
                <w:tab w:val="left" w:pos="-1440"/>
                <w:tab w:val="left" w:pos="-720"/>
              </w:tabs>
              <w:rPr>
                <w:sz w:val="20"/>
                <w:szCs w:val="20"/>
              </w:rPr>
            </w:pPr>
            <w:r w:rsidRPr="00A935AA">
              <w:rPr>
                <w:sz w:val="20"/>
                <w:szCs w:val="20"/>
              </w:rPr>
              <w:tab/>
              <w:t>v. (3</w:t>
            </w:r>
            <w:r>
              <w:rPr>
                <w:sz w:val="20"/>
                <w:szCs w:val="20"/>
              </w:rPr>
              <w:t>4113</w:t>
            </w:r>
            <w:r w:rsidRPr="00A935AA">
              <w:rPr>
                <w:sz w:val="20"/>
                <w:szCs w:val="20"/>
              </w:rPr>
              <w:t>)</w:t>
            </w:r>
          </w:p>
          <w:p w:rsidR="00927205" w:rsidRPr="00A935AA" w:rsidRDefault="00927205" w:rsidP="00BF37EB">
            <w:pPr>
              <w:tabs>
                <w:tab w:val="left" w:pos="-1440"/>
                <w:tab w:val="left" w:pos="-720"/>
              </w:tabs>
              <w:rPr>
                <w:sz w:val="20"/>
                <w:szCs w:val="20"/>
              </w:rPr>
            </w:pPr>
          </w:p>
          <w:p w:rsidR="00927205" w:rsidRPr="00A935AA" w:rsidRDefault="00927205" w:rsidP="00BF37EB">
            <w:pPr>
              <w:tabs>
                <w:tab w:val="left" w:pos="-1440"/>
                <w:tab w:val="left" w:pos="-720"/>
              </w:tabs>
              <w:rPr>
                <w:b/>
                <w:sz w:val="20"/>
                <w:szCs w:val="20"/>
              </w:rPr>
            </w:pPr>
            <w:r>
              <w:rPr>
                <w:b/>
                <w:sz w:val="20"/>
                <w:szCs w:val="20"/>
              </w:rPr>
              <w:t>Ecclesiastical Insurance Office Public Limited Company (</w:t>
            </w:r>
            <w:proofErr w:type="spellStart"/>
            <w:r>
              <w:rPr>
                <w:b/>
                <w:sz w:val="20"/>
                <w:szCs w:val="20"/>
              </w:rPr>
              <w:t>Société</w:t>
            </w:r>
            <w:proofErr w:type="spellEnd"/>
            <w:r>
              <w:rPr>
                <w:b/>
                <w:sz w:val="20"/>
                <w:szCs w:val="20"/>
              </w:rPr>
              <w:t xml:space="preserve"> des assurances </w:t>
            </w:r>
            <w:proofErr w:type="spellStart"/>
            <w:r>
              <w:rPr>
                <w:b/>
                <w:sz w:val="20"/>
                <w:szCs w:val="20"/>
              </w:rPr>
              <w:t>ecclesiastiques</w:t>
            </w:r>
            <w:proofErr w:type="spellEnd"/>
            <w:r>
              <w:rPr>
                <w:b/>
                <w:sz w:val="20"/>
                <w:szCs w:val="20"/>
              </w:rPr>
              <w:t xml:space="preserve">) </w:t>
            </w:r>
            <w:r w:rsidRPr="00A935AA">
              <w:rPr>
                <w:b/>
                <w:sz w:val="20"/>
                <w:szCs w:val="20"/>
              </w:rPr>
              <w:t>(</w:t>
            </w:r>
            <w:r>
              <w:rPr>
                <w:b/>
                <w:sz w:val="20"/>
                <w:szCs w:val="20"/>
              </w:rPr>
              <w:t>Ont</w:t>
            </w:r>
            <w:r w:rsidRPr="00A935AA">
              <w:rPr>
                <w:b/>
                <w:sz w:val="20"/>
                <w:szCs w:val="20"/>
              </w:rPr>
              <w:t>.)</w:t>
            </w:r>
          </w:p>
          <w:p w:rsidR="00927205" w:rsidRPr="00A935AA" w:rsidRDefault="00927205" w:rsidP="00BF37EB">
            <w:pPr>
              <w:tabs>
                <w:tab w:val="left" w:pos="-1440"/>
                <w:tab w:val="left" w:pos="-720"/>
              </w:tabs>
              <w:rPr>
                <w:sz w:val="20"/>
                <w:szCs w:val="20"/>
              </w:rPr>
            </w:pPr>
            <w:r w:rsidRPr="00A935AA">
              <w:rPr>
                <w:sz w:val="20"/>
                <w:szCs w:val="20"/>
              </w:rPr>
              <w:tab/>
            </w:r>
            <w:proofErr w:type="spellStart"/>
            <w:r>
              <w:rPr>
                <w:sz w:val="20"/>
                <w:szCs w:val="20"/>
              </w:rPr>
              <w:t>Marg</w:t>
            </w:r>
            <w:proofErr w:type="spellEnd"/>
            <w:r>
              <w:rPr>
                <w:sz w:val="20"/>
                <w:szCs w:val="20"/>
              </w:rPr>
              <w:t xml:space="preserve"> A. </w:t>
            </w:r>
            <w:proofErr w:type="spellStart"/>
            <w:r>
              <w:rPr>
                <w:sz w:val="20"/>
                <w:szCs w:val="20"/>
              </w:rPr>
              <w:t>McKillop</w:t>
            </w:r>
            <w:proofErr w:type="spellEnd"/>
          </w:p>
          <w:p w:rsidR="00927205" w:rsidRPr="00A935AA" w:rsidRDefault="00927205" w:rsidP="00927205">
            <w:pPr>
              <w:tabs>
                <w:tab w:val="left" w:pos="-1440"/>
                <w:tab w:val="left" w:pos="-720"/>
              </w:tabs>
              <w:rPr>
                <w:sz w:val="20"/>
                <w:szCs w:val="20"/>
              </w:rPr>
            </w:pPr>
            <w:r w:rsidRPr="00A935AA">
              <w:rPr>
                <w:sz w:val="20"/>
                <w:szCs w:val="20"/>
              </w:rPr>
              <w:tab/>
            </w:r>
            <w:proofErr w:type="spellStart"/>
            <w:r>
              <w:rPr>
                <w:sz w:val="20"/>
                <w:szCs w:val="20"/>
              </w:rPr>
              <w:t>Kerczner</w:t>
            </w:r>
            <w:proofErr w:type="spellEnd"/>
            <w:r>
              <w:rPr>
                <w:sz w:val="20"/>
                <w:szCs w:val="20"/>
              </w:rPr>
              <w:t xml:space="preserve">, </w:t>
            </w:r>
            <w:proofErr w:type="spellStart"/>
            <w:r>
              <w:rPr>
                <w:sz w:val="20"/>
                <w:szCs w:val="20"/>
              </w:rPr>
              <w:t>MacDermid</w:t>
            </w:r>
            <w:proofErr w:type="spellEnd"/>
            <w:r>
              <w:rPr>
                <w:sz w:val="20"/>
                <w:szCs w:val="20"/>
              </w:rPr>
              <w:t xml:space="preserve">, </w:t>
            </w:r>
            <w:proofErr w:type="spellStart"/>
            <w:r>
              <w:rPr>
                <w:sz w:val="20"/>
                <w:szCs w:val="20"/>
              </w:rPr>
              <w:t>McKillop</w:t>
            </w:r>
            <w:proofErr w:type="spellEnd"/>
          </w:p>
        </w:tc>
        <w:tc>
          <w:tcPr>
            <w:tcW w:w="1181" w:type="dxa"/>
            <w:shd w:val="clear" w:color="auto" w:fill="auto"/>
          </w:tcPr>
          <w:p w:rsidR="00927205" w:rsidRDefault="00927205" w:rsidP="00CD1F41">
            <w:pPr>
              <w:jc w:val="center"/>
              <w:rPr>
                <w:sz w:val="20"/>
                <w:szCs w:val="20"/>
              </w:rPr>
            </w:pPr>
          </w:p>
          <w:p w:rsidR="00927205" w:rsidRDefault="00927205" w:rsidP="00CD1F41">
            <w:pPr>
              <w:jc w:val="center"/>
              <w:rPr>
                <w:sz w:val="20"/>
                <w:szCs w:val="20"/>
              </w:rPr>
            </w:pPr>
          </w:p>
          <w:p w:rsidR="00927205" w:rsidRDefault="00927205" w:rsidP="00CD1F41">
            <w:pPr>
              <w:jc w:val="center"/>
              <w:rPr>
                <w:sz w:val="20"/>
                <w:szCs w:val="20"/>
              </w:rPr>
            </w:pPr>
          </w:p>
          <w:p w:rsidR="00927205" w:rsidRDefault="00927205" w:rsidP="00CD1F41">
            <w:pPr>
              <w:jc w:val="center"/>
              <w:rPr>
                <w:sz w:val="20"/>
                <w:szCs w:val="20"/>
              </w:rPr>
            </w:pPr>
          </w:p>
          <w:p w:rsidR="00927205" w:rsidRDefault="00927205" w:rsidP="00CD1F41">
            <w:pPr>
              <w:jc w:val="center"/>
              <w:rPr>
                <w:sz w:val="20"/>
                <w:szCs w:val="20"/>
              </w:rPr>
            </w:pPr>
          </w:p>
          <w:p w:rsidR="00927205" w:rsidRDefault="00927205" w:rsidP="00CD1F41">
            <w:pPr>
              <w:jc w:val="center"/>
              <w:rPr>
                <w:sz w:val="20"/>
                <w:szCs w:val="20"/>
              </w:rPr>
            </w:pPr>
          </w:p>
          <w:p w:rsidR="00927205" w:rsidRDefault="00927205" w:rsidP="00CD1F41">
            <w:pPr>
              <w:jc w:val="center"/>
              <w:rPr>
                <w:sz w:val="20"/>
                <w:szCs w:val="20"/>
              </w:rPr>
            </w:pPr>
          </w:p>
          <w:p w:rsidR="00927205" w:rsidRDefault="00927205" w:rsidP="00CD1F41">
            <w:pPr>
              <w:jc w:val="center"/>
              <w:rPr>
                <w:sz w:val="20"/>
                <w:szCs w:val="20"/>
              </w:rPr>
            </w:pPr>
          </w:p>
          <w:p w:rsidR="00927205" w:rsidRDefault="00927205" w:rsidP="00CD1F41">
            <w:pPr>
              <w:jc w:val="center"/>
              <w:rPr>
                <w:sz w:val="20"/>
                <w:szCs w:val="20"/>
              </w:rPr>
            </w:pPr>
          </w:p>
          <w:p w:rsidR="00927205" w:rsidRDefault="00927205" w:rsidP="00CD1F41">
            <w:pPr>
              <w:jc w:val="center"/>
              <w:rPr>
                <w:sz w:val="20"/>
                <w:szCs w:val="20"/>
              </w:rPr>
            </w:pPr>
          </w:p>
          <w:p w:rsidR="00927205" w:rsidRDefault="00927205" w:rsidP="00CD1F41">
            <w:pPr>
              <w:jc w:val="center"/>
              <w:rPr>
                <w:sz w:val="20"/>
                <w:szCs w:val="20"/>
              </w:rPr>
            </w:pPr>
          </w:p>
          <w:p w:rsidR="00927205" w:rsidRPr="00A935AA" w:rsidRDefault="00927205" w:rsidP="00CD1F41">
            <w:pPr>
              <w:jc w:val="center"/>
              <w:rPr>
                <w:sz w:val="20"/>
                <w:szCs w:val="20"/>
              </w:rPr>
            </w:pPr>
          </w:p>
        </w:tc>
        <w:tc>
          <w:tcPr>
            <w:tcW w:w="4320" w:type="dxa"/>
            <w:shd w:val="clear" w:color="auto" w:fill="auto"/>
          </w:tcPr>
          <w:p w:rsidR="00927205" w:rsidRDefault="00927205" w:rsidP="005E4D2D">
            <w:pPr>
              <w:rPr>
                <w:b/>
                <w:sz w:val="20"/>
                <w:szCs w:val="20"/>
              </w:rPr>
            </w:pPr>
            <w:r>
              <w:rPr>
                <w:b/>
                <w:sz w:val="20"/>
                <w:szCs w:val="20"/>
              </w:rPr>
              <w:t>L.S.</w:t>
            </w:r>
          </w:p>
          <w:p w:rsidR="00927205" w:rsidRDefault="00927205" w:rsidP="005E4D2D">
            <w:pPr>
              <w:rPr>
                <w:sz w:val="20"/>
                <w:szCs w:val="20"/>
              </w:rPr>
            </w:pPr>
            <w:r>
              <w:rPr>
                <w:sz w:val="20"/>
                <w:szCs w:val="20"/>
              </w:rPr>
              <w:tab/>
              <w:t xml:space="preserve">Miriam </w:t>
            </w:r>
            <w:proofErr w:type="spellStart"/>
            <w:r>
              <w:rPr>
                <w:sz w:val="20"/>
                <w:szCs w:val="20"/>
              </w:rPr>
              <w:t>Grassby</w:t>
            </w:r>
            <w:proofErr w:type="spellEnd"/>
          </w:p>
          <w:p w:rsidR="00927205" w:rsidRDefault="00927205" w:rsidP="005E4D2D">
            <w:pPr>
              <w:rPr>
                <w:sz w:val="20"/>
                <w:szCs w:val="20"/>
              </w:rPr>
            </w:pPr>
            <w:r>
              <w:rPr>
                <w:sz w:val="20"/>
                <w:szCs w:val="20"/>
              </w:rPr>
              <w:tab/>
            </w:r>
            <w:proofErr w:type="spellStart"/>
            <w:r>
              <w:rPr>
                <w:sz w:val="20"/>
                <w:szCs w:val="20"/>
              </w:rPr>
              <w:t>Grassby</w:t>
            </w:r>
            <w:proofErr w:type="spellEnd"/>
            <w:r>
              <w:rPr>
                <w:sz w:val="20"/>
                <w:szCs w:val="20"/>
              </w:rPr>
              <w:t xml:space="preserve"> &amp; </w:t>
            </w:r>
            <w:proofErr w:type="spellStart"/>
            <w:r>
              <w:rPr>
                <w:sz w:val="20"/>
                <w:szCs w:val="20"/>
              </w:rPr>
              <w:t>Associés</w:t>
            </w:r>
            <w:proofErr w:type="spellEnd"/>
          </w:p>
          <w:p w:rsidR="00927205" w:rsidRDefault="00927205" w:rsidP="005E4D2D">
            <w:pPr>
              <w:rPr>
                <w:sz w:val="20"/>
                <w:szCs w:val="20"/>
              </w:rPr>
            </w:pPr>
          </w:p>
          <w:p w:rsidR="00927205" w:rsidRPr="005F3D4C" w:rsidRDefault="00927205" w:rsidP="005E4D2D">
            <w:pPr>
              <w:rPr>
                <w:sz w:val="20"/>
                <w:szCs w:val="20"/>
                <w:lang w:val="fr-CA"/>
              </w:rPr>
            </w:pPr>
            <w:r>
              <w:rPr>
                <w:sz w:val="20"/>
                <w:szCs w:val="20"/>
              </w:rPr>
              <w:tab/>
            </w:r>
            <w:r w:rsidRPr="005F3D4C">
              <w:rPr>
                <w:sz w:val="20"/>
                <w:szCs w:val="20"/>
                <w:lang w:val="fr-CA"/>
              </w:rPr>
              <w:t>v. (34114)</w:t>
            </w:r>
          </w:p>
          <w:p w:rsidR="00927205" w:rsidRPr="005F3D4C" w:rsidRDefault="00927205" w:rsidP="005E4D2D">
            <w:pPr>
              <w:rPr>
                <w:sz w:val="20"/>
                <w:szCs w:val="20"/>
                <w:lang w:val="fr-CA"/>
              </w:rPr>
            </w:pPr>
          </w:p>
          <w:p w:rsidR="00927205" w:rsidRPr="005F3D4C" w:rsidRDefault="00927205" w:rsidP="005E4D2D">
            <w:pPr>
              <w:rPr>
                <w:b/>
                <w:sz w:val="20"/>
                <w:szCs w:val="20"/>
                <w:lang w:val="fr-CA"/>
              </w:rPr>
            </w:pPr>
            <w:r w:rsidRPr="005F3D4C">
              <w:rPr>
                <w:b/>
                <w:sz w:val="20"/>
                <w:szCs w:val="20"/>
                <w:lang w:val="fr-CA"/>
              </w:rPr>
              <w:t>D.G. (Q</w:t>
            </w:r>
            <w:r w:rsidR="000F0D8A" w:rsidRPr="005F3D4C">
              <w:rPr>
                <w:b/>
                <w:sz w:val="20"/>
                <w:szCs w:val="20"/>
                <w:lang w:val="fr-CA"/>
              </w:rPr>
              <w:t>ue.</w:t>
            </w:r>
            <w:r w:rsidRPr="005F3D4C">
              <w:rPr>
                <w:b/>
                <w:sz w:val="20"/>
                <w:szCs w:val="20"/>
                <w:lang w:val="fr-CA"/>
              </w:rPr>
              <w:t>)</w:t>
            </w:r>
          </w:p>
          <w:p w:rsidR="00927205" w:rsidRPr="005F3D4C" w:rsidRDefault="00927205" w:rsidP="005E4D2D">
            <w:pPr>
              <w:rPr>
                <w:sz w:val="20"/>
                <w:szCs w:val="20"/>
                <w:lang w:val="fr-CA"/>
              </w:rPr>
            </w:pPr>
            <w:r w:rsidRPr="005F3D4C">
              <w:rPr>
                <w:sz w:val="20"/>
                <w:szCs w:val="20"/>
                <w:lang w:val="fr-CA"/>
              </w:rPr>
              <w:tab/>
              <w:t xml:space="preserve">Suzanne </w:t>
            </w:r>
            <w:r w:rsidR="000C712D" w:rsidRPr="005F3D4C">
              <w:rPr>
                <w:sz w:val="20"/>
                <w:szCs w:val="20"/>
                <w:lang w:val="fr-CA"/>
              </w:rPr>
              <w:t xml:space="preserve">H. </w:t>
            </w:r>
            <w:proofErr w:type="spellStart"/>
            <w:r w:rsidRPr="005F3D4C">
              <w:rPr>
                <w:sz w:val="20"/>
                <w:szCs w:val="20"/>
                <w:lang w:val="fr-CA"/>
              </w:rPr>
              <w:t>Pringle</w:t>
            </w:r>
            <w:proofErr w:type="spellEnd"/>
          </w:p>
          <w:p w:rsidR="00927205" w:rsidRPr="005F3D4C" w:rsidRDefault="00927205" w:rsidP="005E4D2D">
            <w:pPr>
              <w:rPr>
                <w:sz w:val="20"/>
                <w:szCs w:val="20"/>
                <w:lang w:val="fr-CA"/>
              </w:rPr>
            </w:pPr>
          </w:p>
          <w:p w:rsidR="00927205" w:rsidRDefault="00927205" w:rsidP="005E4D2D">
            <w:pPr>
              <w:rPr>
                <w:sz w:val="20"/>
                <w:szCs w:val="20"/>
              </w:rPr>
            </w:pPr>
            <w:r>
              <w:rPr>
                <w:sz w:val="20"/>
                <w:szCs w:val="20"/>
              </w:rPr>
              <w:t>FILING DATE: 22.02.2011</w:t>
            </w:r>
          </w:p>
          <w:p w:rsidR="00927205" w:rsidRPr="00927205" w:rsidRDefault="0004334C" w:rsidP="005E4D2D">
            <w:pPr>
              <w:rPr>
                <w:sz w:val="20"/>
                <w:szCs w:val="20"/>
              </w:rPr>
            </w:pPr>
            <w:r w:rsidRPr="0004334C">
              <w:rPr>
                <w:sz w:val="20"/>
                <w:szCs w:val="20"/>
                <w:lang w:val="fr-CA"/>
              </w:rPr>
              <w:pict>
                <v:rect id="_x0000_i1045" style="width:108pt;height:1pt" o:hrpct="0" o:hralign="center" o:hrstd="t" o:hrnoshade="t" o:hr="t" fillcolor="black [3213]" stroked="f"/>
              </w:pict>
            </w:r>
          </w:p>
        </w:tc>
      </w:tr>
      <w:tr w:rsidR="00927205" w:rsidRPr="00A935AA" w:rsidTr="00707A29">
        <w:trPr>
          <w:cantSplit/>
        </w:trPr>
        <w:tc>
          <w:tcPr>
            <w:tcW w:w="4320" w:type="dxa"/>
            <w:shd w:val="clear" w:color="auto" w:fill="auto"/>
          </w:tcPr>
          <w:p w:rsidR="00927205" w:rsidRDefault="00927205" w:rsidP="00927205">
            <w:pPr>
              <w:rPr>
                <w:sz w:val="20"/>
                <w:szCs w:val="20"/>
              </w:rPr>
            </w:pPr>
          </w:p>
          <w:p w:rsidR="00927205" w:rsidRPr="00A935AA" w:rsidRDefault="00927205" w:rsidP="00927205">
            <w:pPr>
              <w:rPr>
                <w:sz w:val="20"/>
                <w:szCs w:val="20"/>
              </w:rPr>
            </w:pPr>
            <w:r w:rsidRPr="00A935AA">
              <w:rPr>
                <w:sz w:val="20"/>
                <w:szCs w:val="20"/>
              </w:rPr>
              <w:t xml:space="preserve">FILING DATE: </w:t>
            </w:r>
            <w:r>
              <w:rPr>
                <w:sz w:val="20"/>
                <w:szCs w:val="20"/>
              </w:rPr>
              <w:t>21</w:t>
            </w:r>
            <w:r w:rsidRPr="00A935AA">
              <w:rPr>
                <w:sz w:val="20"/>
                <w:szCs w:val="20"/>
              </w:rPr>
              <w:t>.0</w:t>
            </w:r>
            <w:r>
              <w:rPr>
                <w:sz w:val="20"/>
                <w:szCs w:val="20"/>
              </w:rPr>
              <w:t>2</w:t>
            </w:r>
            <w:r w:rsidRPr="00A935AA">
              <w:rPr>
                <w:sz w:val="20"/>
                <w:szCs w:val="20"/>
              </w:rPr>
              <w:t>.201</w:t>
            </w:r>
            <w:r>
              <w:rPr>
                <w:sz w:val="20"/>
                <w:szCs w:val="20"/>
              </w:rPr>
              <w:t>1</w:t>
            </w:r>
          </w:p>
          <w:p w:rsidR="00927205" w:rsidRDefault="0004334C" w:rsidP="00927205">
            <w:pPr>
              <w:rPr>
                <w:sz w:val="20"/>
                <w:szCs w:val="20"/>
                <w:lang w:val="fr-CA"/>
              </w:rPr>
            </w:pPr>
            <w:r w:rsidRPr="0004334C">
              <w:rPr>
                <w:sz w:val="20"/>
                <w:szCs w:val="20"/>
                <w:lang w:val="fr-CA"/>
              </w:rPr>
              <w:pict>
                <v:rect id="_x0000_i1046" style="width:108pt;height:1pt" o:hrpct="0" o:hralign="center" o:hrstd="t" o:hrnoshade="t" o:hr="t" fillcolor="black [3213]" stroked="f"/>
              </w:pict>
            </w:r>
          </w:p>
          <w:p w:rsidR="00927205" w:rsidRDefault="00927205" w:rsidP="00927205">
            <w:pPr>
              <w:rPr>
                <w:sz w:val="20"/>
                <w:szCs w:val="20"/>
                <w:lang w:val="fr-CA"/>
              </w:rPr>
            </w:pPr>
          </w:p>
          <w:p w:rsidR="00927205" w:rsidRPr="007D14B5" w:rsidRDefault="00927205" w:rsidP="00927205">
            <w:pPr>
              <w:rPr>
                <w:sz w:val="20"/>
                <w:szCs w:val="20"/>
              </w:rPr>
            </w:pPr>
            <w:proofErr w:type="spellStart"/>
            <w:r w:rsidRPr="007D14B5">
              <w:rPr>
                <w:b/>
                <w:sz w:val="20"/>
                <w:szCs w:val="20"/>
              </w:rPr>
              <w:t>Farid</w:t>
            </w:r>
            <w:proofErr w:type="spellEnd"/>
            <w:r w:rsidRPr="007D14B5">
              <w:rPr>
                <w:b/>
                <w:sz w:val="20"/>
                <w:szCs w:val="20"/>
              </w:rPr>
              <w:t xml:space="preserve"> </w:t>
            </w:r>
            <w:proofErr w:type="spellStart"/>
            <w:r w:rsidRPr="007D14B5">
              <w:rPr>
                <w:b/>
                <w:sz w:val="20"/>
                <w:szCs w:val="20"/>
              </w:rPr>
              <w:t>Kattous</w:t>
            </w:r>
            <w:proofErr w:type="spellEnd"/>
          </w:p>
          <w:p w:rsidR="00927205" w:rsidRPr="007D14B5" w:rsidRDefault="00927205" w:rsidP="00927205">
            <w:pPr>
              <w:rPr>
                <w:sz w:val="20"/>
                <w:szCs w:val="20"/>
              </w:rPr>
            </w:pPr>
            <w:r w:rsidRPr="007D14B5">
              <w:rPr>
                <w:sz w:val="20"/>
                <w:szCs w:val="20"/>
              </w:rPr>
              <w:tab/>
            </w:r>
            <w:proofErr w:type="spellStart"/>
            <w:r w:rsidRPr="007D14B5">
              <w:rPr>
                <w:sz w:val="20"/>
                <w:szCs w:val="20"/>
              </w:rPr>
              <w:t>Farid</w:t>
            </w:r>
            <w:proofErr w:type="spellEnd"/>
            <w:r w:rsidRPr="007D14B5">
              <w:rPr>
                <w:sz w:val="20"/>
                <w:szCs w:val="20"/>
              </w:rPr>
              <w:t xml:space="preserve"> </w:t>
            </w:r>
            <w:proofErr w:type="spellStart"/>
            <w:r w:rsidRPr="007D14B5">
              <w:rPr>
                <w:sz w:val="20"/>
                <w:szCs w:val="20"/>
              </w:rPr>
              <w:t>Kattous</w:t>
            </w:r>
            <w:proofErr w:type="spellEnd"/>
          </w:p>
          <w:p w:rsidR="00927205" w:rsidRPr="007D14B5" w:rsidRDefault="00927205" w:rsidP="00927205">
            <w:pPr>
              <w:rPr>
                <w:sz w:val="20"/>
                <w:szCs w:val="20"/>
              </w:rPr>
            </w:pPr>
          </w:p>
          <w:p w:rsidR="00927205" w:rsidRDefault="00927205" w:rsidP="00927205">
            <w:pPr>
              <w:rPr>
                <w:sz w:val="20"/>
                <w:szCs w:val="20"/>
              </w:rPr>
            </w:pPr>
            <w:r w:rsidRPr="007D14B5">
              <w:rPr>
                <w:sz w:val="20"/>
                <w:szCs w:val="20"/>
              </w:rPr>
              <w:tab/>
            </w:r>
            <w:r w:rsidRPr="00927205">
              <w:rPr>
                <w:sz w:val="20"/>
                <w:szCs w:val="20"/>
              </w:rPr>
              <w:t>c. (</w:t>
            </w:r>
            <w:r>
              <w:rPr>
                <w:sz w:val="20"/>
                <w:szCs w:val="20"/>
              </w:rPr>
              <w:t>34127)</w:t>
            </w:r>
          </w:p>
          <w:p w:rsidR="00927205" w:rsidRDefault="00927205" w:rsidP="00927205">
            <w:pPr>
              <w:rPr>
                <w:sz w:val="20"/>
                <w:szCs w:val="20"/>
              </w:rPr>
            </w:pPr>
          </w:p>
          <w:p w:rsidR="00927205" w:rsidRPr="007D14B5" w:rsidRDefault="00DA5001" w:rsidP="00927205">
            <w:pPr>
              <w:rPr>
                <w:sz w:val="20"/>
                <w:szCs w:val="20"/>
                <w:lang w:val="fr-CA"/>
              </w:rPr>
            </w:pPr>
            <w:r w:rsidRPr="007D14B5">
              <w:rPr>
                <w:b/>
                <w:sz w:val="20"/>
                <w:szCs w:val="20"/>
                <w:lang w:val="fr-CA"/>
              </w:rPr>
              <w:t>Amex Canada Inc. (</w:t>
            </w:r>
            <w:proofErr w:type="spellStart"/>
            <w:r w:rsidRPr="007D14B5">
              <w:rPr>
                <w:b/>
                <w:sz w:val="20"/>
                <w:szCs w:val="20"/>
                <w:lang w:val="fr-CA"/>
              </w:rPr>
              <w:t>Qc</w:t>
            </w:r>
            <w:proofErr w:type="spellEnd"/>
            <w:r w:rsidRPr="007D14B5">
              <w:rPr>
                <w:b/>
                <w:sz w:val="20"/>
                <w:szCs w:val="20"/>
                <w:lang w:val="fr-CA"/>
              </w:rPr>
              <w:t>)</w:t>
            </w:r>
          </w:p>
          <w:p w:rsidR="00DA5001" w:rsidRPr="007D14B5" w:rsidRDefault="00DA5001" w:rsidP="00927205">
            <w:pPr>
              <w:rPr>
                <w:sz w:val="20"/>
                <w:szCs w:val="20"/>
                <w:lang w:val="fr-CA"/>
              </w:rPr>
            </w:pPr>
            <w:r w:rsidRPr="007D14B5">
              <w:rPr>
                <w:sz w:val="20"/>
                <w:szCs w:val="20"/>
                <w:lang w:val="fr-CA"/>
              </w:rPr>
              <w:tab/>
              <w:t xml:space="preserve">Carine </w:t>
            </w:r>
            <w:proofErr w:type="spellStart"/>
            <w:r w:rsidRPr="007D14B5">
              <w:rPr>
                <w:sz w:val="20"/>
                <w:szCs w:val="20"/>
                <w:lang w:val="fr-CA"/>
              </w:rPr>
              <w:t>Bouzaglou</w:t>
            </w:r>
            <w:proofErr w:type="spellEnd"/>
          </w:p>
          <w:p w:rsidR="00DA5001" w:rsidRDefault="00DA5001" w:rsidP="00927205">
            <w:pPr>
              <w:rPr>
                <w:sz w:val="20"/>
                <w:szCs w:val="20"/>
              </w:rPr>
            </w:pPr>
            <w:r w:rsidRPr="007D14B5">
              <w:rPr>
                <w:sz w:val="20"/>
                <w:szCs w:val="20"/>
                <w:lang w:val="fr-CA"/>
              </w:rPr>
              <w:tab/>
            </w:r>
            <w:r>
              <w:rPr>
                <w:sz w:val="20"/>
                <w:szCs w:val="20"/>
              </w:rPr>
              <w:t xml:space="preserve">Osler, </w:t>
            </w:r>
            <w:proofErr w:type="spellStart"/>
            <w:r>
              <w:rPr>
                <w:sz w:val="20"/>
                <w:szCs w:val="20"/>
              </w:rPr>
              <w:t>Hoskin</w:t>
            </w:r>
            <w:proofErr w:type="spellEnd"/>
            <w:r>
              <w:rPr>
                <w:sz w:val="20"/>
                <w:szCs w:val="20"/>
              </w:rPr>
              <w:t xml:space="preserve"> &amp; Harcourt LLP</w:t>
            </w:r>
          </w:p>
          <w:p w:rsidR="00DA5001" w:rsidRDefault="00DA5001" w:rsidP="00927205">
            <w:pPr>
              <w:rPr>
                <w:sz w:val="20"/>
                <w:szCs w:val="20"/>
              </w:rPr>
            </w:pPr>
          </w:p>
          <w:p w:rsidR="00DA5001" w:rsidRDefault="00DA5001" w:rsidP="00927205">
            <w:pPr>
              <w:rPr>
                <w:sz w:val="20"/>
                <w:szCs w:val="20"/>
              </w:rPr>
            </w:pPr>
            <w:r>
              <w:rPr>
                <w:sz w:val="20"/>
                <w:szCs w:val="20"/>
              </w:rPr>
              <w:t>DATE DE PRODUCTION : 22.02.2011</w:t>
            </w:r>
          </w:p>
          <w:p w:rsidR="00DA5001" w:rsidRPr="00DA5001" w:rsidRDefault="0004334C" w:rsidP="00927205">
            <w:pPr>
              <w:rPr>
                <w:sz w:val="20"/>
                <w:szCs w:val="20"/>
              </w:rPr>
            </w:pPr>
            <w:r w:rsidRPr="0004334C">
              <w:rPr>
                <w:sz w:val="20"/>
                <w:szCs w:val="20"/>
                <w:lang w:val="fr-CA"/>
              </w:rPr>
              <w:pict>
                <v:rect id="_x0000_i1047" style="width:108pt;height:1pt" o:hrpct="0" o:hralign="center" o:hrstd="t" o:hrnoshade="t" o:hr="t" fillcolor="black [3213]" stroked="f"/>
              </w:pict>
            </w:r>
          </w:p>
        </w:tc>
        <w:tc>
          <w:tcPr>
            <w:tcW w:w="1181" w:type="dxa"/>
            <w:shd w:val="clear" w:color="auto" w:fill="auto"/>
          </w:tcPr>
          <w:p w:rsidR="00927205" w:rsidRDefault="00927205" w:rsidP="00CD1F41">
            <w:pPr>
              <w:jc w:val="center"/>
              <w:rPr>
                <w:sz w:val="20"/>
                <w:szCs w:val="20"/>
              </w:rPr>
            </w:pPr>
          </w:p>
          <w:p w:rsidR="002C079C" w:rsidRDefault="002C079C" w:rsidP="00CD1F41">
            <w:pPr>
              <w:jc w:val="center"/>
              <w:rPr>
                <w:sz w:val="20"/>
                <w:szCs w:val="20"/>
              </w:rPr>
            </w:pPr>
          </w:p>
          <w:p w:rsidR="002C079C" w:rsidRDefault="002C079C" w:rsidP="00CD1F41">
            <w:pPr>
              <w:jc w:val="center"/>
              <w:rPr>
                <w:sz w:val="20"/>
                <w:szCs w:val="20"/>
              </w:rPr>
            </w:pPr>
          </w:p>
          <w:p w:rsidR="002C079C" w:rsidRDefault="002C079C" w:rsidP="00CD1F41">
            <w:pPr>
              <w:jc w:val="center"/>
              <w:rPr>
                <w:sz w:val="20"/>
                <w:szCs w:val="20"/>
              </w:rPr>
            </w:pPr>
          </w:p>
          <w:p w:rsidR="002C079C" w:rsidRDefault="002C079C" w:rsidP="00CD1F41">
            <w:pPr>
              <w:jc w:val="center"/>
              <w:rPr>
                <w:sz w:val="20"/>
                <w:szCs w:val="20"/>
              </w:rPr>
            </w:pPr>
          </w:p>
          <w:p w:rsidR="002C079C" w:rsidRDefault="002C079C" w:rsidP="00CD1F41">
            <w:pPr>
              <w:jc w:val="center"/>
              <w:rPr>
                <w:sz w:val="20"/>
                <w:szCs w:val="20"/>
              </w:rPr>
            </w:pPr>
          </w:p>
          <w:p w:rsidR="002C079C" w:rsidRDefault="002C079C" w:rsidP="00CD1F41">
            <w:pPr>
              <w:jc w:val="center"/>
              <w:rPr>
                <w:sz w:val="20"/>
                <w:szCs w:val="20"/>
              </w:rPr>
            </w:pPr>
          </w:p>
          <w:p w:rsidR="002C079C" w:rsidRDefault="002C079C" w:rsidP="00CD1F41">
            <w:pPr>
              <w:jc w:val="center"/>
              <w:rPr>
                <w:sz w:val="20"/>
                <w:szCs w:val="20"/>
              </w:rPr>
            </w:pPr>
          </w:p>
          <w:p w:rsidR="002C079C" w:rsidRDefault="002C079C" w:rsidP="00CD1F41">
            <w:pPr>
              <w:jc w:val="center"/>
              <w:rPr>
                <w:sz w:val="20"/>
                <w:szCs w:val="20"/>
              </w:rPr>
            </w:pPr>
          </w:p>
          <w:p w:rsidR="002C079C" w:rsidRDefault="002C079C" w:rsidP="00CD1F41">
            <w:pPr>
              <w:jc w:val="center"/>
              <w:rPr>
                <w:sz w:val="20"/>
                <w:szCs w:val="20"/>
              </w:rPr>
            </w:pPr>
          </w:p>
          <w:p w:rsidR="002C079C" w:rsidRDefault="002C079C" w:rsidP="00CD1F41">
            <w:pPr>
              <w:jc w:val="center"/>
              <w:rPr>
                <w:sz w:val="20"/>
                <w:szCs w:val="20"/>
              </w:rPr>
            </w:pPr>
          </w:p>
          <w:p w:rsidR="002C079C" w:rsidRDefault="002C079C" w:rsidP="00CD1F41">
            <w:pPr>
              <w:jc w:val="center"/>
              <w:rPr>
                <w:sz w:val="20"/>
                <w:szCs w:val="20"/>
              </w:rPr>
            </w:pPr>
          </w:p>
          <w:p w:rsidR="002C079C" w:rsidRDefault="002C079C" w:rsidP="00CD1F41">
            <w:pPr>
              <w:jc w:val="center"/>
              <w:rPr>
                <w:sz w:val="20"/>
                <w:szCs w:val="20"/>
              </w:rPr>
            </w:pPr>
          </w:p>
          <w:p w:rsidR="002C079C" w:rsidRDefault="002C079C" w:rsidP="00CD1F41">
            <w:pPr>
              <w:jc w:val="center"/>
              <w:rPr>
                <w:sz w:val="20"/>
                <w:szCs w:val="20"/>
              </w:rPr>
            </w:pPr>
          </w:p>
          <w:p w:rsidR="002C079C" w:rsidRPr="00A935AA" w:rsidRDefault="002C079C" w:rsidP="00CD1F41">
            <w:pPr>
              <w:jc w:val="center"/>
              <w:rPr>
                <w:sz w:val="20"/>
                <w:szCs w:val="20"/>
              </w:rPr>
            </w:pPr>
          </w:p>
        </w:tc>
        <w:tc>
          <w:tcPr>
            <w:tcW w:w="4320" w:type="dxa"/>
            <w:shd w:val="clear" w:color="auto" w:fill="auto"/>
          </w:tcPr>
          <w:p w:rsidR="00927205" w:rsidRDefault="00DA5001" w:rsidP="00927205">
            <w:pPr>
              <w:rPr>
                <w:b/>
                <w:sz w:val="20"/>
                <w:szCs w:val="20"/>
              </w:rPr>
            </w:pPr>
            <w:r>
              <w:rPr>
                <w:b/>
                <w:sz w:val="20"/>
                <w:szCs w:val="20"/>
              </w:rPr>
              <w:t>Elizabeth Wong</w:t>
            </w:r>
          </w:p>
          <w:p w:rsidR="00927205" w:rsidRDefault="00927205" w:rsidP="00927205">
            <w:pPr>
              <w:rPr>
                <w:sz w:val="20"/>
                <w:szCs w:val="20"/>
              </w:rPr>
            </w:pPr>
            <w:r>
              <w:rPr>
                <w:sz w:val="20"/>
                <w:szCs w:val="20"/>
              </w:rPr>
              <w:tab/>
            </w:r>
            <w:r w:rsidR="00DA5001">
              <w:rPr>
                <w:sz w:val="20"/>
                <w:szCs w:val="20"/>
              </w:rPr>
              <w:t>Howard Rubin, Q.C.</w:t>
            </w:r>
          </w:p>
          <w:p w:rsidR="00927205" w:rsidRDefault="00927205" w:rsidP="00927205">
            <w:pPr>
              <w:rPr>
                <w:sz w:val="20"/>
                <w:szCs w:val="20"/>
              </w:rPr>
            </w:pPr>
          </w:p>
          <w:p w:rsidR="00927205" w:rsidRDefault="00927205" w:rsidP="00927205">
            <w:pPr>
              <w:rPr>
                <w:sz w:val="20"/>
                <w:szCs w:val="20"/>
              </w:rPr>
            </w:pPr>
            <w:r>
              <w:rPr>
                <w:sz w:val="20"/>
                <w:szCs w:val="20"/>
              </w:rPr>
              <w:tab/>
            </w:r>
            <w:r w:rsidR="00DA5001">
              <w:rPr>
                <w:sz w:val="20"/>
                <w:szCs w:val="20"/>
              </w:rPr>
              <w:t>v. (34120)</w:t>
            </w:r>
          </w:p>
          <w:p w:rsidR="00927205" w:rsidRDefault="00927205" w:rsidP="00927205">
            <w:pPr>
              <w:rPr>
                <w:sz w:val="20"/>
                <w:szCs w:val="20"/>
              </w:rPr>
            </w:pPr>
          </w:p>
          <w:p w:rsidR="00927205" w:rsidRDefault="00DA5001" w:rsidP="00927205">
            <w:pPr>
              <w:rPr>
                <w:b/>
                <w:sz w:val="20"/>
                <w:szCs w:val="20"/>
              </w:rPr>
            </w:pPr>
            <w:r>
              <w:rPr>
                <w:b/>
                <w:sz w:val="20"/>
                <w:szCs w:val="20"/>
              </w:rPr>
              <w:t>Her Majesty the Queen (B.C.)</w:t>
            </w:r>
          </w:p>
          <w:p w:rsidR="00927205" w:rsidRDefault="00927205" w:rsidP="00927205">
            <w:pPr>
              <w:rPr>
                <w:sz w:val="20"/>
                <w:szCs w:val="20"/>
              </w:rPr>
            </w:pPr>
            <w:r>
              <w:rPr>
                <w:sz w:val="20"/>
                <w:szCs w:val="20"/>
              </w:rPr>
              <w:tab/>
            </w:r>
            <w:r w:rsidR="00DA5001">
              <w:rPr>
                <w:sz w:val="20"/>
                <w:szCs w:val="20"/>
              </w:rPr>
              <w:t>W.J. Scott Bell</w:t>
            </w:r>
          </w:p>
          <w:p w:rsidR="00927205" w:rsidRDefault="00927205" w:rsidP="00927205">
            <w:pPr>
              <w:rPr>
                <w:sz w:val="20"/>
                <w:szCs w:val="20"/>
              </w:rPr>
            </w:pPr>
            <w:r>
              <w:rPr>
                <w:sz w:val="20"/>
                <w:szCs w:val="20"/>
              </w:rPr>
              <w:tab/>
            </w:r>
            <w:r w:rsidR="00DA5001">
              <w:rPr>
                <w:sz w:val="20"/>
                <w:szCs w:val="20"/>
              </w:rPr>
              <w:t>A.G. of British Columbia</w:t>
            </w:r>
          </w:p>
          <w:p w:rsidR="00927205" w:rsidRDefault="00927205" w:rsidP="00927205">
            <w:pPr>
              <w:rPr>
                <w:sz w:val="20"/>
                <w:szCs w:val="20"/>
              </w:rPr>
            </w:pPr>
          </w:p>
          <w:p w:rsidR="00927205" w:rsidRDefault="00927205" w:rsidP="00927205">
            <w:pPr>
              <w:rPr>
                <w:sz w:val="20"/>
                <w:szCs w:val="20"/>
              </w:rPr>
            </w:pPr>
            <w:r>
              <w:rPr>
                <w:sz w:val="20"/>
                <w:szCs w:val="20"/>
              </w:rPr>
              <w:t>FILING DATE:</w:t>
            </w:r>
            <w:r w:rsidR="00DA5001">
              <w:rPr>
                <w:sz w:val="20"/>
                <w:szCs w:val="20"/>
              </w:rPr>
              <w:t xml:space="preserve"> 24.02.2011</w:t>
            </w:r>
          </w:p>
          <w:p w:rsidR="00927205" w:rsidRPr="00927205" w:rsidRDefault="0004334C" w:rsidP="00927205">
            <w:pPr>
              <w:rPr>
                <w:sz w:val="20"/>
                <w:szCs w:val="20"/>
              </w:rPr>
            </w:pPr>
            <w:r w:rsidRPr="0004334C">
              <w:rPr>
                <w:sz w:val="20"/>
                <w:szCs w:val="20"/>
                <w:lang w:val="fr-CA"/>
              </w:rPr>
              <w:pict>
                <v:rect id="_x0000_i1048" style="width:108pt;height:1pt" o:hrpct="0" o:hralign="center" o:hrstd="t" o:hrnoshade="t" o:hr="t" fillcolor="black [3213]" stroked="f"/>
              </w:pict>
            </w:r>
          </w:p>
        </w:tc>
      </w:tr>
    </w:tbl>
    <w:p w:rsidR="00242AEE" w:rsidRDefault="00242AEE" w:rsidP="0095096B">
      <w:pPr>
        <w:tabs>
          <w:tab w:val="right" w:pos="9360"/>
        </w:tabs>
        <w:rPr>
          <w:sz w:val="20"/>
          <w:szCs w:val="20"/>
        </w:rPr>
      </w:pPr>
    </w:p>
    <w:p w:rsidR="00242AEE" w:rsidRPr="00C50A5C" w:rsidRDefault="00242AEE" w:rsidP="0095096B">
      <w:pPr>
        <w:tabs>
          <w:tab w:val="right" w:pos="9360"/>
        </w:tabs>
        <w:rPr>
          <w:sz w:val="20"/>
          <w:szCs w:val="20"/>
        </w:rPr>
        <w:sectPr w:rsidR="00242AEE" w:rsidRPr="00C50A5C" w:rsidSect="00124235">
          <w:headerReference w:type="default" r:id="rId15"/>
          <w:footerReference w:type="default" r:id="rId16"/>
          <w:headerReference w:type="first" r:id="rId17"/>
          <w:footerReference w:type="first" r:id="rId18"/>
          <w:pgSz w:w="12240" w:h="15840"/>
          <w:pgMar w:top="720" w:right="965" w:bottom="1080" w:left="1656" w:header="706" w:footer="706" w:gutter="0"/>
          <w:pgNumType w:start="344"/>
          <w:cols w:space="708"/>
          <w:titlePg/>
          <w:docGrid w:linePitch="360"/>
        </w:sectPr>
      </w:pPr>
    </w:p>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2E2327" w:rsidRPr="001602E4" w:rsidTr="00BA6468">
        <w:trPr>
          <w:trHeight w:val="900"/>
        </w:trPr>
        <w:tc>
          <w:tcPr>
            <w:tcW w:w="4200" w:type="dxa"/>
            <w:tcMar>
              <w:left w:w="0" w:type="dxa"/>
              <w:right w:w="0" w:type="dxa"/>
            </w:tcMar>
          </w:tcPr>
          <w:p w:rsidR="002E2327" w:rsidRPr="001D0D5F" w:rsidRDefault="002E2327" w:rsidP="002E2327">
            <w:pPr>
              <w:keepNext/>
              <w:keepLines/>
              <w:widowControl w:val="0"/>
              <w:rPr>
                <w:b/>
                <w:szCs w:val="24"/>
              </w:rPr>
            </w:pPr>
            <w:r w:rsidRPr="001D0D5F">
              <w:rPr>
                <w:b/>
                <w:szCs w:val="24"/>
              </w:rPr>
              <w:lastRenderedPageBreak/>
              <w:t>APPLICATIONS FOR LEAVE SUBMITTED TO COURT SINCE LAST ISSUE</w:t>
            </w:r>
          </w:p>
        </w:tc>
        <w:tc>
          <w:tcPr>
            <w:tcW w:w="1200" w:type="dxa"/>
            <w:tcMar>
              <w:left w:w="0" w:type="dxa"/>
              <w:right w:w="0" w:type="dxa"/>
            </w:tcMar>
          </w:tcPr>
          <w:p w:rsidR="002E2327" w:rsidRDefault="002E2327"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Pr="001D0D5F" w:rsidRDefault="001D0D5F" w:rsidP="002E2327">
            <w:pPr>
              <w:keepNext/>
              <w:keepLines/>
              <w:widowControl w:val="0"/>
              <w:jc w:val="center"/>
              <w:rPr>
                <w:b/>
                <w:szCs w:val="24"/>
              </w:rPr>
            </w:pPr>
          </w:p>
        </w:tc>
        <w:tc>
          <w:tcPr>
            <w:tcW w:w="4080" w:type="dxa"/>
            <w:tcMar>
              <w:left w:w="0" w:type="dxa"/>
              <w:right w:w="0" w:type="dxa"/>
            </w:tcMar>
          </w:tcPr>
          <w:p w:rsidR="002E2327" w:rsidRPr="001D0D5F" w:rsidRDefault="002E2327" w:rsidP="002E2327">
            <w:pPr>
              <w:keepLines/>
              <w:widowControl w:val="0"/>
              <w:rPr>
                <w:szCs w:val="24"/>
                <w:lang w:val="fr-CA"/>
              </w:rPr>
            </w:pPr>
            <w:r w:rsidRPr="007D14B5">
              <w:rPr>
                <w:b/>
                <w:szCs w:val="24"/>
                <w:lang w:val="fr-CA"/>
              </w:rPr>
              <w:t>DEMANDES SOUMISES À LA COUR DE</w:t>
            </w:r>
            <w:r w:rsidRPr="001D0D5F">
              <w:rPr>
                <w:b/>
                <w:szCs w:val="24"/>
                <w:lang w:val="fr-CA"/>
              </w:rPr>
              <w:t>PUIS LA DERNIÈRE PARUTION</w:t>
            </w:r>
          </w:p>
          <w:p w:rsidR="002E2327" w:rsidRPr="001D0D5F"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C50A5C" w:rsidRDefault="002E2327" w:rsidP="002E2327">
      <w:pPr>
        <w:widowControl w:val="0"/>
        <w:rPr>
          <w:b/>
          <w:sz w:val="20"/>
          <w:szCs w:val="20"/>
          <w:lang w:val="fr-CA"/>
        </w:rPr>
      </w:pPr>
    </w:p>
    <w:p w:rsidR="002E2327" w:rsidRPr="00C50A5C" w:rsidRDefault="002E2327" w:rsidP="002E2327">
      <w:pPr>
        <w:widowControl w:val="0"/>
        <w:rPr>
          <w:b/>
          <w:sz w:val="20"/>
          <w:szCs w:val="20"/>
        </w:rPr>
      </w:pPr>
      <w:r w:rsidRPr="00C50A5C">
        <w:rPr>
          <w:b/>
          <w:sz w:val="20"/>
          <w:szCs w:val="20"/>
        </w:rPr>
        <w:t>MA</w:t>
      </w:r>
      <w:r w:rsidR="005E4D2D">
        <w:rPr>
          <w:b/>
          <w:sz w:val="20"/>
          <w:szCs w:val="20"/>
        </w:rPr>
        <w:t>RCH 7</w:t>
      </w:r>
      <w:r w:rsidRPr="00C50A5C">
        <w:rPr>
          <w:b/>
          <w:sz w:val="20"/>
          <w:szCs w:val="20"/>
        </w:rPr>
        <w:t>, 201</w:t>
      </w:r>
      <w:r w:rsidR="005E4D2D">
        <w:rPr>
          <w:b/>
          <w:sz w:val="20"/>
          <w:szCs w:val="20"/>
        </w:rPr>
        <w:t>1</w:t>
      </w:r>
      <w:r w:rsidRPr="00C50A5C">
        <w:rPr>
          <w:b/>
          <w:sz w:val="20"/>
          <w:szCs w:val="20"/>
        </w:rPr>
        <w:t xml:space="preserve"> / LE </w:t>
      </w:r>
      <w:r w:rsidR="005E4D2D">
        <w:rPr>
          <w:b/>
          <w:sz w:val="20"/>
          <w:szCs w:val="20"/>
        </w:rPr>
        <w:t xml:space="preserve">7 MARS </w:t>
      </w:r>
      <w:r w:rsidRPr="00C50A5C">
        <w:rPr>
          <w:b/>
          <w:sz w:val="20"/>
          <w:szCs w:val="20"/>
        </w:rPr>
        <w:t>201</w:t>
      </w:r>
      <w:r w:rsidR="005E4D2D">
        <w:rPr>
          <w:b/>
          <w:sz w:val="20"/>
          <w:szCs w:val="20"/>
        </w:rPr>
        <w:t>1</w:t>
      </w:r>
    </w:p>
    <w:p w:rsidR="00C50A5C" w:rsidRPr="00C50A5C" w:rsidRDefault="00C50A5C" w:rsidP="002E2327">
      <w:pPr>
        <w:widowControl w:val="0"/>
        <w:rPr>
          <w:b/>
          <w:sz w:val="20"/>
          <w:szCs w:val="20"/>
        </w:rPr>
      </w:pPr>
    </w:p>
    <w:p w:rsidR="002E2327" w:rsidRPr="00C50A5C" w:rsidRDefault="002E2327" w:rsidP="002E2327">
      <w:pPr>
        <w:widowControl w:val="0"/>
        <w:jc w:val="center"/>
        <w:rPr>
          <w:b/>
          <w:sz w:val="20"/>
          <w:szCs w:val="20"/>
        </w:rPr>
      </w:pPr>
      <w:r w:rsidRPr="00C50A5C">
        <w:rPr>
          <w:b/>
          <w:sz w:val="20"/>
          <w:szCs w:val="20"/>
        </w:rPr>
        <w:t xml:space="preserve">CORAM:  Chief Justice </w:t>
      </w:r>
      <w:proofErr w:type="spellStart"/>
      <w:r w:rsidRPr="00C50A5C">
        <w:rPr>
          <w:b/>
          <w:sz w:val="20"/>
          <w:szCs w:val="20"/>
        </w:rPr>
        <w:t>McLachlin</w:t>
      </w:r>
      <w:proofErr w:type="spellEnd"/>
      <w:r w:rsidRPr="00C50A5C">
        <w:rPr>
          <w:b/>
          <w:sz w:val="20"/>
          <w:szCs w:val="20"/>
        </w:rPr>
        <w:t xml:space="preserve"> and </w:t>
      </w:r>
      <w:proofErr w:type="spellStart"/>
      <w:r w:rsidRPr="00C50A5C">
        <w:rPr>
          <w:b/>
          <w:sz w:val="20"/>
          <w:szCs w:val="20"/>
        </w:rPr>
        <w:t>Abella</w:t>
      </w:r>
      <w:proofErr w:type="spellEnd"/>
      <w:r w:rsidRPr="00C50A5C">
        <w:rPr>
          <w:b/>
          <w:sz w:val="20"/>
          <w:szCs w:val="20"/>
        </w:rPr>
        <w:t xml:space="preserve"> and Cromwell JJ.</w:t>
      </w:r>
    </w:p>
    <w:p w:rsidR="002E2327" w:rsidRPr="00C50A5C" w:rsidRDefault="002E2327" w:rsidP="002E2327">
      <w:pPr>
        <w:widowControl w:val="0"/>
        <w:jc w:val="center"/>
        <w:rPr>
          <w:sz w:val="20"/>
          <w:szCs w:val="20"/>
          <w:lang w:val="fr-CA"/>
        </w:rPr>
      </w:pPr>
      <w:r w:rsidRPr="00C50A5C">
        <w:rPr>
          <w:b/>
          <w:sz w:val="20"/>
          <w:szCs w:val="20"/>
          <w:lang w:val="fr-CA"/>
        </w:rPr>
        <w:t xml:space="preserve">La juge en chef </w:t>
      </w:r>
      <w:proofErr w:type="spellStart"/>
      <w:r w:rsidRPr="00C50A5C">
        <w:rPr>
          <w:b/>
          <w:sz w:val="20"/>
          <w:szCs w:val="20"/>
          <w:lang w:val="fr-CA"/>
        </w:rPr>
        <w:t>McLachlin</w:t>
      </w:r>
      <w:proofErr w:type="spellEnd"/>
      <w:r w:rsidRPr="00C50A5C">
        <w:rPr>
          <w:b/>
          <w:sz w:val="20"/>
          <w:szCs w:val="20"/>
          <w:lang w:val="fr-CA"/>
        </w:rPr>
        <w:t xml:space="preserve"> et les juges Abella et Cromwell</w:t>
      </w:r>
    </w:p>
    <w:p w:rsidR="002E2327" w:rsidRPr="00C50A5C" w:rsidRDefault="002E2327" w:rsidP="002E2327">
      <w:pPr>
        <w:widowControl w:val="0"/>
        <w:rPr>
          <w:sz w:val="20"/>
          <w:szCs w:val="20"/>
          <w:lang w:val="fr-CA"/>
        </w:rPr>
      </w:pPr>
    </w:p>
    <w:p w:rsidR="002E2327" w:rsidRPr="00C50A5C" w:rsidRDefault="008A53D2" w:rsidP="00C50A5C">
      <w:pPr>
        <w:pStyle w:val="ListParagraph"/>
        <w:widowControl w:val="0"/>
        <w:numPr>
          <w:ilvl w:val="0"/>
          <w:numId w:val="1"/>
        </w:numPr>
        <w:ind w:hanging="720"/>
        <w:jc w:val="both"/>
        <w:rPr>
          <w:sz w:val="20"/>
          <w:szCs w:val="20"/>
        </w:rPr>
      </w:pPr>
      <w:r w:rsidRPr="008A53D2">
        <w:rPr>
          <w:i/>
          <w:sz w:val="20"/>
          <w:szCs w:val="20"/>
        </w:rPr>
        <w:t xml:space="preserve">Boris </w:t>
      </w:r>
      <w:proofErr w:type="spellStart"/>
      <w:r w:rsidRPr="008A53D2">
        <w:rPr>
          <w:i/>
          <w:sz w:val="20"/>
          <w:szCs w:val="20"/>
        </w:rPr>
        <w:t>Michaelov</w:t>
      </w:r>
      <w:proofErr w:type="spellEnd"/>
      <w:r w:rsidRPr="008A53D2">
        <w:rPr>
          <w:i/>
          <w:sz w:val="20"/>
          <w:szCs w:val="20"/>
        </w:rPr>
        <w:t xml:space="preserve"> </w:t>
      </w:r>
      <w:proofErr w:type="spellStart"/>
      <w:r w:rsidRPr="008A53D2">
        <w:rPr>
          <w:i/>
          <w:sz w:val="20"/>
          <w:szCs w:val="20"/>
        </w:rPr>
        <w:t>a.k.a</w:t>
      </w:r>
      <w:proofErr w:type="spellEnd"/>
      <w:r w:rsidRPr="008A53D2">
        <w:rPr>
          <w:i/>
          <w:sz w:val="20"/>
          <w:szCs w:val="20"/>
        </w:rPr>
        <w:t xml:space="preserve"> Boris </w:t>
      </w:r>
      <w:proofErr w:type="spellStart"/>
      <w:r w:rsidRPr="008A53D2">
        <w:rPr>
          <w:i/>
          <w:sz w:val="20"/>
          <w:szCs w:val="20"/>
        </w:rPr>
        <w:t>Micahelov</w:t>
      </w:r>
      <w:proofErr w:type="spellEnd"/>
      <w:r w:rsidRPr="008A53D2">
        <w:rPr>
          <w:i/>
          <w:sz w:val="20"/>
          <w:szCs w:val="20"/>
        </w:rPr>
        <w:t xml:space="preserve"> v. Attorney General of Canada on behalf of the United States of America</w:t>
      </w:r>
      <w:r w:rsidRPr="008A53D2">
        <w:rPr>
          <w:sz w:val="20"/>
          <w:szCs w:val="20"/>
        </w:rPr>
        <w:t xml:space="preserve"> (Ont.) </w:t>
      </w:r>
      <w:r w:rsidRPr="008267D0">
        <w:rPr>
          <w:sz w:val="20"/>
          <w:szCs w:val="20"/>
        </w:rPr>
        <w:t>(Crim</w:t>
      </w:r>
      <w:r>
        <w:rPr>
          <w:sz w:val="20"/>
          <w:szCs w:val="20"/>
        </w:rPr>
        <w:t>.</w:t>
      </w:r>
      <w:r w:rsidRPr="008267D0">
        <w:rPr>
          <w:sz w:val="20"/>
          <w:szCs w:val="20"/>
        </w:rPr>
        <w:t>) (By Leave)</w:t>
      </w:r>
      <w:r>
        <w:rPr>
          <w:sz w:val="20"/>
          <w:szCs w:val="20"/>
        </w:rPr>
        <w:t xml:space="preserve"> </w:t>
      </w:r>
      <w:r w:rsidR="002E2327" w:rsidRPr="00C50A5C">
        <w:rPr>
          <w:sz w:val="20"/>
          <w:szCs w:val="20"/>
        </w:rPr>
        <w:t>(3</w:t>
      </w:r>
      <w:r w:rsidR="008267D0">
        <w:rPr>
          <w:sz w:val="20"/>
          <w:szCs w:val="20"/>
        </w:rPr>
        <w:t>402</w:t>
      </w:r>
      <w:r w:rsidR="002E2327" w:rsidRPr="00C50A5C">
        <w:rPr>
          <w:sz w:val="20"/>
          <w:szCs w:val="20"/>
        </w:rPr>
        <w:t>5)</w:t>
      </w:r>
    </w:p>
    <w:p w:rsidR="002E2327" w:rsidRPr="00C50A5C" w:rsidRDefault="002E2327" w:rsidP="00C50A5C">
      <w:pPr>
        <w:widowControl w:val="0"/>
        <w:jc w:val="both"/>
        <w:rPr>
          <w:sz w:val="20"/>
          <w:szCs w:val="20"/>
        </w:rPr>
      </w:pPr>
    </w:p>
    <w:p w:rsidR="002E2327" w:rsidRPr="008A53D2" w:rsidRDefault="008A53D2" w:rsidP="00C50A5C">
      <w:pPr>
        <w:pStyle w:val="ListParagraph"/>
        <w:widowControl w:val="0"/>
        <w:numPr>
          <w:ilvl w:val="0"/>
          <w:numId w:val="1"/>
        </w:numPr>
        <w:ind w:hanging="720"/>
        <w:jc w:val="both"/>
        <w:rPr>
          <w:sz w:val="20"/>
          <w:szCs w:val="20"/>
          <w:lang w:val="fr-CA"/>
        </w:rPr>
      </w:pPr>
      <w:r w:rsidRPr="008A53D2">
        <w:rPr>
          <w:i/>
          <w:sz w:val="20"/>
          <w:szCs w:val="20"/>
          <w:lang w:val="fr-CA"/>
        </w:rPr>
        <w:t xml:space="preserve">Sylvain </w:t>
      </w:r>
      <w:proofErr w:type="spellStart"/>
      <w:r w:rsidRPr="008A53D2">
        <w:rPr>
          <w:i/>
          <w:sz w:val="20"/>
          <w:szCs w:val="20"/>
          <w:lang w:val="fr-CA"/>
        </w:rPr>
        <w:t>Loiseau</w:t>
      </w:r>
      <w:proofErr w:type="spellEnd"/>
      <w:r w:rsidRPr="008A53D2">
        <w:rPr>
          <w:i/>
          <w:sz w:val="20"/>
          <w:szCs w:val="20"/>
          <w:lang w:val="fr-CA"/>
        </w:rPr>
        <w:t xml:space="preserve"> c. Sa Majesté la Reine</w:t>
      </w:r>
      <w:r w:rsidRPr="008267D0">
        <w:rPr>
          <w:sz w:val="20"/>
          <w:szCs w:val="20"/>
          <w:lang w:val="fr-CA"/>
        </w:rPr>
        <w:t xml:space="preserve"> (</w:t>
      </w:r>
      <w:proofErr w:type="spellStart"/>
      <w:r w:rsidRPr="008267D0">
        <w:rPr>
          <w:sz w:val="20"/>
          <w:szCs w:val="20"/>
          <w:lang w:val="fr-CA"/>
        </w:rPr>
        <w:t>Qc</w:t>
      </w:r>
      <w:proofErr w:type="spellEnd"/>
      <w:r w:rsidRPr="008267D0">
        <w:rPr>
          <w:sz w:val="20"/>
          <w:szCs w:val="20"/>
          <w:lang w:val="fr-CA"/>
        </w:rPr>
        <w:t>) (</w:t>
      </w:r>
      <w:proofErr w:type="spellStart"/>
      <w:r w:rsidRPr="008267D0">
        <w:rPr>
          <w:sz w:val="20"/>
          <w:szCs w:val="20"/>
          <w:lang w:val="fr-CA"/>
        </w:rPr>
        <w:t>Crim</w:t>
      </w:r>
      <w:proofErr w:type="spellEnd"/>
      <w:r>
        <w:rPr>
          <w:sz w:val="20"/>
          <w:szCs w:val="20"/>
          <w:lang w:val="fr-CA"/>
        </w:rPr>
        <w:t>.</w:t>
      </w:r>
      <w:r w:rsidRPr="008267D0">
        <w:rPr>
          <w:sz w:val="20"/>
          <w:szCs w:val="20"/>
          <w:lang w:val="fr-CA"/>
        </w:rPr>
        <w:t>) (Autorisation)</w:t>
      </w:r>
      <w:r w:rsidRPr="008A53D2">
        <w:rPr>
          <w:sz w:val="20"/>
          <w:szCs w:val="20"/>
          <w:lang w:val="fr-CA"/>
        </w:rPr>
        <w:t xml:space="preserve"> </w:t>
      </w:r>
      <w:r w:rsidR="002E2327" w:rsidRPr="008A53D2">
        <w:rPr>
          <w:sz w:val="20"/>
          <w:szCs w:val="20"/>
          <w:lang w:val="fr-CA"/>
        </w:rPr>
        <w:t>(3</w:t>
      </w:r>
      <w:r w:rsidR="008267D0" w:rsidRPr="008A53D2">
        <w:rPr>
          <w:sz w:val="20"/>
          <w:szCs w:val="20"/>
          <w:lang w:val="fr-CA"/>
        </w:rPr>
        <w:t>3998</w:t>
      </w:r>
      <w:r w:rsidR="002E2327" w:rsidRPr="008A53D2">
        <w:rPr>
          <w:sz w:val="20"/>
          <w:szCs w:val="20"/>
          <w:lang w:val="fr-CA"/>
        </w:rPr>
        <w:t>)</w:t>
      </w:r>
    </w:p>
    <w:p w:rsidR="002E2327" w:rsidRPr="008A53D2" w:rsidRDefault="002E2327" w:rsidP="00C50A5C">
      <w:pPr>
        <w:widowControl w:val="0"/>
        <w:jc w:val="both"/>
        <w:rPr>
          <w:sz w:val="20"/>
          <w:szCs w:val="20"/>
          <w:lang w:val="fr-CA"/>
        </w:rPr>
      </w:pPr>
    </w:p>
    <w:p w:rsidR="002E2327" w:rsidRPr="00C50A5C" w:rsidRDefault="008A53D2" w:rsidP="00C50A5C">
      <w:pPr>
        <w:pStyle w:val="ListParagraph"/>
        <w:widowControl w:val="0"/>
        <w:numPr>
          <w:ilvl w:val="0"/>
          <w:numId w:val="1"/>
        </w:numPr>
        <w:ind w:hanging="720"/>
        <w:jc w:val="both"/>
        <w:rPr>
          <w:sz w:val="20"/>
          <w:szCs w:val="20"/>
        </w:rPr>
      </w:pPr>
      <w:r w:rsidRPr="008A53D2">
        <w:rPr>
          <w:i/>
          <w:sz w:val="20"/>
          <w:szCs w:val="20"/>
        </w:rPr>
        <w:t xml:space="preserve">Young Ho Hwang v. George L. </w:t>
      </w:r>
      <w:proofErr w:type="spellStart"/>
      <w:r w:rsidRPr="008A53D2">
        <w:rPr>
          <w:i/>
          <w:sz w:val="20"/>
          <w:szCs w:val="20"/>
        </w:rPr>
        <w:t>Kapy</w:t>
      </w:r>
      <w:proofErr w:type="spellEnd"/>
      <w:r w:rsidRPr="008267D0">
        <w:rPr>
          <w:sz w:val="20"/>
          <w:szCs w:val="20"/>
        </w:rPr>
        <w:t xml:space="preserve"> (Ont.) (Civil) (By Leave)</w:t>
      </w:r>
      <w:r w:rsidRPr="00C50A5C">
        <w:rPr>
          <w:sz w:val="20"/>
          <w:szCs w:val="20"/>
        </w:rPr>
        <w:t xml:space="preserve"> </w:t>
      </w:r>
      <w:r w:rsidR="002E2327" w:rsidRPr="00C50A5C">
        <w:rPr>
          <w:sz w:val="20"/>
          <w:szCs w:val="20"/>
        </w:rPr>
        <w:t>(3</w:t>
      </w:r>
      <w:r w:rsidR="008267D0">
        <w:rPr>
          <w:sz w:val="20"/>
          <w:szCs w:val="20"/>
        </w:rPr>
        <w:t>4037</w:t>
      </w:r>
      <w:r w:rsidR="002E2327" w:rsidRPr="00C50A5C">
        <w:rPr>
          <w:sz w:val="20"/>
          <w:szCs w:val="20"/>
        </w:rPr>
        <w:t>)</w:t>
      </w:r>
    </w:p>
    <w:p w:rsidR="002E2327" w:rsidRPr="00C50A5C" w:rsidRDefault="002E2327" w:rsidP="002E2327">
      <w:pPr>
        <w:widowControl w:val="0"/>
        <w:rPr>
          <w:sz w:val="20"/>
          <w:szCs w:val="20"/>
        </w:rPr>
      </w:pPr>
    </w:p>
    <w:p w:rsidR="002E2327" w:rsidRPr="00C50A5C" w:rsidRDefault="002E2327" w:rsidP="002E2327">
      <w:pPr>
        <w:widowControl w:val="0"/>
        <w:rPr>
          <w:sz w:val="20"/>
          <w:szCs w:val="20"/>
        </w:rPr>
      </w:pPr>
    </w:p>
    <w:p w:rsidR="002E2327" w:rsidRPr="00C50A5C" w:rsidRDefault="002E2327" w:rsidP="002E2327">
      <w:pPr>
        <w:widowControl w:val="0"/>
        <w:jc w:val="center"/>
        <w:rPr>
          <w:b/>
          <w:sz w:val="20"/>
          <w:szCs w:val="20"/>
        </w:rPr>
      </w:pPr>
      <w:r w:rsidRPr="00C50A5C">
        <w:rPr>
          <w:b/>
          <w:sz w:val="20"/>
          <w:szCs w:val="20"/>
        </w:rPr>
        <w:t xml:space="preserve">CORAM: </w:t>
      </w:r>
      <w:proofErr w:type="spellStart"/>
      <w:r w:rsidRPr="00C50A5C">
        <w:rPr>
          <w:b/>
          <w:sz w:val="20"/>
          <w:szCs w:val="20"/>
        </w:rPr>
        <w:t>Binnie</w:t>
      </w:r>
      <w:proofErr w:type="spellEnd"/>
      <w:r w:rsidRPr="00C50A5C">
        <w:rPr>
          <w:b/>
          <w:sz w:val="20"/>
          <w:szCs w:val="20"/>
        </w:rPr>
        <w:t>, Fish and Rothstein JJ.</w:t>
      </w:r>
    </w:p>
    <w:p w:rsidR="002E2327" w:rsidRPr="00C50A5C" w:rsidRDefault="002E2327" w:rsidP="002E2327">
      <w:pPr>
        <w:widowControl w:val="0"/>
        <w:jc w:val="center"/>
        <w:rPr>
          <w:b/>
          <w:sz w:val="20"/>
          <w:szCs w:val="20"/>
          <w:lang w:val="fr-CA"/>
        </w:rPr>
      </w:pPr>
      <w:r w:rsidRPr="00C50A5C">
        <w:rPr>
          <w:b/>
          <w:sz w:val="20"/>
          <w:szCs w:val="20"/>
          <w:lang w:val="fr-CA"/>
        </w:rPr>
        <w:t xml:space="preserve">Les juges </w:t>
      </w:r>
      <w:proofErr w:type="spellStart"/>
      <w:r w:rsidRPr="00C50A5C">
        <w:rPr>
          <w:b/>
          <w:sz w:val="20"/>
          <w:szCs w:val="20"/>
          <w:lang w:val="fr-CA"/>
        </w:rPr>
        <w:t>Binnie</w:t>
      </w:r>
      <w:proofErr w:type="spellEnd"/>
      <w:r w:rsidRPr="00C50A5C">
        <w:rPr>
          <w:b/>
          <w:sz w:val="20"/>
          <w:szCs w:val="20"/>
          <w:lang w:val="fr-CA"/>
        </w:rPr>
        <w:t xml:space="preserve">, Fish et </w:t>
      </w:r>
      <w:proofErr w:type="spellStart"/>
      <w:r w:rsidRPr="00C50A5C">
        <w:rPr>
          <w:b/>
          <w:sz w:val="20"/>
          <w:szCs w:val="20"/>
          <w:lang w:val="fr-CA"/>
        </w:rPr>
        <w:t>Rothstein</w:t>
      </w:r>
      <w:proofErr w:type="spellEnd"/>
    </w:p>
    <w:p w:rsidR="002E2327" w:rsidRPr="00C50A5C" w:rsidRDefault="002E2327" w:rsidP="002E2327">
      <w:pPr>
        <w:widowControl w:val="0"/>
        <w:rPr>
          <w:sz w:val="20"/>
          <w:szCs w:val="20"/>
          <w:lang w:val="fr-CA"/>
        </w:rPr>
      </w:pPr>
    </w:p>
    <w:p w:rsidR="002E2327" w:rsidRPr="00C50A5C" w:rsidRDefault="008A53D2" w:rsidP="00C50A5C">
      <w:pPr>
        <w:pStyle w:val="ListParagraph"/>
        <w:widowControl w:val="0"/>
        <w:numPr>
          <w:ilvl w:val="0"/>
          <w:numId w:val="1"/>
        </w:numPr>
        <w:ind w:hanging="720"/>
        <w:jc w:val="both"/>
        <w:rPr>
          <w:sz w:val="20"/>
          <w:szCs w:val="20"/>
        </w:rPr>
      </w:pPr>
      <w:r w:rsidRPr="008A53D2">
        <w:rPr>
          <w:i/>
          <w:sz w:val="20"/>
          <w:szCs w:val="20"/>
        </w:rPr>
        <w:t>Real Martin v. Her Majesty the Queen</w:t>
      </w:r>
      <w:r w:rsidRPr="008267D0">
        <w:rPr>
          <w:sz w:val="20"/>
          <w:szCs w:val="20"/>
        </w:rPr>
        <w:t xml:space="preserve"> (Ont.) (Crim</w:t>
      </w:r>
      <w:r>
        <w:rPr>
          <w:sz w:val="20"/>
          <w:szCs w:val="20"/>
        </w:rPr>
        <w:t>.</w:t>
      </w:r>
      <w:r w:rsidRPr="008267D0">
        <w:rPr>
          <w:sz w:val="20"/>
          <w:szCs w:val="20"/>
        </w:rPr>
        <w:t>) (By Leave)</w:t>
      </w:r>
      <w:r w:rsidRPr="00C50A5C">
        <w:rPr>
          <w:sz w:val="20"/>
          <w:szCs w:val="20"/>
        </w:rPr>
        <w:t xml:space="preserve"> </w:t>
      </w:r>
      <w:r w:rsidR="002E2327" w:rsidRPr="00C50A5C">
        <w:rPr>
          <w:sz w:val="20"/>
          <w:szCs w:val="20"/>
        </w:rPr>
        <w:t>(3</w:t>
      </w:r>
      <w:r w:rsidR="008267D0">
        <w:rPr>
          <w:sz w:val="20"/>
          <w:szCs w:val="20"/>
        </w:rPr>
        <w:t>4027</w:t>
      </w:r>
      <w:r w:rsidR="002E2327" w:rsidRPr="00C50A5C">
        <w:rPr>
          <w:sz w:val="20"/>
          <w:szCs w:val="20"/>
        </w:rPr>
        <w:t>)</w:t>
      </w:r>
    </w:p>
    <w:p w:rsidR="002E2327" w:rsidRPr="00C50A5C" w:rsidRDefault="002E2327" w:rsidP="00C50A5C">
      <w:pPr>
        <w:widowControl w:val="0"/>
        <w:jc w:val="both"/>
        <w:rPr>
          <w:sz w:val="20"/>
          <w:szCs w:val="20"/>
        </w:rPr>
      </w:pPr>
    </w:p>
    <w:p w:rsidR="002E2327" w:rsidRPr="00C50A5C" w:rsidRDefault="008A53D2" w:rsidP="00C50A5C">
      <w:pPr>
        <w:pStyle w:val="ListParagraph"/>
        <w:widowControl w:val="0"/>
        <w:numPr>
          <w:ilvl w:val="0"/>
          <w:numId w:val="1"/>
        </w:numPr>
        <w:ind w:hanging="720"/>
        <w:jc w:val="both"/>
        <w:rPr>
          <w:sz w:val="20"/>
          <w:szCs w:val="20"/>
        </w:rPr>
      </w:pPr>
      <w:r w:rsidRPr="008A53D2">
        <w:rPr>
          <w:i/>
          <w:sz w:val="20"/>
          <w:szCs w:val="20"/>
        </w:rPr>
        <w:t xml:space="preserve">Peter Andrew Allard </w:t>
      </w:r>
      <w:r w:rsidRPr="004704BD">
        <w:rPr>
          <w:i/>
          <w:sz w:val="20"/>
          <w:szCs w:val="20"/>
        </w:rPr>
        <w:t>v. Shaw Communications Inc. et al.</w:t>
      </w:r>
      <w:r w:rsidRPr="008267D0">
        <w:rPr>
          <w:sz w:val="20"/>
          <w:szCs w:val="20"/>
        </w:rPr>
        <w:t xml:space="preserve"> (Alta.) (Civil) (By Leave)</w:t>
      </w:r>
      <w:r w:rsidRPr="00C50A5C">
        <w:rPr>
          <w:sz w:val="20"/>
          <w:szCs w:val="20"/>
        </w:rPr>
        <w:t xml:space="preserve"> </w:t>
      </w:r>
      <w:r w:rsidR="002E2327" w:rsidRPr="00C50A5C">
        <w:rPr>
          <w:sz w:val="20"/>
          <w:szCs w:val="20"/>
        </w:rPr>
        <w:t>(33</w:t>
      </w:r>
      <w:r w:rsidR="008267D0">
        <w:rPr>
          <w:sz w:val="20"/>
          <w:szCs w:val="20"/>
        </w:rPr>
        <w:t>986</w:t>
      </w:r>
      <w:r w:rsidR="002E2327" w:rsidRPr="00C50A5C">
        <w:rPr>
          <w:sz w:val="20"/>
          <w:szCs w:val="20"/>
        </w:rPr>
        <w:t>)</w:t>
      </w:r>
    </w:p>
    <w:p w:rsidR="002E2327" w:rsidRPr="00C50A5C" w:rsidRDefault="002E2327" w:rsidP="002E2327">
      <w:pPr>
        <w:widowControl w:val="0"/>
        <w:rPr>
          <w:sz w:val="20"/>
          <w:szCs w:val="20"/>
        </w:rPr>
      </w:pPr>
    </w:p>
    <w:p w:rsidR="002E2327" w:rsidRPr="008A53D2" w:rsidRDefault="008A53D2" w:rsidP="00C50A5C">
      <w:pPr>
        <w:pStyle w:val="ListParagraph"/>
        <w:widowControl w:val="0"/>
        <w:numPr>
          <w:ilvl w:val="0"/>
          <w:numId w:val="1"/>
        </w:numPr>
        <w:ind w:hanging="720"/>
        <w:jc w:val="both"/>
        <w:rPr>
          <w:sz w:val="20"/>
          <w:szCs w:val="20"/>
        </w:rPr>
      </w:pPr>
      <w:r w:rsidRPr="008A53D2">
        <w:rPr>
          <w:i/>
          <w:sz w:val="20"/>
          <w:szCs w:val="20"/>
        </w:rPr>
        <w:t xml:space="preserve">Sharon </w:t>
      </w:r>
      <w:proofErr w:type="spellStart"/>
      <w:r w:rsidRPr="008A53D2">
        <w:rPr>
          <w:i/>
          <w:sz w:val="20"/>
          <w:szCs w:val="20"/>
        </w:rPr>
        <w:t>Beres</w:t>
      </w:r>
      <w:proofErr w:type="spellEnd"/>
      <w:r w:rsidRPr="008A53D2">
        <w:rPr>
          <w:i/>
          <w:sz w:val="20"/>
          <w:szCs w:val="20"/>
        </w:rPr>
        <w:t xml:space="preserve">  et al. v. George Roy Stoner et al.</w:t>
      </w:r>
      <w:r w:rsidRPr="008267D0">
        <w:rPr>
          <w:sz w:val="20"/>
          <w:szCs w:val="20"/>
        </w:rPr>
        <w:t xml:space="preserve"> (Ont.) (Civil) (By Leave)</w:t>
      </w:r>
      <w:r w:rsidRPr="008A53D2">
        <w:rPr>
          <w:sz w:val="20"/>
          <w:szCs w:val="20"/>
        </w:rPr>
        <w:t xml:space="preserve"> </w:t>
      </w:r>
      <w:r w:rsidR="002E2327" w:rsidRPr="008A53D2">
        <w:rPr>
          <w:sz w:val="20"/>
          <w:szCs w:val="20"/>
        </w:rPr>
        <w:t>(3</w:t>
      </w:r>
      <w:r w:rsidR="008267D0" w:rsidRPr="008A53D2">
        <w:rPr>
          <w:sz w:val="20"/>
          <w:szCs w:val="20"/>
        </w:rPr>
        <w:t>4020</w:t>
      </w:r>
      <w:r w:rsidR="002E2327" w:rsidRPr="008A53D2">
        <w:rPr>
          <w:sz w:val="20"/>
          <w:szCs w:val="20"/>
        </w:rPr>
        <w:t>)</w:t>
      </w:r>
    </w:p>
    <w:p w:rsidR="002E2327" w:rsidRDefault="002E2327" w:rsidP="00C50A5C">
      <w:pPr>
        <w:widowControl w:val="0"/>
        <w:jc w:val="both"/>
        <w:rPr>
          <w:sz w:val="20"/>
          <w:szCs w:val="20"/>
        </w:rPr>
      </w:pPr>
    </w:p>
    <w:p w:rsidR="00997814" w:rsidRDefault="00997814" w:rsidP="00C50A5C">
      <w:pPr>
        <w:widowControl w:val="0"/>
        <w:jc w:val="both"/>
        <w:rPr>
          <w:sz w:val="20"/>
          <w:szCs w:val="20"/>
        </w:rPr>
      </w:pPr>
    </w:p>
    <w:p w:rsidR="00997814" w:rsidRPr="00C50A5C" w:rsidRDefault="00997814" w:rsidP="00997814">
      <w:pPr>
        <w:widowControl w:val="0"/>
        <w:jc w:val="center"/>
        <w:rPr>
          <w:b/>
          <w:sz w:val="20"/>
          <w:szCs w:val="20"/>
        </w:rPr>
      </w:pPr>
      <w:r w:rsidRPr="00C50A5C">
        <w:rPr>
          <w:b/>
          <w:sz w:val="20"/>
          <w:szCs w:val="20"/>
        </w:rPr>
        <w:t xml:space="preserve">CORAM: </w:t>
      </w:r>
      <w:proofErr w:type="spellStart"/>
      <w:r w:rsidRPr="00C50A5C">
        <w:rPr>
          <w:b/>
          <w:sz w:val="20"/>
          <w:szCs w:val="20"/>
        </w:rPr>
        <w:t>LeBel</w:t>
      </w:r>
      <w:proofErr w:type="spellEnd"/>
      <w:r w:rsidRPr="00C50A5C">
        <w:rPr>
          <w:b/>
          <w:sz w:val="20"/>
          <w:szCs w:val="20"/>
        </w:rPr>
        <w:t xml:space="preserve">, </w:t>
      </w:r>
      <w:proofErr w:type="spellStart"/>
      <w:r w:rsidRPr="00C50A5C">
        <w:rPr>
          <w:b/>
          <w:sz w:val="20"/>
          <w:szCs w:val="20"/>
        </w:rPr>
        <w:t>Deschamps</w:t>
      </w:r>
      <w:proofErr w:type="spellEnd"/>
      <w:r w:rsidRPr="00C50A5C">
        <w:rPr>
          <w:b/>
          <w:sz w:val="20"/>
          <w:szCs w:val="20"/>
        </w:rPr>
        <w:t xml:space="preserve"> and </w:t>
      </w:r>
      <w:proofErr w:type="spellStart"/>
      <w:r w:rsidRPr="00C50A5C">
        <w:rPr>
          <w:b/>
          <w:sz w:val="20"/>
          <w:szCs w:val="20"/>
        </w:rPr>
        <w:t>Charron</w:t>
      </w:r>
      <w:proofErr w:type="spellEnd"/>
      <w:r w:rsidRPr="00C50A5C">
        <w:rPr>
          <w:b/>
          <w:sz w:val="20"/>
          <w:szCs w:val="20"/>
        </w:rPr>
        <w:t xml:space="preserve"> JJ.</w:t>
      </w:r>
    </w:p>
    <w:p w:rsidR="00997814" w:rsidRPr="00C50A5C" w:rsidRDefault="00997814" w:rsidP="00997814">
      <w:pPr>
        <w:widowControl w:val="0"/>
        <w:jc w:val="center"/>
        <w:rPr>
          <w:b/>
          <w:sz w:val="20"/>
          <w:szCs w:val="20"/>
          <w:lang w:val="fr-CA"/>
        </w:rPr>
      </w:pPr>
      <w:r w:rsidRPr="00C50A5C">
        <w:rPr>
          <w:b/>
          <w:sz w:val="20"/>
          <w:szCs w:val="20"/>
          <w:lang w:val="fr-CA"/>
        </w:rPr>
        <w:t xml:space="preserve">Les juges </w:t>
      </w:r>
      <w:proofErr w:type="spellStart"/>
      <w:r w:rsidRPr="00C50A5C">
        <w:rPr>
          <w:b/>
          <w:sz w:val="20"/>
          <w:szCs w:val="20"/>
          <w:lang w:val="fr-CA"/>
        </w:rPr>
        <w:t>LeBel</w:t>
      </w:r>
      <w:proofErr w:type="spellEnd"/>
      <w:r w:rsidRPr="00C50A5C">
        <w:rPr>
          <w:b/>
          <w:sz w:val="20"/>
          <w:szCs w:val="20"/>
          <w:lang w:val="fr-CA"/>
        </w:rPr>
        <w:t>, Deschamps et Charron</w:t>
      </w:r>
    </w:p>
    <w:p w:rsidR="00997814" w:rsidRPr="00997814" w:rsidRDefault="00997814" w:rsidP="00C50A5C">
      <w:pPr>
        <w:widowControl w:val="0"/>
        <w:jc w:val="both"/>
        <w:rPr>
          <w:sz w:val="20"/>
          <w:szCs w:val="20"/>
          <w:lang w:val="fr-CA"/>
        </w:rPr>
      </w:pPr>
    </w:p>
    <w:p w:rsidR="002E2327" w:rsidRPr="008A53D2" w:rsidRDefault="008A53D2" w:rsidP="00C50A5C">
      <w:pPr>
        <w:pStyle w:val="ListParagraph"/>
        <w:widowControl w:val="0"/>
        <w:numPr>
          <w:ilvl w:val="0"/>
          <w:numId w:val="1"/>
        </w:numPr>
        <w:ind w:hanging="720"/>
        <w:jc w:val="both"/>
        <w:rPr>
          <w:sz w:val="20"/>
          <w:szCs w:val="20"/>
        </w:rPr>
      </w:pPr>
      <w:r w:rsidRPr="008A53D2">
        <w:rPr>
          <w:i/>
          <w:sz w:val="20"/>
          <w:szCs w:val="20"/>
        </w:rPr>
        <w:t>Everton Thomas v. Her Majesty the Queen</w:t>
      </w:r>
      <w:r w:rsidRPr="008267D0">
        <w:rPr>
          <w:sz w:val="20"/>
          <w:szCs w:val="20"/>
        </w:rPr>
        <w:t xml:space="preserve"> (Ont.) (Crim</w:t>
      </w:r>
      <w:r>
        <w:rPr>
          <w:sz w:val="20"/>
          <w:szCs w:val="20"/>
        </w:rPr>
        <w:t>.</w:t>
      </w:r>
      <w:r w:rsidRPr="008267D0">
        <w:rPr>
          <w:sz w:val="20"/>
          <w:szCs w:val="20"/>
        </w:rPr>
        <w:t>) (By Leave)</w:t>
      </w:r>
      <w:r w:rsidRPr="008A53D2">
        <w:rPr>
          <w:sz w:val="20"/>
          <w:szCs w:val="20"/>
        </w:rPr>
        <w:t xml:space="preserve"> </w:t>
      </w:r>
      <w:r w:rsidR="002E2327" w:rsidRPr="008A53D2">
        <w:rPr>
          <w:sz w:val="20"/>
          <w:szCs w:val="20"/>
        </w:rPr>
        <w:t>(34</w:t>
      </w:r>
      <w:r w:rsidR="008267D0" w:rsidRPr="008A53D2">
        <w:rPr>
          <w:sz w:val="20"/>
          <w:szCs w:val="20"/>
        </w:rPr>
        <w:t>059</w:t>
      </w:r>
      <w:r w:rsidR="002E2327" w:rsidRPr="008A53D2">
        <w:rPr>
          <w:sz w:val="20"/>
          <w:szCs w:val="20"/>
        </w:rPr>
        <w:t>)</w:t>
      </w:r>
    </w:p>
    <w:p w:rsidR="002E2327" w:rsidRPr="008A53D2" w:rsidRDefault="002E2327" w:rsidP="00C50A5C">
      <w:pPr>
        <w:widowControl w:val="0"/>
        <w:jc w:val="both"/>
        <w:rPr>
          <w:sz w:val="20"/>
          <w:szCs w:val="20"/>
        </w:rPr>
      </w:pPr>
    </w:p>
    <w:p w:rsidR="002E2327" w:rsidRPr="008A53D2" w:rsidRDefault="008A53D2" w:rsidP="00C50A5C">
      <w:pPr>
        <w:pStyle w:val="ListParagraph"/>
        <w:widowControl w:val="0"/>
        <w:numPr>
          <w:ilvl w:val="0"/>
          <w:numId w:val="1"/>
        </w:numPr>
        <w:ind w:hanging="720"/>
        <w:jc w:val="both"/>
        <w:rPr>
          <w:sz w:val="20"/>
          <w:szCs w:val="20"/>
        </w:rPr>
      </w:pPr>
      <w:r w:rsidRPr="008A53D2">
        <w:rPr>
          <w:i/>
          <w:sz w:val="20"/>
          <w:szCs w:val="20"/>
        </w:rPr>
        <w:t>Her Majesty the Queen v. Carl Hall</w:t>
      </w:r>
      <w:r w:rsidRPr="008267D0">
        <w:rPr>
          <w:sz w:val="20"/>
          <w:szCs w:val="20"/>
        </w:rPr>
        <w:t xml:space="preserve"> (Ont.) (Crim</w:t>
      </w:r>
      <w:r>
        <w:rPr>
          <w:sz w:val="20"/>
          <w:szCs w:val="20"/>
        </w:rPr>
        <w:t>.</w:t>
      </w:r>
      <w:r w:rsidRPr="008267D0">
        <w:rPr>
          <w:sz w:val="20"/>
          <w:szCs w:val="20"/>
        </w:rPr>
        <w:t>) (By Leave)</w:t>
      </w:r>
      <w:r w:rsidRPr="008A53D2">
        <w:rPr>
          <w:sz w:val="20"/>
          <w:szCs w:val="20"/>
        </w:rPr>
        <w:t xml:space="preserve"> </w:t>
      </w:r>
      <w:r w:rsidR="002E2327" w:rsidRPr="008A53D2">
        <w:rPr>
          <w:sz w:val="20"/>
          <w:szCs w:val="20"/>
        </w:rPr>
        <w:t>(3</w:t>
      </w:r>
      <w:r w:rsidR="008267D0" w:rsidRPr="008A53D2">
        <w:rPr>
          <w:sz w:val="20"/>
          <w:szCs w:val="20"/>
        </w:rPr>
        <w:t>4</w:t>
      </w:r>
      <w:r w:rsidR="002E2327" w:rsidRPr="008A53D2">
        <w:rPr>
          <w:sz w:val="20"/>
          <w:szCs w:val="20"/>
        </w:rPr>
        <w:t>0</w:t>
      </w:r>
      <w:r w:rsidR="008267D0" w:rsidRPr="008A53D2">
        <w:rPr>
          <w:sz w:val="20"/>
          <w:szCs w:val="20"/>
        </w:rPr>
        <w:t>14)</w:t>
      </w:r>
    </w:p>
    <w:p w:rsidR="002E2327" w:rsidRPr="008A53D2" w:rsidRDefault="002E2327" w:rsidP="002E2327">
      <w:pPr>
        <w:widowControl w:val="0"/>
        <w:rPr>
          <w:sz w:val="20"/>
          <w:szCs w:val="20"/>
        </w:rPr>
      </w:pPr>
    </w:p>
    <w:p w:rsidR="002E2327" w:rsidRPr="00C50A5C" w:rsidRDefault="008A53D2" w:rsidP="00C50A5C">
      <w:pPr>
        <w:pStyle w:val="ListParagraph"/>
        <w:widowControl w:val="0"/>
        <w:numPr>
          <w:ilvl w:val="0"/>
          <w:numId w:val="1"/>
        </w:numPr>
        <w:ind w:hanging="720"/>
        <w:jc w:val="both"/>
        <w:rPr>
          <w:sz w:val="20"/>
          <w:szCs w:val="20"/>
          <w:lang w:val="fr-CA"/>
        </w:rPr>
      </w:pPr>
      <w:r w:rsidRPr="008A53D2">
        <w:rPr>
          <w:i/>
          <w:sz w:val="20"/>
          <w:szCs w:val="20"/>
          <w:lang w:val="fr-CA"/>
        </w:rPr>
        <w:t>Banque Toronto-Dominion c. Sa Majesté la Reine</w:t>
      </w:r>
      <w:r w:rsidRPr="008A53D2">
        <w:rPr>
          <w:sz w:val="20"/>
          <w:szCs w:val="20"/>
          <w:lang w:val="fr-CA"/>
        </w:rPr>
        <w:t xml:space="preserve"> (C.F.) (Civile) (Autorisation)</w:t>
      </w:r>
      <w:r w:rsidRPr="00C50A5C">
        <w:rPr>
          <w:sz w:val="20"/>
          <w:szCs w:val="20"/>
          <w:lang w:val="fr-CA"/>
        </w:rPr>
        <w:t xml:space="preserve"> </w:t>
      </w:r>
      <w:r w:rsidR="002E2327" w:rsidRPr="00C50A5C">
        <w:rPr>
          <w:sz w:val="20"/>
          <w:szCs w:val="20"/>
          <w:lang w:val="fr-CA"/>
        </w:rPr>
        <w:t>(33</w:t>
      </w:r>
      <w:r w:rsidR="008267D0">
        <w:rPr>
          <w:sz w:val="20"/>
          <w:szCs w:val="20"/>
          <w:lang w:val="fr-CA"/>
        </w:rPr>
        <w:t>878</w:t>
      </w:r>
      <w:r w:rsidR="002E2327" w:rsidRPr="00C50A5C">
        <w:rPr>
          <w:sz w:val="20"/>
          <w:szCs w:val="20"/>
          <w:lang w:val="fr-CA"/>
        </w:rPr>
        <w:t>)</w:t>
      </w:r>
    </w:p>
    <w:p w:rsidR="002E2327" w:rsidRPr="00C50A5C" w:rsidRDefault="002E2327" w:rsidP="00C50A5C">
      <w:pPr>
        <w:widowControl w:val="0"/>
        <w:jc w:val="both"/>
        <w:rPr>
          <w:sz w:val="20"/>
          <w:szCs w:val="20"/>
          <w:lang w:val="fr-CA"/>
        </w:rPr>
      </w:pPr>
    </w:p>
    <w:p w:rsidR="002E2327" w:rsidRPr="008A53D2" w:rsidRDefault="008A53D2" w:rsidP="00C50A5C">
      <w:pPr>
        <w:pStyle w:val="ListParagraph"/>
        <w:widowControl w:val="0"/>
        <w:numPr>
          <w:ilvl w:val="0"/>
          <w:numId w:val="1"/>
        </w:numPr>
        <w:ind w:hanging="720"/>
        <w:jc w:val="both"/>
        <w:rPr>
          <w:sz w:val="20"/>
          <w:szCs w:val="20"/>
        </w:rPr>
      </w:pPr>
      <w:r w:rsidRPr="008A53D2">
        <w:rPr>
          <w:i/>
          <w:sz w:val="20"/>
          <w:szCs w:val="20"/>
        </w:rPr>
        <w:t xml:space="preserve">Alliance of Canada Cinema, Television &amp; Radio Artists (ACTRA) et al. v. Bell </w:t>
      </w:r>
      <w:proofErr w:type="spellStart"/>
      <w:r w:rsidRPr="008A53D2">
        <w:rPr>
          <w:i/>
          <w:sz w:val="20"/>
          <w:szCs w:val="20"/>
        </w:rPr>
        <w:t>Aliant</w:t>
      </w:r>
      <w:proofErr w:type="spellEnd"/>
      <w:r w:rsidRPr="008A53D2">
        <w:rPr>
          <w:i/>
          <w:sz w:val="20"/>
          <w:szCs w:val="20"/>
        </w:rPr>
        <w:t xml:space="preserve"> Regional Communications, LP et al.</w:t>
      </w:r>
      <w:r w:rsidRPr="008267D0">
        <w:rPr>
          <w:sz w:val="20"/>
          <w:szCs w:val="20"/>
        </w:rPr>
        <w:t xml:space="preserve"> (F</w:t>
      </w:r>
      <w:r>
        <w:rPr>
          <w:sz w:val="20"/>
          <w:szCs w:val="20"/>
        </w:rPr>
        <w:t>.</w:t>
      </w:r>
      <w:r w:rsidRPr="008267D0">
        <w:rPr>
          <w:sz w:val="20"/>
          <w:szCs w:val="20"/>
        </w:rPr>
        <w:t>C</w:t>
      </w:r>
      <w:r>
        <w:rPr>
          <w:sz w:val="20"/>
          <w:szCs w:val="20"/>
        </w:rPr>
        <w:t>.</w:t>
      </w:r>
      <w:r w:rsidRPr="008267D0">
        <w:rPr>
          <w:sz w:val="20"/>
          <w:szCs w:val="20"/>
        </w:rPr>
        <w:t>) (Civil) (By Leave)</w:t>
      </w:r>
      <w:r w:rsidRPr="008A53D2">
        <w:rPr>
          <w:sz w:val="20"/>
          <w:szCs w:val="20"/>
        </w:rPr>
        <w:t xml:space="preserve"> </w:t>
      </w:r>
      <w:r w:rsidR="002E2327" w:rsidRPr="008A53D2">
        <w:rPr>
          <w:sz w:val="20"/>
          <w:szCs w:val="20"/>
        </w:rPr>
        <w:t>(33</w:t>
      </w:r>
      <w:r w:rsidR="008267D0" w:rsidRPr="008A53D2">
        <w:rPr>
          <w:sz w:val="20"/>
          <w:szCs w:val="20"/>
        </w:rPr>
        <w:t>88</w:t>
      </w:r>
      <w:r w:rsidR="002E2327" w:rsidRPr="008A53D2">
        <w:rPr>
          <w:sz w:val="20"/>
          <w:szCs w:val="20"/>
        </w:rPr>
        <w:t>4)</w:t>
      </w:r>
    </w:p>
    <w:p w:rsidR="002E2327" w:rsidRPr="008A53D2" w:rsidRDefault="002E2327" w:rsidP="002E2327">
      <w:pPr>
        <w:widowControl w:val="0"/>
        <w:rPr>
          <w:sz w:val="20"/>
          <w:szCs w:val="20"/>
        </w:rPr>
      </w:pPr>
    </w:p>
    <w:p w:rsidR="002E2327" w:rsidRDefault="0004334C" w:rsidP="002E2327">
      <w:pPr>
        <w:widowControl w:val="0"/>
        <w:rPr>
          <w:sz w:val="20"/>
          <w:szCs w:val="20"/>
        </w:rPr>
      </w:pPr>
      <w:r w:rsidRPr="0004334C">
        <w:rPr>
          <w:sz w:val="20"/>
          <w:szCs w:val="20"/>
        </w:rPr>
        <w:pict>
          <v:rect id="_x0000_i1051" style="width:2in;height:1pt" o:hrpct="0" o:hralign="center" o:hrstd="t" o:hrnoshade="t" o:hr="t" fillcolor="black [3213]" stroked="f"/>
        </w:pict>
      </w:r>
    </w:p>
    <w:p w:rsidR="008267D0" w:rsidRDefault="008267D0" w:rsidP="002E2327">
      <w:pPr>
        <w:widowControl w:val="0"/>
        <w:rPr>
          <w:sz w:val="20"/>
          <w:szCs w:val="20"/>
        </w:rPr>
      </w:pPr>
    </w:p>
    <w:p w:rsidR="008267D0" w:rsidRPr="008267D0" w:rsidRDefault="008267D0" w:rsidP="008267D0">
      <w:pPr>
        <w:widowControl w:val="0"/>
        <w:rPr>
          <w:sz w:val="20"/>
          <w:szCs w:val="20"/>
          <w:lang w:val="fr-CA"/>
        </w:rPr>
      </w:pPr>
    </w:p>
    <w:p w:rsidR="008267D0" w:rsidRPr="00C50A5C" w:rsidRDefault="008267D0" w:rsidP="002E2327">
      <w:pPr>
        <w:widowControl w:val="0"/>
        <w:rPr>
          <w:sz w:val="20"/>
          <w:szCs w:val="20"/>
        </w:rPr>
      </w:pPr>
    </w:p>
    <w:p w:rsidR="0044776A" w:rsidRPr="00C50A5C" w:rsidRDefault="0044776A" w:rsidP="002E2327">
      <w:pPr>
        <w:widowControl w:val="0"/>
        <w:spacing w:line="0" w:lineRule="atLeast"/>
        <w:rPr>
          <w:sz w:val="20"/>
          <w:szCs w:val="20"/>
        </w:rPr>
        <w:sectPr w:rsidR="0044776A" w:rsidRPr="00C50A5C" w:rsidSect="0044776A">
          <w:headerReference w:type="default" r:id="rId19"/>
          <w:footerReference w:type="default" r:id="rId20"/>
          <w:headerReference w:type="first" r:id="rId21"/>
          <w:footerReference w:type="first" r:id="rId22"/>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tblPr>
      <w:tblGrid>
        <w:gridCol w:w="4200"/>
        <w:gridCol w:w="1200"/>
        <w:gridCol w:w="4080"/>
      </w:tblGrid>
      <w:tr w:rsidR="008D292F" w:rsidRPr="001602E4" w:rsidTr="00ED7E83">
        <w:tc>
          <w:tcPr>
            <w:tcW w:w="4200" w:type="dxa"/>
            <w:tcMar>
              <w:left w:w="0" w:type="dxa"/>
              <w:right w:w="0" w:type="dxa"/>
            </w:tcMar>
          </w:tcPr>
          <w:p w:rsidR="008D292F" w:rsidRPr="001D0D5F" w:rsidRDefault="008D292F" w:rsidP="00ED7E83">
            <w:pPr>
              <w:keepNext/>
              <w:keepLines/>
              <w:jc w:val="both"/>
              <w:rPr>
                <w:b/>
                <w:szCs w:val="24"/>
              </w:rPr>
            </w:pPr>
            <w:bookmarkStart w:id="0" w:name="QuickMark_1"/>
            <w:bookmarkEnd w:id="0"/>
            <w:r w:rsidRPr="001D0D5F">
              <w:rPr>
                <w:b/>
                <w:szCs w:val="24"/>
              </w:rPr>
              <w:lastRenderedPageBreak/>
              <w:t>JUDGMENTS ON APPLICATIONS</w:t>
            </w:r>
          </w:p>
          <w:p w:rsidR="008D292F" w:rsidRPr="001D0D5F" w:rsidRDefault="008D292F" w:rsidP="00ED7E83">
            <w:pPr>
              <w:keepNext/>
              <w:keepLines/>
              <w:jc w:val="both"/>
              <w:rPr>
                <w:b/>
                <w:szCs w:val="24"/>
              </w:rPr>
            </w:pPr>
            <w:r w:rsidRPr="001D0D5F">
              <w:rPr>
                <w:b/>
                <w:szCs w:val="24"/>
              </w:rPr>
              <w:t>FOR LEAVE</w:t>
            </w:r>
          </w:p>
        </w:tc>
        <w:tc>
          <w:tcPr>
            <w:tcW w:w="1200" w:type="dxa"/>
            <w:tcMar>
              <w:left w:w="0" w:type="dxa"/>
              <w:right w:w="0" w:type="dxa"/>
            </w:tcMar>
          </w:tcPr>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tc>
        <w:tc>
          <w:tcPr>
            <w:tcW w:w="4080" w:type="dxa"/>
            <w:tcMar>
              <w:left w:w="0" w:type="dxa"/>
              <w:right w:w="0" w:type="dxa"/>
            </w:tcMar>
          </w:tcPr>
          <w:p w:rsidR="008D292F" w:rsidRPr="001D0D5F" w:rsidRDefault="008D292F" w:rsidP="00ED7E83">
            <w:pPr>
              <w:keepNext/>
              <w:keepLines/>
              <w:jc w:val="both"/>
              <w:rPr>
                <w:b/>
                <w:szCs w:val="24"/>
                <w:lang w:val="fr-CA"/>
              </w:rPr>
            </w:pPr>
            <w:r w:rsidRPr="001D0D5F">
              <w:rPr>
                <w:b/>
                <w:szCs w:val="24"/>
                <w:lang w:val="fr-CA"/>
              </w:rPr>
              <w:t>JUGEMENTS RENDUS SUR LES DEMANDES D’AUTORISATION</w:t>
            </w:r>
          </w:p>
        </w:tc>
      </w:tr>
    </w:tbl>
    <w:p w:rsidR="008D292F" w:rsidRPr="00C50A5C" w:rsidRDefault="008D292F" w:rsidP="008D292F">
      <w:pPr>
        <w:rPr>
          <w:sz w:val="20"/>
          <w:szCs w:val="20"/>
          <w:lang w:val="fr-CA"/>
        </w:rPr>
      </w:pPr>
    </w:p>
    <w:p w:rsidR="008D292F" w:rsidRPr="00014ADB" w:rsidRDefault="00176869" w:rsidP="008D292F">
      <w:pPr>
        <w:rPr>
          <w:b/>
          <w:sz w:val="20"/>
          <w:szCs w:val="20"/>
          <w:lang w:val="fr-CA"/>
        </w:rPr>
      </w:pPr>
      <w:r w:rsidRPr="00014ADB">
        <w:rPr>
          <w:b/>
          <w:sz w:val="20"/>
          <w:szCs w:val="20"/>
          <w:lang w:val="fr-CA"/>
        </w:rPr>
        <w:t>MARCH 10</w:t>
      </w:r>
      <w:r w:rsidR="008D292F" w:rsidRPr="00014ADB">
        <w:rPr>
          <w:b/>
          <w:sz w:val="20"/>
          <w:szCs w:val="20"/>
          <w:lang w:val="fr-CA"/>
        </w:rPr>
        <w:t>, 201</w:t>
      </w:r>
      <w:r w:rsidRPr="00014ADB">
        <w:rPr>
          <w:b/>
          <w:sz w:val="20"/>
          <w:szCs w:val="20"/>
          <w:lang w:val="fr-CA"/>
        </w:rPr>
        <w:t>1</w:t>
      </w:r>
      <w:r w:rsidR="008D292F" w:rsidRPr="00014ADB">
        <w:rPr>
          <w:b/>
          <w:sz w:val="20"/>
          <w:szCs w:val="20"/>
          <w:lang w:val="fr-CA"/>
        </w:rPr>
        <w:t xml:space="preserve"> / LE </w:t>
      </w:r>
      <w:r w:rsidRPr="00014ADB">
        <w:rPr>
          <w:b/>
          <w:sz w:val="20"/>
          <w:szCs w:val="20"/>
          <w:lang w:val="fr-CA"/>
        </w:rPr>
        <w:t>10 M</w:t>
      </w:r>
      <w:r w:rsidR="008D292F" w:rsidRPr="00014ADB">
        <w:rPr>
          <w:b/>
          <w:sz w:val="20"/>
          <w:szCs w:val="20"/>
          <w:lang w:val="fr-CA"/>
        </w:rPr>
        <w:t>AR</w:t>
      </w:r>
      <w:r w:rsidRPr="00014ADB">
        <w:rPr>
          <w:b/>
          <w:sz w:val="20"/>
          <w:szCs w:val="20"/>
          <w:lang w:val="fr-CA"/>
        </w:rPr>
        <w:t>S</w:t>
      </w:r>
      <w:r w:rsidR="008D292F" w:rsidRPr="00014ADB">
        <w:rPr>
          <w:b/>
          <w:sz w:val="20"/>
          <w:szCs w:val="20"/>
          <w:lang w:val="fr-CA"/>
        </w:rPr>
        <w:t xml:space="preserve"> 201</w:t>
      </w:r>
      <w:r w:rsidRPr="00014ADB">
        <w:rPr>
          <w:b/>
          <w:sz w:val="20"/>
          <w:szCs w:val="20"/>
          <w:lang w:val="fr-CA"/>
        </w:rPr>
        <w:t>1</w:t>
      </w:r>
    </w:p>
    <w:p w:rsidR="008D292F" w:rsidRPr="00014ADB" w:rsidRDefault="008D292F" w:rsidP="008D292F">
      <w:pPr>
        <w:rPr>
          <w:sz w:val="20"/>
          <w:szCs w:val="20"/>
          <w:lang w:val="fr-CA"/>
        </w:rPr>
      </w:pPr>
    </w:p>
    <w:p w:rsidR="00AD2E89" w:rsidRPr="00AD2E89" w:rsidRDefault="00AD2E89" w:rsidP="00AD2E89">
      <w:pPr>
        <w:widowControl w:val="0"/>
        <w:ind w:left="1440" w:hanging="1440"/>
        <w:jc w:val="both"/>
        <w:rPr>
          <w:sz w:val="20"/>
          <w:szCs w:val="20"/>
          <w:lang w:val="fr-CA"/>
        </w:rPr>
      </w:pPr>
      <w:r w:rsidRPr="00AD2E89">
        <w:rPr>
          <w:b/>
          <w:sz w:val="20"/>
          <w:szCs w:val="20"/>
          <w:lang w:val="fr-CA"/>
        </w:rPr>
        <w:t>33535</w:t>
      </w:r>
      <w:r w:rsidRPr="00AD2E89">
        <w:rPr>
          <w:sz w:val="20"/>
          <w:szCs w:val="20"/>
          <w:lang w:val="fr-CA"/>
        </w:rPr>
        <w:tab/>
      </w:r>
      <w:r w:rsidRPr="00AD2E89">
        <w:rPr>
          <w:b/>
          <w:sz w:val="20"/>
          <w:u w:val="single"/>
          <w:lang w:val="fr-CA"/>
        </w:rPr>
        <w:t xml:space="preserve">Association québécoise de l’industrie du disque, du spectacle et de la vidéo, Solange Drouin, </w:t>
      </w:r>
      <w:proofErr w:type="spellStart"/>
      <w:r w:rsidRPr="00AD2E89">
        <w:rPr>
          <w:b/>
          <w:sz w:val="20"/>
          <w:u w:val="single"/>
          <w:lang w:val="fr-CA"/>
        </w:rPr>
        <w:t>Lyette</w:t>
      </w:r>
      <w:proofErr w:type="spellEnd"/>
      <w:r w:rsidRPr="00AD2E89">
        <w:rPr>
          <w:b/>
          <w:sz w:val="20"/>
          <w:u w:val="single"/>
          <w:lang w:val="fr-CA"/>
        </w:rPr>
        <w:t xml:space="preserve"> Bouchard et Jacques </w:t>
      </w:r>
      <w:proofErr w:type="spellStart"/>
      <w:r w:rsidRPr="00AD2E89">
        <w:rPr>
          <w:b/>
          <w:sz w:val="20"/>
          <w:u w:val="single"/>
          <w:lang w:val="fr-CA"/>
        </w:rPr>
        <w:t>Primeau</w:t>
      </w:r>
      <w:proofErr w:type="spellEnd"/>
      <w:r w:rsidRPr="00AD2E89">
        <w:rPr>
          <w:b/>
          <w:sz w:val="20"/>
          <w:u w:val="single"/>
          <w:lang w:val="fr-CA"/>
        </w:rPr>
        <w:t xml:space="preserve"> c. </w:t>
      </w:r>
      <w:proofErr w:type="spellStart"/>
      <w:r w:rsidRPr="00AD2E89">
        <w:rPr>
          <w:b/>
          <w:sz w:val="20"/>
          <w:u w:val="single"/>
          <w:lang w:val="fr-CA"/>
        </w:rPr>
        <w:t>Genex</w:t>
      </w:r>
      <w:proofErr w:type="spellEnd"/>
      <w:r w:rsidRPr="00AD2E89">
        <w:rPr>
          <w:b/>
          <w:sz w:val="20"/>
          <w:u w:val="single"/>
          <w:lang w:val="fr-CA"/>
        </w:rPr>
        <w:t xml:space="preserve"> Communications Inc., Patrice Demers et Jean-François Fillion</w:t>
      </w:r>
      <w:r>
        <w:rPr>
          <w:b/>
          <w:sz w:val="20"/>
          <w:u w:val="single"/>
          <w:lang w:val="fr-CA"/>
        </w:rPr>
        <w:t xml:space="preserve"> </w:t>
      </w:r>
      <w:r w:rsidRPr="00120504">
        <w:rPr>
          <w:sz w:val="20"/>
          <w:lang w:val="fr-CA"/>
        </w:rPr>
        <w:tab/>
      </w:r>
      <w:r w:rsidRPr="00AD2E89">
        <w:rPr>
          <w:sz w:val="20"/>
          <w:lang w:val="fr-CA"/>
        </w:rPr>
        <w:t>(</w:t>
      </w:r>
      <w:proofErr w:type="spellStart"/>
      <w:r w:rsidRPr="00AD2E89">
        <w:rPr>
          <w:sz w:val="20"/>
          <w:lang w:val="fr-CA"/>
        </w:rPr>
        <w:t>Qc</w:t>
      </w:r>
      <w:proofErr w:type="spellEnd"/>
      <w:r w:rsidRPr="00AD2E89">
        <w:rPr>
          <w:sz w:val="20"/>
          <w:lang w:val="fr-CA"/>
        </w:rPr>
        <w:t>) (Civile) (Autorisation)</w:t>
      </w:r>
    </w:p>
    <w:p w:rsidR="00AD2E89" w:rsidRPr="00AD2E89" w:rsidRDefault="00AD2E89" w:rsidP="00AD2E89">
      <w:pPr>
        <w:rPr>
          <w:sz w:val="20"/>
          <w:szCs w:val="20"/>
          <w:lang w:val="fr-CA"/>
        </w:rPr>
      </w:pPr>
    </w:p>
    <w:p w:rsidR="00AD2E89" w:rsidRPr="00AD2E89" w:rsidRDefault="00AD2E89" w:rsidP="00AD2E89">
      <w:pPr>
        <w:ind w:left="1440" w:hanging="1440"/>
        <w:rPr>
          <w:sz w:val="20"/>
          <w:szCs w:val="20"/>
          <w:lang w:val="fr-CA"/>
        </w:rPr>
      </w:pPr>
      <w:r w:rsidRPr="00AD2E89">
        <w:rPr>
          <w:sz w:val="20"/>
          <w:szCs w:val="20"/>
          <w:lang w:val="fr-CA"/>
        </w:rPr>
        <w:t>Coram :</w:t>
      </w:r>
      <w:r w:rsidRPr="00AD2E89">
        <w:rPr>
          <w:sz w:val="20"/>
          <w:szCs w:val="20"/>
          <w:lang w:val="fr-CA"/>
        </w:rPr>
        <w:tab/>
      </w:r>
      <w:r w:rsidRPr="00AD2E89">
        <w:rPr>
          <w:sz w:val="20"/>
          <w:szCs w:val="20"/>
          <w:u w:val="single"/>
          <w:lang w:val="fr-CA"/>
        </w:rPr>
        <w:t xml:space="preserve">Les juges </w:t>
      </w:r>
      <w:proofErr w:type="spellStart"/>
      <w:r w:rsidRPr="00AD2E89">
        <w:rPr>
          <w:sz w:val="20"/>
          <w:szCs w:val="20"/>
          <w:u w:val="single"/>
          <w:lang w:val="fr-CA"/>
        </w:rPr>
        <w:t>LeBel</w:t>
      </w:r>
      <w:proofErr w:type="spellEnd"/>
      <w:r w:rsidRPr="00AD2E89">
        <w:rPr>
          <w:sz w:val="20"/>
          <w:szCs w:val="20"/>
          <w:u w:val="single"/>
          <w:lang w:val="fr-CA"/>
        </w:rPr>
        <w:t>, Deschamps et Charron</w:t>
      </w:r>
    </w:p>
    <w:p w:rsidR="00AD2E89" w:rsidRDefault="00AD2E89" w:rsidP="00AD2E89">
      <w:pPr>
        <w:jc w:val="both"/>
        <w:rPr>
          <w:sz w:val="20"/>
          <w:szCs w:val="20"/>
          <w:lang w:val="fr-CA"/>
        </w:rPr>
      </w:pPr>
    </w:p>
    <w:p w:rsidR="00AD2E89" w:rsidRDefault="00AD2E89" w:rsidP="00AD2E89">
      <w:pPr>
        <w:jc w:val="both"/>
        <w:rPr>
          <w:sz w:val="20"/>
          <w:szCs w:val="20"/>
          <w:lang w:val="fr-CA"/>
        </w:rPr>
      </w:pPr>
      <w:r>
        <w:rPr>
          <w:sz w:val="20"/>
          <w:szCs w:val="20"/>
          <w:lang w:val="fr-CA"/>
        </w:rPr>
        <w:tab/>
      </w:r>
      <w:r w:rsidRPr="00AD2E89">
        <w:rPr>
          <w:sz w:val="20"/>
          <w:szCs w:val="20"/>
          <w:lang w:val="fr-CA"/>
        </w:rPr>
        <w:t>La demande d’autorisation d’appel de l’arrêt de la Cour d’appel du Québec (Montréal), numéro 500-09-017922-071, 2009 QCCA 2201, daté du 20 novembre 2009, est rejetée avec dépens.</w:t>
      </w:r>
    </w:p>
    <w:p w:rsidR="00AD2E89" w:rsidRDefault="00AD2E89" w:rsidP="00AD2E89">
      <w:pPr>
        <w:jc w:val="both"/>
        <w:rPr>
          <w:sz w:val="20"/>
          <w:szCs w:val="20"/>
          <w:lang w:val="fr-CA"/>
        </w:rPr>
      </w:pPr>
    </w:p>
    <w:p w:rsidR="00AD2E89" w:rsidRPr="00AD2E89" w:rsidRDefault="00AD2E89" w:rsidP="00AD2E89">
      <w:pPr>
        <w:jc w:val="both"/>
        <w:rPr>
          <w:sz w:val="20"/>
          <w:szCs w:val="20"/>
        </w:rPr>
      </w:pPr>
      <w:r w:rsidRPr="005F3D4C">
        <w:rPr>
          <w:sz w:val="20"/>
          <w:szCs w:val="20"/>
          <w:lang w:val="fr-CA"/>
        </w:rPr>
        <w:tab/>
      </w:r>
      <w:r w:rsidRPr="00200FEF">
        <w:rPr>
          <w:sz w:val="20"/>
          <w:szCs w:val="20"/>
        </w:rPr>
        <w:t xml:space="preserve">The application for leave to appeal from the judgment of the </w:t>
      </w:r>
      <w:r w:rsidRPr="00200FEF">
        <w:rPr>
          <w:sz w:val="20"/>
          <w:szCs w:val="20"/>
          <w:lang w:val="en-US"/>
        </w:rPr>
        <w:t>Court of Appeal of Quebec (Montréal)</w:t>
      </w:r>
      <w:r w:rsidRPr="00200FEF">
        <w:rPr>
          <w:sz w:val="20"/>
          <w:szCs w:val="20"/>
        </w:rPr>
        <w:t xml:space="preserve">, Number </w:t>
      </w:r>
      <w:r w:rsidRPr="00200FEF">
        <w:rPr>
          <w:sz w:val="20"/>
          <w:szCs w:val="20"/>
          <w:lang w:val="en-US"/>
        </w:rPr>
        <w:t>500-09-017922-071</w:t>
      </w:r>
      <w:r w:rsidRPr="00200FEF">
        <w:rPr>
          <w:sz w:val="20"/>
          <w:szCs w:val="20"/>
        </w:rPr>
        <w:t xml:space="preserve">, </w:t>
      </w:r>
      <w:r w:rsidRPr="00200FEF">
        <w:rPr>
          <w:sz w:val="20"/>
          <w:szCs w:val="20"/>
          <w:lang w:val="en-US"/>
        </w:rPr>
        <w:t xml:space="preserve">2009 QCCA 2201, </w:t>
      </w:r>
      <w:r w:rsidRPr="00200FEF">
        <w:rPr>
          <w:sz w:val="20"/>
          <w:szCs w:val="20"/>
        </w:rPr>
        <w:t xml:space="preserve">dated </w:t>
      </w:r>
      <w:r w:rsidRPr="00200FEF">
        <w:rPr>
          <w:sz w:val="20"/>
          <w:szCs w:val="20"/>
          <w:lang w:val="en-US"/>
        </w:rPr>
        <w:t>November 20, 2009,</w:t>
      </w:r>
      <w:r w:rsidRPr="00200FEF">
        <w:rPr>
          <w:sz w:val="20"/>
          <w:szCs w:val="20"/>
        </w:rPr>
        <w:t xml:space="preserve"> is dismissed with costs.</w:t>
      </w:r>
    </w:p>
    <w:p w:rsidR="00AD2E89" w:rsidRPr="00AD2E89" w:rsidRDefault="00AD2E89" w:rsidP="00AD2E89">
      <w:pPr>
        <w:jc w:val="both"/>
        <w:rPr>
          <w:sz w:val="20"/>
          <w:szCs w:val="20"/>
        </w:rPr>
      </w:pPr>
    </w:p>
    <w:p w:rsidR="004704BD" w:rsidRDefault="004704BD" w:rsidP="008D292F">
      <w:pPr>
        <w:rPr>
          <w:sz w:val="20"/>
          <w:szCs w:val="20"/>
        </w:rPr>
      </w:pPr>
      <w:r>
        <w:rPr>
          <w:sz w:val="20"/>
          <w:szCs w:val="20"/>
          <w:u w:val="single"/>
        </w:rPr>
        <w:t>CASE SUMMARY</w:t>
      </w:r>
    </w:p>
    <w:p w:rsidR="004704BD" w:rsidRDefault="004704BD" w:rsidP="008D292F">
      <w:pPr>
        <w:rPr>
          <w:sz w:val="20"/>
          <w:szCs w:val="20"/>
        </w:rPr>
      </w:pPr>
    </w:p>
    <w:p w:rsidR="00BA4F25" w:rsidRPr="00120504" w:rsidRDefault="00BA4F25" w:rsidP="00BA4F25">
      <w:pPr>
        <w:widowControl w:val="0"/>
        <w:jc w:val="both"/>
        <w:rPr>
          <w:sz w:val="20"/>
        </w:rPr>
      </w:pPr>
      <w:r w:rsidRPr="00120504">
        <w:rPr>
          <w:sz w:val="20"/>
        </w:rPr>
        <w:t>Civil liability - Libel and slander - Insulting remarks - Moral damages - Punitive damages - Allegations of cronyism between ADISQ and its directors and the CRTC - Personal insults against directors of ADISQ - Court of Appeal finding that defamatory nature of remarks mitigated on basis of concept of fair comment, but upholding finding of fault in respect of insults - Whether actions of radio hosts in [</w:t>
      </w:r>
      <w:r w:rsidRPr="00120504">
        <w:rPr>
          <w:smallCaps/>
          <w:sz w:val="20"/>
        </w:rPr>
        <w:t xml:space="preserve">translation] </w:t>
      </w:r>
      <w:r w:rsidRPr="00120504">
        <w:rPr>
          <w:sz w:val="20"/>
        </w:rPr>
        <w:t xml:space="preserve">“defamation industry” are excused by responsible journalism defence or by contextual assessment of fault - Whether Court of Appeal trivialized freedom of expression - Whether Court of Appeal contradicted its earlier judgments - </w:t>
      </w:r>
      <w:r w:rsidRPr="00120504">
        <w:rPr>
          <w:i/>
          <w:sz w:val="20"/>
        </w:rPr>
        <w:t>Civil Code of Québec</w:t>
      </w:r>
      <w:r w:rsidRPr="00120504">
        <w:rPr>
          <w:sz w:val="20"/>
        </w:rPr>
        <w:t xml:space="preserve">, S.Q. 1991, c. 64, arts. 1457, 1621 - </w:t>
      </w:r>
      <w:r w:rsidRPr="00120504">
        <w:rPr>
          <w:i/>
          <w:sz w:val="20"/>
        </w:rPr>
        <w:t>Charter of human rights and freedoms</w:t>
      </w:r>
      <w:r w:rsidRPr="00120504">
        <w:rPr>
          <w:sz w:val="20"/>
        </w:rPr>
        <w:t>, R.S.Q., c. C-12, s. 49.</w:t>
      </w:r>
    </w:p>
    <w:p w:rsidR="00BA4F25" w:rsidRPr="00120504" w:rsidRDefault="00BA4F25" w:rsidP="00BA4F25">
      <w:pPr>
        <w:widowControl w:val="0"/>
        <w:jc w:val="both"/>
        <w:rPr>
          <w:sz w:val="20"/>
        </w:rPr>
      </w:pPr>
    </w:p>
    <w:p w:rsidR="00BA4F25" w:rsidRPr="00120504" w:rsidRDefault="00BA4F25" w:rsidP="00BA4F25">
      <w:pPr>
        <w:widowControl w:val="0"/>
        <w:jc w:val="both"/>
        <w:rPr>
          <w:sz w:val="20"/>
        </w:rPr>
      </w:pPr>
      <w:r w:rsidRPr="00120504">
        <w:rPr>
          <w:sz w:val="20"/>
        </w:rPr>
        <w:t xml:space="preserve">On October 25 and 26 and November 21 and 22, 2001, during his morning radio program </w:t>
      </w:r>
      <w:r w:rsidRPr="00120504">
        <w:rPr>
          <w:i/>
          <w:sz w:val="20"/>
        </w:rPr>
        <w:t xml:space="preserve">Le </w:t>
      </w:r>
      <w:proofErr w:type="spellStart"/>
      <w:r w:rsidRPr="00120504">
        <w:rPr>
          <w:i/>
          <w:sz w:val="20"/>
        </w:rPr>
        <w:t>monde</w:t>
      </w:r>
      <w:proofErr w:type="spellEnd"/>
      <w:r w:rsidRPr="00120504">
        <w:rPr>
          <w:i/>
          <w:sz w:val="20"/>
        </w:rPr>
        <w:t xml:space="preserve"> </w:t>
      </w:r>
      <w:proofErr w:type="spellStart"/>
      <w:r w:rsidRPr="00120504">
        <w:rPr>
          <w:i/>
          <w:sz w:val="20"/>
        </w:rPr>
        <w:t>parallèle</w:t>
      </w:r>
      <w:proofErr w:type="spellEnd"/>
      <w:r w:rsidRPr="00120504">
        <w:rPr>
          <w:i/>
          <w:sz w:val="20"/>
        </w:rPr>
        <w:t xml:space="preserve"> de Jeff et </w:t>
      </w:r>
      <w:proofErr w:type="spellStart"/>
      <w:r w:rsidRPr="00120504">
        <w:rPr>
          <w:i/>
          <w:sz w:val="20"/>
        </w:rPr>
        <w:t>sa</w:t>
      </w:r>
      <w:proofErr w:type="spellEnd"/>
      <w:r w:rsidRPr="00120504">
        <w:rPr>
          <w:i/>
          <w:sz w:val="20"/>
        </w:rPr>
        <w:t xml:space="preserve"> gang</w:t>
      </w:r>
      <w:r w:rsidRPr="00120504">
        <w:rPr>
          <w:sz w:val="20"/>
        </w:rPr>
        <w:t xml:space="preserve">, broadcast in Quebec City by CHOI-FM, host Jeff </w:t>
      </w:r>
      <w:proofErr w:type="spellStart"/>
      <w:r w:rsidRPr="00120504">
        <w:rPr>
          <w:sz w:val="20"/>
        </w:rPr>
        <w:t>Fillion</w:t>
      </w:r>
      <w:proofErr w:type="spellEnd"/>
      <w:r w:rsidRPr="00120504">
        <w:rPr>
          <w:sz w:val="20"/>
        </w:rPr>
        <w:t xml:space="preserve"> attacked ADISQ and its directors regarding their relationship with radio, the industry and the CRTC. Allegations of cronyism between the public body and the private association were made.  Hateful insults were directed at Ms. </w:t>
      </w:r>
      <w:proofErr w:type="spellStart"/>
      <w:r w:rsidRPr="00120504">
        <w:rPr>
          <w:sz w:val="20"/>
        </w:rPr>
        <w:t>Drouin</w:t>
      </w:r>
      <w:proofErr w:type="spellEnd"/>
      <w:r w:rsidRPr="00120504">
        <w:rPr>
          <w:sz w:val="20"/>
        </w:rPr>
        <w:t xml:space="preserve"> and, to a lesser degree, at Ms. Bouchard and Mr. </w:t>
      </w:r>
      <w:proofErr w:type="spellStart"/>
      <w:r w:rsidRPr="00120504">
        <w:rPr>
          <w:sz w:val="20"/>
        </w:rPr>
        <w:t>Primeau</w:t>
      </w:r>
      <w:proofErr w:type="spellEnd"/>
      <w:r w:rsidRPr="00120504">
        <w:rPr>
          <w:sz w:val="20"/>
        </w:rPr>
        <w:t xml:space="preserve">, all of whom are managers at ADISQ.  These incidents occurred while CHOI’s licence was being reviewed by the CRTC.  According to audience ratings, the program had approximately 50,000 listeners at that time. </w:t>
      </w:r>
    </w:p>
    <w:p w:rsidR="00BA4F25" w:rsidRPr="00120504" w:rsidRDefault="00BA4F25" w:rsidP="00BA4F25">
      <w:pPr>
        <w:widowControl w:val="0"/>
        <w:jc w:val="both"/>
        <w:rPr>
          <w:sz w:val="20"/>
        </w:rPr>
      </w:pPr>
    </w:p>
    <w:tbl>
      <w:tblPr>
        <w:tblW w:w="9630" w:type="dxa"/>
        <w:tblLayout w:type="fixed"/>
        <w:tblCellMar>
          <w:left w:w="0" w:type="dxa"/>
          <w:right w:w="0" w:type="dxa"/>
        </w:tblCellMar>
        <w:tblLook w:val="0000"/>
      </w:tblPr>
      <w:tblGrid>
        <w:gridCol w:w="4590"/>
        <w:gridCol w:w="446"/>
        <w:gridCol w:w="4594"/>
      </w:tblGrid>
      <w:tr w:rsidR="00BA4F25" w:rsidRPr="00120504" w:rsidTr="00BA4F25">
        <w:tc>
          <w:tcPr>
            <w:tcW w:w="4590" w:type="dxa"/>
            <w:tcMar>
              <w:left w:w="0" w:type="dxa"/>
              <w:right w:w="0" w:type="dxa"/>
            </w:tcMar>
          </w:tcPr>
          <w:p w:rsidR="00BA4F25" w:rsidRPr="00120504" w:rsidRDefault="00BA4F25" w:rsidP="003261ED">
            <w:pPr>
              <w:keepNext/>
              <w:keepLines/>
              <w:widowControl w:val="0"/>
              <w:jc w:val="both"/>
              <w:rPr>
                <w:sz w:val="20"/>
              </w:rPr>
            </w:pPr>
            <w:r w:rsidRPr="00120504">
              <w:rPr>
                <w:sz w:val="20"/>
              </w:rPr>
              <w:t>June 26, 2007</w:t>
            </w:r>
          </w:p>
          <w:p w:rsidR="00BA4F25" w:rsidRPr="00120504" w:rsidRDefault="00BA4F25" w:rsidP="003261ED">
            <w:pPr>
              <w:keepNext/>
              <w:keepLines/>
              <w:widowControl w:val="0"/>
              <w:jc w:val="both"/>
              <w:rPr>
                <w:sz w:val="20"/>
              </w:rPr>
            </w:pPr>
            <w:r w:rsidRPr="00120504">
              <w:rPr>
                <w:sz w:val="20"/>
              </w:rPr>
              <w:t>Quebec Superior Court</w:t>
            </w:r>
          </w:p>
          <w:p w:rsidR="00BA4F25" w:rsidRPr="00120504" w:rsidRDefault="00BA4F25" w:rsidP="003261ED">
            <w:pPr>
              <w:keepNext/>
              <w:keepLines/>
              <w:widowControl w:val="0"/>
              <w:jc w:val="both"/>
              <w:rPr>
                <w:sz w:val="20"/>
              </w:rPr>
            </w:pPr>
            <w:r w:rsidRPr="00120504">
              <w:rPr>
                <w:sz w:val="20"/>
              </w:rPr>
              <w:t>(Dubois J.)</w:t>
            </w:r>
          </w:p>
          <w:p w:rsidR="00BA4F25" w:rsidRPr="00120504" w:rsidRDefault="00BA4F25" w:rsidP="003261ED">
            <w:pPr>
              <w:keepNext/>
              <w:keepLines/>
              <w:widowControl w:val="0"/>
              <w:jc w:val="both"/>
              <w:rPr>
                <w:sz w:val="20"/>
              </w:rPr>
            </w:pPr>
          </w:p>
        </w:tc>
        <w:tc>
          <w:tcPr>
            <w:tcW w:w="446" w:type="dxa"/>
            <w:tcMar>
              <w:left w:w="0" w:type="dxa"/>
              <w:right w:w="0" w:type="dxa"/>
            </w:tcMar>
          </w:tcPr>
          <w:p w:rsidR="00BA4F25" w:rsidRPr="00120504" w:rsidRDefault="00BA4F25" w:rsidP="003261ED">
            <w:pPr>
              <w:keepLines/>
              <w:widowControl w:val="0"/>
              <w:jc w:val="both"/>
              <w:rPr>
                <w:sz w:val="20"/>
              </w:rPr>
            </w:pPr>
          </w:p>
        </w:tc>
        <w:tc>
          <w:tcPr>
            <w:tcW w:w="4594" w:type="dxa"/>
            <w:tcMar>
              <w:left w:w="0" w:type="dxa"/>
              <w:right w:w="0" w:type="dxa"/>
            </w:tcMar>
          </w:tcPr>
          <w:p w:rsidR="00BA4F25" w:rsidRPr="00120504" w:rsidRDefault="00BA4F25" w:rsidP="00BA4F25">
            <w:pPr>
              <w:keepLines/>
              <w:widowControl w:val="0"/>
              <w:jc w:val="both"/>
              <w:rPr>
                <w:sz w:val="20"/>
              </w:rPr>
            </w:pPr>
            <w:r w:rsidRPr="00120504">
              <w:rPr>
                <w:sz w:val="20"/>
              </w:rPr>
              <w:t>Applicants’ action allowed; Respondents ordered to pay Applicants total of $650,000 in moral and punitive damages, plus their extrajudicial costs</w:t>
            </w:r>
          </w:p>
        </w:tc>
      </w:tr>
      <w:tr w:rsidR="00BA4F25" w:rsidRPr="00120504" w:rsidTr="00BA4F25">
        <w:tc>
          <w:tcPr>
            <w:tcW w:w="4590" w:type="dxa"/>
            <w:tcMar>
              <w:left w:w="0" w:type="dxa"/>
              <w:right w:w="0" w:type="dxa"/>
            </w:tcMar>
          </w:tcPr>
          <w:p w:rsidR="00BA4F25" w:rsidRPr="00120504" w:rsidRDefault="00BA4F25" w:rsidP="003261ED">
            <w:pPr>
              <w:keepNext/>
              <w:keepLines/>
              <w:widowControl w:val="0"/>
              <w:rPr>
                <w:sz w:val="20"/>
              </w:rPr>
            </w:pPr>
            <w:r w:rsidRPr="00120504">
              <w:rPr>
                <w:sz w:val="20"/>
              </w:rPr>
              <w:t>November 20, 2009</w:t>
            </w:r>
          </w:p>
          <w:p w:rsidR="00BA4F25" w:rsidRPr="00120504" w:rsidRDefault="00BA4F25" w:rsidP="003261ED">
            <w:pPr>
              <w:keepNext/>
              <w:keepLines/>
              <w:widowControl w:val="0"/>
              <w:rPr>
                <w:sz w:val="20"/>
              </w:rPr>
            </w:pPr>
            <w:r w:rsidRPr="00120504">
              <w:rPr>
                <w:sz w:val="20"/>
              </w:rPr>
              <w:t>Quebec Court of Appeal (Montréal)</w:t>
            </w:r>
          </w:p>
          <w:p w:rsidR="00BA4F25" w:rsidRPr="00120504" w:rsidRDefault="00BA4F25" w:rsidP="003261ED">
            <w:pPr>
              <w:keepNext/>
              <w:keepLines/>
              <w:widowControl w:val="0"/>
              <w:rPr>
                <w:sz w:val="20"/>
              </w:rPr>
            </w:pPr>
            <w:r w:rsidRPr="00120504">
              <w:rPr>
                <w:sz w:val="20"/>
              </w:rPr>
              <w:t>(</w:t>
            </w:r>
            <w:proofErr w:type="spellStart"/>
            <w:r w:rsidRPr="00120504">
              <w:rPr>
                <w:sz w:val="20"/>
              </w:rPr>
              <w:t>Nuss</w:t>
            </w:r>
            <w:proofErr w:type="spellEnd"/>
            <w:r w:rsidRPr="00120504">
              <w:rPr>
                <w:sz w:val="20"/>
              </w:rPr>
              <w:t xml:space="preserve">, </w:t>
            </w:r>
            <w:proofErr w:type="spellStart"/>
            <w:r w:rsidRPr="00120504">
              <w:rPr>
                <w:sz w:val="20"/>
              </w:rPr>
              <w:t>Dalphond</w:t>
            </w:r>
            <w:proofErr w:type="spellEnd"/>
            <w:r w:rsidRPr="00120504">
              <w:rPr>
                <w:sz w:val="20"/>
              </w:rPr>
              <w:t xml:space="preserve"> and Duval </w:t>
            </w:r>
            <w:proofErr w:type="spellStart"/>
            <w:r w:rsidRPr="00120504">
              <w:rPr>
                <w:sz w:val="20"/>
              </w:rPr>
              <w:t>Hesler</w:t>
            </w:r>
            <w:proofErr w:type="spellEnd"/>
            <w:r w:rsidRPr="00120504">
              <w:rPr>
                <w:sz w:val="20"/>
              </w:rPr>
              <w:t xml:space="preserve"> JJ.A.)</w:t>
            </w:r>
          </w:p>
        </w:tc>
        <w:tc>
          <w:tcPr>
            <w:tcW w:w="446" w:type="dxa"/>
            <w:tcMar>
              <w:left w:w="0" w:type="dxa"/>
              <w:right w:w="0" w:type="dxa"/>
            </w:tcMar>
          </w:tcPr>
          <w:p w:rsidR="00BA4F25" w:rsidRPr="00120504" w:rsidRDefault="00BA4F25" w:rsidP="003261ED">
            <w:pPr>
              <w:keepLines/>
              <w:widowControl w:val="0"/>
              <w:rPr>
                <w:sz w:val="20"/>
              </w:rPr>
            </w:pPr>
          </w:p>
        </w:tc>
        <w:tc>
          <w:tcPr>
            <w:tcW w:w="4594" w:type="dxa"/>
            <w:tcMar>
              <w:left w:w="0" w:type="dxa"/>
              <w:right w:w="0" w:type="dxa"/>
            </w:tcMar>
          </w:tcPr>
          <w:p w:rsidR="00BA4F25" w:rsidRPr="00120504" w:rsidRDefault="00BA4F25" w:rsidP="00BA4F25">
            <w:pPr>
              <w:keepLines/>
              <w:widowControl w:val="0"/>
              <w:jc w:val="both"/>
              <w:rPr>
                <w:sz w:val="20"/>
              </w:rPr>
            </w:pPr>
            <w:r w:rsidRPr="00120504">
              <w:rPr>
                <w:sz w:val="20"/>
              </w:rPr>
              <w:t xml:space="preserve">Appeal allowed in part; total of damages reduced to $183,000, and award of extrajudicial costs set aside; Duval </w:t>
            </w:r>
            <w:proofErr w:type="spellStart"/>
            <w:r w:rsidRPr="00120504">
              <w:rPr>
                <w:sz w:val="20"/>
              </w:rPr>
              <w:t>Hesler</w:t>
            </w:r>
            <w:proofErr w:type="spellEnd"/>
            <w:r w:rsidRPr="00120504">
              <w:rPr>
                <w:sz w:val="20"/>
              </w:rPr>
              <w:t xml:space="preserve"> J.A. would also have allowed appeal in part, but to reduce quantum of moral damages (ADISQ only), not of punitive damages, and would have set aside award of extrajudicial costs</w:t>
            </w:r>
          </w:p>
          <w:p w:rsidR="00BA4F25" w:rsidRPr="00120504" w:rsidRDefault="00BA4F25" w:rsidP="003261ED">
            <w:pPr>
              <w:keepLines/>
              <w:widowControl w:val="0"/>
              <w:rPr>
                <w:sz w:val="20"/>
              </w:rPr>
            </w:pPr>
          </w:p>
        </w:tc>
      </w:tr>
      <w:tr w:rsidR="00BA4F25" w:rsidRPr="00120504" w:rsidTr="00BA4F25">
        <w:tc>
          <w:tcPr>
            <w:tcW w:w="4590" w:type="dxa"/>
            <w:tcMar>
              <w:left w:w="0" w:type="dxa"/>
              <w:right w:w="0" w:type="dxa"/>
            </w:tcMar>
          </w:tcPr>
          <w:p w:rsidR="00BA4F25" w:rsidRPr="00120504" w:rsidRDefault="00BA4F25" w:rsidP="003261ED">
            <w:pPr>
              <w:keepNext/>
              <w:keepLines/>
              <w:widowControl w:val="0"/>
              <w:rPr>
                <w:sz w:val="20"/>
              </w:rPr>
            </w:pPr>
            <w:r w:rsidRPr="00120504">
              <w:rPr>
                <w:sz w:val="20"/>
              </w:rPr>
              <w:t>January 19, 2010</w:t>
            </w:r>
          </w:p>
          <w:p w:rsidR="00BA4F25" w:rsidRPr="00120504" w:rsidRDefault="00BA4F25" w:rsidP="003261ED">
            <w:pPr>
              <w:keepNext/>
              <w:keepLines/>
              <w:widowControl w:val="0"/>
              <w:rPr>
                <w:sz w:val="20"/>
              </w:rPr>
            </w:pPr>
            <w:r w:rsidRPr="00120504">
              <w:rPr>
                <w:sz w:val="20"/>
              </w:rPr>
              <w:t>Supreme Court of Canada</w:t>
            </w:r>
          </w:p>
        </w:tc>
        <w:tc>
          <w:tcPr>
            <w:tcW w:w="446" w:type="dxa"/>
            <w:tcMar>
              <w:left w:w="0" w:type="dxa"/>
              <w:right w:w="0" w:type="dxa"/>
            </w:tcMar>
          </w:tcPr>
          <w:p w:rsidR="00BA4F25" w:rsidRPr="00120504" w:rsidRDefault="00BA4F25" w:rsidP="003261ED">
            <w:pPr>
              <w:keepLines/>
              <w:widowControl w:val="0"/>
              <w:rPr>
                <w:sz w:val="20"/>
              </w:rPr>
            </w:pPr>
          </w:p>
        </w:tc>
        <w:tc>
          <w:tcPr>
            <w:tcW w:w="4594" w:type="dxa"/>
            <w:tcMar>
              <w:left w:w="0" w:type="dxa"/>
              <w:right w:w="0" w:type="dxa"/>
            </w:tcMar>
          </w:tcPr>
          <w:p w:rsidR="00BA4F25" w:rsidRPr="00120504" w:rsidRDefault="00BA4F25" w:rsidP="003261ED">
            <w:pPr>
              <w:keepLines/>
              <w:widowControl w:val="0"/>
              <w:rPr>
                <w:sz w:val="20"/>
              </w:rPr>
            </w:pPr>
            <w:r w:rsidRPr="00120504">
              <w:rPr>
                <w:sz w:val="20"/>
              </w:rPr>
              <w:t>Application for leave to appeal filed</w:t>
            </w:r>
          </w:p>
        </w:tc>
      </w:tr>
    </w:tbl>
    <w:p w:rsidR="00BA4F25" w:rsidRPr="00120504" w:rsidRDefault="00BA4F25" w:rsidP="00BA4F25">
      <w:pPr>
        <w:widowControl w:val="0"/>
        <w:rPr>
          <w:sz w:val="20"/>
        </w:rPr>
      </w:pPr>
    </w:p>
    <w:p w:rsidR="004704BD" w:rsidRDefault="0004334C" w:rsidP="008D292F">
      <w:pPr>
        <w:rPr>
          <w:sz w:val="20"/>
          <w:szCs w:val="20"/>
          <w:lang w:val="fr-CA"/>
        </w:rPr>
      </w:pPr>
      <w:r w:rsidRPr="0004334C">
        <w:rPr>
          <w:sz w:val="20"/>
          <w:szCs w:val="20"/>
          <w:lang w:val="fr-CA"/>
        </w:rPr>
        <w:pict>
          <v:rect id="_x0000_i1054" style="width:2in;height:1pt" o:hrpct="0" o:hralign="center" o:hrstd="t" o:hrnoshade="t" o:hr="t" fillcolor="black [3213]" stroked="f"/>
        </w:pict>
      </w:r>
    </w:p>
    <w:p w:rsidR="004704BD" w:rsidRDefault="004704BD" w:rsidP="008D292F">
      <w:pPr>
        <w:rPr>
          <w:sz w:val="20"/>
          <w:szCs w:val="20"/>
          <w:lang w:val="fr-CA"/>
        </w:rPr>
      </w:pPr>
    </w:p>
    <w:p w:rsidR="004704BD" w:rsidRPr="004704BD" w:rsidRDefault="004704BD" w:rsidP="008D292F">
      <w:pPr>
        <w:rPr>
          <w:sz w:val="20"/>
          <w:szCs w:val="20"/>
          <w:lang w:val="fr-CA"/>
        </w:rPr>
      </w:pPr>
      <w:r>
        <w:rPr>
          <w:sz w:val="20"/>
          <w:szCs w:val="20"/>
          <w:u w:val="single"/>
          <w:lang w:val="fr-CA"/>
        </w:rPr>
        <w:t>RÉSUMÉ DE L’AFFAIRE</w:t>
      </w:r>
    </w:p>
    <w:p w:rsidR="004704BD" w:rsidRDefault="004704BD" w:rsidP="008D292F">
      <w:pPr>
        <w:rPr>
          <w:sz w:val="20"/>
          <w:szCs w:val="20"/>
          <w:lang w:val="fr-CA"/>
        </w:rPr>
      </w:pPr>
    </w:p>
    <w:p w:rsidR="00BA4F25" w:rsidRPr="00120504" w:rsidRDefault="00BA4F25" w:rsidP="00BA4F25">
      <w:pPr>
        <w:widowControl w:val="0"/>
        <w:jc w:val="both"/>
        <w:rPr>
          <w:sz w:val="20"/>
          <w:lang w:val="fr-CA"/>
        </w:rPr>
      </w:pPr>
      <w:r w:rsidRPr="00120504">
        <w:rPr>
          <w:sz w:val="20"/>
          <w:lang w:val="fr-CA"/>
        </w:rPr>
        <w:t xml:space="preserve">Responsabilité civile - Diffamation - Propos injurieux - Dommages-intérêts moraux - Dommages-intérêts punitifs - Allégations de copinage entre l’ADISQ et ses dirigeants et le CRTC - Insultes personnelles envers les administrateurs de l’ADISQ - Caractère diffamatoire des propos tempéré en Cour d’appel par le concept de commentaire loyal tandis que le caractère fautif des injures est maintenu - La défense de journalisme responsable ou l’appréciation contextuelle </w:t>
      </w:r>
      <w:r w:rsidRPr="00120504">
        <w:rPr>
          <w:sz w:val="20"/>
          <w:lang w:val="fr-CA"/>
        </w:rPr>
        <w:lastRenderedPageBreak/>
        <w:t xml:space="preserve">de la faute excusent-elles les actes des animateurs de radio engagés dans « l’industrie de la diffamation »? - La Cour d’appel a-t-elle banalisé la liberté d’expression? - La Cour d’appel a-t-elle contredit ses arrêts antérieurs? - </w:t>
      </w:r>
      <w:r w:rsidRPr="00120504">
        <w:rPr>
          <w:i/>
          <w:sz w:val="20"/>
          <w:lang w:val="fr-CA"/>
        </w:rPr>
        <w:t>Code civil du Québec</w:t>
      </w:r>
      <w:r w:rsidRPr="00120504">
        <w:rPr>
          <w:sz w:val="20"/>
          <w:lang w:val="fr-CA"/>
        </w:rPr>
        <w:t xml:space="preserve">, L.Q. 1991, ch. 64, art. 1457, 1621 - </w:t>
      </w:r>
      <w:r w:rsidRPr="00120504">
        <w:rPr>
          <w:i/>
          <w:sz w:val="20"/>
          <w:lang w:val="fr-CA"/>
        </w:rPr>
        <w:t>Charte des droits et libertés de la personne</w:t>
      </w:r>
      <w:r w:rsidRPr="00120504">
        <w:rPr>
          <w:sz w:val="20"/>
          <w:lang w:val="fr-CA"/>
        </w:rPr>
        <w:t>, L.R.Q. ch. C-12, art. 49.</w:t>
      </w:r>
    </w:p>
    <w:p w:rsidR="00BA4F25" w:rsidRPr="00120504" w:rsidRDefault="00BA4F25" w:rsidP="00BA4F25">
      <w:pPr>
        <w:widowControl w:val="0"/>
        <w:jc w:val="both"/>
        <w:rPr>
          <w:sz w:val="20"/>
          <w:lang w:val="fr-CA"/>
        </w:rPr>
      </w:pPr>
    </w:p>
    <w:p w:rsidR="00BA4F25" w:rsidRPr="00120504" w:rsidRDefault="00BA4F25" w:rsidP="00BA4F25">
      <w:pPr>
        <w:widowControl w:val="0"/>
        <w:jc w:val="both"/>
        <w:rPr>
          <w:sz w:val="20"/>
          <w:lang w:val="fr-CA"/>
        </w:rPr>
      </w:pPr>
      <w:r w:rsidRPr="00120504">
        <w:rPr>
          <w:sz w:val="20"/>
          <w:lang w:val="fr-CA"/>
        </w:rPr>
        <w:t xml:space="preserve">Dans le cadre de son émission matinale </w:t>
      </w:r>
      <w:r w:rsidRPr="00120504">
        <w:rPr>
          <w:i/>
          <w:sz w:val="20"/>
          <w:lang w:val="fr-CA"/>
        </w:rPr>
        <w:t>Le monde parallèle de Jeff et sa gang</w:t>
      </w:r>
      <w:r w:rsidRPr="00120504">
        <w:rPr>
          <w:sz w:val="20"/>
          <w:lang w:val="fr-CA"/>
        </w:rPr>
        <w:t xml:space="preserve">, diffusée à Québec par CHOI-FM, les 25 et 26 octobre ainsi que les  21 et 22 novembre 2001, l’animateur Jeff Fillion s’en est pris à l’ADISQ et à ses dirigeants au sujet de leurs relations avec la radio, avec l’industrie et avec le CRTC. Des allégations de copinage entre l’organisme public et l’association privée ont été faites. Des insultes haineuses ont visé Mmes Drouin et, à un moindre degré, Mme Bouchard et M. </w:t>
      </w:r>
      <w:proofErr w:type="spellStart"/>
      <w:r w:rsidRPr="00120504">
        <w:rPr>
          <w:sz w:val="20"/>
          <w:lang w:val="fr-CA"/>
        </w:rPr>
        <w:t>Primeau</w:t>
      </w:r>
      <w:proofErr w:type="spellEnd"/>
      <w:r w:rsidRPr="00120504">
        <w:rPr>
          <w:sz w:val="20"/>
          <w:lang w:val="fr-CA"/>
        </w:rPr>
        <w:t>, tous gestionnaires de l’Association. Ces événements sont survenus en marge du débat tenu devant le CRTC autour de la licence de CHOI. Les cotes d’écoute  font état d’environ 50 000 auditeurs de l’émission à cette époque.</w:t>
      </w:r>
    </w:p>
    <w:p w:rsidR="00BA4F25" w:rsidRPr="00120504" w:rsidRDefault="00BA4F25" w:rsidP="00BA4F25">
      <w:pPr>
        <w:widowControl w:val="0"/>
        <w:rPr>
          <w:sz w:val="20"/>
          <w:lang w:val="fr-CA"/>
        </w:rPr>
      </w:pPr>
    </w:p>
    <w:tbl>
      <w:tblPr>
        <w:tblW w:w="9630" w:type="dxa"/>
        <w:tblLayout w:type="fixed"/>
        <w:tblCellMar>
          <w:left w:w="0" w:type="dxa"/>
          <w:right w:w="0" w:type="dxa"/>
        </w:tblCellMar>
        <w:tblLook w:val="0000"/>
      </w:tblPr>
      <w:tblGrid>
        <w:gridCol w:w="4590"/>
        <w:gridCol w:w="446"/>
        <w:gridCol w:w="4594"/>
      </w:tblGrid>
      <w:tr w:rsidR="00BA4F25" w:rsidRPr="001602E4" w:rsidTr="00BA4F25">
        <w:tc>
          <w:tcPr>
            <w:tcW w:w="4590" w:type="dxa"/>
            <w:tcMar>
              <w:left w:w="0" w:type="dxa"/>
              <w:right w:w="0" w:type="dxa"/>
            </w:tcMar>
          </w:tcPr>
          <w:p w:rsidR="00BA4F25" w:rsidRPr="00120504" w:rsidRDefault="00BA4F25" w:rsidP="003261ED">
            <w:pPr>
              <w:keepNext/>
              <w:keepLines/>
              <w:widowControl w:val="0"/>
              <w:rPr>
                <w:sz w:val="20"/>
                <w:lang w:val="fr-CA"/>
              </w:rPr>
            </w:pPr>
            <w:r w:rsidRPr="00120504">
              <w:rPr>
                <w:sz w:val="20"/>
                <w:lang w:val="fr-CA"/>
              </w:rPr>
              <w:t>Le 26 juin 2007</w:t>
            </w:r>
          </w:p>
          <w:p w:rsidR="00BA4F25" w:rsidRPr="00120504" w:rsidRDefault="00BA4F25" w:rsidP="003261ED">
            <w:pPr>
              <w:keepNext/>
              <w:keepLines/>
              <w:widowControl w:val="0"/>
              <w:rPr>
                <w:sz w:val="20"/>
                <w:lang w:val="fr-CA"/>
              </w:rPr>
            </w:pPr>
            <w:r w:rsidRPr="00120504">
              <w:rPr>
                <w:sz w:val="20"/>
                <w:lang w:val="fr-CA"/>
              </w:rPr>
              <w:t>Cour supérieure du Québec</w:t>
            </w:r>
          </w:p>
          <w:p w:rsidR="00BA4F25" w:rsidRPr="00120504" w:rsidRDefault="00BA4F25" w:rsidP="003261ED">
            <w:pPr>
              <w:keepNext/>
              <w:keepLines/>
              <w:widowControl w:val="0"/>
              <w:rPr>
                <w:sz w:val="20"/>
                <w:lang w:val="fr-CA"/>
              </w:rPr>
            </w:pPr>
            <w:r w:rsidRPr="00120504">
              <w:rPr>
                <w:sz w:val="20"/>
                <w:lang w:val="fr-CA"/>
              </w:rPr>
              <w:t>(Le juge Dubois)</w:t>
            </w:r>
          </w:p>
        </w:tc>
        <w:tc>
          <w:tcPr>
            <w:tcW w:w="446" w:type="dxa"/>
            <w:tcMar>
              <w:left w:w="0" w:type="dxa"/>
              <w:right w:w="0" w:type="dxa"/>
            </w:tcMar>
          </w:tcPr>
          <w:p w:rsidR="00BA4F25" w:rsidRPr="00120504" w:rsidRDefault="00BA4F25" w:rsidP="003261ED">
            <w:pPr>
              <w:keepLines/>
              <w:widowControl w:val="0"/>
              <w:rPr>
                <w:sz w:val="20"/>
                <w:lang w:val="fr-CA"/>
              </w:rPr>
            </w:pPr>
          </w:p>
        </w:tc>
        <w:tc>
          <w:tcPr>
            <w:tcW w:w="4594" w:type="dxa"/>
            <w:tcMar>
              <w:left w:w="0" w:type="dxa"/>
              <w:right w:w="0" w:type="dxa"/>
            </w:tcMar>
          </w:tcPr>
          <w:p w:rsidR="00BA4F25" w:rsidRPr="00120504" w:rsidRDefault="00BA4F25" w:rsidP="00BA4F25">
            <w:pPr>
              <w:keepLines/>
              <w:widowControl w:val="0"/>
              <w:jc w:val="both"/>
              <w:rPr>
                <w:sz w:val="20"/>
                <w:lang w:val="fr-CA"/>
              </w:rPr>
            </w:pPr>
            <w:r w:rsidRPr="00120504">
              <w:rPr>
                <w:sz w:val="20"/>
                <w:lang w:val="fr-CA"/>
              </w:rPr>
              <w:t>Action des demandeurs accueillie; intimés condamnés à payer un total de 650 000 $ en dommages moraux et punitifs aux demandeurs ainsi que leurs frais extrajudiciaires.</w:t>
            </w:r>
          </w:p>
          <w:p w:rsidR="00BA4F25" w:rsidRPr="00120504" w:rsidRDefault="00BA4F25" w:rsidP="003261ED">
            <w:pPr>
              <w:keepLines/>
              <w:widowControl w:val="0"/>
              <w:rPr>
                <w:sz w:val="20"/>
                <w:lang w:val="fr-CA"/>
              </w:rPr>
            </w:pPr>
          </w:p>
        </w:tc>
      </w:tr>
      <w:tr w:rsidR="00BA4F25" w:rsidRPr="001602E4" w:rsidTr="00BA4F25">
        <w:tc>
          <w:tcPr>
            <w:tcW w:w="4590" w:type="dxa"/>
            <w:tcMar>
              <w:left w:w="0" w:type="dxa"/>
              <w:right w:w="0" w:type="dxa"/>
            </w:tcMar>
          </w:tcPr>
          <w:p w:rsidR="00BA4F25" w:rsidRPr="00120504" w:rsidRDefault="00BA4F25" w:rsidP="003261ED">
            <w:pPr>
              <w:keepNext/>
              <w:keepLines/>
              <w:widowControl w:val="0"/>
              <w:rPr>
                <w:sz w:val="20"/>
                <w:lang w:val="fr-CA"/>
              </w:rPr>
            </w:pPr>
            <w:r w:rsidRPr="00120504">
              <w:rPr>
                <w:sz w:val="20"/>
                <w:lang w:val="fr-CA"/>
              </w:rPr>
              <w:t>Le 20 novembre 2009</w:t>
            </w:r>
          </w:p>
          <w:p w:rsidR="00BA4F25" w:rsidRPr="00120504" w:rsidRDefault="00BA4F25" w:rsidP="003261ED">
            <w:pPr>
              <w:keepNext/>
              <w:keepLines/>
              <w:widowControl w:val="0"/>
              <w:rPr>
                <w:sz w:val="20"/>
                <w:lang w:val="fr-CA"/>
              </w:rPr>
            </w:pPr>
            <w:r w:rsidRPr="00120504">
              <w:rPr>
                <w:sz w:val="20"/>
                <w:lang w:val="fr-CA"/>
              </w:rPr>
              <w:t>Cour d’appel du Québec (Montréal)</w:t>
            </w:r>
          </w:p>
          <w:p w:rsidR="00BA4F25" w:rsidRPr="00120504" w:rsidRDefault="00BA4F25" w:rsidP="003261ED">
            <w:pPr>
              <w:keepNext/>
              <w:keepLines/>
              <w:widowControl w:val="0"/>
              <w:rPr>
                <w:sz w:val="20"/>
                <w:lang w:val="fr-CA"/>
              </w:rPr>
            </w:pPr>
            <w:r w:rsidRPr="00120504">
              <w:rPr>
                <w:sz w:val="20"/>
                <w:lang w:val="fr-CA"/>
              </w:rPr>
              <w:t xml:space="preserve">(Les juges </w:t>
            </w:r>
            <w:proofErr w:type="spellStart"/>
            <w:r w:rsidRPr="00120504">
              <w:rPr>
                <w:sz w:val="20"/>
                <w:lang w:val="fr-CA"/>
              </w:rPr>
              <w:t>Nuss</w:t>
            </w:r>
            <w:proofErr w:type="spellEnd"/>
            <w:r w:rsidRPr="00120504">
              <w:rPr>
                <w:sz w:val="20"/>
                <w:lang w:val="fr-CA"/>
              </w:rPr>
              <w:t xml:space="preserve">, </w:t>
            </w:r>
            <w:proofErr w:type="spellStart"/>
            <w:r w:rsidRPr="00120504">
              <w:rPr>
                <w:sz w:val="20"/>
                <w:lang w:val="fr-CA"/>
              </w:rPr>
              <w:t>Dalphond</w:t>
            </w:r>
            <w:proofErr w:type="spellEnd"/>
            <w:r w:rsidRPr="00120504">
              <w:rPr>
                <w:sz w:val="20"/>
                <w:lang w:val="fr-CA"/>
              </w:rPr>
              <w:t xml:space="preserve"> et Duval </w:t>
            </w:r>
            <w:proofErr w:type="spellStart"/>
            <w:r w:rsidRPr="00120504">
              <w:rPr>
                <w:sz w:val="20"/>
                <w:lang w:val="fr-CA"/>
              </w:rPr>
              <w:t>Hesler</w:t>
            </w:r>
            <w:proofErr w:type="spellEnd"/>
            <w:r w:rsidRPr="00120504">
              <w:rPr>
                <w:sz w:val="20"/>
                <w:lang w:val="fr-CA"/>
              </w:rPr>
              <w:t>)</w:t>
            </w:r>
          </w:p>
        </w:tc>
        <w:tc>
          <w:tcPr>
            <w:tcW w:w="446" w:type="dxa"/>
            <w:tcMar>
              <w:left w:w="0" w:type="dxa"/>
              <w:right w:w="0" w:type="dxa"/>
            </w:tcMar>
          </w:tcPr>
          <w:p w:rsidR="00BA4F25" w:rsidRPr="00120504" w:rsidRDefault="00BA4F25" w:rsidP="003261ED">
            <w:pPr>
              <w:keepLines/>
              <w:widowControl w:val="0"/>
              <w:rPr>
                <w:sz w:val="20"/>
                <w:lang w:val="fr-CA"/>
              </w:rPr>
            </w:pPr>
          </w:p>
        </w:tc>
        <w:tc>
          <w:tcPr>
            <w:tcW w:w="4594" w:type="dxa"/>
            <w:tcMar>
              <w:left w:w="0" w:type="dxa"/>
              <w:right w:w="0" w:type="dxa"/>
            </w:tcMar>
          </w:tcPr>
          <w:p w:rsidR="00BA4F25" w:rsidRPr="00120504" w:rsidRDefault="00BA4F25" w:rsidP="00BA4F25">
            <w:pPr>
              <w:keepLines/>
              <w:widowControl w:val="0"/>
              <w:jc w:val="both"/>
              <w:rPr>
                <w:sz w:val="20"/>
                <w:lang w:val="fr-CA"/>
              </w:rPr>
            </w:pPr>
            <w:r w:rsidRPr="00120504">
              <w:rPr>
                <w:sz w:val="20"/>
                <w:lang w:val="fr-CA"/>
              </w:rPr>
              <w:t xml:space="preserve">Appel accueilli en partie; montant total des dommages-intérêts réduit à 183 000 $ et frais extrajudiciaires annulés; la juge Duval </w:t>
            </w:r>
            <w:proofErr w:type="spellStart"/>
            <w:r w:rsidRPr="00120504">
              <w:rPr>
                <w:sz w:val="20"/>
                <w:lang w:val="fr-CA"/>
              </w:rPr>
              <w:t>Hesler</w:t>
            </w:r>
            <w:proofErr w:type="spellEnd"/>
            <w:r w:rsidRPr="00120504">
              <w:rPr>
                <w:sz w:val="20"/>
                <w:lang w:val="fr-CA"/>
              </w:rPr>
              <w:t xml:space="preserve"> aurait également accueilli l’appel en partie, mais pour réduire le montant des dommages moraux (ADISQ seulement) et non celui des dommages punitifs et aurait également annulé les frais extrajudiciaires.</w:t>
            </w:r>
          </w:p>
          <w:p w:rsidR="00BA4F25" w:rsidRPr="00120504" w:rsidRDefault="00BA4F25" w:rsidP="003261ED">
            <w:pPr>
              <w:keepLines/>
              <w:widowControl w:val="0"/>
              <w:rPr>
                <w:sz w:val="20"/>
                <w:lang w:val="fr-CA"/>
              </w:rPr>
            </w:pPr>
          </w:p>
        </w:tc>
      </w:tr>
      <w:tr w:rsidR="00BA4F25" w:rsidRPr="00120504" w:rsidTr="00BA4F25">
        <w:tc>
          <w:tcPr>
            <w:tcW w:w="4590" w:type="dxa"/>
            <w:tcMar>
              <w:left w:w="0" w:type="dxa"/>
              <w:right w:w="0" w:type="dxa"/>
            </w:tcMar>
          </w:tcPr>
          <w:p w:rsidR="00BA4F25" w:rsidRPr="00120504" w:rsidRDefault="00BA4F25" w:rsidP="003261ED">
            <w:pPr>
              <w:keepNext/>
              <w:keepLines/>
              <w:widowControl w:val="0"/>
              <w:rPr>
                <w:sz w:val="20"/>
                <w:lang w:val="fr-CA"/>
              </w:rPr>
            </w:pPr>
            <w:r w:rsidRPr="00120504">
              <w:rPr>
                <w:sz w:val="20"/>
                <w:lang w:val="fr-CA"/>
              </w:rPr>
              <w:t>Le 19 janvier 2010</w:t>
            </w:r>
          </w:p>
          <w:p w:rsidR="00BA4F25" w:rsidRPr="00120504" w:rsidRDefault="00BA4F25" w:rsidP="003261ED">
            <w:pPr>
              <w:keepNext/>
              <w:keepLines/>
              <w:widowControl w:val="0"/>
              <w:rPr>
                <w:sz w:val="20"/>
                <w:lang w:val="fr-CA"/>
              </w:rPr>
            </w:pPr>
            <w:r w:rsidRPr="00120504">
              <w:rPr>
                <w:sz w:val="20"/>
                <w:lang w:val="fr-CA"/>
              </w:rPr>
              <w:t>Cour suprême du Canada</w:t>
            </w:r>
          </w:p>
        </w:tc>
        <w:tc>
          <w:tcPr>
            <w:tcW w:w="446" w:type="dxa"/>
            <w:tcMar>
              <w:left w:w="0" w:type="dxa"/>
              <w:right w:w="0" w:type="dxa"/>
            </w:tcMar>
          </w:tcPr>
          <w:p w:rsidR="00BA4F25" w:rsidRPr="00120504" w:rsidRDefault="00BA4F25" w:rsidP="003261ED">
            <w:pPr>
              <w:keepLines/>
              <w:widowControl w:val="0"/>
              <w:rPr>
                <w:sz w:val="20"/>
                <w:lang w:val="fr-CA"/>
              </w:rPr>
            </w:pPr>
          </w:p>
        </w:tc>
        <w:tc>
          <w:tcPr>
            <w:tcW w:w="4594" w:type="dxa"/>
            <w:tcMar>
              <w:left w:w="0" w:type="dxa"/>
              <w:right w:w="0" w:type="dxa"/>
            </w:tcMar>
          </w:tcPr>
          <w:p w:rsidR="00BA4F25" w:rsidRPr="00120504" w:rsidRDefault="00BA4F25" w:rsidP="003261ED">
            <w:pPr>
              <w:keepLines/>
              <w:widowControl w:val="0"/>
              <w:rPr>
                <w:sz w:val="20"/>
                <w:lang w:val="fr-CA"/>
              </w:rPr>
            </w:pPr>
            <w:r w:rsidRPr="00120504">
              <w:rPr>
                <w:sz w:val="20"/>
                <w:lang w:val="fr-CA"/>
              </w:rPr>
              <w:t>Demande d’autorisation d’appel déposée.</w:t>
            </w:r>
          </w:p>
        </w:tc>
      </w:tr>
    </w:tbl>
    <w:p w:rsidR="004704BD" w:rsidRDefault="004704BD" w:rsidP="008D292F">
      <w:pPr>
        <w:rPr>
          <w:sz w:val="20"/>
          <w:szCs w:val="20"/>
          <w:lang w:val="fr-CA"/>
        </w:rPr>
      </w:pPr>
    </w:p>
    <w:p w:rsidR="004704BD" w:rsidRDefault="0004334C" w:rsidP="008D292F">
      <w:pPr>
        <w:rPr>
          <w:sz w:val="20"/>
          <w:szCs w:val="20"/>
          <w:lang w:val="fr-CA"/>
        </w:rPr>
      </w:pPr>
      <w:r w:rsidRPr="0004334C">
        <w:rPr>
          <w:sz w:val="20"/>
          <w:szCs w:val="20"/>
          <w:lang w:val="fr-CA"/>
        </w:rPr>
        <w:pict>
          <v:rect id="_x0000_i1055" style="width:2in;height:1pt" o:hrpct="0" o:hralign="center" o:hrstd="t" o:hrnoshade="t" o:hr="t" fillcolor="black [3213]" stroked="f"/>
        </w:pict>
      </w:r>
    </w:p>
    <w:p w:rsidR="004704BD" w:rsidRDefault="004704BD" w:rsidP="008D292F">
      <w:pPr>
        <w:rPr>
          <w:sz w:val="20"/>
          <w:szCs w:val="20"/>
        </w:rPr>
      </w:pPr>
    </w:p>
    <w:p w:rsidR="00AD2E89" w:rsidRDefault="00AD2E89" w:rsidP="003261ED">
      <w:pPr>
        <w:ind w:left="1440" w:hanging="1440"/>
        <w:jc w:val="both"/>
        <w:rPr>
          <w:rFonts w:eastAsia="Calibri"/>
          <w:sz w:val="20"/>
        </w:rPr>
      </w:pPr>
      <w:proofErr w:type="gramStart"/>
      <w:r w:rsidRPr="00C50A5C">
        <w:rPr>
          <w:b/>
          <w:sz w:val="20"/>
          <w:szCs w:val="20"/>
        </w:rPr>
        <w:t>33</w:t>
      </w:r>
      <w:r>
        <w:rPr>
          <w:b/>
          <w:sz w:val="20"/>
          <w:szCs w:val="20"/>
        </w:rPr>
        <w:t>875</w:t>
      </w:r>
      <w:r w:rsidRPr="00C50A5C">
        <w:rPr>
          <w:sz w:val="20"/>
          <w:szCs w:val="20"/>
        </w:rPr>
        <w:tab/>
      </w:r>
      <w:r w:rsidR="00245146" w:rsidRPr="00245146">
        <w:rPr>
          <w:rFonts w:eastAsia="Calibri"/>
          <w:b/>
          <w:sz w:val="20"/>
          <w:u w:val="single"/>
        </w:rPr>
        <w:t>Bonita Maher</w:t>
      </w:r>
      <w:r w:rsidR="003261ED">
        <w:rPr>
          <w:rFonts w:eastAsia="Calibri"/>
          <w:b/>
          <w:sz w:val="20"/>
          <w:u w:val="single"/>
        </w:rPr>
        <w:t xml:space="preserve"> and</w:t>
      </w:r>
      <w:r w:rsidR="00245146" w:rsidRPr="00245146">
        <w:rPr>
          <w:rFonts w:eastAsia="Calibri"/>
          <w:b/>
          <w:sz w:val="20"/>
          <w:u w:val="single"/>
        </w:rPr>
        <w:t xml:space="preserve"> Michael Maher v.</w:t>
      </w:r>
      <w:proofErr w:type="gramEnd"/>
      <w:r w:rsidR="00245146" w:rsidRPr="00245146">
        <w:rPr>
          <w:rFonts w:eastAsia="Calibri"/>
          <w:b/>
          <w:sz w:val="20"/>
          <w:u w:val="single"/>
        </w:rPr>
        <w:t xml:space="preserve"> Great Atlantic &amp; Pacific Company of Canada</w:t>
      </w:r>
      <w:r w:rsidR="00C50B91">
        <w:rPr>
          <w:rFonts w:eastAsia="Calibri"/>
          <w:b/>
          <w:sz w:val="20"/>
          <w:u w:val="single"/>
        </w:rPr>
        <w:t>,</w:t>
      </w:r>
      <w:r w:rsidR="00245146" w:rsidRPr="00245146">
        <w:rPr>
          <w:rFonts w:eastAsia="Calibri"/>
          <w:b/>
          <w:sz w:val="20"/>
          <w:u w:val="single"/>
        </w:rPr>
        <w:t xml:space="preserve"> Limited, </w:t>
      </w:r>
      <w:proofErr w:type="spellStart"/>
      <w:r w:rsidR="00245146" w:rsidRPr="00245146">
        <w:rPr>
          <w:rFonts w:eastAsia="Calibri"/>
          <w:b/>
          <w:sz w:val="20"/>
          <w:u w:val="single"/>
        </w:rPr>
        <w:t>Adis</w:t>
      </w:r>
      <w:proofErr w:type="spellEnd"/>
      <w:r w:rsidR="00245146" w:rsidRPr="00245146">
        <w:rPr>
          <w:rFonts w:eastAsia="Calibri"/>
          <w:b/>
          <w:sz w:val="20"/>
          <w:u w:val="single"/>
        </w:rPr>
        <w:t xml:space="preserve"> Cleaning Services Ltd.</w:t>
      </w:r>
      <w:r w:rsidR="003261ED">
        <w:rPr>
          <w:rFonts w:eastAsia="Calibri"/>
          <w:b/>
          <w:sz w:val="20"/>
          <w:u w:val="single"/>
        </w:rPr>
        <w:t xml:space="preserve"> and</w:t>
      </w:r>
      <w:r w:rsidR="00245146" w:rsidRPr="00245146">
        <w:rPr>
          <w:rFonts w:eastAsia="Calibri"/>
          <w:b/>
          <w:sz w:val="20"/>
          <w:u w:val="single"/>
        </w:rPr>
        <w:t xml:space="preserve"> Central Building Services Group Ltd.</w:t>
      </w:r>
      <w:r w:rsidR="00245146">
        <w:rPr>
          <w:rFonts w:eastAsia="Calibri"/>
          <w:b/>
          <w:sz w:val="20"/>
        </w:rPr>
        <w:t xml:space="preserve"> </w:t>
      </w:r>
      <w:r w:rsidR="00245146" w:rsidRPr="00120504">
        <w:rPr>
          <w:rFonts w:eastAsia="Calibri"/>
          <w:sz w:val="20"/>
        </w:rPr>
        <w:t>(Ont.) (Civil) (By Leave)</w:t>
      </w:r>
    </w:p>
    <w:p w:rsidR="00AD2E89" w:rsidRPr="00C50A5C" w:rsidRDefault="00AD2E89" w:rsidP="00AD2E89">
      <w:pPr>
        <w:rPr>
          <w:sz w:val="20"/>
          <w:szCs w:val="20"/>
        </w:rPr>
      </w:pPr>
    </w:p>
    <w:p w:rsidR="00AD2E89" w:rsidRPr="00C50A5C" w:rsidRDefault="00AD2E89" w:rsidP="00AD2E89">
      <w:pPr>
        <w:ind w:left="1440" w:hanging="1440"/>
        <w:rPr>
          <w:sz w:val="20"/>
          <w:szCs w:val="20"/>
        </w:rPr>
      </w:pPr>
      <w:proofErr w:type="gramStart"/>
      <w:r w:rsidRPr="00C50A5C">
        <w:rPr>
          <w:sz w:val="20"/>
          <w:szCs w:val="20"/>
        </w:rPr>
        <w:t>Coram :</w:t>
      </w:r>
      <w:proofErr w:type="gramEnd"/>
      <w:r w:rsidRPr="00C50A5C">
        <w:rPr>
          <w:sz w:val="20"/>
          <w:szCs w:val="20"/>
        </w:rPr>
        <w:tab/>
      </w:r>
      <w:proofErr w:type="spellStart"/>
      <w:r w:rsidR="00245146">
        <w:rPr>
          <w:sz w:val="20"/>
          <w:szCs w:val="20"/>
          <w:u w:val="single"/>
        </w:rPr>
        <w:t>Binnie</w:t>
      </w:r>
      <w:proofErr w:type="spellEnd"/>
      <w:r w:rsidR="00245146">
        <w:rPr>
          <w:sz w:val="20"/>
          <w:szCs w:val="20"/>
          <w:u w:val="single"/>
        </w:rPr>
        <w:t>, Fish and Rothstein JJ</w:t>
      </w:r>
      <w:r w:rsidRPr="00C50A5C">
        <w:rPr>
          <w:sz w:val="20"/>
          <w:szCs w:val="20"/>
          <w:u w:val="single"/>
        </w:rPr>
        <w:t>.</w:t>
      </w:r>
    </w:p>
    <w:p w:rsidR="00AD2E89" w:rsidRDefault="00AD2E89" w:rsidP="004704BD">
      <w:pPr>
        <w:rPr>
          <w:sz w:val="20"/>
          <w:szCs w:val="20"/>
        </w:rPr>
      </w:pPr>
    </w:p>
    <w:p w:rsidR="00245146" w:rsidRDefault="003261ED" w:rsidP="003261ED">
      <w:pPr>
        <w:jc w:val="both"/>
        <w:rPr>
          <w:sz w:val="20"/>
          <w:szCs w:val="20"/>
        </w:rPr>
      </w:pPr>
      <w:r>
        <w:rPr>
          <w:sz w:val="20"/>
          <w:szCs w:val="20"/>
        </w:rPr>
        <w:tab/>
      </w:r>
      <w:r w:rsidRPr="008F518D">
        <w:rPr>
          <w:sz w:val="20"/>
          <w:szCs w:val="20"/>
        </w:rPr>
        <w:t>The motion for an extension of time to serve and file the respondent’s response of Great Atlantic &amp; Pacific Company of Canada, Limited is granted.  The application for leave to appeal from the judgment of the Court of Appeal for Ontario, Numbers C49907 and C49908, 2010 ONCA 517, dated July 20, 2010, is dismissed with costs to the respondents Great Atlantic &amp; Pacific Company of Canada, Limited and Central Building Services Group Ltd.</w:t>
      </w:r>
    </w:p>
    <w:p w:rsidR="00245146" w:rsidRDefault="00245146" w:rsidP="004704BD">
      <w:pPr>
        <w:rPr>
          <w:sz w:val="20"/>
          <w:szCs w:val="20"/>
        </w:rPr>
      </w:pPr>
    </w:p>
    <w:p w:rsidR="003261ED" w:rsidRDefault="003261ED" w:rsidP="003261ED">
      <w:pPr>
        <w:jc w:val="both"/>
        <w:rPr>
          <w:sz w:val="20"/>
          <w:szCs w:val="20"/>
          <w:lang w:val="fr-CA"/>
        </w:rPr>
      </w:pPr>
      <w:r w:rsidRPr="005F3D4C">
        <w:rPr>
          <w:sz w:val="20"/>
          <w:szCs w:val="20"/>
        </w:rPr>
        <w:tab/>
      </w:r>
      <w:r w:rsidRPr="008F518D">
        <w:rPr>
          <w:sz w:val="20"/>
          <w:szCs w:val="20"/>
          <w:lang w:val="fr-CA"/>
        </w:rPr>
        <w:t xml:space="preserve">La requête en prorogation du délai de signification et de dépôt de la réponse de l’intimée Great Atlantic &amp; Pacific </w:t>
      </w:r>
      <w:proofErr w:type="spellStart"/>
      <w:r w:rsidRPr="008F518D">
        <w:rPr>
          <w:sz w:val="20"/>
          <w:szCs w:val="20"/>
          <w:lang w:val="fr-CA"/>
        </w:rPr>
        <w:t>Company</w:t>
      </w:r>
      <w:proofErr w:type="spellEnd"/>
      <w:r w:rsidRPr="008F518D">
        <w:rPr>
          <w:sz w:val="20"/>
          <w:szCs w:val="20"/>
          <w:lang w:val="fr-CA"/>
        </w:rPr>
        <w:t xml:space="preserve"> of Canada, Limited est accordée.  La demande d’autorisation d’appel de l’arrêt de la Cour d’appel de l’Ontario, numéros C49907 et C49908, 2010 ONCA 517, daté du 20 juillet 2010, est rejetée avec dépens en faveur des intimées Great Atlantic &amp; Pacific </w:t>
      </w:r>
      <w:proofErr w:type="spellStart"/>
      <w:r w:rsidRPr="008F518D">
        <w:rPr>
          <w:sz w:val="20"/>
          <w:szCs w:val="20"/>
          <w:lang w:val="fr-CA"/>
        </w:rPr>
        <w:t>Company</w:t>
      </w:r>
      <w:proofErr w:type="spellEnd"/>
      <w:r w:rsidRPr="008F518D">
        <w:rPr>
          <w:sz w:val="20"/>
          <w:szCs w:val="20"/>
          <w:lang w:val="fr-CA"/>
        </w:rPr>
        <w:t xml:space="preserve"> of Canada, Limited and Central Building Services Group Ltd.</w:t>
      </w:r>
    </w:p>
    <w:p w:rsidR="00013128" w:rsidRPr="003261ED" w:rsidRDefault="00013128" w:rsidP="003261ED">
      <w:pPr>
        <w:jc w:val="both"/>
        <w:rPr>
          <w:sz w:val="20"/>
          <w:szCs w:val="20"/>
          <w:lang w:val="fr-CA"/>
        </w:rPr>
      </w:pPr>
    </w:p>
    <w:p w:rsidR="004704BD" w:rsidRDefault="004704BD" w:rsidP="004704BD">
      <w:pPr>
        <w:rPr>
          <w:sz w:val="20"/>
          <w:szCs w:val="20"/>
        </w:rPr>
      </w:pPr>
      <w:r>
        <w:rPr>
          <w:sz w:val="20"/>
          <w:szCs w:val="20"/>
          <w:u w:val="single"/>
        </w:rPr>
        <w:t>CASE SUMMARY</w:t>
      </w:r>
    </w:p>
    <w:p w:rsidR="004704BD" w:rsidRDefault="004704BD" w:rsidP="004704BD">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BA4F25" w:rsidRPr="00120504" w:rsidTr="003261ED">
        <w:tc>
          <w:tcPr>
            <w:tcW w:w="5000" w:type="pct"/>
            <w:gridSpan w:val="3"/>
          </w:tcPr>
          <w:p w:rsidR="00BA4F25" w:rsidRPr="00120504" w:rsidRDefault="00BA4F25" w:rsidP="003261ED">
            <w:pPr>
              <w:jc w:val="both"/>
              <w:rPr>
                <w:rFonts w:eastAsia="Calibri"/>
                <w:sz w:val="20"/>
              </w:rPr>
            </w:pPr>
            <w:r w:rsidRPr="00120504">
              <w:rPr>
                <w:rFonts w:eastAsia="Calibri"/>
                <w:sz w:val="20"/>
              </w:rPr>
              <w:t xml:space="preserve">Civil Procedure – Hearing – Jury trial - Conduct of jury after being discharged – Whether there has been miscarriage of justice – Whether trial judge erred in failing to recall the jury in order to make inquiries - Jurisdiction of a trial judge post-discharge of jury – Whether </w:t>
            </w:r>
            <w:r w:rsidRPr="00120504">
              <w:rPr>
                <w:rFonts w:eastAsia="Calibri"/>
                <w:i/>
                <w:sz w:val="20"/>
              </w:rPr>
              <w:t>R. v. Burke,</w:t>
            </w:r>
            <w:r w:rsidRPr="00120504">
              <w:rPr>
                <w:rFonts w:eastAsia="Calibri"/>
                <w:sz w:val="20"/>
              </w:rPr>
              <w:t xml:space="preserve"> [2002] 2 S.C.R. 857 provides for a broad residual discretionary power in a trial judge to set aside a jury verdict and order a mistrial - Whether Court of Appeal erred in refusing to order a new trial -  Interpretation and application of </w:t>
            </w:r>
            <w:r w:rsidRPr="00120504">
              <w:rPr>
                <w:rFonts w:eastAsia="Calibri"/>
                <w:i/>
                <w:sz w:val="20"/>
              </w:rPr>
              <w:t>R. v. Burke</w:t>
            </w:r>
            <w:r w:rsidRPr="00120504">
              <w:rPr>
                <w:rFonts w:eastAsia="Calibri"/>
                <w:sz w:val="20"/>
              </w:rPr>
              <w:t>.</w:t>
            </w:r>
          </w:p>
          <w:p w:rsidR="00BA4F25" w:rsidRPr="00120504" w:rsidRDefault="00BA4F25" w:rsidP="003261ED">
            <w:pPr>
              <w:jc w:val="both"/>
              <w:rPr>
                <w:rFonts w:eastAsia="Calibri"/>
                <w:sz w:val="20"/>
              </w:rPr>
            </w:pPr>
          </w:p>
        </w:tc>
      </w:tr>
      <w:tr w:rsidR="00BA4F25" w:rsidRPr="00120504" w:rsidTr="003261ED">
        <w:tc>
          <w:tcPr>
            <w:tcW w:w="5000" w:type="pct"/>
            <w:gridSpan w:val="3"/>
          </w:tcPr>
          <w:p w:rsidR="00BA4F25" w:rsidRPr="00120504" w:rsidRDefault="00BA4F25" w:rsidP="003261ED">
            <w:pPr>
              <w:jc w:val="both"/>
              <w:rPr>
                <w:rFonts w:eastAsia="Calibri"/>
                <w:sz w:val="20"/>
              </w:rPr>
            </w:pPr>
            <w:r w:rsidRPr="00120504">
              <w:rPr>
                <w:rFonts w:eastAsia="Calibri"/>
                <w:sz w:val="20"/>
              </w:rPr>
              <w:t xml:space="preserve">The applicants were shopping for groceries when they slipped and fell after the floor cleaning machine had passed by. </w:t>
            </w:r>
            <w:r w:rsidRPr="00120504">
              <w:rPr>
                <w:rFonts w:eastAsia="Calibri"/>
                <w:sz w:val="20"/>
              </w:rPr>
              <w:lastRenderedPageBreak/>
              <w:t xml:space="preserve">They commenced an action seeking damages. After a trial by judge and jury the action was dismissed. The morning after the jury had rendered its verdicts and had been discharged by the </w:t>
            </w:r>
            <w:proofErr w:type="gramStart"/>
            <w:r w:rsidRPr="00120504">
              <w:rPr>
                <w:rFonts w:eastAsia="Calibri"/>
                <w:sz w:val="20"/>
              </w:rPr>
              <w:t>judge,</w:t>
            </w:r>
            <w:proofErr w:type="gramEnd"/>
            <w:r w:rsidRPr="00120504">
              <w:rPr>
                <w:rFonts w:eastAsia="Calibri"/>
                <w:sz w:val="20"/>
              </w:rPr>
              <w:t xml:space="preserve"> all six members of the jury returned to the courthouse and lined up at the jury room door. When asked by court staff what they were doing there, one answered that they were there to count or calculate the money. When told that they had returned a no liability verdict and that the plaintiff would receive no money, it was reported that they looked stunned. Some also said they were there for a letter to their employers and one said they were told to return. Nothing was done that day, as neither the judge nor the lawyers were in the courthouse. When the applicants’ lawyer later learned of the jury’s actions, he moved before the trial judge for an inquiry. The motion and the appeal were both dismissed.</w:t>
            </w:r>
          </w:p>
          <w:p w:rsidR="00BA4F25" w:rsidRPr="00120504" w:rsidRDefault="00BA4F25" w:rsidP="003261ED">
            <w:pPr>
              <w:jc w:val="both"/>
              <w:rPr>
                <w:rFonts w:eastAsia="Calibri"/>
                <w:sz w:val="20"/>
              </w:rPr>
            </w:pPr>
          </w:p>
        </w:tc>
      </w:tr>
      <w:tr w:rsidR="00BA4F25" w:rsidRPr="00120504" w:rsidTr="003261ED">
        <w:tc>
          <w:tcPr>
            <w:tcW w:w="2427" w:type="pct"/>
          </w:tcPr>
          <w:p w:rsidR="00BA4F25" w:rsidRPr="00120504" w:rsidRDefault="00BA4F25" w:rsidP="003261ED">
            <w:pPr>
              <w:jc w:val="both"/>
              <w:rPr>
                <w:rFonts w:eastAsia="Calibri"/>
                <w:sz w:val="20"/>
              </w:rPr>
            </w:pPr>
            <w:r w:rsidRPr="00120504">
              <w:rPr>
                <w:rFonts w:eastAsia="Calibri"/>
                <w:sz w:val="20"/>
              </w:rPr>
              <w:lastRenderedPageBreak/>
              <w:t>December 3, 2008</w:t>
            </w:r>
          </w:p>
          <w:p w:rsidR="00BA4F25" w:rsidRPr="00120504" w:rsidRDefault="00BA4F25" w:rsidP="003261ED">
            <w:pPr>
              <w:jc w:val="both"/>
              <w:rPr>
                <w:rFonts w:eastAsia="Calibri"/>
                <w:sz w:val="20"/>
              </w:rPr>
            </w:pPr>
            <w:r w:rsidRPr="00120504">
              <w:rPr>
                <w:rFonts w:eastAsia="Calibri"/>
                <w:sz w:val="20"/>
              </w:rPr>
              <w:t>Ontario Superior Court of Justice</w:t>
            </w:r>
          </w:p>
          <w:p w:rsidR="00BA4F25" w:rsidRPr="00120504" w:rsidRDefault="00BA4F25" w:rsidP="003261ED">
            <w:pPr>
              <w:jc w:val="both"/>
              <w:rPr>
                <w:rFonts w:eastAsia="Calibri"/>
                <w:sz w:val="20"/>
              </w:rPr>
            </w:pPr>
            <w:r w:rsidRPr="00120504">
              <w:rPr>
                <w:rFonts w:eastAsia="Calibri"/>
                <w:sz w:val="20"/>
              </w:rPr>
              <w:t>(</w:t>
            </w:r>
            <w:proofErr w:type="spellStart"/>
            <w:r w:rsidRPr="00120504">
              <w:rPr>
                <w:rFonts w:eastAsia="Calibri"/>
                <w:sz w:val="20"/>
              </w:rPr>
              <w:t>deP.Wright</w:t>
            </w:r>
            <w:proofErr w:type="spellEnd"/>
            <w:r w:rsidRPr="00120504">
              <w:rPr>
                <w:rFonts w:eastAsia="Calibri"/>
                <w:sz w:val="20"/>
              </w:rPr>
              <w:t xml:space="preserve"> J.)</w:t>
            </w:r>
          </w:p>
          <w:p w:rsidR="00BA4F25" w:rsidRPr="00120504" w:rsidRDefault="00BA4F25" w:rsidP="003261ED">
            <w:pPr>
              <w:jc w:val="both"/>
              <w:rPr>
                <w:rFonts w:eastAsia="Calibri"/>
                <w:sz w:val="20"/>
              </w:rPr>
            </w:pPr>
          </w:p>
        </w:tc>
        <w:tc>
          <w:tcPr>
            <w:tcW w:w="243" w:type="pct"/>
          </w:tcPr>
          <w:p w:rsidR="00BA4F25" w:rsidRPr="00120504" w:rsidRDefault="00BA4F25" w:rsidP="003261ED">
            <w:pPr>
              <w:jc w:val="both"/>
              <w:rPr>
                <w:rFonts w:eastAsia="Calibri"/>
                <w:sz w:val="20"/>
              </w:rPr>
            </w:pPr>
          </w:p>
        </w:tc>
        <w:tc>
          <w:tcPr>
            <w:tcW w:w="2330" w:type="pct"/>
          </w:tcPr>
          <w:p w:rsidR="00BA4F25" w:rsidRPr="00120504" w:rsidRDefault="00BA4F25" w:rsidP="003261ED">
            <w:pPr>
              <w:jc w:val="both"/>
              <w:rPr>
                <w:rFonts w:eastAsia="Calibri"/>
                <w:sz w:val="20"/>
              </w:rPr>
            </w:pPr>
            <w:r w:rsidRPr="00120504">
              <w:rPr>
                <w:rFonts w:eastAsia="Calibri"/>
                <w:sz w:val="20"/>
              </w:rPr>
              <w:t>Action for damages dismissed</w:t>
            </w:r>
          </w:p>
          <w:p w:rsidR="00BA4F25" w:rsidRPr="00120504" w:rsidRDefault="00BA4F25" w:rsidP="003261ED">
            <w:pPr>
              <w:jc w:val="both"/>
              <w:rPr>
                <w:rFonts w:eastAsia="Calibri"/>
                <w:sz w:val="20"/>
              </w:rPr>
            </w:pPr>
          </w:p>
        </w:tc>
      </w:tr>
      <w:tr w:rsidR="00BA4F25" w:rsidRPr="00120504" w:rsidTr="003261ED">
        <w:tc>
          <w:tcPr>
            <w:tcW w:w="2427" w:type="pct"/>
          </w:tcPr>
          <w:p w:rsidR="00BA4F25" w:rsidRPr="00120504" w:rsidRDefault="00BA4F25" w:rsidP="003261ED">
            <w:pPr>
              <w:jc w:val="both"/>
              <w:rPr>
                <w:rFonts w:eastAsia="Calibri"/>
                <w:sz w:val="20"/>
              </w:rPr>
            </w:pPr>
            <w:r w:rsidRPr="00120504">
              <w:rPr>
                <w:rFonts w:eastAsia="Calibri"/>
                <w:sz w:val="20"/>
              </w:rPr>
              <w:t>December 23, 2008</w:t>
            </w:r>
          </w:p>
          <w:p w:rsidR="00BA4F25" w:rsidRPr="00120504" w:rsidRDefault="00BA4F25" w:rsidP="003261ED">
            <w:pPr>
              <w:jc w:val="both"/>
              <w:rPr>
                <w:rFonts w:eastAsia="Calibri"/>
                <w:sz w:val="20"/>
              </w:rPr>
            </w:pPr>
            <w:r w:rsidRPr="00120504">
              <w:rPr>
                <w:rFonts w:eastAsia="Calibri"/>
                <w:sz w:val="20"/>
              </w:rPr>
              <w:t>Ontario Superior Court of Justice</w:t>
            </w:r>
          </w:p>
          <w:p w:rsidR="00BA4F25" w:rsidRPr="00120504" w:rsidRDefault="00BA4F25" w:rsidP="003261ED">
            <w:pPr>
              <w:jc w:val="both"/>
              <w:rPr>
                <w:rFonts w:eastAsia="Calibri"/>
                <w:sz w:val="20"/>
              </w:rPr>
            </w:pPr>
            <w:r w:rsidRPr="00120504">
              <w:rPr>
                <w:rFonts w:eastAsia="Calibri"/>
                <w:sz w:val="20"/>
              </w:rPr>
              <w:t>(</w:t>
            </w:r>
            <w:proofErr w:type="spellStart"/>
            <w:r w:rsidRPr="00120504">
              <w:rPr>
                <w:rFonts w:eastAsia="Calibri"/>
                <w:sz w:val="20"/>
              </w:rPr>
              <w:t>deP.Wright</w:t>
            </w:r>
            <w:proofErr w:type="spellEnd"/>
            <w:r w:rsidRPr="00120504">
              <w:rPr>
                <w:rFonts w:eastAsia="Calibri"/>
                <w:sz w:val="20"/>
              </w:rPr>
              <w:t xml:space="preserve"> J)</w:t>
            </w:r>
          </w:p>
          <w:p w:rsidR="00BA4F25" w:rsidRPr="00120504" w:rsidRDefault="00BA4F25" w:rsidP="003261ED">
            <w:pPr>
              <w:jc w:val="both"/>
              <w:rPr>
                <w:rFonts w:eastAsia="Calibri"/>
                <w:sz w:val="20"/>
              </w:rPr>
            </w:pPr>
          </w:p>
        </w:tc>
        <w:tc>
          <w:tcPr>
            <w:tcW w:w="243" w:type="pct"/>
          </w:tcPr>
          <w:p w:rsidR="00BA4F25" w:rsidRPr="00120504" w:rsidRDefault="00BA4F25" w:rsidP="003261ED">
            <w:pPr>
              <w:jc w:val="both"/>
              <w:rPr>
                <w:rFonts w:eastAsia="Calibri"/>
                <w:sz w:val="20"/>
              </w:rPr>
            </w:pPr>
          </w:p>
        </w:tc>
        <w:tc>
          <w:tcPr>
            <w:tcW w:w="2330" w:type="pct"/>
          </w:tcPr>
          <w:p w:rsidR="00BA4F25" w:rsidRPr="00120504" w:rsidRDefault="00BA4F25" w:rsidP="003261ED">
            <w:pPr>
              <w:jc w:val="both"/>
              <w:rPr>
                <w:rFonts w:eastAsia="Calibri"/>
                <w:sz w:val="20"/>
              </w:rPr>
            </w:pPr>
            <w:r w:rsidRPr="00120504">
              <w:rPr>
                <w:rFonts w:eastAsia="Calibri"/>
                <w:sz w:val="20"/>
              </w:rPr>
              <w:t>Motion to recall jury dismissed</w:t>
            </w:r>
          </w:p>
          <w:p w:rsidR="00BA4F25" w:rsidRPr="00120504" w:rsidRDefault="00BA4F25" w:rsidP="003261ED">
            <w:pPr>
              <w:jc w:val="both"/>
              <w:rPr>
                <w:rFonts w:eastAsia="Calibri"/>
                <w:sz w:val="20"/>
              </w:rPr>
            </w:pPr>
          </w:p>
        </w:tc>
      </w:tr>
      <w:tr w:rsidR="00BA4F25" w:rsidRPr="00120504" w:rsidTr="003261ED">
        <w:tc>
          <w:tcPr>
            <w:tcW w:w="2427" w:type="pct"/>
          </w:tcPr>
          <w:p w:rsidR="00BA4F25" w:rsidRPr="00120504" w:rsidRDefault="00BA4F25" w:rsidP="003261ED">
            <w:pPr>
              <w:jc w:val="both"/>
              <w:rPr>
                <w:rFonts w:eastAsia="Calibri"/>
                <w:sz w:val="20"/>
              </w:rPr>
            </w:pPr>
            <w:r w:rsidRPr="00120504">
              <w:rPr>
                <w:rFonts w:eastAsia="Calibri"/>
                <w:sz w:val="20"/>
              </w:rPr>
              <w:t>July 20, 2010</w:t>
            </w:r>
          </w:p>
          <w:p w:rsidR="00BA4F25" w:rsidRPr="00120504" w:rsidRDefault="00BA4F25" w:rsidP="003261ED">
            <w:pPr>
              <w:jc w:val="both"/>
              <w:rPr>
                <w:rFonts w:eastAsia="Calibri"/>
                <w:sz w:val="20"/>
              </w:rPr>
            </w:pPr>
            <w:r w:rsidRPr="00120504">
              <w:rPr>
                <w:rFonts w:eastAsia="Calibri"/>
                <w:sz w:val="20"/>
              </w:rPr>
              <w:t>Court of Appeal for Ontario</w:t>
            </w:r>
          </w:p>
          <w:p w:rsidR="00BA4F25" w:rsidRPr="00120504" w:rsidRDefault="00BA4F25" w:rsidP="003261ED">
            <w:pPr>
              <w:jc w:val="both"/>
              <w:rPr>
                <w:rFonts w:eastAsia="Calibri"/>
                <w:sz w:val="20"/>
              </w:rPr>
            </w:pPr>
            <w:r w:rsidRPr="00120504">
              <w:rPr>
                <w:rFonts w:eastAsia="Calibri"/>
                <w:sz w:val="20"/>
              </w:rPr>
              <w:t xml:space="preserve">(Feldman, </w:t>
            </w:r>
            <w:proofErr w:type="spellStart"/>
            <w:r w:rsidRPr="00120504">
              <w:rPr>
                <w:rFonts w:eastAsia="Calibri"/>
                <w:sz w:val="20"/>
              </w:rPr>
              <w:t>Gillese</w:t>
            </w:r>
            <w:proofErr w:type="spellEnd"/>
            <w:r w:rsidRPr="00120504">
              <w:rPr>
                <w:rFonts w:eastAsia="Calibri"/>
                <w:sz w:val="20"/>
              </w:rPr>
              <w:t>, Armstrong JJ.A.)</w:t>
            </w:r>
          </w:p>
          <w:p w:rsidR="00BA4F25" w:rsidRPr="00120504" w:rsidRDefault="00BA4F25" w:rsidP="003261ED">
            <w:pPr>
              <w:jc w:val="both"/>
              <w:rPr>
                <w:rFonts w:eastAsia="Calibri"/>
                <w:sz w:val="20"/>
              </w:rPr>
            </w:pPr>
          </w:p>
        </w:tc>
        <w:tc>
          <w:tcPr>
            <w:tcW w:w="243" w:type="pct"/>
          </w:tcPr>
          <w:p w:rsidR="00BA4F25" w:rsidRPr="00120504" w:rsidRDefault="00BA4F25" w:rsidP="003261ED">
            <w:pPr>
              <w:jc w:val="both"/>
              <w:rPr>
                <w:rFonts w:eastAsia="Calibri"/>
                <w:sz w:val="20"/>
              </w:rPr>
            </w:pPr>
          </w:p>
        </w:tc>
        <w:tc>
          <w:tcPr>
            <w:tcW w:w="2330" w:type="pct"/>
          </w:tcPr>
          <w:p w:rsidR="00BA4F25" w:rsidRPr="00120504" w:rsidRDefault="00BA4F25" w:rsidP="003261ED">
            <w:pPr>
              <w:jc w:val="both"/>
              <w:rPr>
                <w:rFonts w:eastAsia="Calibri"/>
                <w:sz w:val="20"/>
              </w:rPr>
            </w:pPr>
            <w:r w:rsidRPr="00120504">
              <w:rPr>
                <w:rFonts w:eastAsia="Calibri"/>
                <w:sz w:val="20"/>
              </w:rPr>
              <w:t>Appeal dismissed</w:t>
            </w:r>
          </w:p>
          <w:p w:rsidR="00BA4F25" w:rsidRPr="00120504" w:rsidRDefault="00BA4F25" w:rsidP="003261ED">
            <w:pPr>
              <w:jc w:val="both"/>
              <w:rPr>
                <w:rFonts w:eastAsia="Calibri"/>
                <w:sz w:val="20"/>
              </w:rPr>
            </w:pPr>
          </w:p>
        </w:tc>
      </w:tr>
      <w:tr w:rsidR="00BA4F25" w:rsidRPr="00120504" w:rsidTr="003261ED">
        <w:tc>
          <w:tcPr>
            <w:tcW w:w="2427" w:type="pct"/>
          </w:tcPr>
          <w:p w:rsidR="00BA4F25" w:rsidRPr="00120504" w:rsidRDefault="00BA4F25" w:rsidP="003261ED">
            <w:pPr>
              <w:jc w:val="both"/>
              <w:rPr>
                <w:rFonts w:eastAsia="Calibri"/>
                <w:sz w:val="20"/>
              </w:rPr>
            </w:pPr>
            <w:r w:rsidRPr="00120504">
              <w:rPr>
                <w:rFonts w:eastAsia="Calibri"/>
                <w:sz w:val="20"/>
              </w:rPr>
              <w:t>September 29, 2010</w:t>
            </w:r>
          </w:p>
          <w:p w:rsidR="00BA4F25" w:rsidRPr="00120504" w:rsidRDefault="00BA4F25" w:rsidP="003261ED">
            <w:pPr>
              <w:jc w:val="both"/>
              <w:rPr>
                <w:rFonts w:eastAsia="Calibri"/>
                <w:sz w:val="20"/>
              </w:rPr>
            </w:pPr>
            <w:r w:rsidRPr="00120504">
              <w:rPr>
                <w:rFonts w:eastAsia="Calibri"/>
                <w:sz w:val="20"/>
              </w:rPr>
              <w:t>Supreme Court of Canada</w:t>
            </w:r>
          </w:p>
        </w:tc>
        <w:tc>
          <w:tcPr>
            <w:tcW w:w="243" w:type="pct"/>
          </w:tcPr>
          <w:p w:rsidR="00BA4F25" w:rsidRPr="00120504" w:rsidRDefault="00BA4F25" w:rsidP="003261ED">
            <w:pPr>
              <w:jc w:val="both"/>
              <w:rPr>
                <w:rFonts w:eastAsia="Calibri"/>
                <w:sz w:val="20"/>
              </w:rPr>
            </w:pPr>
          </w:p>
        </w:tc>
        <w:tc>
          <w:tcPr>
            <w:tcW w:w="2330" w:type="pct"/>
          </w:tcPr>
          <w:p w:rsidR="00BA4F25" w:rsidRPr="00120504" w:rsidRDefault="00BA4F25" w:rsidP="003261ED">
            <w:pPr>
              <w:jc w:val="both"/>
              <w:rPr>
                <w:rFonts w:eastAsia="Calibri"/>
                <w:sz w:val="20"/>
              </w:rPr>
            </w:pPr>
            <w:r w:rsidRPr="00120504">
              <w:rPr>
                <w:rFonts w:eastAsia="Calibri"/>
                <w:sz w:val="20"/>
              </w:rPr>
              <w:t>Application for leave to appeal filed</w:t>
            </w:r>
          </w:p>
          <w:p w:rsidR="00BA4F25" w:rsidRPr="00120504" w:rsidRDefault="00BA4F25" w:rsidP="003261ED">
            <w:pPr>
              <w:jc w:val="both"/>
              <w:rPr>
                <w:rFonts w:eastAsia="Calibri"/>
                <w:sz w:val="20"/>
              </w:rPr>
            </w:pPr>
          </w:p>
        </w:tc>
      </w:tr>
    </w:tbl>
    <w:p w:rsidR="004704BD" w:rsidRPr="004704BD" w:rsidRDefault="004704BD" w:rsidP="004704BD">
      <w:pPr>
        <w:rPr>
          <w:sz w:val="20"/>
          <w:szCs w:val="20"/>
        </w:rPr>
      </w:pPr>
    </w:p>
    <w:p w:rsidR="004704BD" w:rsidRDefault="0004334C" w:rsidP="004704BD">
      <w:pPr>
        <w:rPr>
          <w:sz w:val="20"/>
          <w:szCs w:val="20"/>
          <w:lang w:val="fr-CA"/>
        </w:rPr>
      </w:pPr>
      <w:r w:rsidRPr="0004334C">
        <w:rPr>
          <w:sz w:val="20"/>
          <w:szCs w:val="20"/>
          <w:lang w:val="fr-CA"/>
        </w:rPr>
        <w:pict>
          <v:rect id="_x0000_i1056" style="width:2in;height:1pt" o:hrpct="0" o:hralign="center" o:hrstd="t" o:hrnoshade="t" o:hr="t" fillcolor="black [3213]" stroked="f"/>
        </w:pict>
      </w:r>
    </w:p>
    <w:p w:rsidR="004704BD" w:rsidRDefault="004704BD" w:rsidP="004704BD">
      <w:pPr>
        <w:rPr>
          <w:sz w:val="20"/>
          <w:szCs w:val="20"/>
          <w:lang w:val="fr-CA"/>
        </w:rPr>
      </w:pPr>
    </w:p>
    <w:p w:rsidR="004704BD" w:rsidRPr="004704BD" w:rsidRDefault="004704BD" w:rsidP="004704BD">
      <w:pPr>
        <w:rPr>
          <w:sz w:val="20"/>
          <w:szCs w:val="20"/>
          <w:lang w:val="fr-CA"/>
        </w:rPr>
      </w:pPr>
      <w:r>
        <w:rPr>
          <w:sz w:val="20"/>
          <w:szCs w:val="20"/>
          <w:u w:val="single"/>
          <w:lang w:val="fr-CA"/>
        </w:rPr>
        <w:t>RÉSUMÉ DE L’AFFAIRE</w:t>
      </w:r>
    </w:p>
    <w:p w:rsidR="004704BD" w:rsidRDefault="004704BD" w:rsidP="004704BD">
      <w:pPr>
        <w:rPr>
          <w:sz w:val="20"/>
          <w:szCs w:val="20"/>
          <w:lang w:val="fr-CA"/>
        </w:rPr>
      </w:pPr>
    </w:p>
    <w:tbl>
      <w:tblPr>
        <w:tblW w:w="4952" w:type="pct"/>
        <w:tblInd w:w="2" w:type="dxa"/>
        <w:tblLayout w:type="fixed"/>
        <w:tblCellMar>
          <w:left w:w="0" w:type="dxa"/>
          <w:bottom w:w="99" w:type="dxa"/>
          <w:right w:w="0" w:type="dxa"/>
        </w:tblCellMar>
        <w:tblLook w:val="00A0"/>
      </w:tblPr>
      <w:tblGrid>
        <w:gridCol w:w="4624"/>
        <w:gridCol w:w="463"/>
        <w:gridCol w:w="4440"/>
      </w:tblGrid>
      <w:tr w:rsidR="00BA4F25" w:rsidRPr="001602E4" w:rsidTr="003261ED">
        <w:tc>
          <w:tcPr>
            <w:tcW w:w="5000" w:type="pct"/>
            <w:gridSpan w:val="3"/>
          </w:tcPr>
          <w:p w:rsidR="00BA4F25" w:rsidRPr="00120504" w:rsidRDefault="00BA4F25" w:rsidP="003261ED">
            <w:pPr>
              <w:jc w:val="both"/>
              <w:rPr>
                <w:rFonts w:eastAsia="Calibri"/>
                <w:sz w:val="20"/>
                <w:lang w:val="fr-CA"/>
              </w:rPr>
            </w:pPr>
            <w:r w:rsidRPr="00120504">
              <w:rPr>
                <w:rFonts w:eastAsia="Calibri"/>
                <w:sz w:val="20"/>
                <w:lang w:val="fr-CA"/>
              </w:rPr>
              <w:t xml:space="preserve">Procédure civile – Audience – Procès devant jury – Comportement du jury après sa libération – Y a-t-il eu erreur judiciaire? – Le juge du procès a-t-il eu tort de ne pas avoir réuni le jury de nouveau afin d’enquêter? – Compétence du juge du procès après la libération du jury – L’arrêt </w:t>
            </w:r>
            <w:r w:rsidRPr="00120504">
              <w:rPr>
                <w:rFonts w:eastAsia="Calibri"/>
                <w:i/>
                <w:iCs/>
                <w:sz w:val="20"/>
                <w:lang w:val="fr-CA"/>
              </w:rPr>
              <w:t>R. c. Burke,</w:t>
            </w:r>
            <w:r w:rsidRPr="00120504">
              <w:rPr>
                <w:rFonts w:eastAsia="Calibri"/>
                <w:sz w:val="20"/>
                <w:lang w:val="fr-CA"/>
              </w:rPr>
              <w:t xml:space="preserve"> [2002] 2 R.C.S. 857 confère-il au juge du procès un large pouvoir discrétionnaire résiduel d’annuler le verdict d’un jury et de prononcer la nullité d’un procès? – La Cour d’appel a-t-elle eu tort de refuser d’ordonner un nouveau procès? – Interprétation et application de l’arrêt </w:t>
            </w:r>
            <w:r w:rsidRPr="00120504">
              <w:rPr>
                <w:rFonts w:eastAsia="Calibri"/>
                <w:i/>
                <w:iCs/>
                <w:sz w:val="20"/>
                <w:lang w:val="fr-CA"/>
              </w:rPr>
              <w:t>R. c. Burke</w:t>
            </w:r>
            <w:r w:rsidRPr="00120504">
              <w:rPr>
                <w:rFonts w:eastAsia="Calibri"/>
                <w:sz w:val="20"/>
                <w:lang w:val="fr-CA"/>
              </w:rPr>
              <w:t>.</w:t>
            </w:r>
          </w:p>
          <w:p w:rsidR="00BA4F25" w:rsidRPr="00120504" w:rsidRDefault="00BA4F25" w:rsidP="003261ED">
            <w:pPr>
              <w:jc w:val="both"/>
              <w:rPr>
                <w:rFonts w:eastAsia="Calibri"/>
                <w:sz w:val="20"/>
                <w:lang w:val="fr-CA"/>
              </w:rPr>
            </w:pPr>
          </w:p>
        </w:tc>
      </w:tr>
      <w:tr w:rsidR="00BA4F25" w:rsidRPr="001602E4" w:rsidTr="003261ED">
        <w:tc>
          <w:tcPr>
            <w:tcW w:w="5000" w:type="pct"/>
            <w:gridSpan w:val="3"/>
          </w:tcPr>
          <w:p w:rsidR="00BA4F25" w:rsidRPr="00120504" w:rsidRDefault="00BA4F25" w:rsidP="003261ED">
            <w:pPr>
              <w:jc w:val="both"/>
              <w:rPr>
                <w:rFonts w:eastAsia="Calibri"/>
                <w:sz w:val="20"/>
                <w:lang w:val="fr-CA"/>
              </w:rPr>
            </w:pPr>
            <w:r w:rsidRPr="00120504">
              <w:rPr>
                <w:rFonts w:eastAsia="Calibri"/>
                <w:sz w:val="20"/>
                <w:lang w:val="fr-CA"/>
              </w:rPr>
              <w:t>Les demandeurs faisaient des courses dans un magasin d’alimentation lorsqu’ils ont glissé et fait une chute après le passage d’une machine à nettoyer les planchers. Ils ont intenté une action en dommages-intérêts. Au terme d’un procès devant juge et jury, l’action a été rejetée. Le matin après que le jury a rendu ses verdicts et a été libéré par le juge, les six membres du jury sont retournés au palais de justice et ont fait la file devant la porte de la salle des jurés. Lorsqu’un employé de la cour leur a demandé ce qu’ils faisaient là, un des jurés a répondu qu’ils étaient là pour compter ou calculer l’argent. Lorsqu’on leur a dit qu’ils avaient rendu un verdict de non-responsabilité et que le demandeur ne recevrait pas d’argent, on a rapporté qu’ils avaient l’air étonnés. Certains ont également affirmé qu’ils étaient là pour une lettre destinée à leurs employeurs et l’un d’eux a dit qu’on leur avait demandé de revenir. Rien n’a été fait ce jour là, puisque ni le juge ni les avocats ne se trouvaient dans le palais de justice. Lorsque l’avocat des demandeurs a eu connaissance des agissements du jury, il a demandé par motion au juge du procès de faire une enquête. La motion et l’appel ont tous les deux été rejetés.</w:t>
            </w:r>
          </w:p>
          <w:p w:rsidR="00BA4F25" w:rsidRPr="00120504" w:rsidRDefault="00BA4F25" w:rsidP="003261ED">
            <w:pPr>
              <w:jc w:val="both"/>
              <w:rPr>
                <w:rFonts w:eastAsia="Calibri"/>
                <w:sz w:val="20"/>
                <w:lang w:val="fr-CA"/>
              </w:rPr>
            </w:pPr>
          </w:p>
        </w:tc>
      </w:tr>
      <w:tr w:rsidR="00BA4F25" w:rsidRPr="00120504" w:rsidTr="003261ED">
        <w:tc>
          <w:tcPr>
            <w:tcW w:w="2427" w:type="pct"/>
          </w:tcPr>
          <w:p w:rsidR="00BA4F25" w:rsidRPr="00120504" w:rsidRDefault="00BA4F25" w:rsidP="003261ED">
            <w:pPr>
              <w:jc w:val="both"/>
              <w:rPr>
                <w:rFonts w:eastAsia="Calibri"/>
                <w:sz w:val="20"/>
                <w:lang w:val="fr-CA"/>
              </w:rPr>
            </w:pPr>
            <w:r w:rsidRPr="00120504">
              <w:rPr>
                <w:rFonts w:eastAsia="Calibri"/>
                <w:sz w:val="20"/>
                <w:lang w:val="fr-CA"/>
              </w:rPr>
              <w:t>3 décembre 2008</w:t>
            </w:r>
          </w:p>
          <w:p w:rsidR="00BA4F25" w:rsidRPr="00120504" w:rsidRDefault="00BA4F25" w:rsidP="003261ED">
            <w:pPr>
              <w:jc w:val="both"/>
              <w:rPr>
                <w:rFonts w:eastAsia="Calibri"/>
                <w:sz w:val="20"/>
                <w:lang w:val="fr-CA"/>
              </w:rPr>
            </w:pPr>
            <w:r w:rsidRPr="00120504">
              <w:rPr>
                <w:rFonts w:eastAsia="Calibri"/>
                <w:sz w:val="20"/>
                <w:lang w:val="fr-CA"/>
              </w:rPr>
              <w:t>Cour supérieure de justice de l’Ontario</w:t>
            </w:r>
          </w:p>
          <w:p w:rsidR="00BA4F25" w:rsidRPr="00120504" w:rsidRDefault="00BA4F25" w:rsidP="003261ED">
            <w:pPr>
              <w:jc w:val="both"/>
              <w:rPr>
                <w:rFonts w:eastAsia="Calibri"/>
                <w:sz w:val="20"/>
                <w:lang w:val="fr-CA"/>
              </w:rPr>
            </w:pPr>
            <w:r w:rsidRPr="00120504">
              <w:rPr>
                <w:rFonts w:eastAsia="Calibri"/>
                <w:sz w:val="20"/>
                <w:lang w:val="fr-CA"/>
              </w:rPr>
              <w:t xml:space="preserve">(Juge </w:t>
            </w:r>
            <w:proofErr w:type="spellStart"/>
            <w:r w:rsidRPr="00120504">
              <w:rPr>
                <w:rFonts w:eastAsia="Calibri"/>
                <w:sz w:val="20"/>
                <w:lang w:val="fr-CA"/>
              </w:rPr>
              <w:t>deP.Wright</w:t>
            </w:r>
            <w:proofErr w:type="spellEnd"/>
            <w:r w:rsidRPr="00120504">
              <w:rPr>
                <w:rFonts w:eastAsia="Calibri"/>
                <w:sz w:val="20"/>
                <w:lang w:val="fr-CA"/>
              </w:rPr>
              <w:t>)</w:t>
            </w:r>
          </w:p>
          <w:p w:rsidR="00BA4F25" w:rsidRPr="00120504" w:rsidRDefault="00BA4F25" w:rsidP="003261ED">
            <w:pPr>
              <w:jc w:val="both"/>
              <w:rPr>
                <w:rFonts w:eastAsia="Calibri"/>
                <w:sz w:val="20"/>
                <w:lang w:val="fr-CA"/>
              </w:rPr>
            </w:pPr>
          </w:p>
        </w:tc>
        <w:tc>
          <w:tcPr>
            <w:tcW w:w="243" w:type="pct"/>
          </w:tcPr>
          <w:p w:rsidR="00BA4F25" w:rsidRPr="00120504" w:rsidRDefault="00BA4F25" w:rsidP="003261ED">
            <w:pPr>
              <w:jc w:val="both"/>
              <w:rPr>
                <w:rFonts w:eastAsia="Calibri"/>
                <w:sz w:val="20"/>
                <w:lang w:val="fr-CA"/>
              </w:rPr>
            </w:pPr>
          </w:p>
        </w:tc>
        <w:tc>
          <w:tcPr>
            <w:tcW w:w="2330" w:type="pct"/>
          </w:tcPr>
          <w:p w:rsidR="00BA4F25" w:rsidRPr="00120504" w:rsidRDefault="00BA4F25" w:rsidP="003261ED">
            <w:pPr>
              <w:jc w:val="both"/>
              <w:rPr>
                <w:rFonts w:eastAsia="Calibri"/>
                <w:sz w:val="20"/>
                <w:lang w:val="fr-CA"/>
              </w:rPr>
            </w:pPr>
            <w:r w:rsidRPr="00120504">
              <w:rPr>
                <w:rFonts w:eastAsia="Calibri"/>
                <w:sz w:val="20"/>
                <w:lang w:val="fr-CA"/>
              </w:rPr>
              <w:t>Action en dommages-intérêts rejetée</w:t>
            </w:r>
          </w:p>
          <w:p w:rsidR="00BA4F25" w:rsidRPr="00120504" w:rsidRDefault="00BA4F25" w:rsidP="003261ED">
            <w:pPr>
              <w:jc w:val="both"/>
              <w:rPr>
                <w:rFonts w:eastAsia="Calibri"/>
                <w:sz w:val="20"/>
                <w:lang w:val="fr-CA"/>
              </w:rPr>
            </w:pPr>
          </w:p>
        </w:tc>
      </w:tr>
      <w:tr w:rsidR="00BA4F25" w:rsidRPr="001602E4" w:rsidTr="003261ED">
        <w:tc>
          <w:tcPr>
            <w:tcW w:w="2427" w:type="pct"/>
          </w:tcPr>
          <w:p w:rsidR="00BA4F25" w:rsidRPr="00120504" w:rsidRDefault="00BA4F25" w:rsidP="003261ED">
            <w:pPr>
              <w:jc w:val="both"/>
              <w:rPr>
                <w:rFonts w:eastAsia="Calibri"/>
                <w:sz w:val="20"/>
                <w:lang w:val="fr-CA"/>
              </w:rPr>
            </w:pPr>
            <w:r w:rsidRPr="00120504">
              <w:rPr>
                <w:rFonts w:eastAsia="Calibri"/>
                <w:sz w:val="20"/>
                <w:lang w:val="fr-CA"/>
              </w:rPr>
              <w:lastRenderedPageBreak/>
              <w:t>23 décembre 2008</w:t>
            </w:r>
          </w:p>
          <w:p w:rsidR="00BA4F25" w:rsidRPr="00120504" w:rsidRDefault="00BA4F25" w:rsidP="003261ED">
            <w:pPr>
              <w:jc w:val="both"/>
              <w:rPr>
                <w:rFonts w:eastAsia="Calibri"/>
                <w:sz w:val="20"/>
                <w:lang w:val="fr-CA"/>
              </w:rPr>
            </w:pPr>
            <w:r w:rsidRPr="00120504">
              <w:rPr>
                <w:rFonts w:eastAsia="Calibri"/>
                <w:sz w:val="20"/>
                <w:lang w:val="fr-CA"/>
              </w:rPr>
              <w:t>Cour supérieure de justice de l’Ontario</w:t>
            </w:r>
          </w:p>
          <w:p w:rsidR="00BA4F25" w:rsidRPr="00120504" w:rsidRDefault="00BA4F25" w:rsidP="003261ED">
            <w:pPr>
              <w:jc w:val="both"/>
              <w:rPr>
                <w:rFonts w:eastAsia="Calibri"/>
                <w:sz w:val="20"/>
                <w:lang w:val="fr-CA"/>
              </w:rPr>
            </w:pPr>
            <w:r w:rsidRPr="00120504">
              <w:rPr>
                <w:rFonts w:eastAsia="Calibri"/>
                <w:sz w:val="20"/>
                <w:lang w:val="fr-CA"/>
              </w:rPr>
              <w:t xml:space="preserve">(Juge </w:t>
            </w:r>
            <w:proofErr w:type="spellStart"/>
            <w:r w:rsidRPr="00120504">
              <w:rPr>
                <w:rFonts w:eastAsia="Calibri"/>
                <w:sz w:val="20"/>
                <w:lang w:val="fr-CA"/>
              </w:rPr>
              <w:t>deP.Wright</w:t>
            </w:r>
            <w:proofErr w:type="spellEnd"/>
            <w:r w:rsidRPr="00120504">
              <w:rPr>
                <w:rFonts w:eastAsia="Calibri"/>
                <w:sz w:val="20"/>
                <w:lang w:val="fr-CA"/>
              </w:rPr>
              <w:t>)</w:t>
            </w:r>
          </w:p>
          <w:p w:rsidR="00BA4F25" w:rsidRPr="00120504" w:rsidRDefault="00BA4F25" w:rsidP="003261ED">
            <w:pPr>
              <w:jc w:val="both"/>
              <w:rPr>
                <w:rFonts w:eastAsia="Calibri"/>
                <w:sz w:val="20"/>
                <w:lang w:val="fr-CA"/>
              </w:rPr>
            </w:pPr>
          </w:p>
        </w:tc>
        <w:tc>
          <w:tcPr>
            <w:tcW w:w="243" w:type="pct"/>
          </w:tcPr>
          <w:p w:rsidR="00BA4F25" w:rsidRPr="00120504" w:rsidRDefault="00BA4F25" w:rsidP="003261ED">
            <w:pPr>
              <w:jc w:val="both"/>
              <w:rPr>
                <w:rFonts w:eastAsia="Calibri"/>
                <w:sz w:val="20"/>
                <w:lang w:val="fr-CA"/>
              </w:rPr>
            </w:pPr>
          </w:p>
        </w:tc>
        <w:tc>
          <w:tcPr>
            <w:tcW w:w="2330" w:type="pct"/>
          </w:tcPr>
          <w:p w:rsidR="00BA4F25" w:rsidRPr="00120504" w:rsidRDefault="00BA4F25" w:rsidP="003261ED">
            <w:pPr>
              <w:jc w:val="both"/>
              <w:rPr>
                <w:rFonts w:eastAsia="Calibri"/>
                <w:sz w:val="20"/>
                <w:lang w:val="fr-CA"/>
              </w:rPr>
            </w:pPr>
            <w:r w:rsidRPr="00120504">
              <w:rPr>
                <w:rFonts w:eastAsia="Calibri"/>
                <w:sz w:val="20"/>
                <w:lang w:val="fr-CA"/>
              </w:rPr>
              <w:t>Motion pour réunir de nouveau le jury, rejetée</w:t>
            </w:r>
          </w:p>
          <w:p w:rsidR="00BA4F25" w:rsidRPr="00120504" w:rsidRDefault="00BA4F25" w:rsidP="003261ED">
            <w:pPr>
              <w:jc w:val="both"/>
              <w:rPr>
                <w:rFonts w:eastAsia="Calibri"/>
                <w:sz w:val="20"/>
                <w:lang w:val="fr-CA"/>
              </w:rPr>
            </w:pPr>
          </w:p>
        </w:tc>
      </w:tr>
      <w:tr w:rsidR="00BA4F25" w:rsidRPr="00120504" w:rsidTr="003261ED">
        <w:tc>
          <w:tcPr>
            <w:tcW w:w="2427" w:type="pct"/>
          </w:tcPr>
          <w:p w:rsidR="00BA4F25" w:rsidRPr="00120504" w:rsidRDefault="00BA4F25" w:rsidP="003261ED">
            <w:pPr>
              <w:jc w:val="both"/>
              <w:rPr>
                <w:rFonts w:eastAsia="Calibri"/>
                <w:sz w:val="20"/>
                <w:lang w:val="fr-CA"/>
              </w:rPr>
            </w:pPr>
            <w:r w:rsidRPr="00120504">
              <w:rPr>
                <w:rFonts w:eastAsia="Calibri"/>
                <w:sz w:val="20"/>
                <w:lang w:val="fr-CA"/>
              </w:rPr>
              <w:t>20 juillet 2010</w:t>
            </w:r>
          </w:p>
          <w:p w:rsidR="00BA4F25" w:rsidRPr="00120504" w:rsidRDefault="00BA4F25" w:rsidP="003261ED">
            <w:pPr>
              <w:jc w:val="both"/>
              <w:rPr>
                <w:rFonts w:eastAsia="Calibri"/>
                <w:sz w:val="20"/>
                <w:lang w:val="fr-CA"/>
              </w:rPr>
            </w:pPr>
            <w:r w:rsidRPr="00120504">
              <w:rPr>
                <w:rFonts w:eastAsia="Calibri"/>
                <w:sz w:val="20"/>
                <w:lang w:val="fr-CA"/>
              </w:rPr>
              <w:t>Cour d’appel de l’Ontario</w:t>
            </w:r>
          </w:p>
          <w:p w:rsidR="00BA4F25" w:rsidRPr="00120504" w:rsidRDefault="00BA4F25" w:rsidP="003261ED">
            <w:pPr>
              <w:jc w:val="both"/>
              <w:rPr>
                <w:rFonts w:eastAsia="Calibri"/>
                <w:sz w:val="20"/>
                <w:lang w:val="fr-CA"/>
              </w:rPr>
            </w:pPr>
            <w:r w:rsidRPr="00120504">
              <w:rPr>
                <w:rFonts w:eastAsia="Calibri"/>
                <w:sz w:val="20"/>
                <w:lang w:val="fr-CA"/>
              </w:rPr>
              <w:t xml:space="preserve">(Juges </w:t>
            </w:r>
            <w:proofErr w:type="spellStart"/>
            <w:r w:rsidRPr="00120504">
              <w:rPr>
                <w:rFonts w:eastAsia="Calibri"/>
                <w:sz w:val="20"/>
                <w:lang w:val="fr-CA"/>
              </w:rPr>
              <w:t>Feldman</w:t>
            </w:r>
            <w:proofErr w:type="spellEnd"/>
            <w:r w:rsidRPr="00120504">
              <w:rPr>
                <w:rFonts w:eastAsia="Calibri"/>
                <w:sz w:val="20"/>
                <w:lang w:val="fr-CA"/>
              </w:rPr>
              <w:t xml:space="preserve">, </w:t>
            </w:r>
            <w:proofErr w:type="spellStart"/>
            <w:r w:rsidRPr="00120504">
              <w:rPr>
                <w:rFonts w:eastAsia="Calibri"/>
                <w:sz w:val="20"/>
                <w:lang w:val="fr-CA"/>
              </w:rPr>
              <w:t>Gillese</w:t>
            </w:r>
            <w:proofErr w:type="spellEnd"/>
            <w:r w:rsidRPr="00120504">
              <w:rPr>
                <w:rFonts w:eastAsia="Calibri"/>
                <w:sz w:val="20"/>
                <w:lang w:val="fr-CA"/>
              </w:rPr>
              <w:t xml:space="preserve"> et Armstrong)</w:t>
            </w:r>
          </w:p>
          <w:p w:rsidR="00BA4F25" w:rsidRPr="00120504" w:rsidRDefault="00BA4F25" w:rsidP="003261ED">
            <w:pPr>
              <w:jc w:val="both"/>
              <w:rPr>
                <w:rFonts w:eastAsia="Calibri"/>
                <w:sz w:val="20"/>
                <w:lang w:val="fr-CA"/>
              </w:rPr>
            </w:pPr>
          </w:p>
        </w:tc>
        <w:tc>
          <w:tcPr>
            <w:tcW w:w="243" w:type="pct"/>
          </w:tcPr>
          <w:p w:rsidR="00BA4F25" w:rsidRPr="00120504" w:rsidRDefault="00BA4F25" w:rsidP="003261ED">
            <w:pPr>
              <w:jc w:val="both"/>
              <w:rPr>
                <w:rFonts w:eastAsia="Calibri"/>
                <w:sz w:val="20"/>
                <w:lang w:val="fr-CA"/>
              </w:rPr>
            </w:pPr>
          </w:p>
        </w:tc>
        <w:tc>
          <w:tcPr>
            <w:tcW w:w="2330" w:type="pct"/>
          </w:tcPr>
          <w:p w:rsidR="00BA4F25" w:rsidRPr="00120504" w:rsidRDefault="00BA4F25" w:rsidP="003261ED">
            <w:pPr>
              <w:jc w:val="both"/>
              <w:rPr>
                <w:rFonts w:eastAsia="Calibri"/>
                <w:sz w:val="20"/>
                <w:lang w:val="fr-CA"/>
              </w:rPr>
            </w:pPr>
            <w:r w:rsidRPr="00120504">
              <w:rPr>
                <w:rFonts w:eastAsia="Calibri"/>
                <w:sz w:val="20"/>
                <w:lang w:val="fr-CA"/>
              </w:rPr>
              <w:t>Appel rejeté</w:t>
            </w:r>
          </w:p>
          <w:p w:rsidR="00BA4F25" w:rsidRPr="00120504" w:rsidRDefault="00BA4F25" w:rsidP="003261ED">
            <w:pPr>
              <w:jc w:val="both"/>
              <w:rPr>
                <w:rFonts w:eastAsia="Calibri"/>
                <w:sz w:val="20"/>
                <w:lang w:val="fr-CA"/>
              </w:rPr>
            </w:pPr>
          </w:p>
        </w:tc>
      </w:tr>
      <w:tr w:rsidR="00BA4F25" w:rsidRPr="00120504" w:rsidTr="003261ED">
        <w:tc>
          <w:tcPr>
            <w:tcW w:w="2427" w:type="pct"/>
          </w:tcPr>
          <w:p w:rsidR="00BA4F25" w:rsidRPr="00120504" w:rsidRDefault="00BA4F25" w:rsidP="003261ED">
            <w:pPr>
              <w:jc w:val="both"/>
              <w:rPr>
                <w:rFonts w:eastAsia="Calibri"/>
                <w:sz w:val="20"/>
                <w:lang w:val="fr-CA"/>
              </w:rPr>
            </w:pPr>
            <w:r w:rsidRPr="00120504">
              <w:rPr>
                <w:rFonts w:eastAsia="Calibri"/>
                <w:sz w:val="20"/>
                <w:lang w:val="fr-CA"/>
              </w:rPr>
              <w:t>29 septembre 2010</w:t>
            </w:r>
          </w:p>
          <w:p w:rsidR="00BA4F25" w:rsidRPr="00120504" w:rsidRDefault="00BA4F25" w:rsidP="003261ED">
            <w:pPr>
              <w:jc w:val="both"/>
              <w:rPr>
                <w:rFonts w:eastAsia="Calibri"/>
                <w:sz w:val="20"/>
                <w:lang w:val="fr-CA"/>
              </w:rPr>
            </w:pPr>
            <w:r w:rsidRPr="00120504">
              <w:rPr>
                <w:rFonts w:eastAsia="Calibri"/>
                <w:sz w:val="20"/>
                <w:lang w:val="fr-CA"/>
              </w:rPr>
              <w:t>Cour suprême du Canada</w:t>
            </w:r>
          </w:p>
        </w:tc>
        <w:tc>
          <w:tcPr>
            <w:tcW w:w="243" w:type="pct"/>
          </w:tcPr>
          <w:p w:rsidR="00BA4F25" w:rsidRPr="00120504" w:rsidRDefault="00BA4F25" w:rsidP="003261ED">
            <w:pPr>
              <w:jc w:val="both"/>
              <w:rPr>
                <w:rFonts w:eastAsia="Calibri"/>
                <w:sz w:val="20"/>
                <w:lang w:val="fr-CA"/>
              </w:rPr>
            </w:pPr>
          </w:p>
        </w:tc>
        <w:tc>
          <w:tcPr>
            <w:tcW w:w="2330" w:type="pct"/>
          </w:tcPr>
          <w:p w:rsidR="00BA4F25" w:rsidRPr="00120504" w:rsidRDefault="00BA4F25" w:rsidP="003261ED">
            <w:pPr>
              <w:jc w:val="both"/>
              <w:rPr>
                <w:rFonts w:eastAsia="Calibri"/>
                <w:sz w:val="20"/>
                <w:lang w:val="fr-CA"/>
              </w:rPr>
            </w:pPr>
            <w:r w:rsidRPr="00120504">
              <w:rPr>
                <w:rFonts w:eastAsia="Calibri"/>
                <w:sz w:val="20"/>
                <w:lang w:val="fr-CA"/>
              </w:rPr>
              <w:t>Demande d’autorisation d’appel, déposée</w:t>
            </w:r>
          </w:p>
          <w:p w:rsidR="00BA4F25" w:rsidRPr="00120504" w:rsidRDefault="00BA4F25" w:rsidP="003261ED">
            <w:pPr>
              <w:jc w:val="both"/>
              <w:rPr>
                <w:rFonts w:eastAsia="Calibri"/>
                <w:sz w:val="20"/>
                <w:lang w:val="fr-CA"/>
              </w:rPr>
            </w:pPr>
          </w:p>
        </w:tc>
      </w:tr>
    </w:tbl>
    <w:p w:rsidR="004704BD" w:rsidRDefault="004704BD" w:rsidP="004704BD">
      <w:pPr>
        <w:rPr>
          <w:sz w:val="20"/>
          <w:szCs w:val="20"/>
          <w:lang w:val="fr-CA"/>
        </w:rPr>
      </w:pPr>
    </w:p>
    <w:p w:rsidR="004704BD" w:rsidRDefault="0004334C" w:rsidP="004704BD">
      <w:pPr>
        <w:rPr>
          <w:sz w:val="20"/>
          <w:szCs w:val="20"/>
          <w:lang w:val="fr-CA"/>
        </w:rPr>
      </w:pPr>
      <w:r w:rsidRPr="0004334C">
        <w:rPr>
          <w:sz w:val="20"/>
          <w:szCs w:val="20"/>
          <w:lang w:val="fr-CA"/>
        </w:rPr>
        <w:pict>
          <v:rect id="_x0000_i1057" style="width:2in;height:1pt" o:hrpct="0" o:hralign="center" o:hrstd="t" o:hrnoshade="t" o:hr="t" fillcolor="black [3213]" stroked="f"/>
        </w:pict>
      </w:r>
    </w:p>
    <w:p w:rsidR="004704BD" w:rsidRDefault="004704BD" w:rsidP="008D292F">
      <w:pPr>
        <w:rPr>
          <w:sz w:val="20"/>
          <w:szCs w:val="20"/>
        </w:rPr>
      </w:pPr>
    </w:p>
    <w:p w:rsidR="00430835" w:rsidRPr="00C50A5C" w:rsidRDefault="00430835" w:rsidP="00430835">
      <w:pPr>
        <w:ind w:left="1440" w:hanging="1440"/>
        <w:jc w:val="both"/>
        <w:rPr>
          <w:sz w:val="20"/>
          <w:szCs w:val="20"/>
        </w:rPr>
      </w:pPr>
      <w:r w:rsidRPr="00C50A5C">
        <w:rPr>
          <w:b/>
          <w:sz w:val="20"/>
          <w:szCs w:val="20"/>
        </w:rPr>
        <w:t>33</w:t>
      </w:r>
      <w:r>
        <w:rPr>
          <w:b/>
          <w:sz w:val="20"/>
          <w:szCs w:val="20"/>
        </w:rPr>
        <w:t>92</w:t>
      </w:r>
      <w:r w:rsidRPr="00C50A5C">
        <w:rPr>
          <w:b/>
          <w:sz w:val="20"/>
          <w:szCs w:val="20"/>
        </w:rPr>
        <w:t>0</w:t>
      </w:r>
      <w:r w:rsidRPr="00C50A5C">
        <w:rPr>
          <w:sz w:val="20"/>
          <w:szCs w:val="20"/>
        </w:rPr>
        <w:tab/>
      </w:r>
      <w:proofErr w:type="spellStart"/>
      <w:r w:rsidRPr="00430835">
        <w:rPr>
          <w:rFonts w:eastAsia="Calibri"/>
          <w:b/>
          <w:sz w:val="20"/>
          <w:u w:val="single"/>
        </w:rPr>
        <w:t>Gurbaksh</w:t>
      </w:r>
      <w:proofErr w:type="spellEnd"/>
      <w:r w:rsidRPr="00430835">
        <w:rPr>
          <w:rFonts w:eastAsia="Calibri"/>
          <w:b/>
          <w:sz w:val="20"/>
          <w:u w:val="single"/>
        </w:rPr>
        <w:t xml:space="preserve"> </w:t>
      </w:r>
      <w:proofErr w:type="spellStart"/>
      <w:r w:rsidRPr="00430835">
        <w:rPr>
          <w:rFonts w:eastAsia="Calibri"/>
          <w:b/>
          <w:sz w:val="20"/>
          <w:u w:val="single"/>
        </w:rPr>
        <w:t>Kaur</w:t>
      </w:r>
      <w:proofErr w:type="spellEnd"/>
      <w:r w:rsidRPr="00430835">
        <w:rPr>
          <w:rFonts w:eastAsia="Calibri"/>
          <w:b/>
          <w:sz w:val="20"/>
          <w:u w:val="single"/>
        </w:rPr>
        <w:t xml:space="preserve"> </w:t>
      </w:r>
      <w:proofErr w:type="spellStart"/>
      <w:r w:rsidRPr="00430835">
        <w:rPr>
          <w:rFonts w:eastAsia="Calibri"/>
          <w:b/>
          <w:sz w:val="20"/>
          <w:u w:val="single"/>
        </w:rPr>
        <w:t>Dhaliwal</w:t>
      </w:r>
      <w:proofErr w:type="spellEnd"/>
      <w:r w:rsidRPr="00430835">
        <w:rPr>
          <w:rFonts w:eastAsia="Calibri"/>
          <w:b/>
          <w:sz w:val="20"/>
          <w:u w:val="single"/>
        </w:rPr>
        <w:t xml:space="preserve">, </w:t>
      </w:r>
      <w:proofErr w:type="spellStart"/>
      <w:r w:rsidRPr="00430835">
        <w:rPr>
          <w:rFonts w:eastAsia="Calibri"/>
          <w:b/>
          <w:sz w:val="20"/>
          <w:u w:val="single"/>
        </w:rPr>
        <w:t>Devinder</w:t>
      </w:r>
      <w:proofErr w:type="spellEnd"/>
      <w:r w:rsidRPr="00430835">
        <w:rPr>
          <w:rFonts w:eastAsia="Calibri"/>
          <w:b/>
          <w:sz w:val="20"/>
          <w:u w:val="single"/>
        </w:rPr>
        <w:t xml:space="preserve"> </w:t>
      </w:r>
      <w:proofErr w:type="spellStart"/>
      <w:r w:rsidRPr="00430835">
        <w:rPr>
          <w:rFonts w:eastAsia="Calibri"/>
          <w:b/>
          <w:sz w:val="20"/>
          <w:u w:val="single"/>
        </w:rPr>
        <w:t>Kaur</w:t>
      </w:r>
      <w:proofErr w:type="spellEnd"/>
      <w:r w:rsidRPr="00430835">
        <w:rPr>
          <w:rFonts w:eastAsia="Calibri"/>
          <w:b/>
          <w:sz w:val="20"/>
          <w:u w:val="single"/>
        </w:rPr>
        <w:t xml:space="preserve"> </w:t>
      </w:r>
      <w:proofErr w:type="spellStart"/>
      <w:r w:rsidRPr="00430835">
        <w:rPr>
          <w:rFonts w:eastAsia="Calibri"/>
          <w:b/>
          <w:sz w:val="20"/>
          <w:u w:val="single"/>
        </w:rPr>
        <w:t>Dhaliwal</w:t>
      </w:r>
      <w:proofErr w:type="spellEnd"/>
      <w:r w:rsidRPr="00430835">
        <w:rPr>
          <w:rFonts w:eastAsia="Calibri"/>
          <w:b/>
          <w:sz w:val="20"/>
          <w:u w:val="single"/>
        </w:rPr>
        <w:t xml:space="preserve">, </w:t>
      </w:r>
      <w:proofErr w:type="spellStart"/>
      <w:r w:rsidRPr="00430835">
        <w:rPr>
          <w:rFonts w:eastAsia="Calibri"/>
          <w:b/>
          <w:sz w:val="20"/>
          <w:u w:val="single"/>
        </w:rPr>
        <w:t>Harcharan</w:t>
      </w:r>
      <w:proofErr w:type="spellEnd"/>
      <w:r w:rsidRPr="00430835">
        <w:rPr>
          <w:rFonts w:eastAsia="Calibri"/>
          <w:b/>
          <w:sz w:val="20"/>
          <w:u w:val="single"/>
        </w:rPr>
        <w:t xml:space="preserve"> Singh </w:t>
      </w:r>
      <w:proofErr w:type="spellStart"/>
      <w:r w:rsidRPr="00430835">
        <w:rPr>
          <w:rFonts w:eastAsia="Calibri"/>
          <w:b/>
          <w:sz w:val="20"/>
          <w:u w:val="single"/>
        </w:rPr>
        <w:t>Dhaliwal</w:t>
      </w:r>
      <w:proofErr w:type="spellEnd"/>
      <w:r w:rsidRPr="00430835">
        <w:rPr>
          <w:rFonts w:eastAsia="Calibri"/>
          <w:b/>
          <w:sz w:val="20"/>
          <w:u w:val="single"/>
        </w:rPr>
        <w:t xml:space="preserve">, </w:t>
      </w:r>
      <w:proofErr w:type="spellStart"/>
      <w:r w:rsidRPr="00430835">
        <w:rPr>
          <w:rFonts w:eastAsia="Calibri"/>
          <w:b/>
          <w:sz w:val="20"/>
          <w:u w:val="single"/>
        </w:rPr>
        <w:t>Gurmeet</w:t>
      </w:r>
      <w:proofErr w:type="spellEnd"/>
      <w:r w:rsidRPr="00430835">
        <w:rPr>
          <w:rFonts w:eastAsia="Calibri"/>
          <w:b/>
          <w:sz w:val="20"/>
          <w:u w:val="single"/>
        </w:rPr>
        <w:t xml:space="preserve"> Singh </w:t>
      </w:r>
      <w:proofErr w:type="spellStart"/>
      <w:r w:rsidRPr="00430835">
        <w:rPr>
          <w:rFonts w:eastAsia="Calibri"/>
          <w:b/>
          <w:sz w:val="20"/>
          <w:u w:val="single"/>
        </w:rPr>
        <w:t>Dhaliwal</w:t>
      </w:r>
      <w:proofErr w:type="spellEnd"/>
      <w:r w:rsidRPr="00430835">
        <w:rPr>
          <w:rFonts w:eastAsia="Calibri"/>
          <w:b/>
          <w:sz w:val="20"/>
          <w:u w:val="single"/>
        </w:rPr>
        <w:t xml:space="preserve"> and </w:t>
      </w:r>
      <w:proofErr w:type="spellStart"/>
      <w:r w:rsidRPr="00430835">
        <w:rPr>
          <w:rFonts w:eastAsia="Calibri"/>
          <w:b/>
          <w:sz w:val="20"/>
          <w:u w:val="single"/>
        </w:rPr>
        <w:t>Jagtar</w:t>
      </w:r>
      <w:proofErr w:type="spellEnd"/>
      <w:r w:rsidRPr="00430835">
        <w:rPr>
          <w:rFonts w:eastAsia="Calibri"/>
          <w:b/>
          <w:sz w:val="20"/>
          <w:u w:val="single"/>
        </w:rPr>
        <w:t xml:space="preserve"> Singh </w:t>
      </w:r>
      <w:proofErr w:type="spellStart"/>
      <w:r w:rsidRPr="00430835">
        <w:rPr>
          <w:rFonts w:eastAsia="Calibri"/>
          <w:b/>
          <w:sz w:val="20"/>
          <w:u w:val="single"/>
        </w:rPr>
        <w:t>Dhaliwal</w:t>
      </w:r>
      <w:proofErr w:type="spellEnd"/>
      <w:r w:rsidRPr="00430835">
        <w:rPr>
          <w:rFonts w:eastAsia="Calibri"/>
          <w:b/>
          <w:sz w:val="20"/>
          <w:u w:val="single"/>
        </w:rPr>
        <w:t xml:space="preserve"> v. David Ross Lindsay, Richard Steven Hart, Lloyd Colin Smith, </w:t>
      </w:r>
      <w:proofErr w:type="spellStart"/>
      <w:r w:rsidRPr="00430835">
        <w:rPr>
          <w:rFonts w:eastAsia="Calibri"/>
          <w:b/>
          <w:sz w:val="20"/>
          <w:u w:val="single"/>
        </w:rPr>
        <w:t>Athanasios</w:t>
      </w:r>
      <w:proofErr w:type="spellEnd"/>
      <w:r w:rsidRPr="00430835">
        <w:rPr>
          <w:rFonts w:eastAsia="Calibri"/>
          <w:b/>
          <w:sz w:val="20"/>
          <w:u w:val="single"/>
        </w:rPr>
        <w:t xml:space="preserve"> </w:t>
      </w:r>
      <w:proofErr w:type="spellStart"/>
      <w:r w:rsidRPr="00430835">
        <w:rPr>
          <w:rFonts w:eastAsia="Calibri"/>
          <w:b/>
          <w:sz w:val="20"/>
          <w:u w:val="single"/>
        </w:rPr>
        <w:t>Harmantas</w:t>
      </w:r>
      <w:proofErr w:type="spellEnd"/>
      <w:r w:rsidRPr="00430835">
        <w:rPr>
          <w:rFonts w:eastAsia="Calibri"/>
          <w:b/>
          <w:sz w:val="20"/>
          <w:u w:val="single"/>
        </w:rPr>
        <w:t xml:space="preserve">, Jamie Stephen </w:t>
      </w:r>
      <w:proofErr w:type="spellStart"/>
      <w:r w:rsidRPr="00430835">
        <w:rPr>
          <w:rFonts w:eastAsia="Calibri"/>
          <w:b/>
          <w:sz w:val="20"/>
          <w:u w:val="single"/>
        </w:rPr>
        <w:t>Cyriac</w:t>
      </w:r>
      <w:proofErr w:type="spellEnd"/>
      <w:r w:rsidRPr="00430835">
        <w:rPr>
          <w:rFonts w:eastAsia="Calibri"/>
          <w:b/>
          <w:sz w:val="20"/>
          <w:u w:val="single"/>
        </w:rPr>
        <w:t xml:space="preserve"> and St. Joseph's Health Centre</w:t>
      </w:r>
      <w:r>
        <w:rPr>
          <w:rFonts w:eastAsia="Calibri"/>
          <w:b/>
          <w:sz w:val="20"/>
        </w:rPr>
        <w:t xml:space="preserve"> </w:t>
      </w:r>
      <w:r w:rsidRPr="00120504">
        <w:rPr>
          <w:rFonts w:eastAsia="Calibri"/>
          <w:sz w:val="20"/>
        </w:rPr>
        <w:t>(Ont.) (Civil) (By Leave)</w:t>
      </w:r>
    </w:p>
    <w:p w:rsidR="00430835" w:rsidRPr="00C50A5C" w:rsidRDefault="00430835" w:rsidP="00430835">
      <w:pPr>
        <w:rPr>
          <w:sz w:val="20"/>
          <w:szCs w:val="20"/>
        </w:rPr>
      </w:pPr>
    </w:p>
    <w:p w:rsidR="00430835" w:rsidRPr="00C50A5C" w:rsidRDefault="00430835" w:rsidP="00430835">
      <w:pPr>
        <w:ind w:left="1440" w:hanging="1440"/>
        <w:rPr>
          <w:sz w:val="20"/>
          <w:szCs w:val="20"/>
        </w:rPr>
      </w:pPr>
      <w:proofErr w:type="gramStart"/>
      <w:r w:rsidRPr="00C50A5C">
        <w:rPr>
          <w:sz w:val="20"/>
          <w:szCs w:val="20"/>
        </w:rPr>
        <w:t>Coram :</w:t>
      </w:r>
      <w:proofErr w:type="gramEnd"/>
      <w:r w:rsidRPr="00C50A5C">
        <w:rPr>
          <w:sz w:val="20"/>
          <w:szCs w:val="20"/>
        </w:rPr>
        <w:tab/>
      </w:r>
      <w:proofErr w:type="spellStart"/>
      <w:r w:rsidRPr="00C50A5C">
        <w:rPr>
          <w:sz w:val="20"/>
          <w:szCs w:val="20"/>
          <w:u w:val="single"/>
        </w:rPr>
        <w:t>L</w:t>
      </w:r>
      <w:r>
        <w:rPr>
          <w:sz w:val="20"/>
          <w:szCs w:val="20"/>
          <w:u w:val="single"/>
        </w:rPr>
        <w:t>ebe</w:t>
      </w:r>
      <w:r w:rsidRPr="00C50A5C">
        <w:rPr>
          <w:sz w:val="20"/>
          <w:szCs w:val="20"/>
          <w:u w:val="single"/>
        </w:rPr>
        <w:t>l</w:t>
      </w:r>
      <w:proofErr w:type="spellEnd"/>
      <w:r>
        <w:rPr>
          <w:sz w:val="20"/>
          <w:szCs w:val="20"/>
          <w:u w:val="single"/>
        </w:rPr>
        <w:t xml:space="preserve">, </w:t>
      </w:r>
      <w:proofErr w:type="spellStart"/>
      <w:r>
        <w:rPr>
          <w:sz w:val="20"/>
          <w:szCs w:val="20"/>
          <w:u w:val="single"/>
        </w:rPr>
        <w:t>Deschamps</w:t>
      </w:r>
      <w:proofErr w:type="spellEnd"/>
      <w:r>
        <w:rPr>
          <w:sz w:val="20"/>
          <w:szCs w:val="20"/>
          <w:u w:val="single"/>
        </w:rPr>
        <w:t xml:space="preserve"> </w:t>
      </w:r>
      <w:r w:rsidRPr="00C50A5C">
        <w:rPr>
          <w:sz w:val="20"/>
          <w:szCs w:val="20"/>
          <w:u w:val="single"/>
        </w:rPr>
        <w:t xml:space="preserve">and </w:t>
      </w:r>
      <w:proofErr w:type="spellStart"/>
      <w:r>
        <w:rPr>
          <w:sz w:val="20"/>
          <w:szCs w:val="20"/>
          <w:u w:val="single"/>
        </w:rPr>
        <w:t>Charron</w:t>
      </w:r>
      <w:proofErr w:type="spellEnd"/>
      <w:r w:rsidRPr="00C50A5C">
        <w:rPr>
          <w:sz w:val="20"/>
          <w:szCs w:val="20"/>
          <w:u w:val="single"/>
        </w:rPr>
        <w:t xml:space="preserve"> JJ.</w:t>
      </w:r>
    </w:p>
    <w:p w:rsidR="00430835" w:rsidRPr="00C50A5C" w:rsidRDefault="00430835" w:rsidP="00430835">
      <w:pPr>
        <w:jc w:val="both"/>
        <w:rPr>
          <w:sz w:val="20"/>
          <w:szCs w:val="20"/>
        </w:rPr>
      </w:pPr>
    </w:p>
    <w:p w:rsidR="004704BD" w:rsidRDefault="00430835" w:rsidP="00430835">
      <w:pPr>
        <w:jc w:val="both"/>
        <w:rPr>
          <w:sz w:val="20"/>
          <w:szCs w:val="20"/>
        </w:rPr>
      </w:pPr>
      <w:r>
        <w:rPr>
          <w:sz w:val="20"/>
          <w:szCs w:val="20"/>
        </w:rPr>
        <w:tab/>
      </w:r>
      <w:r w:rsidRPr="005C7FCB">
        <w:rPr>
          <w:sz w:val="20"/>
          <w:szCs w:val="20"/>
        </w:rPr>
        <w:t>The motion for an extension of time to serve and file the application for leave to appeal is granted. The application for leave to appeal from the judgment of the Court of Appeal for Ontario, Number C51341, 2010 ONCA 493, dated July 7, 2010, is dismissed with costs.</w:t>
      </w:r>
    </w:p>
    <w:p w:rsidR="00430835" w:rsidRDefault="00430835" w:rsidP="00430835">
      <w:pPr>
        <w:jc w:val="both"/>
        <w:rPr>
          <w:sz w:val="20"/>
          <w:szCs w:val="20"/>
        </w:rPr>
      </w:pPr>
    </w:p>
    <w:p w:rsidR="00430835" w:rsidRDefault="00430835" w:rsidP="00430835">
      <w:pPr>
        <w:jc w:val="both"/>
        <w:rPr>
          <w:sz w:val="20"/>
          <w:szCs w:val="20"/>
          <w:lang w:val="fr-CA"/>
        </w:rPr>
      </w:pPr>
      <w:r w:rsidRPr="005F3D4C">
        <w:rPr>
          <w:sz w:val="20"/>
          <w:szCs w:val="20"/>
        </w:rPr>
        <w:tab/>
      </w:r>
      <w:r w:rsidRPr="005C7FCB">
        <w:rPr>
          <w:sz w:val="20"/>
          <w:szCs w:val="20"/>
          <w:lang w:val="fr-CA"/>
        </w:rPr>
        <w:t>La requête en prorogation du délai de signification et de dépôt de la demande d’autorisation d’appel est accordée. La demande d’autorisation d’appel de l’arrêt de la Cour d’appel de l’Ontario, numéro C51341, 2010 ONCA 493, daté du 7 juillet 2010, est rejetée avec dépens.</w:t>
      </w:r>
    </w:p>
    <w:p w:rsidR="00430835" w:rsidRPr="00430835" w:rsidRDefault="00430835" w:rsidP="00430835">
      <w:pPr>
        <w:jc w:val="both"/>
        <w:rPr>
          <w:sz w:val="20"/>
          <w:szCs w:val="20"/>
          <w:lang w:val="fr-CA"/>
        </w:rPr>
      </w:pPr>
    </w:p>
    <w:p w:rsidR="004704BD" w:rsidRDefault="004704BD" w:rsidP="004704BD">
      <w:pPr>
        <w:rPr>
          <w:sz w:val="20"/>
          <w:szCs w:val="20"/>
        </w:rPr>
      </w:pPr>
      <w:r>
        <w:rPr>
          <w:sz w:val="20"/>
          <w:szCs w:val="20"/>
          <w:u w:val="single"/>
        </w:rPr>
        <w:t>CASE SUMMARY</w:t>
      </w:r>
    </w:p>
    <w:p w:rsidR="004704BD" w:rsidRDefault="004704BD" w:rsidP="004704BD">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014ADB" w:rsidRPr="00120504" w:rsidTr="003261ED">
        <w:tc>
          <w:tcPr>
            <w:tcW w:w="5000" w:type="pct"/>
            <w:gridSpan w:val="3"/>
          </w:tcPr>
          <w:p w:rsidR="00014ADB" w:rsidRPr="00120504" w:rsidRDefault="00014ADB" w:rsidP="003261ED">
            <w:pPr>
              <w:jc w:val="both"/>
              <w:rPr>
                <w:rFonts w:eastAsia="Calibri"/>
                <w:sz w:val="20"/>
              </w:rPr>
            </w:pPr>
            <w:r w:rsidRPr="00120504">
              <w:rPr>
                <w:rFonts w:eastAsia="Calibri"/>
                <w:sz w:val="20"/>
              </w:rPr>
              <w:t>Limitation of actions – Equity – Discoverability – Fraudulent concealment – Whether the Court of Appeal erred in law by upholding the decision of the motions judge in which the motions judge conflated the equitable doctrine of fraudulent concealment with the separate and distinct doctrine of discoverability – Whether the Court of Appeal erred in law by upholding the decision of the motions judge in which the applicants’ claim for equitable relief was dismissed summarily and without regard to where the equities in the case may lie.</w:t>
            </w:r>
          </w:p>
          <w:p w:rsidR="00014ADB" w:rsidRPr="00120504" w:rsidRDefault="00014ADB" w:rsidP="003261ED">
            <w:pPr>
              <w:jc w:val="both"/>
              <w:rPr>
                <w:rFonts w:eastAsia="Calibri"/>
                <w:sz w:val="20"/>
              </w:rPr>
            </w:pPr>
          </w:p>
        </w:tc>
      </w:tr>
      <w:tr w:rsidR="00014ADB" w:rsidRPr="00120504" w:rsidTr="003261ED">
        <w:tc>
          <w:tcPr>
            <w:tcW w:w="5000" w:type="pct"/>
            <w:gridSpan w:val="3"/>
          </w:tcPr>
          <w:p w:rsidR="00014ADB" w:rsidRPr="00120504" w:rsidRDefault="00014ADB" w:rsidP="003261ED">
            <w:pPr>
              <w:jc w:val="both"/>
              <w:rPr>
                <w:rFonts w:eastAsia="Calibri"/>
                <w:sz w:val="20"/>
              </w:rPr>
            </w:pPr>
            <w:r w:rsidRPr="00120504">
              <w:rPr>
                <w:rFonts w:eastAsia="Calibri"/>
                <w:sz w:val="20"/>
              </w:rPr>
              <w:t xml:space="preserve">The applicant Mrs. </w:t>
            </w:r>
            <w:proofErr w:type="spellStart"/>
            <w:r w:rsidRPr="00120504">
              <w:rPr>
                <w:rFonts w:eastAsia="Calibri"/>
                <w:sz w:val="20"/>
              </w:rPr>
              <w:t>Gurbaksh</w:t>
            </w:r>
            <w:proofErr w:type="spellEnd"/>
            <w:r w:rsidRPr="00120504">
              <w:rPr>
                <w:rFonts w:eastAsia="Calibri"/>
                <w:sz w:val="20"/>
              </w:rPr>
              <w:t xml:space="preserve"> </w:t>
            </w:r>
            <w:proofErr w:type="spellStart"/>
            <w:r w:rsidRPr="00120504">
              <w:rPr>
                <w:rFonts w:eastAsia="Calibri"/>
                <w:sz w:val="20"/>
              </w:rPr>
              <w:t>Dhaliwal</w:t>
            </w:r>
            <w:proofErr w:type="spellEnd"/>
            <w:r w:rsidRPr="00120504">
              <w:rPr>
                <w:rFonts w:eastAsia="Calibri"/>
                <w:sz w:val="20"/>
              </w:rPr>
              <w:t xml:space="preserve"> underwent a total abdominal hysterectomy at St. Joseph’s Health on December 5, 2003.  Her post-operative condition deteriorated seriously and she underwent a second surgery on December 10, 2003, then a third surgical procedure on January 1, 2004. She was discharged from hospital on February 26, 2004.</w:t>
            </w:r>
          </w:p>
          <w:p w:rsidR="00014ADB" w:rsidRPr="00120504" w:rsidRDefault="00014ADB" w:rsidP="003261ED">
            <w:pPr>
              <w:jc w:val="both"/>
              <w:rPr>
                <w:rFonts w:eastAsia="Calibri"/>
                <w:sz w:val="20"/>
              </w:rPr>
            </w:pPr>
          </w:p>
          <w:p w:rsidR="00014ADB" w:rsidRPr="00120504" w:rsidRDefault="00014ADB" w:rsidP="003261ED">
            <w:pPr>
              <w:jc w:val="both"/>
              <w:rPr>
                <w:rFonts w:eastAsia="Calibri"/>
                <w:sz w:val="20"/>
              </w:rPr>
            </w:pPr>
            <w:r w:rsidRPr="00120504">
              <w:rPr>
                <w:rFonts w:eastAsia="Calibri"/>
                <w:sz w:val="20"/>
              </w:rPr>
              <w:t xml:space="preserve">In December 2004, she commenced an action against the hospital and the physicians who were involved in the first surgery. The hospital records did not disclose the individual respondents’ involvement in her care, but, by December 7, 2005, she had also received the decoded OHIP statements documenting the involvement of two of the respondents in her treatment. On April 24, 2008, she commenced a second action against the respondents -- the hospital and the medical staff (doctors and a resident) who had provided care to Mrs. </w:t>
            </w:r>
            <w:proofErr w:type="spellStart"/>
            <w:r w:rsidRPr="00120504">
              <w:rPr>
                <w:rFonts w:eastAsia="Calibri"/>
                <w:sz w:val="20"/>
              </w:rPr>
              <w:t>Dhaliwal</w:t>
            </w:r>
            <w:proofErr w:type="spellEnd"/>
            <w:r w:rsidRPr="00120504">
              <w:rPr>
                <w:rFonts w:eastAsia="Calibri"/>
                <w:sz w:val="20"/>
              </w:rPr>
              <w:t xml:space="preserve"> during the second and third surgeries. The latter action is now at issue.</w:t>
            </w:r>
          </w:p>
          <w:p w:rsidR="00014ADB" w:rsidRPr="00120504" w:rsidRDefault="00014ADB" w:rsidP="003261ED">
            <w:pPr>
              <w:jc w:val="both"/>
              <w:rPr>
                <w:rFonts w:eastAsia="Calibri"/>
                <w:sz w:val="20"/>
              </w:rPr>
            </w:pPr>
          </w:p>
          <w:p w:rsidR="00014ADB" w:rsidRPr="00120504" w:rsidRDefault="00014ADB" w:rsidP="003261ED">
            <w:pPr>
              <w:jc w:val="both"/>
              <w:rPr>
                <w:rFonts w:eastAsia="Calibri"/>
                <w:sz w:val="20"/>
              </w:rPr>
            </w:pPr>
            <w:r w:rsidRPr="00120504">
              <w:rPr>
                <w:rFonts w:eastAsia="Calibri"/>
                <w:sz w:val="20"/>
              </w:rPr>
              <w:t>The respondents sought summary judgment on the ground that the two-year limitation period had expired before the instant action was commenced. The motions judge granted the motion for summary judgment, and dismissed the action. The Court of Appeal found that she had made no errors with respect to discoverability, fraudulent concealment, or the expiry of the limitations period. The appeal was dismissed.</w:t>
            </w:r>
          </w:p>
          <w:p w:rsidR="00014ADB" w:rsidRPr="00120504" w:rsidRDefault="00014ADB" w:rsidP="003261ED">
            <w:pPr>
              <w:jc w:val="both"/>
              <w:rPr>
                <w:rFonts w:eastAsia="Calibri"/>
                <w:sz w:val="20"/>
              </w:rPr>
            </w:pPr>
          </w:p>
        </w:tc>
      </w:tr>
      <w:tr w:rsidR="00014ADB" w:rsidRPr="00120504" w:rsidTr="003261ED">
        <w:tc>
          <w:tcPr>
            <w:tcW w:w="2427" w:type="pct"/>
          </w:tcPr>
          <w:p w:rsidR="00014ADB" w:rsidRPr="00120504" w:rsidRDefault="00014ADB" w:rsidP="003261ED">
            <w:pPr>
              <w:jc w:val="both"/>
              <w:rPr>
                <w:rFonts w:eastAsia="Calibri"/>
                <w:sz w:val="20"/>
              </w:rPr>
            </w:pPr>
            <w:r w:rsidRPr="00120504">
              <w:rPr>
                <w:rFonts w:eastAsia="Calibri"/>
                <w:sz w:val="20"/>
              </w:rPr>
              <w:lastRenderedPageBreak/>
              <w:t>November 2, 2009</w:t>
            </w:r>
          </w:p>
          <w:p w:rsidR="00014ADB" w:rsidRPr="00120504" w:rsidRDefault="00014ADB" w:rsidP="003261ED">
            <w:pPr>
              <w:jc w:val="both"/>
              <w:rPr>
                <w:rFonts w:eastAsia="Calibri"/>
                <w:sz w:val="20"/>
              </w:rPr>
            </w:pPr>
            <w:r w:rsidRPr="00120504">
              <w:rPr>
                <w:rFonts w:eastAsia="Calibri"/>
                <w:sz w:val="20"/>
              </w:rPr>
              <w:t>Ontario Superior Court of Justice</w:t>
            </w:r>
          </w:p>
          <w:p w:rsidR="00014ADB" w:rsidRPr="00120504" w:rsidRDefault="00014ADB" w:rsidP="003261ED">
            <w:pPr>
              <w:jc w:val="both"/>
              <w:rPr>
                <w:rFonts w:eastAsia="Calibri"/>
                <w:sz w:val="20"/>
              </w:rPr>
            </w:pPr>
            <w:r w:rsidRPr="00120504">
              <w:rPr>
                <w:rFonts w:eastAsia="Calibri"/>
                <w:sz w:val="20"/>
              </w:rPr>
              <w:t xml:space="preserve">(Young </w:t>
            </w:r>
            <w:proofErr w:type="spellStart"/>
            <w:r w:rsidRPr="00120504">
              <w:rPr>
                <w:rFonts w:eastAsia="Calibri"/>
                <w:sz w:val="20"/>
              </w:rPr>
              <w:t>Harvison</w:t>
            </w:r>
            <w:proofErr w:type="spellEnd"/>
            <w:r w:rsidRPr="00120504">
              <w:rPr>
                <w:rFonts w:eastAsia="Calibri"/>
                <w:sz w:val="20"/>
              </w:rPr>
              <w:t xml:space="preserve"> J.)</w:t>
            </w:r>
          </w:p>
          <w:p w:rsidR="00014ADB" w:rsidRPr="00120504" w:rsidRDefault="00014ADB" w:rsidP="003261ED">
            <w:pPr>
              <w:jc w:val="both"/>
              <w:rPr>
                <w:rFonts w:eastAsia="Calibri"/>
                <w:sz w:val="20"/>
              </w:rPr>
            </w:pPr>
            <w:r w:rsidRPr="00120504">
              <w:rPr>
                <w:rFonts w:eastAsia="Calibri"/>
                <w:sz w:val="20"/>
              </w:rPr>
              <w:t xml:space="preserve">Citation: 2009 </w:t>
            </w:r>
            <w:proofErr w:type="spellStart"/>
            <w:r w:rsidRPr="00120504">
              <w:rPr>
                <w:rFonts w:eastAsia="Calibri"/>
                <w:sz w:val="20"/>
              </w:rPr>
              <w:t>CanLII</w:t>
            </w:r>
            <w:proofErr w:type="spellEnd"/>
            <w:r w:rsidRPr="00120504">
              <w:rPr>
                <w:rFonts w:eastAsia="Calibri"/>
                <w:sz w:val="20"/>
              </w:rPr>
              <w:t xml:space="preserve"> 60415</w:t>
            </w:r>
          </w:p>
          <w:p w:rsidR="00014ADB" w:rsidRPr="00120504" w:rsidRDefault="00014ADB" w:rsidP="003261ED">
            <w:pPr>
              <w:jc w:val="both"/>
              <w:rPr>
                <w:rFonts w:eastAsia="Calibri"/>
                <w:sz w:val="20"/>
              </w:rPr>
            </w:pPr>
          </w:p>
        </w:tc>
        <w:tc>
          <w:tcPr>
            <w:tcW w:w="243" w:type="pct"/>
          </w:tcPr>
          <w:p w:rsidR="00014ADB" w:rsidRPr="00120504" w:rsidRDefault="00014ADB" w:rsidP="003261ED">
            <w:pPr>
              <w:jc w:val="both"/>
              <w:rPr>
                <w:rFonts w:eastAsia="Calibri"/>
                <w:sz w:val="20"/>
              </w:rPr>
            </w:pPr>
          </w:p>
        </w:tc>
        <w:tc>
          <w:tcPr>
            <w:tcW w:w="2330" w:type="pct"/>
          </w:tcPr>
          <w:p w:rsidR="00014ADB" w:rsidRPr="00120504" w:rsidRDefault="00014ADB" w:rsidP="003261ED">
            <w:pPr>
              <w:jc w:val="both"/>
              <w:rPr>
                <w:rFonts w:eastAsia="Calibri"/>
                <w:sz w:val="20"/>
              </w:rPr>
            </w:pPr>
            <w:r w:rsidRPr="00120504">
              <w:rPr>
                <w:rFonts w:eastAsia="Calibri"/>
                <w:sz w:val="20"/>
              </w:rPr>
              <w:t>Motion for summary judgment granted; action dismissed</w:t>
            </w:r>
          </w:p>
          <w:p w:rsidR="00014ADB" w:rsidRPr="00120504" w:rsidRDefault="00014ADB" w:rsidP="003261ED">
            <w:pPr>
              <w:jc w:val="both"/>
              <w:rPr>
                <w:rFonts w:eastAsia="Calibri"/>
                <w:sz w:val="20"/>
              </w:rPr>
            </w:pPr>
          </w:p>
        </w:tc>
      </w:tr>
      <w:tr w:rsidR="00014ADB" w:rsidRPr="00120504" w:rsidTr="003261ED">
        <w:tc>
          <w:tcPr>
            <w:tcW w:w="2427" w:type="pct"/>
          </w:tcPr>
          <w:p w:rsidR="00014ADB" w:rsidRPr="00120504" w:rsidRDefault="00014ADB" w:rsidP="003261ED">
            <w:pPr>
              <w:jc w:val="both"/>
              <w:rPr>
                <w:rFonts w:eastAsia="Calibri"/>
                <w:sz w:val="20"/>
              </w:rPr>
            </w:pPr>
            <w:r w:rsidRPr="00120504">
              <w:rPr>
                <w:rFonts w:eastAsia="Calibri"/>
                <w:sz w:val="20"/>
              </w:rPr>
              <w:t>July 7, 2010</w:t>
            </w:r>
          </w:p>
          <w:p w:rsidR="00014ADB" w:rsidRPr="00120504" w:rsidRDefault="00014ADB" w:rsidP="003261ED">
            <w:pPr>
              <w:jc w:val="both"/>
              <w:rPr>
                <w:rFonts w:eastAsia="Calibri"/>
                <w:sz w:val="20"/>
              </w:rPr>
            </w:pPr>
            <w:r w:rsidRPr="00120504">
              <w:rPr>
                <w:rFonts w:eastAsia="Calibri"/>
                <w:sz w:val="20"/>
              </w:rPr>
              <w:t>Court of Appeal for Ontario</w:t>
            </w:r>
          </w:p>
          <w:p w:rsidR="00014ADB" w:rsidRPr="00120504" w:rsidRDefault="00014ADB" w:rsidP="003261ED">
            <w:pPr>
              <w:jc w:val="both"/>
              <w:rPr>
                <w:rFonts w:eastAsia="Calibri"/>
                <w:sz w:val="20"/>
              </w:rPr>
            </w:pPr>
            <w:r w:rsidRPr="00120504">
              <w:rPr>
                <w:rFonts w:eastAsia="Calibri"/>
                <w:sz w:val="20"/>
              </w:rPr>
              <w:t>(</w:t>
            </w:r>
            <w:proofErr w:type="spellStart"/>
            <w:r w:rsidRPr="00120504">
              <w:rPr>
                <w:rFonts w:eastAsia="Calibri"/>
                <w:sz w:val="20"/>
              </w:rPr>
              <w:t>MacPherson</w:t>
            </w:r>
            <w:proofErr w:type="spellEnd"/>
            <w:r w:rsidRPr="00120504">
              <w:rPr>
                <w:rFonts w:eastAsia="Calibri"/>
                <w:sz w:val="20"/>
              </w:rPr>
              <w:t xml:space="preserve">, </w:t>
            </w:r>
            <w:proofErr w:type="spellStart"/>
            <w:r w:rsidRPr="00120504">
              <w:rPr>
                <w:rFonts w:eastAsia="Calibri"/>
                <w:sz w:val="20"/>
              </w:rPr>
              <w:t>Cronk</w:t>
            </w:r>
            <w:proofErr w:type="spellEnd"/>
            <w:r w:rsidRPr="00120504">
              <w:rPr>
                <w:rFonts w:eastAsia="Calibri"/>
                <w:sz w:val="20"/>
              </w:rPr>
              <w:t xml:space="preserve">, </w:t>
            </w:r>
            <w:proofErr w:type="spellStart"/>
            <w:r w:rsidRPr="00120504">
              <w:rPr>
                <w:rFonts w:eastAsia="Calibri"/>
                <w:sz w:val="20"/>
              </w:rPr>
              <w:t>Karakatsanis</w:t>
            </w:r>
            <w:proofErr w:type="spellEnd"/>
            <w:r w:rsidRPr="00120504">
              <w:rPr>
                <w:rFonts w:eastAsia="Calibri"/>
                <w:sz w:val="20"/>
              </w:rPr>
              <w:t xml:space="preserve"> JJ.A.)</w:t>
            </w:r>
          </w:p>
          <w:p w:rsidR="00014ADB" w:rsidRPr="00120504" w:rsidRDefault="00014ADB" w:rsidP="003261ED">
            <w:pPr>
              <w:jc w:val="both"/>
              <w:rPr>
                <w:rFonts w:eastAsia="Calibri"/>
                <w:sz w:val="20"/>
              </w:rPr>
            </w:pPr>
            <w:r w:rsidRPr="00120504">
              <w:rPr>
                <w:rFonts w:eastAsia="Calibri"/>
                <w:sz w:val="20"/>
              </w:rPr>
              <w:t>Neutral citation: 2010 ONCA 493</w:t>
            </w:r>
          </w:p>
          <w:p w:rsidR="00014ADB" w:rsidRPr="00120504" w:rsidRDefault="00014ADB" w:rsidP="003261ED">
            <w:pPr>
              <w:jc w:val="both"/>
              <w:rPr>
                <w:rFonts w:eastAsia="Calibri"/>
                <w:sz w:val="20"/>
              </w:rPr>
            </w:pPr>
          </w:p>
        </w:tc>
        <w:tc>
          <w:tcPr>
            <w:tcW w:w="243" w:type="pct"/>
          </w:tcPr>
          <w:p w:rsidR="00014ADB" w:rsidRPr="00120504" w:rsidRDefault="00014ADB" w:rsidP="003261ED">
            <w:pPr>
              <w:jc w:val="both"/>
              <w:rPr>
                <w:rFonts w:eastAsia="Calibri"/>
                <w:sz w:val="20"/>
              </w:rPr>
            </w:pPr>
          </w:p>
        </w:tc>
        <w:tc>
          <w:tcPr>
            <w:tcW w:w="2330" w:type="pct"/>
          </w:tcPr>
          <w:p w:rsidR="00014ADB" w:rsidRPr="00120504" w:rsidRDefault="00014ADB" w:rsidP="003261ED">
            <w:pPr>
              <w:jc w:val="both"/>
              <w:rPr>
                <w:rFonts w:eastAsia="Calibri"/>
                <w:sz w:val="20"/>
              </w:rPr>
            </w:pPr>
            <w:r w:rsidRPr="00120504">
              <w:rPr>
                <w:rFonts w:eastAsia="Calibri"/>
                <w:sz w:val="20"/>
              </w:rPr>
              <w:t>Appeal dismissed</w:t>
            </w:r>
          </w:p>
          <w:p w:rsidR="00014ADB" w:rsidRPr="00120504" w:rsidRDefault="00014ADB" w:rsidP="003261ED">
            <w:pPr>
              <w:jc w:val="both"/>
              <w:rPr>
                <w:rFonts w:eastAsia="Calibri"/>
                <w:sz w:val="20"/>
              </w:rPr>
            </w:pPr>
          </w:p>
        </w:tc>
      </w:tr>
      <w:tr w:rsidR="00014ADB" w:rsidRPr="00120504" w:rsidTr="003261ED">
        <w:tc>
          <w:tcPr>
            <w:tcW w:w="2427" w:type="pct"/>
          </w:tcPr>
          <w:p w:rsidR="00014ADB" w:rsidRPr="00120504" w:rsidRDefault="00014ADB" w:rsidP="003261ED">
            <w:pPr>
              <w:jc w:val="both"/>
              <w:rPr>
                <w:rFonts w:eastAsia="Calibri"/>
                <w:sz w:val="20"/>
              </w:rPr>
            </w:pPr>
            <w:r w:rsidRPr="00120504">
              <w:rPr>
                <w:rFonts w:eastAsia="Calibri"/>
                <w:sz w:val="20"/>
              </w:rPr>
              <w:t>November 1, 2010</w:t>
            </w:r>
          </w:p>
          <w:p w:rsidR="00014ADB" w:rsidRPr="00120504" w:rsidRDefault="00014ADB" w:rsidP="003261ED">
            <w:pPr>
              <w:jc w:val="both"/>
              <w:rPr>
                <w:rFonts w:eastAsia="Calibri"/>
                <w:sz w:val="20"/>
              </w:rPr>
            </w:pPr>
            <w:r w:rsidRPr="00120504">
              <w:rPr>
                <w:rFonts w:eastAsia="Calibri"/>
                <w:sz w:val="20"/>
              </w:rPr>
              <w:t>Supreme Court of Canada</w:t>
            </w:r>
          </w:p>
        </w:tc>
        <w:tc>
          <w:tcPr>
            <w:tcW w:w="243" w:type="pct"/>
          </w:tcPr>
          <w:p w:rsidR="00014ADB" w:rsidRPr="00120504" w:rsidRDefault="00014ADB" w:rsidP="003261ED">
            <w:pPr>
              <w:jc w:val="both"/>
              <w:rPr>
                <w:rFonts w:eastAsia="Calibri"/>
                <w:sz w:val="20"/>
              </w:rPr>
            </w:pPr>
          </w:p>
        </w:tc>
        <w:tc>
          <w:tcPr>
            <w:tcW w:w="2330" w:type="pct"/>
          </w:tcPr>
          <w:p w:rsidR="00014ADB" w:rsidRPr="00120504" w:rsidRDefault="00014ADB" w:rsidP="003261ED">
            <w:pPr>
              <w:jc w:val="both"/>
              <w:rPr>
                <w:rFonts w:eastAsia="Calibri"/>
                <w:sz w:val="20"/>
              </w:rPr>
            </w:pPr>
            <w:r w:rsidRPr="00120504">
              <w:rPr>
                <w:rFonts w:eastAsia="Calibri"/>
                <w:sz w:val="20"/>
              </w:rPr>
              <w:t>Application for leave to appeal and motion to extend time filed</w:t>
            </w:r>
          </w:p>
        </w:tc>
      </w:tr>
    </w:tbl>
    <w:p w:rsidR="004704BD" w:rsidRPr="004704BD" w:rsidRDefault="004704BD" w:rsidP="004704BD">
      <w:pPr>
        <w:rPr>
          <w:sz w:val="20"/>
          <w:szCs w:val="20"/>
        </w:rPr>
      </w:pPr>
    </w:p>
    <w:p w:rsidR="004704BD" w:rsidRDefault="0004334C" w:rsidP="004704BD">
      <w:pPr>
        <w:rPr>
          <w:sz w:val="20"/>
          <w:szCs w:val="20"/>
          <w:lang w:val="fr-CA"/>
        </w:rPr>
      </w:pPr>
      <w:r w:rsidRPr="0004334C">
        <w:rPr>
          <w:sz w:val="20"/>
          <w:szCs w:val="20"/>
          <w:lang w:val="fr-CA"/>
        </w:rPr>
        <w:pict>
          <v:rect id="_x0000_i1058" style="width:2in;height:1pt" o:hrpct="0" o:hralign="center" o:hrstd="t" o:hrnoshade="t" o:hr="t" fillcolor="black [3213]" stroked="f"/>
        </w:pict>
      </w:r>
    </w:p>
    <w:p w:rsidR="004704BD" w:rsidRDefault="004704BD" w:rsidP="004704BD">
      <w:pPr>
        <w:rPr>
          <w:sz w:val="20"/>
          <w:szCs w:val="20"/>
          <w:lang w:val="fr-CA"/>
        </w:rPr>
      </w:pPr>
    </w:p>
    <w:p w:rsidR="004704BD" w:rsidRPr="004704BD" w:rsidRDefault="004704BD" w:rsidP="004704BD">
      <w:pPr>
        <w:rPr>
          <w:sz w:val="20"/>
          <w:szCs w:val="20"/>
          <w:lang w:val="fr-CA"/>
        </w:rPr>
      </w:pPr>
      <w:r>
        <w:rPr>
          <w:sz w:val="20"/>
          <w:szCs w:val="20"/>
          <w:u w:val="single"/>
          <w:lang w:val="fr-CA"/>
        </w:rPr>
        <w:t>RÉSUMÉ DE L’AFFAIRE</w:t>
      </w:r>
    </w:p>
    <w:p w:rsidR="004704BD" w:rsidRDefault="004704BD" w:rsidP="004704BD">
      <w:pPr>
        <w:rPr>
          <w:sz w:val="20"/>
          <w:szCs w:val="20"/>
          <w:lang w:val="fr-CA"/>
        </w:rPr>
      </w:pPr>
    </w:p>
    <w:tbl>
      <w:tblPr>
        <w:tblW w:w="4952" w:type="pct"/>
        <w:tblInd w:w="2" w:type="dxa"/>
        <w:tblLayout w:type="fixed"/>
        <w:tblCellMar>
          <w:left w:w="0" w:type="dxa"/>
          <w:bottom w:w="99" w:type="dxa"/>
          <w:right w:w="0" w:type="dxa"/>
        </w:tblCellMar>
        <w:tblLook w:val="00A0"/>
      </w:tblPr>
      <w:tblGrid>
        <w:gridCol w:w="4624"/>
        <w:gridCol w:w="463"/>
        <w:gridCol w:w="4440"/>
      </w:tblGrid>
      <w:tr w:rsidR="00014ADB" w:rsidRPr="001602E4" w:rsidTr="003261ED">
        <w:tc>
          <w:tcPr>
            <w:tcW w:w="5000" w:type="pct"/>
            <w:gridSpan w:val="3"/>
          </w:tcPr>
          <w:p w:rsidR="00014ADB" w:rsidRPr="00120504" w:rsidRDefault="00014ADB" w:rsidP="003261ED">
            <w:pPr>
              <w:jc w:val="both"/>
              <w:rPr>
                <w:rFonts w:eastAsia="Calibri"/>
                <w:sz w:val="20"/>
                <w:lang w:val="fr-CA"/>
              </w:rPr>
            </w:pPr>
            <w:r w:rsidRPr="00120504">
              <w:rPr>
                <w:rFonts w:eastAsia="Calibri"/>
                <w:sz w:val="20"/>
                <w:lang w:val="fr-CA"/>
              </w:rPr>
              <w:t xml:space="preserve">Prescription – </w:t>
            </w:r>
            <w:proofErr w:type="spellStart"/>
            <w:r w:rsidRPr="00120504">
              <w:rPr>
                <w:rFonts w:eastAsia="Calibri"/>
                <w:sz w:val="20"/>
                <w:lang w:val="fr-CA"/>
              </w:rPr>
              <w:t>Equity</w:t>
            </w:r>
            <w:proofErr w:type="spellEnd"/>
            <w:r w:rsidRPr="00120504">
              <w:rPr>
                <w:rFonts w:eastAsia="Calibri"/>
                <w:sz w:val="20"/>
                <w:lang w:val="fr-CA"/>
              </w:rPr>
              <w:t xml:space="preserve"> – Possibilité de découvrir le dommage – Dissimulation frauduleuse – La Cour d’appel a-t-elle commis une erreur de droit en confirmant la décision de la juge des motions qui a associé la doctrine en </w:t>
            </w:r>
            <w:proofErr w:type="spellStart"/>
            <w:r w:rsidRPr="00120504">
              <w:rPr>
                <w:rFonts w:eastAsia="Calibri"/>
                <w:sz w:val="20"/>
                <w:lang w:val="fr-CA"/>
              </w:rPr>
              <w:t>equity</w:t>
            </w:r>
            <w:proofErr w:type="spellEnd"/>
            <w:r w:rsidRPr="00120504">
              <w:rPr>
                <w:rFonts w:eastAsia="Calibri"/>
                <w:sz w:val="20"/>
                <w:lang w:val="fr-CA"/>
              </w:rPr>
              <w:t xml:space="preserve"> de la dissimulation frauduleuse à la doctrine distincte de la possibilité de découvrir le dommage? – La Cour d’appel a-t-elle commis une erreur de droit en confirmant la décision de la juge des motions qui a rejeté sommairement la demande de réparation en </w:t>
            </w:r>
            <w:proofErr w:type="spellStart"/>
            <w:r w:rsidRPr="00120504">
              <w:rPr>
                <w:rFonts w:eastAsia="Calibri"/>
                <w:sz w:val="20"/>
                <w:lang w:val="fr-CA"/>
              </w:rPr>
              <w:t>equity</w:t>
            </w:r>
            <w:proofErr w:type="spellEnd"/>
            <w:r w:rsidRPr="00120504">
              <w:rPr>
                <w:rFonts w:eastAsia="Calibri"/>
                <w:sz w:val="20"/>
                <w:lang w:val="fr-CA"/>
              </w:rPr>
              <w:t xml:space="preserve"> des demandeurs, sans égard aux considérations d’</w:t>
            </w:r>
            <w:proofErr w:type="spellStart"/>
            <w:r w:rsidRPr="00120504">
              <w:rPr>
                <w:rFonts w:eastAsia="Calibri"/>
                <w:sz w:val="20"/>
                <w:lang w:val="fr-CA"/>
              </w:rPr>
              <w:t>equity</w:t>
            </w:r>
            <w:proofErr w:type="spellEnd"/>
            <w:r w:rsidRPr="00120504">
              <w:rPr>
                <w:rFonts w:eastAsia="Calibri"/>
                <w:sz w:val="20"/>
                <w:lang w:val="fr-CA"/>
              </w:rPr>
              <w:t>?</w:t>
            </w:r>
          </w:p>
          <w:p w:rsidR="00014ADB" w:rsidRPr="00120504" w:rsidRDefault="00014ADB" w:rsidP="003261ED">
            <w:pPr>
              <w:jc w:val="both"/>
              <w:rPr>
                <w:rFonts w:eastAsia="Calibri"/>
                <w:sz w:val="20"/>
                <w:lang w:val="fr-CA"/>
              </w:rPr>
            </w:pPr>
          </w:p>
        </w:tc>
      </w:tr>
      <w:tr w:rsidR="00014ADB" w:rsidRPr="00120504" w:rsidTr="003261ED">
        <w:tc>
          <w:tcPr>
            <w:tcW w:w="5000" w:type="pct"/>
            <w:gridSpan w:val="3"/>
          </w:tcPr>
          <w:p w:rsidR="00014ADB" w:rsidRPr="00120504" w:rsidRDefault="00014ADB" w:rsidP="003261ED">
            <w:pPr>
              <w:jc w:val="both"/>
              <w:rPr>
                <w:rFonts w:eastAsia="Calibri"/>
                <w:sz w:val="20"/>
                <w:lang w:val="fr-CA"/>
              </w:rPr>
            </w:pPr>
            <w:r w:rsidRPr="00120504">
              <w:rPr>
                <w:rFonts w:eastAsia="Calibri"/>
                <w:sz w:val="20"/>
                <w:lang w:val="fr-CA"/>
              </w:rPr>
              <w:t xml:space="preserve">La demanderesse Mme </w:t>
            </w:r>
            <w:proofErr w:type="spellStart"/>
            <w:r w:rsidRPr="00120504">
              <w:rPr>
                <w:rFonts w:eastAsia="Calibri"/>
                <w:sz w:val="20"/>
                <w:lang w:val="fr-CA"/>
              </w:rPr>
              <w:t>Gurbaksh</w:t>
            </w:r>
            <w:proofErr w:type="spellEnd"/>
            <w:r w:rsidRPr="00120504">
              <w:rPr>
                <w:rFonts w:eastAsia="Calibri"/>
                <w:sz w:val="20"/>
                <w:lang w:val="fr-CA"/>
              </w:rPr>
              <w:t xml:space="preserve"> </w:t>
            </w:r>
            <w:proofErr w:type="spellStart"/>
            <w:r w:rsidRPr="00120504">
              <w:rPr>
                <w:rFonts w:eastAsia="Calibri"/>
                <w:sz w:val="20"/>
                <w:lang w:val="fr-CA"/>
              </w:rPr>
              <w:t>Dhaliwal</w:t>
            </w:r>
            <w:proofErr w:type="spellEnd"/>
            <w:r w:rsidRPr="00120504">
              <w:rPr>
                <w:rFonts w:eastAsia="Calibri"/>
                <w:sz w:val="20"/>
                <w:lang w:val="fr-CA"/>
              </w:rPr>
              <w:t xml:space="preserve"> a subi une hystérectomie abdominale complète à l’établissement St. </w:t>
            </w:r>
            <w:proofErr w:type="spellStart"/>
            <w:r w:rsidRPr="00120504">
              <w:rPr>
                <w:rFonts w:eastAsia="Calibri"/>
                <w:sz w:val="20"/>
                <w:lang w:val="fr-CA"/>
              </w:rPr>
              <w:t>Joseph’s</w:t>
            </w:r>
            <w:proofErr w:type="spellEnd"/>
            <w:r w:rsidRPr="00120504">
              <w:rPr>
                <w:rFonts w:eastAsia="Calibri"/>
                <w:sz w:val="20"/>
                <w:lang w:val="fr-CA"/>
              </w:rPr>
              <w:t xml:space="preserve"> </w:t>
            </w:r>
            <w:proofErr w:type="spellStart"/>
            <w:r w:rsidRPr="00120504">
              <w:rPr>
                <w:rFonts w:eastAsia="Calibri"/>
                <w:sz w:val="20"/>
                <w:lang w:val="fr-CA"/>
              </w:rPr>
              <w:t>Health</w:t>
            </w:r>
            <w:proofErr w:type="spellEnd"/>
            <w:r w:rsidRPr="00120504">
              <w:rPr>
                <w:rFonts w:eastAsia="Calibri"/>
                <w:sz w:val="20"/>
                <w:lang w:val="fr-CA"/>
              </w:rPr>
              <w:t xml:space="preserve"> le 5 décembre 2003. Son état </w:t>
            </w:r>
            <w:proofErr w:type="spellStart"/>
            <w:r w:rsidRPr="00120504">
              <w:rPr>
                <w:rFonts w:eastAsia="Calibri"/>
                <w:sz w:val="20"/>
                <w:lang w:val="fr-CA"/>
              </w:rPr>
              <w:t>post-opératoire</w:t>
            </w:r>
            <w:proofErr w:type="spellEnd"/>
            <w:r w:rsidRPr="00120504">
              <w:rPr>
                <w:rFonts w:eastAsia="Calibri"/>
                <w:sz w:val="20"/>
                <w:lang w:val="fr-CA"/>
              </w:rPr>
              <w:t xml:space="preserve"> s’est gravement détérioré et elle a subi une deuxième intervention chirurgicale le 10 décembre 2003, puis une troisième le 1</w:t>
            </w:r>
            <w:r w:rsidRPr="00120504">
              <w:rPr>
                <w:rFonts w:eastAsia="Calibri"/>
                <w:sz w:val="20"/>
                <w:vertAlign w:val="superscript"/>
                <w:lang w:val="fr-CA"/>
              </w:rPr>
              <w:t>er</w:t>
            </w:r>
            <w:r w:rsidRPr="00120504">
              <w:rPr>
                <w:rFonts w:eastAsia="Calibri"/>
                <w:sz w:val="20"/>
                <w:lang w:val="fr-CA"/>
              </w:rPr>
              <w:t xml:space="preserve"> janvier 2004. Elle a obtenu son congé de l’hôpital le 26 février 2004.</w:t>
            </w:r>
          </w:p>
          <w:p w:rsidR="00014ADB" w:rsidRPr="00120504" w:rsidRDefault="00014ADB" w:rsidP="003261ED">
            <w:pPr>
              <w:jc w:val="both"/>
              <w:rPr>
                <w:rFonts w:eastAsia="Calibri"/>
                <w:sz w:val="20"/>
                <w:lang w:val="fr-CA"/>
              </w:rPr>
            </w:pPr>
          </w:p>
          <w:p w:rsidR="00014ADB" w:rsidRPr="00120504" w:rsidRDefault="00014ADB" w:rsidP="003261ED">
            <w:pPr>
              <w:jc w:val="both"/>
              <w:rPr>
                <w:rFonts w:eastAsia="Calibri"/>
                <w:sz w:val="20"/>
                <w:lang w:val="fr-CA"/>
              </w:rPr>
            </w:pPr>
            <w:r w:rsidRPr="00120504">
              <w:rPr>
                <w:rFonts w:eastAsia="Calibri"/>
                <w:sz w:val="20"/>
                <w:lang w:val="fr-CA"/>
              </w:rPr>
              <w:t xml:space="preserve">En décembre 2004, elle a intenté une action contre l’hôpital et les médecins qui avaient pris part à la première intervention chirurgicale. Le dossier de l’hôpital ne révélait pas que les particuliers intimés lui avaient prodigué des soins, mais au 7 décembre 2005, elle avait également reçu les relevés décodés de la RAMO qui constataient la participation de deux des intimés dans son traitement. Le 24 avril 2008, elle a intenté une deuxième action contre les intimés, à savoir l’hôpital et le personnel médical (les médecins et un résident) qui avaient prodigué des soins à Mme </w:t>
            </w:r>
            <w:proofErr w:type="spellStart"/>
            <w:r w:rsidRPr="00120504">
              <w:rPr>
                <w:rFonts w:eastAsia="Calibri"/>
                <w:sz w:val="20"/>
                <w:lang w:val="fr-CA"/>
              </w:rPr>
              <w:t>Dhaliwal</w:t>
            </w:r>
            <w:proofErr w:type="spellEnd"/>
            <w:r w:rsidRPr="00120504">
              <w:rPr>
                <w:rFonts w:eastAsia="Calibri"/>
                <w:sz w:val="20"/>
                <w:lang w:val="fr-CA"/>
              </w:rPr>
              <w:t xml:space="preserve"> pendant les deuxième et troisième interventions chirurgicales. C’est cette dernière action qui est en cause en l’espèce.</w:t>
            </w:r>
          </w:p>
          <w:p w:rsidR="00014ADB" w:rsidRPr="00120504" w:rsidRDefault="00014ADB" w:rsidP="003261ED">
            <w:pPr>
              <w:jc w:val="both"/>
              <w:rPr>
                <w:rFonts w:eastAsia="Calibri"/>
                <w:sz w:val="20"/>
                <w:lang w:val="fr-CA"/>
              </w:rPr>
            </w:pPr>
          </w:p>
          <w:p w:rsidR="00014ADB" w:rsidRPr="00120504" w:rsidRDefault="00014ADB" w:rsidP="003261ED">
            <w:pPr>
              <w:jc w:val="both"/>
              <w:rPr>
                <w:rFonts w:eastAsia="Calibri"/>
                <w:sz w:val="20"/>
                <w:lang w:val="fr-CA"/>
              </w:rPr>
            </w:pPr>
            <w:r w:rsidRPr="00120504">
              <w:rPr>
                <w:rFonts w:eastAsia="Calibri"/>
                <w:sz w:val="20"/>
                <w:lang w:val="fr-CA"/>
              </w:rPr>
              <w:t>Les intimés ont demandé un jugement sommaire au motif que le délai de prescription de deux ans était venu à échéance avant l’introduction de l’action en cause. La juge des motions a accueilli la motion en jugement sommaire et a rejeté l’action. La Cour d’appel a conclu que la juge n’avait pas commis d’erreur en ce qui a trait à la possibilité de découvrir le dommage, la dissimulation frauduleuse ou l’expiration du délai de prescription. L’appel a été rejeté.</w:t>
            </w:r>
          </w:p>
          <w:p w:rsidR="00014ADB" w:rsidRPr="00120504" w:rsidRDefault="00014ADB" w:rsidP="003261ED">
            <w:pPr>
              <w:jc w:val="both"/>
              <w:rPr>
                <w:rFonts w:eastAsia="Calibri"/>
                <w:sz w:val="20"/>
                <w:lang w:val="fr-CA"/>
              </w:rPr>
            </w:pPr>
          </w:p>
        </w:tc>
      </w:tr>
      <w:tr w:rsidR="00014ADB" w:rsidRPr="001602E4" w:rsidTr="003261ED">
        <w:tc>
          <w:tcPr>
            <w:tcW w:w="2427" w:type="pct"/>
          </w:tcPr>
          <w:p w:rsidR="00014ADB" w:rsidRPr="00120504" w:rsidRDefault="00014ADB" w:rsidP="003261ED">
            <w:pPr>
              <w:jc w:val="both"/>
              <w:rPr>
                <w:rFonts w:eastAsia="Calibri"/>
                <w:sz w:val="20"/>
                <w:lang w:val="fr-CA"/>
              </w:rPr>
            </w:pPr>
            <w:r w:rsidRPr="00120504">
              <w:rPr>
                <w:rFonts w:eastAsia="Calibri"/>
                <w:sz w:val="20"/>
                <w:lang w:val="fr-CA"/>
              </w:rPr>
              <w:t>2 novembre 2009</w:t>
            </w:r>
          </w:p>
          <w:p w:rsidR="00014ADB" w:rsidRPr="00120504" w:rsidRDefault="00014ADB" w:rsidP="003261ED">
            <w:pPr>
              <w:jc w:val="both"/>
              <w:rPr>
                <w:rFonts w:eastAsia="Calibri"/>
                <w:sz w:val="20"/>
                <w:lang w:val="fr-CA"/>
              </w:rPr>
            </w:pPr>
            <w:r w:rsidRPr="00120504">
              <w:rPr>
                <w:rFonts w:eastAsia="Calibri"/>
                <w:sz w:val="20"/>
                <w:lang w:val="fr-CA"/>
              </w:rPr>
              <w:t>Cour supérieure de justice de l’Ontario</w:t>
            </w:r>
          </w:p>
          <w:p w:rsidR="00014ADB" w:rsidRPr="00120504" w:rsidRDefault="00014ADB" w:rsidP="003261ED">
            <w:pPr>
              <w:jc w:val="both"/>
              <w:rPr>
                <w:rFonts w:eastAsia="Calibri"/>
                <w:sz w:val="20"/>
                <w:lang w:val="fr-CA"/>
              </w:rPr>
            </w:pPr>
            <w:r w:rsidRPr="00120504">
              <w:rPr>
                <w:rFonts w:eastAsia="Calibri"/>
                <w:sz w:val="20"/>
                <w:lang w:val="fr-CA"/>
              </w:rPr>
              <w:t xml:space="preserve">(Juge Young </w:t>
            </w:r>
            <w:proofErr w:type="spellStart"/>
            <w:r w:rsidRPr="00120504">
              <w:rPr>
                <w:rFonts w:eastAsia="Calibri"/>
                <w:sz w:val="20"/>
                <w:lang w:val="fr-CA"/>
              </w:rPr>
              <w:t>Harvison</w:t>
            </w:r>
            <w:proofErr w:type="spellEnd"/>
            <w:r w:rsidRPr="00120504">
              <w:rPr>
                <w:rFonts w:eastAsia="Calibri"/>
                <w:sz w:val="20"/>
                <w:lang w:val="fr-CA"/>
              </w:rPr>
              <w:t>)</w:t>
            </w:r>
          </w:p>
          <w:p w:rsidR="00014ADB" w:rsidRPr="00120504" w:rsidRDefault="00014ADB" w:rsidP="003261ED">
            <w:pPr>
              <w:jc w:val="both"/>
              <w:rPr>
                <w:rFonts w:eastAsia="Calibri"/>
                <w:sz w:val="20"/>
                <w:lang w:val="fr-CA"/>
              </w:rPr>
            </w:pPr>
            <w:r w:rsidRPr="00120504">
              <w:rPr>
                <w:rFonts w:eastAsia="Calibri"/>
                <w:sz w:val="20"/>
                <w:lang w:val="fr-CA"/>
              </w:rPr>
              <w:t xml:space="preserve">Référence : 2009 </w:t>
            </w:r>
            <w:proofErr w:type="spellStart"/>
            <w:r w:rsidRPr="00120504">
              <w:rPr>
                <w:rFonts w:eastAsia="Calibri"/>
                <w:sz w:val="20"/>
                <w:lang w:val="fr-CA"/>
              </w:rPr>
              <w:t>CanLII</w:t>
            </w:r>
            <w:proofErr w:type="spellEnd"/>
            <w:r w:rsidRPr="00120504">
              <w:rPr>
                <w:rFonts w:eastAsia="Calibri"/>
                <w:sz w:val="20"/>
                <w:lang w:val="fr-CA"/>
              </w:rPr>
              <w:t xml:space="preserve"> 60415</w:t>
            </w:r>
          </w:p>
          <w:p w:rsidR="00014ADB" w:rsidRPr="00120504" w:rsidRDefault="00014ADB" w:rsidP="003261ED">
            <w:pPr>
              <w:jc w:val="both"/>
              <w:rPr>
                <w:rFonts w:eastAsia="Calibri"/>
                <w:sz w:val="20"/>
                <w:lang w:val="fr-CA"/>
              </w:rPr>
            </w:pPr>
          </w:p>
        </w:tc>
        <w:tc>
          <w:tcPr>
            <w:tcW w:w="243" w:type="pct"/>
          </w:tcPr>
          <w:p w:rsidR="00014ADB" w:rsidRPr="00120504" w:rsidRDefault="00014ADB" w:rsidP="003261ED">
            <w:pPr>
              <w:jc w:val="both"/>
              <w:rPr>
                <w:rFonts w:eastAsia="Calibri"/>
                <w:sz w:val="20"/>
                <w:lang w:val="fr-CA"/>
              </w:rPr>
            </w:pPr>
          </w:p>
        </w:tc>
        <w:tc>
          <w:tcPr>
            <w:tcW w:w="2330" w:type="pct"/>
          </w:tcPr>
          <w:p w:rsidR="00014ADB" w:rsidRPr="00120504" w:rsidRDefault="00014ADB" w:rsidP="003261ED">
            <w:pPr>
              <w:jc w:val="both"/>
              <w:rPr>
                <w:rFonts w:eastAsia="Calibri"/>
                <w:sz w:val="20"/>
                <w:lang w:val="fr-CA"/>
              </w:rPr>
            </w:pPr>
            <w:r w:rsidRPr="00120504">
              <w:rPr>
                <w:rFonts w:eastAsia="Calibri"/>
                <w:sz w:val="20"/>
                <w:lang w:val="fr-CA"/>
              </w:rPr>
              <w:t>Motion en jugement sommaire accueillie; action rejetée</w:t>
            </w:r>
          </w:p>
          <w:p w:rsidR="00014ADB" w:rsidRPr="00120504" w:rsidRDefault="00014ADB" w:rsidP="003261ED">
            <w:pPr>
              <w:jc w:val="both"/>
              <w:rPr>
                <w:rFonts w:eastAsia="Calibri"/>
                <w:sz w:val="20"/>
                <w:lang w:val="fr-CA"/>
              </w:rPr>
            </w:pPr>
          </w:p>
        </w:tc>
      </w:tr>
      <w:tr w:rsidR="00014ADB" w:rsidRPr="00120504" w:rsidTr="003261ED">
        <w:tc>
          <w:tcPr>
            <w:tcW w:w="2427" w:type="pct"/>
          </w:tcPr>
          <w:p w:rsidR="00014ADB" w:rsidRPr="00120504" w:rsidRDefault="00014ADB" w:rsidP="003261ED">
            <w:pPr>
              <w:jc w:val="both"/>
              <w:rPr>
                <w:rFonts w:eastAsia="Calibri"/>
                <w:sz w:val="20"/>
                <w:lang w:val="fr-CA"/>
              </w:rPr>
            </w:pPr>
            <w:r w:rsidRPr="00120504">
              <w:rPr>
                <w:rFonts w:eastAsia="Calibri"/>
                <w:sz w:val="20"/>
                <w:lang w:val="fr-CA"/>
              </w:rPr>
              <w:t>7 juillet 2010</w:t>
            </w:r>
          </w:p>
          <w:p w:rsidR="00014ADB" w:rsidRPr="00120504" w:rsidRDefault="00014ADB" w:rsidP="003261ED">
            <w:pPr>
              <w:jc w:val="both"/>
              <w:rPr>
                <w:rFonts w:eastAsia="Calibri"/>
                <w:sz w:val="20"/>
                <w:lang w:val="fr-CA"/>
              </w:rPr>
            </w:pPr>
            <w:r w:rsidRPr="00120504">
              <w:rPr>
                <w:rFonts w:eastAsia="Calibri"/>
                <w:sz w:val="20"/>
                <w:lang w:val="fr-CA"/>
              </w:rPr>
              <w:t>Cour d’appel de l’Ontario</w:t>
            </w:r>
          </w:p>
          <w:p w:rsidR="00014ADB" w:rsidRPr="00120504" w:rsidRDefault="00014ADB" w:rsidP="003261ED">
            <w:pPr>
              <w:jc w:val="both"/>
              <w:rPr>
                <w:rFonts w:eastAsia="Calibri"/>
                <w:sz w:val="20"/>
                <w:lang w:val="fr-CA"/>
              </w:rPr>
            </w:pPr>
            <w:r w:rsidRPr="00120504">
              <w:rPr>
                <w:rFonts w:eastAsia="Calibri"/>
                <w:sz w:val="20"/>
                <w:lang w:val="fr-CA"/>
              </w:rPr>
              <w:t xml:space="preserve">(Juges </w:t>
            </w:r>
            <w:proofErr w:type="spellStart"/>
            <w:r w:rsidRPr="00120504">
              <w:rPr>
                <w:rFonts w:eastAsia="Calibri"/>
                <w:sz w:val="20"/>
                <w:lang w:val="fr-CA"/>
              </w:rPr>
              <w:t>MacPherson</w:t>
            </w:r>
            <w:proofErr w:type="spellEnd"/>
            <w:r w:rsidRPr="00120504">
              <w:rPr>
                <w:rFonts w:eastAsia="Calibri"/>
                <w:sz w:val="20"/>
                <w:lang w:val="fr-CA"/>
              </w:rPr>
              <w:t xml:space="preserve">, </w:t>
            </w:r>
            <w:proofErr w:type="spellStart"/>
            <w:r w:rsidRPr="00120504">
              <w:rPr>
                <w:rFonts w:eastAsia="Calibri"/>
                <w:sz w:val="20"/>
                <w:lang w:val="fr-CA"/>
              </w:rPr>
              <w:t>Cronk</w:t>
            </w:r>
            <w:proofErr w:type="spellEnd"/>
            <w:r w:rsidRPr="00120504">
              <w:rPr>
                <w:rFonts w:eastAsia="Calibri"/>
                <w:sz w:val="20"/>
                <w:lang w:val="fr-CA"/>
              </w:rPr>
              <w:t xml:space="preserve"> et </w:t>
            </w:r>
            <w:proofErr w:type="spellStart"/>
            <w:r w:rsidRPr="00120504">
              <w:rPr>
                <w:rFonts w:eastAsia="Calibri"/>
                <w:sz w:val="20"/>
                <w:lang w:val="fr-CA"/>
              </w:rPr>
              <w:t>Karakatsanis</w:t>
            </w:r>
            <w:proofErr w:type="spellEnd"/>
            <w:r w:rsidRPr="00120504">
              <w:rPr>
                <w:rFonts w:eastAsia="Calibri"/>
                <w:sz w:val="20"/>
                <w:lang w:val="fr-CA"/>
              </w:rPr>
              <w:t>)</w:t>
            </w:r>
          </w:p>
          <w:p w:rsidR="00014ADB" w:rsidRPr="00120504" w:rsidRDefault="00014ADB" w:rsidP="003261ED">
            <w:pPr>
              <w:jc w:val="both"/>
              <w:rPr>
                <w:rFonts w:eastAsia="Calibri"/>
                <w:sz w:val="20"/>
                <w:lang w:val="fr-CA"/>
              </w:rPr>
            </w:pPr>
            <w:r w:rsidRPr="00120504">
              <w:rPr>
                <w:rFonts w:eastAsia="Calibri"/>
                <w:sz w:val="20"/>
                <w:lang w:val="fr-CA"/>
              </w:rPr>
              <w:t>Référence neutre : 2010 ONCA 493</w:t>
            </w:r>
          </w:p>
          <w:p w:rsidR="00014ADB" w:rsidRPr="00120504" w:rsidRDefault="00014ADB" w:rsidP="003261ED">
            <w:pPr>
              <w:jc w:val="both"/>
              <w:rPr>
                <w:rFonts w:eastAsia="Calibri"/>
                <w:sz w:val="20"/>
                <w:lang w:val="fr-CA"/>
              </w:rPr>
            </w:pPr>
          </w:p>
        </w:tc>
        <w:tc>
          <w:tcPr>
            <w:tcW w:w="243" w:type="pct"/>
          </w:tcPr>
          <w:p w:rsidR="00014ADB" w:rsidRPr="00120504" w:rsidRDefault="00014ADB" w:rsidP="003261ED">
            <w:pPr>
              <w:jc w:val="both"/>
              <w:rPr>
                <w:rFonts w:eastAsia="Calibri"/>
                <w:sz w:val="20"/>
                <w:lang w:val="fr-CA"/>
              </w:rPr>
            </w:pPr>
          </w:p>
        </w:tc>
        <w:tc>
          <w:tcPr>
            <w:tcW w:w="2330" w:type="pct"/>
          </w:tcPr>
          <w:p w:rsidR="00014ADB" w:rsidRPr="00120504" w:rsidRDefault="00014ADB" w:rsidP="003261ED">
            <w:pPr>
              <w:jc w:val="both"/>
              <w:rPr>
                <w:rFonts w:eastAsia="Calibri"/>
                <w:sz w:val="20"/>
                <w:lang w:val="fr-CA"/>
              </w:rPr>
            </w:pPr>
            <w:r w:rsidRPr="00120504">
              <w:rPr>
                <w:rFonts w:eastAsia="Calibri"/>
                <w:sz w:val="20"/>
                <w:lang w:val="fr-CA"/>
              </w:rPr>
              <w:t>Appel rejeté</w:t>
            </w:r>
          </w:p>
          <w:p w:rsidR="00014ADB" w:rsidRPr="00120504" w:rsidRDefault="00014ADB" w:rsidP="003261ED">
            <w:pPr>
              <w:jc w:val="both"/>
              <w:rPr>
                <w:rFonts w:eastAsia="Calibri"/>
                <w:sz w:val="20"/>
                <w:lang w:val="fr-CA"/>
              </w:rPr>
            </w:pPr>
          </w:p>
        </w:tc>
      </w:tr>
      <w:tr w:rsidR="00014ADB" w:rsidRPr="001602E4" w:rsidTr="003261ED">
        <w:tc>
          <w:tcPr>
            <w:tcW w:w="2427" w:type="pct"/>
          </w:tcPr>
          <w:p w:rsidR="00014ADB" w:rsidRPr="00120504" w:rsidRDefault="00014ADB" w:rsidP="003261ED">
            <w:pPr>
              <w:jc w:val="both"/>
              <w:rPr>
                <w:rFonts w:eastAsia="Calibri"/>
                <w:sz w:val="20"/>
                <w:lang w:val="fr-CA"/>
              </w:rPr>
            </w:pPr>
            <w:r w:rsidRPr="00120504">
              <w:rPr>
                <w:rFonts w:eastAsia="Calibri"/>
                <w:sz w:val="20"/>
                <w:lang w:val="fr-CA"/>
              </w:rPr>
              <w:lastRenderedPageBreak/>
              <w:t>1</w:t>
            </w:r>
            <w:r w:rsidRPr="00120504">
              <w:rPr>
                <w:rFonts w:eastAsia="Calibri"/>
                <w:sz w:val="20"/>
                <w:vertAlign w:val="superscript"/>
                <w:lang w:val="fr-CA"/>
              </w:rPr>
              <w:t>er</w:t>
            </w:r>
            <w:r w:rsidRPr="00120504">
              <w:rPr>
                <w:rFonts w:eastAsia="Calibri"/>
                <w:sz w:val="20"/>
                <w:lang w:val="fr-CA"/>
              </w:rPr>
              <w:t xml:space="preserve"> novembre 2010</w:t>
            </w:r>
          </w:p>
          <w:p w:rsidR="00014ADB" w:rsidRPr="00120504" w:rsidRDefault="00014ADB" w:rsidP="003261ED">
            <w:pPr>
              <w:jc w:val="both"/>
              <w:rPr>
                <w:rFonts w:eastAsia="Calibri"/>
                <w:sz w:val="20"/>
                <w:lang w:val="fr-CA"/>
              </w:rPr>
            </w:pPr>
            <w:r w:rsidRPr="00120504">
              <w:rPr>
                <w:rFonts w:eastAsia="Calibri"/>
                <w:sz w:val="20"/>
                <w:lang w:val="fr-CA"/>
              </w:rPr>
              <w:t>Cour suprême du Canada</w:t>
            </w:r>
          </w:p>
        </w:tc>
        <w:tc>
          <w:tcPr>
            <w:tcW w:w="243" w:type="pct"/>
          </w:tcPr>
          <w:p w:rsidR="00014ADB" w:rsidRPr="00120504" w:rsidRDefault="00014ADB" w:rsidP="003261ED">
            <w:pPr>
              <w:jc w:val="both"/>
              <w:rPr>
                <w:rFonts w:eastAsia="Calibri"/>
                <w:sz w:val="20"/>
                <w:lang w:val="fr-CA"/>
              </w:rPr>
            </w:pPr>
          </w:p>
        </w:tc>
        <w:tc>
          <w:tcPr>
            <w:tcW w:w="2330" w:type="pct"/>
          </w:tcPr>
          <w:p w:rsidR="00014ADB" w:rsidRPr="00120504" w:rsidRDefault="00014ADB" w:rsidP="003261ED">
            <w:pPr>
              <w:jc w:val="both"/>
              <w:rPr>
                <w:rFonts w:eastAsia="Calibri"/>
                <w:sz w:val="20"/>
                <w:lang w:val="fr-CA"/>
              </w:rPr>
            </w:pPr>
            <w:r w:rsidRPr="00120504">
              <w:rPr>
                <w:rFonts w:eastAsia="Calibri"/>
                <w:sz w:val="20"/>
                <w:lang w:val="fr-CA"/>
              </w:rPr>
              <w:t xml:space="preserve">Demande d’autorisation d’appel et requête en prorogation de délai, déposées </w:t>
            </w:r>
          </w:p>
        </w:tc>
      </w:tr>
    </w:tbl>
    <w:p w:rsidR="004704BD" w:rsidRDefault="004704BD" w:rsidP="004704BD">
      <w:pPr>
        <w:rPr>
          <w:sz w:val="20"/>
          <w:szCs w:val="20"/>
          <w:lang w:val="fr-CA"/>
        </w:rPr>
      </w:pPr>
    </w:p>
    <w:p w:rsidR="004704BD" w:rsidRDefault="0004334C" w:rsidP="004704BD">
      <w:pPr>
        <w:rPr>
          <w:sz w:val="20"/>
          <w:szCs w:val="20"/>
          <w:lang w:val="fr-CA"/>
        </w:rPr>
      </w:pPr>
      <w:r w:rsidRPr="0004334C">
        <w:rPr>
          <w:sz w:val="20"/>
          <w:szCs w:val="20"/>
          <w:lang w:val="fr-CA"/>
        </w:rPr>
        <w:pict>
          <v:rect id="_x0000_i1059" style="width:2in;height:1pt" o:hrpct="0" o:hralign="center" o:hrstd="t" o:hrnoshade="t" o:hr="t" fillcolor="black [3213]" stroked="f"/>
        </w:pict>
      </w:r>
    </w:p>
    <w:p w:rsidR="004704BD" w:rsidRPr="004704BD" w:rsidRDefault="004704BD" w:rsidP="004704BD">
      <w:pPr>
        <w:rPr>
          <w:sz w:val="20"/>
          <w:szCs w:val="20"/>
        </w:rPr>
      </w:pPr>
    </w:p>
    <w:p w:rsidR="00986BBB" w:rsidRPr="00986BBB" w:rsidRDefault="00986BBB" w:rsidP="00986BBB">
      <w:pPr>
        <w:ind w:left="1440" w:hanging="1440"/>
        <w:rPr>
          <w:sz w:val="20"/>
          <w:szCs w:val="20"/>
          <w:lang w:val="fr-CA"/>
        </w:rPr>
      </w:pPr>
      <w:r w:rsidRPr="00986BBB">
        <w:rPr>
          <w:b/>
          <w:sz w:val="20"/>
          <w:szCs w:val="20"/>
          <w:lang w:val="fr-CA"/>
        </w:rPr>
        <w:t>33929</w:t>
      </w:r>
      <w:r w:rsidRPr="00986BBB">
        <w:rPr>
          <w:sz w:val="20"/>
          <w:szCs w:val="20"/>
          <w:lang w:val="fr-CA"/>
        </w:rPr>
        <w:tab/>
      </w:r>
      <w:proofErr w:type="spellStart"/>
      <w:r w:rsidRPr="00986BBB">
        <w:rPr>
          <w:rFonts w:eastAsia="Calibri"/>
          <w:b/>
          <w:sz w:val="20"/>
          <w:u w:val="single"/>
          <w:lang w:val="fr-CA"/>
        </w:rPr>
        <w:t>Aumita</w:t>
      </w:r>
      <w:proofErr w:type="spellEnd"/>
      <w:r w:rsidRPr="00986BBB">
        <w:rPr>
          <w:rFonts w:eastAsia="Calibri"/>
          <w:b/>
          <w:sz w:val="20"/>
          <w:u w:val="single"/>
          <w:lang w:val="fr-CA"/>
        </w:rPr>
        <w:t xml:space="preserve"> Bose c. Sa Majesté la Reine</w:t>
      </w:r>
      <w:r w:rsidRPr="00986BBB">
        <w:rPr>
          <w:rFonts w:eastAsia="Calibri"/>
          <w:b/>
          <w:sz w:val="20"/>
          <w:lang w:val="fr-CA"/>
        </w:rPr>
        <w:t xml:space="preserve"> </w:t>
      </w:r>
      <w:r w:rsidRPr="00986BBB">
        <w:rPr>
          <w:rFonts w:eastAsia="Calibri"/>
          <w:sz w:val="20"/>
          <w:lang w:val="fr-CA"/>
        </w:rPr>
        <w:t>(</w:t>
      </w:r>
      <w:proofErr w:type="spellStart"/>
      <w:r w:rsidRPr="00986BBB">
        <w:rPr>
          <w:rFonts w:eastAsia="Calibri"/>
          <w:sz w:val="20"/>
          <w:lang w:val="fr-CA"/>
        </w:rPr>
        <w:t>Qc</w:t>
      </w:r>
      <w:proofErr w:type="spellEnd"/>
      <w:r w:rsidRPr="00986BBB">
        <w:rPr>
          <w:rFonts w:eastAsia="Calibri"/>
          <w:sz w:val="20"/>
          <w:lang w:val="fr-CA"/>
        </w:rPr>
        <w:t>) (Criminelle) (Autorisation)</w:t>
      </w:r>
    </w:p>
    <w:p w:rsidR="00986BBB" w:rsidRPr="00986BBB" w:rsidRDefault="00986BBB" w:rsidP="00986BBB">
      <w:pPr>
        <w:rPr>
          <w:sz w:val="20"/>
          <w:szCs w:val="20"/>
          <w:lang w:val="fr-CA"/>
        </w:rPr>
      </w:pPr>
    </w:p>
    <w:p w:rsidR="00986BBB" w:rsidRPr="00986BBB" w:rsidRDefault="00986BBB" w:rsidP="00986BBB">
      <w:pPr>
        <w:ind w:left="1440" w:hanging="1440"/>
        <w:rPr>
          <w:sz w:val="20"/>
          <w:szCs w:val="20"/>
          <w:lang w:val="fr-CA"/>
        </w:rPr>
      </w:pPr>
      <w:r w:rsidRPr="00986BBB">
        <w:rPr>
          <w:sz w:val="20"/>
          <w:szCs w:val="20"/>
          <w:lang w:val="fr-CA"/>
        </w:rPr>
        <w:t>Coram :</w:t>
      </w:r>
      <w:r w:rsidRPr="00986BBB">
        <w:rPr>
          <w:sz w:val="20"/>
          <w:szCs w:val="20"/>
          <w:lang w:val="fr-CA"/>
        </w:rPr>
        <w:tab/>
      </w:r>
      <w:r w:rsidRPr="00986BBB">
        <w:rPr>
          <w:sz w:val="20"/>
          <w:szCs w:val="20"/>
          <w:u w:val="single"/>
          <w:lang w:val="fr-CA"/>
        </w:rPr>
        <w:t xml:space="preserve">Les juges </w:t>
      </w:r>
      <w:proofErr w:type="spellStart"/>
      <w:r w:rsidRPr="00986BBB">
        <w:rPr>
          <w:sz w:val="20"/>
          <w:szCs w:val="20"/>
          <w:u w:val="single"/>
          <w:lang w:val="fr-CA"/>
        </w:rPr>
        <w:t>LeBel</w:t>
      </w:r>
      <w:proofErr w:type="spellEnd"/>
      <w:r w:rsidRPr="00986BBB">
        <w:rPr>
          <w:sz w:val="20"/>
          <w:szCs w:val="20"/>
          <w:u w:val="single"/>
          <w:lang w:val="fr-CA"/>
        </w:rPr>
        <w:t>, Deschamps et Charron</w:t>
      </w:r>
    </w:p>
    <w:p w:rsidR="004704BD" w:rsidRPr="00986BBB" w:rsidRDefault="004704BD" w:rsidP="004704BD">
      <w:pPr>
        <w:rPr>
          <w:sz w:val="20"/>
          <w:szCs w:val="20"/>
          <w:lang w:val="fr-CA"/>
        </w:rPr>
      </w:pPr>
    </w:p>
    <w:p w:rsidR="00986BBB" w:rsidRDefault="00986BBB" w:rsidP="00986BBB">
      <w:pPr>
        <w:jc w:val="both"/>
        <w:rPr>
          <w:sz w:val="20"/>
          <w:szCs w:val="20"/>
          <w:lang w:val="fr-CA"/>
        </w:rPr>
      </w:pPr>
      <w:r>
        <w:rPr>
          <w:sz w:val="20"/>
          <w:szCs w:val="20"/>
          <w:lang w:val="fr-CA"/>
        </w:rPr>
        <w:tab/>
      </w:r>
      <w:r w:rsidRPr="00986BBB">
        <w:rPr>
          <w:sz w:val="20"/>
          <w:szCs w:val="20"/>
          <w:lang w:val="fr-CA"/>
        </w:rPr>
        <w:t>La requête en prorogation du délai de signification et de dépôt de la demande d’autorisation d’appel est accordée. La demande d’autorisation d’appel de l’arrêt de la Cour d’appel du Québec (Montréal), numéro 500-10-004583-108, 2010 QCCA 1146, daté du 11 juin 2010, est rejetée sans dépens.</w:t>
      </w:r>
    </w:p>
    <w:p w:rsidR="00986BBB" w:rsidRDefault="00986BBB" w:rsidP="00986BBB">
      <w:pPr>
        <w:jc w:val="both"/>
        <w:rPr>
          <w:sz w:val="20"/>
          <w:szCs w:val="20"/>
          <w:lang w:val="fr-CA"/>
        </w:rPr>
      </w:pPr>
    </w:p>
    <w:p w:rsidR="00986BBB" w:rsidRDefault="00986BBB" w:rsidP="00986BBB">
      <w:pPr>
        <w:jc w:val="both"/>
        <w:rPr>
          <w:sz w:val="20"/>
          <w:szCs w:val="20"/>
        </w:rPr>
      </w:pPr>
      <w:r w:rsidRPr="005F3D4C">
        <w:rPr>
          <w:sz w:val="20"/>
          <w:szCs w:val="20"/>
          <w:lang w:val="fr-CA"/>
        </w:rPr>
        <w:tab/>
      </w:r>
      <w:r w:rsidRPr="0044330C">
        <w:rPr>
          <w:sz w:val="20"/>
          <w:szCs w:val="20"/>
        </w:rPr>
        <w:t xml:space="preserve">The motion for an extension of time to serve and file the application for leave to appeal is granted. The application for leave to appeal from the judgment of the </w:t>
      </w:r>
      <w:r w:rsidRPr="0044330C">
        <w:rPr>
          <w:sz w:val="20"/>
          <w:szCs w:val="20"/>
          <w:lang w:val="en-US"/>
        </w:rPr>
        <w:t>Court of Appeal of Quebec (Montréal)</w:t>
      </w:r>
      <w:r w:rsidRPr="0044330C">
        <w:rPr>
          <w:sz w:val="20"/>
          <w:szCs w:val="20"/>
        </w:rPr>
        <w:t xml:space="preserve">, Number </w:t>
      </w:r>
      <w:r w:rsidRPr="0044330C">
        <w:rPr>
          <w:sz w:val="20"/>
          <w:szCs w:val="20"/>
          <w:lang w:val="en-US"/>
        </w:rPr>
        <w:t>500-10-004583-108</w:t>
      </w:r>
      <w:r w:rsidRPr="0044330C">
        <w:rPr>
          <w:sz w:val="20"/>
          <w:szCs w:val="20"/>
        </w:rPr>
        <w:t xml:space="preserve">, </w:t>
      </w:r>
      <w:r w:rsidRPr="0044330C">
        <w:rPr>
          <w:sz w:val="20"/>
          <w:szCs w:val="20"/>
          <w:lang w:val="en-US"/>
        </w:rPr>
        <w:t xml:space="preserve">2010 QCCA 1146, </w:t>
      </w:r>
      <w:r w:rsidRPr="0044330C">
        <w:rPr>
          <w:sz w:val="20"/>
          <w:szCs w:val="20"/>
        </w:rPr>
        <w:t xml:space="preserve">dated </w:t>
      </w:r>
      <w:r w:rsidRPr="0044330C">
        <w:rPr>
          <w:sz w:val="20"/>
          <w:szCs w:val="20"/>
          <w:lang w:val="en-US"/>
        </w:rPr>
        <w:t>June 11, 2010,</w:t>
      </w:r>
      <w:r w:rsidRPr="0044330C">
        <w:rPr>
          <w:sz w:val="20"/>
          <w:szCs w:val="20"/>
        </w:rPr>
        <w:t xml:space="preserve"> is dismissed without costs.</w:t>
      </w:r>
    </w:p>
    <w:p w:rsidR="00986BBB" w:rsidRPr="00986BBB" w:rsidRDefault="00986BBB" w:rsidP="004704BD">
      <w:pPr>
        <w:rPr>
          <w:sz w:val="20"/>
          <w:szCs w:val="20"/>
        </w:rPr>
      </w:pPr>
    </w:p>
    <w:p w:rsidR="004704BD" w:rsidRDefault="004704BD" w:rsidP="004704BD">
      <w:pPr>
        <w:rPr>
          <w:sz w:val="20"/>
          <w:szCs w:val="20"/>
        </w:rPr>
      </w:pPr>
      <w:r>
        <w:rPr>
          <w:sz w:val="20"/>
          <w:szCs w:val="20"/>
          <w:u w:val="single"/>
        </w:rPr>
        <w:t>CASE SUMMARY</w:t>
      </w:r>
    </w:p>
    <w:p w:rsidR="004704BD" w:rsidRDefault="004704BD" w:rsidP="004704BD">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014ADB" w:rsidRPr="00120504" w:rsidTr="003261ED">
        <w:tc>
          <w:tcPr>
            <w:tcW w:w="5000" w:type="pct"/>
            <w:gridSpan w:val="3"/>
          </w:tcPr>
          <w:p w:rsidR="00014ADB" w:rsidRPr="00120504" w:rsidRDefault="00014ADB" w:rsidP="003261ED">
            <w:pPr>
              <w:jc w:val="both"/>
              <w:rPr>
                <w:rFonts w:eastAsia="Calibri"/>
                <w:sz w:val="20"/>
              </w:rPr>
            </w:pPr>
            <w:r w:rsidRPr="00120504">
              <w:rPr>
                <w:rFonts w:eastAsia="Calibri"/>
                <w:sz w:val="20"/>
              </w:rPr>
              <w:t>Criminal law – Wilful and forbidden acts in respect of certain property – Cruelty to animals – Causing unnecessary suffering – Whether Court of Appeal erred in dismissing applicant's motion for leave to appeal.</w:t>
            </w:r>
          </w:p>
          <w:p w:rsidR="00014ADB" w:rsidRPr="00120504" w:rsidRDefault="00014ADB" w:rsidP="003261ED">
            <w:pPr>
              <w:jc w:val="both"/>
              <w:rPr>
                <w:rFonts w:eastAsia="Calibri"/>
                <w:sz w:val="20"/>
              </w:rPr>
            </w:pPr>
          </w:p>
        </w:tc>
      </w:tr>
      <w:tr w:rsidR="00014ADB" w:rsidRPr="00120504" w:rsidTr="003261ED">
        <w:tc>
          <w:tcPr>
            <w:tcW w:w="5000" w:type="pct"/>
            <w:gridSpan w:val="3"/>
          </w:tcPr>
          <w:p w:rsidR="00014ADB" w:rsidRPr="00120504" w:rsidRDefault="00014ADB" w:rsidP="003261ED">
            <w:pPr>
              <w:jc w:val="both"/>
              <w:rPr>
                <w:rFonts w:eastAsia="Calibri"/>
                <w:sz w:val="20"/>
              </w:rPr>
            </w:pPr>
            <w:r w:rsidRPr="00120504">
              <w:rPr>
                <w:rFonts w:eastAsia="Calibri"/>
                <w:sz w:val="20"/>
              </w:rPr>
              <w:t xml:space="preserve">The applicant was acquitted of the offence of wilfully causing unnecessary pain, suffering or injury to an animal.  She appealed her acquittal, but her appeal was dismissed.  She then sought leave to appeal that decision to the Court of Appeal.  The Court of Appeal dismissed her motion on the basis that she was not entitled to appeal to the Superior Court under s. 813 of the </w:t>
            </w:r>
            <w:r w:rsidRPr="00120504">
              <w:rPr>
                <w:rFonts w:eastAsia="Calibri"/>
                <w:i/>
                <w:sz w:val="20"/>
              </w:rPr>
              <w:t>Criminal Code</w:t>
            </w:r>
            <w:r w:rsidRPr="00120504">
              <w:rPr>
                <w:rFonts w:eastAsia="Calibri"/>
                <w:sz w:val="20"/>
              </w:rPr>
              <w:t xml:space="preserve">, since under that section a defendant may appeal only from a conviction or order made against him or her. </w:t>
            </w:r>
          </w:p>
          <w:p w:rsidR="00014ADB" w:rsidRPr="00120504" w:rsidRDefault="00014ADB" w:rsidP="003261ED">
            <w:pPr>
              <w:jc w:val="both"/>
              <w:rPr>
                <w:rFonts w:eastAsia="Calibri"/>
                <w:sz w:val="20"/>
              </w:rPr>
            </w:pPr>
          </w:p>
        </w:tc>
      </w:tr>
      <w:tr w:rsidR="00014ADB" w:rsidRPr="00120504" w:rsidTr="003261ED">
        <w:tc>
          <w:tcPr>
            <w:tcW w:w="2427" w:type="pct"/>
          </w:tcPr>
          <w:p w:rsidR="00014ADB" w:rsidRPr="00120504" w:rsidRDefault="00014ADB" w:rsidP="003261ED">
            <w:pPr>
              <w:jc w:val="both"/>
              <w:rPr>
                <w:rFonts w:eastAsia="Calibri"/>
                <w:sz w:val="20"/>
              </w:rPr>
            </w:pPr>
            <w:r w:rsidRPr="00120504">
              <w:rPr>
                <w:rFonts w:eastAsia="Calibri"/>
                <w:sz w:val="20"/>
              </w:rPr>
              <w:t>June 23, 2009</w:t>
            </w:r>
          </w:p>
          <w:p w:rsidR="00014ADB" w:rsidRPr="00120504" w:rsidRDefault="00014ADB" w:rsidP="003261ED">
            <w:pPr>
              <w:jc w:val="both"/>
              <w:rPr>
                <w:rFonts w:eastAsia="Calibri"/>
                <w:sz w:val="20"/>
              </w:rPr>
            </w:pPr>
            <w:r w:rsidRPr="00120504">
              <w:rPr>
                <w:rFonts w:eastAsia="Calibri"/>
                <w:sz w:val="20"/>
              </w:rPr>
              <w:t>Court of Québec</w:t>
            </w:r>
          </w:p>
          <w:p w:rsidR="00014ADB" w:rsidRPr="00120504" w:rsidRDefault="00014ADB" w:rsidP="003261ED">
            <w:pPr>
              <w:jc w:val="both"/>
              <w:rPr>
                <w:rFonts w:eastAsia="Calibri"/>
                <w:sz w:val="20"/>
              </w:rPr>
            </w:pPr>
            <w:r w:rsidRPr="00120504">
              <w:rPr>
                <w:rFonts w:eastAsia="Calibri"/>
                <w:sz w:val="20"/>
              </w:rPr>
              <w:t>(Judge Mercier)</w:t>
            </w:r>
          </w:p>
          <w:p w:rsidR="00014ADB" w:rsidRPr="00120504" w:rsidRDefault="00014ADB" w:rsidP="003261ED">
            <w:pPr>
              <w:jc w:val="both"/>
              <w:rPr>
                <w:rFonts w:eastAsia="Calibri"/>
                <w:sz w:val="20"/>
              </w:rPr>
            </w:pPr>
            <w:r w:rsidRPr="00120504">
              <w:rPr>
                <w:rFonts w:eastAsia="Calibri"/>
                <w:sz w:val="20"/>
              </w:rPr>
              <w:t>2009 QCCQ 5736</w:t>
            </w:r>
          </w:p>
          <w:p w:rsidR="00014ADB" w:rsidRPr="00120504" w:rsidRDefault="00014ADB" w:rsidP="003261ED">
            <w:pPr>
              <w:jc w:val="both"/>
              <w:rPr>
                <w:rFonts w:eastAsia="Calibri"/>
                <w:sz w:val="20"/>
              </w:rPr>
            </w:pPr>
          </w:p>
        </w:tc>
        <w:tc>
          <w:tcPr>
            <w:tcW w:w="243" w:type="pct"/>
          </w:tcPr>
          <w:p w:rsidR="00014ADB" w:rsidRPr="00120504" w:rsidRDefault="00014ADB" w:rsidP="003261ED">
            <w:pPr>
              <w:jc w:val="both"/>
              <w:rPr>
                <w:rFonts w:eastAsia="Calibri"/>
                <w:sz w:val="20"/>
              </w:rPr>
            </w:pPr>
          </w:p>
        </w:tc>
        <w:tc>
          <w:tcPr>
            <w:tcW w:w="2330" w:type="pct"/>
          </w:tcPr>
          <w:p w:rsidR="00014ADB" w:rsidRPr="00120504" w:rsidRDefault="00014ADB" w:rsidP="003261ED">
            <w:pPr>
              <w:jc w:val="both"/>
              <w:rPr>
                <w:rFonts w:eastAsia="Calibri"/>
                <w:sz w:val="20"/>
              </w:rPr>
            </w:pPr>
            <w:r w:rsidRPr="00120504">
              <w:rPr>
                <w:rFonts w:eastAsia="Calibri"/>
                <w:sz w:val="20"/>
              </w:rPr>
              <w:t>Applicant acquitted of offence of wilfully causing unnecessary pain, suffering or injury to animal</w:t>
            </w:r>
          </w:p>
          <w:p w:rsidR="00014ADB" w:rsidRPr="00120504" w:rsidRDefault="00014ADB" w:rsidP="003261ED">
            <w:pPr>
              <w:jc w:val="both"/>
              <w:rPr>
                <w:rFonts w:eastAsia="Calibri"/>
                <w:sz w:val="20"/>
              </w:rPr>
            </w:pPr>
          </w:p>
        </w:tc>
      </w:tr>
      <w:tr w:rsidR="00014ADB" w:rsidRPr="00120504" w:rsidTr="003261ED">
        <w:tc>
          <w:tcPr>
            <w:tcW w:w="2427" w:type="pct"/>
          </w:tcPr>
          <w:p w:rsidR="00014ADB" w:rsidRPr="00120504" w:rsidRDefault="00014ADB" w:rsidP="003261ED">
            <w:pPr>
              <w:jc w:val="both"/>
              <w:rPr>
                <w:rFonts w:eastAsia="Calibri"/>
                <w:sz w:val="20"/>
              </w:rPr>
            </w:pPr>
            <w:r w:rsidRPr="00120504">
              <w:rPr>
                <w:rFonts w:eastAsia="Calibri"/>
                <w:sz w:val="20"/>
              </w:rPr>
              <w:t>January 18, 2010</w:t>
            </w:r>
          </w:p>
          <w:p w:rsidR="00014ADB" w:rsidRPr="00120504" w:rsidRDefault="00014ADB" w:rsidP="003261ED">
            <w:pPr>
              <w:jc w:val="both"/>
              <w:rPr>
                <w:rFonts w:eastAsia="Calibri"/>
                <w:sz w:val="20"/>
              </w:rPr>
            </w:pPr>
            <w:r w:rsidRPr="00120504">
              <w:rPr>
                <w:rFonts w:eastAsia="Calibri"/>
                <w:sz w:val="20"/>
              </w:rPr>
              <w:t>Quebec Superior Court</w:t>
            </w:r>
          </w:p>
          <w:p w:rsidR="00014ADB" w:rsidRPr="00120504" w:rsidRDefault="00014ADB" w:rsidP="003261ED">
            <w:pPr>
              <w:jc w:val="both"/>
              <w:rPr>
                <w:rFonts w:eastAsia="Calibri"/>
                <w:sz w:val="20"/>
              </w:rPr>
            </w:pPr>
            <w:r w:rsidRPr="00120504">
              <w:rPr>
                <w:rFonts w:eastAsia="Calibri"/>
                <w:sz w:val="20"/>
              </w:rPr>
              <w:t>(Vincent J.)</w:t>
            </w:r>
          </w:p>
          <w:p w:rsidR="00014ADB" w:rsidRPr="00120504" w:rsidRDefault="00014ADB" w:rsidP="003261ED">
            <w:pPr>
              <w:jc w:val="both"/>
              <w:rPr>
                <w:rFonts w:eastAsia="Calibri"/>
                <w:sz w:val="20"/>
              </w:rPr>
            </w:pPr>
          </w:p>
        </w:tc>
        <w:tc>
          <w:tcPr>
            <w:tcW w:w="243" w:type="pct"/>
          </w:tcPr>
          <w:p w:rsidR="00014ADB" w:rsidRPr="00120504" w:rsidRDefault="00014ADB" w:rsidP="003261ED">
            <w:pPr>
              <w:jc w:val="both"/>
              <w:rPr>
                <w:rFonts w:eastAsia="Calibri"/>
                <w:sz w:val="20"/>
              </w:rPr>
            </w:pPr>
          </w:p>
        </w:tc>
        <w:tc>
          <w:tcPr>
            <w:tcW w:w="2330" w:type="pct"/>
          </w:tcPr>
          <w:p w:rsidR="00014ADB" w:rsidRPr="00120504" w:rsidRDefault="00014ADB" w:rsidP="003261ED">
            <w:pPr>
              <w:jc w:val="both"/>
              <w:rPr>
                <w:rFonts w:eastAsia="Calibri"/>
                <w:sz w:val="20"/>
              </w:rPr>
            </w:pPr>
            <w:r w:rsidRPr="00120504">
              <w:rPr>
                <w:rFonts w:eastAsia="Calibri"/>
                <w:sz w:val="20"/>
              </w:rPr>
              <w:t>Respondent's motion to dismiss appeal allowed</w:t>
            </w:r>
          </w:p>
          <w:p w:rsidR="00014ADB" w:rsidRPr="00120504" w:rsidRDefault="00014ADB" w:rsidP="003261ED">
            <w:pPr>
              <w:jc w:val="both"/>
              <w:rPr>
                <w:rFonts w:eastAsia="Calibri"/>
                <w:sz w:val="20"/>
              </w:rPr>
            </w:pPr>
          </w:p>
        </w:tc>
      </w:tr>
      <w:tr w:rsidR="00014ADB" w:rsidRPr="00120504" w:rsidTr="003261ED">
        <w:tc>
          <w:tcPr>
            <w:tcW w:w="2427" w:type="pct"/>
          </w:tcPr>
          <w:p w:rsidR="00014ADB" w:rsidRPr="00120504" w:rsidRDefault="00014ADB" w:rsidP="003261ED">
            <w:pPr>
              <w:jc w:val="both"/>
              <w:rPr>
                <w:rFonts w:eastAsia="Calibri"/>
                <w:sz w:val="20"/>
              </w:rPr>
            </w:pPr>
            <w:r w:rsidRPr="00120504">
              <w:rPr>
                <w:rFonts w:eastAsia="Calibri"/>
                <w:sz w:val="20"/>
              </w:rPr>
              <w:t>June 11, 2010</w:t>
            </w:r>
          </w:p>
          <w:p w:rsidR="00014ADB" w:rsidRPr="00120504" w:rsidRDefault="00014ADB" w:rsidP="003261ED">
            <w:pPr>
              <w:jc w:val="both"/>
              <w:rPr>
                <w:rFonts w:eastAsia="Calibri"/>
                <w:sz w:val="20"/>
              </w:rPr>
            </w:pPr>
            <w:r w:rsidRPr="00120504">
              <w:rPr>
                <w:rFonts w:eastAsia="Calibri"/>
                <w:sz w:val="20"/>
              </w:rPr>
              <w:t>Quebec Court of Appeal (Montréal)</w:t>
            </w:r>
          </w:p>
          <w:p w:rsidR="00014ADB" w:rsidRPr="00120504" w:rsidRDefault="00014ADB" w:rsidP="003261ED">
            <w:pPr>
              <w:jc w:val="both"/>
              <w:rPr>
                <w:rFonts w:eastAsia="Calibri"/>
                <w:sz w:val="20"/>
              </w:rPr>
            </w:pPr>
            <w:r w:rsidRPr="00120504">
              <w:rPr>
                <w:rFonts w:eastAsia="Calibri"/>
                <w:sz w:val="20"/>
              </w:rPr>
              <w:t>(</w:t>
            </w:r>
            <w:proofErr w:type="spellStart"/>
            <w:r w:rsidRPr="00120504">
              <w:rPr>
                <w:rFonts w:eastAsia="Calibri"/>
                <w:sz w:val="20"/>
              </w:rPr>
              <w:t>Dalphond</w:t>
            </w:r>
            <w:proofErr w:type="spellEnd"/>
            <w:r w:rsidRPr="00120504">
              <w:rPr>
                <w:rFonts w:eastAsia="Calibri"/>
                <w:sz w:val="20"/>
              </w:rPr>
              <w:t xml:space="preserve"> J.A.)</w:t>
            </w:r>
          </w:p>
          <w:p w:rsidR="00014ADB" w:rsidRPr="00120504" w:rsidRDefault="00014ADB" w:rsidP="003261ED">
            <w:pPr>
              <w:jc w:val="both"/>
              <w:rPr>
                <w:rFonts w:eastAsia="Calibri"/>
                <w:sz w:val="20"/>
              </w:rPr>
            </w:pPr>
            <w:r w:rsidRPr="00120504">
              <w:rPr>
                <w:rFonts w:eastAsia="Calibri"/>
                <w:sz w:val="20"/>
              </w:rPr>
              <w:t>2010 QCCA 1146</w:t>
            </w:r>
          </w:p>
          <w:p w:rsidR="00014ADB" w:rsidRPr="00120504" w:rsidRDefault="00014ADB" w:rsidP="003261ED">
            <w:pPr>
              <w:jc w:val="both"/>
              <w:rPr>
                <w:rFonts w:eastAsia="Calibri"/>
                <w:sz w:val="20"/>
              </w:rPr>
            </w:pPr>
          </w:p>
        </w:tc>
        <w:tc>
          <w:tcPr>
            <w:tcW w:w="243" w:type="pct"/>
          </w:tcPr>
          <w:p w:rsidR="00014ADB" w:rsidRPr="00120504" w:rsidRDefault="00014ADB" w:rsidP="003261ED">
            <w:pPr>
              <w:jc w:val="both"/>
              <w:rPr>
                <w:rFonts w:eastAsia="Calibri"/>
                <w:sz w:val="20"/>
              </w:rPr>
            </w:pPr>
          </w:p>
        </w:tc>
        <w:tc>
          <w:tcPr>
            <w:tcW w:w="2330" w:type="pct"/>
          </w:tcPr>
          <w:p w:rsidR="00014ADB" w:rsidRPr="00120504" w:rsidRDefault="00014ADB" w:rsidP="003261ED">
            <w:pPr>
              <w:jc w:val="both"/>
              <w:rPr>
                <w:rFonts w:eastAsia="Calibri"/>
                <w:sz w:val="20"/>
              </w:rPr>
            </w:pPr>
            <w:r w:rsidRPr="00120504">
              <w:rPr>
                <w:rFonts w:eastAsia="Calibri"/>
                <w:sz w:val="20"/>
              </w:rPr>
              <w:t>Applicant's motion for leave to appeal dismissed</w:t>
            </w:r>
          </w:p>
          <w:p w:rsidR="00014ADB" w:rsidRPr="00120504" w:rsidRDefault="00014ADB" w:rsidP="003261ED">
            <w:pPr>
              <w:jc w:val="both"/>
              <w:rPr>
                <w:rFonts w:eastAsia="Calibri"/>
                <w:sz w:val="20"/>
              </w:rPr>
            </w:pPr>
          </w:p>
        </w:tc>
      </w:tr>
      <w:tr w:rsidR="00014ADB" w:rsidRPr="00120504" w:rsidTr="003261ED">
        <w:tc>
          <w:tcPr>
            <w:tcW w:w="2427" w:type="pct"/>
          </w:tcPr>
          <w:p w:rsidR="00014ADB" w:rsidRPr="00120504" w:rsidRDefault="00014ADB" w:rsidP="003261ED">
            <w:pPr>
              <w:jc w:val="both"/>
              <w:rPr>
                <w:rFonts w:eastAsia="Calibri"/>
                <w:sz w:val="20"/>
              </w:rPr>
            </w:pPr>
            <w:r w:rsidRPr="00120504">
              <w:rPr>
                <w:rFonts w:eastAsia="Calibri"/>
                <w:sz w:val="20"/>
              </w:rPr>
              <w:t>September 16, 2010</w:t>
            </w:r>
          </w:p>
          <w:p w:rsidR="00014ADB" w:rsidRPr="00120504" w:rsidRDefault="00014ADB" w:rsidP="003261ED">
            <w:pPr>
              <w:jc w:val="both"/>
              <w:rPr>
                <w:rFonts w:eastAsia="Calibri"/>
                <w:sz w:val="20"/>
              </w:rPr>
            </w:pPr>
            <w:r w:rsidRPr="00120504">
              <w:rPr>
                <w:rFonts w:eastAsia="Calibri"/>
                <w:sz w:val="20"/>
              </w:rPr>
              <w:t>Supreme Court of Canada</w:t>
            </w:r>
          </w:p>
          <w:p w:rsidR="00014ADB" w:rsidRPr="00120504" w:rsidRDefault="00014ADB" w:rsidP="003261ED">
            <w:pPr>
              <w:jc w:val="both"/>
              <w:rPr>
                <w:rFonts w:eastAsia="Calibri"/>
                <w:sz w:val="20"/>
              </w:rPr>
            </w:pPr>
          </w:p>
        </w:tc>
        <w:tc>
          <w:tcPr>
            <w:tcW w:w="243" w:type="pct"/>
          </w:tcPr>
          <w:p w:rsidR="00014ADB" w:rsidRPr="00120504" w:rsidRDefault="00014ADB" w:rsidP="003261ED">
            <w:pPr>
              <w:jc w:val="both"/>
              <w:rPr>
                <w:rFonts w:eastAsia="Calibri"/>
                <w:sz w:val="20"/>
              </w:rPr>
            </w:pPr>
          </w:p>
        </w:tc>
        <w:tc>
          <w:tcPr>
            <w:tcW w:w="2330" w:type="pct"/>
          </w:tcPr>
          <w:p w:rsidR="00014ADB" w:rsidRPr="00120504" w:rsidRDefault="00014ADB" w:rsidP="003261ED">
            <w:pPr>
              <w:jc w:val="both"/>
              <w:rPr>
                <w:rFonts w:eastAsia="Calibri"/>
                <w:sz w:val="20"/>
              </w:rPr>
            </w:pPr>
            <w:r w:rsidRPr="00120504">
              <w:rPr>
                <w:rFonts w:eastAsia="Calibri"/>
                <w:sz w:val="20"/>
              </w:rPr>
              <w:t>Application for leave to appeal filed</w:t>
            </w:r>
          </w:p>
        </w:tc>
      </w:tr>
      <w:tr w:rsidR="00014ADB" w:rsidRPr="00120504" w:rsidTr="003261ED">
        <w:tc>
          <w:tcPr>
            <w:tcW w:w="2427" w:type="pct"/>
          </w:tcPr>
          <w:p w:rsidR="00014ADB" w:rsidRPr="00120504" w:rsidRDefault="00014ADB" w:rsidP="003261ED">
            <w:pPr>
              <w:jc w:val="both"/>
              <w:rPr>
                <w:rFonts w:eastAsia="Calibri"/>
                <w:sz w:val="20"/>
              </w:rPr>
            </w:pPr>
            <w:r w:rsidRPr="00120504">
              <w:rPr>
                <w:rFonts w:eastAsia="Calibri"/>
                <w:sz w:val="20"/>
              </w:rPr>
              <w:t>November 3, 2010</w:t>
            </w:r>
          </w:p>
          <w:p w:rsidR="00014ADB" w:rsidRPr="00120504" w:rsidRDefault="00014ADB" w:rsidP="003261ED">
            <w:pPr>
              <w:jc w:val="both"/>
              <w:rPr>
                <w:rFonts w:eastAsia="Calibri"/>
                <w:sz w:val="20"/>
              </w:rPr>
            </w:pPr>
            <w:r w:rsidRPr="00120504">
              <w:rPr>
                <w:rFonts w:eastAsia="Calibri"/>
                <w:sz w:val="20"/>
              </w:rPr>
              <w:t>Supreme Court of Canada</w:t>
            </w:r>
          </w:p>
        </w:tc>
        <w:tc>
          <w:tcPr>
            <w:tcW w:w="243" w:type="pct"/>
          </w:tcPr>
          <w:p w:rsidR="00014ADB" w:rsidRPr="00120504" w:rsidRDefault="00014ADB" w:rsidP="003261ED">
            <w:pPr>
              <w:jc w:val="both"/>
              <w:rPr>
                <w:rFonts w:eastAsia="Calibri"/>
                <w:sz w:val="20"/>
              </w:rPr>
            </w:pPr>
          </w:p>
        </w:tc>
        <w:tc>
          <w:tcPr>
            <w:tcW w:w="2330" w:type="pct"/>
          </w:tcPr>
          <w:p w:rsidR="00014ADB" w:rsidRPr="00120504" w:rsidRDefault="00014ADB" w:rsidP="003261ED">
            <w:pPr>
              <w:jc w:val="both"/>
              <w:rPr>
                <w:rFonts w:eastAsia="Calibri"/>
                <w:sz w:val="20"/>
              </w:rPr>
            </w:pPr>
            <w:r w:rsidRPr="00120504">
              <w:rPr>
                <w:rFonts w:eastAsia="Calibri"/>
                <w:sz w:val="20"/>
              </w:rPr>
              <w:t>Application to extend time to serve and file application for leave filed</w:t>
            </w:r>
          </w:p>
        </w:tc>
      </w:tr>
    </w:tbl>
    <w:p w:rsidR="004704BD" w:rsidRPr="004704BD" w:rsidRDefault="004704BD" w:rsidP="004704BD">
      <w:pPr>
        <w:rPr>
          <w:sz w:val="20"/>
          <w:szCs w:val="20"/>
        </w:rPr>
      </w:pPr>
    </w:p>
    <w:p w:rsidR="004704BD" w:rsidRDefault="0004334C" w:rsidP="004704BD">
      <w:pPr>
        <w:rPr>
          <w:sz w:val="20"/>
          <w:szCs w:val="20"/>
          <w:lang w:val="fr-CA"/>
        </w:rPr>
      </w:pPr>
      <w:r w:rsidRPr="0004334C">
        <w:rPr>
          <w:sz w:val="20"/>
          <w:szCs w:val="20"/>
          <w:lang w:val="fr-CA"/>
        </w:rPr>
        <w:pict>
          <v:rect id="_x0000_i1060" style="width:2in;height:1pt" o:hrpct="0" o:hralign="center" o:hrstd="t" o:hrnoshade="t" o:hr="t" fillcolor="black [3213]" stroked="f"/>
        </w:pict>
      </w:r>
    </w:p>
    <w:p w:rsidR="00986BBB" w:rsidRDefault="00986BBB">
      <w:pPr>
        <w:rPr>
          <w:sz w:val="20"/>
          <w:szCs w:val="20"/>
          <w:lang w:val="fr-CA"/>
        </w:rPr>
      </w:pPr>
      <w:r>
        <w:rPr>
          <w:sz w:val="20"/>
          <w:szCs w:val="20"/>
          <w:lang w:val="fr-CA"/>
        </w:rPr>
        <w:br w:type="page"/>
      </w:r>
    </w:p>
    <w:p w:rsidR="004704BD" w:rsidRPr="004704BD" w:rsidRDefault="004704BD" w:rsidP="004704BD">
      <w:pPr>
        <w:rPr>
          <w:sz w:val="20"/>
          <w:szCs w:val="20"/>
          <w:lang w:val="fr-CA"/>
        </w:rPr>
      </w:pPr>
      <w:r>
        <w:rPr>
          <w:sz w:val="20"/>
          <w:szCs w:val="20"/>
          <w:u w:val="single"/>
          <w:lang w:val="fr-CA"/>
        </w:rPr>
        <w:lastRenderedPageBreak/>
        <w:t>RÉSUMÉ DE L’AFFAIRE</w:t>
      </w:r>
    </w:p>
    <w:p w:rsidR="004704BD" w:rsidRDefault="004704BD" w:rsidP="004704BD">
      <w:pPr>
        <w:rPr>
          <w:sz w:val="20"/>
          <w:szCs w:val="20"/>
          <w:lang w:val="fr-CA"/>
        </w:rPr>
      </w:pPr>
    </w:p>
    <w:tbl>
      <w:tblPr>
        <w:tblW w:w="4952" w:type="pct"/>
        <w:tblLayout w:type="fixed"/>
        <w:tblCellMar>
          <w:left w:w="0" w:type="dxa"/>
          <w:bottom w:w="99" w:type="dxa"/>
          <w:right w:w="0" w:type="dxa"/>
        </w:tblCellMar>
        <w:tblLook w:val="04A0"/>
      </w:tblPr>
      <w:tblGrid>
        <w:gridCol w:w="4624"/>
        <w:gridCol w:w="463"/>
        <w:gridCol w:w="4440"/>
      </w:tblGrid>
      <w:tr w:rsidR="00014ADB" w:rsidRPr="001602E4" w:rsidTr="003261ED">
        <w:tc>
          <w:tcPr>
            <w:tcW w:w="5000" w:type="pct"/>
            <w:gridSpan w:val="3"/>
          </w:tcPr>
          <w:p w:rsidR="00014ADB" w:rsidRPr="00120504" w:rsidRDefault="00014ADB" w:rsidP="003261ED">
            <w:pPr>
              <w:jc w:val="both"/>
              <w:rPr>
                <w:rFonts w:eastAsia="Calibri"/>
                <w:sz w:val="20"/>
                <w:lang w:val="fr-CA"/>
              </w:rPr>
            </w:pPr>
            <w:r w:rsidRPr="00120504">
              <w:rPr>
                <w:rFonts w:eastAsia="Calibri"/>
                <w:sz w:val="20"/>
                <w:lang w:val="fr-CA"/>
              </w:rPr>
              <w:t>Droit criminel – Actes volontaires et prohibés concernant certains biens – Cruauté envers les animaux – Faire souffrir inutilement un animal – La Cour d’appel a-t-elle fait erreur en rejetant la requête de la demanderesse pour permission d’appeler?</w:t>
            </w:r>
          </w:p>
          <w:p w:rsidR="00014ADB" w:rsidRPr="00120504" w:rsidRDefault="00014ADB" w:rsidP="003261ED">
            <w:pPr>
              <w:jc w:val="both"/>
              <w:rPr>
                <w:rFonts w:eastAsia="Calibri"/>
                <w:sz w:val="20"/>
                <w:lang w:val="fr-CA"/>
              </w:rPr>
            </w:pPr>
          </w:p>
        </w:tc>
      </w:tr>
      <w:tr w:rsidR="00014ADB" w:rsidRPr="001602E4" w:rsidTr="003261ED">
        <w:tc>
          <w:tcPr>
            <w:tcW w:w="5000" w:type="pct"/>
            <w:gridSpan w:val="3"/>
          </w:tcPr>
          <w:p w:rsidR="00014ADB" w:rsidRPr="00120504" w:rsidRDefault="00014ADB" w:rsidP="003261ED">
            <w:pPr>
              <w:jc w:val="both"/>
              <w:rPr>
                <w:rFonts w:eastAsia="Calibri"/>
                <w:sz w:val="20"/>
                <w:lang w:val="fr-FR"/>
              </w:rPr>
            </w:pPr>
            <w:r w:rsidRPr="00120504">
              <w:rPr>
                <w:rFonts w:eastAsia="Calibri"/>
                <w:sz w:val="20"/>
                <w:lang w:val="fr-CA"/>
              </w:rPr>
              <w:t xml:space="preserve">La demanderesse est acquittée de l’infraction d’avoir </w:t>
            </w:r>
            <w:r w:rsidRPr="00120504">
              <w:rPr>
                <w:rFonts w:eastAsia="Calibri"/>
                <w:sz w:val="20"/>
                <w:lang w:val="fr-FR"/>
              </w:rPr>
              <w:t xml:space="preserve">volontairement causé à un animal une douleur, souffrance ou blessure, sans nécessité. Elle se pourvoi sans succès contre son acquittement. Elle sollicite ensuite chez la Cour d’appel permission d’appeler de cette décision. La Cour d’appel rejette la requête de la demanderesse au motif que cette dernière ne bénéficiait pas d’un droit d’appel à la Cour supérieure en vertu de l’art. 813 du </w:t>
            </w:r>
            <w:r w:rsidRPr="00120504">
              <w:rPr>
                <w:rFonts w:eastAsia="Calibri"/>
                <w:i/>
                <w:sz w:val="20"/>
                <w:lang w:val="fr-FR"/>
              </w:rPr>
              <w:t>Code criminel</w:t>
            </w:r>
            <w:r w:rsidRPr="00120504">
              <w:rPr>
                <w:rFonts w:eastAsia="Calibri"/>
                <w:sz w:val="20"/>
                <w:lang w:val="fr-FR"/>
              </w:rPr>
              <w:t xml:space="preserve"> puisque cette disposition énonce qu’un défendeur peut uniquement appeler d’une condamnation ou d’une ordonnance rendue contre lui. </w:t>
            </w:r>
          </w:p>
          <w:p w:rsidR="00014ADB" w:rsidRPr="00120504" w:rsidRDefault="00014ADB" w:rsidP="003261ED">
            <w:pPr>
              <w:jc w:val="both"/>
              <w:rPr>
                <w:rFonts w:eastAsia="Calibri"/>
                <w:sz w:val="20"/>
                <w:lang w:val="fr-FR"/>
              </w:rPr>
            </w:pPr>
          </w:p>
        </w:tc>
      </w:tr>
      <w:tr w:rsidR="00014ADB" w:rsidRPr="001602E4" w:rsidTr="003261ED">
        <w:tc>
          <w:tcPr>
            <w:tcW w:w="2427" w:type="pct"/>
          </w:tcPr>
          <w:p w:rsidR="00014ADB" w:rsidRPr="00120504" w:rsidRDefault="00014ADB" w:rsidP="003261ED">
            <w:pPr>
              <w:jc w:val="both"/>
              <w:rPr>
                <w:rFonts w:eastAsia="Calibri"/>
                <w:sz w:val="20"/>
                <w:lang w:val="fr-CA"/>
              </w:rPr>
            </w:pPr>
            <w:r w:rsidRPr="00120504">
              <w:rPr>
                <w:rFonts w:eastAsia="Calibri"/>
                <w:sz w:val="20"/>
                <w:lang w:val="fr-CA"/>
              </w:rPr>
              <w:t>Le 23 juin 2009</w:t>
            </w:r>
          </w:p>
          <w:p w:rsidR="00014ADB" w:rsidRPr="00120504" w:rsidRDefault="00014ADB" w:rsidP="003261ED">
            <w:pPr>
              <w:jc w:val="both"/>
              <w:rPr>
                <w:rFonts w:eastAsia="Calibri"/>
                <w:sz w:val="20"/>
                <w:lang w:val="fr-CA"/>
              </w:rPr>
            </w:pPr>
            <w:r w:rsidRPr="00120504">
              <w:rPr>
                <w:rFonts w:eastAsia="Calibri"/>
                <w:sz w:val="20"/>
                <w:lang w:val="fr-CA"/>
              </w:rPr>
              <w:t>Cour du Québec</w:t>
            </w:r>
          </w:p>
          <w:p w:rsidR="00014ADB" w:rsidRPr="00120504" w:rsidRDefault="00014ADB" w:rsidP="003261ED">
            <w:pPr>
              <w:jc w:val="both"/>
              <w:rPr>
                <w:rFonts w:eastAsia="Calibri"/>
                <w:sz w:val="20"/>
                <w:lang w:val="fr-CA"/>
              </w:rPr>
            </w:pPr>
            <w:r w:rsidRPr="00120504">
              <w:rPr>
                <w:rFonts w:eastAsia="Calibri"/>
                <w:sz w:val="20"/>
                <w:lang w:val="fr-CA"/>
              </w:rPr>
              <w:t>(Le juge Mercier)</w:t>
            </w:r>
          </w:p>
          <w:p w:rsidR="00014ADB" w:rsidRPr="00120504" w:rsidRDefault="00014ADB" w:rsidP="003261ED">
            <w:pPr>
              <w:jc w:val="both"/>
              <w:rPr>
                <w:rFonts w:eastAsia="Calibri"/>
                <w:sz w:val="20"/>
                <w:lang w:val="fr-CA"/>
              </w:rPr>
            </w:pPr>
            <w:r w:rsidRPr="00120504">
              <w:rPr>
                <w:rFonts w:eastAsia="Calibri"/>
                <w:sz w:val="20"/>
                <w:lang w:val="fr-CA"/>
              </w:rPr>
              <w:t>2009 QCCQ 5736</w:t>
            </w:r>
          </w:p>
          <w:p w:rsidR="00014ADB" w:rsidRPr="00120504" w:rsidRDefault="00014ADB" w:rsidP="003261ED">
            <w:pPr>
              <w:jc w:val="both"/>
              <w:rPr>
                <w:rFonts w:eastAsia="Calibri"/>
                <w:sz w:val="20"/>
                <w:lang w:val="fr-CA"/>
              </w:rPr>
            </w:pPr>
          </w:p>
        </w:tc>
        <w:tc>
          <w:tcPr>
            <w:tcW w:w="243" w:type="pct"/>
          </w:tcPr>
          <w:p w:rsidR="00014ADB" w:rsidRPr="00120504" w:rsidRDefault="00014ADB" w:rsidP="003261ED">
            <w:pPr>
              <w:jc w:val="both"/>
              <w:rPr>
                <w:rFonts w:eastAsia="Calibri"/>
                <w:sz w:val="20"/>
                <w:lang w:val="fr-CA"/>
              </w:rPr>
            </w:pPr>
          </w:p>
        </w:tc>
        <w:tc>
          <w:tcPr>
            <w:tcW w:w="2330" w:type="pct"/>
          </w:tcPr>
          <w:p w:rsidR="00014ADB" w:rsidRPr="00120504" w:rsidRDefault="00014ADB" w:rsidP="003261ED">
            <w:pPr>
              <w:jc w:val="both"/>
              <w:rPr>
                <w:rFonts w:eastAsia="Calibri"/>
                <w:sz w:val="20"/>
                <w:lang w:val="fr-FR"/>
              </w:rPr>
            </w:pPr>
            <w:r w:rsidRPr="00120504">
              <w:rPr>
                <w:rFonts w:eastAsia="Calibri"/>
                <w:sz w:val="20"/>
                <w:lang w:val="fr-CA"/>
              </w:rPr>
              <w:t xml:space="preserve">Demanderesse acquittée de l’infraction d’avoir </w:t>
            </w:r>
            <w:r w:rsidRPr="00120504">
              <w:rPr>
                <w:rFonts w:eastAsia="Calibri"/>
                <w:sz w:val="20"/>
                <w:lang w:val="fr-FR"/>
              </w:rPr>
              <w:t>volontairement causé à un animal une douleur, souffrance ou blessure, sans nécessité</w:t>
            </w:r>
          </w:p>
          <w:p w:rsidR="00014ADB" w:rsidRPr="00120504" w:rsidRDefault="00014ADB" w:rsidP="003261ED">
            <w:pPr>
              <w:jc w:val="both"/>
              <w:rPr>
                <w:rFonts w:eastAsia="Calibri"/>
                <w:sz w:val="20"/>
                <w:lang w:val="fr-FR"/>
              </w:rPr>
            </w:pPr>
          </w:p>
        </w:tc>
      </w:tr>
      <w:tr w:rsidR="00014ADB" w:rsidRPr="001602E4" w:rsidTr="003261ED">
        <w:tc>
          <w:tcPr>
            <w:tcW w:w="2427" w:type="pct"/>
          </w:tcPr>
          <w:p w:rsidR="00014ADB" w:rsidRPr="00120504" w:rsidRDefault="00014ADB" w:rsidP="003261ED">
            <w:pPr>
              <w:jc w:val="both"/>
              <w:rPr>
                <w:rFonts w:eastAsia="Calibri"/>
                <w:sz w:val="20"/>
                <w:lang w:val="fr-CA"/>
              </w:rPr>
            </w:pPr>
            <w:r w:rsidRPr="00120504">
              <w:rPr>
                <w:rFonts w:eastAsia="Calibri"/>
                <w:sz w:val="20"/>
                <w:lang w:val="fr-CA"/>
              </w:rPr>
              <w:t>Le 18 janvier 2010</w:t>
            </w:r>
          </w:p>
          <w:p w:rsidR="00014ADB" w:rsidRPr="00120504" w:rsidRDefault="00014ADB" w:rsidP="003261ED">
            <w:pPr>
              <w:jc w:val="both"/>
              <w:rPr>
                <w:rFonts w:eastAsia="Calibri"/>
                <w:sz w:val="20"/>
                <w:lang w:val="fr-CA"/>
              </w:rPr>
            </w:pPr>
            <w:r w:rsidRPr="00120504">
              <w:rPr>
                <w:rFonts w:eastAsia="Calibri"/>
                <w:sz w:val="20"/>
                <w:lang w:val="fr-CA"/>
              </w:rPr>
              <w:t>Cour supérieure du Québec</w:t>
            </w:r>
          </w:p>
          <w:p w:rsidR="00014ADB" w:rsidRPr="00120504" w:rsidRDefault="00014ADB" w:rsidP="003261ED">
            <w:pPr>
              <w:jc w:val="both"/>
              <w:rPr>
                <w:rFonts w:eastAsia="Calibri"/>
                <w:sz w:val="20"/>
                <w:lang w:val="fr-CA"/>
              </w:rPr>
            </w:pPr>
            <w:r w:rsidRPr="00120504">
              <w:rPr>
                <w:rFonts w:eastAsia="Calibri"/>
                <w:sz w:val="20"/>
                <w:lang w:val="fr-CA"/>
              </w:rPr>
              <w:t>(Le juge Vincent)</w:t>
            </w:r>
          </w:p>
          <w:p w:rsidR="00014ADB" w:rsidRPr="00120504" w:rsidRDefault="00014ADB" w:rsidP="003261ED">
            <w:pPr>
              <w:jc w:val="both"/>
              <w:rPr>
                <w:rFonts w:eastAsia="Calibri"/>
                <w:sz w:val="20"/>
              </w:rPr>
            </w:pPr>
          </w:p>
        </w:tc>
        <w:tc>
          <w:tcPr>
            <w:tcW w:w="243" w:type="pct"/>
          </w:tcPr>
          <w:p w:rsidR="00014ADB" w:rsidRPr="00120504" w:rsidRDefault="00014ADB" w:rsidP="003261ED">
            <w:pPr>
              <w:jc w:val="both"/>
              <w:rPr>
                <w:rFonts w:eastAsia="Calibri"/>
                <w:sz w:val="20"/>
              </w:rPr>
            </w:pPr>
          </w:p>
        </w:tc>
        <w:tc>
          <w:tcPr>
            <w:tcW w:w="2330" w:type="pct"/>
          </w:tcPr>
          <w:p w:rsidR="00014ADB" w:rsidRPr="00120504" w:rsidRDefault="00014ADB" w:rsidP="003261ED">
            <w:pPr>
              <w:jc w:val="both"/>
              <w:rPr>
                <w:rFonts w:eastAsia="Calibri"/>
                <w:sz w:val="20"/>
                <w:lang w:val="fr-CA"/>
              </w:rPr>
            </w:pPr>
            <w:r w:rsidRPr="00120504">
              <w:rPr>
                <w:rFonts w:eastAsia="Calibri"/>
                <w:sz w:val="20"/>
                <w:lang w:val="fr-CA"/>
              </w:rPr>
              <w:t>Requête de l’intimée en rejet d'appel accueillie</w:t>
            </w:r>
          </w:p>
          <w:p w:rsidR="00014ADB" w:rsidRPr="00120504" w:rsidRDefault="00014ADB" w:rsidP="003261ED">
            <w:pPr>
              <w:jc w:val="both"/>
              <w:rPr>
                <w:rFonts w:eastAsia="Calibri"/>
                <w:sz w:val="20"/>
                <w:lang w:val="fr-CA"/>
              </w:rPr>
            </w:pPr>
          </w:p>
        </w:tc>
      </w:tr>
      <w:tr w:rsidR="00014ADB" w:rsidRPr="001602E4" w:rsidTr="003261ED">
        <w:tc>
          <w:tcPr>
            <w:tcW w:w="2427" w:type="pct"/>
          </w:tcPr>
          <w:p w:rsidR="00014ADB" w:rsidRPr="00120504" w:rsidRDefault="00014ADB" w:rsidP="003261ED">
            <w:pPr>
              <w:jc w:val="both"/>
              <w:rPr>
                <w:rFonts w:eastAsia="Calibri"/>
                <w:sz w:val="20"/>
                <w:lang w:val="fr-CA"/>
              </w:rPr>
            </w:pPr>
            <w:r w:rsidRPr="00120504">
              <w:rPr>
                <w:rFonts w:eastAsia="Calibri"/>
                <w:sz w:val="20"/>
                <w:lang w:val="fr-CA"/>
              </w:rPr>
              <w:t>Le 11 juin 2010</w:t>
            </w:r>
          </w:p>
          <w:p w:rsidR="00014ADB" w:rsidRPr="00120504" w:rsidRDefault="00014ADB" w:rsidP="003261ED">
            <w:pPr>
              <w:jc w:val="both"/>
              <w:rPr>
                <w:rFonts w:eastAsia="Calibri"/>
                <w:sz w:val="20"/>
                <w:lang w:val="fr-CA"/>
              </w:rPr>
            </w:pPr>
            <w:r w:rsidRPr="00120504">
              <w:rPr>
                <w:rFonts w:eastAsia="Calibri"/>
                <w:sz w:val="20"/>
                <w:lang w:val="fr-CA"/>
              </w:rPr>
              <w:t>Cour d’appel du Québec (Montréal)</w:t>
            </w:r>
          </w:p>
          <w:p w:rsidR="00014ADB" w:rsidRPr="00120504" w:rsidRDefault="00014ADB" w:rsidP="003261ED">
            <w:pPr>
              <w:jc w:val="both"/>
              <w:rPr>
                <w:rFonts w:eastAsia="Calibri"/>
                <w:sz w:val="20"/>
                <w:lang w:val="fr-CA"/>
              </w:rPr>
            </w:pPr>
            <w:r w:rsidRPr="00120504">
              <w:rPr>
                <w:rFonts w:eastAsia="Calibri"/>
                <w:sz w:val="20"/>
                <w:lang w:val="fr-CA"/>
              </w:rPr>
              <w:t xml:space="preserve">(Le juge </w:t>
            </w:r>
            <w:proofErr w:type="spellStart"/>
            <w:r w:rsidRPr="00120504">
              <w:rPr>
                <w:rFonts w:eastAsia="Calibri"/>
                <w:sz w:val="20"/>
                <w:lang w:val="fr-CA"/>
              </w:rPr>
              <w:t>Dalphond</w:t>
            </w:r>
            <w:proofErr w:type="spellEnd"/>
            <w:r w:rsidRPr="00120504">
              <w:rPr>
                <w:rFonts w:eastAsia="Calibri"/>
                <w:sz w:val="20"/>
                <w:lang w:val="fr-CA"/>
              </w:rPr>
              <w:t>)</w:t>
            </w:r>
          </w:p>
          <w:p w:rsidR="00014ADB" w:rsidRPr="00120504" w:rsidRDefault="00014ADB" w:rsidP="003261ED">
            <w:pPr>
              <w:jc w:val="both"/>
              <w:rPr>
                <w:rFonts w:eastAsia="Calibri"/>
                <w:sz w:val="20"/>
                <w:lang w:val="fr-CA"/>
              </w:rPr>
            </w:pPr>
            <w:r w:rsidRPr="00120504">
              <w:rPr>
                <w:rFonts w:eastAsia="Calibri"/>
                <w:sz w:val="20"/>
                <w:lang w:val="fr-CA"/>
              </w:rPr>
              <w:t>2010 QCCA 1146</w:t>
            </w:r>
          </w:p>
          <w:p w:rsidR="00014ADB" w:rsidRPr="00120504" w:rsidRDefault="00014ADB" w:rsidP="003261ED">
            <w:pPr>
              <w:jc w:val="both"/>
              <w:rPr>
                <w:rFonts w:eastAsia="Calibri"/>
                <w:sz w:val="20"/>
              </w:rPr>
            </w:pPr>
          </w:p>
        </w:tc>
        <w:tc>
          <w:tcPr>
            <w:tcW w:w="243" w:type="pct"/>
          </w:tcPr>
          <w:p w:rsidR="00014ADB" w:rsidRPr="00120504" w:rsidRDefault="00014ADB" w:rsidP="003261ED">
            <w:pPr>
              <w:jc w:val="both"/>
              <w:rPr>
                <w:rFonts w:eastAsia="Calibri"/>
                <w:sz w:val="20"/>
              </w:rPr>
            </w:pPr>
          </w:p>
        </w:tc>
        <w:tc>
          <w:tcPr>
            <w:tcW w:w="2330" w:type="pct"/>
          </w:tcPr>
          <w:p w:rsidR="00014ADB" w:rsidRPr="00120504" w:rsidRDefault="00014ADB" w:rsidP="003261ED">
            <w:pPr>
              <w:jc w:val="both"/>
              <w:rPr>
                <w:rFonts w:eastAsia="Calibri"/>
                <w:sz w:val="20"/>
                <w:lang w:val="fr-CA"/>
              </w:rPr>
            </w:pPr>
            <w:r w:rsidRPr="00120504">
              <w:rPr>
                <w:rFonts w:eastAsia="Calibri"/>
                <w:sz w:val="20"/>
                <w:lang w:val="fr-CA"/>
              </w:rPr>
              <w:t>Requête de la demanderesse pour permission d’appeler rejetée</w:t>
            </w:r>
          </w:p>
          <w:p w:rsidR="00014ADB" w:rsidRPr="00120504" w:rsidRDefault="00014ADB" w:rsidP="003261ED">
            <w:pPr>
              <w:jc w:val="both"/>
              <w:rPr>
                <w:rFonts w:eastAsia="Calibri"/>
                <w:sz w:val="20"/>
                <w:lang w:val="fr-CA"/>
              </w:rPr>
            </w:pPr>
          </w:p>
        </w:tc>
      </w:tr>
      <w:tr w:rsidR="00014ADB" w:rsidRPr="00120504" w:rsidTr="003261ED">
        <w:tc>
          <w:tcPr>
            <w:tcW w:w="2427" w:type="pct"/>
          </w:tcPr>
          <w:p w:rsidR="00014ADB" w:rsidRPr="00120504" w:rsidRDefault="00014ADB" w:rsidP="003261ED">
            <w:pPr>
              <w:jc w:val="both"/>
              <w:rPr>
                <w:rFonts w:eastAsia="Calibri"/>
                <w:sz w:val="20"/>
                <w:lang w:val="fr-CA"/>
              </w:rPr>
            </w:pPr>
            <w:r w:rsidRPr="00120504">
              <w:rPr>
                <w:rFonts w:eastAsia="Calibri"/>
                <w:sz w:val="20"/>
                <w:lang w:val="fr-CA"/>
              </w:rPr>
              <w:t>Le 16 septembre 2010</w:t>
            </w:r>
          </w:p>
          <w:p w:rsidR="00014ADB" w:rsidRPr="00120504" w:rsidRDefault="00014ADB" w:rsidP="003261ED">
            <w:pPr>
              <w:jc w:val="both"/>
              <w:rPr>
                <w:rFonts w:eastAsia="Calibri"/>
                <w:sz w:val="20"/>
                <w:lang w:val="fr-CA"/>
              </w:rPr>
            </w:pPr>
            <w:r w:rsidRPr="00120504">
              <w:rPr>
                <w:rFonts w:eastAsia="Calibri"/>
                <w:sz w:val="20"/>
                <w:lang w:val="fr-CA"/>
              </w:rPr>
              <w:t>Cour suprême du Canada</w:t>
            </w:r>
          </w:p>
          <w:p w:rsidR="00014ADB" w:rsidRPr="00120504" w:rsidRDefault="00014ADB" w:rsidP="003261ED">
            <w:pPr>
              <w:jc w:val="both"/>
              <w:rPr>
                <w:rFonts w:eastAsia="Calibri"/>
                <w:sz w:val="20"/>
                <w:lang w:val="fr-CA"/>
              </w:rPr>
            </w:pPr>
          </w:p>
        </w:tc>
        <w:tc>
          <w:tcPr>
            <w:tcW w:w="243" w:type="pct"/>
          </w:tcPr>
          <w:p w:rsidR="00014ADB" w:rsidRPr="00120504" w:rsidRDefault="00014ADB" w:rsidP="003261ED">
            <w:pPr>
              <w:jc w:val="both"/>
              <w:rPr>
                <w:rFonts w:eastAsia="Calibri"/>
                <w:sz w:val="20"/>
                <w:lang w:val="fr-CA"/>
              </w:rPr>
            </w:pPr>
          </w:p>
        </w:tc>
        <w:tc>
          <w:tcPr>
            <w:tcW w:w="2330" w:type="pct"/>
          </w:tcPr>
          <w:p w:rsidR="00014ADB" w:rsidRPr="00120504" w:rsidRDefault="00014ADB" w:rsidP="003261ED">
            <w:pPr>
              <w:jc w:val="both"/>
              <w:rPr>
                <w:rFonts w:eastAsia="Calibri"/>
                <w:sz w:val="20"/>
                <w:lang w:val="fr-CA"/>
              </w:rPr>
            </w:pPr>
            <w:r w:rsidRPr="00120504">
              <w:rPr>
                <w:rFonts w:eastAsia="Calibri"/>
                <w:sz w:val="20"/>
                <w:lang w:val="fr-CA"/>
              </w:rPr>
              <w:t>Demande d'autorisation d'appel déposée</w:t>
            </w:r>
          </w:p>
        </w:tc>
      </w:tr>
      <w:tr w:rsidR="00014ADB" w:rsidRPr="001602E4" w:rsidTr="003261ED">
        <w:tc>
          <w:tcPr>
            <w:tcW w:w="2427" w:type="pct"/>
          </w:tcPr>
          <w:p w:rsidR="00014ADB" w:rsidRPr="00120504" w:rsidRDefault="00014ADB" w:rsidP="003261ED">
            <w:pPr>
              <w:jc w:val="both"/>
              <w:rPr>
                <w:rFonts w:eastAsia="Calibri"/>
                <w:sz w:val="20"/>
                <w:lang w:val="fr-CA"/>
              </w:rPr>
            </w:pPr>
            <w:r w:rsidRPr="00120504">
              <w:rPr>
                <w:rFonts w:eastAsia="Calibri"/>
                <w:sz w:val="20"/>
                <w:lang w:val="fr-CA"/>
              </w:rPr>
              <w:t>Le 3 novembre 2010</w:t>
            </w:r>
          </w:p>
          <w:p w:rsidR="00014ADB" w:rsidRPr="00120504" w:rsidRDefault="00014ADB" w:rsidP="003261ED">
            <w:pPr>
              <w:jc w:val="both"/>
              <w:rPr>
                <w:rFonts w:eastAsia="Calibri"/>
                <w:sz w:val="20"/>
                <w:lang w:val="fr-CA"/>
              </w:rPr>
            </w:pPr>
            <w:r w:rsidRPr="00120504">
              <w:rPr>
                <w:rFonts w:eastAsia="Calibri"/>
                <w:sz w:val="20"/>
                <w:lang w:val="fr-CA"/>
              </w:rPr>
              <w:t>Cour suprême du Canada</w:t>
            </w:r>
          </w:p>
        </w:tc>
        <w:tc>
          <w:tcPr>
            <w:tcW w:w="243" w:type="pct"/>
          </w:tcPr>
          <w:p w:rsidR="00014ADB" w:rsidRPr="00120504" w:rsidRDefault="00014ADB" w:rsidP="003261ED">
            <w:pPr>
              <w:jc w:val="both"/>
              <w:rPr>
                <w:rFonts w:eastAsia="Calibri"/>
                <w:sz w:val="20"/>
                <w:lang w:val="fr-CA"/>
              </w:rPr>
            </w:pPr>
          </w:p>
        </w:tc>
        <w:tc>
          <w:tcPr>
            <w:tcW w:w="2330" w:type="pct"/>
          </w:tcPr>
          <w:p w:rsidR="00014ADB" w:rsidRPr="00120504" w:rsidRDefault="00014ADB" w:rsidP="003261ED">
            <w:pPr>
              <w:jc w:val="both"/>
              <w:rPr>
                <w:rFonts w:eastAsia="Calibri"/>
                <w:sz w:val="20"/>
                <w:lang w:val="fr-CA"/>
              </w:rPr>
            </w:pPr>
            <w:r w:rsidRPr="00120504">
              <w:rPr>
                <w:rFonts w:eastAsia="Calibri"/>
                <w:sz w:val="20"/>
                <w:lang w:val="fr-CA"/>
              </w:rPr>
              <w:t>Demande de prorogation de délai pour signifier et déposer la demande d’autorisation déposée</w:t>
            </w:r>
          </w:p>
        </w:tc>
      </w:tr>
    </w:tbl>
    <w:p w:rsidR="004704BD" w:rsidRDefault="004704BD" w:rsidP="004704BD">
      <w:pPr>
        <w:rPr>
          <w:sz w:val="20"/>
          <w:szCs w:val="20"/>
          <w:lang w:val="fr-CA"/>
        </w:rPr>
      </w:pPr>
    </w:p>
    <w:p w:rsidR="004704BD" w:rsidRDefault="0004334C" w:rsidP="004704BD">
      <w:pPr>
        <w:rPr>
          <w:sz w:val="20"/>
          <w:szCs w:val="20"/>
          <w:lang w:val="fr-CA"/>
        </w:rPr>
      </w:pPr>
      <w:r w:rsidRPr="0004334C">
        <w:rPr>
          <w:sz w:val="20"/>
          <w:szCs w:val="20"/>
          <w:lang w:val="fr-CA"/>
        </w:rPr>
        <w:pict>
          <v:rect id="_x0000_i1061" style="width:2in;height:1pt" o:hrpct="0" o:hralign="center" o:hrstd="t" o:hrnoshade="t" o:hr="t" fillcolor="black [3213]" stroked="f"/>
        </w:pict>
      </w:r>
    </w:p>
    <w:p w:rsidR="004704BD" w:rsidRPr="004704BD" w:rsidRDefault="004704BD" w:rsidP="004704BD">
      <w:pPr>
        <w:rPr>
          <w:sz w:val="20"/>
          <w:szCs w:val="20"/>
        </w:rPr>
      </w:pPr>
    </w:p>
    <w:p w:rsidR="00986BBB" w:rsidRPr="00986BBB" w:rsidRDefault="00986BBB" w:rsidP="00986BBB">
      <w:pPr>
        <w:ind w:left="1440" w:hanging="1440"/>
        <w:jc w:val="both"/>
        <w:rPr>
          <w:sz w:val="20"/>
          <w:szCs w:val="20"/>
          <w:lang w:val="fr-CA"/>
        </w:rPr>
      </w:pPr>
      <w:r w:rsidRPr="00986BBB">
        <w:rPr>
          <w:b/>
          <w:sz w:val="20"/>
          <w:szCs w:val="20"/>
          <w:lang w:val="fr-CA"/>
        </w:rPr>
        <w:t>33</w:t>
      </w:r>
      <w:r>
        <w:rPr>
          <w:b/>
          <w:sz w:val="20"/>
          <w:szCs w:val="20"/>
          <w:lang w:val="fr-CA"/>
        </w:rPr>
        <w:t>942</w:t>
      </w:r>
      <w:r w:rsidRPr="00986BBB">
        <w:rPr>
          <w:sz w:val="20"/>
          <w:szCs w:val="20"/>
          <w:lang w:val="fr-CA"/>
        </w:rPr>
        <w:tab/>
      </w:r>
      <w:r w:rsidRPr="00986BBB">
        <w:rPr>
          <w:rFonts w:eastAsia="Calibri"/>
          <w:b/>
          <w:sz w:val="20"/>
          <w:u w:val="single"/>
          <w:lang w:val="fr-CA"/>
        </w:rPr>
        <w:t xml:space="preserve">Jean-Moïse </w:t>
      </w:r>
      <w:proofErr w:type="spellStart"/>
      <w:r w:rsidRPr="00986BBB">
        <w:rPr>
          <w:rFonts w:eastAsia="Calibri"/>
          <w:b/>
          <w:sz w:val="20"/>
          <w:u w:val="single"/>
          <w:lang w:val="fr-CA"/>
        </w:rPr>
        <w:t>Haspillaire</w:t>
      </w:r>
      <w:proofErr w:type="spellEnd"/>
      <w:r w:rsidRPr="00986BBB">
        <w:rPr>
          <w:rFonts w:eastAsia="Calibri"/>
          <w:b/>
          <w:sz w:val="20"/>
          <w:u w:val="single"/>
          <w:lang w:val="fr-CA"/>
        </w:rPr>
        <w:t xml:space="preserve"> c. Procureur général du Québec</w:t>
      </w:r>
      <w:r w:rsidR="00F56400">
        <w:rPr>
          <w:rFonts w:eastAsia="Calibri"/>
          <w:b/>
          <w:sz w:val="20"/>
          <w:u w:val="single"/>
          <w:lang w:val="fr-CA"/>
        </w:rPr>
        <w:t xml:space="preserve"> et </w:t>
      </w:r>
      <w:r w:rsidRPr="00986BBB">
        <w:rPr>
          <w:rFonts w:eastAsia="Calibri"/>
          <w:b/>
          <w:sz w:val="20"/>
          <w:u w:val="single"/>
          <w:lang w:val="fr-CA"/>
        </w:rPr>
        <w:t>Tribunal administratif du Québec</w:t>
      </w:r>
      <w:r>
        <w:rPr>
          <w:rFonts w:eastAsia="Calibri"/>
          <w:b/>
          <w:sz w:val="20"/>
          <w:lang w:val="fr-CA"/>
        </w:rPr>
        <w:t xml:space="preserve"> </w:t>
      </w:r>
      <w:r w:rsidRPr="00120504">
        <w:rPr>
          <w:rFonts w:eastAsia="Calibri"/>
          <w:sz w:val="20"/>
          <w:lang w:val="fr-CA"/>
        </w:rPr>
        <w:t>(</w:t>
      </w:r>
      <w:proofErr w:type="spellStart"/>
      <w:r w:rsidRPr="00120504">
        <w:rPr>
          <w:rFonts w:eastAsia="Calibri"/>
          <w:sz w:val="20"/>
          <w:lang w:val="fr-CA"/>
        </w:rPr>
        <w:t>Qc</w:t>
      </w:r>
      <w:proofErr w:type="spellEnd"/>
      <w:r w:rsidRPr="00120504">
        <w:rPr>
          <w:rFonts w:eastAsia="Calibri"/>
          <w:sz w:val="20"/>
          <w:lang w:val="fr-CA"/>
        </w:rPr>
        <w:t>) (Civile) (Autorisation)</w:t>
      </w:r>
    </w:p>
    <w:p w:rsidR="00986BBB" w:rsidRPr="00986BBB" w:rsidRDefault="00986BBB" w:rsidP="00986BBB">
      <w:pPr>
        <w:rPr>
          <w:sz w:val="20"/>
          <w:szCs w:val="20"/>
          <w:lang w:val="fr-CA"/>
        </w:rPr>
      </w:pPr>
    </w:p>
    <w:p w:rsidR="00986BBB" w:rsidRPr="00986BBB" w:rsidRDefault="00986BBB" w:rsidP="00986BBB">
      <w:pPr>
        <w:ind w:left="1440" w:hanging="1440"/>
        <w:rPr>
          <w:sz w:val="20"/>
          <w:szCs w:val="20"/>
          <w:lang w:val="fr-CA"/>
        </w:rPr>
      </w:pPr>
      <w:r w:rsidRPr="00986BBB">
        <w:rPr>
          <w:sz w:val="20"/>
          <w:szCs w:val="20"/>
          <w:lang w:val="fr-CA"/>
        </w:rPr>
        <w:t>Coram :</w:t>
      </w:r>
      <w:r w:rsidRPr="00986BBB">
        <w:rPr>
          <w:sz w:val="20"/>
          <w:szCs w:val="20"/>
          <w:lang w:val="fr-CA"/>
        </w:rPr>
        <w:tab/>
      </w:r>
      <w:r w:rsidRPr="00986BBB">
        <w:rPr>
          <w:sz w:val="20"/>
          <w:szCs w:val="20"/>
          <w:u w:val="single"/>
          <w:lang w:val="fr-CA"/>
        </w:rPr>
        <w:t xml:space="preserve">Les juges </w:t>
      </w:r>
      <w:proofErr w:type="spellStart"/>
      <w:r w:rsidRPr="00986BBB">
        <w:rPr>
          <w:sz w:val="20"/>
          <w:szCs w:val="20"/>
          <w:u w:val="single"/>
          <w:lang w:val="fr-CA"/>
        </w:rPr>
        <w:t>LeBel</w:t>
      </w:r>
      <w:proofErr w:type="spellEnd"/>
      <w:r w:rsidRPr="00986BBB">
        <w:rPr>
          <w:sz w:val="20"/>
          <w:szCs w:val="20"/>
          <w:u w:val="single"/>
          <w:lang w:val="fr-CA"/>
        </w:rPr>
        <w:t>, Deschamps et C</w:t>
      </w:r>
      <w:r>
        <w:rPr>
          <w:sz w:val="20"/>
          <w:szCs w:val="20"/>
          <w:u w:val="single"/>
          <w:lang w:val="fr-CA"/>
        </w:rPr>
        <w:t>h</w:t>
      </w:r>
      <w:r w:rsidRPr="00986BBB">
        <w:rPr>
          <w:sz w:val="20"/>
          <w:szCs w:val="20"/>
          <w:u w:val="single"/>
          <w:lang w:val="fr-CA"/>
        </w:rPr>
        <w:t>a</w:t>
      </w:r>
      <w:r>
        <w:rPr>
          <w:sz w:val="20"/>
          <w:szCs w:val="20"/>
          <w:u w:val="single"/>
          <w:lang w:val="fr-CA"/>
        </w:rPr>
        <w:t>rro</w:t>
      </w:r>
      <w:r w:rsidRPr="00986BBB">
        <w:rPr>
          <w:sz w:val="20"/>
          <w:szCs w:val="20"/>
          <w:u w:val="single"/>
          <w:lang w:val="fr-CA"/>
        </w:rPr>
        <w:t>n</w:t>
      </w:r>
    </w:p>
    <w:p w:rsidR="004704BD" w:rsidRDefault="004704BD" w:rsidP="004704BD">
      <w:pPr>
        <w:rPr>
          <w:sz w:val="20"/>
          <w:szCs w:val="20"/>
          <w:lang w:val="fr-CA"/>
        </w:rPr>
      </w:pPr>
    </w:p>
    <w:p w:rsidR="00986BBB" w:rsidRPr="00986BBB" w:rsidRDefault="00986BBB" w:rsidP="00986BBB">
      <w:pPr>
        <w:jc w:val="both"/>
        <w:rPr>
          <w:sz w:val="20"/>
          <w:szCs w:val="20"/>
          <w:lang w:val="fr-CA"/>
        </w:rPr>
      </w:pPr>
      <w:r>
        <w:rPr>
          <w:sz w:val="20"/>
          <w:szCs w:val="20"/>
          <w:lang w:val="fr-CA"/>
        </w:rPr>
        <w:tab/>
      </w:r>
      <w:r w:rsidRPr="00986BBB">
        <w:rPr>
          <w:sz w:val="20"/>
          <w:szCs w:val="20"/>
          <w:lang w:val="fr-CA"/>
        </w:rPr>
        <w:t>La requête en prorogation du délai de signification et de dépôt de la demande d’autorisation d’appel est accordée. La demande d’autorisation d’appel de l’arrêt de la Cour d’appel du Québec (Montréal), numéro 500-09-018743-088, 2010 QCCA 1626, daté du 13 septembre 2010, est rejetée avec dépens en faveur de l’intimé.</w:t>
      </w:r>
    </w:p>
    <w:p w:rsidR="00986BBB" w:rsidRDefault="00986BBB" w:rsidP="00986BBB">
      <w:pPr>
        <w:jc w:val="both"/>
        <w:rPr>
          <w:sz w:val="20"/>
          <w:szCs w:val="20"/>
          <w:lang w:val="fr-CA"/>
        </w:rPr>
      </w:pPr>
    </w:p>
    <w:p w:rsidR="00986BBB" w:rsidRDefault="00986BBB" w:rsidP="00986BBB">
      <w:pPr>
        <w:jc w:val="both"/>
        <w:rPr>
          <w:sz w:val="20"/>
          <w:szCs w:val="20"/>
        </w:rPr>
      </w:pPr>
      <w:r w:rsidRPr="005F3D4C">
        <w:rPr>
          <w:sz w:val="20"/>
          <w:szCs w:val="20"/>
          <w:lang w:val="fr-CA"/>
        </w:rPr>
        <w:tab/>
      </w:r>
      <w:r w:rsidRPr="001F238B">
        <w:rPr>
          <w:sz w:val="20"/>
          <w:szCs w:val="20"/>
        </w:rPr>
        <w:t xml:space="preserve">The motion for an extension of time to serve and file the application for leave to appeal is granted. The application for leave to appeal from the judgment of the </w:t>
      </w:r>
      <w:r w:rsidRPr="001F238B">
        <w:rPr>
          <w:sz w:val="20"/>
          <w:szCs w:val="20"/>
          <w:lang w:val="en-US"/>
        </w:rPr>
        <w:t>Court of Appeal of Quebec (Montréal)</w:t>
      </w:r>
      <w:r w:rsidRPr="001F238B">
        <w:rPr>
          <w:sz w:val="20"/>
          <w:szCs w:val="20"/>
        </w:rPr>
        <w:t xml:space="preserve">, Number </w:t>
      </w:r>
      <w:r w:rsidRPr="001F238B">
        <w:rPr>
          <w:sz w:val="20"/>
          <w:szCs w:val="20"/>
          <w:lang w:val="en-US"/>
        </w:rPr>
        <w:t>500-09-018743-088</w:t>
      </w:r>
      <w:r w:rsidRPr="001F238B">
        <w:rPr>
          <w:sz w:val="20"/>
          <w:szCs w:val="20"/>
        </w:rPr>
        <w:t xml:space="preserve">, 2010 QCCA 1626, dated </w:t>
      </w:r>
      <w:r w:rsidRPr="001F238B">
        <w:rPr>
          <w:sz w:val="20"/>
          <w:szCs w:val="20"/>
          <w:lang w:val="en-US"/>
        </w:rPr>
        <w:t>September 13, 2010,</w:t>
      </w:r>
      <w:r w:rsidRPr="001F238B">
        <w:rPr>
          <w:sz w:val="20"/>
          <w:szCs w:val="20"/>
        </w:rPr>
        <w:t xml:space="preserve"> is dismissed with costs to the respondent.</w:t>
      </w:r>
    </w:p>
    <w:p w:rsidR="00986BBB" w:rsidRPr="00986BBB" w:rsidRDefault="00986BBB" w:rsidP="004704BD">
      <w:pPr>
        <w:rPr>
          <w:sz w:val="20"/>
          <w:szCs w:val="20"/>
        </w:rPr>
      </w:pPr>
    </w:p>
    <w:p w:rsidR="004704BD" w:rsidRDefault="004704BD" w:rsidP="004704BD">
      <w:pPr>
        <w:rPr>
          <w:sz w:val="20"/>
          <w:szCs w:val="20"/>
        </w:rPr>
      </w:pPr>
      <w:r>
        <w:rPr>
          <w:sz w:val="20"/>
          <w:szCs w:val="20"/>
          <w:u w:val="single"/>
        </w:rPr>
        <w:t>CASE SUMMARY</w:t>
      </w:r>
    </w:p>
    <w:p w:rsidR="004704BD" w:rsidRDefault="004704BD" w:rsidP="004704BD">
      <w:pPr>
        <w:rPr>
          <w:sz w:val="20"/>
          <w:szCs w:val="20"/>
        </w:rPr>
      </w:pPr>
    </w:p>
    <w:tbl>
      <w:tblPr>
        <w:tblW w:w="4952" w:type="pct"/>
        <w:tblInd w:w="2" w:type="dxa"/>
        <w:tblLayout w:type="fixed"/>
        <w:tblCellMar>
          <w:left w:w="0" w:type="dxa"/>
          <w:bottom w:w="99" w:type="dxa"/>
          <w:right w:w="0" w:type="dxa"/>
        </w:tblCellMar>
        <w:tblLook w:val="00A0"/>
      </w:tblPr>
      <w:tblGrid>
        <w:gridCol w:w="4624"/>
        <w:gridCol w:w="463"/>
        <w:gridCol w:w="4440"/>
      </w:tblGrid>
      <w:tr w:rsidR="00A51233" w:rsidRPr="00120504" w:rsidTr="003261ED">
        <w:tc>
          <w:tcPr>
            <w:tcW w:w="5000" w:type="pct"/>
            <w:gridSpan w:val="3"/>
          </w:tcPr>
          <w:p w:rsidR="00A51233" w:rsidRPr="00120504" w:rsidRDefault="00A51233" w:rsidP="003261ED">
            <w:pPr>
              <w:jc w:val="both"/>
              <w:rPr>
                <w:rFonts w:eastAsia="Calibri"/>
                <w:sz w:val="20"/>
              </w:rPr>
            </w:pPr>
            <w:r w:rsidRPr="00120504">
              <w:rPr>
                <w:rFonts w:eastAsia="Calibri"/>
                <w:sz w:val="20"/>
              </w:rPr>
              <w:t xml:space="preserve">Social law – </w:t>
            </w:r>
            <w:r w:rsidR="0004334C" w:rsidRPr="00120504">
              <w:rPr>
                <w:rFonts w:eastAsia="Calibri"/>
                <w:sz w:val="20"/>
              </w:rPr>
              <w:fldChar w:fldCharType="begin"/>
            </w:r>
            <w:r w:rsidRPr="00120504">
              <w:rPr>
                <w:rFonts w:eastAsia="Calibri"/>
                <w:sz w:val="20"/>
              </w:rPr>
              <w:instrText xml:space="preserve"> SEQ CHAPTER \h \r 1</w:instrText>
            </w:r>
            <w:r w:rsidR="0004334C" w:rsidRPr="00120504">
              <w:rPr>
                <w:rFonts w:eastAsia="Calibri"/>
                <w:sz w:val="20"/>
              </w:rPr>
              <w:fldChar w:fldCharType="end"/>
            </w:r>
            <w:r w:rsidRPr="00120504">
              <w:rPr>
                <w:rFonts w:eastAsia="Calibri"/>
                <w:sz w:val="20"/>
              </w:rPr>
              <w:t xml:space="preserve">Compensation for victims of crime – Victim associated with criminals – Whether courts below erred in </w:t>
            </w:r>
            <w:r w:rsidRPr="00120504">
              <w:rPr>
                <w:rFonts w:eastAsia="Calibri"/>
                <w:sz w:val="20"/>
              </w:rPr>
              <w:lastRenderedPageBreak/>
              <w:t xml:space="preserve">denying compensation on basis that victim had, through his gross fault, contributed to his injuries – </w:t>
            </w:r>
            <w:r w:rsidRPr="00120504">
              <w:rPr>
                <w:rFonts w:eastAsia="Calibri"/>
                <w:i/>
                <w:iCs/>
                <w:sz w:val="20"/>
              </w:rPr>
              <w:t>Crime Victims Compensation Act,</w:t>
            </w:r>
            <w:r w:rsidRPr="00120504">
              <w:rPr>
                <w:rFonts w:eastAsia="Calibri"/>
                <w:sz w:val="20"/>
              </w:rPr>
              <w:t xml:space="preserve"> R.S.Q., c. I-6, s. 20(</w:t>
            </w:r>
            <w:r w:rsidRPr="00120504">
              <w:rPr>
                <w:rFonts w:eastAsia="Calibri"/>
                <w:i/>
                <w:iCs/>
                <w:sz w:val="20"/>
              </w:rPr>
              <w:t>b</w:t>
            </w:r>
            <w:r w:rsidRPr="00120504">
              <w:rPr>
                <w:rFonts w:eastAsia="Calibri"/>
                <w:sz w:val="20"/>
              </w:rPr>
              <w:t>).</w:t>
            </w:r>
          </w:p>
          <w:p w:rsidR="00A51233" w:rsidRPr="00120504" w:rsidRDefault="00A51233" w:rsidP="003261ED">
            <w:pPr>
              <w:jc w:val="both"/>
              <w:rPr>
                <w:rFonts w:eastAsia="Calibri"/>
                <w:sz w:val="20"/>
              </w:rPr>
            </w:pPr>
          </w:p>
        </w:tc>
      </w:tr>
      <w:tr w:rsidR="00A51233" w:rsidRPr="00120504" w:rsidTr="003261ED">
        <w:tc>
          <w:tcPr>
            <w:tcW w:w="5000" w:type="pct"/>
            <w:gridSpan w:val="3"/>
          </w:tcPr>
          <w:p w:rsidR="00A51233" w:rsidRPr="00120504" w:rsidRDefault="00A51233" w:rsidP="003261ED">
            <w:pPr>
              <w:jc w:val="both"/>
              <w:rPr>
                <w:rFonts w:eastAsia="Calibri"/>
                <w:sz w:val="20"/>
              </w:rPr>
            </w:pPr>
            <w:r w:rsidRPr="00120504">
              <w:rPr>
                <w:rFonts w:eastAsia="Calibri"/>
                <w:sz w:val="20"/>
              </w:rPr>
              <w:lastRenderedPageBreak/>
              <w:t xml:space="preserve">Mr. </w:t>
            </w:r>
            <w:proofErr w:type="spellStart"/>
            <w:r w:rsidRPr="00120504">
              <w:rPr>
                <w:rFonts w:eastAsia="Calibri"/>
                <w:sz w:val="20"/>
              </w:rPr>
              <w:t>Haspillaire</w:t>
            </w:r>
            <w:proofErr w:type="spellEnd"/>
            <w:r w:rsidRPr="00120504">
              <w:rPr>
                <w:rFonts w:eastAsia="Calibri"/>
                <w:sz w:val="20"/>
              </w:rPr>
              <w:t xml:space="preserve"> testified as a Crown witness in a murder trial.  Shortly thereafter, he was the victim of an attempted murder which left him a paraplegic.  He applied for compensation under the </w:t>
            </w:r>
            <w:r w:rsidRPr="00120504">
              <w:rPr>
                <w:rFonts w:eastAsia="Calibri"/>
                <w:i/>
                <w:iCs/>
                <w:sz w:val="20"/>
              </w:rPr>
              <w:t>Crime Victims Compensation Act</w:t>
            </w:r>
            <w:r w:rsidRPr="00120504">
              <w:rPr>
                <w:rFonts w:eastAsia="Calibri"/>
                <w:sz w:val="20"/>
              </w:rPr>
              <w:t xml:space="preserve">, but his application was denied by the Direction de </w:t>
            </w:r>
            <w:proofErr w:type="spellStart"/>
            <w:r w:rsidRPr="00120504">
              <w:rPr>
                <w:rFonts w:eastAsia="Calibri"/>
                <w:sz w:val="20"/>
              </w:rPr>
              <w:t>l’indemnisation</w:t>
            </w:r>
            <w:proofErr w:type="spellEnd"/>
            <w:r w:rsidRPr="00120504">
              <w:rPr>
                <w:rFonts w:eastAsia="Calibri"/>
                <w:sz w:val="20"/>
              </w:rPr>
              <w:t xml:space="preserve"> des </w:t>
            </w:r>
            <w:proofErr w:type="spellStart"/>
            <w:r w:rsidRPr="00120504">
              <w:rPr>
                <w:rFonts w:eastAsia="Calibri"/>
                <w:sz w:val="20"/>
              </w:rPr>
              <w:t>victimes</w:t>
            </w:r>
            <w:proofErr w:type="spellEnd"/>
            <w:r w:rsidRPr="00120504">
              <w:rPr>
                <w:rFonts w:eastAsia="Calibri"/>
                <w:sz w:val="20"/>
              </w:rPr>
              <w:t xml:space="preserve"> </w:t>
            </w:r>
            <w:proofErr w:type="spellStart"/>
            <w:r w:rsidRPr="00120504">
              <w:rPr>
                <w:rFonts w:eastAsia="Calibri"/>
                <w:sz w:val="20"/>
              </w:rPr>
              <w:t>d’actes</w:t>
            </w:r>
            <w:proofErr w:type="spellEnd"/>
            <w:r w:rsidRPr="00120504">
              <w:rPr>
                <w:rFonts w:eastAsia="Calibri"/>
                <w:sz w:val="20"/>
              </w:rPr>
              <w:t xml:space="preserve"> </w:t>
            </w:r>
            <w:proofErr w:type="spellStart"/>
            <w:r w:rsidRPr="00120504">
              <w:rPr>
                <w:rFonts w:eastAsia="Calibri"/>
                <w:sz w:val="20"/>
              </w:rPr>
              <w:t>criminels</w:t>
            </w:r>
            <w:proofErr w:type="spellEnd"/>
            <w:r w:rsidRPr="00120504">
              <w:rPr>
                <w:rFonts w:eastAsia="Calibri"/>
                <w:sz w:val="20"/>
              </w:rPr>
              <w:t xml:space="preserve"> on the basis that, being associated with a street gang, Mr. </w:t>
            </w:r>
            <w:proofErr w:type="spellStart"/>
            <w:r w:rsidRPr="00120504">
              <w:rPr>
                <w:rFonts w:eastAsia="Calibri"/>
                <w:sz w:val="20"/>
              </w:rPr>
              <w:t>Haspillaire</w:t>
            </w:r>
            <w:proofErr w:type="spellEnd"/>
            <w:r w:rsidRPr="00120504">
              <w:rPr>
                <w:rFonts w:eastAsia="Calibri"/>
                <w:sz w:val="20"/>
              </w:rPr>
              <w:t xml:space="preserve"> had through his gross fault contributed to his injuries, and that s. 20(</w:t>
            </w:r>
            <w:r w:rsidRPr="00120504">
              <w:rPr>
                <w:rFonts w:eastAsia="Calibri"/>
                <w:i/>
                <w:iCs/>
                <w:sz w:val="20"/>
              </w:rPr>
              <w:t>b</w:t>
            </w:r>
            <w:r w:rsidRPr="00120504">
              <w:rPr>
                <w:rFonts w:eastAsia="Calibri"/>
                <w:sz w:val="20"/>
              </w:rPr>
              <w:t xml:space="preserve">) precludes compensation in such circumstances.  That decision was upheld by the Bureau de la </w:t>
            </w:r>
            <w:proofErr w:type="spellStart"/>
            <w:r w:rsidRPr="00120504">
              <w:rPr>
                <w:rFonts w:eastAsia="Calibri"/>
                <w:sz w:val="20"/>
              </w:rPr>
              <w:t>révision</w:t>
            </w:r>
            <w:proofErr w:type="spellEnd"/>
            <w:r w:rsidRPr="00120504">
              <w:rPr>
                <w:rFonts w:eastAsia="Calibri"/>
                <w:sz w:val="20"/>
              </w:rPr>
              <w:t xml:space="preserve"> administrative, but was reviewed by the Administrative Tribunal of Québec.  The Tribunal found that it had not been proved on a balance of probabilities that Mr. </w:t>
            </w:r>
            <w:proofErr w:type="spellStart"/>
            <w:r w:rsidRPr="00120504">
              <w:rPr>
                <w:rFonts w:eastAsia="Calibri"/>
                <w:sz w:val="20"/>
              </w:rPr>
              <w:t>Haspillaire</w:t>
            </w:r>
            <w:proofErr w:type="spellEnd"/>
            <w:r w:rsidRPr="00120504">
              <w:rPr>
                <w:rFonts w:eastAsia="Calibri"/>
                <w:sz w:val="20"/>
              </w:rPr>
              <w:t xml:space="preserve"> had committed a gross fault that excluded him from being compensated under the Act.  On judicial review, the Superior Court reversed that decision.  </w:t>
            </w:r>
            <w:proofErr w:type="spellStart"/>
            <w:r w:rsidRPr="00120504">
              <w:rPr>
                <w:rFonts w:eastAsia="Calibri"/>
                <w:sz w:val="20"/>
              </w:rPr>
              <w:t>Bédard</w:t>
            </w:r>
            <w:proofErr w:type="spellEnd"/>
            <w:r w:rsidRPr="00120504">
              <w:rPr>
                <w:rFonts w:eastAsia="Calibri"/>
                <w:sz w:val="20"/>
              </w:rPr>
              <w:t> J. found that by limiting its analysis to the cause of the murder attempt (the testimony)</w:t>
            </w:r>
            <w:proofErr w:type="gramStart"/>
            <w:r w:rsidRPr="00120504">
              <w:rPr>
                <w:rFonts w:eastAsia="Calibri"/>
                <w:sz w:val="20"/>
              </w:rPr>
              <w:t>,</w:t>
            </w:r>
            <w:proofErr w:type="gramEnd"/>
            <w:r w:rsidRPr="00120504">
              <w:rPr>
                <w:rFonts w:eastAsia="Calibri"/>
                <w:sz w:val="20"/>
              </w:rPr>
              <w:t xml:space="preserve"> the Tribunal had unduly restricted the scope of s. 20(</w:t>
            </w:r>
            <w:r w:rsidRPr="00120504">
              <w:rPr>
                <w:rFonts w:eastAsia="Calibri"/>
                <w:i/>
                <w:iCs/>
                <w:sz w:val="20"/>
              </w:rPr>
              <w:t>b</w:t>
            </w:r>
            <w:r w:rsidRPr="00120504">
              <w:rPr>
                <w:rFonts w:eastAsia="Calibri"/>
                <w:sz w:val="20"/>
              </w:rPr>
              <w:t>) of the Act.  He also concluded that the Tribunal’s interpretation of the facts was unreasonable, as the evidence very clearly established that even if Mr. </w:t>
            </w:r>
            <w:proofErr w:type="spellStart"/>
            <w:r w:rsidRPr="00120504">
              <w:rPr>
                <w:rFonts w:eastAsia="Calibri"/>
                <w:sz w:val="20"/>
              </w:rPr>
              <w:t>Haspillaire</w:t>
            </w:r>
            <w:proofErr w:type="spellEnd"/>
            <w:r w:rsidRPr="00120504">
              <w:rPr>
                <w:rFonts w:eastAsia="Calibri"/>
                <w:sz w:val="20"/>
              </w:rPr>
              <w:t xml:space="preserve"> was not a member of a street gang, he did associate with criminals.  According to the judge, the consequences of this association were foreseeable and were not compensable.  Mr. </w:t>
            </w:r>
            <w:proofErr w:type="spellStart"/>
            <w:r w:rsidRPr="00120504">
              <w:rPr>
                <w:rFonts w:eastAsia="Calibri"/>
                <w:sz w:val="20"/>
              </w:rPr>
              <w:t>Haspillaire’s</w:t>
            </w:r>
            <w:proofErr w:type="spellEnd"/>
            <w:r w:rsidRPr="00120504">
              <w:rPr>
                <w:rFonts w:eastAsia="Calibri"/>
                <w:sz w:val="20"/>
              </w:rPr>
              <w:t xml:space="preserve"> testimony [</w:t>
            </w:r>
            <w:r w:rsidRPr="00120504">
              <w:rPr>
                <w:rFonts w:eastAsia="Calibri"/>
                <w:smallCaps/>
                <w:sz w:val="20"/>
              </w:rPr>
              <w:t>translation]</w:t>
            </w:r>
            <w:r w:rsidRPr="00120504">
              <w:rPr>
                <w:rFonts w:eastAsia="Calibri"/>
                <w:sz w:val="20"/>
              </w:rPr>
              <w:t xml:space="preserve"> “cannot absolve him of his association with street gangs” (</w:t>
            </w:r>
            <w:proofErr w:type="spellStart"/>
            <w:r w:rsidRPr="00120504">
              <w:rPr>
                <w:rFonts w:eastAsia="Calibri"/>
                <w:sz w:val="20"/>
              </w:rPr>
              <w:t>para</w:t>
            </w:r>
            <w:proofErr w:type="spellEnd"/>
            <w:r w:rsidRPr="00120504">
              <w:rPr>
                <w:rFonts w:eastAsia="Calibri"/>
                <w:sz w:val="20"/>
              </w:rPr>
              <w:t>. 17).  The Court of Appeal dismissed the appeal.</w:t>
            </w:r>
          </w:p>
          <w:p w:rsidR="00A51233" w:rsidRPr="00120504" w:rsidRDefault="00A51233" w:rsidP="003261ED">
            <w:pPr>
              <w:jc w:val="both"/>
              <w:rPr>
                <w:rFonts w:eastAsia="Calibri"/>
                <w:sz w:val="20"/>
              </w:rPr>
            </w:pPr>
          </w:p>
        </w:tc>
      </w:tr>
      <w:tr w:rsidR="00A51233" w:rsidRPr="00120504" w:rsidTr="003261ED">
        <w:tc>
          <w:tcPr>
            <w:tcW w:w="2427" w:type="pct"/>
          </w:tcPr>
          <w:p w:rsidR="00A51233" w:rsidRPr="00120504" w:rsidRDefault="00A51233" w:rsidP="003261ED">
            <w:pPr>
              <w:jc w:val="both"/>
              <w:rPr>
                <w:rFonts w:eastAsia="Calibri"/>
                <w:sz w:val="20"/>
              </w:rPr>
            </w:pPr>
            <w:r w:rsidRPr="00120504">
              <w:rPr>
                <w:rFonts w:eastAsia="Calibri"/>
                <w:sz w:val="20"/>
              </w:rPr>
              <w:t>February 19, 2007</w:t>
            </w:r>
          </w:p>
          <w:p w:rsidR="00A51233" w:rsidRPr="00120504" w:rsidRDefault="00A51233" w:rsidP="003261ED">
            <w:pPr>
              <w:jc w:val="both"/>
              <w:rPr>
                <w:rFonts w:eastAsia="Calibri"/>
                <w:sz w:val="20"/>
              </w:rPr>
            </w:pPr>
            <w:r w:rsidRPr="00120504">
              <w:rPr>
                <w:rFonts w:eastAsia="Calibri"/>
                <w:sz w:val="20"/>
              </w:rPr>
              <w:t>Administrative Tribunal of Québec</w:t>
            </w:r>
          </w:p>
          <w:p w:rsidR="00A51233" w:rsidRPr="00120504" w:rsidRDefault="00A51233" w:rsidP="003261ED">
            <w:pPr>
              <w:jc w:val="both"/>
              <w:rPr>
                <w:rFonts w:eastAsia="Calibri"/>
                <w:sz w:val="20"/>
              </w:rPr>
            </w:pPr>
            <w:r w:rsidRPr="00120504">
              <w:rPr>
                <w:rFonts w:eastAsia="Calibri"/>
                <w:sz w:val="20"/>
              </w:rPr>
              <w:t>(Member Saucier)</w:t>
            </w:r>
          </w:p>
          <w:p w:rsidR="00A51233" w:rsidRPr="00120504" w:rsidRDefault="00A51233" w:rsidP="003261ED">
            <w:pPr>
              <w:jc w:val="both"/>
              <w:rPr>
                <w:rFonts w:eastAsia="Calibri"/>
                <w:sz w:val="20"/>
              </w:rPr>
            </w:pPr>
            <w:r w:rsidRPr="00120504">
              <w:rPr>
                <w:rFonts w:eastAsia="Calibri"/>
                <w:sz w:val="20"/>
              </w:rPr>
              <w:t>2007 QCTAQ 02620</w:t>
            </w:r>
          </w:p>
          <w:p w:rsidR="00A51233" w:rsidRPr="00120504" w:rsidRDefault="00A51233" w:rsidP="003261ED">
            <w:pPr>
              <w:jc w:val="both"/>
              <w:rPr>
                <w:rFonts w:eastAsia="Calibri"/>
                <w:sz w:val="20"/>
              </w:rPr>
            </w:pPr>
          </w:p>
        </w:tc>
        <w:tc>
          <w:tcPr>
            <w:tcW w:w="243" w:type="pct"/>
          </w:tcPr>
          <w:p w:rsidR="00A51233" w:rsidRPr="00120504" w:rsidRDefault="00A51233" w:rsidP="003261ED">
            <w:pPr>
              <w:jc w:val="both"/>
              <w:rPr>
                <w:rFonts w:eastAsia="Calibri"/>
                <w:sz w:val="20"/>
              </w:rPr>
            </w:pPr>
          </w:p>
        </w:tc>
        <w:tc>
          <w:tcPr>
            <w:tcW w:w="2330" w:type="pct"/>
          </w:tcPr>
          <w:p w:rsidR="00A51233" w:rsidRPr="00120504" w:rsidRDefault="00A51233" w:rsidP="003261ED">
            <w:pPr>
              <w:jc w:val="both"/>
              <w:rPr>
                <w:rFonts w:eastAsia="Calibri"/>
                <w:sz w:val="20"/>
              </w:rPr>
            </w:pPr>
            <w:r w:rsidRPr="00120504">
              <w:rPr>
                <w:rFonts w:eastAsia="Calibri"/>
                <w:sz w:val="20"/>
              </w:rPr>
              <w:t xml:space="preserve">Appeal from decision of Bureau de </w:t>
            </w:r>
            <w:proofErr w:type="spellStart"/>
            <w:r w:rsidRPr="00120504">
              <w:rPr>
                <w:rFonts w:eastAsia="Calibri"/>
                <w:sz w:val="20"/>
              </w:rPr>
              <w:t>révision</w:t>
            </w:r>
            <w:proofErr w:type="spellEnd"/>
            <w:r w:rsidRPr="00120504">
              <w:rPr>
                <w:rFonts w:eastAsia="Calibri"/>
                <w:sz w:val="20"/>
              </w:rPr>
              <w:t xml:space="preserve"> of Direction de </w:t>
            </w:r>
            <w:proofErr w:type="spellStart"/>
            <w:r w:rsidRPr="00120504">
              <w:rPr>
                <w:rFonts w:eastAsia="Calibri"/>
                <w:sz w:val="20"/>
              </w:rPr>
              <w:t>l’indemnisation</w:t>
            </w:r>
            <w:proofErr w:type="spellEnd"/>
            <w:r w:rsidRPr="00120504">
              <w:rPr>
                <w:rFonts w:eastAsia="Calibri"/>
                <w:sz w:val="20"/>
              </w:rPr>
              <w:t xml:space="preserve"> des </w:t>
            </w:r>
            <w:proofErr w:type="spellStart"/>
            <w:r w:rsidRPr="00120504">
              <w:rPr>
                <w:rFonts w:eastAsia="Calibri"/>
                <w:sz w:val="20"/>
              </w:rPr>
              <w:t>victimes</w:t>
            </w:r>
            <w:proofErr w:type="spellEnd"/>
            <w:r w:rsidRPr="00120504">
              <w:rPr>
                <w:rFonts w:eastAsia="Calibri"/>
                <w:sz w:val="20"/>
              </w:rPr>
              <w:t xml:space="preserve"> </w:t>
            </w:r>
            <w:proofErr w:type="spellStart"/>
            <w:r w:rsidRPr="00120504">
              <w:rPr>
                <w:rFonts w:eastAsia="Calibri"/>
                <w:sz w:val="20"/>
              </w:rPr>
              <w:t>d’actes</w:t>
            </w:r>
            <w:proofErr w:type="spellEnd"/>
            <w:r w:rsidRPr="00120504">
              <w:rPr>
                <w:rFonts w:eastAsia="Calibri"/>
                <w:sz w:val="20"/>
              </w:rPr>
              <w:t xml:space="preserve"> </w:t>
            </w:r>
            <w:proofErr w:type="spellStart"/>
            <w:r w:rsidRPr="00120504">
              <w:rPr>
                <w:rFonts w:eastAsia="Calibri"/>
                <w:sz w:val="20"/>
              </w:rPr>
              <w:t>criminels</w:t>
            </w:r>
            <w:proofErr w:type="spellEnd"/>
            <w:r w:rsidRPr="00120504">
              <w:rPr>
                <w:rFonts w:eastAsia="Calibri"/>
                <w:sz w:val="20"/>
              </w:rPr>
              <w:t xml:space="preserve"> allowed</w:t>
            </w:r>
          </w:p>
          <w:p w:rsidR="00A51233" w:rsidRPr="00120504" w:rsidRDefault="00A51233" w:rsidP="003261ED">
            <w:pPr>
              <w:jc w:val="both"/>
              <w:rPr>
                <w:rFonts w:eastAsia="Calibri"/>
                <w:sz w:val="20"/>
              </w:rPr>
            </w:pPr>
          </w:p>
        </w:tc>
      </w:tr>
      <w:tr w:rsidR="00A51233" w:rsidRPr="00120504" w:rsidTr="003261ED">
        <w:tc>
          <w:tcPr>
            <w:tcW w:w="2427" w:type="pct"/>
          </w:tcPr>
          <w:p w:rsidR="00A51233" w:rsidRPr="00120504" w:rsidRDefault="00A51233" w:rsidP="003261ED">
            <w:pPr>
              <w:jc w:val="both"/>
              <w:rPr>
                <w:rFonts w:eastAsia="Calibri"/>
                <w:sz w:val="20"/>
              </w:rPr>
            </w:pPr>
            <w:r w:rsidRPr="00120504">
              <w:rPr>
                <w:rFonts w:eastAsia="Calibri"/>
                <w:sz w:val="20"/>
              </w:rPr>
              <w:t>May 9, 2008</w:t>
            </w:r>
          </w:p>
          <w:p w:rsidR="00A51233" w:rsidRPr="00120504" w:rsidRDefault="00A51233" w:rsidP="003261ED">
            <w:pPr>
              <w:jc w:val="both"/>
              <w:rPr>
                <w:rFonts w:eastAsia="Calibri"/>
                <w:sz w:val="20"/>
              </w:rPr>
            </w:pPr>
            <w:r w:rsidRPr="00120504">
              <w:rPr>
                <w:rFonts w:eastAsia="Calibri"/>
                <w:sz w:val="20"/>
              </w:rPr>
              <w:t>Quebec Superior Court</w:t>
            </w:r>
          </w:p>
          <w:p w:rsidR="00A51233" w:rsidRPr="00120504" w:rsidRDefault="00A51233" w:rsidP="003261ED">
            <w:pPr>
              <w:jc w:val="both"/>
              <w:rPr>
                <w:rFonts w:eastAsia="Calibri"/>
                <w:sz w:val="20"/>
              </w:rPr>
            </w:pPr>
            <w:r w:rsidRPr="00120504">
              <w:rPr>
                <w:rFonts w:eastAsia="Calibri"/>
                <w:sz w:val="20"/>
              </w:rPr>
              <w:t>(</w:t>
            </w:r>
            <w:proofErr w:type="spellStart"/>
            <w:r w:rsidRPr="00120504">
              <w:rPr>
                <w:rFonts w:eastAsia="Calibri"/>
                <w:sz w:val="20"/>
              </w:rPr>
              <w:t>Bédard</w:t>
            </w:r>
            <w:proofErr w:type="spellEnd"/>
            <w:r w:rsidRPr="00120504">
              <w:rPr>
                <w:rFonts w:eastAsia="Calibri"/>
                <w:sz w:val="20"/>
              </w:rPr>
              <w:t xml:space="preserve"> J.)</w:t>
            </w:r>
          </w:p>
          <w:p w:rsidR="00A51233" w:rsidRPr="00120504" w:rsidRDefault="00A51233" w:rsidP="003261ED">
            <w:pPr>
              <w:jc w:val="both"/>
              <w:rPr>
                <w:rFonts w:eastAsia="Calibri"/>
                <w:sz w:val="20"/>
              </w:rPr>
            </w:pPr>
          </w:p>
        </w:tc>
        <w:tc>
          <w:tcPr>
            <w:tcW w:w="243" w:type="pct"/>
          </w:tcPr>
          <w:p w:rsidR="00A51233" w:rsidRPr="00120504" w:rsidRDefault="00A51233" w:rsidP="003261ED">
            <w:pPr>
              <w:jc w:val="both"/>
              <w:rPr>
                <w:rFonts w:eastAsia="Calibri"/>
                <w:sz w:val="20"/>
              </w:rPr>
            </w:pPr>
          </w:p>
        </w:tc>
        <w:tc>
          <w:tcPr>
            <w:tcW w:w="2330" w:type="pct"/>
          </w:tcPr>
          <w:p w:rsidR="00A51233" w:rsidRPr="00120504" w:rsidRDefault="00A51233" w:rsidP="003261ED">
            <w:pPr>
              <w:jc w:val="both"/>
              <w:rPr>
                <w:rFonts w:eastAsia="Calibri"/>
                <w:sz w:val="20"/>
              </w:rPr>
            </w:pPr>
            <w:r w:rsidRPr="00120504">
              <w:rPr>
                <w:rFonts w:eastAsia="Calibri"/>
                <w:sz w:val="20"/>
              </w:rPr>
              <w:t>Motion for judicial review allowed; application for compensation dismissed</w:t>
            </w:r>
          </w:p>
          <w:p w:rsidR="00A51233" w:rsidRPr="00120504" w:rsidRDefault="00A51233" w:rsidP="003261ED">
            <w:pPr>
              <w:jc w:val="both"/>
              <w:rPr>
                <w:rFonts w:eastAsia="Calibri"/>
                <w:sz w:val="20"/>
              </w:rPr>
            </w:pPr>
          </w:p>
        </w:tc>
      </w:tr>
      <w:tr w:rsidR="00A51233" w:rsidRPr="00120504" w:rsidTr="003261ED">
        <w:tc>
          <w:tcPr>
            <w:tcW w:w="2427" w:type="pct"/>
          </w:tcPr>
          <w:p w:rsidR="00A51233" w:rsidRPr="00120504" w:rsidRDefault="00A51233" w:rsidP="003261ED">
            <w:pPr>
              <w:jc w:val="both"/>
              <w:rPr>
                <w:rFonts w:eastAsia="Calibri"/>
                <w:sz w:val="20"/>
              </w:rPr>
            </w:pPr>
            <w:r w:rsidRPr="00120504">
              <w:rPr>
                <w:rFonts w:eastAsia="Calibri"/>
                <w:sz w:val="20"/>
              </w:rPr>
              <w:t>September 13, 2010</w:t>
            </w:r>
          </w:p>
          <w:p w:rsidR="00A51233" w:rsidRPr="00120504" w:rsidRDefault="00A51233" w:rsidP="003261ED">
            <w:pPr>
              <w:jc w:val="both"/>
              <w:rPr>
                <w:rFonts w:eastAsia="Calibri"/>
                <w:sz w:val="20"/>
              </w:rPr>
            </w:pPr>
            <w:r w:rsidRPr="00120504">
              <w:rPr>
                <w:rFonts w:eastAsia="Calibri"/>
                <w:sz w:val="20"/>
              </w:rPr>
              <w:t>Quebec Court of Appeal (Montréal)</w:t>
            </w:r>
          </w:p>
          <w:p w:rsidR="00A51233" w:rsidRPr="00120504" w:rsidRDefault="00A51233" w:rsidP="003261ED">
            <w:pPr>
              <w:jc w:val="both"/>
              <w:rPr>
                <w:rFonts w:eastAsia="Calibri"/>
                <w:sz w:val="20"/>
              </w:rPr>
            </w:pPr>
            <w:r w:rsidRPr="00120504">
              <w:rPr>
                <w:rFonts w:eastAsia="Calibri"/>
                <w:sz w:val="20"/>
              </w:rPr>
              <w:t>(</w:t>
            </w:r>
            <w:proofErr w:type="spellStart"/>
            <w:r w:rsidRPr="00120504">
              <w:rPr>
                <w:rFonts w:eastAsia="Calibri"/>
                <w:sz w:val="20"/>
              </w:rPr>
              <w:t>Dalphond</w:t>
            </w:r>
            <w:proofErr w:type="spellEnd"/>
            <w:r w:rsidRPr="00120504">
              <w:rPr>
                <w:rFonts w:eastAsia="Calibri"/>
                <w:sz w:val="20"/>
              </w:rPr>
              <w:t xml:space="preserve">, Hilton and </w:t>
            </w:r>
            <w:proofErr w:type="spellStart"/>
            <w:r w:rsidRPr="00120504">
              <w:rPr>
                <w:rFonts w:eastAsia="Calibri"/>
                <w:sz w:val="20"/>
              </w:rPr>
              <w:t>Côté</w:t>
            </w:r>
            <w:proofErr w:type="spellEnd"/>
            <w:r w:rsidRPr="00120504">
              <w:rPr>
                <w:rFonts w:eastAsia="Calibri"/>
                <w:sz w:val="20"/>
              </w:rPr>
              <w:t xml:space="preserve"> JJ.A.)</w:t>
            </w:r>
          </w:p>
          <w:p w:rsidR="00A51233" w:rsidRPr="00120504" w:rsidRDefault="00A51233" w:rsidP="003261ED">
            <w:pPr>
              <w:jc w:val="both"/>
              <w:rPr>
                <w:rFonts w:eastAsia="Calibri"/>
                <w:sz w:val="20"/>
              </w:rPr>
            </w:pPr>
            <w:r w:rsidRPr="00120504">
              <w:rPr>
                <w:rFonts w:eastAsia="Calibri"/>
                <w:sz w:val="20"/>
              </w:rPr>
              <w:t>2010 QCCA 1626</w:t>
            </w:r>
          </w:p>
          <w:p w:rsidR="00A51233" w:rsidRPr="00120504" w:rsidRDefault="00A51233" w:rsidP="003261ED">
            <w:pPr>
              <w:jc w:val="both"/>
              <w:rPr>
                <w:rFonts w:eastAsia="Calibri"/>
                <w:sz w:val="20"/>
              </w:rPr>
            </w:pPr>
          </w:p>
        </w:tc>
        <w:tc>
          <w:tcPr>
            <w:tcW w:w="243" w:type="pct"/>
          </w:tcPr>
          <w:p w:rsidR="00A51233" w:rsidRPr="00120504" w:rsidRDefault="00A51233" w:rsidP="003261ED">
            <w:pPr>
              <w:jc w:val="both"/>
              <w:rPr>
                <w:rFonts w:eastAsia="Calibri"/>
                <w:sz w:val="20"/>
              </w:rPr>
            </w:pPr>
          </w:p>
        </w:tc>
        <w:tc>
          <w:tcPr>
            <w:tcW w:w="2330" w:type="pct"/>
          </w:tcPr>
          <w:p w:rsidR="00A51233" w:rsidRPr="00120504" w:rsidRDefault="00A51233" w:rsidP="003261ED">
            <w:pPr>
              <w:jc w:val="both"/>
              <w:rPr>
                <w:rFonts w:eastAsia="Calibri"/>
                <w:sz w:val="20"/>
              </w:rPr>
            </w:pPr>
            <w:r w:rsidRPr="00120504">
              <w:rPr>
                <w:rFonts w:eastAsia="Calibri"/>
                <w:sz w:val="20"/>
              </w:rPr>
              <w:t>Appeal dismissed</w:t>
            </w:r>
          </w:p>
          <w:p w:rsidR="00A51233" w:rsidRPr="00120504" w:rsidRDefault="00A51233" w:rsidP="003261ED">
            <w:pPr>
              <w:jc w:val="both"/>
              <w:rPr>
                <w:rFonts w:eastAsia="Calibri"/>
                <w:sz w:val="20"/>
              </w:rPr>
            </w:pPr>
          </w:p>
        </w:tc>
      </w:tr>
      <w:tr w:rsidR="00A51233" w:rsidRPr="00120504" w:rsidTr="003261ED">
        <w:tc>
          <w:tcPr>
            <w:tcW w:w="2427" w:type="pct"/>
          </w:tcPr>
          <w:p w:rsidR="00A51233" w:rsidRPr="00120504" w:rsidRDefault="00A51233" w:rsidP="003261ED">
            <w:pPr>
              <w:jc w:val="both"/>
              <w:rPr>
                <w:rFonts w:eastAsia="Calibri"/>
                <w:sz w:val="20"/>
              </w:rPr>
            </w:pPr>
            <w:r w:rsidRPr="00120504">
              <w:rPr>
                <w:rFonts w:eastAsia="Calibri"/>
                <w:sz w:val="20"/>
              </w:rPr>
              <w:t>November 15, 2010</w:t>
            </w:r>
          </w:p>
          <w:p w:rsidR="00A51233" w:rsidRPr="00120504" w:rsidRDefault="00A51233" w:rsidP="003261ED">
            <w:pPr>
              <w:jc w:val="both"/>
              <w:rPr>
                <w:rFonts w:eastAsia="Calibri"/>
                <w:sz w:val="20"/>
              </w:rPr>
            </w:pPr>
            <w:r w:rsidRPr="00120504">
              <w:rPr>
                <w:rFonts w:eastAsia="Calibri"/>
                <w:sz w:val="20"/>
              </w:rPr>
              <w:t>Supreme Court of Canada</w:t>
            </w:r>
          </w:p>
          <w:p w:rsidR="00A51233" w:rsidRPr="00120504" w:rsidRDefault="00A51233" w:rsidP="003261ED">
            <w:pPr>
              <w:jc w:val="both"/>
              <w:rPr>
                <w:rFonts w:eastAsia="Calibri"/>
                <w:sz w:val="20"/>
              </w:rPr>
            </w:pPr>
          </w:p>
        </w:tc>
        <w:tc>
          <w:tcPr>
            <w:tcW w:w="243" w:type="pct"/>
          </w:tcPr>
          <w:p w:rsidR="00A51233" w:rsidRPr="00120504" w:rsidRDefault="00A51233" w:rsidP="003261ED">
            <w:pPr>
              <w:jc w:val="both"/>
              <w:rPr>
                <w:rFonts w:eastAsia="Calibri"/>
                <w:sz w:val="20"/>
              </w:rPr>
            </w:pPr>
          </w:p>
        </w:tc>
        <w:tc>
          <w:tcPr>
            <w:tcW w:w="2330" w:type="pct"/>
          </w:tcPr>
          <w:p w:rsidR="00A51233" w:rsidRPr="00120504" w:rsidRDefault="00A51233" w:rsidP="003261ED">
            <w:pPr>
              <w:jc w:val="both"/>
              <w:rPr>
                <w:rFonts w:eastAsia="Calibri"/>
                <w:sz w:val="20"/>
              </w:rPr>
            </w:pPr>
            <w:r w:rsidRPr="00120504">
              <w:rPr>
                <w:rFonts w:eastAsia="Calibri"/>
                <w:sz w:val="20"/>
              </w:rPr>
              <w:t>Application for leave to appeal filed</w:t>
            </w:r>
          </w:p>
          <w:p w:rsidR="00A51233" w:rsidRPr="00120504" w:rsidRDefault="00A51233" w:rsidP="003261ED">
            <w:pPr>
              <w:jc w:val="both"/>
              <w:rPr>
                <w:rFonts w:eastAsia="Calibri"/>
                <w:sz w:val="20"/>
              </w:rPr>
            </w:pPr>
          </w:p>
        </w:tc>
      </w:tr>
      <w:tr w:rsidR="00A51233" w:rsidRPr="00120504" w:rsidTr="003261ED">
        <w:tc>
          <w:tcPr>
            <w:tcW w:w="2427" w:type="pct"/>
          </w:tcPr>
          <w:p w:rsidR="00A51233" w:rsidRPr="00120504" w:rsidRDefault="00A51233" w:rsidP="003261ED">
            <w:pPr>
              <w:jc w:val="both"/>
              <w:rPr>
                <w:rFonts w:eastAsia="Calibri"/>
                <w:sz w:val="20"/>
              </w:rPr>
            </w:pPr>
            <w:r w:rsidRPr="00120504">
              <w:rPr>
                <w:rFonts w:eastAsia="Calibri"/>
                <w:sz w:val="20"/>
              </w:rPr>
              <w:t>November 17, 2010</w:t>
            </w:r>
          </w:p>
          <w:p w:rsidR="00A51233" w:rsidRPr="00120504" w:rsidRDefault="00A51233" w:rsidP="003261ED">
            <w:pPr>
              <w:jc w:val="both"/>
              <w:rPr>
                <w:rFonts w:eastAsia="Calibri"/>
                <w:sz w:val="20"/>
              </w:rPr>
            </w:pPr>
            <w:r w:rsidRPr="00120504">
              <w:rPr>
                <w:rFonts w:eastAsia="Calibri"/>
                <w:sz w:val="20"/>
              </w:rPr>
              <w:t>Supreme Court of Canada</w:t>
            </w:r>
          </w:p>
        </w:tc>
        <w:tc>
          <w:tcPr>
            <w:tcW w:w="243" w:type="pct"/>
          </w:tcPr>
          <w:p w:rsidR="00A51233" w:rsidRPr="00120504" w:rsidRDefault="00A51233" w:rsidP="003261ED">
            <w:pPr>
              <w:jc w:val="both"/>
              <w:rPr>
                <w:rFonts w:eastAsia="Calibri"/>
                <w:sz w:val="20"/>
              </w:rPr>
            </w:pPr>
          </w:p>
        </w:tc>
        <w:tc>
          <w:tcPr>
            <w:tcW w:w="2330" w:type="pct"/>
          </w:tcPr>
          <w:p w:rsidR="00A51233" w:rsidRPr="00120504" w:rsidRDefault="00A51233" w:rsidP="003261ED">
            <w:pPr>
              <w:jc w:val="both"/>
              <w:rPr>
                <w:rFonts w:eastAsia="Calibri"/>
                <w:sz w:val="20"/>
              </w:rPr>
            </w:pPr>
            <w:r w:rsidRPr="00120504">
              <w:rPr>
                <w:rFonts w:eastAsia="Calibri"/>
                <w:sz w:val="20"/>
              </w:rPr>
              <w:t>Motion for extension of time to file and serve application for leave to appeal filed</w:t>
            </w:r>
          </w:p>
        </w:tc>
      </w:tr>
    </w:tbl>
    <w:p w:rsidR="004704BD" w:rsidRPr="004704BD" w:rsidRDefault="004704BD" w:rsidP="004704BD">
      <w:pPr>
        <w:rPr>
          <w:sz w:val="20"/>
          <w:szCs w:val="20"/>
        </w:rPr>
      </w:pPr>
    </w:p>
    <w:p w:rsidR="004704BD" w:rsidRDefault="0004334C" w:rsidP="004704BD">
      <w:pPr>
        <w:rPr>
          <w:sz w:val="20"/>
          <w:szCs w:val="20"/>
          <w:lang w:val="fr-CA"/>
        </w:rPr>
      </w:pPr>
      <w:r w:rsidRPr="0004334C">
        <w:rPr>
          <w:sz w:val="20"/>
          <w:szCs w:val="20"/>
          <w:lang w:val="fr-CA"/>
        </w:rPr>
        <w:pict>
          <v:rect id="_x0000_i1062" style="width:2in;height:1pt" o:hrpct="0" o:hralign="center" o:hrstd="t" o:hrnoshade="t" o:hr="t" fillcolor="black [3213]" stroked="f"/>
        </w:pict>
      </w:r>
    </w:p>
    <w:p w:rsidR="004704BD" w:rsidRDefault="004704BD" w:rsidP="004704BD">
      <w:pPr>
        <w:rPr>
          <w:sz w:val="20"/>
          <w:szCs w:val="20"/>
          <w:lang w:val="fr-CA"/>
        </w:rPr>
      </w:pPr>
    </w:p>
    <w:p w:rsidR="004704BD" w:rsidRPr="004704BD" w:rsidRDefault="004704BD" w:rsidP="004704BD">
      <w:pPr>
        <w:rPr>
          <w:sz w:val="20"/>
          <w:szCs w:val="20"/>
          <w:lang w:val="fr-CA"/>
        </w:rPr>
      </w:pPr>
      <w:r>
        <w:rPr>
          <w:sz w:val="20"/>
          <w:szCs w:val="20"/>
          <w:u w:val="single"/>
          <w:lang w:val="fr-CA"/>
        </w:rPr>
        <w:t>RÉSUMÉ DE L’AFFAIRE</w:t>
      </w:r>
    </w:p>
    <w:p w:rsidR="004704BD" w:rsidRDefault="004704BD" w:rsidP="004704BD">
      <w:pPr>
        <w:rPr>
          <w:sz w:val="20"/>
          <w:szCs w:val="20"/>
          <w:lang w:val="fr-CA"/>
        </w:rPr>
      </w:pPr>
    </w:p>
    <w:tbl>
      <w:tblPr>
        <w:tblW w:w="4952" w:type="pct"/>
        <w:tblLayout w:type="fixed"/>
        <w:tblCellMar>
          <w:left w:w="0" w:type="dxa"/>
          <w:bottom w:w="99" w:type="dxa"/>
          <w:right w:w="0" w:type="dxa"/>
        </w:tblCellMar>
        <w:tblLook w:val="04A0"/>
      </w:tblPr>
      <w:tblGrid>
        <w:gridCol w:w="4624"/>
        <w:gridCol w:w="463"/>
        <w:gridCol w:w="4440"/>
      </w:tblGrid>
      <w:tr w:rsidR="00A51233" w:rsidRPr="00120504" w:rsidTr="003261ED">
        <w:tc>
          <w:tcPr>
            <w:tcW w:w="5000" w:type="pct"/>
            <w:gridSpan w:val="3"/>
          </w:tcPr>
          <w:p w:rsidR="00A51233" w:rsidRPr="00120504" w:rsidRDefault="00A51233" w:rsidP="003261ED">
            <w:pPr>
              <w:jc w:val="both"/>
              <w:rPr>
                <w:rFonts w:eastAsia="Calibri"/>
                <w:sz w:val="20"/>
                <w:lang w:val="fr-CA"/>
              </w:rPr>
            </w:pPr>
            <w:r w:rsidRPr="00120504">
              <w:rPr>
                <w:rFonts w:eastAsia="Calibri"/>
                <w:sz w:val="20"/>
                <w:lang w:val="fr-CA"/>
              </w:rPr>
              <w:t xml:space="preserve">Droit social – Indemnisation des victimes d’actes criminels – Victime étant associée au milieu criminalisé – Les instances inférieures ont-elles eu tort de refuser l’indemnisation au motif que la victime avait, par sa faute lourde, contribué à ses blessures? – </w:t>
            </w:r>
            <w:r w:rsidRPr="00120504">
              <w:rPr>
                <w:rFonts w:eastAsia="Calibri"/>
                <w:i/>
                <w:sz w:val="20"/>
                <w:lang w:val="fr-CA"/>
              </w:rPr>
              <w:t>Loi sur l’indemnisation des victimes d’actes criminels,</w:t>
            </w:r>
            <w:r w:rsidRPr="00120504">
              <w:rPr>
                <w:rFonts w:eastAsia="Calibri"/>
                <w:sz w:val="20"/>
                <w:lang w:val="fr-CA"/>
              </w:rPr>
              <w:t xml:space="preserve"> L.R.Q., ch. I-6, al. 20</w:t>
            </w:r>
            <w:r w:rsidRPr="00120504">
              <w:rPr>
                <w:rFonts w:eastAsia="Calibri"/>
                <w:i/>
                <w:sz w:val="20"/>
                <w:lang w:val="fr-CA"/>
              </w:rPr>
              <w:t>b</w:t>
            </w:r>
            <w:r w:rsidRPr="00120504">
              <w:rPr>
                <w:rFonts w:eastAsia="Calibri"/>
                <w:sz w:val="20"/>
                <w:lang w:val="fr-CA"/>
              </w:rPr>
              <w:t>).</w:t>
            </w:r>
          </w:p>
          <w:p w:rsidR="00A51233" w:rsidRPr="00120504" w:rsidRDefault="00A51233" w:rsidP="003261ED">
            <w:pPr>
              <w:jc w:val="both"/>
              <w:rPr>
                <w:rFonts w:eastAsia="Calibri"/>
                <w:sz w:val="20"/>
                <w:lang w:val="fr-CA"/>
              </w:rPr>
            </w:pPr>
          </w:p>
        </w:tc>
      </w:tr>
      <w:tr w:rsidR="00A51233" w:rsidRPr="00120504" w:rsidTr="003261ED">
        <w:tc>
          <w:tcPr>
            <w:tcW w:w="5000" w:type="pct"/>
            <w:gridSpan w:val="3"/>
          </w:tcPr>
          <w:p w:rsidR="00A51233" w:rsidRPr="00120504" w:rsidRDefault="00A51233" w:rsidP="003261ED">
            <w:pPr>
              <w:jc w:val="both"/>
              <w:rPr>
                <w:rFonts w:eastAsia="Calibri"/>
                <w:sz w:val="20"/>
                <w:lang w:val="fr-CA"/>
              </w:rPr>
            </w:pPr>
            <w:r w:rsidRPr="00120504">
              <w:rPr>
                <w:rFonts w:eastAsia="Calibri"/>
                <w:sz w:val="20"/>
                <w:lang w:val="fr-CA"/>
              </w:rPr>
              <w:t xml:space="preserve">Monsieur </w:t>
            </w:r>
            <w:proofErr w:type="spellStart"/>
            <w:r w:rsidRPr="00120504">
              <w:rPr>
                <w:rFonts w:eastAsia="Calibri"/>
                <w:sz w:val="20"/>
                <w:lang w:val="fr-CA"/>
              </w:rPr>
              <w:t>Haspillaire</w:t>
            </w:r>
            <w:proofErr w:type="spellEnd"/>
            <w:r w:rsidRPr="00120504">
              <w:rPr>
                <w:rFonts w:eastAsia="Calibri"/>
                <w:sz w:val="20"/>
                <w:lang w:val="fr-CA"/>
              </w:rPr>
              <w:t xml:space="preserve"> a témoigné à titre de témoin de la Couronne lors de procédures criminelles pour meurtre. Peu après, il a été victime d’une tentative de meurtre et est devenu paraplégique. Il a demandé d’être indemnisé en vertu de la </w:t>
            </w:r>
            <w:r w:rsidRPr="00120504">
              <w:rPr>
                <w:rFonts w:eastAsia="Calibri"/>
                <w:i/>
                <w:sz w:val="20"/>
                <w:lang w:val="fr-CA"/>
              </w:rPr>
              <w:t>Loi sur l’indemnisation des victimes d’actes criminels</w:t>
            </w:r>
            <w:r w:rsidRPr="00120504">
              <w:rPr>
                <w:rFonts w:eastAsia="Calibri"/>
                <w:sz w:val="20"/>
                <w:lang w:val="fr-CA"/>
              </w:rPr>
              <w:t xml:space="preserve">, mais sa demande a été rejetée par la Direction de l’indemnisation des victimes d’actes criminels pour le motif qu’étant associé à un gang de rue, M. </w:t>
            </w:r>
            <w:proofErr w:type="spellStart"/>
            <w:r w:rsidRPr="00120504">
              <w:rPr>
                <w:rFonts w:eastAsia="Calibri"/>
                <w:sz w:val="20"/>
                <w:lang w:val="fr-CA"/>
              </w:rPr>
              <w:t>Haspillaire</w:t>
            </w:r>
            <w:proofErr w:type="spellEnd"/>
            <w:r w:rsidRPr="00120504">
              <w:rPr>
                <w:rFonts w:eastAsia="Calibri"/>
                <w:sz w:val="20"/>
                <w:lang w:val="fr-CA"/>
              </w:rPr>
              <w:t xml:space="preserve"> avait </w:t>
            </w:r>
            <w:r w:rsidRPr="00120504">
              <w:rPr>
                <w:rFonts w:eastAsia="Calibri"/>
                <w:sz w:val="20"/>
                <w:lang w:val="fr-CA"/>
              </w:rPr>
              <w:lastRenderedPageBreak/>
              <w:t>contribué par sa faute lourde aux blessures qu’il avait subies, et l’al. 20</w:t>
            </w:r>
            <w:r w:rsidRPr="00120504">
              <w:rPr>
                <w:rFonts w:eastAsia="Calibri"/>
                <w:i/>
                <w:sz w:val="20"/>
                <w:lang w:val="fr-CA"/>
              </w:rPr>
              <w:t>b</w:t>
            </w:r>
            <w:r w:rsidRPr="00120504">
              <w:rPr>
                <w:rFonts w:eastAsia="Calibri"/>
                <w:sz w:val="20"/>
                <w:lang w:val="fr-CA"/>
              </w:rPr>
              <w:t xml:space="preserve">) de la Loi empêche l’indemnisation dans de telles circonstances. Cette décision a été confirmée par le Bureau de la révision administrative, mais le Tribunal administratif du Québec révise la décision.  Le TAQ estime qu’il n’y a pas de preuve prépondérante que M. </w:t>
            </w:r>
            <w:proofErr w:type="spellStart"/>
            <w:r w:rsidRPr="00120504">
              <w:rPr>
                <w:rFonts w:eastAsia="Calibri"/>
                <w:sz w:val="20"/>
                <w:lang w:val="fr-CA"/>
              </w:rPr>
              <w:t>Haspillaire</w:t>
            </w:r>
            <w:proofErr w:type="spellEnd"/>
            <w:r w:rsidRPr="00120504">
              <w:rPr>
                <w:rFonts w:eastAsia="Calibri"/>
                <w:sz w:val="20"/>
                <w:lang w:val="fr-CA"/>
              </w:rPr>
              <w:t xml:space="preserve"> a commis une faute lourde le privant de l’indemnisation prévue à la Loi. La Cour supérieure, siégeant en révision judiciaire, infirme la décision. Le juge </w:t>
            </w:r>
            <w:proofErr w:type="spellStart"/>
            <w:r w:rsidRPr="00120504">
              <w:rPr>
                <w:rFonts w:eastAsia="Calibri"/>
                <w:sz w:val="20"/>
                <w:lang w:val="fr-CA"/>
              </w:rPr>
              <w:t>Bédard</w:t>
            </w:r>
            <w:proofErr w:type="spellEnd"/>
            <w:r w:rsidRPr="00120504">
              <w:rPr>
                <w:rFonts w:eastAsia="Calibri"/>
                <w:sz w:val="20"/>
                <w:lang w:val="fr-CA"/>
              </w:rPr>
              <w:t xml:space="preserve"> estime qu’en limitant son analyse à la cause de l’attentat (le témoignage), le TAQ a restreint indûment la portée de l’al. 20</w:t>
            </w:r>
            <w:r w:rsidRPr="00120504">
              <w:rPr>
                <w:rFonts w:eastAsia="Calibri"/>
                <w:i/>
                <w:sz w:val="20"/>
                <w:lang w:val="fr-CA"/>
              </w:rPr>
              <w:t>b</w:t>
            </w:r>
            <w:r w:rsidRPr="00120504">
              <w:rPr>
                <w:rFonts w:eastAsia="Calibri"/>
                <w:sz w:val="20"/>
                <w:lang w:val="fr-CA"/>
              </w:rPr>
              <w:t xml:space="preserve">) de la Loi. De plus, il conclut que le TAQ a retenu une interprétation déraisonnable des faits, car la preuve établit très clairement que, même si M. </w:t>
            </w:r>
            <w:proofErr w:type="spellStart"/>
            <w:r w:rsidRPr="00120504">
              <w:rPr>
                <w:rFonts w:eastAsia="Calibri"/>
                <w:sz w:val="20"/>
                <w:lang w:val="fr-CA"/>
              </w:rPr>
              <w:t>Haspillaire</w:t>
            </w:r>
            <w:proofErr w:type="spellEnd"/>
            <w:r w:rsidRPr="00120504">
              <w:rPr>
                <w:rFonts w:eastAsia="Calibri"/>
                <w:sz w:val="20"/>
                <w:lang w:val="fr-CA"/>
              </w:rPr>
              <w:t xml:space="preserve"> n’était pas membre d’un gang de rue, il était associé au milieu criminalisé. Selon le juge, les conséquences de cette association étaient prévisibles et n’ont pas à faire l’objet d’une indemnisation. Le témoignage de M. </w:t>
            </w:r>
            <w:proofErr w:type="spellStart"/>
            <w:r w:rsidRPr="00120504">
              <w:rPr>
                <w:rFonts w:eastAsia="Calibri"/>
                <w:sz w:val="20"/>
                <w:lang w:val="fr-CA"/>
              </w:rPr>
              <w:t>Haspillaire</w:t>
            </w:r>
            <w:proofErr w:type="spellEnd"/>
            <w:r w:rsidRPr="00120504">
              <w:rPr>
                <w:rFonts w:eastAsia="Calibri"/>
                <w:sz w:val="20"/>
                <w:lang w:val="fr-CA"/>
              </w:rPr>
              <w:t xml:space="preserve"> « ne peut avoir pour effet de l’absoudre de son association aux gangs de rue » (par. 17). La Cour d’appel rejette l’appel.</w:t>
            </w:r>
          </w:p>
          <w:p w:rsidR="00A51233" w:rsidRPr="00120504" w:rsidRDefault="00A51233" w:rsidP="003261ED">
            <w:pPr>
              <w:jc w:val="both"/>
              <w:rPr>
                <w:rFonts w:eastAsia="Calibri"/>
                <w:sz w:val="20"/>
                <w:lang w:val="fr-CA"/>
              </w:rPr>
            </w:pPr>
          </w:p>
        </w:tc>
      </w:tr>
      <w:tr w:rsidR="00A51233" w:rsidRPr="001602E4" w:rsidTr="003261ED">
        <w:tc>
          <w:tcPr>
            <w:tcW w:w="2427" w:type="pct"/>
          </w:tcPr>
          <w:p w:rsidR="00A51233" w:rsidRPr="00120504" w:rsidRDefault="00A51233" w:rsidP="003261ED">
            <w:pPr>
              <w:jc w:val="both"/>
              <w:rPr>
                <w:rFonts w:eastAsia="Calibri"/>
                <w:sz w:val="20"/>
                <w:lang w:val="fr-CA"/>
              </w:rPr>
            </w:pPr>
            <w:r w:rsidRPr="00120504">
              <w:rPr>
                <w:rFonts w:eastAsia="Calibri"/>
                <w:sz w:val="20"/>
                <w:lang w:val="fr-CA"/>
              </w:rPr>
              <w:lastRenderedPageBreak/>
              <w:t>Le 19 février 2007</w:t>
            </w:r>
          </w:p>
          <w:p w:rsidR="00A51233" w:rsidRPr="00120504" w:rsidRDefault="00A51233" w:rsidP="003261ED">
            <w:pPr>
              <w:jc w:val="both"/>
              <w:rPr>
                <w:rFonts w:eastAsia="Calibri"/>
                <w:sz w:val="20"/>
                <w:lang w:val="fr-CA"/>
              </w:rPr>
            </w:pPr>
            <w:r w:rsidRPr="00120504">
              <w:rPr>
                <w:rFonts w:eastAsia="Calibri"/>
                <w:sz w:val="20"/>
                <w:lang w:val="fr-CA"/>
              </w:rPr>
              <w:t>Tribunal administratif du Québec</w:t>
            </w:r>
          </w:p>
          <w:p w:rsidR="00A51233" w:rsidRPr="00120504" w:rsidRDefault="00A51233" w:rsidP="003261ED">
            <w:pPr>
              <w:jc w:val="both"/>
              <w:rPr>
                <w:rFonts w:eastAsia="Calibri"/>
                <w:sz w:val="20"/>
                <w:lang w:val="fr-CA"/>
              </w:rPr>
            </w:pPr>
            <w:r w:rsidRPr="00120504">
              <w:rPr>
                <w:rFonts w:eastAsia="Calibri"/>
                <w:sz w:val="20"/>
                <w:lang w:val="fr-CA"/>
              </w:rPr>
              <w:t>(Le membre Saucier)</w:t>
            </w:r>
          </w:p>
          <w:p w:rsidR="00A51233" w:rsidRPr="00120504" w:rsidRDefault="00A51233" w:rsidP="003261ED">
            <w:pPr>
              <w:jc w:val="both"/>
              <w:rPr>
                <w:rFonts w:eastAsia="Calibri"/>
                <w:sz w:val="20"/>
                <w:lang w:val="fr-CA"/>
              </w:rPr>
            </w:pPr>
            <w:r w:rsidRPr="00120504">
              <w:rPr>
                <w:rFonts w:eastAsia="Calibri"/>
                <w:sz w:val="20"/>
                <w:lang w:val="fr-CA"/>
              </w:rPr>
              <w:t>2007 QCTAQ 02620</w:t>
            </w:r>
          </w:p>
          <w:p w:rsidR="00A51233" w:rsidRPr="00120504" w:rsidRDefault="00A51233" w:rsidP="003261ED">
            <w:pPr>
              <w:jc w:val="both"/>
              <w:rPr>
                <w:rFonts w:eastAsia="Calibri"/>
                <w:sz w:val="20"/>
                <w:lang w:val="fr-CA"/>
              </w:rPr>
            </w:pPr>
          </w:p>
        </w:tc>
        <w:tc>
          <w:tcPr>
            <w:tcW w:w="243" w:type="pct"/>
          </w:tcPr>
          <w:p w:rsidR="00A51233" w:rsidRPr="00120504" w:rsidRDefault="00A51233" w:rsidP="003261ED">
            <w:pPr>
              <w:jc w:val="both"/>
              <w:rPr>
                <w:rFonts w:eastAsia="Calibri"/>
                <w:sz w:val="20"/>
                <w:lang w:val="fr-CA"/>
              </w:rPr>
            </w:pPr>
          </w:p>
        </w:tc>
        <w:tc>
          <w:tcPr>
            <w:tcW w:w="2330" w:type="pct"/>
          </w:tcPr>
          <w:p w:rsidR="00A51233" w:rsidRPr="00120504" w:rsidRDefault="00A51233" w:rsidP="003261ED">
            <w:pPr>
              <w:jc w:val="both"/>
              <w:rPr>
                <w:rFonts w:eastAsia="Calibri"/>
                <w:sz w:val="20"/>
                <w:lang w:val="fr-CA"/>
              </w:rPr>
            </w:pPr>
            <w:r w:rsidRPr="00120504">
              <w:rPr>
                <w:rFonts w:eastAsia="Calibri"/>
                <w:sz w:val="20"/>
                <w:lang w:val="fr-CA"/>
              </w:rPr>
              <w:t xml:space="preserve">Appel d’une décision du Bureau de révision de la </w:t>
            </w:r>
            <w:proofErr w:type="spellStart"/>
            <w:r w:rsidRPr="00120504">
              <w:rPr>
                <w:rFonts w:eastAsia="Calibri"/>
                <w:sz w:val="20"/>
                <w:lang w:val="fr-CA"/>
              </w:rPr>
              <w:t>Dierection</w:t>
            </w:r>
            <w:proofErr w:type="spellEnd"/>
            <w:r w:rsidRPr="00120504">
              <w:rPr>
                <w:rFonts w:eastAsia="Calibri"/>
                <w:sz w:val="20"/>
                <w:lang w:val="fr-CA"/>
              </w:rPr>
              <w:t xml:space="preserve"> de l’indemnisation des victimes d’actes criminels accueilli</w:t>
            </w:r>
          </w:p>
          <w:p w:rsidR="00A51233" w:rsidRPr="00120504" w:rsidRDefault="00A51233" w:rsidP="003261ED">
            <w:pPr>
              <w:jc w:val="both"/>
              <w:rPr>
                <w:rFonts w:eastAsia="Calibri"/>
                <w:sz w:val="20"/>
                <w:lang w:val="fr-CA"/>
              </w:rPr>
            </w:pPr>
          </w:p>
        </w:tc>
      </w:tr>
      <w:tr w:rsidR="00A51233" w:rsidRPr="001602E4" w:rsidTr="003261ED">
        <w:tc>
          <w:tcPr>
            <w:tcW w:w="2427" w:type="pct"/>
          </w:tcPr>
          <w:p w:rsidR="00A51233" w:rsidRPr="00120504" w:rsidRDefault="00A51233" w:rsidP="003261ED">
            <w:pPr>
              <w:jc w:val="both"/>
              <w:rPr>
                <w:rFonts w:eastAsia="Calibri"/>
                <w:sz w:val="20"/>
                <w:lang w:val="fr-CA"/>
              </w:rPr>
            </w:pPr>
            <w:r w:rsidRPr="00120504">
              <w:rPr>
                <w:rFonts w:eastAsia="Calibri"/>
                <w:sz w:val="20"/>
                <w:lang w:val="fr-CA"/>
              </w:rPr>
              <w:t>Le 9 mai 2008</w:t>
            </w:r>
          </w:p>
          <w:p w:rsidR="00A51233" w:rsidRPr="00120504" w:rsidRDefault="00A51233" w:rsidP="003261ED">
            <w:pPr>
              <w:jc w:val="both"/>
              <w:rPr>
                <w:rFonts w:eastAsia="Calibri"/>
                <w:sz w:val="20"/>
                <w:lang w:val="fr-CA"/>
              </w:rPr>
            </w:pPr>
            <w:r w:rsidRPr="00120504">
              <w:rPr>
                <w:rFonts w:eastAsia="Calibri"/>
                <w:sz w:val="20"/>
                <w:lang w:val="fr-CA"/>
              </w:rPr>
              <w:t>Cour supérieure du Québec</w:t>
            </w:r>
          </w:p>
          <w:p w:rsidR="00A51233" w:rsidRPr="00120504" w:rsidRDefault="00A51233" w:rsidP="003261ED">
            <w:pPr>
              <w:jc w:val="both"/>
              <w:rPr>
                <w:rFonts w:eastAsia="Calibri"/>
                <w:sz w:val="20"/>
                <w:lang w:val="fr-CA"/>
              </w:rPr>
            </w:pPr>
            <w:r w:rsidRPr="00120504">
              <w:rPr>
                <w:rFonts w:eastAsia="Calibri"/>
                <w:sz w:val="20"/>
                <w:lang w:val="fr-CA"/>
              </w:rPr>
              <w:t xml:space="preserve">(Le juge </w:t>
            </w:r>
            <w:proofErr w:type="spellStart"/>
            <w:r w:rsidRPr="00120504">
              <w:rPr>
                <w:rFonts w:eastAsia="Calibri"/>
                <w:sz w:val="20"/>
                <w:lang w:val="fr-CA"/>
              </w:rPr>
              <w:t>Bédard</w:t>
            </w:r>
            <w:proofErr w:type="spellEnd"/>
            <w:r w:rsidRPr="00120504">
              <w:rPr>
                <w:rFonts w:eastAsia="Calibri"/>
                <w:sz w:val="20"/>
                <w:lang w:val="fr-CA"/>
              </w:rPr>
              <w:t>)</w:t>
            </w:r>
          </w:p>
          <w:p w:rsidR="00A51233" w:rsidRPr="00120504" w:rsidRDefault="00A51233" w:rsidP="003261ED">
            <w:pPr>
              <w:jc w:val="both"/>
              <w:rPr>
                <w:rFonts w:eastAsia="Calibri"/>
                <w:sz w:val="20"/>
                <w:lang w:val="fr-CA"/>
              </w:rPr>
            </w:pPr>
          </w:p>
        </w:tc>
        <w:tc>
          <w:tcPr>
            <w:tcW w:w="243" w:type="pct"/>
          </w:tcPr>
          <w:p w:rsidR="00A51233" w:rsidRPr="00120504" w:rsidRDefault="00A51233" w:rsidP="003261ED">
            <w:pPr>
              <w:jc w:val="both"/>
              <w:rPr>
                <w:rFonts w:eastAsia="Calibri"/>
                <w:sz w:val="20"/>
                <w:lang w:val="fr-CA"/>
              </w:rPr>
            </w:pPr>
          </w:p>
        </w:tc>
        <w:tc>
          <w:tcPr>
            <w:tcW w:w="2330" w:type="pct"/>
          </w:tcPr>
          <w:p w:rsidR="00A51233" w:rsidRPr="00120504" w:rsidRDefault="00A51233" w:rsidP="003261ED">
            <w:pPr>
              <w:jc w:val="both"/>
              <w:rPr>
                <w:rFonts w:eastAsia="Calibri"/>
                <w:sz w:val="20"/>
                <w:lang w:val="fr-CA"/>
              </w:rPr>
            </w:pPr>
            <w:r w:rsidRPr="00120504">
              <w:rPr>
                <w:rFonts w:eastAsia="Calibri"/>
                <w:sz w:val="20"/>
                <w:lang w:val="fr-CA"/>
              </w:rPr>
              <w:t>Requête en révision judiciaire accueillie; demande d’indemnisation rejetée</w:t>
            </w:r>
          </w:p>
          <w:p w:rsidR="00A51233" w:rsidRPr="00120504" w:rsidRDefault="00A51233" w:rsidP="003261ED">
            <w:pPr>
              <w:jc w:val="both"/>
              <w:rPr>
                <w:rFonts w:eastAsia="Calibri"/>
                <w:sz w:val="20"/>
                <w:lang w:val="fr-CA"/>
              </w:rPr>
            </w:pPr>
          </w:p>
        </w:tc>
      </w:tr>
      <w:tr w:rsidR="00A51233" w:rsidRPr="00120504" w:rsidTr="003261ED">
        <w:tc>
          <w:tcPr>
            <w:tcW w:w="2427" w:type="pct"/>
          </w:tcPr>
          <w:p w:rsidR="00A51233" w:rsidRPr="00120504" w:rsidRDefault="00A51233" w:rsidP="003261ED">
            <w:pPr>
              <w:jc w:val="both"/>
              <w:rPr>
                <w:rFonts w:eastAsia="Calibri"/>
                <w:sz w:val="20"/>
                <w:lang w:val="fr-CA"/>
              </w:rPr>
            </w:pPr>
            <w:r w:rsidRPr="00120504">
              <w:rPr>
                <w:rFonts w:eastAsia="Calibri"/>
                <w:sz w:val="20"/>
                <w:lang w:val="fr-CA"/>
              </w:rPr>
              <w:t>Le 13 septembre 2010</w:t>
            </w:r>
          </w:p>
          <w:p w:rsidR="00A51233" w:rsidRPr="00120504" w:rsidRDefault="00A51233" w:rsidP="003261ED">
            <w:pPr>
              <w:jc w:val="both"/>
              <w:rPr>
                <w:rFonts w:eastAsia="Calibri"/>
                <w:sz w:val="20"/>
                <w:lang w:val="fr-CA"/>
              </w:rPr>
            </w:pPr>
            <w:r w:rsidRPr="00120504">
              <w:rPr>
                <w:rFonts w:eastAsia="Calibri"/>
                <w:sz w:val="20"/>
                <w:lang w:val="fr-CA"/>
              </w:rPr>
              <w:t>Cour d’appel du Québec (Montréal)</w:t>
            </w:r>
          </w:p>
          <w:p w:rsidR="00A51233" w:rsidRPr="00120504" w:rsidRDefault="00A51233" w:rsidP="003261ED">
            <w:pPr>
              <w:jc w:val="both"/>
              <w:rPr>
                <w:rFonts w:eastAsia="Calibri"/>
                <w:sz w:val="20"/>
                <w:lang w:val="fr-CA"/>
              </w:rPr>
            </w:pPr>
            <w:r w:rsidRPr="00120504">
              <w:rPr>
                <w:rFonts w:eastAsia="Calibri"/>
                <w:sz w:val="20"/>
                <w:lang w:val="fr-CA"/>
              </w:rPr>
              <w:t xml:space="preserve">(Les juges </w:t>
            </w:r>
            <w:proofErr w:type="spellStart"/>
            <w:r w:rsidRPr="00120504">
              <w:rPr>
                <w:rFonts w:eastAsia="Calibri"/>
                <w:sz w:val="20"/>
                <w:lang w:val="fr-CA"/>
              </w:rPr>
              <w:t>Dalphond</w:t>
            </w:r>
            <w:proofErr w:type="spellEnd"/>
            <w:r w:rsidRPr="00120504">
              <w:rPr>
                <w:rFonts w:eastAsia="Calibri"/>
                <w:sz w:val="20"/>
                <w:lang w:val="fr-CA"/>
              </w:rPr>
              <w:t>, Hilton et Côté)</w:t>
            </w:r>
          </w:p>
          <w:p w:rsidR="00A51233" w:rsidRPr="00120504" w:rsidRDefault="00A51233" w:rsidP="003261ED">
            <w:pPr>
              <w:jc w:val="both"/>
              <w:rPr>
                <w:rFonts w:eastAsia="Calibri"/>
                <w:sz w:val="20"/>
                <w:lang w:val="fr-CA"/>
              </w:rPr>
            </w:pPr>
            <w:r w:rsidRPr="00120504">
              <w:rPr>
                <w:rFonts w:eastAsia="Calibri"/>
                <w:sz w:val="20"/>
                <w:lang w:val="fr-CA"/>
              </w:rPr>
              <w:t>2010 QCCA 1626</w:t>
            </w:r>
          </w:p>
          <w:p w:rsidR="00A51233" w:rsidRPr="00120504" w:rsidRDefault="00A51233" w:rsidP="003261ED">
            <w:pPr>
              <w:jc w:val="both"/>
              <w:rPr>
                <w:rFonts w:eastAsia="Calibri"/>
                <w:sz w:val="20"/>
                <w:lang w:val="fr-CA"/>
              </w:rPr>
            </w:pPr>
          </w:p>
        </w:tc>
        <w:tc>
          <w:tcPr>
            <w:tcW w:w="243" w:type="pct"/>
          </w:tcPr>
          <w:p w:rsidR="00A51233" w:rsidRPr="00120504" w:rsidRDefault="00A51233" w:rsidP="003261ED">
            <w:pPr>
              <w:jc w:val="both"/>
              <w:rPr>
                <w:rFonts w:eastAsia="Calibri"/>
                <w:sz w:val="20"/>
                <w:lang w:val="fr-CA"/>
              </w:rPr>
            </w:pPr>
          </w:p>
        </w:tc>
        <w:tc>
          <w:tcPr>
            <w:tcW w:w="2330" w:type="pct"/>
          </w:tcPr>
          <w:p w:rsidR="00A51233" w:rsidRPr="00120504" w:rsidRDefault="00A51233" w:rsidP="003261ED">
            <w:pPr>
              <w:jc w:val="both"/>
              <w:rPr>
                <w:rFonts w:eastAsia="Calibri"/>
                <w:sz w:val="20"/>
                <w:lang w:val="fr-CA"/>
              </w:rPr>
            </w:pPr>
            <w:r w:rsidRPr="00120504">
              <w:rPr>
                <w:rFonts w:eastAsia="Calibri"/>
                <w:sz w:val="20"/>
                <w:lang w:val="fr-CA"/>
              </w:rPr>
              <w:t xml:space="preserve">Appel rejeté </w:t>
            </w:r>
          </w:p>
          <w:p w:rsidR="00A51233" w:rsidRPr="00120504" w:rsidRDefault="00A51233" w:rsidP="003261ED">
            <w:pPr>
              <w:jc w:val="both"/>
              <w:rPr>
                <w:rFonts w:eastAsia="Calibri"/>
                <w:sz w:val="20"/>
                <w:lang w:val="fr-CA"/>
              </w:rPr>
            </w:pPr>
          </w:p>
        </w:tc>
      </w:tr>
      <w:tr w:rsidR="00A51233" w:rsidRPr="00120504" w:rsidTr="003261ED">
        <w:tc>
          <w:tcPr>
            <w:tcW w:w="2427" w:type="pct"/>
          </w:tcPr>
          <w:p w:rsidR="00A51233" w:rsidRPr="00120504" w:rsidRDefault="00A51233" w:rsidP="003261ED">
            <w:pPr>
              <w:jc w:val="both"/>
              <w:rPr>
                <w:rFonts w:eastAsia="Calibri"/>
                <w:sz w:val="20"/>
                <w:lang w:val="fr-CA"/>
              </w:rPr>
            </w:pPr>
            <w:r w:rsidRPr="00120504">
              <w:rPr>
                <w:rFonts w:eastAsia="Calibri"/>
                <w:sz w:val="20"/>
                <w:lang w:val="fr-CA"/>
              </w:rPr>
              <w:t>Le 15 novembre 2010</w:t>
            </w:r>
          </w:p>
          <w:p w:rsidR="00A51233" w:rsidRPr="00120504" w:rsidRDefault="00A51233" w:rsidP="003261ED">
            <w:pPr>
              <w:jc w:val="both"/>
              <w:rPr>
                <w:rFonts w:eastAsia="Calibri"/>
                <w:sz w:val="20"/>
                <w:lang w:val="fr-CA"/>
              </w:rPr>
            </w:pPr>
            <w:r w:rsidRPr="00120504">
              <w:rPr>
                <w:rFonts w:eastAsia="Calibri"/>
                <w:sz w:val="20"/>
                <w:lang w:val="fr-CA"/>
              </w:rPr>
              <w:t>Cour suprême du Canada</w:t>
            </w:r>
          </w:p>
          <w:p w:rsidR="00A51233" w:rsidRPr="00120504" w:rsidRDefault="00A51233" w:rsidP="003261ED">
            <w:pPr>
              <w:jc w:val="both"/>
              <w:rPr>
                <w:rFonts w:eastAsia="Calibri"/>
                <w:sz w:val="20"/>
                <w:lang w:val="fr-CA"/>
              </w:rPr>
            </w:pPr>
          </w:p>
        </w:tc>
        <w:tc>
          <w:tcPr>
            <w:tcW w:w="243" w:type="pct"/>
          </w:tcPr>
          <w:p w:rsidR="00A51233" w:rsidRPr="00120504" w:rsidRDefault="00A51233" w:rsidP="003261ED">
            <w:pPr>
              <w:jc w:val="both"/>
              <w:rPr>
                <w:rFonts w:eastAsia="Calibri"/>
                <w:sz w:val="20"/>
                <w:lang w:val="fr-CA"/>
              </w:rPr>
            </w:pPr>
          </w:p>
        </w:tc>
        <w:tc>
          <w:tcPr>
            <w:tcW w:w="2330" w:type="pct"/>
          </w:tcPr>
          <w:p w:rsidR="00A51233" w:rsidRPr="00120504" w:rsidRDefault="00A51233" w:rsidP="003261ED">
            <w:pPr>
              <w:jc w:val="both"/>
              <w:rPr>
                <w:rFonts w:eastAsia="Calibri"/>
                <w:sz w:val="20"/>
                <w:lang w:val="fr-CA"/>
              </w:rPr>
            </w:pPr>
            <w:r w:rsidRPr="00120504">
              <w:rPr>
                <w:rFonts w:eastAsia="Calibri"/>
                <w:sz w:val="20"/>
                <w:lang w:val="fr-CA"/>
              </w:rPr>
              <w:t>Demande d'autorisation d'appel déposée</w:t>
            </w:r>
          </w:p>
          <w:p w:rsidR="00A51233" w:rsidRPr="00120504" w:rsidRDefault="00A51233" w:rsidP="003261ED">
            <w:pPr>
              <w:jc w:val="both"/>
              <w:rPr>
                <w:rFonts w:eastAsia="Calibri"/>
                <w:sz w:val="20"/>
                <w:lang w:val="fr-CA"/>
              </w:rPr>
            </w:pPr>
          </w:p>
        </w:tc>
      </w:tr>
      <w:tr w:rsidR="00A51233" w:rsidRPr="001602E4" w:rsidTr="003261ED">
        <w:tc>
          <w:tcPr>
            <w:tcW w:w="2427" w:type="pct"/>
          </w:tcPr>
          <w:p w:rsidR="00A51233" w:rsidRPr="00120504" w:rsidRDefault="00A51233" w:rsidP="003261ED">
            <w:pPr>
              <w:jc w:val="both"/>
              <w:rPr>
                <w:rFonts w:eastAsia="Calibri"/>
                <w:sz w:val="20"/>
                <w:lang w:val="fr-CA"/>
              </w:rPr>
            </w:pPr>
            <w:r w:rsidRPr="00120504">
              <w:rPr>
                <w:rFonts w:eastAsia="Calibri"/>
                <w:sz w:val="20"/>
                <w:lang w:val="fr-CA"/>
              </w:rPr>
              <w:t>Le 17 novembre 2010</w:t>
            </w:r>
          </w:p>
          <w:p w:rsidR="00A51233" w:rsidRPr="00120504" w:rsidRDefault="00A51233" w:rsidP="003261ED">
            <w:pPr>
              <w:jc w:val="both"/>
              <w:rPr>
                <w:rFonts w:eastAsia="Calibri"/>
                <w:sz w:val="20"/>
                <w:lang w:val="fr-CA"/>
              </w:rPr>
            </w:pPr>
            <w:r w:rsidRPr="00120504">
              <w:rPr>
                <w:rFonts w:eastAsia="Calibri"/>
                <w:sz w:val="20"/>
                <w:lang w:val="fr-CA"/>
              </w:rPr>
              <w:t>Cour suprême du Canada</w:t>
            </w:r>
          </w:p>
        </w:tc>
        <w:tc>
          <w:tcPr>
            <w:tcW w:w="243" w:type="pct"/>
          </w:tcPr>
          <w:p w:rsidR="00A51233" w:rsidRPr="00120504" w:rsidRDefault="00A51233" w:rsidP="003261ED">
            <w:pPr>
              <w:jc w:val="both"/>
              <w:rPr>
                <w:rFonts w:eastAsia="Calibri"/>
                <w:sz w:val="20"/>
                <w:lang w:val="fr-CA"/>
              </w:rPr>
            </w:pPr>
          </w:p>
        </w:tc>
        <w:tc>
          <w:tcPr>
            <w:tcW w:w="2330" w:type="pct"/>
          </w:tcPr>
          <w:p w:rsidR="00A51233" w:rsidRPr="00120504" w:rsidRDefault="00A51233" w:rsidP="003261ED">
            <w:pPr>
              <w:jc w:val="both"/>
              <w:rPr>
                <w:rFonts w:eastAsia="Calibri"/>
                <w:sz w:val="20"/>
                <w:lang w:val="fr-CA"/>
              </w:rPr>
            </w:pPr>
            <w:r w:rsidRPr="00120504">
              <w:rPr>
                <w:rFonts w:eastAsia="Calibri"/>
                <w:sz w:val="20"/>
                <w:lang w:val="fr-CA"/>
              </w:rPr>
              <w:t>Requête en prorogation du délai de dépôt et de signification de la demande d’autorisation d’appel déposée</w:t>
            </w:r>
          </w:p>
        </w:tc>
      </w:tr>
    </w:tbl>
    <w:p w:rsidR="004704BD" w:rsidRDefault="004704BD" w:rsidP="004704BD">
      <w:pPr>
        <w:rPr>
          <w:sz w:val="20"/>
          <w:szCs w:val="20"/>
          <w:lang w:val="fr-CA"/>
        </w:rPr>
      </w:pPr>
    </w:p>
    <w:p w:rsidR="004704BD" w:rsidRDefault="0004334C" w:rsidP="004704BD">
      <w:pPr>
        <w:rPr>
          <w:sz w:val="20"/>
          <w:szCs w:val="20"/>
          <w:lang w:val="fr-CA"/>
        </w:rPr>
      </w:pPr>
      <w:r w:rsidRPr="0004334C">
        <w:rPr>
          <w:sz w:val="20"/>
          <w:szCs w:val="20"/>
          <w:lang w:val="fr-CA"/>
        </w:rPr>
        <w:pict>
          <v:rect id="_x0000_i1063" style="width:2in;height:1pt" o:hrpct="0" o:hralign="center" o:hrstd="t" o:hrnoshade="t" o:hr="t" fillcolor="black [3213]" stroked="f"/>
        </w:pict>
      </w:r>
    </w:p>
    <w:p w:rsidR="004704BD" w:rsidRPr="004704BD" w:rsidRDefault="004704BD" w:rsidP="004704BD">
      <w:pPr>
        <w:rPr>
          <w:sz w:val="20"/>
          <w:szCs w:val="20"/>
        </w:rPr>
      </w:pPr>
    </w:p>
    <w:p w:rsidR="00986BBB" w:rsidRPr="00C50A5C" w:rsidRDefault="00986BBB" w:rsidP="00B40A49">
      <w:pPr>
        <w:ind w:left="1440" w:hanging="1440"/>
        <w:rPr>
          <w:sz w:val="20"/>
          <w:szCs w:val="20"/>
        </w:rPr>
      </w:pPr>
      <w:r w:rsidRPr="00C50A5C">
        <w:rPr>
          <w:b/>
          <w:sz w:val="20"/>
          <w:szCs w:val="20"/>
        </w:rPr>
        <w:t>33</w:t>
      </w:r>
      <w:r w:rsidR="00B40A49">
        <w:rPr>
          <w:b/>
          <w:sz w:val="20"/>
          <w:szCs w:val="20"/>
        </w:rPr>
        <w:t>96</w:t>
      </w:r>
      <w:r w:rsidRPr="00C50A5C">
        <w:rPr>
          <w:b/>
          <w:sz w:val="20"/>
          <w:szCs w:val="20"/>
        </w:rPr>
        <w:t>1</w:t>
      </w:r>
      <w:r w:rsidRPr="00C50A5C">
        <w:rPr>
          <w:sz w:val="20"/>
          <w:szCs w:val="20"/>
        </w:rPr>
        <w:tab/>
      </w:r>
      <w:r w:rsidR="00B40A49" w:rsidRPr="00B40A49">
        <w:rPr>
          <w:rFonts w:eastAsia="Calibri"/>
          <w:b/>
          <w:sz w:val="20"/>
          <w:u w:val="single"/>
        </w:rPr>
        <w:t>Stephen Paul v. Her Majesty the Queen</w:t>
      </w:r>
      <w:r w:rsidR="00B40A49">
        <w:rPr>
          <w:rFonts w:eastAsia="Calibri"/>
          <w:b/>
          <w:sz w:val="20"/>
        </w:rPr>
        <w:t xml:space="preserve"> </w:t>
      </w:r>
      <w:r w:rsidR="00B40A49" w:rsidRPr="00120504">
        <w:rPr>
          <w:rFonts w:eastAsia="Calibri"/>
          <w:sz w:val="20"/>
        </w:rPr>
        <w:t>(Ont.) (Criminal) (By Leave)</w:t>
      </w:r>
    </w:p>
    <w:p w:rsidR="00986BBB" w:rsidRPr="00C50A5C" w:rsidRDefault="00986BBB" w:rsidP="00986BBB">
      <w:pPr>
        <w:rPr>
          <w:sz w:val="20"/>
          <w:szCs w:val="20"/>
        </w:rPr>
      </w:pPr>
    </w:p>
    <w:p w:rsidR="00986BBB" w:rsidRPr="00C50A5C" w:rsidRDefault="00986BBB" w:rsidP="00986BBB">
      <w:pPr>
        <w:ind w:left="1440" w:hanging="1440"/>
        <w:rPr>
          <w:sz w:val="20"/>
          <w:szCs w:val="20"/>
        </w:rPr>
      </w:pPr>
      <w:proofErr w:type="gramStart"/>
      <w:r w:rsidRPr="00C50A5C">
        <w:rPr>
          <w:sz w:val="20"/>
          <w:szCs w:val="20"/>
        </w:rPr>
        <w:t>Coram :</w:t>
      </w:r>
      <w:proofErr w:type="gramEnd"/>
      <w:r w:rsidRPr="00C50A5C">
        <w:rPr>
          <w:sz w:val="20"/>
          <w:szCs w:val="20"/>
        </w:rPr>
        <w:tab/>
      </w:r>
      <w:proofErr w:type="spellStart"/>
      <w:r w:rsidR="00B40A49">
        <w:rPr>
          <w:sz w:val="20"/>
          <w:szCs w:val="20"/>
          <w:u w:val="single"/>
        </w:rPr>
        <w:t>Bi</w:t>
      </w:r>
      <w:r w:rsidRPr="00C50A5C">
        <w:rPr>
          <w:sz w:val="20"/>
          <w:szCs w:val="20"/>
          <w:u w:val="single"/>
        </w:rPr>
        <w:t>n</w:t>
      </w:r>
      <w:r w:rsidR="00B40A49">
        <w:rPr>
          <w:sz w:val="20"/>
          <w:szCs w:val="20"/>
          <w:u w:val="single"/>
        </w:rPr>
        <w:t>nie</w:t>
      </w:r>
      <w:proofErr w:type="spellEnd"/>
      <w:r w:rsidR="00B40A49">
        <w:rPr>
          <w:sz w:val="20"/>
          <w:szCs w:val="20"/>
          <w:u w:val="single"/>
        </w:rPr>
        <w:t>, Fish</w:t>
      </w:r>
      <w:r w:rsidRPr="00C50A5C">
        <w:rPr>
          <w:sz w:val="20"/>
          <w:szCs w:val="20"/>
          <w:u w:val="single"/>
        </w:rPr>
        <w:t xml:space="preserve"> and Rothstein JJ.</w:t>
      </w:r>
    </w:p>
    <w:p w:rsidR="004704BD" w:rsidRDefault="004704BD" w:rsidP="004704BD">
      <w:pPr>
        <w:rPr>
          <w:sz w:val="20"/>
          <w:szCs w:val="20"/>
        </w:rPr>
      </w:pPr>
    </w:p>
    <w:p w:rsidR="00B40A49" w:rsidRDefault="00B40A49" w:rsidP="00B40A49">
      <w:pPr>
        <w:jc w:val="both"/>
        <w:rPr>
          <w:sz w:val="20"/>
          <w:szCs w:val="20"/>
        </w:rPr>
      </w:pPr>
      <w:r>
        <w:rPr>
          <w:sz w:val="20"/>
          <w:szCs w:val="20"/>
        </w:rPr>
        <w:tab/>
      </w:r>
      <w:r w:rsidRPr="00B95D52">
        <w:rPr>
          <w:sz w:val="20"/>
          <w:szCs w:val="20"/>
        </w:rPr>
        <w:t>The application for leave to appeal from the judgment of the Court of Appeal for Ontario, Number C48820, 2010 ONCA 696, dated October 21, 2010 is dismissed without costs.</w:t>
      </w:r>
    </w:p>
    <w:p w:rsidR="00B40A49" w:rsidRDefault="00B40A49" w:rsidP="00B40A49">
      <w:pPr>
        <w:jc w:val="both"/>
        <w:rPr>
          <w:sz w:val="20"/>
          <w:szCs w:val="20"/>
        </w:rPr>
      </w:pPr>
    </w:p>
    <w:p w:rsidR="00B40A49" w:rsidRPr="00B40A49" w:rsidRDefault="00B40A49" w:rsidP="00B40A49">
      <w:pPr>
        <w:jc w:val="both"/>
        <w:rPr>
          <w:sz w:val="20"/>
          <w:szCs w:val="20"/>
          <w:lang w:val="fr-CA"/>
        </w:rPr>
      </w:pPr>
      <w:r w:rsidRPr="005F3D4C">
        <w:rPr>
          <w:sz w:val="20"/>
          <w:szCs w:val="20"/>
        </w:rPr>
        <w:tab/>
      </w:r>
      <w:r w:rsidRPr="00B95D52">
        <w:rPr>
          <w:sz w:val="20"/>
          <w:szCs w:val="20"/>
          <w:lang w:val="fr-CA"/>
        </w:rPr>
        <w:t>La demande d’autorisation d’appel de l’arrêt de la Cour d’appel de l’Ontario, numéro C48820, 2010 ONCA 696, daté du 21 octobre 2010, est rejetée sans dépens.</w:t>
      </w:r>
    </w:p>
    <w:p w:rsidR="00B40A49" w:rsidRPr="00B40A49" w:rsidRDefault="00B40A49" w:rsidP="004704BD">
      <w:pPr>
        <w:rPr>
          <w:sz w:val="20"/>
          <w:szCs w:val="20"/>
          <w:lang w:val="fr-CA"/>
        </w:rPr>
      </w:pPr>
    </w:p>
    <w:p w:rsidR="004704BD" w:rsidRDefault="004704BD" w:rsidP="004704BD">
      <w:pPr>
        <w:rPr>
          <w:sz w:val="20"/>
          <w:szCs w:val="20"/>
        </w:rPr>
      </w:pPr>
      <w:r>
        <w:rPr>
          <w:sz w:val="20"/>
          <w:szCs w:val="20"/>
          <w:u w:val="single"/>
        </w:rPr>
        <w:t>CASE SUMMARY</w:t>
      </w:r>
    </w:p>
    <w:p w:rsidR="004704BD" w:rsidRDefault="004704BD" w:rsidP="004704BD">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A51233" w:rsidRPr="00120504" w:rsidTr="003261ED">
        <w:tc>
          <w:tcPr>
            <w:tcW w:w="5000" w:type="pct"/>
            <w:gridSpan w:val="3"/>
          </w:tcPr>
          <w:p w:rsidR="00A51233" w:rsidRPr="00120504" w:rsidRDefault="00A51233" w:rsidP="003261ED">
            <w:pPr>
              <w:jc w:val="both"/>
              <w:rPr>
                <w:rFonts w:eastAsia="Calibri"/>
                <w:smallCaps/>
                <w:sz w:val="20"/>
              </w:rPr>
            </w:pPr>
            <w:r w:rsidRPr="00120504">
              <w:rPr>
                <w:rFonts w:eastAsia="Calibri"/>
                <w:smallCaps/>
                <w:sz w:val="20"/>
              </w:rPr>
              <w:t>(Publication ban in case)</w:t>
            </w:r>
          </w:p>
          <w:p w:rsidR="00A51233" w:rsidRPr="00120504" w:rsidRDefault="00A51233" w:rsidP="003261ED">
            <w:pPr>
              <w:jc w:val="both"/>
              <w:rPr>
                <w:rFonts w:eastAsia="Calibri"/>
                <w:sz w:val="20"/>
              </w:rPr>
            </w:pPr>
          </w:p>
        </w:tc>
      </w:tr>
      <w:tr w:rsidR="00A51233" w:rsidRPr="00120504" w:rsidTr="003261ED">
        <w:tc>
          <w:tcPr>
            <w:tcW w:w="5000" w:type="pct"/>
            <w:gridSpan w:val="3"/>
          </w:tcPr>
          <w:p w:rsidR="00A51233" w:rsidRPr="00120504" w:rsidRDefault="00A51233" w:rsidP="003261ED">
            <w:pPr>
              <w:jc w:val="both"/>
              <w:rPr>
                <w:rFonts w:eastAsia="Calibri"/>
                <w:sz w:val="20"/>
              </w:rPr>
            </w:pPr>
            <w:r w:rsidRPr="00120504">
              <w:rPr>
                <w:rFonts w:eastAsia="Calibri"/>
                <w:sz w:val="20"/>
              </w:rPr>
              <w:t xml:space="preserve">Criminal law – Sentencing – Dangerous offenders – Admissibility of evidence - Whether the Court of Appeal erred in holding that protected statements made by an accused while remanded for a psychiatric evaluation to determine fitness to stand trial and/or criminal responsibility are admissible in dangerous offender or sentencing proceedings - Whether </w:t>
            </w:r>
            <w:r w:rsidRPr="00120504">
              <w:rPr>
                <w:rFonts w:eastAsia="Calibri"/>
                <w:sz w:val="20"/>
              </w:rPr>
              <w:lastRenderedPageBreak/>
              <w:t xml:space="preserve">the Court of Appeal erred in holding that the applicant consented to the admission of such statements - </w:t>
            </w:r>
            <w:r w:rsidRPr="00120504">
              <w:rPr>
                <w:rFonts w:eastAsia="Calibri"/>
                <w:i/>
                <w:sz w:val="20"/>
              </w:rPr>
              <w:t>Criminal Code</w:t>
            </w:r>
            <w:r w:rsidRPr="00120504">
              <w:rPr>
                <w:rFonts w:eastAsia="Calibri"/>
                <w:sz w:val="20"/>
              </w:rPr>
              <w:t>, s. 672.21(1).</w:t>
            </w:r>
          </w:p>
          <w:p w:rsidR="00A51233" w:rsidRPr="00120504" w:rsidRDefault="00A51233" w:rsidP="003261ED">
            <w:pPr>
              <w:jc w:val="both"/>
              <w:rPr>
                <w:rFonts w:eastAsia="Calibri"/>
                <w:sz w:val="20"/>
              </w:rPr>
            </w:pPr>
          </w:p>
          <w:p w:rsidR="00A51233" w:rsidRPr="00120504" w:rsidRDefault="00A51233" w:rsidP="003261ED">
            <w:pPr>
              <w:jc w:val="both"/>
              <w:rPr>
                <w:rFonts w:eastAsia="Calibri"/>
                <w:sz w:val="20"/>
              </w:rPr>
            </w:pPr>
            <w:r w:rsidRPr="00120504">
              <w:rPr>
                <w:rFonts w:eastAsia="Calibri"/>
                <w:sz w:val="20"/>
              </w:rPr>
              <w:t xml:space="preserve">Mr. Paul was designated a dangerous offender. An indeterminate sentence was imposed. In his s. 752.1 report and in his testimony at the sentencing hearing, Dr. Dickey referred to information he had received from Mr. Paul at the earlier fitness and NCR assessment stage. Mr. Paul submits that this violates s. 672.21 of the </w:t>
            </w:r>
            <w:r w:rsidRPr="00120504">
              <w:rPr>
                <w:rFonts w:eastAsia="Calibri"/>
                <w:i/>
                <w:sz w:val="20"/>
              </w:rPr>
              <w:t>Criminal Code</w:t>
            </w:r>
            <w:r w:rsidRPr="00120504">
              <w:rPr>
                <w:rFonts w:eastAsia="Calibri"/>
                <w:sz w:val="20"/>
              </w:rPr>
              <w:t>. The Court of Appeal dismissed the sentence appeal.</w:t>
            </w:r>
          </w:p>
          <w:p w:rsidR="00A51233" w:rsidRPr="00120504" w:rsidRDefault="00A51233" w:rsidP="003261ED">
            <w:pPr>
              <w:jc w:val="both"/>
              <w:rPr>
                <w:rFonts w:eastAsia="Calibri"/>
                <w:sz w:val="20"/>
              </w:rPr>
            </w:pPr>
          </w:p>
        </w:tc>
      </w:tr>
      <w:tr w:rsidR="00A51233" w:rsidRPr="00120504" w:rsidTr="003261ED">
        <w:tc>
          <w:tcPr>
            <w:tcW w:w="2427" w:type="pct"/>
          </w:tcPr>
          <w:p w:rsidR="00A51233" w:rsidRPr="00120504" w:rsidRDefault="00A51233" w:rsidP="003261ED">
            <w:pPr>
              <w:jc w:val="both"/>
              <w:rPr>
                <w:rFonts w:eastAsia="Calibri"/>
                <w:sz w:val="20"/>
              </w:rPr>
            </w:pPr>
            <w:r w:rsidRPr="00120504">
              <w:rPr>
                <w:rFonts w:eastAsia="Calibri"/>
                <w:sz w:val="20"/>
              </w:rPr>
              <w:lastRenderedPageBreak/>
              <w:t>February 22, 2008</w:t>
            </w:r>
          </w:p>
          <w:p w:rsidR="00A51233" w:rsidRPr="00120504" w:rsidRDefault="00A51233" w:rsidP="003261ED">
            <w:pPr>
              <w:jc w:val="both"/>
              <w:rPr>
                <w:rFonts w:eastAsia="Calibri"/>
                <w:sz w:val="20"/>
              </w:rPr>
            </w:pPr>
            <w:r w:rsidRPr="00120504">
              <w:rPr>
                <w:rFonts w:eastAsia="Calibri"/>
                <w:sz w:val="20"/>
              </w:rPr>
              <w:t>Ontario Superior Court of Justice</w:t>
            </w:r>
          </w:p>
          <w:p w:rsidR="00A51233" w:rsidRPr="00120504" w:rsidRDefault="00A51233" w:rsidP="003261ED">
            <w:pPr>
              <w:jc w:val="both"/>
              <w:rPr>
                <w:rFonts w:eastAsia="Calibri"/>
                <w:sz w:val="20"/>
              </w:rPr>
            </w:pPr>
            <w:r w:rsidRPr="00120504">
              <w:rPr>
                <w:rFonts w:eastAsia="Calibri"/>
                <w:sz w:val="20"/>
              </w:rPr>
              <w:t>(</w:t>
            </w:r>
            <w:proofErr w:type="spellStart"/>
            <w:r w:rsidRPr="00120504">
              <w:rPr>
                <w:rFonts w:eastAsia="Calibri"/>
                <w:sz w:val="20"/>
              </w:rPr>
              <w:t>Herold</w:t>
            </w:r>
            <w:proofErr w:type="spellEnd"/>
            <w:r w:rsidRPr="00120504">
              <w:rPr>
                <w:rFonts w:eastAsia="Calibri"/>
                <w:sz w:val="20"/>
              </w:rPr>
              <w:t xml:space="preserve"> J.)</w:t>
            </w:r>
          </w:p>
          <w:p w:rsidR="00A51233" w:rsidRPr="00120504" w:rsidRDefault="00A51233" w:rsidP="003261ED">
            <w:pPr>
              <w:jc w:val="both"/>
              <w:rPr>
                <w:rFonts w:eastAsia="Calibri"/>
                <w:sz w:val="20"/>
              </w:rPr>
            </w:pPr>
          </w:p>
        </w:tc>
        <w:tc>
          <w:tcPr>
            <w:tcW w:w="243" w:type="pct"/>
          </w:tcPr>
          <w:p w:rsidR="00A51233" w:rsidRPr="00120504" w:rsidRDefault="00A51233" w:rsidP="003261ED">
            <w:pPr>
              <w:jc w:val="both"/>
              <w:rPr>
                <w:rFonts w:eastAsia="Calibri"/>
                <w:sz w:val="20"/>
              </w:rPr>
            </w:pPr>
          </w:p>
        </w:tc>
        <w:tc>
          <w:tcPr>
            <w:tcW w:w="2330" w:type="pct"/>
          </w:tcPr>
          <w:p w:rsidR="00A51233" w:rsidRPr="00120504" w:rsidRDefault="00A51233" w:rsidP="003261ED">
            <w:pPr>
              <w:jc w:val="both"/>
              <w:rPr>
                <w:rFonts w:eastAsia="Calibri"/>
                <w:sz w:val="20"/>
              </w:rPr>
            </w:pPr>
            <w:r w:rsidRPr="00120504">
              <w:rPr>
                <w:rFonts w:eastAsia="Calibri"/>
                <w:sz w:val="20"/>
              </w:rPr>
              <w:t xml:space="preserve">Conviction for attempted murder and break and enter and commission of an indictable offence contrary to ss. 348(1)(b) and 239(1)(b) of the </w:t>
            </w:r>
            <w:r w:rsidRPr="00120504">
              <w:rPr>
                <w:rFonts w:eastAsia="Calibri"/>
                <w:i/>
                <w:sz w:val="20"/>
              </w:rPr>
              <w:t>Criminal Code</w:t>
            </w:r>
            <w:r w:rsidRPr="00120504">
              <w:rPr>
                <w:rFonts w:eastAsia="Calibri"/>
                <w:sz w:val="20"/>
              </w:rPr>
              <w:t>; designated a dangerous offender and indeterminate sentence in the penitentiary imposed</w:t>
            </w:r>
          </w:p>
          <w:p w:rsidR="00A51233" w:rsidRPr="00120504" w:rsidRDefault="00A51233" w:rsidP="003261ED">
            <w:pPr>
              <w:jc w:val="both"/>
              <w:rPr>
                <w:rFonts w:eastAsia="Calibri"/>
                <w:sz w:val="20"/>
              </w:rPr>
            </w:pPr>
          </w:p>
        </w:tc>
      </w:tr>
      <w:tr w:rsidR="00A51233" w:rsidRPr="00120504" w:rsidTr="003261ED">
        <w:tc>
          <w:tcPr>
            <w:tcW w:w="2427" w:type="pct"/>
          </w:tcPr>
          <w:p w:rsidR="00A51233" w:rsidRPr="00120504" w:rsidRDefault="00A51233" w:rsidP="003261ED">
            <w:pPr>
              <w:jc w:val="both"/>
              <w:rPr>
                <w:rFonts w:eastAsia="Calibri"/>
                <w:sz w:val="20"/>
              </w:rPr>
            </w:pPr>
            <w:r w:rsidRPr="00120504">
              <w:rPr>
                <w:rFonts w:eastAsia="Calibri"/>
                <w:sz w:val="20"/>
              </w:rPr>
              <w:t>October 21, 2010</w:t>
            </w:r>
          </w:p>
          <w:p w:rsidR="00A51233" w:rsidRPr="00120504" w:rsidRDefault="00A51233" w:rsidP="003261ED">
            <w:pPr>
              <w:jc w:val="both"/>
              <w:rPr>
                <w:rFonts w:eastAsia="Calibri"/>
                <w:sz w:val="20"/>
              </w:rPr>
            </w:pPr>
            <w:r w:rsidRPr="00120504">
              <w:rPr>
                <w:rFonts w:eastAsia="Calibri"/>
                <w:sz w:val="20"/>
              </w:rPr>
              <w:t>Court of Appeal for Ontario</w:t>
            </w:r>
          </w:p>
          <w:p w:rsidR="00A51233" w:rsidRPr="00120504" w:rsidRDefault="00A51233" w:rsidP="003261ED">
            <w:pPr>
              <w:jc w:val="both"/>
              <w:rPr>
                <w:rFonts w:eastAsia="Calibri"/>
                <w:sz w:val="20"/>
              </w:rPr>
            </w:pPr>
            <w:r w:rsidRPr="00120504">
              <w:rPr>
                <w:rFonts w:eastAsia="Calibri"/>
                <w:sz w:val="20"/>
              </w:rPr>
              <w:t>(</w:t>
            </w:r>
            <w:proofErr w:type="spellStart"/>
            <w:proofErr w:type="gramStart"/>
            <w:r w:rsidRPr="00120504">
              <w:rPr>
                <w:rFonts w:eastAsia="Calibri"/>
                <w:sz w:val="20"/>
              </w:rPr>
              <w:t>Weiler</w:t>
            </w:r>
            <w:proofErr w:type="spellEnd"/>
            <w:r w:rsidRPr="00120504">
              <w:rPr>
                <w:rFonts w:eastAsia="Calibri"/>
                <w:sz w:val="20"/>
              </w:rPr>
              <w:t xml:space="preserve"> ,</w:t>
            </w:r>
            <w:proofErr w:type="gramEnd"/>
            <w:r w:rsidRPr="00120504">
              <w:rPr>
                <w:rFonts w:eastAsia="Calibri"/>
                <w:sz w:val="20"/>
              </w:rPr>
              <w:t xml:space="preserve"> </w:t>
            </w:r>
            <w:proofErr w:type="spellStart"/>
            <w:r w:rsidRPr="00120504">
              <w:rPr>
                <w:rFonts w:eastAsia="Calibri"/>
                <w:sz w:val="20"/>
              </w:rPr>
              <w:t>MacPherson</w:t>
            </w:r>
            <w:proofErr w:type="spellEnd"/>
            <w:r w:rsidRPr="00120504">
              <w:rPr>
                <w:rFonts w:eastAsia="Calibri"/>
                <w:sz w:val="20"/>
              </w:rPr>
              <w:t>, Armstrong JJ.A..)</w:t>
            </w:r>
          </w:p>
          <w:p w:rsidR="00A51233" w:rsidRPr="00120504" w:rsidRDefault="00A51233" w:rsidP="003261ED">
            <w:pPr>
              <w:jc w:val="both"/>
              <w:rPr>
                <w:rFonts w:eastAsia="Calibri"/>
                <w:sz w:val="20"/>
              </w:rPr>
            </w:pPr>
            <w:r w:rsidRPr="00120504">
              <w:rPr>
                <w:rFonts w:eastAsia="Calibri"/>
                <w:sz w:val="20"/>
              </w:rPr>
              <w:t>2010 ONCA 696</w:t>
            </w:r>
          </w:p>
          <w:p w:rsidR="00A51233" w:rsidRPr="00120504" w:rsidRDefault="00A51233" w:rsidP="003261ED">
            <w:pPr>
              <w:jc w:val="both"/>
              <w:rPr>
                <w:rFonts w:eastAsia="Calibri"/>
                <w:sz w:val="20"/>
              </w:rPr>
            </w:pPr>
          </w:p>
        </w:tc>
        <w:tc>
          <w:tcPr>
            <w:tcW w:w="243" w:type="pct"/>
          </w:tcPr>
          <w:p w:rsidR="00A51233" w:rsidRPr="00120504" w:rsidRDefault="00A51233" w:rsidP="003261ED">
            <w:pPr>
              <w:jc w:val="both"/>
              <w:rPr>
                <w:rFonts w:eastAsia="Calibri"/>
                <w:sz w:val="20"/>
              </w:rPr>
            </w:pPr>
          </w:p>
        </w:tc>
        <w:tc>
          <w:tcPr>
            <w:tcW w:w="2330" w:type="pct"/>
          </w:tcPr>
          <w:p w:rsidR="00A51233" w:rsidRPr="00120504" w:rsidRDefault="00A51233" w:rsidP="003261ED">
            <w:pPr>
              <w:jc w:val="both"/>
              <w:rPr>
                <w:rFonts w:eastAsia="Calibri"/>
                <w:sz w:val="20"/>
              </w:rPr>
            </w:pPr>
            <w:r w:rsidRPr="00120504">
              <w:rPr>
                <w:rFonts w:eastAsia="Calibri"/>
                <w:sz w:val="20"/>
              </w:rPr>
              <w:t>Sentence appeal dismissed</w:t>
            </w:r>
          </w:p>
          <w:p w:rsidR="00A51233" w:rsidRPr="00120504" w:rsidRDefault="00A51233" w:rsidP="003261ED">
            <w:pPr>
              <w:jc w:val="both"/>
              <w:rPr>
                <w:rFonts w:eastAsia="Calibri"/>
                <w:sz w:val="20"/>
              </w:rPr>
            </w:pPr>
          </w:p>
        </w:tc>
      </w:tr>
      <w:tr w:rsidR="00A51233" w:rsidRPr="00120504" w:rsidTr="003261ED">
        <w:tc>
          <w:tcPr>
            <w:tcW w:w="2427" w:type="pct"/>
          </w:tcPr>
          <w:p w:rsidR="00A51233" w:rsidRPr="00120504" w:rsidRDefault="00A51233" w:rsidP="003261ED">
            <w:pPr>
              <w:jc w:val="both"/>
              <w:rPr>
                <w:rFonts w:eastAsia="Calibri"/>
                <w:sz w:val="20"/>
              </w:rPr>
            </w:pPr>
            <w:r w:rsidRPr="00120504">
              <w:rPr>
                <w:rFonts w:eastAsia="Calibri"/>
                <w:sz w:val="20"/>
              </w:rPr>
              <w:t>November 29, 2010</w:t>
            </w:r>
          </w:p>
          <w:p w:rsidR="00A51233" w:rsidRPr="00120504" w:rsidRDefault="00A51233" w:rsidP="003261ED">
            <w:pPr>
              <w:jc w:val="both"/>
              <w:rPr>
                <w:rFonts w:eastAsia="Calibri"/>
                <w:sz w:val="20"/>
              </w:rPr>
            </w:pPr>
            <w:r w:rsidRPr="00120504">
              <w:rPr>
                <w:rFonts w:eastAsia="Calibri"/>
                <w:sz w:val="20"/>
              </w:rPr>
              <w:t>Supreme Court of Canada</w:t>
            </w:r>
          </w:p>
        </w:tc>
        <w:tc>
          <w:tcPr>
            <w:tcW w:w="243" w:type="pct"/>
          </w:tcPr>
          <w:p w:rsidR="00A51233" w:rsidRPr="00120504" w:rsidRDefault="00A51233" w:rsidP="003261ED">
            <w:pPr>
              <w:jc w:val="both"/>
              <w:rPr>
                <w:rFonts w:eastAsia="Calibri"/>
                <w:sz w:val="20"/>
              </w:rPr>
            </w:pPr>
          </w:p>
        </w:tc>
        <w:tc>
          <w:tcPr>
            <w:tcW w:w="2330" w:type="pct"/>
          </w:tcPr>
          <w:p w:rsidR="00A51233" w:rsidRPr="00120504" w:rsidRDefault="00A51233" w:rsidP="003261ED">
            <w:pPr>
              <w:jc w:val="both"/>
              <w:rPr>
                <w:rFonts w:eastAsia="Calibri"/>
                <w:sz w:val="20"/>
              </w:rPr>
            </w:pPr>
            <w:r w:rsidRPr="00120504">
              <w:rPr>
                <w:rFonts w:eastAsia="Calibri"/>
                <w:sz w:val="20"/>
              </w:rPr>
              <w:t>Application for leave to appeal filed</w:t>
            </w:r>
          </w:p>
          <w:p w:rsidR="00A51233" w:rsidRPr="00120504" w:rsidRDefault="00A51233" w:rsidP="003261ED">
            <w:pPr>
              <w:jc w:val="both"/>
              <w:rPr>
                <w:rFonts w:eastAsia="Calibri"/>
                <w:sz w:val="20"/>
              </w:rPr>
            </w:pPr>
          </w:p>
        </w:tc>
      </w:tr>
    </w:tbl>
    <w:p w:rsidR="004704BD" w:rsidRPr="004704BD" w:rsidRDefault="004704BD" w:rsidP="004704BD">
      <w:pPr>
        <w:rPr>
          <w:sz w:val="20"/>
          <w:szCs w:val="20"/>
        </w:rPr>
      </w:pPr>
    </w:p>
    <w:p w:rsidR="004704BD" w:rsidRDefault="0004334C" w:rsidP="004704BD">
      <w:pPr>
        <w:rPr>
          <w:sz w:val="20"/>
          <w:szCs w:val="20"/>
          <w:lang w:val="fr-CA"/>
        </w:rPr>
      </w:pPr>
      <w:r w:rsidRPr="0004334C">
        <w:rPr>
          <w:sz w:val="20"/>
          <w:szCs w:val="20"/>
          <w:lang w:val="fr-CA"/>
        </w:rPr>
        <w:pict>
          <v:rect id="_x0000_i1064" style="width:2in;height:1pt" o:hrpct="0" o:hralign="center" o:hrstd="t" o:hrnoshade="t" o:hr="t" fillcolor="black [3213]" stroked="f"/>
        </w:pict>
      </w:r>
    </w:p>
    <w:p w:rsidR="004704BD" w:rsidRDefault="004704BD" w:rsidP="004704BD">
      <w:pPr>
        <w:rPr>
          <w:sz w:val="20"/>
          <w:szCs w:val="20"/>
          <w:lang w:val="fr-CA"/>
        </w:rPr>
      </w:pPr>
    </w:p>
    <w:p w:rsidR="004704BD" w:rsidRPr="004704BD" w:rsidRDefault="004704BD" w:rsidP="004704BD">
      <w:pPr>
        <w:rPr>
          <w:sz w:val="20"/>
          <w:szCs w:val="20"/>
          <w:lang w:val="fr-CA"/>
        </w:rPr>
      </w:pPr>
      <w:r>
        <w:rPr>
          <w:sz w:val="20"/>
          <w:szCs w:val="20"/>
          <w:u w:val="single"/>
          <w:lang w:val="fr-CA"/>
        </w:rPr>
        <w:t>RÉSUMÉ DE L’AFFAIRE</w:t>
      </w:r>
    </w:p>
    <w:p w:rsidR="004704BD" w:rsidRDefault="004704BD" w:rsidP="004704BD">
      <w:pPr>
        <w:rPr>
          <w:sz w:val="20"/>
          <w:szCs w:val="20"/>
          <w:lang w:val="fr-CA"/>
        </w:rPr>
      </w:pPr>
    </w:p>
    <w:tbl>
      <w:tblPr>
        <w:tblW w:w="4952" w:type="pct"/>
        <w:tblInd w:w="2" w:type="dxa"/>
        <w:tblLayout w:type="fixed"/>
        <w:tblCellMar>
          <w:left w:w="0" w:type="dxa"/>
          <w:bottom w:w="99" w:type="dxa"/>
          <w:right w:w="0" w:type="dxa"/>
        </w:tblCellMar>
        <w:tblLook w:val="00A0"/>
      </w:tblPr>
      <w:tblGrid>
        <w:gridCol w:w="4624"/>
        <w:gridCol w:w="463"/>
        <w:gridCol w:w="4440"/>
      </w:tblGrid>
      <w:tr w:rsidR="00A51233" w:rsidRPr="001602E4" w:rsidTr="003261ED">
        <w:tc>
          <w:tcPr>
            <w:tcW w:w="5000" w:type="pct"/>
            <w:gridSpan w:val="3"/>
          </w:tcPr>
          <w:p w:rsidR="00A51233" w:rsidRPr="00120504" w:rsidRDefault="00A51233" w:rsidP="003261ED">
            <w:pPr>
              <w:pStyle w:val="SCCBanSummary"/>
              <w:rPr>
                <w:sz w:val="20"/>
                <w:szCs w:val="20"/>
                <w:lang w:val="fr-CA"/>
              </w:rPr>
            </w:pPr>
            <w:r w:rsidRPr="00120504">
              <w:rPr>
                <w:sz w:val="20"/>
                <w:szCs w:val="20"/>
                <w:lang w:val="fr-CA"/>
              </w:rPr>
              <w:t>(Ordonnance de non-publication dans le dossier)</w:t>
            </w:r>
          </w:p>
          <w:p w:rsidR="00A51233" w:rsidRPr="00120504" w:rsidRDefault="00A51233" w:rsidP="003261ED">
            <w:pPr>
              <w:rPr>
                <w:sz w:val="20"/>
                <w:lang w:val="fr-CA"/>
              </w:rPr>
            </w:pPr>
          </w:p>
        </w:tc>
      </w:tr>
      <w:tr w:rsidR="00A51233" w:rsidRPr="00120504" w:rsidTr="003261ED">
        <w:tc>
          <w:tcPr>
            <w:tcW w:w="5000" w:type="pct"/>
            <w:gridSpan w:val="3"/>
          </w:tcPr>
          <w:p w:rsidR="00A51233" w:rsidRPr="00120504" w:rsidRDefault="00A51233" w:rsidP="003261ED">
            <w:pPr>
              <w:rPr>
                <w:sz w:val="20"/>
                <w:lang w:val="fr-CA"/>
              </w:rPr>
            </w:pPr>
            <w:r w:rsidRPr="00120504">
              <w:rPr>
                <w:sz w:val="20"/>
                <w:lang w:val="fr-CA"/>
              </w:rPr>
              <w:t xml:space="preserve">Droit criminel – Détermination de la peine – Délinquants dangereux – Admissibilité de la preuve – La Cour d’appel a-t-elle eu tort de conclure que des déclarations protégées faites par un accusé détenu alors qu’il était sous garde pour une évaluation psychiatrique pour déterminer son aptitude à subir un procès ou sa responsabilité criminelle étaient admissibles dans des procédures relatives aux délinquants dangereux ou à la détermination de la peine? – La Cour d’appel a-t-elle eu tort de conclure que le demandeur avait consenti à l’admission de ces déclarations? – </w:t>
            </w:r>
            <w:r w:rsidRPr="00120504">
              <w:rPr>
                <w:i/>
                <w:iCs/>
                <w:sz w:val="20"/>
                <w:lang w:val="fr-CA"/>
              </w:rPr>
              <w:t>Code criminel</w:t>
            </w:r>
            <w:r w:rsidRPr="00120504">
              <w:rPr>
                <w:sz w:val="20"/>
                <w:lang w:val="fr-CA"/>
              </w:rPr>
              <w:t>, par. 672.21(1).</w:t>
            </w:r>
          </w:p>
          <w:p w:rsidR="00A51233" w:rsidRPr="00120504" w:rsidRDefault="00A51233" w:rsidP="003261ED">
            <w:pPr>
              <w:rPr>
                <w:sz w:val="20"/>
                <w:lang w:val="fr-CA"/>
              </w:rPr>
            </w:pPr>
          </w:p>
          <w:p w:rsidR="00A51233" w:rsidRPr="00120504" w:rsidRDefault="00A51233" w:rsidP="003261ED">
            <w:pPr>
              <w:rPr>
                <w:sz w:val="20"/>
                <w:lang w:val="fr-CA"/>
              </w:rPr>
            </w:pPr>
            <w:r w:rsidRPr="00120504">
              <w:rPr>
                <w:sz w:val="20"/>
                <w:lang w:val="fr-CA"/>
              </w:rPr>
              <w:t xml:space="preserve">Monsieur Paul a été déclaré délinquant dangereux. Une peine de détention d’une durée indéterminée a été imposée. Dans son rapport établi en vertu de l’art. 752.1 et dans son témoignage à l’audience de détermination de la peine, le docteur </w:t>
            </w:r>
            <w:proofErr w:type="spellStart"/>
            <w:r w:rsidRPr="00120504">
              <w:rPr>
                <w:sz w:val="20"/>
                <w:lang w:val="fr-CA"/>
              </w:rPr>
              <w:t>Dickey</w:t>
            </w:r>
            <w:proofErr w:type="spellEnd"/>
            <w:r w:rsidRPr="00120504">
              <w:rPr>
                <w:sz w:val="20"/>
                <w:lang w:val="fr-CA"/>
              </w:rPr>
              <w:t xml:space="preserve"> a fait mention de renseignements reçus de M. Paul au stade antérieur d’évaluation de l’aptitude à subir un procès et de la non-responsabilité criminelle. Monsieur Paul soutient qu’il s’agit là d’une violation de l’art. 672.21 du </w:t>
            </w:r>
            <w:r w:rsidRPr="00120504">
              <w:rPr>
                <w:i/>
                <w:iCs/>
                <w:sz w:val="20"/>
                <w:lang w:val="fr-CA"/>
              </w:rPr>
              <w:t>Code criminel</w:t>
            </w:r>
            <w:r w:rsidRPr="00120504">
              <w:rPr>
                <w:sz w:val="20"/>
                <w:lang w:val="fr-CA"/>
              </w:rPr>
              <w:t>. La Cour d’appel a rejeté l’appel de la peine.</w:t>
            </w:r>
          </w:p>
          <w:p w:rsidR="00A51233" w:rsidRPr="00120504" w:rsidRDefault="00A51233" w:rsidP="003261ED">
            <w:pPr>
              <w:rPr>
                <w:sz w:val="20"/>
                <w:lang w:val="fr-CA"/>
              </w:rPr>
            </w:pPr>
          </w:p>
        </w:tc>
      </w:tr>
      <w:tr w:rsidR="00A51233" w:rsidRPr="001602E4" w:rsidTr="003261ED">
        <w:tc>
          <w:tcPr>
            <w:tcW w:w="2427" w:type="pct"/>
          </w:tcPr>
          <w:p w:rsidR="00A51233" w:rsidRPr="00120504" w:rsidRDefault="00A51233" w:rsidP="003261ED">
            <w:pPr>
              <w:rPr>
                <w:sz w:val="20"/>
                <w:lang w:val="fr-CA"/>
              </w:rPr>
            </w:pPr>
            <w:r w:rsidRPr="00120504">
              <w:rPr>
                <w:sz w:val="20"/>
                <w:lang w:val="fr-CA"/>
              </w:rPr>
              <w:t>22 février 2008</w:t>
            </w:r>
          </w:p>
          <w:p w:rsidR="00A51233" w:rsidRPr="00120504" w:rsidRDefault="00A51233" w:rsidP="003261ED">
            <w:pPr>
              <w:rPr>
                <w:sz w:val="20"/>
                <w:lang w:val="fr-CA"/>
              </w:rPr>
            </w:pPr>
            <w:r w:rsidRPr="00120504">
              <w:rPr>
                <w:sz w:val="20"/>
                <w:lang w:val="fr-CA"/>
              </w:rPr>
              <w:t>Cour supérieure de justice de l’Ontario</w:t>
            </w:r>
          </w:p>
          <w:p w:rsidR="00A51233" w:rsidRPr="00120504" w:rsidRDefault="00A51233" w:rsidP="003261ED">
            <w:pPr>
              <w:rPr>
                <w:sz w:val="20"/>
                <w:lang w:val="fr-CA"/>
              </w:rPr>
            </w:pPr>
            <w:r w:rsidRPr="00120504">
              <w:rPr>
                <w:sz w:val="20"/>
                <w:lang w:val="fr-CA"/>
              </w:rPr>
              <w:t xml:space="preserve">(Juge </w:t>
            </w:r>
            <w:proofErr w:type="spellStart"/>
            <w:r w:rsidRPr="00120504">
              <w:rPr>
                <w:sz w:val="20"/>
                <w:lang w:val="fr-CA"/>
              </w:rPr>
              <w:t>Herold</w:t>
            </w:r>
            <w:proofErr w:type="spellEnd"/>
            <w:r w:rsidRPr="00120504">
              <w:rPr>
                <w:sz w:val="20"/>
                <w:lang w:val="fr-CA"/>
              </w:rPr>
              <w:t>)</w:t>
            </w:r>
          </w:p>
          <w:p w:rsidR="00A51233" w:rsidRPr="00120504" w:rsidRDefault="00A51233" w:rsidP="003261ED">
            <w:pPr>
              <w:rPr>
                <w:sz w:val="20"/>
                <w:lang w:val="fr-CA"/>
              </w:rPr>
            </w:pPr>
          </w:p>
        </w:tc>
        <w:tc>
          <w:tcPr>
            <w:tcW w:w="243" w:type="pct"/>
          </w:tcPr>
          <w:p w:rsidR="00A51233" w:rsidRPr="00120504" w:rsidRDefault="00A51233" w:rsidP="003261ED">
            <w:pPr>
              <w:rPr>
                <w:sz w:val="20"/>
                <w:lang w:val="fr-CA"/>
              </w:rPr>
            </w:pPr>
          </w:p>
        </w:tc>
        <w:tc>
          <w:tcPr>
            <w:tcW w:w="2330" w:type="pct"/>
          </w:tcPr>
          <w:p w:rsidR="00A51233" w:rsidRPr="00120504" w:rsidRDefault="00A51233" w:rsidP="00B40A49">
            <w:pPr>
              <w:rPr>
                <w:sz w:val="20"/>
                <w:lang w:val="fr-CA"/>
              </w:rPr>
            </w:pPr>
            <w:r w:rsidRPr="00120504">
              <w:rPr>
                <w:sz w:val="20"/>
                <w:lang w:val="fr-CA"/>
              </w:rPr>
              <w:t xml:space="preserve">Déclaration de culpabilité de tentative de meurtre et d’introduction par effraction et commission d’une infraction punissable par mise en accusation contrairement aux al. 348(1)b) et 239(1)b) du </w:t>
            </w:r>
            <w:r w:rsidRPr="00120504">
              <w:rPr>
                <w:i/>
                <w:iCs/>
                <w:sz w:val="20"/>
                <w:lang w:val="fr-CA"/>
              </w:rPr>
              <w:t>Code criminel</w:t>
            </w:r>
            <w:r w:rsidRPr="00120504">
              <w:rPr>
                <w:sz w:val="20"/>
                <w:lang w:val="fr-CA"/>
              </w:rPr>
              <w:t xml:space="preserve">; demandeur déclaré délinquant dangereux et condamné à purger dans un pénitencier une peine de détention d’une durée indéterminée </w:t>
            </w:r>
          </w:p>
        </w:tc>
      </w:tr>
    </w:tbl>
    <w:p w:rsidR="00B40A49" w:rsidRPr="005F3D4C" w:rsidRDefault="00B40A49">
      <w:pPr>
        <w:rPr>
          <w:lang w:val="fr-CA"/>
        </w:rPr>
      </w:pPr>
    </w:p>
    <w:tbl>
      <w:tblPr>
        <w:tblW w:w="4952" w:type="pct"/>
        <w:tblInd w:w="2" w:type="dxa"/>
        <w:tblLayout w:type="fixed"/>
        <w:tblCellMar>
          <w:left w:w="0" w:type="dxa"/>
          <w:bottom w:w="99" w:type="dxa"/>
          <w:right w:w="0" w:type="dxa"/>
        </w:tblCellMar>
        <w:tblLook w:val="00A0"/>
      </w:tblPr>
      <w:tblGrid>
        <w:gridCol w:w="4624"/>
        <w:gridCol w:w="463"/>
        <w:gridCol w:w="4440"/>
      </w:tblGrid>
      <w:tr w:rsidR="00A51233" w:rsidRPr="00120504" w:rsidTr="00B40A49">
        <w:trPr>
          <w:cantSplit/>
        </w:trPr>
        <w:tc>
          <w:tcPr>
            <w:tcW w:w="2427" w:type="pct"/>
          </w:tcPr>
          <w:p w:rsidR="00A51233" w:rsidRPr="00120504" w:rsidRDefault="00A51233" w:rsidP="003261ED">
            <w:pPr>
              <w:rPr>
                <w:sz w:val="20"/>
                <w:lang w:val="fr-CA"/>
              </w:rPr>
            </w:pPr>
            <w:r w:rsidRPr="00120504">
              <w:rPr>
                <w:sz w:val="20"/>
                <w:lang w:val="fr-CA"/>
              </w:rPr>
              <w:lastRenderedPageBreak/>
              <w:t>21 octobre 2010</w:t>
            </w:r>
          </w:p>
          <w:p w:rsidR="00A51233" w:rsidRPr="00120504" w:rsidRDefault="00A51233" w:rsidP="003261ED">
            <w:pPr>
              <w:rPr>
                <w:sz w:val="20"/>
                <w:lang w:val="fr-CA"/>
              </w:rPr>
            </w:pPr>
            <w:r w:rsidRPr="00120504">
              <w:rPr>
                <w:sz w:val="20"/>
                <w:lang w:val="fr-CA"/>
              </w:rPr>
              <w:t>Cour d’appel de l’Ontario</w:t>
            </w:r>
          </w:p>
          <w:p w:rsidR="00A51233" w:rsidRPr="00120504" w:rsidRDefault="00A51233" w:rsidP="003261ED">
            <w:pPr>
              <w:rPr>
                <w:sz w:val="20"/>
                <w:lang w:val="fr-CA"/>
              </w:rPr>
            </w:pPr>
            <w:r w:rsidRPr="00120504">
              <w:rPr>
                <w:sz w:val="20"/>
                <w:lang w:val="fr-CA"/>
              </w:rPr>
              <w:t xml:space="preserve">(Juges </w:t>
            </w:r>
            <w:proofErr w:type="spellStart"/>
            <w:r w:rsidRPr="00120504">
              <w:rPr>
                <w:sz w:val="20"/>
                <w:lang w:val="fr-CA"/>
              </w:rPr>
              <w:t>Weiler</w:t>
            </w:r>
            <w:proofErr w:type="spellEnd"/>
            <w:r w:rsidRPr="00120504">
              <w:rPr>
                <w:sz w:val="20"/>
                <w:lang w:val="fr-CA"/>
              </w:rPr>
              <w:t xml:space="preserve">, </w:t>
            </w:r>
            <w:proofErr w:type="spellStart"/>
            <w:r w:rsidRPr="00120504">
              <w:rPr>
                <w:sz w:val="20"/>
                <w:lang w:val="fr-CA"/>
              </w:rPr>
              <w:t>MacPherson</w:t>
            </w:r>
            <w:proofErr w:type="spellEnd"/>
            <w:r w:rsidRPr="00120504">
              <w:rPr>
                <w:sz w:val="20"/>
                <w:lang w:val="fr-CA"/>
              </w:rPr>
              <w:t xml:space="preserve"> et Armstrong)</w:t>
            </w:r>
          </w:p>
          <w:p w:rsidR="00A51233" w:rsidRPr="00120504" w:rsidRDefault="00A51233" w:rsidP="003261ED">
            <w:pPr>
              <w:rPr>
                <w:sz w:val="20"/>
                <w:lang w:val="fr-CA"/>
              </w:rPr>
            </w:pPr>
            <w:r w:rsidRPr="00120504">
              <w:rPr>
                <w:sz w:val="20"/>
                <w:lang w:val="fr-CA"/>
              </w:rPr>
              <w:t>2010 ONCA 696</w:t>
            </w:r>
          </w:p>
          <w:p w:rsidR="00A51233" w:rsidRPr="00120504" w:rsidRDefault="00A51233" w:rsidP="003261ED">
            <w:pPr>
              <w:rPr>
                <w:sz w:val="20"/>
                <w:lang w:val="fr-CA"/>
              </w:rPr>
            </w:pPr>
          </w:p>
        </w:tc>
        <w:tc>
          <w:tcPr>
            <w:tcW w:w="243" w:type="pct"/>
          </w:tcPr>
          <w:p w:rsidR="00A51233" w:rsidRPr="00120504" w:rsidRDefault="00A51233" w:rsidP="003261ED">
            <w:pPr>
              <w:rPr>
                <w:sz w:val="20"/>
                <w:lang w:val="fr-CA"/>
              </w:rPr>
            </w:pPr>
          </w:p>
        </w:tc>
        <w:tc>
          <w:tcPr>
            <w:tcW w:w="2330" w:type="pct"/>
          </w:tcPr>
          <w:p w:rsidR="00A51233" w:rsidRPr="00120504" w:rsidRDefault="00A51233" w:rsidP="003261ED">
            <w:pPr>
              <w:rPr>
                <w:sz w:val="20"/>
                <w:lang w:val="fr-CA"/>
              </w:rPr>
            </w:pPr>
            <w:r w:rsidRPr="00120504">
              <w:rPr>
                <w:sz w:val="20"/>
                <w:lang w:val="fr-CA"/>
              </w:rPr>
              <w:t>Appel de la peine, rejetée</w:t>
            </w:r>
          </w:p>
          <w:p w:rsidR="00A51233" w:rsidRPr="00120504" w:rsidRDefault="00A51233" w:rsidP="003261ED">
            <w:pPr>
              <w:rPr>
                <w:sz w:val="20"/>
                <w:lang w:val="fr-CA"/>
              </w:rPr>
            </w:pPr>
          </w:p>
        </w:tc>
      </w:tr>
      <w:tr w:rsidR="00A51233" w:rsidRPr="00120504" w:rsidTr="00B40A49">
        <w:trPr>
          <w:cantSplit/>
        </w:trPr>
        <w:tc>
          <w:tcPr>
            <w:tcW w:w="2427" w:type="pct"/>
          </w:tcPr>
          <w:p w:rsidR="00A51233" w:rsidRPr="00120504" w:rsidRDefault="00A51233" w:rsidP="003261ED">
            <w:pPr>
              <w:rPr>
                <w:sz w:val="20"/>
                <w:lang w:val="fr-CA"/>
              </w:rPr>
            </w:pPr>
            <w:r w:rsidRPr="00120504">
              <w:rPr>
                <w:sz w:val="20"/>
                <w:lang w:val="fr-CA"/>
              </w:rPr>
              <w:t>29 novembre 2010</w:t>
            </w:r>
          </w:p>
          <w:p w:rsidR="00A51233" w:rsidRPr="00120504" w:rsidRDefault="00A51233" w:rsidP="00B40A49">
            <w:pPr>
              <w:rPr>
                <w:sz w:val="20"/>
                <w:lang w:val="fr-CA"/>
              </w:rPr>
            </w:pPr>
            <w:r w:rsidRPr="00120504">
              <w:rPr>
                <w:sz w:val="20"/>
                <w:lang w:val="fr-CA"/>
              </w:rPr>
              <w:t>Cour suprême du Canada</w:t>
            </w:r>
          </w:p>
        </w:tc>
        <w:tc>
          <w:tcPr>
            <w:tcW w:w="243" w:type="pct"/>
          </w:tcPr>
          <w:p w:rsidR="00A51233" w:rsidRPr="00120504" w:rsidRDefault="00A51233" w:rsidP="003261ED">
            <w:pPr>
              <w:rPr>
                <w:sz w:val="20"/>
                <w:lang w:val="fr-CA"/>
              </w:rPr>
            </w:pPr>
          </w:p>
        </w:tc>
        <w:tc>
          <w:tcPr>
            <w:tcW w:w="2330" w:type="pct"/>
          </w:tcPr>
          <w:p w:rsidR="00A51233" w:rsidRPr="00120504" w:rsidRDefault="00A51233" w:rsidP="003261ED">
            <w:pPr>
              <w:rPr>
                <w:sz w:val="20"/>
                <w:lang w:val="fr-CA"/>
              </w:rPr>
            </w:pPr>
            <w:r w:rsidRPr="00120504">
              <w:rPr>
                <w:sz w:val="20"/>
                <w:lang w:val="fr-CA"/>
              </w:rPr>
              <w:t>Demande d’autorisation d’appel déposée</w:t>
            </w:r>
          </w:p>
          <w:p w:rsidR="00A51233" w:rsidRPr="00120504" w:rsidRDefault="00A51233" w:rsidP="003261ED">
            <w:pPr>
              <w:rPr>
                <w:sz w:val="20"/>
                <w:lang w:val="fr-CA"/>
              </w:rPr>
            </w:pPr>
          </w:p>
        </w:tc>
      </w:tr>
    </w:tbl>
    <w:p w:rsidR="004704BD" w:rsidRDefault="004704BD" w:rsidP="004704BD">
      <w:pPr>
        <w:rPr>
          <w:sz w:val="20"/>
          <w:szCs w:val="20"/>
          <w:lang w:val="fr-CA"/>
        </w:rPr>
      </w:pPr>
    </w:p>
    <w:p w:rsidR="004704BD" w:rsidRDefault="0004334C" w:rsidP="004704BD">
      <w:pPr>
        <w:rPr>
          <w:sz w:val="20"/>
          <w:szCs w:val="20"/>
          <w:lang w:val="fr-CA"/>
        </w:rPr>
      </w:pPr>
      <w:r w:rsidRPr="0004334C">
        <w:rPr>
          <w:sz w:val="20"/>
          <w:szCs w:val="20"/>
          <w:lang w:val="fr-CA"/>
        </w:rPr>
        <w:pict>
          <v:rect id="_x0000_i1065" style="width:2in;height:1pt" o:hrpct="0" o:hralign="center" o:hrstd="t" o:hrnoshade="t" o:hr="t" fillcolor="black [3213]" stroked="f"/>
        </w:pict>
      </w:r>
    </w:p>
    <w:p w:rsidR="004704BD" w:rsidRPr="004704BD" w:rsidRDefault="004704BD" w:rsidP="004704BD">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092E36" w:rsidRPr="00092E36" w:rsidTr="006A75C3">
        <w:trPr>
          <w:cantSplit/>
        </w:trPr>
        <w:tc>
          <w:tcPr>
            <w:tcW w:w="1458" w:type="dxa"/>
          </w:tcPr>
          <w:p w:rsidR="00092E36" w:rsidRPr="00092E36" w:rsidRDefault="00092E36" w:rsidP="006A75C3">
            <w:pPr>
              <w:rPr>
                <w:sz w:val="20"/>
                <w:szCs w:val="20"/>
              </w:rPr>
            </w:pPr>
            <w:r w:rsidRPr="00092E36">
              <w:rPr>
                <w:rStyle w:val="SCCFileNumberChar"/>
                <w:sz w:val="20"/>
                <w:szCs w:val="20"/>
              </w:rPr>
              <w:t>34023</w:t>
            </w:r>
          </w:p>
          <w:p w:rsidR="00092E36" w:rsidRPr="00092E36" w:rsidRDefault="00092E36" w:rsidP="006A75C3">
            <w:pPr>
              <w:rPr>
                <w:b/>
                <w:sz w:val="20"/>
                <w:szCs w:val="20"/>
                <w:lang w:val="fr-CA"/>
              </w:rPr>
            </w:pPr>
          </w:p>
        </w:tc>
        <w:tc>
          <w:tcPr>
            <w:tcW w:w="8118" w:type="dxa"/>
          </w:tcPr>
          <w:p w:rsidR="00092E36" w:rsidRPr="00092E36" w:rsidRDefault="00092E36" w:rsidP="006A75C3">
            <w:pPr>
              <w:rPr>
                <w:sz w:val="20"/>
                <w:szCs w:val="20"/>
              </w:rPr>
            </w:pPr>
            <w:proofErr w:type="spellStart"/>
            <w:r w:rsidRPr="00092E36">
              <w:rPr>
                <w:rStyle w:val="SCCLsocChar"/>
                <w:sz w:val="20"/>
                <w:szCs w:val="20"/>
                <w:lang w:val="en-CA"/>
              </w:rPr>
              <w:t>Majid</w:t>
            </w:r>
            <w:proofErr w:type="spellEnd"/>
            <w:r w:rsidRPr="00092E36">
              <w:rPr>
                <w:rStyle w:val="SCCLsocChar"/>
                <w:sz w:val="20"/>
                <w:szCs w:val="20"/>
                <w:lang w:val="en-CA"/>
              </w:rPr>
              <w:t xml:space="preserve"> </w:t>
            </w:r>
            <w:proofErr w:type="spellStart"/>
            <w:r w:rsidRPr="00092E36">
              <w:rPr>
                <w:rStyle w:val="SCCLsocChar"/>
                <w:sz w:val="20"/>
                <w:szCs w:val="20"/>
                <w:lang w:val="en-CA"/>
              </w:rPr>
              <w:t>Shakibaian</w:t>
            </w:r>
            <w:proofErr w:type="spellEnd"/>
            <w:r w:rsidRPr="00092E36">
              <w:rPr>
                <w:rStyle w:val="SCCLsocChar"/>
                <w:sz w:val="20"/>
                <w:szCs w:val="20"/>
                <w:lang w:val="en-CA"/>
              </w:rPr>
              <w:t xml:space="preserve"> v. Royal Bank of Canada</w:t>
            </w:r>
            <w:r w:rsidRPr="00092E36">
              <w:rPr>
                <w:sz w:val="20"/>
                <w:szCs w:val="20"/>
              </w:rPr>
              <w:t xml:space="preserve"> (Que.) (Civil) (By Leave)</w:t>
            </w:r>
          </w:p>
          <w:p w:rsidR="00092E36" w:rsidRPr="00092E36" w:rsidRDefault="00092E36" w:rsidP="006A75C3">
            <w:pPr>
              <w:rPr>
                <w:sz w:val="20"/>
                <w:szCs w:val="20"/>
              </w:rPr>
            </w:pPr>
          </w:p>
        </w:tc>
      </w:tr>
      <w:tr w:rsidR="00092E36" w:rsidRPr="00092E36" w:rsidTr="006A75C3">
        <w:trPr>
          <w:cantSplit/>
        </w:trPr>
        <w:tc>
          <w:tcPr>
            <w:tcW w:w="1458" w:type="dxa"/>
          </w:tcPr>
          <w:p w:rsidR="00092E36" w:rsidRPr="00092E36" w:rsidRDefault="00092E36" w:rsidP="006A75C3">
            <w:pPr>
              <w:rPr>
                <w:sz w:val="20"/>
                <w:szCs w:val="20"/>
              </w:rPr>
            </w:pPr>
            <w:r w:rsidRPr="00092E36">
              <w:rPr>
                <w:sz w:val="20"/>
                <w:szCs w:val="20"/>
              </w:rPr>
              <w:t>Coram :</w:t>
            </w:r>
          </w:p>
        </w:tc>
        <w:tc>
          <w:tcPr>
            <w:tcW w:w="8118" w:type="dxa"/>
          </w:tcPr>
          <w:p w:rsidR="00092E36" w:rsidRPr="00092E36" w:rsidRDefault="00092E36" w:rsidP="006A75C3">
            <w:pPr>
              <w:rPr>
                <w:sz w:val="20"/>
                <w:szCs w:val="20"/>
              </w:rPr>
            </w:pPr>
            <w:proofErr w:type="spellStart"/>
            <w:r w:rsidRPr="00092E36">
              <w:rPr>
                <w:rStyle w:val="SCCCoramChar"/>
                <w:sz w:val="20"/>
                <w:szCs w:val="20"/>
                <w:lang w:val="en-CA"/>
              </w:rPr>
              <w:t>LeBel</w:t>
            </w:r>
            <w:proofErr w:type="spellEnd"/>
            <w:r w:rsidRPr="00092E36">
              <w:rPr>
                <w:rStyle w:val="SCCCoramChar"/>
                <w:sz w:val="20"/>
                <w:szCs w:val="20"/>
                <w:lang w:val="en-CA"/>
              </w:rPr>
              <w:t xml:space="preserve">, </w:t>
            </w:r>
            <w:proofErr w:type="spellStart"/>
            <w:r w:rsidRPr="00092E36">
              <w:rPr>
                <w:rStyle w:val="SCCCoramChar"/>
                <w:sz w:val="20"/>
                <w:szCs w:val="20"/>
                <w:lang w:val="en-CA"/>
              </w:rPr>
              <w:t>Deschamps</w:t>
            </w:r>
            <w:proofErr w:type="spellEnd"/>
            <w:r w:rsidRPr="00092E36">
              <w:rPr>
                <w:rStyle w:val="SCCCoramChar"/>
                <w:sz w:val="20"/>
                <w:szCs w:val="20"/>
                <w:lang w:val="en-CA"/>
              </w:rPr>
              <w:t xml:space="preserve"> and </w:t>
            </w:r>
            <w:proofErr w:type="spellStart"/>
            <w:r w:rsidRPr="00092E36">
              <w:rPr>
                <w:rStyle w:val="SCCCoramChar"/>
                <w:sz w:val="20"/>
                <w:szCs w:val="20"/>
                <w:lang w:val="en-CA"/>
              </w:rPr>
              <w:t>Charron</w:t>
            </w:r>
            <w:proofErr w:type="spellEnd"/>
            <w:r w:rsidRPr="00092E36">
              <w:rPr>
                <w:rStyle w:val="SCCCoramChar"/>
                <w:sz w:val="20"/>
                <w:szCs w:val="20"/>
                <w:lang w:val="en-CA"/>
              </w:rPr>
              <w:t> JJ.</w:t>
            </w:r>
          </w:p>
          <w:p w:rsidR="00092E36" w:rsidRPr="00092E36" w:rsidRDefault="00092E36" w:rsidP="006A75C3">
            <w:pPr>
              <w:rPr>
                <w:sz w:val="20"/>
                <w:szCs w:val="20"/>
                <w:u w:val="single"/>
              </w:rPr>
            </w:pPr>
          </w:p>
        </w:tc>
      </w:tr>
      <w:tr w:rsidR="00092E36" w:rsidRPr="001602E4" w:rsidTr="006A75C3">
        <w:trPr>
          <w:cantSplit/>
        </w:trPr>
        <w:tc>
          <w:tcPr>
            <w:tcW w:w="9576" w:type="dxa"/>
            <w:gridSpan w:val="2"/>
          </w:tcPr>
          <w:p w:rsidR="00092E36" w:rsidRPr="00092E36" w:rsidRDefault="00092E36" w:rsidP="006A75C3">
            <w:pPr>
              <w:pStyle w:val="SCCShortJudgment"/>
              <w:rPr>
                <w:szCs w:val="20"/>
              </w:rPr>
            </w:pPr>
            <w:r w:rsidRPr="00092E36">
              <w:rPr>
                <w:szCs w:val="20"/>
              </w:rPr>
              <w:t>The application for leave to appeal from the judgment of the Court of Appeal of Quebec (Québec), Number 200-09-007151-100, 2010 QCCA 1860, dated October 12, 2010, is dismissed without costs.</w:t>
            </w:r>
          </w:p>
          <w:p w:rsidR="00092E36" w:rsidRPr="00092E36" w:rsidRDefault="00092E36" w:rsidP="006A75C3">
            <w:pPr>
              <w:pStyle w:val="SCCShortJudgment"/>
              <w:ind w:firstLine="0"/>
              <w:rPr>
                <w:szCs w:val="20"/>
              </w:rPr>
            </w:pPr>
          </w:p>
          <w:p w:rsidR="00092E36" w:rsidRPr="00092E36" w:rsidRDefault="00092E36" w:rsidP="00092E36">
            <w:pPr>
              <w:pStyle w:val="SCCShortJudgment"/>
              <w:rPr>
                <w:szCs w:val="20"/>
                <w:lang w:val="fr-CA"/>
              </w:rPr>
            </w:pPr>
            <w:r w:rsidRPr="00092E36">
              <w:rPr>
                <w:szCs w:val="20"/>
                <w:lang w:val="fr-CA"/>
              </w:rPr>
              <w:t>La demande d’autorisation d’appel de l’arrêt de la Cour d’appel du Québec (Québec), numéro 200-09-007151-100, 2010 QCCA 1860, daté du 12 octobre 2010, est rejetée sans dépens.</w:t>
            </w:r>
          </w:p>
        </w:tc>
      </w:tr>
    </w:tbl>
    <w:p w:rsidR="00092E36" w:rsidRPr="00092E36" w:rsidRDefault="00092E36" w:rsidP="004704BD">
      <w:pPr>
        <w:rPr>
          <w:sz w:val="20"/>
          <w:szCs w:val="20"/>
          <w:lang w:val="fr-CA"/>
        </w:rPr>
      </w:pPr>
    </w:p>
    <w:p w:rsidR="004704BD" w:rsidRDefault="004704BD" w:rsidP="004704BD">
      <w:pPr>
        <w:rPr>
          <w:sz w:val="20"/>
          <w:szCs w:val="20"/>
        </w:rPr>
      </w:pPr>
      <w:r>
        <w:rPr>
          <w:sz w:val="20"/>
          <w:szCs w:val="20"/>
          <w:u w:val="single"/>
        </w:rPr>
        <w:t>CASE SUMMARY</w:t>
      </w:r>
    </w:p>
    <w:p w:rsidR="004704BD" w:rsidRDefault="004704BD" w:rsidP="004704BD">
      <w:pPr>
        <w:rPr>
          <w:sz w:val="20"/>
          <w:szCs w:val="20"/>
        </w:rPr>
      </w:pPr>
    </w:p>
    <w:tbl>
      <w:tblPr>
        <w:tblW w:w="4952" w:type="pct"/>
        <w:tblInd w:w="2" w:type="dxa"/>
        <w:tblLayout w:type="fixed"/>
        <w:tblCellMar>
          <w:left w:w="0" w:type="dxa"/>
          <w:bottom w:w="99" w:type="dxa"/>
          <w:right w:w="0" w:type="dxa"/>
        </w:tblCellMar>
        <w:tblLook w:val="00A0"/>
      </w:tblPr>
      <w:tblGrid>
        <w:gridCol w:w="4624"/>
        <w:gridCol w:w="463"/>
        <w:gridCol w:w="4440"/>
      </w:tblGrid>
      <w:tr w:rsidR="00A51233" w:rsidRPr="00120504" w:rsidTr="003261ED">
        <w:tc>
          <w:tcPr>
            <w:tcW w:w="5000" w:type="pct"/>
            <w:gridSpan w:val="3"/>
          </w:tcPr>
          <w:p w:rsidR="00A51233" w:rsidRPr="00120504" w:rsidRDefault="00A51233" w:rsidP="003261ED">
            <w:pPr>
              <w:jc w:val="both"/>
              <w:rPr>
                <w:rFonts w:eastAsia="Calibri"/>
                <w:sz w:val="20"/>
              </w:rPr>
            </w:pPr>
            <w:r w:rsidRPr="00120504">
              <w:rPr>
                <w:rFonts w:eastAsia="Calibri"/>
                <w:sz w:val="20"/>
              </w:rPr>
              <w:t xml:space="preserve">Civil procedure – Appeal – Time – Time to appeal expired – Whether Court of Appeal erred in denying special leave to appeal – </w:t>
            </w:r>
            <w:r w:rsidRPr="00120504">
              <w:rPr>
                <w:rFonts w:eastAsia="Calibri"/>
                <w:i/>
                <w:iCs/>
                <w:sz w:val="20"/>
              </w:rPr>
              <w:t>Code of Civil Procedure</w:t>
            </w:r>
            <w:r w:rsidRPr="00120504">
              <w:rPr>
                <w:rFonts w:eastAsia="Calibri"/>
                <w:sz w:val="20"/>
              </w:rPr>
              <w:t>, R.S.Q., c. C-25, art. 523.</w:t>
            </w:r>
          </w:p>
          <w:p w:rsidR="00A51233" w:rsidRPr="00120504" w:rsidRDefault="00A51233" w:rsidP="003261ED">
            <w:pPr>
              <w:jc w:val="both"/>
              <w:rPr>
                <w:rFonts w:eastAsia="Calibri"/>
                <w:sz w:val="20"/>
              </w:rPr>
            </w:pPr>
          </w:p>
        </w:tc>
      </w:tr>
      <w:tr w:rsidR="00A51233" w:rsidRPr="00120504" w:rsidTr="003261ED">
        <w:tc>
          <w:tcPr>
            <w:tcW w:w="5000" w:type="pct"/>
            <w:gridSpan w:val="3"/>
          </w:tcPr>
          <w:p w:rsidR="00A51233" w:rsidRPr="00120504" w:rsidRDefault="00A51233" w:rsidP="003261ED">
            <w:pPr>
              <w:jc w:val="both"/>
              <w:rPr>
                <w:rFonts w:eastAsia="Calibri"/>
                <w:sz w:val="20"/>
              </w:rPr>
            </w:pPr>
            <w:r w:rsidRPr="00120504">
              <w:rPr>
                <w:rFonts w:eastAsia="Calibri"/>
                <w:sz w:val="20"/>
              </w:rPr>
              <w:t xml:space="preserve">In February 2007, the respondent, the Royal Bank of Canada, instituted an action in </w:t>
            </w:r>
            <w:proofErr w:type="spellStart"/>
            <w:r w:rsidRPr="00120504">
              <w:rPr>
                <w:rFonts w:eastAsia="Calibri"/>
                <w:sz w:val="20"/>
              </w:rPr>
              <w:t>extracontractual</w:t>
            </w:r>
            <w:proofErr w:type="spellEnd"/>
            <w:r w:rsidRPr="00120504">
              <w:rPr>
                <w:rFonts w:eastAsia="Calibri"/>
                <w:sz w:val="20"/>
              </w:rPr>
              <w:t xml:space="preserve"> liability against the applicant, Mr. </w:t>
            </w:r>
            <w:proofErr w:type="spellStart"/>
            <w:r w:rsidRPr="00120504">
              <w:rPr>
                <w:rFonts w:eastAsia="Calibri"/>
                <w:sz w:val="20"/>
              </w:rPr>
              <w:t>Shakibaian</w:t>
            </w:r>
            <w:proofErr w:type="spellEnd"/>
            <w:r w:rsidRPr="00120504">
              <w:rPr>
                <w:rFonts w:eastAsia="Calibri"/>
                <w:sz w:val="20"/>
              </w:rPr>
              <w:t>, to recover $345,388.50 in losses incurred as the result of fraudulent acts.  The Bank alleged that Mr. </w:t>
            </w:r>
            <w:proofErr w:type="spellStart"/>
            <w:r w:rsidRPr="00120504">
              <w:rPr>
                <w:rFonts w:eastAsia="Calibri"/>
                <w:sz w:val="20"/>
              </w:rPr>
              <w:t>Shakibaian</w:t>
            </w:r>
            <w:proofErr w:type="spellEnd"/>
            <w:r w:rsidRPr="00120504">
              <w:rPr>
                <w:rFonts w:eastAsia="Calibri"/>
                <w:sz w:val="20"/>
              </w:rPr>
              <w:t xml:space="preserve"> had misappropriated the funds through a debit card cloning scheme.  In 2007, Mr. </w:t>
            </w:r>
            <w:proofErr w:type="spellStart"/>
            <w:r w:rsidRPr="00120504">
              <w:rPr>
                <w:rFonts w:eastAsia="Calibri"/>
                <w:sz w:val="20"/>
              </w:rPr>
              <w:t>Shakibaian</w:t>
            </w:r>
            <w:proofErr w:type="spellEnd"/>
            <w:r w:rsidRPr="00120504">
              <w:rPr>
                <w:rFonts w:eastAsia="Calibri"/>
                <w:sz w:val="20"/>
              </w:rPr>
              <w:t xml:space="preserve"> pleaded guilty to criminal charges of fraud related to the cloning and use of debit cards belonging to the Bank’s clients.  </w:t>
            </w:r>
          </w:p>
          <w:p w:rsidR="00A51233" w:rsidRPr="00120504" w:rsidRDefault="00A51233" w:rsidP="003261ED">
            <w:pPr>
              <w:jc w:val="both"/>
              <w:rPr>
                <w:rFonts w:eastAsia="Calibri"/>
                <w:sz w:val="20"/>
              </w:rPr>
            </w:pPr>
          </w:p>
          <w:p w:rsidR="00A51233" w:rsidRPr="00120504" w:rsidRDefault="00A51233" w:rsidP="003261ED">
            <w:pPr>
              <w:jc w:val="both"/>
              <w:rPr>
                <w:rFonts w:eastAsia="Calibri"/>
                <w:sz w:val="20"/>
              </w:rPr>
            </w:pPr>
            <w:r w:rsidRPr="00120504">
              <w:rPr>
                <w:rFonts w:eastAsia="Calibri"/>
                <w:sz w:val="20"/>
              </w:rPr>
              <w:t xml:space="preserve">In March 2010, </w:t>
            </w:r>
            <w:proofErr w:type="spellStart"/>
            <w:r w:rsidRPr="00120504">
              <w:rPr>
                <w:rFonts w:eastAsia="Calibri"/>
                <w:sz w:val="20"/>
              </w:rPr>
              <w:t>Ouellet</w:t>
            </w:r>
            <w:proofErr w:type="spellEnd"/>
            <w:r w:rsidRPr="00120504">
              <w:rPr>
                <w:rFonts w:eastAsia="Calibri"/>
                <w:sz w:val="20"/>
              </w:rPr>
              <w:t xml:space="preserve"> J. of the Superior Court allowed the Bank’s action.  The judge held that the Bank had proved on a balance of probabilities that Mr. </w:t>
            </w:r>
            <w:proofErr w:type="spellStart"/>
            <w:r w:rsidRPr="00120504">
              <w:rPr>
                <w:rFonts w:eastAsia="Calibri"/>
                <w:sz w:val="20"/>
              </w:rPr>
              <w:t>Shakibaian</w:t>
            </w:r>
            <w:proofErr w:type="spellEnd"/>
            <w:r w:rsidRPr="00120504">
              <w:rPr>
                <w:rFonts w:eastAsia="Calibri"/>
                <w:sz w:val="20"/>
              </w:rPr>
              <w:t xml:space="preserve"> had committed a civil fault by appropriating funds to the Bank’s detriment through a card cloning scheme. He found that the Bank had proved that Mr. </w:t>
            </w:r>
            <w:proofErr w:type="spellStart"/>
            <w:r w:rsidRPr="00120504">
              <w:rPr>
                <w:rFonts w:eastAsia="Calibri"/>
                <w:sz w:val="20"/>
              </w:rPr>
              <w:t>Shakibaian</w:t>
            </w:r>
            <w:proofErr w:type="spellEnd"/>
            <w:r w:rsidRPr="00120504">
              <w:rPr>
                <w:rFonts w:eastAsia="Calibri"/>
                <w:sz w:val="20"/>
              </w:rPr>
              <w:t xml:space="preserve"> had defrauded it of $345,388.50 and that the Bank had refunded this amount to its customers.  The judge ordered Mr. </w:t>
            </w:r>
            <w:proofErr w:type="spellStart"/>
            <w:r w:rsidRPr="00120504">
              <w:rPr>
                <w:rFonts w:eastAsia="Calibri"/>
                <w:sz w:val="20"/>
              </w:rPr>
              <w:t>Shakibaian</w:t>
            </w:r>
            <w:proofErr w:type="spellEnd"/>
            <w:r w:rsidRPr="00120504">
              <w:rPr>
                <w:rFonts w:eastAsia="Calibri"/>
                <w:sz w:val="20"/>
              </w:rPr>
              <w:t xml:space="preserve"> to pay back this amount. </w:t>
            </w:r>
          </w:p>
          <w:p w:rsidR="00A51233" w:rsidRPr="00120504" w:rsidRDefault="00A51233" w:rsidP="003261ED">
            <w:pPr>
              <w:jc w:val="both"/>
              <w:rPr>
                <w:rFonts w:eastAsia="Calibri"/>
                <w:sz w:val="20"/>
              </w:rPr>
            </w:pPr>
          </w:p>
          <w:p w:rsidR="00A51233" w:rsidRPr="00120504" w:rsidRDefault="00A51233" w:rsidP="003261ED">
            <w:pPr>
              <w:jc w:val="both"/>
              <w:rPr>
                <w:rFonts w:eastAsia="Calibri"/>
                <w:sz w:val="20"/>
              </w:rPr>
            </w:pPr>
            <w:r w:rsidRPr="00120504">
              <w:rPr>
                <w:rFonts w:eastAsia="Calibri"/>
                <w:sz w:val="20"/>
              </w:rPr>
              <w:t>Five months after that judgment, Mr. </w:t>
            </w:r>
            <w:proofErr w:type="spellStart"/>
            <w:r w:rsidRPr="00120504">
              <w:rPr>
                <w:rFonts w:eastAsia="Calibri"/>
                <w:sz w:val="20"/>
              </w:rPr>
              <w:t>Shakibaian</w:t>
            </w:r>
            <w:proofErr w:type="spellEnd"/>
            <w:r w:rsidRPr="00120504">
              <w:rPr>
                <w:rFonts w:eastAsia="Calibri"/>
                <w:sz w:val="20"/>
              </w:rPr>
              <w:t xml:space="preserve"> filed a motion for leave to appeal to the Court of Appeal even though the prescribed 30-day time limit had expired.  Applying art. 523 C.C.P., the Court dismissed the motion on the basis that Mr. </w:t>
            </w:r>
            <w:proofErr w:type="spellStart"/>
            <w:r w:rsidRPr="00120504">
              <w:rPr>
                <w:rFonts w:eastAsia="Calibri"/>
                <w:sz w:val="20"/>
              </w:rPr>
              <w:t>Shakibaian</w:t>
            </w:r>
            <w:proofErr w:type="spellEnd"/>
            <w:r w:rsidRPr="00120504">
              <w:rPr>
                <w:rFonts w:eastAsia="Calibri"/>
                <w:sz w:val="20"/>
              </w:rPr>
              <w:t xml:space="preserve"> had not shown that it was impossible for him to act sooner, and that, in any event, the appeal would have no reasonable chance of success. </w:t>
            </w:r>
          </w:p>
          <w:p w:rsidR="00A51233" w:rsidRPr="00120504" w:rsidRDefault="00A51233" w:rsidP="003261ED">
            <w:pPr>
              <w:jc w:val="both"/>
              <w:rPr>
                <w:rFonts w:eastAsia="Calibri"/>
                <w:sz w:val="20"/>
              </w:rPr>
            </w:pPr>
          </w:p>
        </w:tc>
      </w:tr>
      <w:tr w:rsidR="00A51233" w:rsidRPr="00120504" w:rsidTr="003261ED">
        <w:tc>
          <w:tcPr>
            <w:tcW w:w="2427" w:type="pct"/>
          </w:tcPr>
          <w:p w:rsidR="00A51233" w:rsidRPr="00120504" w:rsidRDefault="00A51233" w:rsidP="003261ED">
            <w:pPr>
              <w:jc w:val="both"/>
              <w:rPr>
                <w:rFonts w:eastAsia="Calibri"/>
                <w:sz w:val="20"/>
              </w:rPr>
            </w:pPr>
            <w:r w:rsidRPr="00120504">
              <w:rPr>
                <w:rFonts w:eastAsia="Calibri"/>
                <w:sz w:val="20"/>
              </w:rPr>
              <w:t>March 31, 2010</w:t>
            </w:r>
          </w:p>
          <w:p w:rsidR="00A51233" w:rsidRPr="00120504" w:rsidRDefault="00A51233" w:rsidP="003261ED">
            <w:pPr>
              <w:jc w:val="both"/>
              <w:rPr>
                <w:rFonts w:eastAsia="Calibri"/>
                <w:sz w:val="20"/>
              </w:rPr>
            </w:pPr>
            <w:r w:rsidRPr="00120504">
              <w:rPr>
                <w:rFonts w:eastAsia="Calibri"/>
                <w:sz w:val="20"/>
              </w:rPr>
              <w:t>Quebec Superior Court</w:t>
            </w:r>
          </w:p>
          <w:p w:rsidR="00A51233" w:rsidRPr="00120504" w:rsidRDefault="00A51233" w:rsidP="003261ED">
            <w:pPr>
              <w:jc w:val="both"/>
              <w:rPr>
                <w:rFonts w:eastAsia="Calibri"/>
                <w:sz w:val="20"/>
              </w:rPr>
            </w:pPr>
            <w:r w:rsidRPr="00120504">
              <w:rPr>
                <w:rFonts w:eastAsia="Calibri"/>
                <w:sz w:val="20"/>
              </w:rPr>
              <w:t>(</w:t>
            </w:r>
            <w:proofErr w:type="spellStart"/>
            <w:r w:rsidRPr="00120504">
              <w:rPr>
                <w:rFonts w:eastAsia="Calibri"/>
                <w:sz w:val="20"/>
              </w:rPr>
              <w:t>Ouellet</w:t>
            </w:r>
            <w:proofErr w:type="spellEnd"/>
            <w:r w:rsidRPr="00120504">
              <w:rPr>
                <w:rFonts w:eastAsia="Calibri"/>
                <w:sz w:val="20"/>
              </w:rPr>
              <w:t xml:space="preserve"> J.)</w:t>
            </w:r>
          </w:p>
          <w:p w:rsidR="00A51233" w:rsidRPr="00120504" w:rsidRDefault="00A51233" w:rsidP="003261ED">
            <w:pPr>
              <w:jc w:val="both"/>
              <w:rPr>
                <w:rFonts w:eastAsia="Calibri"/>
                <w:sz w:val="20"/>
              </w:rPr>
            </w:pPr>
            <w:r w:rsidRPr="00120504">
              <w:rPr>
                <w:rFonts w:eastAsia="Calibri"/>
                <w:sz w:val="20"/>
              </w:rPr>
              <w:t>2010 QCCS 1460</w:t>
            </w:r>
          </w:p>
          <w:p w:rsidR="00A51233" w:rsidRPr="00120504" w:rsidRDefault="00A51233" w:rsidP="003261ED">
            <w:pPr>
              <w:jc w:val="both"/>
              <w:rPr>
                <w:rFonts w:eastAsia="Calibri"/>
                <w:sz w:val="20"/>
              </w:rPr>
            </w:pPr>
          </w:p>
        </w:tc>
        <w:tc>
          <w:tcPr>
            <w:tcW w:w="243" w:type="pct"/>
          </w:tcPr>
          <w:p w:rsidR="00A51233" w:rsidRPr="00120504" w:rsidRDefault="00A51233" w:rsidP="003261ED">
            <w:pPr>
              <w:jc w:val="both"/>
              <w:rPr>
                <w:rFonts w:eastAsia="Calibri"/>
                <w:sz w:val="20"/>
              </w:rPr>
            </w:pPr>
          </w:p>
        </w:tc>
        <w:tc>
          <w:tcPr>
            <w:tcW w:w="2330" w:type="pct"/>
          </w:tcPr>
          <w:p w:rsidR="00A51233" w:rsidRPr="00120504" w:rsidRDefault="00A51233" w:rsidP="003261ED">
            <w:pPr>
              <w:jc w:val="both"/>
              <w:rPr>
                <w:rFonts w:eastAsia="Calibri"/>
                <w:sz w:val="20"/>
              </w:rPr>
            </w:pPr>
            <w:r w:rsidRPr="00120504">
              <w:rPr>
                <w:rFonts w:eastAsia="Calibri"/>
                <w:sz w:val="20"/>
              </w:rPr>
              <w:t>Motion to institute proceedings granted; applicant ordered to pay compensatory damages</w:t>
            </w:r>
          </w:p>
          <w:p w:rsidR="00A51233" w:rsidRPr="00120504" w:rsidRDefault="00A51233" w:rsidP="003261ED">
            <w:pPr>
              <w:jc w:val="both"/>
              <w:rPr>
                <w:rFonts w:eastAsia="Calibri"/>
                <w:sz w:val="20"/>
              </w:rPr>
            </w:pPr>
          </w:p>
        </w:tc>
      </w:tr>
      <w:tr w:rsidR="00A51233" w:rsidRPr="00120504" w:rsidTr="00092E36">
        <w:trPr>
          <w:cantSplit/>
        </w:trPr>
        <w:tc>
          <w:tcPr>
            <w:tcW w:w="2427" w:type="pct"/>
          </w:tcPr>
          <w:p w:rsidR="00A51233" w:rsidRPr="00120504" w:rsidRDefault="00A51233" w:rsidP="003261ED">
            <w:pPr>
              <w:jc w:val="both"/>
              <w:rPr>
                <w:rFonts w:eastAsia="Calibri"/>
                <w:sz w:val="20"/>
              </w:rPr>
            </w:pPr>
            <w:r w:rsidRPr="00120504">
              <w:rPr>
                <w:rFonts w:eastAsia="Calibri"/>
                <w:sz w:val="20"/>
              </w:rPr>
              <w:lastRenderedPageBreak/>
              <w:t>October 12, 2010</w:t>
            </w:r>
          </w:p>
          <w:p w:rsidR="00A51233" w:rsidRPr="00120504" w:rsidRDefault="00A51233" w:rsidP="003261ED">
            <w:pPr>
              <w:jc w:val="both"/>
              <w:rPr>
                <w:rFonts w:eastAsia="Calibri"/>
                <w:sz w:val="20"/>
              </w:rPr>
            </w:pPr>
            <w:r w:rsidRPr="00120504">
              <w:rPr>
                <w:rFonts w:eastAsia="Calibri"/>
                <w:sz w:val="20"/>
              </w:rPr>
              <w:t>Quebec Court of Appeal (Québec)</w:t>
            </w:r>
          </w:p>
          <w:p w:rsidR="00A51233" w:rsidRPr="00120504" w:rsidRDefault="00A51233" w:rsidP="003261ED">
            <w:pPr>
              <w:jc w:val="both"/>
              <w:rPr>
                <w:rFonts w:eastAsia="Calibri"/>
                <w:sz w:val="20"/>
              </w:rPr>
            </w:pPr>
            <w:r w:rsidRPr="00120504">
              <w:rPr>
                <w:rFonts w:eastAsia="Calibri"/>
                <w:sz w:val="20"/>
              </w:rPr>
              <w:t>(</w:t>
            </w:r>
            <w:proofErr w:type="spellStart"/>
            <w:r w:rsidRPr="00120504">
              <w:rPr>
                <w:rFonts w:eastAsia="Calibri"/>
                <w:sz w:val="20"/>
              </w:rPr>
              <w:t>Chamberland</w:t>
            </w:r>
            <w:proofErr w:type="spellEnd"/>
            <w:r w:rsidRPr="00120504">
              <w:rPr>
                <w:rFonts w:eastAsia="Calibri"/>
                <w:sz w:val="20"/>
              </w:rPr>
              <w:t>, Thibault and Gagnon JJ.A.)</w:t>
            </w:r>
          </w:p>
          <w:p w:rsidR="00A51233" w:rsidRPr="00120504" w:rsidRDefault="00A51233" w:rsidP="003261ED">
            <w:pPr>
              <w:jc w:val="both"/>
              <w:rPr>
                <w:rFonts w:eastAsia="Calibri"/>
                <w:sz w:val="20"/>
              </w:rPr>
            </w:pPr>
            <w:r w:rsidRPr="00120504">
              <w:rPr>
                <w:rFonts w:eastAsia="Calibri"/>
                <w:sz w:val="20"/>
              </w:rPr>
              <w:t>2010 QCCA 1860</w:t>
            </w:r>
          </w:p>
          <w:p w:rsidR="00A51233" w:rsidRPr="00120504" w:rsidRDefault="00A51233" w:rsidP="003261ED">
            <w:pPr>
              <w:jc w:val="both"/>
              <w:rPr>
                <w:rFonts w:eastAsia="Calibri"/>
                <w:sz w:val="20"/>
              </w:rPr>
            </w:pPr>
          </w:p>
        </w:tc>
        <w:tc>
          <w:tcPr>
            <w:tcW w:w="243" w:type="pct"/>
          </w:tcPr>
          <w:p w:rsidR="00A51233" w:rsidRPr="00120504" w:rsidRDefault="00A51233" w:rsidP="003261ED">
            <w:pPr>
              <w:jc w:val="both"/>
              <w:rPr>
                <w:rFonts w:eastAsia="Calibri"/>
                <w:sz w:val="20"/>
              </w:rPr>
            </w:pPr>
          </w:p>
        </w:tc>
        <w:tc>
          <w:tcPr>
            <w:tcW w:w="2330" w:type="pct"/>
          </w:tcPr>
          <w:p w:rsidR="00A51233" w:rsidRPr="00120504" w:rsidRDefault="00A51233" w:rsidP="003261ED">
            <w:pPr>
              <w:jc w:val="both"/>
              <w:rPr>
                <w:rFonts w:eastAsia="Calibri"/>
                <w:sz w:val="20"/>
              </w:rPr>
            </w:pPr>
            <w:r w:rsidRPr="00120504">
              <w:rPr>
                <w:rFonts w:eastAsia="Calibri"/>
                <w:sz w:val="20"/>
              </w:rPr>
              <w:t>Application for special leave to appeal dismissed</w:t>
            </w:r>
          </w:p>
          <w:p w:rsidR="00A51233" w:rsidRPr="00120504" w:rsidRDefault="00A51233" w:rsidP="003261ED">
            <w:pPr>
              <w:jc w:val="both"/>
              <w:rPr>
                <w:rFonts w:eastAsia="Calibri"/>
                <w:sz w:val="20"/>
              </w:rPr>
            </w:pPr>
          </w:p>
        </w:tc>
      </w:tr>
      <w:tr w:rsidR="00A51233" w:rsidRPr="00120504" w:rsidTr="003261ED">
        <w:tc>
          <w:tcPr>
            <w:tcW w:w="2427" w:type="pct"/>
          </w:tcPr>
          <w:p w:rsidR="00A51233" w:rsidRPr="00120504" w:rsidRDefault="00A51233" w:rsidP="003261ED">
            <w:pPr>
              <w:jc w:val="both"/>
              <w:rPr>
                <w:rFonts w:eastAsia="Calibri"/>
                <w:sz w:val="20"/>
              </w:rPr>
            </w:pPr>
            <w:r w:rsidRPr="00120504">
              <w:rPr>
                <w:rFonts w:eastAsia="Calibri"/>
                <w:sz w:val="20"/>
              </w:rPr>
              <w:t>December 13, 2010</w:t>
            </w:r>
          </w:p>
          <w:p w:rsidR="00A51233" w:rsidRPr="00120504" w:rsidRDefault="00A51233" w:rsidP="003261ED">
            <w:pPr>
              <w:jc w:val="both"/>
              <w:rPr>
                <w:rFonts w:eastAsia="Calibri"/>
                <w:sz w:val="20"/>
              </w:rPr>
            </w:pPr>
            <w:r w:rsidRPr="00120504">
              <w:rPr>
                <w:rFonts w:eastAsia="Calibri"/>
                <w:sz w:val="20"/>
              </w:rPr>
              <w:t>Supreme Court of Canada</w:t>
            </w:r>
          </w:p>
        </w:tc>
        <w:tc>
          <w:tcPr>
            <w:tcW w:w="243" w:type="pct"/>
          </w:tcPr>
          <w:p w:rsidR="00A51233" w:rsidRPr="00120504" w:rsidRDefault="00A51233" w:rsidP="003261ED">
            <w:pPr>
              <w:jc w:val="both"/>
              <w:rPr>
                <w:rFonts w:eastAsia="Calibri"/>
                <w:sz w:val="20"/>
              </w:rPr>
            </w:pPr>
          </w:p>
        </w:tc>
        <w:tc>
          <w:tcPr>
            <w:tcW w:w="2330" w:type="pct"/>
          </w:tcPr>
          <w:p w:rsidR="00A51233" w:rsidRPr="00120504" w:rsidRDefault="00A51233" w:rsidP="003261ED">
            <w:pPr>
              <w:jc w:val="both"/>
              <w:rPr>
                <w:rFonts w:eastAsia="Calibri"/>
                <w:sz w:val="20"/>
              </w:rPr>
            </w:pPr>
            <w:r w:rsidRPr="00120504">
              <w:rPr>
                <w:rFonts w:eastAsia="Calibri"/>
                <w:sz w:val="20"/>
              </w:rPr>
              <w:t>Application for leave to appeal filed</w:t>
            </w:r>
          </w:p>
          <w:p w:rsidR="00A51233" w:rsidRPr="00120504" w:rsidRDefault="00A51233" w:rsidP="003261ED">
            <w:pPr>
              <w:jc w:val="both"/>
              <w:rPr>
                <w:rFonts w:eastAsia="Calibri"/>
                <w:sz w:val="20"/>
              </w:rPr>
            </w:pPr>
          </w:p>
        </w:tc>
      </w:tr>
    </w:tbl>
    <w:p w:rsidR="004704BD" w:rsidRPr="004704BD" w:rsidRDefault="004704BD" w:rsidP="004704BD">
      <w:pPr>
        <w:rPr>
          <w:sz w:val="20"/>
          <w:szCs w:val="20"/>
        </w:rPr>
      </w:pPr>
    </w:p>
    <w:p w:rsidR="004704BD" w:rsidRDefault="0004334C" w:rsidP="004704BD">
      <w:pPr>
        <w:rPr>
          <w:sz w:val="20"/>
          <w:szCs w:val="20"/>
          <w:lang w:val="fr-CA"/>
        </w:rPr>
      </w:pPr>
      <w:r w:rsidRPr="0004334C">
        <w:rPr>
          <w:sz w:val="20"/>
          <w:szCs w:val="20"/>
          <w:lang w:val="fr-CA"/>
        </w:rPr>
        <w:pict>
          <v:rect id="_x0000_i1066" style="width:2in;height:1pt" o:hrpct="0" o:hralign="center" o:hrstd="t" o:hrnoshade="t" o:hr="t" fillcolor="black [3213]" stroked="f"/>
        </w:pict>
      </w:r>
    </w:p>
    <w:p w:rsidR="004704BD" w:rsidRDefault="004704BD" w:rsidP="004704BD">
      <w:pPr>
        <w:rPr>
          <w:sz w:val="20"/>
          <w:szCs w:val="20"/>
          <w:lang w:val="fr-CA"/>
        </w:rPr>
      </w:pPr>
    </w:p>
    <w:p w:rsidR="004704BD" w:rsidRPr="004704BD" w:rsidRDefault="004704BD" w:rsidP="004704BD">
      <w:pPr>
        <w:rPr>
          <w:sz w:val="20"/>
          <w:szCs w:val="20"/>
          <w:lang w:val="fr-CA"/>
        </w:rPr>
      </w:pPr>
      <w:r>
        <w:rPr>
          <w:sz w:val="20"/>
          <w:szCs w:val="20"/>
          <w:u w:val="single"/>
          <w:lang w:val="fr-CA"/>
        </w:rPr>
        <w:t>RÉSUMÉ DE L’AFFAIRE</w:t>
      </w:r>
    </w:p>
    <w:p w:rsidR="004704BD" w:rsidRDefault="004704BD" w:rsidP="004704BD">
      <w:pPr>
        <w:rPr>
          <w:sz w:val="20"/>
          <w:szCs w:val="20"/>
          <w:lang w:val="fr-CA"/>
        </w:rPr>
      </w:pPr>
    </w:p>
    <w:tbl>
      <w:tblPr>
        <w:tblW w:w="4952" w:type="pct"/>
        <w:tblLayout w:type="fixed"/>
        <w:tblCellMar>
          <w:left w:w="0" w:type="dxa"/>
          <w:bottom w:w="99" w:type="dxa"/>
          <w:right w:w="0" w:type="dxa"/>
        </w:tblCellMar>
        <w:tblLook w:val="04A0"/>
      </w:tblPr>
      <w:tblGrid>
        <w:gridCol w:w="4624"/>
        <w:gridCol w:w="463"/>
        <w:gridCol w:w="4440"/>
      </w:tblGrid>
      <w:tr w:rsidR="00A51233" w:rsidRPr="00120504" w:rsidTr="003261ED">
        <w:tc>
          <w:tcPr>
            <w:tcW w:w="5000" w:type="pct"/>
            <w:gridSpan w:val="3"/>
          </w:tcPr>
          <w:p w:rsidR="00A51233" w:rsidRPr="00120504" w:rsidRDefault="00A51233" w:rsidP="003261ED">
            <w:pPr>
              <w:jc w:val="both"/>
              <w:rPr>
                <w:rFonts w:eastAsia="Calibri"/>
                <w:sz w:val="20"/>
                <w:lang w:val="fr-CA"/>
              </w:rPr>
            </w:pPr>
            <w:r w:rsidRPr="00120504">
              <w:rPr>
                <w:rFonts w:eastAsia="Calibri"/>
                <w:sz w:val="20"/>
                <w:lang w:val="fr-CA"/>
              </w:rPr>
              <w:t xml:space="preserve">Procédure civile – Appel – Délais – Délai d’appel expiré – Est-ce à tort que la Cour d’appel a refusé la permission spéciale d’appeler? – </w:t>
            </w:r>
            <w:r w:rsidRPr="00120504">
              <w:rPr>
                <w:rFonts w:eastAsia="Calibri"/>
                <w:i/>
                <w:sz w:val="20"/>
                <w:lang w:val="fr-CA"/>
              </w:rPr>
              <w:t>Code de procédure civile</w:t>
            </w:r>
            <w:r w:rsidRPr="00120504">
              <w:rPr>
                <w:rFonts w:eastAsia="Calibri"/>
                <w:sz w:val="20"/>
                <w:lang w:val="fr-CA"/>
              </w:rPr>
              <w:t>, L.R.Q., ch. C-25, art. 523.</w:t>
            </w:r>
          </w:p>
          <w:p w:rsidR="00A51233" w:rsidRPr="00120504" w:rsidRDefault="00A51233" w:rsidP="003261ED">
            <w:pPr>
              <w:jc w:val="both"/>
              <w:rPr>
                <w:rFonts w:eastAsia="Calibri"/>
                <w:sz w:val="20"/>
                <w:lang w:val="fr-CA"/>
              </w:rPr>
            </w:pPr>
          </w:p>
        </w:tc>
      </w:tr>
      <w:tr w:rsidR="00A51233" w:rsidRPr="001602E4" w:rsidTr="003261ED">
        <w:tc>
          <w:tcPr>
            <w:tcW w:w="5000" w:type="pct"/>
            <w:gridSpan w:val="3"/>
          </w:tcPr>
          <w:p w:rsidR="00A51233" w:rsidRPr="00120504" w:rsidRDefault="00A51233" w:rsidP="003261ED">
            <w:pPr>
              <w:jc w:val="both"/>
              <w:rPr>
                <w:rFonts w:eastAsia="Calibri"/>
                <w:sz w:val="20"/>
                <w:lang w:val="fr-CA"/>
              </w:rPr>
            </w:pPr>
            <w:r w:rsidRPr="00120504">
              <w:rPr>
                <w:rFonts w:eastAsia="Calibri"/>
                <w:sz w:val="20"/>
                <w:lang w:val="fr-CA"/>
              </w:rPr>
              <w:t xml:space="preserve">En février 2007, l’intimée, la Banque Royale du Canada, intente une action en responsabilité extracontractuelle contre le demandeur, M. </w:t>
            </w:r>
            <w:proofErr w:type="spellStart"/>
            <w:r w:rsidRPr="00120504">
              <w:rPr>
                <w:rFonts w:eastAsia="Calibri"/>
                <w:sz w:val="20"/>
                <w:lang w:val="fr-CA"/>
              </w:rPr>
              <w:t>Shakibaian</w:t>
            </w:r>
            <w:proofErr w:type="spellEnd"/>
            <w:r w:rsidRPr="00120504">
              <w:rPr>
                <w:rFonts w:eastAsia="Calibri"/>
                <w:sz w:val="20"/>
                <w:lang w:val="fr-CA"/>
              </w:rPr>
              <w:t xml:space="preserve">, pour recouvrer des pertes de 345 388,50 $ encourues suite à des fraudes. Elle allègue que M. </w:t>
            </w:r>
            <w:proofErr w:type="spellStart"/>
            <w:r w:rsidRPr="00120504">
              <w:rPr>
                <w:rFonts w:eastAsia="Calibri"/>
                <w:sz w:val="20"/>
                <w:lang w:val="fr-CA"/>
              </w:rPr>
              <w:t>Shakibaian</w:t>
            </w:r>
            <w:proofErr w:type="spellEnd"/>
            <w:r w:rsidRPr="00120504">
              <w:rPr>
                <w:rFonts w:eastAsia="Calibri"/>
                <w:sz w:val="20"/>
                <w:lang w:val="fr-CA"/>
              </w:rPr>
              <w:t xml:space="preserve"> s’est approprié les fonds par le truchement de sa participation à une opération de clonage de cartes de débit. En 2007, M. </w:t>
            </w:r>
            <w:proofErr w:type="spellStart"/>
            <w:r w:rsidRPr="00120504">
              <w:rPr>
                <w:rFonts w:eastAsia="Calibri"/>
                <w:sz w:val="20"/>
                <w:lang w:val="fr-CA"/>
              </w:rPr>
              <w:t>Shakibaian</w:t>
            </w:r>
            <w:proofErr w:type="spellEnd"/>
            <w:r w:rsidRPr="00120504">
              <w:rPr>
                <w:rFonts w:eastAsia="Calibri"/>
                <w:sz w:val="20"/>
                <w:lang w:val="fr-CA"/>
              </w:rPr>
              <w:t xml:space="preserve">, plaide coupable à des accusations criminelles de fraude relativement au clonage et à l’utilisation des cartes de débit des clients de la Banque. </w:t>
            </w:r>
          </w:p>
          <w:p w:rsidR="00A51233" w:rsidRPr="00120504" w:rsidRDefault="00A51233" w:rsidP="003261ED">
            <w:pPr>
              <w:jc w:val="both"/>
              <w:rPr>
                <w:rFonts w:eastAsia="Calibri"/>
                <w:sz w:val="20"/>
                <w:lang w:val="fr-CA"/>
              </w:rPr>
            </w:pPr>
          </w:p>
          <w:p w:rsidR="00A51233" w:rsidRPr="00120504" w:rsidRDefault="00A51233" w:rsidP="003261ED">
            <w:pPr>
              <w:jc w:val="both"/>
              <w:rPr>
                <w:rFonts w:eastAsia="Calibri"/>
                <w:sz w:val="20"/>
                <w:lang w:val="fr-CA"/>
              </w:rPr>
            </w:pPr>
            <w:r w:rsidRPr="00120504">
              <w:rPr>
                <w:rFonts w:eastAsia="Calibri"/>
                <w:sz w:val="20"/>
                <w:lang w:val="fr-CA"/>
              </w:rPr>
              <w:t xml:space="preserve">En mars 2010, le juge Ouellet de la Cour supérieure accueille le recours de la Banque. Le juge conclut que la Banque a prouvé, par balance des probabilités, que M. </w:t>
            </w:r>
            <w:proofErr w:type="spellStart"/>
            <w:r w:rsidRPr="00120504">
              <w:rPr>
                <w:rFonts w:eastAsia="Calibri"/>
                <w:sz w:val="20"/>
                <w:lang w:val="fr-CA"/>
              </w:rPr>
              <w:t>Shakibaian</w:t>
            </w:r>
            <w:proofErr w:type="spellEnd"/>
            <w:r w:rsidRPr="00120504">
              <w:rPr>
                <w:rFonts w:eastAsia="Calibri"/>
                <w:sz w:val="20"/>
                <w:lang w:val="fr-CA"/>
              </w:rPr>
              <w:t xml:space="preserve"> a commis une faute civile en obtenant des fonds au détriment de la Banque au moyen d’un processus de clonage des cartes. Il estime que la Banque a prouvé qu’une somme de 345 388,50 $ lui avait été soutirée par M. </w:t>
            </w:r>
            <w:proofErr w:type="spellStart"/>
            <w:r w:rsidRPr="00120504">
              <w:rPr>
                <w:rFonts w:eastAsia="Calibri"/>
                <w:sz w:val="20"/>
                <w:lang w:val="fr-CA"/>
              </w:rPr>
              <w:t>Shakibaian</w:t>
            </w:r>
            <w:proofErr w:type="spellEnd"/>
            <w:r w:rsidRPr="00120504">
              <w:rPr>
                <w:rFonts w:eastAsia="Calibri"/>
                <w:sz w:val="20"/>
                <w:lang w:val="fr-CA"/>
              </w:rPr>
              <w:t xml:space="preserve"> et qu’elle avait remboursé cette somme à ses clients. Il condamne M. </w:t>
            </w:r>
            <w:proofErr w:type="spellStart"/>
            <w:r w:rsidRPr="00120504">
              <w:rPr>
                <w:rFonts w:eastAsia="Calibri"/>
                <w:sz w:val="20"/>
                <w:lang w:val="fr-CA"/>
              </w:rPr>
              <w:t>Shakibaian</w:t>
            </w:r>
            <w:proofErr w:type="spellEnd"/>
            <w:r w:rsidRPr="00120504">
              <w:rPr>
                <w:rFonts w:eastAsia="Calibri"/>
                <w:sz w:val="20"/>
                <w:lang w:val="fr-CA"/>
              </w:rPr>
              <w:t xml:space="preserve"> à rembourser cette somme.</w:t>
            </w:r>
          </w:p>
          <w:p w:rsidR="00A51233" w:rsidRPr="00120504" w:rsidRDefault="00A51233" w:rsidP="003261ED">
            <w:pPr>
              <w:jc w:val="both"/>
              <w:rPr>
                <w:rFonts w:eastAsia="Calibri"/>
                <w:sz w:val="20"/>
                <w:lang w:val="fr-CA"/>
              </w:rPr>
            </w:pPr>
          </w:p>
          <w:p w:rsidR="00A51233" w:rsidRPr="00120504" w:rsidRDefault="00A51233" w:rsidP="003261ED">
            <w:pPr>
              <w:jc w:val="both"/>
              <w:rPr>
                <w:rFonts w:eastAsia="Calibri"/>
                <w:sz w:val="20"/>
                <w:lang w:val="fr-CA"/>
              </w:rPr>
            </w:pPr>
            <w:r w:rsidRPr="00120504">
              <w:rPr>
                <w:rFonts w:eastAsia="Calibri"/>
                <w:sz w:val="20"/>
                <w:lang w:val="fr-CA"/>
              </w:rPr>
              <w:t xml:space="preserve">Cinq mois après ce jugement, M. </w:t>
            </w:r>
            <w:proofErr w:type="spellStart"/>
            <w:r w:rsidRPr="00120504">
              <w:rPr>
                <w:rFonts w:eastAsia="Calibri"/>
                <w:sz w:val="20"/>
                <w:lang w:val="fr-CA"/>
              </w:rPr>
              <w:t>Shakibaian</w:t>
            </w:r>
            <w:proofErr w:type="spellEnd"/>
            <w:r w:rsidRPr="00120504">
              <w:rPr>
                <w:rFonts w:eastAsia="Calibri"/>
                <w:sz w:val="20"/>
                <w:lang w:val="fr-CA"/>
              </w:rPr>
              <w:t xml:space="preserve"> dépose une requête en autorisation d’appel devant la Cour d’appel malgré l’expiration du délai de 30 jours prescrit. Appliquant l’art. 523 </w:t>
            </w:r>
            <w:proofErr w:type="spellStart"/>
            <w:r w:rsidRPr="00120504">
              <w:rPr>
                <w:rFonts w:eastAsia="Calibri"/>
                <w:sz w:val="20"/>
                <w:lang w:val="fr-CA"/>
              </w:rPr>
              <w:t>C.p.c</w:t>
            </w:r>
            <w:proofErr w:type="spellEnd"/>
            <w:r w:rsidRPr="00120504">
              <w:rPr>
                <w:rFonts w:eastAsia="Calibri"/>
                <w:sz w:val="20"/>
                <w:lang w:val="fr-CA"/>
              </w:rPr>
              <w:t xml:space="preserve">, la Cour rejette la requête au motif que M. </w:t>
            </w:r>
            <w:proofErr w:type="spellStart"/>
            <w:r w:rsidRPr="00120504">
              <w:rPr>
                <w:rFonts w:eastAsia="Calibri"/>
                <w:sz w:val="20"/>
                <w:lang w:val="fr-CA"/>
              </w:rPr>
              <w:t>Shakibaian</w:t>
            </w:r>
            <w:proofErr w:type="spellEnd"/>
            <w:r w:rsidRPr="00120504">
              <w:rPr>
                <w:rFonts w:eastAsia="Calibri"/>
                <w:sz w:val="20"/>
                <w:lang w:val="fr-CA"/>
              </w:rPr>
              <w:t xml:space="preserve"> n’a pas démontré qu’il était dans l’impossibilité d’agir et qu’à tout événement, l’appel envisagé n’a aucune chance raisonnable de succès.</w:t>
            </w:r>
          </w:p>
          <w:p w:rsidR="00A51233" w:rsidRPr="00120504" w:rsidRDefault="00A51233" w:rsidP="003261ED">
            <w:pPr>
              <w:jc w:val="both"/>
              <w:rPr>
                <w:rFonts w:eastAsia="Calibri"/>
                <w:sz w:val="20"/>
                <w:lang w:val="fr-CA"/>
              </w:rPr>
            </w:pPr>
          </w:p>
        </w:tc>
      </w:tr>
      <w:tr w:rsidR="00A51233" w:rsidRPr="001602E4" w:rsidTr="003261ED">
        <w:tc>
          <w:tcPr>
            <w:tcW w:w="2427" w:type="pct"/>
          </w:tcPr>
          <w:p w:rsidR="00A51233" w:rsidRPr="00120504" w:rsidRDefault="00A51233" w:rsidP="003261ED">
            <w:pPr>
              <w:jc w:val="both"/>
              <w:rPr>
                <w:rFonts w:eastAsia="Calibri"/>
                <w:sz w:val="20"/>
                <w:lang w:val="fr-CA"/>
              </w:rPr>
            </w:pPr>
            <w:r w:rsidRPr="00120504">
              <w:rPr>
                <w:rFonts w:eastAsia="Calibri"/>
                <w:sz w:val="20"/>
                <w:lang w:val="fr-CA"/>
              </w:rPr>
              <w:t>Le 31 mars 2010</w:t>
            </w:r>
          </w:p>
          <w:p w:rsidR="00A51233" w:rsidRPr="00120504" w:rsidRDefault="00A51233" w:rsidP="003261ED">
            <w:pPr>
              <w:jc w:val="both"/>
              <w:rPr>
                <w:rFonts w:eastAsia="Calibri"/>
                <w:sz w:val="20"/>
                <w:lang w:val="fr-CA"/>
              </w:rPr>
            </w:pPr>
            <w:r w:rsidRPr="00120504">
              <w:rPr>
                <w:rFonts w:eastAsia="Calibri"/>
                <w:sz w:val="20"/>
                <w:lang w:val="fr-CA"/>
              </w:rPr>
              <w:t>Cour supérieure du Québec</w:t>
            </w:r>
          </w:p>
          <w:p w:rsidR="00A51233" w:rsidRPr="00120504" w:rsidRDefault="00A51233" w:rsidP="003261ED">
            <w:pPr>
              <w:jc w:val="both"/>
              <w:rPr>
                <w:rFonts w:eastAsia="Calibri"/>
                <w:sz w:val="20"/>
                <w:lang w:val="fr-CA"/>
              </w:rPr>
            </w:pPr>
            <w:r w:rsidRPr="00120504">
              <w:rPr>
                <w:rFonts w:eastAsia="Calibri"/>
                <w:sz w:val="20"/>
                <w:lang w:val="fr-CA"/>
              </w:rPr>
              <w:t>(Le juge Ouellet)</w:t>
            </w:r>
          </w:p>
          <w:p w:rsidR="00A51233" w:rsidRPr="00120504" w:rsidRDefault="00A51233" w:rsidP="003261ED">
            <w:pPr>
              <w:jc w:val="both"/>
              <w:rPr>
                <w:rFonts w:eastAsia="Calibri"/>
                <w:sz w:val="20"/>
                <w:lang w:val="fr-CA"/>
              </w:rPr>
            </w:pPr>
            <w:r w:rsidRPr="00120504">
              <w:rPr>
                <w:rFonts w:eastAsia="Calibri"/>
                <w:sz w:val="20"/>
                <w:lang w:val="fr-CA"/>
              </w:rPr>
              <w:t>2010 QCCS 1460</w:t>
            </w:r>
          </w:p>
          <w:p w:rsidR="00A51233" w:rsidRPr="00120504" w:rsidRDefault="00A51233" w:rsidP="003261ED">
            <w:pPr>
              <w:jc w:val="both"/>
              <w:rPr>
                <w:rFonts w:eastAsia="Calibri"/>
                <w:sz w:val="20"/>
                <w:lang w:val="fr-CA"/>
              </w:rPr>
            </w:pPr>
          </w:p>
        </w:tc>
        <w:tc>
          <w:tcPr>
            <w:tcW w:w="243" w:type="pct"/>
          </w:tcPr>
          <w:p w:rsidR="00A51233" w:rsidRPr="00120504" w:rsidRDefault="00A51233" w:rsidP="003261ED">
            <w:pPr>
              <w:jc w:val="both"/>
              <w:rPr>
                <w:rFonts w:eastAsia="Calibri"/>
                <w:sz w:val="20"/>
                <w:lang w:val="fr-CA"/>
              </w:rPr>
            </w:pPr>
          </w:p>
        </w:tc>
        <w:tc>
          <w:tcPr>
            <w:tcW w:w="2330" w:type="pct"/>
          </w:tcPr>
          <w:p w:rsidR="00A51233" w:rsidRPr="00120504" w:rsidRDefault="00A51233" w:rsidP="003261ED">
            <w:pPr>
              <w:jc w:val="both"/>
              <w:rPr>
                <w:rFonts w:eastAsia="Calibri"/>
                <w:sz w:val="20"/>
                <w:lang w:val="fr-CA"/>
              </w:rPr>
            </w:pPr>
            <w:r w:rsidRPr="00120504">
              <w:rPr>
                <w:rFonts w:eastAsia="Calibri"/>
                <w:sz w:val="20"/>
                <w:lang w:val="fr-CA"/>
              </w:rPr>
              <w:t>Demande introductive d’instance accueillie; demandeur condamné au paiement de dommages-intérêts compensatoires</w:t>
            </w:r>
          </w:p>
          <w:p w:rsidR="00A51233" w:rsidRPr="00120504" w:rsidRDefault="00A51233" w:rsidP="003261ED">
            <w:pPr>
              <w:jc w:val="both"/>
              <w:rPr>
                <w:rFonts w:eastAsia="Calibri"/>
                <w:sz w:val="20"/>
                <w:lang w:val="fr-CA"/>
              </w:rPr>
            </w:pPr>
          </w:p>
        </w:tc>
      </w:tr>
      <w:tr w:rsidR="00A51233" w:rsidRPr="001602E4" w:rsidTr="003261ED">
        <w:tc>
          <w:tcPr>
            <w:tcW w:w="2427" w:type="pct"/>
          </w:tcPr>
          <w:p w:rsidR="00A51233" w:rsidRPr="00120504" w:rsidRDefault="00A51233" w:rsidP="003261ED">
            <w:pPr>
              <w:jc w:val="both"/>
              <w:rPr>
                <w:rFonts w:eastAsia="Calibri"/>
                <w:sz w:val="20"/>
                <w:lang w:val="fr-CA"/>
              </w:rPr>
            </w:pPr>
            <w:r w:rsidRPr="00120504">
              <w:rPr>
                <w:rFonts w:eastAsia="Calibri"/>
                <w:sz w:val="20"/>
                <w:lang w:val="fr-CA"/>
              </w:rPr>
              <w:t>Le 12 octobre 2010</w:t>
            </w:r>
          </w:p>
          <w:p w:rsidR="00A51233" w:rsidRPr="00120504" w:rsidRDefault="00A51233" w:rsidP="003261ED">
            <w:pPr>
              <w:jc w:val="both"/>
              <w:rPr>
                <w:rFonts w:eastAsia="Calibri"/>
                <w:sz w:val="20"/>
                <w:lang w:val="fr-CA"/>
              </w:rPr>
            </w:pPr>
            <w:r w:rsidRPr="00120504">
              <w:rPr>
                <w:rFonts w:eastAsia="Calibri"/>
                <w:sz w:val="20"/>
                <w:lang w:val="fr-CA"/>
              </w:rPr>
              <w:t>Cour d’appel du Québec (Québec)</w:t>
            </w:r>
          </w:p>
          <w:p w:rsidR="00A51233" w:rsidRPr="00120504" w:rsidRDefault="00A51233" w:rsidP="003261ED">
            <w:pPr>
              <w:jc w:val="both"/>
              <w:rPr>
                <w:rFonts w:eastAsia="Calibri"/>
                <w:sz w:val="20"/>
                <w:lang w:val="fr-CA"/>
              </w:rPr>
            </w:pPr>
            <w:r w:rsidRPr="00120504">
              <w:rPr>
                <w:rFonts w:eastAsia="Calibri"/>
                <w:sz w:val="20"/>
                <w:lang w:val="fr-CA"/>
              </w:rPr>
              <w:t>(Les juges Chamberland, Thibault et Gagnon)</w:t>
            </w:r>
          </w:p>
          <w:p w:rsidR="00A51233" w:rsidRPr="00120504" w:rsidRDefault="00A51233" w:rsidP="003261ED">
            <w:pPr>
              <w:jc w:val="both"/>
              <w:rPr>
                <w:rFonts w:eastAsia="Calibri"/>
                <w:sz w:val="20"/>
                <w:lang w:val="fr-CA"/>
              </w:rPr>
            </w:pPr>
            <w:r w:rsidRPr="00120504">
              <w:rPr>
                <w:rFonts w:eastAsia="Calibri"/>
                <w:sz w:val="20"/>
                <w:lang w:val="fr-CA"/>
              </w:rPr>
              <w:t>2010 QCCA 1860</w:t>
            </w:r>
          </w:p>
          <w:p w:rsidR="00A51233" w:rsidRPr="00120504" w:rsidRDefault="00A51233" w:rsidP="003261ED">
            <w:pPr>
              <w:jc w:val="both"/>
              <w:rPr>
                <w:rFonts w:eastAsia="Calibri"/>
                <w:sz w:val="20"/>
                <w:lang w:val="fr-CA"/>
              </w:rPr>
            </w:pPr>
          </w:p>
        </w:tc>
        <w:tc>
          <w:tcPr>
            <w:tcW w:w="243" w:type="pct"/>
          </w:tcPr>
          <w:p w:rsidR="00A51233" w:rsidRPr="00120504" w:rsidRDefault="00A51233" w:rsidP="003261ED">
            <w:pPr>
              <w:jc w:val="both"/>
              <w:rPr>
                <w:rFonts w:eastAsia="Calibri"/>
                <w:sz w:val="20"/>
                <w:lang w:val="fr-CA"/>
              </w:rPr>
            </w:pPr>
          </w:p>
        </w:tc>
        <w:tc>
          <w:tcPr>
            <w:tcW w:w="2330" w:type="pct"/>
          </w:tcPr>
          <w:p w:rsidR="00A51233" w:rsidRPr="00120504" w:rsidRDefault="00A51233" w:rsidP="003261ED">
            <w:pPr>
              <w:jc w:val="both"/>
              <w:rPr>
                <w:rFonts w:eastAsia="Calibri"/>
                <w:sz w:val="20"/>
                <w:lang w:val="fr-CA"/>
              </w:rPr>
            </w:pPr>
            <w:r w:rsidRPr="00120504">
              <w:rPr>
                <w:rFonts w:eastAsia="Calibri"/>
                <w:sz w:val="20"/>
                <w:lang w:val="fr-CA"/>
              </w:rPr>
              <w:t>Demande de permission spéciale d’appeler rejetée</w:t>
            </w:r>
          </w:p>
          <w:p w:rsidR="00A51233" w:rsidRPr="00120504" w:rsidRDefault="00A51233" w:rsidP="003261ED">
            <w:pPr>
              <w:jc w:val="both"/>
              <w:rPr>
                <w:rFonts w:eastAsia="Calibri"/>
                <w:sz w:val="20"/>
                <w:lang w:val="fr-CA"/>
              </w:rPr>
            </w:pPr>
          </w:p>
        </w:tc>
      </w:tr>
      <w:tr w:rsidR="00A51233" w:rsidRPr="00120504" w:rsidTr="003261ED">
        <w:tc>
          <w:tcPr>
            <w:tcW w:w="2427" w:type="pct"/>
          </w:tcPr>
          <w:p w:rsidR="00A51233" w:rsidRPr="00120504" w:rsidRDefault="00A51233" w:rsidP="003261ED">
            <w:pPr>
              <w:jc w:val="both"/>
              <w:rPr>
                <w:rFonts w:eastAsia="Calibri"/>
                <w:sz w:val="20"/>
                <w:lang w:val="fr-CA"/>
              </w:rPr>
            </w:pPr>
            <w:r w:rsidRPr="00120504">
              <w:rPr>
                <w:rFonts w:eastAsia="Calibri"/>
                <w:sz w:val="20"/>
                <w:lang w:val="fr-CA"/>
              </w:rPr>
              <w:t>Le 13 décembre 2010</w:t>
            </w:r>
          </w:p>
          <w:p w:rsidR="00A51233" w:rsidRPr="00120504" w:rsidRDefault="00A51233" w:rsidP="003261ED">
            <w:pPr>
              <w:jc w:val="both"/>
              <w:rPr>
                <w:rFonts w:eastAsia="Calibri"/>
                <w:sz w:val="20"/>
                <w:lang w:val="fr-CA"/>
              </w:rPr>
            </w:pPr>
            <w:r w:rsidRPr="00120504">
              <w:rPr>
                <w:rFonts w:eastAsia="Calibri"/>
                <w:sz w:val="20"/>
                <w:lang w:val="fr-CA"/>
              </w:rPr>
              <w:t>Cour suprême du Canada</w:t>
            </w:r>
          </w:p>
        </w:tc>
        <w:tc>
          <w:tcPr>
            <w:tcW w:w="243" w:type="pct"/>
          </w:tcPr>
          <w:p w:rsidR="00A51233" w:rsidRPr="00120504" w:rsidRDefault="00A51233" w:rsidP="003261ED">
            <w:pPr>
              <w:jc w:val="both"/>
              <w:rPr>
                <w:rFonts w:eastAsia="Calibri"/>
                <w:sz w:val="20"/>
                <w:lang w:val="fr-CA"/>
              </w:rPr>
            </w:pPr>
          </w:p>
        </w:tc>
        <w:tc>
          <w:tcPr>
            <w:tcW w:w="2330" w:type="pct"/>
          </w:tcPr>
          <w:p w:rsidR="00A51233" w:rsidRPr="00120504" w:rsidRDefault="00A51233" w:rsidP="003261ED">
            <w:pPr>
              <w:jc w:val="both"/>
              <w:rPr>
                <w:rFonts w:eastAsia="Calibri"/>
                <w:sz w:val="20"/>
                <w:lang w:val="fr-CA"/>
              </w:rPr>
            </w:pPr>
            <w:r w:rsidRPr="00120504">
              <w:rPr>
                <w:rFonts w:eastAsia="Calibri"/>
                <w:sz w:val="20"/>
                <w:lang w:val="fr-CA"/>
              </w:rPr>
              <w:t>Demande d'autorisation d'appel déposée</w:t>
            </w:r>
          </w:p>
          <w:p w:rsidR="00A51233" w:rsidRPr="00120504" w:rsidRDefault="00A51233" w:rsidP="003261ED">
            <w:pPr>
              <w:jc w:val="both"/>
              <w:rPr>
                <w:rFonts w:eastAsia="Calibri"/>
                <w:sz w:val="20"/>
                <w:lang w:val="fr-CA"/>
              </w:rPr>
            </w:pPr>
          </w:p>
        </w:tc>
      </w:tr>
    </w:tbl>
    <w:p w:rsidR="004704BD" w:rsidRDefault="004704BD" w:rsidP="004704BD">
      <w:pPr>
        <w:rPr>
          <w:sz w:val="20"/>
          <w:szCs w:val="20"/>
          <w:lang w:val="fr-CA"/>
        </w:rPr>
      </w:pPr>
    </w:p>
    <w:p w:rsidR="004704BD" w:rsidRDefault="0004334C" w:rsidP="004704BD">
      <w:pPr>
        <w:rPr>
          <w:sz w:val="20"/>
          <w:szCs w:val="20"/>
          <w:lang w:val="fr-CA"/>
        </w:rPr>
      </w:pPr>
      <w:r w:rsidRPr="0004334C">
        <w:rPr>
          <w:sz w:val="20"/>
          <w:szCs w:val="20"/>
          <w:lang w:val="fr-CA"/>
        </w:rPr>
        <w:pict>
          <v:rect id="_x0000_i1067" style="width:2in;height:1pt" o:hrpct="0" o:hralign="center" o:hrstd="t" o:hrnoshade="t" o:hr="t" fillcolor="black [3213]" stroked="f"/>
        </w:pict>
      </w:r>
    </w:p>
    <w:p w:rsidR="004704BD" w:rsidRDefault="004704BD" w:rsidP="004704BD">
      <w:pPr>
        <w:rPr>
          <w:sz w:val="20"/>
          <w:szCs w:val="20"/>
        </w:rPr>
      </w:pPr>
    </w:p>
    <w:p w:rsidR="00986BBB" w:rsidRPr="00C50A5C" w:rsidRDefault="00986BBB" w:rsidP="00092E36">
      <w:pPr>
        <w:ind w:left="1440" w:hanging="1440"/>
        <w:rPr>
          <w:sz w:val="20"/>
          <w:szCs w:val="20"/>
        </w:rPr>
      </w:pPr>
      <w:r w:rsidRPr="00C50A5C">
        <w:rPr>
          <w:b/>
          <w:sz w:val="20"/>
          <w:szCs w:val="20"/>
        </w:rPr>
        <w:t>3</w:t>
      </w:r>
      <w:r w:rsidR="00092E36">
        <w:rPr>
          <w:b/>
          <w:sz w:val="20"/>
          <w:szCs w:val="20"/>
        </w:rPr>
        <w:t>4034</w:t>
      </w:r>
      <w:r w:rsidRPr="00C50A5C">
        <w:rPr>
          <w:sz w:val="20"/>
          <w:szCs w:val="20"/>
        </w:rPr>
        <w:tab/>
      </w:r>
      <w:proofErr w:type="spellStart"/>
      <w:r w:rsidR="00092E36" w:rsidRPr="00092E36">
        <w:rPr>
          <w:rFonts w:eastAsia="Calibri"/>
          <w:b/>
          <w:sz w:val="20"/>
          <w:u w:val="single"/>
        </w:rPr>
        <w:t>Ivanco</w:t>
      </w:r>
      <w:proofErr w:type="spellEnd"/>
      <w:r w:rsidR="00092E36" w:rsidRPr="00092E36">
        <w:rPr>
          <w:rFonts w:eastAsia="Calibri"/>
          <w:b/>
          <w:sz w:val="20"/>
          <w:u w:val="single"/>
        </w:rPr>
        <w:t xml:space="preserve"> </w:t>
      </w:r>
      <w:proofErr w:type="spellStart"/>
      <w:r w:rsidR="00092E36" w:rsidRPr="00092E36">
        <w:rPr>
          <w:rFonts w:eastAsia="Calibri"/>
          <w:b/>
          <w:sz w:val="20"/>
          <w:u w:val="single"/>
        </w:rPr>
        <w:t>Keremelevski</w:t>
      </w:r>
      <w:proofErr w:type="spellEnd"/>
      <w:r w:rsidR="00092E36" w:rsidRPr="00092E36">
        <w:rPr>
          <w:rFonts w:eastAsia="Calibri"/>
          <w:b/>
          <w:sz w:val="20"/>
          <w:u w:val="single"/>
        </w:rPr>
        <w:t xml:space="preserve"> v. </w:t>
      </w:r>
      <w:proofErr w:type="spellStart"/>
      <w:r w:rsidR="00092E36" w:rsidRPr="00092E36">
        <w:rPr>
          <w:rFonts w:eastAsia="Calibri"/>
          <w:b/>
          <w:sz w:val="20"/>
          <w:u w:val="single"/>
        </w:rPr>
        <w:t>Bozidar</w:t>
      </w:r>
      <w:proofErr w:type="spellEnd"/>
      <w:r w:rsidR="00092E36" w:rsidRPr="00092E36">
        <w:rPr>
          <w:rFonts w:eastAsia="Calibri"/>
          <w:b/>
          <w:sz w:val="20"/>
          <w:u w:val="single"/>
        </w:rPr>
        <w:t xml:space="preserve"> </w:t>
      </w:r>
      <w:proofErr w:type="spellStart"/>
      <w:r w:rsidR="00092E36" w:rsidRPr="00092E36">
        <w:rPr>
          <w:rFonts w:eastAsia="Calibri"/>
          <w:b/>
          <w:sz w:val="20"/>
          <w:u w:val="single"/>
        </w:rPr>
        <w:t>Vujicic</w:t>
      </w:r>
      <w:proofErr w:type="spellEnd"/>
      <w:r w:rsidR="00092E36">
        <w:rPr>
          <w:rFonts w:eastAsia="Calibri"/>
          <w:b/>
          <w:sz w:val="20"/>
          <w:u w:val="single"/>
        </w:rPr>
        <w:t xml:space="preserve"> and</w:t>
      </w:r>
      <w:r w:rsidR="00092E36" w:rsidRPr="00092E36">
        <w:rPr>
          <w:rFonts w:eastAsia="Calibri"/>
          <w:b/>
          <w:sz w:val="20"/>
          <w:u w:val="single"/>
        </w:rPr>
        <w:t xml:space="preserve"> Svetlana </w:t>
      </w:r>
      <w:proofErr w:type="spellStart"/>
      <w:r w:rsidR="00092E36" w:rsidRPr="00092E36">
        <w:rPr>
          <w:rFonts w:eastAsia="Calibri"/>
          <w:b/>
          <w:sz w:val="20"/>
          <w:u w:val="single"/>
        </w:rPr>
        <w:t>Vujicic</w:t>
      </w:r>
      <w:proofErr w:type="spellEnd"/>
      <w:r w:rsidR="00092E36" w:rsidRPr="00092E36">
        <w:rPr>
          <w:rFonts w:eastAsia="Calibri"/>
          <w:b/>
          <w:sz w:val="20"/>
          <w:u w:val="single"/>
        </w:rPr>
        <w:t xml:space="preserve"> </w:t>
      </w:r>
      <w:r w:rsidR="00092E36" w:rsidRPr="00120504">
        <w:rPr>
          <w:rFonts w:eastAsia="Calibri"/>
          <w:sz w:val="20"/>
        </w:rPr>
        <w:t>(B.C.) (Civil) (By leave)</w:t>
      </w:r>
    </w:p>
    <w:p w:rsidR="00986BBB" w:rsidRPr="00C50A5C" w:rsidRDefault="00986BBB" w:rsidP="00986BBB">
      <w:pPr>
        <w:rPr>
          <w:sz w:val="20"/>
          <w:szCs w:val="20"/>
        </w:rPr>
      </w:pPr>
    </w:p>
    <w:p w:rsidR="00986BBB" w:rsidRPr="00C50A5C" w:rsidRDefault="00986BBB" w:rsidP="00986BBB">
      <w:pPr>
        <w:ind w:left="1440" w:hanging="1440"/>
        <w:rPr>
          <w:sz w:val="20"/>
          <w:szCs w:val="20"/>
        </w:rPr>
      </w:pPr>
      <w:proofErr w:type="gramStart"/>
      <w:r w:rsidRPr="00C50A5C">
        <w:rPr>
          <w:sz w:val="20"/>
          <w:szCs w:val="20"/>
        </w:rPr>
        <w:t>Coram :</w:t>
      </w:r>
      <w:proofErr w:type="gramEnd"/>
      <w:r w:rsidRPr="00C50A5C">
        <w:rPr>
          <w:sz w:val="20"/>
          <w:szCs w:val="20"/>
        </w:rPr>
        <w:tab/>
      </w:r>
      <w:proofErr w:type="spellStart"/>
      <w:r w:rsidRPr="00C50A5C">
        <w:rPr>
          <w:sz w:val="20"/>
          <w:szCs w:val="20"/>
          <w:u w:val="single"/>
        </w:rPr>
        <w:t>L</w:t>
      </w:r>
      <w:r w:rsidR="00092E36">
        <w:rPr>
          <w:sz w:val="20"/>
          <w:szCs w:val="20"/>
          <w:u w:val="single"/>
        </w:rPr>
        <w:t>ebe</w:t>
      </w:r>
      <w:r w:rsidRPr="00C50A5C">
        <w:rPr>
          <w:sz w:val="20"/>
          <w:szCs w:val="20"/>
          <w:u w:val="single"/>
        </w:rPr>
        <w:t>l</w:t>
      </w:r>
      <w:proofErr w:type="spellEnd"/>
      <w:r w:rsidR="00092E36">
        <w:rPr>
          <w:sz w:val="20"/>
          <w:szCs w:val="20"/>
          <w:u w:val="single"/>
        </w:rPr>
        <w:t xml:space="preserve">, </w:t>
      </w:r>
      <w:proofErr w:type="spellStart"/>
      <w:r w:rsidR="00092E36">
        <w:rPr>
          <w:sz w:val="20"/>
          <w:szCs w:val="20"/>
          <w:u w:val="single"/>
        </w:rPr>
        <w:t>Deschamps</w:t>
      </w:r>
      <w:proofErr w:type="spellEnd"/>
      <w:r w:rsidRPr="00C50A5C">
        <w:rPr>
          <w:sz w:val="20"/>
          <w:szCs w:val="20"/>
          <w:u w:val="single"/>
        </w:rPr>
        <w:t xml:space="preserve"> and </w:t>
      </w:r>
      <w:proofErr w:type="spellStart"/>
      <w:r w:rsidR="00092E36">
        <w:rPr>
          <w:sz w:val="20"/>
          <w:szCs w:val="20"/>
          <w:u w:val="single"/>
        </w:rPr>
        <w:t>Charron</w:t>
      </w:r>
      <w:proofErr w:type="spellEnd"/>
      <w:r w:rsidRPr="00C50A5C">
        <w:rPr>
          <w:sz w:val="20"/>
          <w:szCs w:val="20"/>
          <w:u w:val="single"/>
        </w:rPr>
        <w:t xml:space="preserve"> JJ.</w:t>
      </w:r>
    </w:p>
    <w:p w:rsidR="004704BD" w:rsidRDefault="004704BD" w:rsidP="004704BD">
      <w:pPr>
        <w:rPr>
          <w:sz w:val="20"/>
          <w:szCs w:val="20"/>
        </w:rPr>
      </w:pPr>
    </w:p>
    <w:p w:rsidR="00092E36" w:rsidRDefault="00092E36" w:rsidP="00092E36">
      <w:pPr>
        <w:jc w:val="both"/>
        <w:rPr>
          <w:sz w:val="20"/>
          <w:szCs w:val="20"/>
        </w:rPr>
      </w:pPr>
      <w:r>
        <w:rPr>
          <w:sz w:val="20"/>
          <w:szCs w:val="20"/>
        </w:rPr>
        <w:lastRenderedPageBreak/>
        <w:tab/>
      </w:r>
      <w:r w:rsidRPr="005122DC">
        <w:rPr>
          <w:sz w:val="20"/>
          <w:szCs w:val="20"/>
        </w:rPr>
        <w:t>The motion for an extension of time to serve and file the application for leave to appeal from the judgment of the Court of Appeal for British Columbia (Vancouver), Number CA037662, 2010 BCCA 68, dated February 5, 2010, is dismissed without costs.</w:t>
      </w:r>
    </w:p>
    <w:p w:rsidR="00092E36" w:rsidRDefault="00092E36" w:rsidP="00092E36">
      <w:pPr>
        <w:jc w:val="both"/>
        <w:rPr>
          <w:sz w:val="20"/>
          <w:szCs w:val="20"/>
        </w:rPr>
      </w:pPr>
    </w:p>
    <w:p w:rsidR="00092E36" w:rsidRPr="00092E36" w:rsidRDefault="00092E36" w:rsidP="00092E36">
      <w:pPr>
        <w:jc w:val="both"/>
        <w:rPr>
          <w:sz w:val="20"/>
          <w:szCs w:val="20"/>
          <w:lang w:val="fr-CA"/>
        </w:rPr>
      </w:pPr>
      <w:r w:rsidRPr="005F3D4C">
        <w:rPr>
          <w:sz w:val="20"/>
          <w:szCs w:val="20"/>
        </w:rPr>
        <w:tab/>
      </w:r>
      <w:r w:rsidRPr="005122DC">
        <w:rPr>
          <w:sz w:val="20"/>
          <w:szCs w:val="20"/>
          <w:lang w:val="fr-CA"/>
        </w:rPr>
        <w:t>La requête en prorogation du délai de signification et de dépôt de la demande d’autorisation d’appel de l’arrêt de la Cour d’appel de la Colombie-Britannique (Vancouver), numéro CA037662, 2010 BCCA 68, daté du 5 février 2010, est rejetée sans dépens.</w:t>
      </w:r>
    </w:p>
    <w:p w:rsidR="00092E36" w:rsidRPr="00092E36" w:rsidRDefault="00092E36" w:rsidP="004704BD">
      <w:pPr>
        <w:rPr>
          <w:sz w:val="20"/>
          <w:szCs w:val="20"/>
          <w:lang w:val="fr-CA"/>
        </w:rPr>
      </w:pPr>
    </w:p>
    <w:p w:rsidR="004704BD" w:rsidRDefault="004704BD" w:rsidP="004704BD">
      <w:pPr>
        <w:rPr>
          <w:sz w:val="20"/>
          <w:szCs w:val="20"/>
        </w:rPr>
      </w:pPr>
      <w:r>
        <w:rPr>
          <w:sz w:val="20"/>
          <w:szCs w:val="20"/>
          <w:u w:val="single"/>
        </w:rPr>
        <w:t>CASE SUMMARY</w:t>
      </w:r>
    </w:p>
    <w:p w:rsidR="004704BD" w:rsidRDefault="004704BD" w:rsidP="004704BD">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A51233" w:rsidRPr="00120504" w:rsidTr="003261ED">
        <w:tc>
          <w:tcPr>
            <w:tcW w:w="5000" w:type="pct"/>
            <w:gridSpan w:val="3"/>
          </w:tcPr>
          <w:p w:rsidR="00A51233" w:rsidRPr="00120504" w:rsidRDefault="00A51233" w:rsidP="003261ED">
            <w:pPr>
              <w:jc w:val="both"/>
              <w:rPr>
                <w:rFonts w:eastAsia="Calibri"/>
                <w:sz w:val="20"/>
              </w:rPr>
            </w:pPr>
            <w:r w:rsidRPr="00120504">
              <w:rPr>
                <w:rFonts w:eastAsia="Calibri"/>
                <w:sz w:val="20"/>
              </w:rPr>
              <w:t xml:space="preserve">Civil procedure - Appeals – Whether Applicant received fair hearing in the lower courts – Whether Applicant’s applications have </w:t>
            </w:r>
            <w:proofErr w:type="spellStart"/>
            <w:r w:rsidRPr="00120504">
              <w:rPr>
                <w:rFonts w:eastAsia="Calibri"/>
                <w:sz w:val="20"/>
              </w:rPr>
              <w:t>been.misconceived</w:t>
            </w:r>
            <w:proofErr w:type="spellEnd"/>
            <w:r w:rsidRPr="00120504">
              <w:rPr>
                <w:rFonts w:eastAsia="Calibri"/>
                <w:sz w:val="20"/>
              </w:rPr>
              <w:t xml:space="preserve"> or dealt with inappropriately - Whether Applicant was prejudiced or treated unfairly</w:t>
            </w:r>
          </w:p>
          <w:p w:rsidR="00A51233" w:rsidRPr="00120504" w:rsidRDefault="00A51233" w:rsidP="003261ED">
            <w:pPr>
              <w:jc w:val="both"/>
              <w:rPr>
                <w:rFonts w:eastAsia="Calibri"/>
                <w:sz w:val="20"/>
              </w:rPr>
            </w:pPr>
          </w:p>
        </w:tc>
      </w:tr>
      <w:tr w:rsidR="00A51233" w:rsidRPr="00120504" w:rsidTr="003261ED">
        <w:tc>
          <w:tcPr>
            <w:tcW w:w="5000" w:type="pct"/>
            <w:gridSpan w:val="3"/>
          </w:tcPr>
          <w:p w:rsidR="00A51233" w:rsidRPr="00120504" w:rsidRDefault="00A51233" w:rsidP="003261ED">
            <w:pPr>
              <w:jc w:val="both"/>
              <w:rPr>
                <w:rFonts w:eastAsia="Calibri"/>
                <w:sz w:val="20"/>
              </w:rPr>
            </w:pPr>
            <w:r w:rsidRPr="00120504">
              <w:rPr>
                <w:rFonts w:eastAsia="Calibri"/>
                <w:sz w:val="20"/>
              </w:rPr>
              <w:t xml:space="preserve">Mr. </w:t>
            </w:r>
            <w:proofErr w:type="spellStart"/>
            <w:r w:rsidRPr="00120504">
              <w:rPr>
                <w:rFonts w:eastAsia="Calibri"/>
                <w:sz w:val="20"/>
              </w:rPr>
              <w:t>Keremelevski</w:t>
            </w:r>
            <w:proofErr w:type="spellEnd"/>
            <w:r w:rsidRPr="00120504">
              <w:rPr>
                <w:rFonts w:eastAsia="Calibri"/>
                <w:sz w:val="20"/>
              </w:rPr>
              <w:t xml:space="preserve"> brought applications for leave to appeal, for orders to cancel previous court orders and other procedural matters.</w:t>
            </w:r>
          </w:p>
          <w:p w:rsidR="00A51233" w:rsidRPr="00120504" w:rsidRDefault="00A51233" w:rsidP="003261ED">
            <w:pPr>
              <w:jc w:val="both"/>
              <w:rPr>
                <w:rFonts w:eastAsia="Calibri"/>
                <w:sz w:val="20"/>
              </w:rPr>
            </w:pPr>
          </w:p>
        </w:tc>
      </w:tr>
      <w:tr w:rsidR="00A51233" w:rsidRPr="00120504" w:rsidTr="003261ED">
        <w:tc>
          <w:tcPr>
            <w:tcW w:w="2427" w:type="pct"/>
          </w:tcPr>
          <w:p w:rsidR="00A51233" w:rsidRPr="00120504" w:rsidRDefault="00A51233" w:rsidP="003261ED">
            <w:pPr>
              <w:jc w:val="both"/>
              <w:rPr>
                <w:rFonts w:eastAsia="Calibri"/>
                <w:sz w:val="20"/>
              </w:rPr>
            </w:pPr>
            <w:r w:rsidRPr="00120504">
              <w:rPr>
                <w:rFonts w:eastAsia="Calibri"/>
                <w:sz w:val="20"/>
              </w:rPr>
              <w:t>December 11, 2009</w:t>
            </w:r>
          </w:p>
          <w:p w:rsidR="00A51233" w:rsidRPr="00120504" w:rsidRDefault="00A51233" w:rsidP="003261ED">
            <w:pPr>
              <w:jc w:val="both"/>
              <w:rPr>
                <w:rFonts w:eastAsia="Calibri"/>
                <w:sz w:val="20"/>
              </w:rPr>
            </w:pPr>
            <w:r w:rsidRPr="00120504">
              <w:rPr>
                <w:rFonts w:eastAsia="Calibri"/>
                <w:sz w:val="20"/>
              </w:rPr>
              <w:t>Court of Appeal for British Columbia</w:t>
            </w:r>
          </w:p>
          <w:p w:rsidR="00A51233" w:rsidRPr="00120504" w:rsidRDefault="00A51233" w:rsidP="003261ED">
            <w:pPr>
              <w:jc w:val="both"/>
              <w:rPr>
                <w:rFonts w:eastAsia="Calibri"/>
                <w:sz w:val="20"/>
              </w:rPr>
            </w:pPr>
            <w:r w:rsidRPr="00120504">
              <w:rPr>
                <w:rFonts w:eastAsia="Calibri"/>
                <w:sz w:val="20"/>
              </w:rPr>
              <w:t>(Frankel J.A.)</w:t>
            </w:r>
          </w:p>
          <w:p w:rsidR="00A51233" w:rsidRPr="00120504" w:rsidRDefault="00A51233" w:rsidP="003261ED">
            <w:pPr>
              <w:jc w:val="both"/>
              <w:rPr>
                <w:rFonts w:eastAsia="Calibri"/>
                <w:sz w:val="20"/>
              </w:rPr>
            </w:pPr>
            <w:r w:rsidRPr="00120504">
              <w:rPr>
                <w:rFonts w:eastAsia="Calibri"/>
                <w:sz w:val="20"/>
              </w:rPr>
              <w:t>Unreported</w:t>
            </w:r>
          </w:p>
          <w:p w:rsidR="00A51233" w:rsidRPr="00120504" w:rsidRDefault="00A51233" w:rsidP="003261ED">
            <w:pPr>
              <w:jc w:val="both"/>
              <w:rPr>
                <w:rFonts w:eastAsia="Calibri"/>
                <w:sz w:val="20"/>
              </w:rPr>
            </w:pPr>
          </w:p>
        </w:tc>
        <w:tc>
          <w:tcPr>
            <w:tcW w:w="243" w:type="pct"/>
          </w:tcPr>
          <w:p w:rsidR="00A51233" w:rsidRPr="00120504" w:rsidRDefault="00A51233" w:rsidP="003261ED">
            <w:pPr>
              <w:jc w:val="both"/>
              <w:rPr>
                <w:rFonts w:eastAsia="Calibri"/>
                <w:sz w:val="20"/>
              </w:rPr>
            </w:pPr>
          </w:p>
        </w:tc>
        <w:tc>
          <w:tcPr>
            <w:tcW w:w="2330" w:type="pct"/>
          </w:tcPr>
          <w:p w:rsidR="00A51233" w:rsidRPr="00120504" w:rsidRDefault="00A51233" w:rsidP="003261ED">
            <w:pPr>
              <w:jc w:val="both"/>
              <w:rPr>
                <w:rFonts w:eastAsia="Calibri"/>
                <w:sz w:val="20"/>
              </w:rPr>
            </w:pPr>
            <w:r w:rsidRPr="00120504">
              <w:rPr>
                <w:rFonts w:eastAsia="Calibri"/>
                <w:sz w:val="20"/>
              </w:rPr>
              <w:t>Application for leave to appeal, for indigent status and for orders concerning the defendants dismissed</w:t>
            </w:r>
          </w:p>
        </w:tc>
      </w:tr>
      <w:tr w:rsidR="00A51233" w:rsidRPr="00120504" w:rsidTr="003261ED">
        <w:tc>
          <w:tcPr>
            <w:tcW w:w="2427" w:type="pct"/>
          </w:tcPr>
          <w:p w:rsidR="00A51233" w:rsidRPr="00120504" w:rsidRDefault="00A51233" w:rsidP="003261ED">
            <w:pPr>
              <w:jc w:val="both"/>
              <w:rPr>
                <w:rFonts w:eastAsia="Calibri"/>
                <w:sz w:val="20"/>
              </w:rPr>
            </w:pPr>
            <w:r w:rsidRPr="00120504">
              <w:rPr>
                <w:rFonts w:eastAsia="Calibri"/>
                <w:sz w:val="20"/>
              </w:rPr>
              <w:t>February 5, 2010</w:t>
            </w:r>
          </w:p>
          <w:p w:rsidR="00A51233" w:rsidRPr="00120504" w:rsidRDefault="00A51233" w:rsidP="003261ED">
            <w:pPr>
              <w:jc w:val="both"/>
              <w:rPr>
                <w:rFonts w:eastAsia="Calibri"/>
                <w:sz w:val="20"/>
              </w:rPr>
            </w:pPr>
            <w:r w:rsidRPr="00120504">
              <w:rPr>
                <w:rFonts w:eastAsia="Calibri"/>
                <w:sz w:val="20"/>
              </w:rPr>
              <w:t>Court of Appeal for British Columbia</w:t>
            </w:r>
          </w:p>
          <w:p w:rsidR="00A51233" w:rsidRPr="00120504" w:rsidRDefault="00A51233" w:rsidP="003261ED">
            <w:pPr>
              <w:jc w:val="both"/>
              <w:rPr>
                <w:rFonts w:eastAsia="Calibri"/>
                <w:sz w:val="20"/>
              </w:rPr>
            </w:pPr>
            <w:r w:rsidRPr="00120504">
              <w:rPr>
                <w:rFonts w:eastAsia="Calibri"/>
                <w:sz w:val="20"/>
              </w:rPr>
              <w:t xml:space="preserve">(Levine, </w:t>
            </w:r>
            <w:proofErr w:type="spellStart"/>
            <w:r w:rsidRPr="00120504">
              <w:rPr>
                <w:rFonts w:eastAsia="Calibri"/>
                <w:sz w:val="20"/>
              </w:rPr>
              <w:t>Groberman</w:t>
            </w:r>
            <w:proofErr w:type="spellEnd"/>
            <w:r w:rsidRPr="00120504">
              <w:rPr>
                <w:rFonts w:eastAsia="Calibri"/>
                <w:sz w:val="20"/>
              </w:rPr>
              <w:t xml:space="preserve"> and Garson JJ.A.)</w:t>
            </w:r>
          </w:p>
          <w:p w:rsidR="00A51233" w:rsidRPr="00120504" w:rsidRDefault="00A51233" w:rsidP="003261ED">
            <w:pPr>
              <w:jc w:val="both"/>
              <w:rPr>
                <w:rFonts w:eastAsia="Calibri"/>
                <w:sz w:val="20"/>
              </w:rPr>
            </w:pPr>
            <w:r w:rsidRPr="00120504">
              <w:rPr>
                <w:rFonts w:eastAsia="Calibri"/>
                <w:sz w:val="20"/>
              </w:rPr>
              <w:t>2010 BCCA 68</w:t>
            </w:r>
          </w:p>
          <w:p w:rsidR="00A51233" w:rsidRPr="00120504" w:rsidRDefault="00A51233" w:rsidP="003261ED">
            <w:pPr>
              <w:jc w:val="both"/>
              <w:rPr>
                <w:rFonts w:eastAsia="Calibri"/>
                <w:sz w:val="20"/>
              </w:rPr>
            </w:pPr>
            <w:r w:rsidRPr="00120504">
              <w:rPr>
                <w:rFonts w:eastAsia="Calibri"/>
                <w:sz w:val="20"/>
              </w:rPr>
              <w:t>Docket: CA037662</w:t>
            </w:r>
          </w:p>
          <w:p w:rsidR="00A51233" w:rsidRPr="00120504" w:rsidRDefault="00A51233" w:rsidP="003261ED">
            <w:pPr>
              <w:jc w:val="both"/>
              <w:rPr>
                <w:rFonts w:eastAsia="Calibri"/>
                <w:sz w:val="20"/>
              </w:rPr>
            </w:pPr>
          </w:p>
        </w:tc>
        <w:tc>
          <w:tcPr>
            <w:tcW w:w="243" w:type="pct"/>
          </w:tcPr>
          <w:p w:rsidR="00A51233" w:rsidRPr="00120504" w:rsidRDefault="00A51233" w:rsidP="003261ED">
            <w:pPr>
              <w:jc w:val="both"/>
              <w:rPr>
                <w:rFonts w:eastAsia="Calibri"/>
                <w:sz w:val="20"/>
              </w:rPr>
            </w:pPr>
          </w:p>
        </w:tc>
        <w:tc>
          <w:tcPr>
            <w:tcW w:w="2330" w:type="pct"/>
          </w:tcPr>
          <w:p w:rsidR="00A51233" w:rsidRPr="00120504" w:rsidRDefault="00A51233" w:rsidP="003261ED">
            <w:pPr>
              <w:jc w:val="both"/>
              <w:rPr>
                <w:rFonts w:eastAsia="Calibri"/>
                <w:sz w:val="20"/>
              </w:rPr>
            </w:pPr>
            <w:r w:rsidRPr="00120504">
              <w:rPr>
                <w:rFonts w:eastAsia="Calibri"/>
                <w:sz w:val="20"/>
              </w:rPr>
              <w:t>Application to review previous court of appeal orders dismissed</w:t>
            </w:r>
          </w:p>
        </w:tc>
      </w:tr>
      <w:tr w:rsidR="00A51233" w:rsidRPr="00120504" w:rsidTr="003261ED">
        <w:tc>
          <w:tcPr>
            <w:tcW w:w="2427" w:type="pct"/>
          </w:tcPr>
          <w:p w:rsidR="00A51233" w:rsidRPr="00120504" w:rsidRDefault="00A51233" w:rsidP="003261ED">
            <w:pPr>
              <w:jc w:val="both"/>
              <w:rPr>
                <w:rFonts w:eastAsia="Calibri"/>
                <w:sz w:val="20"/>
              </w:rPr>
            </w:pPr>
            <w:r w:rsidRPr="00120504">
              <w:rPr>
                <w:rFonts w:eastAsia="Calibri"/>
                <w:sz w:val="20"/>
              </w:rPr>
              <w:t>September 16, 2010</w:t>
            </w:r>
          </w:p>
          <w:p w:rsidR="00A51233" w:rsidRPr="00120504" w:rsidRDefault="00A51233" w:rsidP="003261ED">
            <w:pPr>
              <w:jc w:val="both"/>
              <w:rPr>
                <w:rFonts w:eastAsia="Calibri"/>
                <w:sz w:val="20"/>
              </w:rPr>
            </w:pPr>
            <w:r w:rsidRPr="00120504">
              <w:rPr>
                <w:rFonts w:eastAsia="Calibri"/>
                <w:sz w:val="20"/>
              </w:rPr>
              <w:t>Supreme Court of Canada</w:t>
            </w:r>
          </w:p>
        </w:tc>
        <w:tc>
          <w:tcPr>
            <w:tcW w:w="243" w:type="pct"/>
          </w:tcPr>
          <w:p w:rsidR="00A51233" w:rsidRPr="00120504" w:rsidRDefault="00A51233" w:rsidP="003261ED">
            <w:pPr>
              <w:jc w:val="both"/>
              <w:rPr>
                <w:rFonts w:eastAsia="Calibri"/>
                <w:sz w:val="20"/>
              </w:rPr>
            </w:pPr>
          </w:p>
        </w:tc>
        <w:tc>
          <w:tcPr>
            <w:tcW w:w="2330" w:type="pct"/>
          </w:tcPr>
          <w:p w:rsidR="00A51233" w:rsidRPr="00120504" w:rsidRDefault="00A51233" w:rsidP="003261ED">
            <w:pPr>
              <w:jc w:val="both"/>
              <w:rPr>
                <w:rFonts w:eastAsia="Calibri"/>
                <w:sz w:val="20"/>
              </w:rPr>
            </w:pPr>
            <w:r w:rsidRPr="00120504">
              <w:rPr>
                <w:rFonts w:eastAsia="Calibri"/>
                <w:sz w:val="20"/>
              </w:rPr>
              <w:t>Application for leave to appeal filed and motion for extension of time filed</w:t>
            </w:r>
          </w:p>
        </w:tc>
      </w:tr>
    </w:tbl>
    <w:p w:rsidR="004704BD" w:rsidRPr="004704BD" w:rsidRDefault="004704BD" w:rsidP="004704BD">
      <w:pPr>
        <w:rPr>
          <w:sz w:val="20"/>
          <w:szCs w:val="20"/>
        </w:rPr>
      </w:pPr>
    </w:p>
    <w:p w:rsidR="004704BD" w:rsidRDefault="0004334C" w:rsidP="004704BD">
      <w:pPr>
        <w:rPr>
          <w:sz w:val="20"/>
          <w:szCs w:val="20"/>
          <w:lang w:val="fr-CA"/>
        </w:rPr>
      </w:pPr>
      <w:r w:rsidRPr="0004334C">
        <w:rPr>
          <w:sz w:val="20"/>
          <w:szCs w:val="20"/>
          <w:lang w:val="fr-CA"/>
        </w:rPr>
        <w:pict>
          <v:rect id="_x0000_i1068" style="width:2in;height:1pt" o:hrpct="0" o:hralign="center" o:hrstd="t" o:hrnoshade="t" o:hr="t" fillcolor="black [3213]" stroked="f"/>
        </w:pict>
      </w:r>
    </w:p>
    <w:p w:rsidR="004704BD" w:rsidRDefault="004704BD" w:rsidP="004704BD">
      <w:pPr>
        <w:rPr>
          <w:sz w:val="20"/>
          <w:szCs w:val="20"/>
          <w:lang w:val="fr-CA"/>
        </w:rPr>
      </w:pPr>
    </w:p>
    <w:p w:rsidR="004704BD" w:rsidRPr="004704BD" w:rsidRDefault="004704BD" w:rsidP="004704BD">
      <w:pPr>
        <w:rPr>
          <w:sz w:val="20"/>
          <w:szCs w:val="20"/>
          <w:lang w:val="fr-CA"/>
        </w:rPr>
      </w:pPr>
      <w:r>
        <w:rPr>
          <w:sz w:val="20"/>
          <w:szCs w:val="20"/>
          <w:u w:val="single"/>
          <w:lang w:val="fr-CA"/>
        </w:rPr>
        <w:t>RÉSUMÉ DE L’AFFAIRE</w:t>
      </w:r>
    </w:p>
    <w:p w:rsidR="004704BD" w:rsidRDefault="004704BD" w:rsidP="004704BD">
      <w:pPr>
        <w:rPr>
          <w:sz w:val="20"/>
          <w:szCs w:val="20"/>
          <w:lang w:val="fr-CA"/>
        </w:rPr>
      </w:pPr>
    </w:p>
    <w:tbl>
      <w:tblPr>
        <w:tblW w:w="4952" w:type="pct"/>
        <w:tblInd w:w="2" w:type="dxa"/>
        <w:tblLayout w:type="fixed"/>
        <w:tblCellMar>
          <w:left w:w="0" w:type="dxa"/>
          <w:bottom w:w="99" w:type="dxa"/>
          <w:right w:w="0" w:type="dxa"/>
        </w:tblCellMar>
        <w:tblLook w:val="00A0"/>
      </w:tblPr>
      <w:tblGrid>
        <w:gridCol w:w="4624"/>
        <w:gridCol w:w="463"/>
        <w:gridCol w:w="4440"/>
      </w:tblGrid>
      <w:tr w:rsidR="00A51233" w:rsidRPr="001602E4" w:rsidTr="003261ED">
        <w:tc>
          <w:tcPr>
            <w:tcW w:w="5000" w:type="pct"/>
            <w:gridSpan w:val="3"/>
          </w:tcPr>
          <w:p w:rsidR="00A51233" w:rsidRPr="00120504" w:rsidRDefault="00A51233" w:rsidP="003261ED">
            <w:pPr>
              <w:jc w:val="both"/>
              <w:rPr>
                <w:rFonts w:eastAsia="Calibri"/>
                <w:sz w:val="20"/>
                <w:lang w:val="fr-CA"/>
              </w:rPr>
            </w:pPr>
            <w:r w:rsidRPr="00120504">
              <w:rPr>
                <w:rFonts w:eastAsia="Calibri"/>
                <w:sz w:val="20"/>
                <w:lang w:val="fr-CA"/>
              </w:rPr>
              <w:t>Procédure civile – Appels – L’appelant a-t-il obtenu justice devant les juridictions inférieures? – Les demandes du demandeur ont-elles été mal comprises ou mal traitées? – Le demandeur a-t-il été l’objet de préjugé ou de traitement inéquitable?</w:t>
            </w:r>
          </w:p>
          <w:p w:rsidR="00A51233" w:rsidRPr="00120504" w:rsidRDefault="00A51233" w:rsidP="003261ED">
            <w:pPr>
              <w:jc w:val="both"/>
              <w:rPr>
                <w:rFonts w:eastAsia="Calibri"/>
                <w:sz w:val="20"/>
                <w:lang w:val="fr-CA"/>
              </w:rPr>
            </w:pPr>
          </w:p>
        </w:tc>
      </w:tr>
      <w:tr w:rsidR="00A51233" w:rsidRPr="001602E4" w:rsidTr="003261ED">
        <w:tc>
          <w:tcPr>
            <w:tcW w:w="5000" w:type="pct"/>
            <w:gridSpan w:val="3"/>
          </w:tcPr>
          <w:p w:rsidR="00A51233" w:rsidRPr="00120504" w:rsidRDefault="00A51233" w:rsidP="003261ED">
            <w:pPr>
              <w:jc w:val="both"/>
              <w:rPr>
                <w:rFonts w:eastAsia="Calibri"/>
                <w:sz w:val="20"/>
                <w:lang w:val="fr-CA"/>
              </w:rPr>
            </w:pPr>
            <w:r w:rsidRPr="00120504">
              <w:rPr>
                <w:rFonts w:eastAsia="Calibri"/>
                <w:sz w:val="20"/>
                <w:lang w:val="fr-CA"/>
              </w:rPr>
              <w:t xml:space="preserve">Monsieur </w:t>
            </w:r>
            <w:proofErr w:type="spellStart"/>
            <w:r w:rsidRPr="00120504">
              <w:rPr>
                <w:rFonts w:eastAsia="Calibri"/>
                <w:sz w:val="20"/>
                <w:lang w:val="fr-CA"/>
              </w:rPr>
              <w:t>Keremelevski</w:t>
            </w:r>
            <w:proofErr w:type="spellEnd"/>
            <w:r w:rsidRPr="00120504">
              <w:rPr>
                <w:rFonts w:eastAsia="Calibri"/>
                <w:sz w:val="20"/>
                <w:lang w:val="fr-CA"/>
              </w:rPr>
              <w:t xml:space="preserve"> a présenté des demandes d’autorisations d’appel pour faire annuler des ordonnances judiciaires et portant sur d’autres questions de procédure.</w:t>
            </w:r>
          </w:p>
          <w:p w:rsidR="00A51233" w:rsidRPr="00120504" w:rsidRDefault="00A51233" w:rsidP="003261ED">
            <w:pPr>
              <w:jc w:val="both"/>
              <w:rPr>
                <w:rFonts w:eastAsia="Calibri"/>
                <w:sz w:val="20"/>
                <w:lang w:val="fr-CA"/>
              </w:rPr>
            </w:pPr>
          </w:p>
        </w:tc>
      </w:tr>
      <w:tr w:rsidR="00A51233" w:rsidRPr="001602E4" w:rsidTr="003261ED">
        <w:tc>
          <w:tcPr>
            <w:tcW w:w="2427" w:type="pct"/>
          </w:tcPr>
          <w:p w:rsidR="00A51233" w:rsidRPr="00120504" w:rsidRDefault="00A51233" w:rsidP="003261ED">
            <w:pPr>
              <w:jc w:val="both"/>
              <w:rPr>
                <w:rFonts w:eastAsia="Calibri"/>
                <w:sz w:val="20"/>
                <w:lang w:val="fr-CA"/>
              </w:rPr>
            </w:pPr>
            <w:r w:rsidRPr="00120504">
              <w:rPr>
                <w:rFonts w:eastAsia="Calibri"/>
                <w:sz w:val="20"/>
                <w:lang w:val="fr-CA"/>
              </w:rPr>
              <w:t>11 décembre 2009</w:t>
            </w:r>
          </w:p>
          <w:p w:rsidR="00A51233" w:rsidRPr="00120504" w:rsidRDefault="00A51233" w:rsidP="003261ED">
            <w:pPr>
              <w:jc w:val="both"/>
              <w:rPr>
                <w:rFonts w:eastAsia="Calibri"/>
                <w:sz w:val="20"/>
                <w:lang w:val="fr-CA"/>
              </w:rPr>
            </w:pPr>
            <w:r w:rsidRPr="00120504">
              <w:rPr>
                <w:rFonts w:eastAsia="Calibri"/>
                <w:sz w:val="20"/>
                <w:lang w:val="fr-CA"/>
              </w:rPr>
              <w:t>Cour d’appel de la Colombie-Britannique</w:t>
            </w:r>
          </w:p>
          <w:p w:rsidR="00A51233" w:rsidRPr="00120504" w:rsidRDefault="00A51233" w:rsidP="003261ED">
            <w:pPr>
              <w:jc w:val="both"/>
              <w:rPr>
                <w:rFonts w:eastAsia="Calibri"/>
                <w:sz w:val="20"/>
                <w:lang w:val="fr-CA"/>
              </w:rPr>
            </w:pPr>
            <w:r w:rsidRPr="00120504">
              <w:rPr>
                <w:rFonts w:eastAsia="Calibri"/>
                <w:sz w:val="20"/>
                <w:lang w:val="fr-CA"/>
              </w:rPr>
              <w:t xml:space="preserve">(Juge </w:t>
            </w:r>
            <w:proofErr w:type="spellStart"/>
            <w:r w:rsidRPr="00120504">
              <w:rPr>
                <w:rFonts w:eastAsia="Calibri"/>
                <w:sz w:val="20"/>
                <w:lang w:val="fr-CA"/>
              </w:rPr>
              <w:t>Frankel</w:t>
            </w:r>
            <w:proofErr w:type="spellEnd"/>
            <w:r w:rsidRPr="00120504">
              <w:rPr>
                <w:rFonts w:eastAsia="Calibri"/>
                <w:sz w:val="20"/>
                <w:lang w:val="fr-CA"/>
              </w:rPr>
              <w:t>)</w:t>
            </w:r>
          </w:p>
          <w:p w:rsidR="00A51233" w:rsidRPr="00120504" w:rsidRDefault="00A51233" w:rsidP="003261ED">
            <w:pPr>
              <w:jc w:val="both"/>
              <w:rPr>
                <w:rFonts w:eastAsia="Calibri"/>
                <w:sz w:val="20"/>
                <w:lang w:val="fr-CA"/>
              </w:rPr>
            </w:pPr>
            <w:r w:rsidRPr="00120504">
              <w:rPr>
                <w:rFonts w:eastAsia="Calibri"/>
                <w:sz w:val="20"/>
                <w:lang w:val="fr-CA"/>
              </w:rPr>
              <w:t>Non publié</w:t>
            </w:r>
          </w:p>
          <w:p w:rsidR="00A51233" w:rsidRPr="00120504" w:rsidRDefault="00A51233" w:rsidP="003261ED">
            <w:pPr>
              <w:jc w:val="both"/>
              <w:rPr>
                <w:rFonts w:eastAsia="Calibri"/>
                <w:sz w:val="20"/>
                <w:lang w:val="fr-CA"/>
              </w:rPr>
            </w:pPr>
          </w:p>
        </w:tc>
        <w:tc>
          <w:tcPr>
            <w:tcW w:w="243" w:type="pct"/>
          </w:tcPr>
          <w:p w:rsidR="00A51233" w:rsidRPr="00120504" w:rsidRDefault="00A51233" w:rsidP="003261ED">
            <w:pPr>
              <w:jc w:val="both"/>
              <w:rPr>
                <w:rFonts w:eastAsia="Calibri"/>
                <w:sz w:val="20"/>
                <w:lang w:val="fr-CA"/>
              </w:rPr>
            </w:pPr>
          </w:p>
        </w:tc>
        <w:tc>
          <w:tcPr>
            <w:tcW w:w="2330" w:type="pct"/>
          </w:tcPr>
          <w:p w:rsidR="00A51233" w:rsidRPr="00120504" w:rsidRDefault="00A51233" w:rsidP="003261ED">
            <w:pPr>
              <w:jc w:val="both"/>
              <w:rPr>
                <w:rFonts w:eastAsia="Calibri"/>
                <w:sz w:val="20"/>
                <w:lang w:val="fr-CA"/>
              </w:rPr>
            </w:pPr>
            <w:r w:rsidRPr="00120504">
              <w:rPr>
                <w:rFonts w:eastAsia="Calibri"/>
                <w:sz w:val="20"/>
                <w:lang w:val="fr-CA"/>
              </w:rPr>
              <w:t>Demande d’autorisation d’appel, de reconnaissance de qualité de plaideur sans ressources et d’ordonnances concernant les défendeurs, rejetée</w:t>
            </w:r>
          </w:p>
        </w:tc>
      </w:tr>
      <w:tr w:rsidR="00A51233" w:rsidRPr="001602E4" w:rsidTr="00092E36">
        <w:trPr>
          <w:cantSplit/>
        </w:trPr>
        <w:tc>
          <w:tcPr>
            <w:tcW w:w="2427" w:type="pct"/>
          </w:tcPr>
          <w:p w:rsidR="00A51233" w:rsidRPr="00120504" w:rsidRDefault="00A51233" w:rsidP="003261ED">
            <w:pPr>
              <w:jc w:val="both"/>
              <w:rPr>
                <w:rFonts w:eastAsia="Calibri"/>
                <w:sz w:val="20"/>
                <w:lang w:val="fr-CA"/>
              </w:rPr>
            </w:pPr>
            <w:r w:rsidRPr="00120504">
              <w:rPr>
                <w:rFonts w:eastAsia="Calibri"/>
                <w:sz w:val="20"/>
                <w:lang w:val="fr-CA"/>
              </w:rPr>
              <w:lastRenderedPageBreak/>
              <w:t>5 février 2010</w:t>
            </w:r>
          </w:p>
          <w:p w:rsidR="00A51233" w:rsidRPr="00120504" w:rsidRDefault="00A51233" w:rsidP="003261ED">
            <w:pPr>
              <w:jc w:val="both"/>
              <w:rPr>
                <w:rFonts w:eastAsia="Calibri"/>
                <w:sz w:val="20"/>
                <w:lang w:val="fr-CA"/>
              </w:rPr>
            </w:pPr>
            <w:r w:rsidRPr="00120504">
              <w:rPr>
                <w:rFonts w:eastAsia="Calibri"/>
                <w:sz w:val="20"/>
                <w:lang w:val="fr-CA"/>
              </w:rPr>
              <w:t>Cour d’appel de la Colombie-Britannique</w:t>
            </w:r>
          </w:p>
          <w:p w:rsidR="00A51233" w:rsidRPr="00120504" w:rsidRDefault="00A51233" w:rsidP="003261ED">
            <w:pPr>
              <w:jc w:val="both"/>
              <w:rPr>
                <w:rFonts w:eastAsia="Calibri"/>
                <w:sz w:val="20"/>
                <w:lang w:val="fr-CA"/>
              </w:rPr>
            </w:pPr>
            <w:r w:rsidRPr="00120504">
              <w:rPr>
                <w:rFonts w:eastAsia="Calibri"/>
                <w:sz w:val="20"/>
                <w:lang w:val="fr-CA"/>
              </w:rPr>
              <w:t xml:space="preserve">(Juges </w:t>
            </w:r>
            <w:proofErr w:type="spellStart"/>
            <w:r w:rsidRPr="00120504">
              <w:rPr>
                <w:rFonts w:eastAsia="Calibri"/>
                <w:sz w:val="20"/>
                <w:lang w:val="fr-CA"/>
              </w:rPr>
              <w:t>Levine</w:t>
            </w:r>
            <w:proofErr w:type="spellEnd"/>
            <w:r w:rsidRPr="00120504">
              <w:rPr>
                <w:rFonts w:eastAsia="Calibri"/>
                <w:sz w:val="20"/>
                <w:lang w:val="fr-CA"/>
              </w:rPr>
              <w:t xml:space="preserve">, </w:t>
            </w:r>
            <w:proofErr w:type="spellStart"/>
            <w:r w:rsidRPr="00120504">
              <w:rPr>
                <w:rFonts w:eastAsia="Calibri"/>
                <w:sz w:val="20"/>
                <w:lang w:val="fr-CA"/>
              </w:rPr>
              <w:t>Groberman</w:t>
            </w:r>
            <w:proofErr w:type="spellEnd"/>
            <w:r w:rsidRPr="00120504">
              <w:rPr>
                <w:rFonts w:eastAsia="Calibri"/>
                <w:sz w:val="20"/>
                <w:lang w:val="fr-CA"/>
              </w:rPr>
              <w:t xml:space="preserve"> et </w:t>
            </w:r>
            <w:proofErr w:type="spellStart"/>
            <w:r w:rsidRPr="00120504">
              <w:rPr>
                <w:rFonts w:eastAsia="Calibri"/>
                <w:sz w:val="20"/>
                <w:lang w:val="fr-CA"/>
              </w:rPr>
              <w:t>Garson</w:t>
            </w:r>
            <w:proofErr w:type="spellEnd"/>
            <w:r w:rsidRPr="00120504">
              <w:rPr>
                <w:rFonts w:eastAsia="Calibri"/>
                <w:sz w:val="20"/>
                <w:lang w:val="fr-CA"/>
              </w:rPr>
              <w:t>)</w:t>
            </w:r>
          </w:p>
          <w:p w:rsidR="00A51233" w:rsidRPr="00120504" w:rsidRDefault="00A51233" w:rsidP="003261ED">
            <w:pPr>
              <w:jc w:val="both"/>
              <w:rPr>
                <w:rFonts w:eastAsia="Calibri"/>
                <w:sz w:val="20"/>
              </w:rPr>
            </w:pPr>
            <w:r w:rsidRPr="00120504">
              <w:rPr>
                <w:rFonts w:eastAsia="Calibri"/>
                <w:sz w:val="20"/>
              </w:rPr>
              <w:t>2010 BCCA 68</w:t>
            </w:r>
          </w:p>
          <w:p w:rsidR="00A51233" w:rsidRPr="00120504" w:rsidRDefault="00A51233" w:rsidP="003261ED">
            <w:pPr>
              <w:jc w:val="both"/>
              <w:rPr>
                <w:rFonts w:eastAsia="Calibri"/>
                <w:sz w:val="20"/>
              </w:rPr>
            </w:pPr>
            <w:r w:rsidRPr="00120504">
              <w:rPr>
                <w:rFonts w:eastAsia="Calibri"/>
                <w:sz w:val="20"/>
              </w:rPr>
              <w:t>N</w:t>
            </w:r>
            <w:r w:rsidRPr="00120504">
              <w:rPr>
                <w:rFonts w:eastAsia="Calibri"/>
                <w:sz w:val="20"/>
                <w:vertAlign w:val="superscript"/>
              </w:rPr>
              <w:t>o</w:t>
            </w:r>
            <w:r w:rsidRPr="00120504">
              <w:rPr>
                <w:rFonts w:eastAsia="Calibri"/>
                <w:sz w:val="20"/>
              </w:rPr>
              <w:t xml:space="preserve"> de </w:t>
            </w:r>
            <w:proofErr w:type="spellStart"/>
            <w:r w:rsidRPr="00120504">
              <w:rPr>
                <w:rFonts w:eastAsia="Calibri"/>
                <w:sz w:val="20"/>
              </w:rPr>
              <w:t>greffe</w:t>
            </w:r>
            <w:proofErr w:type="spellEnd"/>
            <w:r w:rsidRPr="00120504">
              <w:rPr>
                <w:rFonts w:eastAsia="Calibri"/>
                <w:sz w:val="20"/>
              </w:rPr>
              <w:t> : CA037662</w:t>
            </w:r>
          </w:p>
          <w:p w:rsidR="00A51233" w:rsidRPr="00120504" w:rsidRDefault="00A51233" w:rsidP="003261ED">
            <w:pPr>
              <w:jc w:val="both"/>
              <w:rPr>
                <w:rFonts w:eastAsia="Calibri"/>
                <w:sz w:val="20"/>
              </w:rPr>
            </w:pPr>
          </w:p>
        </w:tc>
        <w:tc>
          <w:tcPr>
            <w:tcW w:w="243" w:type="pct"/>
          </w:tcPr>
          <w:p w:rsidR="00A51233" w:rsidRPr="00120504" w:rsidRDefault="00A51233" w:rsidP="003261ED">
            <w:pPr>
              <w:jc w:val="both"/>
              <w:rPr>
                <w:rFonts w:eastAsia="Calibri"/>
                <w:sz w:val="20"/>
              </w:rPr>
            </w:pPr>
          </w:p>
        </w:tc>
        <w:tc>
          <w:tcPr>
            <w:tcW w:w="2330" w:type="pct"/>
          </w:tcPr>
          <w:p w:rsidR="00A51233" w:rsidRPr="00120504" w:rsidRDefault="00A51233" w:rsidP="003261ED">
            <w:pPr>
              <w:jc w:val="both"/>
              <w:rPr>
                <w:rFonts w:eastAsia="Calibri"/>
                <w:sz w:val="20"/>
                <w:lang w:val="fr-CA"/>
              </w:rPr>
            </w:pPr>
            <w:r w:rsidRPr="00120504">
              <w:rPr>
                <w:rFonts w:eastAsia="Calibri"/>
                <w:sz w:val="20"/>
                <w:lang w:val="fr-CA"/>
              </w:rPr>
              <w:t>Demande de contrôle d’ordonnances antérieures de la Cour d’appel, rejetée</w:t>
            </w:r>
          </w:p>
        </w:tc>
      </w:tr>
      <w:tr w:rsidR="00A51233" w:rsidRPr="001602E4" w:rsidTr="003261ED">
        <w:tc>
          <w:tcPr>
            <w:tcW w:w="2427" w:type="pct"/>
          </w:tcPr>
          <w:p w:rsidR="00A51233" w:rsidRPr="00120504" w:rsidRDefault="00A51233" w:rsidP="003261ED">
            <w:pPr>
              <w:jc w:val="both"/>
              <w:rPr>
                <w:rFonts w:eastAsia="Calibri"/>
                <w:sz w:val="20"/>
                <w:lang w:val="fr-CA"/>
              </w:rPr>
            </w:pPr>
            <w:r w:rsidRPr="00120504">
              <w:rPr>
                <w:rFonts w:eastAsia="Calibri"/>
                <w:sz w:val="20"/>
                <w:lang w:val="fr-CA"/>
              </w:rPr>
              <w:t>16 septembre 2010</w:t>
            </w:r>
          </w:p>
          <w:p w:rsidR="00A51233" w:rsidRPr="00120504" w:rsidRDefault="00A51233" w:rsidP="003261ED">
            <w:pPr>
              <w:jc w:val="both"/>
              <w:rPr>
                <w:rFonts w:eastAsia="Calibri"/>
                <w:sz w:val="20"/>
                <w:lang w:val="fr-CA"/>
              </w:rPr>
            </w:pPr>
            <w:r w:rsidRPr="00120504">
              <w:rPr>
                <w:rFonts w:eastAsia="Calibri"/>
                <w:sz w:val="20"/>
                <w:lang w:val="fr-CA"/>
              </w:rPr>
              <w:t>Cour suprême du Canada</w:t>
            </w:r>
          </w:p>
        </w:tc>
        <w:tc>
          <w:tcPr>
            <w:tcW w:w="243" w:type="pct"/>
          </w:tcPr>
          <w:p w:rsidR="00A51233" w:rsidRPr="00120504" w:rsidRDefault="00A51233" w:rsidP="003261ED">
            <w:pPr>
              <w:jc w:val="both"/>
              <w:rPr>
                <w:rFonts w:eastAsia="Calibri"/>
                <w:sz w:val="20"/>
                <w:lang w:val="fr-CA"/>
              </w:rPr>
            </w:pPr>
          </w:p>
        </w:tc>
        <w:tc>
          <w:tcPr>
            <w:tcW w:w="2330" w:type="pct"/>
          </w:tcPr>
          <w:p w:rsidR="00A51233" w:rsidRPr="00120504" w:rsidRDefault="00A51233" w:rsidP="003261ED">
            <w:pPr>
              <w:jc w:val="both"/>
              <w:rPr>
                <w:rFonts w:eastAsia="Calibri"/>
                <w:sz w:val="20"/>
                <w:lang w:val="fr-CA"/>
              </w:rPr>
            </w:pPr>
            <w:r w:rsidRPr="00120504">
              <w:rPr>
                <w:rFonts w:eastAsia="Calibri"/>
                <w:sz w:val="20"/>
                <w:lang w:val="fr-CA"/>
              </w:rPr>
              <w:t>Demande d’autorisation d’appel et requête en prorogation de délai, déposées</w:t>
            </w:r>
          </w:p>
        </w:tc>
      </w:tr>
    </w:tbl>
    <w:p w:rsidR="004704BD" w:rsidRDefault="004704BD" w:rsidP="004704BD">
      <w:pPr>
        <w:rPr>
          <w:sz w:val="20"/>
          <w:szCs w:val="20"/>
          <w:lang w:val="fr-CA"/>
        </w:rPr>
      </w:pPr>
    </w:p>
    <w:p w:rsidR="004704BD" w:rsidRDefault="0004334C" w:rsidP="004704BD">
      <w:pPr>
        <w:rPr>
          <w:sz w:val="20"/>
          <w:szCs w:val="20"/>
          <w:lang w:val="fr-CA"/>
        </w:rPr>
      </w:pPr>
      <w:r w:rsidRPr="0004334C">
        <w:rPr>
          <w:sz w:val="20"/>
          <w:szCs w:val="20"/>
          <w:lang w:val="fr-CA"/>
        </w:rPr>
        <w:pict>
          <v:rect id="_x0000_i1069" style="width:2in;height:1pt" o:hrpct="0" o:hralign="center" o:hrstd="t" o:hrnoshade="t" o:hr="t" fillcolor="black [3213]" stroked="f"/>
        </w:pict>
      </w:r>
    </w:p>
    <w:p w:rsidR="004704BD" w:rsidRPr="004704BD" w:rsidRDefault="004704BD" w:rsidP="004704BD">
      <w:pPr>
        <w:rPr>
          <w:sz w:val="20"/>
          <w:szCs w:val="20"/>
        </w:rPr>
      </w:pPr>
    </w:p>
    <w:p w:rsidR="008D292F" w:rsidRPr="00C50A5C" w:rsidRDefault="008D292F" w:rsidP="008D292F">
      <w:pPr>
        <w:rPr>
          <w:sz w:val="20"/>
          <w:szCs w:val="20"/>
          <w:lang w:val="fr-CA"/>
        </w:rPr>
      </w:pPr>
    </w:p>
    <w:p w:rsidR="00890FEB" w:rsidRPr="00C50A5C" w:rsidRDefault="00890FEB" w:rsidP="008D292F">
      <w:pPr>
        <w:rPr>
          <w:sz w:val="20"/>
          <w:szCs w:val="20"/>
          <w:lang w:val="fr-CA"/>
        </w:rPr>
      </w:pPr>
    </w:p>
    <w:p w:rsidR="00890FEB" w:rsidRPr="00C50A5C" w:rsidRDefault="00890FEB" w:rsidP="008D292F">
      <w:pPr>
        <w:rPr>
          <w:b/>
          <w:sz w:val="20"/>
          <w:szCs w:val="20"/>
          <w:lang w:val="fr-CA"/>
        </w:rPr>
        <w:sectPr w:rsidR="00890FEB" w:rsidRPr="00C50A5C" w:rsidSect="008D292F">
          <w:headerReference w:type="even" r:id="rId23"/>
          <w:headerReference w:type="default" r:id="rId24"/>
          <w:footerReference w:type="even" r:id="rId25"/>
          <w:footerReference w:type="default" r:id="rId26"/>
          <w:headerReference w:type="first" r:id="rId27"/>
          <w:footerReference w:type="first" r:id="rId28"/>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890FEB" w:rsidRPr="001D0D5F" w:rsidTr="00BA6468">
        <w:tc>
          <w:tcPr>
            <w:tcW w:w="4230" w:type="dxa"/>
            <w:shd w:val="clear" w:color="auto" w:fill="auto"/>
            <w:tcMar>
              <w:left w:w="0" w:type="dxa"/>
              <w:right w:w="0" w:type="dxa"/>
            </w:tcMar>
          </w:tcPr>
          <w:p w:rsidR="00890FEB" w:rsidRPr="001D0D5F" w:rsidRDefault="00890FEB" w:rsidP="00EB2B90">
            <w:pPr>
              <w:keepNext/>
              <w:keepLines/>
              <w:tabs>
                <w:tab w:val="left" w:pos="-1440"/>
                <w:tab w:val="left" w:pos="-720"/>
              </w:tabs>
              <w:jc w:val="both"/>
              <w:rPr>
                <w:szCs w:val="24"/>
              </w:rPr>
            </w:pPr>
            <w:r w:rsidRPr="001D0D5F">
              <w:rPr>
                <w:b/>
                <w:szCs w:val="24"/>
              </w:rPr>
              <w:lastRenderedPageBreak/>
              <w:t>MOTIONS</w:t>
            </w:r>
          </w:p>
        </w:tc>
        <w:tc>
          <w:tcPr>
            <w:tcW w:w="1170" w:type="dxa"/>
            <w:shd w:val="clear" w:color="auto" w:fill="auto"/>
            <w:tcMar>
              <w:left w:w="0" w:type="dxa"/>
              <w:right w:w="0" w:type="dxa"/>
            </w:tcMar>
          </w:tcPr>
          <w:p w:rsidR="00890FEB" w:rsidRPr="001D0D5F" w:rsidRDefault="00890FEB" w:rsidP="00890FEB">
            <w:pPr>
              <w:keepNext/>
              <w:keepLines/>
              <w:tabs>
                <w:tab w:val="left" w:pos="-1440"/>
                <w:tab w:val="left" w:pos="-720"/>
              </w:tabs>
              <w:jc w:val="center"/>
              <w:rPr>
                <w:szCs w:val="24"/>
              </w:rPr>
            </w:pPr>
          </w:p>
          <w:p w:rsidR="00890FEB" w:rsidRPr="001D0D5F"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BA6468" w:rsidRDefault="00890FEB" w:rsidP="00831CA9">
            <w:pPr>
              <w:keepNext/>
              <w:keepLines/>
              <w:tabs>
                <w:tab w:val="left" w:pos="-1440"/>
                <w:tab w:val="left" w:pos="-720"/>
              </w:tabs>
              <w:rPr>
                <w:szCs w:val="24"/>
                <w:lang w:val="fr-CA"/>
              </w:rPr>
            </w:pPr>
            <w:r w:rsidRPr="00BA6468">
              <w:rPr>
                <w:b/>
                <w:szCs w:val="24"/>
                <w:lang w:val="fr-CA"/>
              </w:rPr>
              <w:t>REQUÊTES</w:t>
            </w:r>
          </w:p>
        </w:tc>
      </w:tr>
    </w:tbl>
    <w:p w:rsidR="00890FEB" w:rsidRDefault="00890FEB" w:rsidP="00890FEB">
      <w:pPr>
        <w:rPr>
          <w:sz w:val="20"/>
          <w:szCs w:val="20"/>
        </w:rPr>
      </w:pPr>
    </w:p>
    <w:p w:rsidR="009145B5" w:rsidRPr="009145B5" w:rsidRDefault="009145B5" w:rsidP="009145B5">
      <w:pPr>
        <w:jc w:val="both"/>
        <w:rPr>
          <w:sz w:val="20"/>
          <w:szCs w:val="20"/>
        </w:rPr>
      </w:pPr>
      <w:r w:rsidRPr="009145B5">
        <w:rPr>
          <w:sz w:val="20"/>
          <w:szCs w:val="20"/>
        </w:rPr>
        <w:t>02.03.2011</w:t>
      </w:r>
    </w:p>
    <w:p w:rsidR="009145B5" w:rsidRPr="009145B5" w:rsidRDefault="009145B5" w:rsidP="009145B5">
      <w:pPr>
        <w:jc w:val="both"/>
        <w:rPr>
          <w:sz w:val="20"/>
          <w:szCs w:val="20"/>
        </w:rPr>
      </w:pPr>
    </w:p>
    <w:p w:rsidR="009145B5" w:rsidRPr="009145B5" w:rsidRDefault="009145B5" w:rsidP="009145B5">
      <w:pPr>
        <w:jc w:val="both"/>
        <w:rPr>
          <w:sz w:val="20"/>
          <w:szCs w:val="20"/>
          <w:lang w:val="fr-CA"/>
        </w:rPr>
      </w:pPr>
      <w:proofErr w:type="spellStart"/>
      <w:r w:rsidRPr="009145B5">
        <w:rPr>
          <w:sz w:val="20"/>
          <w:szCs w:val="20"/>
          <w:lang w:val="fr-CA"/>
        </w:rPr>
        <w:t>Before</w:t>
      </w:r>
      <w:proofErr w:type="spellEnd"/>
      <w:r w:rsidRPr="009145B5">
        <w:rPr>
          <w:sz w:val="20"/>
          <w:szCs w:val="20"/>
          <w:lang w:val="fr-CA"/>
        </w:rPr>
        <w:t xml:space="preserve"> / Devant:   THE REGISTRAR / LE REGISTRAIRE</w:t>
      </w:r>
    </w:p>
    <w:p w:rsidR="009145B5" w:rsidRPr="009145B5" w:rsidRDefault="009145B5" w:rsidP="009145B5">
      <w:pPr>
        <w:tabs>
          <w:tab w:val="left" w:pos="-1440"/>
          <w:tab w:val="left" w:pos="-720"/>
        </w:tabs>
        <w:jc w:val="both"/>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2970"/>
        <w:gridCol w:w="1170"/>
        <w:gridCol w:w="4327"/>
      </w:tblGrid>
      <w:tr w:rsidR="009145B5" w:rsidRPr="001602E4" w:rsidTr="00387177">
        <w:tc>
          <w:tcPr>
            <w:tcW w:w="4338" w:type="dxa"/>
            <w:gridSpan w:val="2"/>
          </w:tcPr>
          <w:p w:rsidR="009145B5" w:rsidRPr="009145B5" w:rsidRDefault="009145B5" w:rsidP="00387177">
            <w:pPr>
              <w:rPr>
                <w:b/>
                <w:sz w:val="20"/>
                <w:szCs w:val="20"/>
              </w:rPr>
            </w:pPr>
            <w:r w:rsidRPr="009145B5">
              <w:rPr>
                <w:b/>
                <w:sz w:val="20"/>
                <w:szCs w:val="20"/>
              </w:rPr>
              <w:t>Motion to extend the time to serve and file the book of authorities</w:t>
            </w:r>
            <w:r w:rsidR="0004334C" w:rsidRPr="009145B5">
              <w:rPr>
                <w:sz w:val="20"/>
                <w:szCs w:val="20"/>
              </w:rPr>
              <w:fldChar w:fldCharType="begin"/>
            </w:r>
            <w:r w:rsidRPr="009145B5">
              <w:rPr>
                <w:sz w:val="20"/>
                <w:szCs w:val="20"/>
              </w:rPr>
              <w:instrText xml:space="preserve"> SEQ CHAPTER \h \r 1</w:instrText>
            </w:r>
            <w:r w:rsidR="0004334C" w:rsidRPr="009145B5">
              <w:rPr>
                <w:sz w:val="20"/>
                <w:szCs w:val="20"/>
              </w:rPr>
              <w:fldChar w:fldCharType="end"/>
            </w:r>
          </w:p>
        </w:tc>
        <w:tc>
          <w:tcPr>
            <w:tcW w:w="1170" w:type="dxa"/>
          </w:tcPr>
          <w:p w:rsidR="009145B5" w:rsidRPr="009145B5" w:rsidRDefault="009145B5" w:rsidP="00387177">
            <w:pPr>
              <w:rPr>
                <w:sz w:val="20"/>
                <w:szCs w:val="20"/>
              </w:rPr>
            </w:pPr>
          </w:p>
          <w:p w:rsidR="009145B5" w:rsidRPr="009145B5" w:rsidRDefault="009145B5" w:rsidP="00387177">
            <w:pPr>
              <w:rPr>
                <w:sz w:val="20"/>
                <w:szCs w:val="20"/>
              </w:rPr>
            </w:pPr>
          </w:p>
        </w:tc>
        <w:tc>
          <w:tcPr>
            <w:tcW w:w="4327" w:type="dxa"/>
          </w:tcPr>
          <w:p w:rsidR="009145B5" w:rsidRPr="009145B5" w:rsidRDefault="009145B5" w:rsidP="00387177">
            <w:pPr>
              <w:rPr>
                <w:b/>
                <w:sz w:val="20"/>
                <w:szCs w:val="20"/>
                <w:lang w:val="fr-CA"/>
              </w:rPr>
            </w:pPr>
            <w:r w:rsidRPr="009145B5">
              <w:rPr>
                <w:b/>
                <w:bCs/>
                <w:sz w:val="20"/>
                <w:szCs w:val="20"/>
                <w:lang w:val="fr-CA"/>
              </w:rPr>
              <w:t>Requête en prorogation du délai de signification et de dépôt du recueil de sources</w:t>
            </w:r>
          </w:p>
          <w:p w:rsidR="009145B5" w:rsidRPr="009145B5" w:rsidRDefault="0004334C" w:rsidP="00387177">
            <w:pPr>
              <w:rPr>
                <w:b/>
                <w:sz w:val="20"/>
                <w:szCs w:val="20"/>
                <w:lang w:val="fr-CA"/>
              </w:rPr>
            </w:pPr>
            <w:r w:rsidRPr="009145B5">
              <w:rPr>
                <w:sz w:val="20"/>
                <w:szCs w:val="20"/>
              </w:rPr>
              <w:fldChar w:fldCharType="begin"/>
            </w:r>
            <w:r w:rsidR="009145B5" w:rsidRPr="009145B5">
              <w:rPr>
                <w:sz w:val="20"/>
                <w:szCs w:val="20"/>
                <w:lang w:val="fr-CA"/>
              </w:rPr>
              <w:instrText xml:space="preserve"> SEQ CHAPTER \h \r 1</w:instrText>
            </w:r>
            <w:r w:rsidRPr="009145B5">
              <w:rPr>
                <w:sz w:val="20"/>
                <w:szCs w:val="20"/>
              </w:rPr>
              <w:fldChar w:fldCharType="end"/>
            </w:r>
          </w:p>
        </w:tc>
      </w:tr>
      <w:tr w:rsidR="009145B5" w:rsidRPr="009145B5" w:rsidTr="00387177">
        <w:tc>
          <w:tcPr>
            <w:tcW w:w="1368" w:type="dxa"/>
          </w:tcPr>
          <w:p w:rsidR="009145B5" w:rsidRPr="009145B5" w:rsidRDefault="009145B5" w:rsidP="00387177">
            <w:pPr>
              <w:rPr>
                <w:sz w:val="20"/>
                <w:szCs w:val="20"/>
              </w:rPr>
            </w:pPr>
            <w:r w:rsidRPr="009145B5">
              <w:rPr>
                <w:sz w:val="20"/>
                <w:szCs w:val="20"/>
              </w:rPr>
              <w:t>BY / PAR</w:t>
            </w:r>
          </w:p>
        </w:tc>
        <w:tc>
          <w:tcPr>
            <w:tcW w:w="2970" w:type="dxa"/>
          </w:tcPr>
          <w:p w:rsidR="009145B5" w:rsidRPr="009145B5" w:rsidRDefault="009145B5" w:rsidP="00387177">
            <w:pPr>
              <w:rPr>
                <w:sz w:val="20"/>
                <w:szCs w:val="20"/>
                <w:lang w:val="fr-CA"/>
              </w:rPr>
            </w:pPr>
            <w:r w:rsidRPr="009145B5">
              <w:rPr>
                <w:sz w:val="20"/>
                <w:szCs w:val="20"/>
                <w:lang w:val="fr-CA"/>
              </w:rPr>
              <w:t xml:space="preserve">Attorney General of </w:t>
            </w:r>
            <w:proofErr w:type="spellStart"/>
            <w:r w:rsidRPr="009145B5">
              <w:rPr>
                <w:sz w:val="20"/>
                <w:szCs w:val="20"/>
                <w:lang w:val="fr-CA"/>
              </w:rPr>
              <w:t>Quebec</w:t>
            </w:r>
            <w:proofErr w:type="spellEnd"/>
          </w:p>
        </w:tc>
        <w:tc>
          <w:tcPr>
            <w:tcW w:w="1170" w:type="dxa"/>
          </w:tcPr>
          <w:p w:rsidR="009145B5" w:rsidRPr="009145B5" w:rsidRDefault="009145B5" w:rsidP="00387177">
            <w:pPr>
              <w:rPr>
                <w:sz w:val="20"/>
                <w:szCs w:val="20"/>
                <w:lang w:val="fr-CA"/>
              </w:rPr>
            </w:pPr>
          </w:p>
        </w:tc>
        <w:tc>
          <w:tcPr>
            <w:tcW w:w="4327" w:type="dxa"/>
          </w:tcPr>
          <w:p w:rsidR="009145B5" w:rsidRPr="009145B5" w:rsidRDefault="009145B5" w:rsidP="00387177">
            <w:pPr>
              <w:rPr>
                <w:sz w:val="20"/>
                <w:szCs w:val="20"/>
                <w:lang w:val="fr-CA"/>
              </w:rPr>
            </w:pPr>
          </w:p>
        </w:tc>
      </w:tr>
      <w:tr w:rsidR="009145B5" w:rsidRPr="009145B5" w:rsidTr="00387177">
        <w:tc>
          <w:tcPr>
            <w:tcW w:w="1368" w:type="dxa"/>
          </w:tcPr>
          <w:p w:rsidR="009145B5" w:rsidRPr="009145B5" w:rsidRDefault="009145B5" w:rsidP="00387177">
            <w:pPr>
              <w:rPr>
                <w:sz w:val="20"/>
                <w:szCs w:val="20"/>
                <w:lang w:val="fr-CA"/>
              </w:rPr>
            </w:pPr>
          </w:p>
        </w:tc>
        <w:tc>
          <w:tcPr>
            <w:tcW w:w="2970" w:type="dxa"/>
          </w:tcPr>
          <w:p w:rsidR="009145B5" w:rsidRPr="009145B5" w:rsidRDefault="009145B5" w:rsidP="00387177">
            <w:pPr>
              <w:rPr>
                <w:sz w:val="20"/>
                <w:szCs w:val="20"/>
                <w:lang w:val="fr-CA"/>
              </w:rPr>
            </w:pPr>
          </w:p>
        </w:tc>
        <w:tc>
          <w:tcPr>
            <w:tcW w:w="1170" w:type="dxa"/>
          </w:tcPr>
          <w:p w:rsidR="009145B5" w:rsidRPr="009145B5" w:rsidRDefault="009145B5" w:rsidP="00387177">
            <w:pPr>
              <w:rPr>
                <w:sz w:val="20"/>
                <w:szCs w:val="20"/>
                <w:lang w:val="fr-CA"/>
              </w:rPr>
            </w:pPr>
          </w:p>
        </w:tc>
        <w:tc>
          <w:tcPr>
            <w:tcW w:w="4327" w:type="dxa"/>
          </w:tcPr>
          <w:p w:rsidR="009145B5" w:rsidRPr="009145B5" w:rsidRDefault="009145B5" w:rsidP="00387177">
            <w:pPr>
              <w:rPr>
                <w:sz w:val="20"/>
                <w:szCs w:val="20"/>
                <w:lang w:val="fr-CA"/>
              </w:rPr>
            </w:pPr>
          </w:p>
        </w:tc>
      </w:tr>
      <w:tr w:rsidR="009145B5" w:rsidRPr="009145B5" w:rsidTr="00387177">
        <w:tc>
          <w:tcPr>
            <w:tcW w:w="1368" w:type="dxa"/>
          </w:tcPr>
          <w:p w:rsidR="009145B5" w:rsidRPr="009145B5" w:rsidRDefault="009145B5" w:rsidP="00387177">
            <w:pPr>
              <w:rPr>
                <w:sz w:val="20"/>
                <w:szCs w:val="20"/>
              </w:rPr>
            </w:pPr>
            <w:r w:rsidRPr="009145B5">
              <w:rPr>
                <w:sz w:val="20"/>
                <w:szCs w:val="20"/>
              </w:rPr>
              <w:t>IN / DANS :</w:t>
            </w:r>
          </w:p>
        </w:tc>
        <w:tc>
          <w:tcPr>
            <w:tcW w:w="2970" w:type="dxa"/>
          </w:tcPr>
          <w:p w:rsidR="009145B5" w:rsidRPr="009145B5" w:rsidRDefault="009145B5" w:rsidP="00387177">
            <w:pPr>
              <w:rPr>
                <w:sz w:val="20"/>
                <w:szCs w:val="20"/>
              </w:rPr>
            </w:pPr>
            <w:r w:rsidRPr="009145B5">
              <w:rPr>
                <w:sz w:val="20"/>
                <w:szCs w:val="20"/>
              </w:rPr>
              <w:t>In the Matter of a Reference by Governor in Council concerning the proposed Canadian Securities Act, as set out in Order in Council P.C. 2010-667, dated May 26, 2010 (Can.) (33718)</w:t>
            </w:r>
          </w:p>
        </w:tc>
        <w:tc>
          <w:tcPr>
            <w:tcW w:w="1170" w:type="dxa"/>
          </w:tcPr>
          <w:p w:rsidR="009145B5" w:rsidRPr="009145B5" w:rsidRDefault="009145B5" w:rsidP="00387177">
            <w:pPr>
              <w:rPr>
                <w:sz w:val="20"/>
                <w:szCs w:val="20"/>
              </w:rPr>
            </w:pPr>
          </w:p>
        </w:tc>
        <w:tc>
          <w:tcPr>
            <w:tcW w:w="4327" w:type="dxa"/>
          </w:tcPr>
          <w:p w:rsidR="009145B5" w:rsidRPr="009145B5" w:rsidRDefault="009145B5" w:rsidP="00387177">
            <w:pPr>
              <w:rPr>
                <w:sz w:val="20"/>
                <w:szCs w:val="20"/>
              </w:rPr>
            </w:pPr>
          </w:p>
        </w:tc>
      </w:tr>
    </w:tbl>
    <w:p w:rsidR="009145B5" w:rsidRPr="009145B5" w:rsidRDefault="009145B5" w:rsidP="009145B5">
      <w:pPr>
        <w:tabs>
          <w:tab w:val="left" w:pos="-1440"/>
          <w:tab w:val="left" w:pos="-720"/>
        </w:tabs>
        <w:jc w:val="both"/>
        <w:rPr>
          <w:sz w:val="20"/>
          <w:szCs w:val="20"/>
        </w:rPr>
      </w:pPr>
    </w:p>
    <w:p w:rsidR="009145B5" w:rsidRPr="009145B5" w:rsidRDefault="009145B5" w:rsidP="009145B5">
      <w:pPr>
        <w:tabs>
          <w:tab w:val="left" w:pos="-1440"/>
          <w:tab w:val="left" w:pos="-720"/>
        </w:tabs>
        <w:jc w:val="both"/>
        <w:rPr>
          <w:sz w:val="20"/>
          <w:szCs w:val="20"/>
        </w:rPr>
      </w:pPr>
      <w:r w:rsidRPr="009145B5">
        <w:rPr>
          <w:b/>
          <w:sz w:val="20"/>
          <w:szCs w:val="20"/>
        </w:rPr>
        <w:t>GRANTED / ACCORDÉE</w:t>
      </w:r>
    </w:p>
    <w:p w:rsidR="009145B5" w:rsidRPr="009145B5" w:rsidRDefault="009145B5" w:rsidP="009145B5">
      <w:pPr>
        <w:tabs>
          <w:tab w:val="left" w:pos="-1440"/>
          <w:tab w:val="left" w:pos="-720"/>
        </w:tabs>
        <w:jc w:val="both"/>
        <w:rPr>
          <w:sz w:val="20"/>
          <w:szCs w:val="20"/>
        </w:rPr>
      </w:pPr>
    </w:p>
    <w:p w:rsidR="009145B5" w:rsidRPr="009145B5" w:rsidRDefault="009145B5" w:rsidP="009145B5">
      <w:pPr>
        <w:tabs>
          <w:tab w:val="left" w:pos="-1440"/>
          <w:tab w:val="left" w:pos="-720"/>
        </w:tabs>
        <w:spacing w:line="-19" w:lineRule="auto"/>
        <w:jc w:val="both"/>
        <w:rPr>
          <w:sz w:val="20"/>
          <w:szCs w:val="20"/>
          <w:lang w:val="fr-CA"/>
        </w:rPr>
      </w:pPr>
    </w:p>
    <w:p w:rsidR="009145B5" w:rsidRPr="009145B5" w:rsidRDefault="0004334C" w:rsidP="009145B5">
      <w:pPr>
        <w:tabs>
          <w:tab w:val="left" w:pos="-1440"/>
          <w:tab w:val="left" w:pos="-720"/>
        </w:tabs>
        <w:jc w:val="both"/>
        <w:rPr>
          <w:sz w:val="20"/>
          <w:szCs w:val="20"/>
        </w:rPr>
      </w:pPr>
      <w:r w:rsidRPr="0004334C">
        <w:rPr>
          <w:sz w:val="20"/>
          <w:szCs w:val="20"/>
          <w:lang w:val="fr-CA"/>
        </w:rPr>
        <w:pict>
          <v:rect id="_x0000_i1072" style="width:2in;height:1pt" o:hrpct="0" o:hralign="center" o:hrstd="t" o:hrnoshade="t" o:hr="t" fillcolor="black [3213]" stroked="f"/>
        </w:pict>
      </w:r>
    </w:p>
    <w:p w:rsidR="009145B5" w:rsidRPr="009145B5" w:rsidRDefault="009145B5" w:rsidP="009145B5">
      <w:pPr>
        <w:jc w:val="both"/>
        <w:rPr>
          <w:sz w:val="20"/>
          <w:szCs w:val="20"/>
        </w:rPr>
      </w:pPr>
    </w:p>
    <w:p w:rsidR="009145B5" w:rsidRPr="009145B5" w:rsidRDefault="009145B5" w:rsidP="009145B5">
      <w:pPr>
        <w:tabs>
          <w:tab w:val="left" w:pos="-1440"/>
          <w:tab w:val="left" w:pos="-720"/>
        </w:tabs>
        <w:jc w:val="both"/>
        <w:rPr>
          <w:sz w:val="20"/>
          <w:szCs w:val="20"/>
        </w:rPr>
      </w:pPr>
      <w:r w:rsidRPr="009145B5">
        <w:rPr>
          <w:sz w:val="20"/>
          <w:szCs w:val="20"/>
        </w:rPr>
        <w:t>02.03.2011</w:t>
      </w:r>
    </w:p>
    <w:p w:rsidR="009145B5" w:rsidRPr="009145B5" w:rsidRDefault="009145B5" w:rsidP="009145B5">
      <w:pPr>
        <w:tabs>
          <w:tab w:val="left" w:pos="-1440"/>
          <w:tab w:val="left" w:pos="-720"/>
        </w:tabs>
        <w:jc w:val="both"/>
        <w:rPr>
          <w:sz w:val="20"/>
          <w:szCs w:val="20"/>
        </w:rPr>
      </w:pPr>
    </w:p>
    <w:p w:rsidR="009145B5" w:rsidRPr="009145B5" w:rsidRDefault="009145B5" w:rsidP="009145B5">
      <w:pPr>
        <w:jc w:val="both"/>
        <w:rPr>
          <w:sz w:val="20"/>
          <w:szCs w:val="20"/>
          <w:lang w:val="fr-CA"/>
        </w:rPr>
      </w:pPr>
      <w:proofErr w:type="spellStart"/>
      <w:r w:rsidRPr="009145B5">
        <w:rPr>
          <w:sz w:val="20"/>
          <w:szCs w:val="20"/>
          <w:lang w:val="fr-CA"/>
        </w:rPr>
        <w:t>Before</w:t>
      </w:r>
      <w:proofErr w:type="spellEnd"/>
      <w:r w:rsidRPr="009145B5">
        <w:rPr>
          <w:sz w:val="20"/>
          <w:szCs w:val="20"/>
          <w:lang w:val="fr-CA"/>
        </w:rPr>
        <w:t xml:space="preserve"> / Devant:   THE REGISTRAR / LE REGISTRAIRE</w:t>
      </w:r>
    </w:p>
    <w:p w:rsidR="009145B5" w:rsidRPr="009145B5" w:rsidRDefault="009145B5" w:rsidP="009145B5">
      <w:pPr>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9145B5" w:rsidRPr="001602E4" w:rsidTr="00387177">
        <w:trPr>
          <w:trHeight w:val="151"/>
        </w:trPr>
        <w:tc>
          <w:tcPr>
            <w:tcW w:w="4338" w:type="dxa"/>
          </w:tcPr>
          <w:p w:rsidR="009145B5" w:rsidRPr="009145B5" w:rsidRDefault="0004334C" w:rsidP="00387177">
            <w:pPr>
              <w:tabs>
                <w:tab w:val="left" w:pos="-1440"/>
                <w:tab w:val="left" w:pos="-720"/>
              </w:tabs>
              <w:jc w:val="both"/>
              <w:rPr>
                <w:sz w:val="20"/>
                <w:szCs w:val="20"/>
              </w:rPr>
            </w:pPr>
            <w:r w:rsidRPr="009145B5">
              <w:rPr>
                <w:sz w:val="20"/>
                <w:szCs w:val="20"/>
              </w:rPr>
              <w:fldChar w:fldCharType="begin"/>
            </w:r>
            <w:r w:rsidR="009145B5" w:rsidRPr="009145B5">
              <w:rPr>
                <w:sz w:val="20"/>
                <w:szCs w:val="20"/>
              </w:rPr>
              <w:instrText xml:space="preserve"> SEQ CHAPTER \h \r 1</w:instrText>
            </w:r>
            <w:r w:rsidRPr="009145B5">
              <w:rPr>
                <w:sz w:val="20"/>
                <w:szCs w:val="20"/>
              </w:rPr>
              <w:fldChar w:fldCharType="end"/>
            </w:r>
            <w:r w:rsidR="009145B5" w:rsidRPr="009145B5">
              <w:rPr>
                <w:b/>
                <w:sz w:val="20"/>
                <w:szCs w:val="20"/>
              </w:rPr>
              <w:t xml:space="preserve">Motion by the respondents’ for </w:t>
            </w:r>
            <w:proofErr w:type="spellStart"/>
            <w:r w:rsidR="009145B5" w:rsidRPr="009145B5">
              <w:rPr>
                <w:b/>
                <w:sz w:val="20"/>
                <w:szCs w:val="20"/>
              </w:rPr>
              <w:t>substitutional</w:t>
            </w:r>
            <w:proofErr w:type="spellEnd"/>
            <w:r w:rsidR="009145B5" w:rsidRPr="009145B5">
              <w:rPr>
                <w:b/>
                <w:sz w:val="20"/>
                <w:szCs w:val="20"/>
              </w:rPr>
              <w:t xml:space="preserve"> service</w:t>
            </w:r>
          </w:p>
        </w:tc>
        <w:tc>
          <w:tcPr>
            <w:tcW w:w="1170" w:type="dxa"/>
          </w:tcPr>
          <w:p w:rsidR="009145B5" w:rsidRPr="009145B5" w:rsidRDefault="009145B5" w:rsidP="00387177">
            <w:pPr>
              <w:jc w:val="both"/>
              <w:rPr>
                <w:sz w:val="20"/>
                <w:szCs w:val="20"/>
              </w:rPr>
            </w:pPr>
          </w:p>
          <w:p w:rsidR="009145B5" w:rsidRPr="009145B5" w:rsidRDefault="009145B5" w:rsidP="00387177">
            <w:pPr>
              <w:jc w:val="both"/>
              <w:rPr>
                <w:sz w:val="20"/>
                <w:szCs w:val="20"/>
              </w:rPr>
            </w:pPr>
          </w:p>
          <w:p w:rsidR="009145B5" w:rsidRPr="009145B5" w:rsidRDefault="009145B5" w:rsidP="006C4744">
            <w:pPr>
              <w:jc w:val="both"/>
              <w:rPr>
                <w:sz w:val="20"/>
                <w:szCs w:val="20"/>
              </w:rPr>
            </w:pPr>
          </w:p>
        </w:tc>
        <w:tc>
          <w:tcPr>
            <w:tcW w:w="4327" w:type="dxa"/>
          </w:tcPr>
          <w:p w:rsidR="009145B5" w:rsidRPr="009145B5" w:rsidRDefault="0004334C" w:rsidP="00387177">
            <w:pPr>
              <w:jc w:val="both"/>
              <w:rPr>
                <w:b/>
                <w:sz w:val="20"/>
                <w:szCs w:val="20"/>
                <w:lang w:val="fr-CA"/>
              </w:rPr>
            </w:pPr>
            <w:r w:rsidRPr="009145B5">
              <w:rPr>
                <w:b/>
                <w:sz w:val="20"/>
                <w:szCs w:val="20"/>
              </w:rPr>
              <w:fldChar w:fldCharType="begin"/>
            </w:r>
            <w:r w:rsidR="009145B5" w:rsidRPr="009145B5">
              <w:rPr>
                <w:b/>
                <w:sz w:val="20"/>
                <w:szCs w:val="20"/>
                <w:lang w:val="fr-CA"/>
              </w:rPr>
              <w:instrText xml:space="preserve"> SEQ CHAPTER \h \r 1</w:instrText>
            </w:r>
            <w:r w:rsidRPr="009145B5">
              <w:rPr>
                <w:b/>
                <w:sz w:val="20"/>
                <w:szCs w:val="20"/>
              </w:rPr>
              <w:fldChar w:fldCharType="end"/>
            </w:r>
            <w:r w:rsidRPr="009145B5">
              <w:rPr>
                <w:b/>
                <w:sz w:val="20"/>
                <w:szCs w:val="20"/>
              </w:rPr>
              <w:fldChar w:fldCharType="begin"/>
            </w:r>
            <w:r w:rsidR="009145B5" w:rsidRPr="009145B5">
              <w:rPr>
                <w:b/>
                <w:sz w:val="20"/>
                <w:szCs w:val="20"/>
                <w:lang w:val="fr-CA"/>
              </w:rPr>
              <w:instrText xml:space="preserve"> SEQ CHAPTER \h \r 1</w:instrText>
            </w:r>
            <w:r w:rsidRPr="009145B5">
              <w:rPr>
                <w:b/>
                <w:sz w:val="20"/>
                <w:szCs w:val="20"/>
              </w:rPr>
              <w:fldChar w:fldCharType="end"/>
            </w:r>
            <w:r w:rsidR="009145B5" w:rsidRPr="009145B5">
              <w:rPr>
                <w:b/>
                <w:bCs/>
                <w:sz w:val="20"/>
                <w:szCs w:val="20"/>
                <w:lang w:val="fr-CA"/>
              </w:rPr>
              <w:t xml:space="preserve">Requête des intimés en vue de recourir à un mode de signification différent </w:t>
            </w:r>
            <w:r w:rsidRPr="009145B5">
              <w:rPr>
                <w:b/>
                <w:sz w:val="20"/>
                <w:szCs w:val="20"/>
              </w:rPr>
              <w:fldChar w:fldCharType="begin"/>
            </w:r>
            <w:r w:rsidR="009145B5" w:rsidRPr="009145B5">
              <w:rPr>
                <w:b/>
                <w:sz w:val="20"/>
                <w:szCs w:val="20"/>
                <w:lang w:val="fr-CA"/>
              </w:rPr>
              <w:instrText xml:space="preserve"> SEQ CHAPTER \h \r 1</w:instrText>
            </w:r>
            <w:r w:rsidRPr="009145B5">
              <w:rPr>
                <w:b/>
                <w:sz w:val="20"/>
                <w:szCs w:val="20"/>
              </w:rPr>
              <w:fldChar w:fldCharType="end"/>
            </w:r>
          </w:p>
        </w:tc>
      </w:tr>
      <w:tr w:rsidR="009145B5" w:rsidRPr="009145B5" w:rsidTr="00387177">
        <w:trPr>
          <w:trHeight w:val="150"/>
        </w:trPr>
        <w:tc>
          <w:tcPr>
            <w:tcW w:w="4338" w:type="dxa"/>
          </w:tcPr>
          <w:p w:rsidR="009145B5" w:rsidRPr="009145B5" w:rsidRDefault="009145B5" w:rsidP="00387177">
            <w:pPr>
              <w:tabs>
                <w:tab w:val="left" w:pos="-1440"/>
                <w:tab w:val="left" w:pos="-720"/>
              </w:tabs>
              <w:jc w:val="both"/>
              <w:rPr>
                <w:sz w:val="20"/>
                <w:szCs w:val="20"/>
                <w:lang w:val="fr-CA"/>
              </w:rPr>
            </w:pPr>
            <w:r w:rsidRPr="009145B5">
              <w:rPr>
                <w:sz w:val="20"/>
                <w:szCs w:val="20"/>
                <w:lang w:val="fr-CA"/>
              </w:rPr>
              <w:t xml:space="preserve">Russell Wayne </w:t>
            </w:r>
            <w:proofErr w:type="spellStart"/>
            <w:r w:rsidRPr="009145B5">
              <w:rPr>
                <w:sz w:val="20"/>
                <w:szCs w:val="20"/>
                <w:lang w:val="fr-CA"/>
              </w:rPr>
              <w:t>Widsten</w:t>
            </w:r>
            <w:proofErr w:type="spellEnd"/>
          </w:p>
          <w:p w:rsidR="009145B5" w:rsidRPr="009145B5" w:rsidRDefault="009145B5" w:rsidP="00387177">
            <w:pPr>
              <w:tabs>
                <w:tab w:val="left" w:pos="-1440"/>
                <w:tab w:val="left" w:pos="-720"/>
              </w:tabs>
              <w:jc w:val="both"/>
              <w:rPr>
                <w:sz w:val="20"/>
                <w:szCs w:val="20"/>
                <w:lang w:val="fr-CA"/>
              </w:rPr>
            </w:pPr>
          </w:p>
          <w:p w:rsidR="009145B5" w:rsidRPr="009145B5" w:rsidRDefault="009145B5" w:rsidP="00387177">
            <w:pPr>
              <w:tabs>
                <w:tab w:val="left" w:pos="-1440"/>
                <w:tab w:val="left" w:pos="-720"/>
              </w:tabs>
              <w:jc w:val="both"/>
              <w:rPr>
                <w:sz w:val="20"/>
                <w:szCs w:val="20"/>
                <w:lang w:val="fr-CA"/>
              </w:rPr>
            </w:pPr>
            <w:r w:rsidRPr="009145B5">
              <w:rPr>
                <w:sz w:val="20"/>
                <w:szCs w:val="20"/>
                <w:lang w:val="fr-CA"/>
              </w:rPr>
              <w:tab/>
              <w:t>v. (33955)</w:t>
            </w:r>
          </w:p>
          <w:p w:rsidR="009145B5" w:rsidRPr="009145B5" w:rsidRDefault="009145B5" w:rsidP="00387177">
            <w:pPr>
              <w:tabs>
                <w:tab w:val="left" w:pos="-1440"/>
                <w:tab w:val="left" w:pos="-720"/>
              </w:tabs>
              <w:jc w:val="both"/>
              <w:rPr>
                <w:sz w:val="20"/>
                <w:szCs w:val="20"/>
                <w:lang w:val="fr-CA"/>
              </w:rPr>
            </w:pPr>
          </w:p>
          <w:p w:rsidR="009145B5" w:rsidRPr="009145B5" w:rsidRDefault="009145B5" w:rsidP="00387177">
            <w:pPr>
              <w:tabs>
                <w:tab w:val="left" w:pos="-1440"/>
                <w:tab w:val="left" w:pos="-720"/>
              </w:tabs>
              <w:jc w:val="both"/>
              <w:rPr>
                <w:sz w:val="20"/>
                <w:szCs w:val="20"/>
                <w:lang w:val="fr-CA"/>
              </w:rPr>
            </w:pPr>
            <w:r w:rsidRPr="009145B5">
              <w:rPr>
                <w:sz w:val="20"/>
                <w:szCs w:val="20"/>
                <w:lang w:val="fr-CA"/>
              </w:rPr>
              <w:t>Charles Dale Gainer et al. (B.C.)</w:t>
            </w:r>
          </w:p>
        </w:tc>
        <w:tc>
          <w:tcPr>
            <w:tcW w:w="1170" w:type="dxa"/>
          </w:tcPr>
          <w:p w:rsidR="009145B5" w:rsidRPr="009145B5" w:rsidRDefault="009145B5" w:rsidP="00387177">
            <w:pPr>
              <w:jc w:val="both"/>
              <w:rPr>
                <w:sz w:val="20"/>
                <w:szCs w:val="20"/>
                <w:lang w:val="fr-CA"/>
              </w:rPr>
            </w:pPr>
          </w:p>
        </w:tc>
        <w:tc>
          <w:tcPr>
            <w:tcW w:w="4327" w:type="dxa"/>
          </w:tcPr>
          <w:p w:rsidR="009145B5" w:rsidRPr="009145B5" w:rsidRDefault="009145B5" w:rsidP="00387177">
            <w:pPr>
              <w:jc w:val="both"/>
              <w:rPr>
                <w:sz w:val="20"/>
                <w:szCs w:val="20"/>
                <w:lang w:val="fr-CA"/>
              </w:rPr>
            </w:pPr>
          </w:p>
        </w:tc>
      </w:tr>
    </w:tbl>
    <w:p w:rsidR="009145B5" w:rsidRPr="009145B5" w:rsidRDefault="009145B5" w:rsidP="009145B5">
      <w:pPr>
        <w:tabs>
          <w:tab w:val="left" w:pos="-1440"/>
          <w:tab w:val="left" w:pos="-720"/>
        </w:tabs>
        <w:jc w:val="both"/>
        <w:rPr>
          <w:sz w:val="20"/>
          <w:szCs w:val="20"/>
          <w:lang w:val="fr-CA"/>
        </w:rPr>
      </w:pPr>
    </w:p>
    <w:p w:rsidR="009145B5" w:rsidRPr="009145B5" w:rsidRDefault="009145B5" w:rsidP="009145B5">
      <w:pPr>
        <w:tabs>
          <w:tab w:val="left" w:pos="-1440"/>
          <w:tab w:val="left" w:pos="-720"/>
        </w:tabs>
        <w:jc w:val="both"/>
        <w:rPr>
          <w:sz w:val="20"/>
          <w:szCs w:val="20"/>
        </w:rPr>
      </w:pPr>
      <w:r w:rsidRPr="009145B5">
        <w:rPr>
          <w:b/>
          <w:sz w:val="20"/>
          <w:szCs w:val="20"/>
        </w:rPr>
        <w:t>GRANTED / ACCORDÉE</w:t>
      </w:r>
    </w:p>
    <w:p w:rsidR="009145B5" w:rsidRPr="009145B5" w:rsidRDefault="009145B5" w:rsidP="009145B5">
      <w:pPr>
        <w:tabs>
          <w:tab w:val="left" w:pos="-1440"/>
          <w:tab w:val="left" w:pos="-720"/>
        </w:tabs>
        <w:jc w:val="both"/>
        <w:rPr>
          <w:sz w:val="20"/>
          <w:szCs w:val="20"/>
          <w:lang w:val="fr-CA"/>
        </w:rPr>
      </w:pPr>
    </w:p>
    <w:p w:rsidR="009145B5" w:rsidRPr="009145B5" w:rsidRDefault="009145B5" w:rsidP="009145B5">
      <w:pPr>
        <w:tabs>
          <w:tab w:val="left" w:pos="-1440"/>
          <w:tab w:val="left" w:pos="-720"/>
        </w:tabs>
        <w:spacing w:line="-19" w:lineRule="auto"/>
        <w:jc w:val="both"/>
        <w:rPr>
          <w:sz w:val="20"/>
          <w:szCs w:val="20"/>
          <w:lang w:val="fr-CA"/>
        </w:rPr>
      </w:pPr>
    </w:p>
    <w:p w:rsidR="009145B5" w:rsidRPr="009145B5" w:rsidRDefault="0004334C" w:rsidP="009145B5">
      <w:pPr>
        <w:tabs>
          <w:tab w:val="left" w:pos="-1440"/>
          <w:tab w:val="left" w:pos="-720"/>
        </w:tabs>
        <w:jc w:val="both"/>
        <w:rPr>
          <w:sz w:val="20"/>
          <w:szCs w:val="20"/>
          <w:lang w:val="fr-CA"/>
        </w:rPr>
      </w:pPr>
      <w:r w:rsidRPr="0004334C">
        <w:rPr>
          <w:sz w:val="20"/>
          <w:szCs w:val="20"/>
          <w:lang w:val="fr-CA"/>
        </w:rPr>
        <w:pict>
          <v:rect id="_x0000_i1073" style="width:2in;height:1pt" o:hrpct="0" o:hralign="center" o:hrstd="t" o:hrnoshade="t" o:hr="t" fillcolor="black [3213]" stroked="f"/>
        </w:pict>
      </w:r>
    </w:p>
    <w:p w:rsidR="009145B5" w:rsidRPr="009145B5" w:rsidRDefault="009145B5" w:rsidP="009145B5">
      <w:pPr>
        <w:rPr>
          <w:sz w:val="20"/>
          <w:szCs w:val="20"/>
          <w:lang w:val="fr-CA"/>
        </w:rPr>
      </w:pPr>
    </w:p>
    <w:p w:rsidR="009145B5" w:rsidRPr="009145B5" w:rsidRDefault="009145B5" w:rsidP="009145B5">
      <w:pPr>
        <w:rPr>
          <w:sz w:val="20"/>
          <w:szCs w:val="20"/>
        </w:rPr>
      </w:pPr>
      <w:r w:rsidRPr="009145B5">
        <w:rPr>
          <w:sz w:val="20"/>
          <w:szCs w:val="20"/>
        </w:rPr>
        <w:br w:type="page"/>
      </w:r>
    </w:p>
    <w:p w:rsidR="009145B5" w:rsidRPr="009145B5" w:rsidRDefault="009145B5" w:rsidP="009145B5">
      <w:pPr>
        <w:jc w:val="both"/>
        <w:rPr>
          <w:sz w:val="20"/>
          <w:szCs w:val="20"/>
          <w:lang w:val="fr-CA"/>
        </w:rPr>
      </w:pPr>
      <w:r w:rsidRPr="009145B5">
        <w:rPr>
          <w:sz w:val="20"/>
          <w:szCs w:val="20"/>
          <w:lang w:val="fr-CA"/>
        </w:rPr>
        <w:lastRenderedPageBreak/>
        <w:t>03.03.2011</w:t>
      </w:r>
    </w:p>
    <w:p w:rsidR="009145B5" w:rsidRPr="009145B5" w:rsidRDefault="009145B5" w:rsidP="009145B5">
      <w:pPr>
        <w:jc w:val="both"/>
        <w:rPr>
          <w:sz w:val="20"/>
          <w:szCs w:val="20"/>
          <w:lang w:val="fr-CA"/>
        </w:rPr>
      </w:pPr>
    </w:p>
    <w:p w:rsidR="009145B5" w:rsidRPr="009145B5" w:rsidRDefault="009145B5" w:rsidP="009145B5">
      <w:pPr>
        <w:tabs>
          <w:tab w:val="left" w:pos="-1440"/>
          <w:tab w:val="left" w:pos="-720"/>
        </w:tabs>
        <w:jc w:val="both"/>
        <w:rPr>
          <w:sz w:val="20"/>
          <w:szCs w:val="20"/>
          <w:lang w:val="fr-CA"/>
        </w:rPr>
      </w:pPr>
      <w:proofErr w:type="spellStart"/>
      <w:r w:rsidRPr="009145B5">
        <w:rPr>
          <w:sz w:val="20"/>
          <w:szCs w:val="20"/>
          <w:lang w:val="fr-CA"/>
        </w:rPr>
        <w:t>Before</w:t>
      </w:r>
      <w:proofErr w:type="spellEnd"/>
      <w:r w:rsidRPr="009145B5">
        <w:rPr>
          <w:sz w:val="20"/>
          <w:szCs w:val="20"/>
          <w:lang w:val="fr-CA"/>
        </w:rPr>
        <w:t xml:space="preserve"> / Devant :   LEBEL J. / LE JUGE LEBEL</w:t>
      </w:r>
    </w:p>
    <w:p w:rsidR="009145B5" w:rsidRPr="009145B5" w:rsidRDefault="009145B5" w:rsidP="009145B5">
      <w:pPr>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3240"/>
        <w:gridCol w:w="810"/>
        <w:gridCol w:w="4417"/>
      </w:tblGrid>
      <w:tr w:rsidR="009145B5" w:rsidRPr="001602E4" w:rsidTr="00387177">
        <w:tc>
          <w:tcPr>
            <w:tcW w:w="4608" w:type="dxa"/>
            <w:gridSpan w:val="2"/>
          </w:tcPr>
          <w:p w:rsidR="009145B5" w:rsidRPr="009145B5" w:rsidRDefault="009145B5" w:rsidP="00387177">
            <w:pPr>
              <w:jc w:val="both"/>
              <w:rPr>
                <w:b/>
                <w:sz w:val="20"/>
                <w:szCs w:val="20"/>
              </w:rPr>
            </w:pPr>
            <w:r w:rsidRPr="009145B5">
              <w:rPr>
                <w:b/>
                <w:sz w:val="20"/>
                <w:szCs w:val="20"/>
              </w:rPr>
              <w:t>Order on interventions with respect to oral argument</w:t>
            </w:r>
            <w:r w:rsidR="0004334C" w:rsidRPr="009145B5">
              <w:rPr>
                <w:sz w:val="20"/>
                <w:szCs w:val="20"/>
              </w:rPr>
              <w:fldChar w:fldCharType="begin"/>
            </w:r>
            <w:r w:rsidRPr="009145B5">
              <w:rPr>
                <w:sz w:val="20"/>
                <w:szCs w:val="20"/>
              </w:rPr>
              <w:instrText xml:space="preserve"> SEQ CHAPTER \h \r 1</w:instrText>
            </w:r>
            <w:r w:rsidR="0004334C" w:rsidRPr="009145B5">
              <w:rPr>
                <w:sz w:val="20"/>
                <w:szCs w:val="20"/>
              </w:rPr>
              <w:fldChar w:fldCharType="end"/>
            </w:r>
          </w:p>
        </w:tc>
        <w:tc>
          <w:tcPr>
            <w:tcW w:w="810" w:type="dxa"/>
          </w:tcPr>
          <w:p w:rsidR="009145B5" w:rsidRPr="009145B5" w:rsidRDefault="009145B5" w:rsidP="00387177">
            <w:pPr>
              <w:rPr>
                <w:sz w:val="20"/>
                <w:szCs w:val="20"/>
              </w:rPr>
            </w:pPr>
          </w:p>
          <w:p w:rsidR="009145B5" w:rsidRPr="009145B5" w:rsidRDefault="009145B5" w:rsidP="00387177">
            <w:pPr>
              <w:rPr>
                <w:sz w:val="20"/>
                <w:szCs w:val="20"/>
              </w:rPr>
            </w:pPr>
          </w:p>
          <w:p w:rsidR="009145B5" w:rsidRPr="009145B5" w:rsidRDefault="009145B5" w:rsidP="00387177">
            <w:pPr>
              <w:rPr>
                <w:sz w:val="20"/>
                <w:szCs w:val="20"/>
              </w:rPr>
            </w:pPr>
          </w:p>
        </w:tc>
        <w:tc>
          <w:tcPr>
            <w:tcW w:w="4417" w:type="dxa"/>
          </w:tcPr>
          <w:p w:rsidR="009145B5" w:rsidRPr="009145B5" w:rsidRDefault="009145B5" w:rsidP="00387177">
            <w:pPr>
              <w:jc w:val="both"/>
              <w:rPr>
                <w:b/>
                <w:sz w:val="20"/>
                <w:szCs w:val="20"/>
                <w:lang w:val="fr-CA"/>
              </w:rPr>
            </w:pPr>
            <w:r w:rsidRPr="009145B5">
              <w:rPr>
                <w:b/>
                <w:sz w:val="20"/>
                <w:szCs w:val="20"/>
                <w:lang w:val="fr-CA"/>
              </w:rPr>
              <w:t>Ordonnance relative à la présentation d’une plaidoirie orale par les intervenants</w:t>
            </w:r>
            <w:r w:rsidR="0004334C" w:rsidRPr="009145B5">
              <w:rPr>
                <w:sz w:val="20"/>
                <w:szCs w:val="20"/>
              </w:rPr>
              <w:fldChar w:fldCharType="begin"/>
            </w:r>
            <w:r w:rsidRPr="009145B5">
              <w:rPr>
                <w:sz w:val="20"/>
                <w:szCs w:val="20"/>
                <w:lang w:val="fr-CA"/>
              </w:rPr>
              <w:instrText xml:space="preserve"> SEQ CHAPTER \h \r 1</w:instrText>
            </w:r>
            <w:r w:rsidR="0004334C" w:rsidRPr="009145B5">
              <w:rPr>
                <w:sz w:val="20"/>
                <w:szCs w:val="20"/>
              </w:rPr>
              <w:fldChar w:fldCharType="end"/>
            </w:r>
          </w:p>
        </w:tc>
      </w:tr>
      <w:tr w:rsidR="009145B5" w:rsidRPr="009145B5" w:rsidTr="00387177">
        <w:tc>
          <w:tcPr>
            <w:tcW w:w="1368" w:type="dxa"/>
          </w:tcPr>
          <w:p w:rsidR="009145B5" w:rsidRPr="009145B5" w:rsidRDefault="009145B5" w:rsidP="00387177">
            <w:pPr>
              <w:rPr>
                <w:sz w:val="20"/>
                <w:szCs w:val="20"/>
              </w:rPr>
            </w:pPr>
            <w:r w:rsidRPr="009145B5">
              <w:rPr>
                <w:sz w:val="20"/>
                <w:szCs w:val="20"/>
              </w:rPr>
              <w:t>RE:</w:t>
            </w:r>
          </w:p>
        </w:tc>
        <w:tc>
          <w:tcPr>
            <w:tcW w:w="3240" w:type="dxa"/>
          </w:tcPr>
          <w:p w:rsidR="009145B5" w:rsidRPr="009145B5" w:rsidRDefault="009145B5" w:rsidP="00387177">
            <w:pPr>
              <w:rPr>
                <w:sz w:val="20"/>
                <w:szCs w:val="20"/>
                <w:lang w:val="fr-CA"/>
              </w:rPr>
            </w:pPr>
            <w:r w:rsidRPr="009145B5">
              <w:rPr>
                <w:sz w:val="20"/>
                <w:szCs w:val="20"/>
                <w:lang w:val="fr-CA"/>
              </w:rPr>
              <w:t>Attorney General of Canada;</w:t>
            </w:r>
          </w:p>
        </w:tc>
        <w:tc>
          <w:tcPr>
            <w:tcW w:w="810" w:type="dxa"/>
          </w:tcPr>
          <w:p w:rsidR="009145B5" w:rsidRPr="009145B5" w:rsidRDefault="009145B5" w:rsidP="00387177">
            <w:pPr>
              <w:rPr>
                <w:sz w:val="20"/>
                <w:szCs w:val="20"/>
                <w:lang w:val="fr-CA"/>
              </w:rPr>
            </w:pPr>
          </w:p>
        </w:tc>
        <w:tc>
          <w:tcPr>
            <w:tcW w:w="4417" w:type="dxa"/>
          </w:tcPr>
          <w:p w:rsidR="009145B5" w:rsidRPr="009145B5" w:rsidRDefault="009145B5" w:rsidP="00387177">
            <w:pPr>
              <w:rPr>
                <w:sz w:val="20"/>
                <w:szCs w:val="20"/>
                <w:lang w:val="fr-CA"/>
              </w:rPr>
            </w:pPr>
          </w:p>
        </w:tc>
      </w:tr>
      <w:tr w:rsidR="009145B5" w:rsidRPr="009145B5" w:rsidTr="00387177">
        <w:tc>
          <w:tcPr>
            <w:tcW w:w="1368" w:type="dxa"/>
          </w:tcPr>
          <w:p w:rsidR="009145B5" w:rsidRPr="009145B5" w:rsidRDefault="009145B5" w:rsidP="00387177">
            <w:pPr>
              <w:rPr>
                <w:sz w:val="20"/>
                <w:szCs w:val="20"/>
              </w:rPr>
            </w:pPr>
          </w:p>
        </w:tc>
        <w:tc>
          <w:tcPr>
            <w:tcW w:w="3240" w:type="dxa"/>
          </w:tcPr>
          <w:p w:rsidR="009145B5" w:rsidRPr="009145B5" w:rsidRDefault="009145B5" w:rsidP="00387177">
            <w:pPr>
              <w:rPr>
                <w:sz w:val="20"/>
                <w:szCs w:val="20"/>
              </w:rPr>
            </w:pPr>
            <w:r w:rsidRPr="009145B5">
              <w:rPr>
                <w:sz w:val="20"/>
                <w:szCs w:val="20"/>
              </w:rPr>
              <w:t>Attorney General of Québec;</w:t>
            </w:r>
          </w:p>
        </w:tc>
        <w:tc>
          <w:tcPr>
            <w:tcW w:w="810" w:type="dxa"/>
          </w:tcPr>
          <w:p w:rsidR="009145B5" w:rsidRPr="009145B5" w:rsidRDefault="009145B5" w:rsidP="00387177">
            <w:pPr>
              <w:rPr>
                <w:sz w:val="20"/>
                <w:szCs w:val="20"/>
              </w:rPr>
            </w:pPr>
          </w:p>
        </w:tc>
        <w:tc>
          <w:tcPr>
            <w:tcW w:w="4417" w:type="dxa"/>
          </w:tcPr>
          <w:p w:rsidR="009145B5" w:rsidRPr="009145B5" w:rsidRDefault="009145B5" w:rsidP="00387177">
            <w:pPr>
              <w:rPr>
                <w:sz w:val="20"/>
                <w:szCs w:val="20"/>
              </w:rPr>
            </w:pPr>
          </w:p>
        </w:tc>
      </w:tr>
      <w:tr w:rsidR="009145B5" w:rsidRPr="009145B5" w:rsidTr="00387177">
        <w:tc>
          <w:tcPr>
            <w:tcW w:w="1368" w:type="dxa"/>
          </w:tcPr>
          <w:p w:rsidR="009145B5" w:rsidRPr="009145B5" w:rsidRDefault="009145B5" w:rsidP="00387177">
            <w:pPr>
              <w:rPr>
                <w:sz w:val="20"/>
                <w:szCs w:val="20"/>
              </w:rPr>
            </w:pPr>
          </w:p>
        </w:tc>
        <w:tc>
          <w:tcPr>
            <w:tcW w:w="3240" w:type="dxa"/>
          </w:tcPr>
          <w:p w:rsidR="009145B5" w:rsidRPr="009145B5" w:rsidRDefault="009145B5" w:rsidP="00387177">
            <w:pPr>
              <w:rPr>
                <w:sz w:val="20"/>
                <w:szCs w:val="20"/>
              </w:rPr>
            </w:pPr>
            <w:r w:rsidRPr="009145B5">
              <w:rPr>
                <w:sz w:val="20"/>
                <w:szCs w:val="20"/>
              </w:rPr>
              <w:t>Attorney General of Alberta;</w:t>
            </w:r>
          </w:p>
        </w:tc>
        <w:tc>
          <w:tcPr>
            <w:tcW w:w="810" w:type="dxa"/>
          </w:tcPr>
          <w:p w:rsidR="009145B5" w:rsidRPr="009145B5" w:rsidRDefault="009145B5" w:rsidP="00387177">
            <w:pPr>
              <w:rPr>
                <w:sz w:val="20"/>
                <w:szCs w:val="20"/>
              </w:rPr>
            </w:pPr>
          </w:p>
        </w:tc>
        <w:tc>
          <w:tcPr>
            <w:tcW w:w="4417" w:type="dxa"/>
          </w:tcPr>
          <w:p w:rsidR="009145B5" w:rsidRPr="009145B5" w:rsidRDefault="009145B5" w:rsidP="00387177">
            <w:pPr>
              <w:rPr>
                <w:sz w:val="20"/>
                <w:szCs w:val="20"/>
              </w:rPr>
            </w:pPr>
          </w:p>
        </w:tc>
      </w:tr>
      <w:tr w:rsidR="009145B5" w:rsidRPr="009145B5" w:rsidTr="00387177">
        <w:tc>
          <w:tcPr>
            <w:tcW w:w="1368" w:type="dxa"/>
          </w:tcPr>
          <w:p w:rsidR="009145B5" w:rsidRPr="009145B5" w:rsidRDefault="009145B5" w:rsidP="00387177">
            <w:pPr>
              <w:rPr>
                <w:sz w:val="20"/>
                <w:szCs w:val="20"/>
              </w:rPr>
            </w:pPr>
          </w:p>
        </w:tc>
        <w:tc>
          <w:tcPr>
            <w:tcW w:w="3240" w:type="dxa"/>
          </w:tcPr>
          <w:p w:rsidR="009145B5" w:rsidRPr="009145B5" w:rsidRDefault="009145B5" w:rsidP="00387177">
            <w:pPr>
              <w:rPr>
                <w:sz w:val="20"/>
                <w:szCs w:val="20"/>
              </w:rPr>
            </w:pPr>
            <w:r w:rsidRPr="009145B5">
              <w:rPr>
                <w:sz w:val="20"/>
                <w:szCs w:val="20"/>
              </w:rPr>
              <w:t>Attorney General of Ontario;</w:t>
            </w:r>
          </w:p>
        </w:tc>
        <w:tc>
          <w:tcPr>
            <w:tcW w:w="810" w:type="dxa"/>
          </w:tcPr>
          <w:p w:rsidR="009145B5" w:rsidRPr="009145B5" w:rsidRDefault="009145B5" w:rsidP="00387177">
            <w:pPr>
              <w:rPr>
                <w:sz w:val="20"/>
                <w:szCs w:val="20"/>
              </w:rPr>
            </w:pPr>
          </w:p>
        </w:tc>
        <w:tc>
          <w:tcPr>
            <w:tcW w:w="4417" w:type="dxa"/>
          </w:tcPr>
          <w:p w:rsidR="009145B5" w:rsidRPr="009145B5" w:rsidRDefault="009145B5" w:rsidP="00387177">
            <w:pPr>
              <w:rPr>
                <w:sz w:val="20"/>
                <w:szCs w:val="20"/>
              </w:rPr>
            </w:pPr>
          </w:p>
        </w:tc>
      </w:tr>
      <w:tr w:rsidR="009145B5" w:rsidRPr="009145B5" w:rsidTr="00387177">
        <w:tc>
          <w:tcPr>
            <w:tcW w:w="1368" w:type="dxa"/>
          </w:tcPr>
          <w:p w:rsidR="009145B5" w:rsidRPr="009145B5" w:rsidRDefault="009145B5" w:rsidP="00387177">
            <w:pPr>
              <w:rPr>
                <w:sz w:val="20"/>
                <w:szCs w:val="20"/>
              </w:rPr>
            </w:pPr>
          </w:p>
        </w:tc>
        <w:tc>
          <w:tcPr>
            <w:tcW w:w="3240" w:type="dxa"/>
          </w:tcPr>
          <w:p w:rsidR="009145B5" w:rsidRPr="009145B5" w:rsidRDefault="009145B5" w:rsidP="00387177">
            <w:pPr>
              <w:rPr>
                <w:sz w:val="20"/>
                <w:szCs w:val="20"/>
              </w:rPr>
            </w:pPr>
            <w:r w:rsidRPr="009145B5">
              <w:rPr>
                <w:sz w:val="20"/>
                <w:szCs w:val="20"/>
              </w:rPr>
              <w:t>Attorney General of New Brunswick;</w:t>
            </w:r>
          </w:p>
        </w:tc>
        <w:tc>
          <w:tcPr>
            <w:tcW w:w="810" w:type="dxa"/>
          </w:tcPr>
          <w:p w:rsidR="009145B5" w:rsidRPr="009145B5" w:rsidRDefault="009145B5" w:rsidP="00387177">
            <w:pPr>
              <w:rPr>
                <w:sz w:val="20"/>
                <w:szCs w:val="20"/>
              </w:rPr>
            </w:pPr>
          </w:p>
        </w:tc>
        <w:tc>
          <w:tcPr>
            <w:tcW w:w="4417" w:type="dxa"/>
          </w:tcPr>
          <w:p w:rsidR="009145B5" w:rsidRPr="009145B5" w:rsidRDefault="009145B5" w:rsidP="00387177">
            <w:pPr>
              <w:rPr>
                <w:sz w:val="20"/>
                <w:szCs w:val="20"/>
              </w:rPr>
            </w:pPr>
          </w:p>
        </w:tc>
      </w:tr>
      <w:tr w:rsidR="009145B5" w:rsidRPr="009145B5" w:rsidTr="00387177">
        <w:tc>
          <w:tcPr>
            <w:tcW w:w="1368" w:type="dxa"/>
          </w:tcPr>
          <w:p w:rsidR="009145B5" w:rsidRPr="009145B5" w:rsidRDefault="009145B5" w:rsidP="00387177">
            <w:pPr>
              <w:rPr>
                <w:sz w:val="20"/>
                <w:szCs w:val="20"/>
              </w:rPr>
            </w:pPr>
          </w:p>
        </w:tc>
        <w:tc>
          <w:tcPr>
            <w:tcW w:w="3240" w:type="dxa"/>
          </w:tcPr>
          <w:p w:rsidR="009145B5" w:rsidRPr="009145B5" w:rsidRDefault="009145B5" w:rsidP="00387177">
            <w:pPr>
              <w:rPr>
                <w:sz w:val="20"/>
                <w:szCs w:val="20"/>
              </w:rPr>
            </w:pPr>
            <w:r w:rsidRPr="009145B5">
              <w:rPr>
                <w:sz w:val="20"/>
                <w:szCs w:val="20"/>
              </w:rPr>
              <w:t>Attorney General of Manitoba:</w:t>
            </w:r>
          </w:p>
        </w:tc>
        <w:tc>
          <w:tcPr>
            <w:tcW w:w="810" w:type="dxa"/>
          </w:tcPr>
          <w:p w:rsidR="009145B5" w:rsidRPr="009145B5" w:rsidRDefault="009145B5" w:rsidP="00387177">
            <w:pPr>
              <w:rPr>
                <w:sz w:val="20"/>
                <w:szCs w:val="20"/>
              </w:rPr>
            </w:pPr>
          </w:p>
        </w:tc>
        <w:tc>
          <w:tcPr>
            <w:tcW w:w="4417" w:type="dxa"/>
          </w:tcPr>
          <w:p w:rsidR="009145B5" w:rsidRPr="009145B5" w:rsidRDefault="009145B5" w:rsidP="00387177">
            <w:pPr>
              <w:rPr>
                <w:sz w:val="20"/>
                <w:szCs w:val="20"/>
              </w:rPr>
            </w:pPr>
          </w:p>
        </w:tc>
      </w:tr>
      <w:tr w:rsidR="009145B5" w:rsidRPr="009145B5" w:rsidTr="00387177">
        <w:tc>
          <w:tcPr>
            <w:tcW w:w="1368" w:type="dxa"/>
          </w:tcPr>
          <w:p w:rsidR="009145B5" w:rsidRPr="009145B5" w:rsidRDefault="009145B5" w:rsidP="00387177">
            <w:pPr>
              <w:rPr>
                <w:sz w:val="20"/>
                <w:szCs w:val="20"/>
              </w:rPr>
            </w:pPr>
          </w:p>
        </w:tc>
        <w:tc>
          <w:tcPr>
            <w:tcW w:w="3240" w:type="dxa"/>
          </w:tcPr>
          <w:p w:rsidR="009145B5" w:rsidRPr="009145B5" w:rsidRDefault="009145B5" w:rsidP="00387177">
            <w:pPr>
              <w:rPr>
                <w:sz w:val="20"/>
                <w:szCs w:val="20"/>
              </w:rPr>
            </w:pPr>
            <w:r w:rsidRPr="009145B5">
              <w:rPr>
                <w:sz w:val="20"/>
                <w:szCs w:val="20"/>
              </w:rPr>
              <w:t>Attorney General of British Columbia;</w:t>
            </w:r>
          </w:p>
        </w:tc>
        <w:tc>
          <w:tcPr>
            <w:tcW w:w="810" w:type="dxa"/>
          </w:tcPr>
          <w:p w:rsidR="009145B5" w:rsidRPr="009145B5" w:rsidRDefault="009145B5" w:rsidP="00387177">
            <w:pPr>
              <w:rPr>
                <w:sz w:val="20"/>
                <w:szCs w:val="20"/>
              </w:rPr>
            </w:pPr>
          </w:p>
        </w:tc>
        <w:tc>
          <w:tcPr>
            <w:tcW w:w="4417" w:type="dxa"/>
          </w:tcPr>
          <w:p w:rsidR="009145B5" w:rsidRPr="009145B5" w:rsidRDefault="009145B5" w:rsidP="00387177">
            <w:pPr>
              <w:rPr>
                <w:sz w:val="20"/>
                <w:szCs w:val="20"/>
              </w:rPr>
            </w:pPr>
          </w:p>
        </w:tc>
      </w:tr>
      <w:tr w:rsidR="009145B5" w:rsidRPr="009145B5" w:rsidTr="00387177">
        <w:tc>
          <w:tcPr>
            <w:tcW w:w="1368" w:type="dxa"/>
          </w:tcPr>
          <w:p w:rsidR="009145B5" w:rsidRPr="009145B5" w:rsidRDefault="009145B5" w:rsidP="00387177">
            <w:pPr>
              <w:rPr>
                <w:sz w:val="20"/>
                <w:szCs w:val="20"/>
              </w:rPr>
            </w:pPr>
          </w:p>
        </w:tc>
        <w:tc>
          <w:tcPr>
            <w:tcW w:w="3240" w:type="dxa"/>
          </w:tcPr>
          <w:p w:rsidR="009145B5" w:rsidRPr="009145B5" w:rsidRDefault="009145B5" w:rsidP="00387177">
            <w:pPr>
              <w:rPr>
                <w:sz w:val="20"/>
                <w:szCs w:val="20"/>
              </w:rPr>
            </w:pPr>
            <w:r w:rsidRPr="009145B5">
              <w:rPr>
                <w:sz w:val="20"/>
                <w:szCs w:val="20"/>
              </w:rPr>
              <w:t>Attorney General of Saskatchewan;</w:t>
            </w:r>
          </w:p>
        </w:tc>
        <w:tc>
          <w:tcPr>
            <w:tcW w:w="810" w:type="dxa"/>
          </w:tcPr>
          <w:p w:rsidR="009145B5" w:rsidRPr="009145B5" w:rsidRDefault="009145B5" w:rsidP="00387177">
            <w:pPr>
              <w:rPr>
                <w:sz w:val="20"/>
                <w:szCs w:val="20"/>
              </w:rPr>
            </w:pPr>
          </w:p>
        </w:tc>
        <w:tc>
          <w:tcPr>
            <w:tcW w:w="4417" w:type="dxa"/>
          </w:tcPr>
          <w:p w:rsidR="009145B5" w:rsidRPr="009145B5" w:rsidRDefault="009145B5" w:rsidP="00387177">
            <w:pPr>
              <w:rPr>
                <w:sz w:val="20"/>
                <w:szCs w:val="20"/>
              </w:rPr>
            </w:pPr>
          </w:p>
        </w:tc>
      </w:tr>
      <w:tr w:rsidR="009145B5" w:rsidRPr="009145B5" w:rsidTr="00387177">
        <w:tc>
          <w:tcPr>
            <w:tcW w:w="1368" w:type="dxa"/>
          </w:tcPr>
          <w:p w:rsidR="009145B5" w:rsidRPr="009145B5" w:rsidRDefault="009145B5" w:rsidP="00387177">
            <w:pPr>
              <w:rPr>
                <w:sz w:val="20"/>
                <w:szCs w:val="20"/>
              </w:rPr>
            </w:pPr>
          </w:p>
        </w:tc>
        <w:tc>
          <w:tcPr>
            <w:tcW w:w="3240" w:type="dxa"/>
          </w:tcPr>
          <w:p w:rsidR="009145B5" w:rsidRPr="009145B5" w:rsidRDefault="009145B5" w:rsidP="00387177">
            <w:pPr>
              <w:spacing w:line="233" w:lineRule="auto"/>
              <w:rPr>
                <w:sz w:val="20"/>
                <w:szCs w:val="20"/>
              </w:rPr>
            </w:pPr>
            <w:r w:rsidRPr="009145B5">
              <w:rPr>
                <w:sz w:val="20"/>
                <w:szCs w:val="20"/>
              </w:rPr>
              <w:t xml:space="preserve">Canadian Foundation </w:t>
            </w:r>
          </w:p>
          <w:p w:rsidR="009145B5" w:rsidRPr="009145B5" w:rsidRDefault="009145B5" w:rsidP="00387177">
            <w:pPr>
              <w:rPr>
                <w:sz w:val="20"/>
                <w:szCs w:val="20"/>
              </w:rPr>
            </w:pPr>
            <w:r w:rsidRPr="009145B5">
              <w:rPr>
                <w:sz w:val="20"/>
                <w:szCs w:val="20"/>
              </w:rPr>
              <w:t>for Advancement of Investor Rights;</w:t>
            </w:r>
          </w:p>
        </w:tc>
        <w:tc>
          <w:tcPr>
            <w:tcW w:w="810" w:type="dxa"/>
          </w:tcPr>
          <w:p w:rsidR="009145B5" w:rsidRPr="009145B5" w:rsidRDefault="009145B5" w:rsidP="00387177">
            <w:pPr>
              <w:rPr>
                <w:sz w:val="20"/>
                <w:szCs w:val="20"/>
              </w:rPr>
            </w:pPr>
          </w:p>
        </w:tc>
        <w:tc>
          <w:tcPr>
            <w:tcW w:w="4417" w:type="dxa"/>
          </w:tcPr>
          <w:p w:rsidR="009145B5" w:rsidRPr="009145B5" w:rsidRDefault="009145B5" w:rsidP="00387177">
            <w:pPr>
              <w:rPr>
                <w:sz w:val="20"/>
                <w:szCs w:val="20"/>
              </w:rPr>
            </w:pPr>
          </w:p>
        </w:tc>
      </w:tr>
      <w:tr w:rsidR="009145B5" w:rsidRPr="009145B5" w:rsidTr="00387177">
        <w:tc>
          <w:tcPr>
            <w:tcW w:w="1368" w:type="dxa"/>
          </w:tcPr>
          <w:p w:rsidR="009145B5" w:rsidRPr="009145B5" w:rsidRDefault="009145B5" w:rsidP="00387177">
            <w:pPr>
              <w:rPr>
                <w:sz w:val="20"/>
                <w:szCs w:val="20"/>
              </w:rPr>
            </w:pPr>
          </w:p>
        </w:tc>
        <w:tc>
          <w:tcPr>
            <w:tcW w:w="3240" w:type="dxa"/>
          </w:tcPr>
          <w:p w:rsidR="009145B5" w:rsidRPr="009145B5" w:rsidRDefault="009145B5" w:rsidP="00387177">
            <w:pPr>
              <w:rPr>
                <w:sz w:val="20"/>
                <w:szCs w:val="20"/>
              </w:rPr>
            </w:pPr>
            <w:r w:rsidRPr="009145B5">
              <w:rPr>
                <w:sz w:val="20"/>
                <w:szCs w:val="20"/>
              </w:rPr>
              <w:t>Canadian Coalition for Good Governance;</w:t>
            </w:r>
          </w:p>
        </w:tc>
        <w:tc>
          <w:tcPr>
            <w:tcW w:w="810" w:type="dxa"/>
          </w:tcPr>
          <w:p w:rsidR="009145B5" w:rsidRPr="009145B5" w:rsidRDefault="009145B5" w:rsidP="00387177">
            <w:pPr>
              <w:rPr>
                <w:sz w:val="20"/>
                <w:szCs w:val="20"/>
              </w:rPr>
            </w:pPr>
          </w:p>
        </w:tc>
        <w:tc>
          <w:tcPr>
            <w:tcW w:w="4417" w:type="dxa"/>
          </w:tcPr>
          <w:p w:rsidR="009145B5" w:rsidRPr="009145B5" w:rsidRDefault="009145B5" w:rsidP="00387177">
            <w:pPr>
              <w:rPr>
                <w:sz w:val="20"/>
                <w:szCs w:val="20"/>
              </w:rPr>
            </w:pPr>
          </w:p>
        </w:tc>
      </w:tr>
      <w:tr w:rsidR="009145B5" w:rsidRPr="009145B5" w:rsidTr="00387177">
        <w:tc>
          <w:tcPr>
            <w:tcW w:w="1368" w:type="dxa"/>
          </w:tcPr>
          <w:p w:rsidR="009145B5" w:rsidRPr="009145B5" w:rsidRDefault="009145B5" w:rsidP="00387177">
            <w:pPr>
              <w:rPr>
                <w:sz w:val="20"/>
                <w:szCs w:val="20"/>
              </w:rPr>
            </w:pPr>
          </w:p>
        </w:tc>
        <w:tc>
          <w:tcPr>
            <w:tcW w:w="3240" w:type="dxa"/>
          </w:tcPr>
          <w:p w:rsidR="009145B5" w:rsidRPr="009145B5" w:rsidRDefault="009145B5" w:rsidP="00387177">
            <w:pPr>
              <w:rPr>
                <w:sz w:val="20"/>
                <w:szCs w:val="20"/>
              </w:rPr>
            </w:pPr>
            <w:r w:rsidRPr="009145B5">
              <w:rPr>
                <w:sz w:val="20"/>
                <w:szCs w:val="20"/>
              </w:rPr>
              <w:t>Investment Industry Association of Canada;</w:t>
            </w:r>
          </w:p>
        </w:tc>
        <w:tc>
          <w:tcPr>
            <w:tcW w:w="810" w:type="dxa"/>
          </w:tcPr>
          <w:p w:rsidR="009145B5" w:rsidRPr="009145B5" w:rsidRDefault="009145B5" w:rsidP="00387177">
            <w:pPr>
              <w:rPr>
                <w:sz w:val="20"/>
                <w:szCs w:val="20"/>
              </w:rPr>
            </w:pPr>
          </w:p>
        </w:tc>
        <w:tc>
          <w:tcPr>
            <w:tcW w:w="4417" w:type="dxa"/>
          </w:tcPr>
          <w:p w:rsidR="009145B5" w:rsidRPr="009145B5" w:rsidRDefault="009145B5" w:rsidP="00387177">
            <w:pPr>
              <w:rPr>
                <w:sz w:val="20"/>
                <w:szCs w:val="20"/>
              </w:rPr>
            </w:pPr>
          </w:p>
        </w:tc>
      </w:tr>
      <w:tr w:rsidR="009145B5" w:rsidRPr="009145B5" w:rsidTr="00387177">
        <w:tc>
          <w:tcPr>
            <w:tcW w:w="1368" w:type="dxa"/>
          </w:tcPr>
          <w:p w:rsidR="009145B5" w:rsidRPr="009145B5" w:rsidRDefault="009145B5" w:rsidP="00387177">
            <w:pPr>
              <w:rPr>
                <w:sz w:val="20"/>
                <w:szCs w:val="20"/>
              </w:rPr>
            </w:pPr>
          </w:p>
        </w:tc>
        <w:tc>
          <w:tcPr>
            <w:tcW w:w="3240" w:type="dxa"/>
          </w:tcPr>
          <w:p w:rsidR="009145B5" w:rsidRPr="009145B5" w:rsidRDefault="009145B5" w:rsidP="00387177">
            <w:pPr>
              <w:rPr>
                <w:sz w:val="20"/>
                <w:szCs w:val="20"/>
              </w:rPr>
            </w:pPr>
            <w:r w:rsidRPr="009145B5">
              <w:rPr>
                <w:sz w:val="20"/>
                <w:szCs w:val="20"/>
              </w:rPr>
              <w:t>Canadian Bankers Association;</w:t>
            </w:r>
          </w:p>
        </w:tc>
        <w:tc>
          <w:tcPr>
            <w:tcW w:w="810" w:type="dxa"/>
          </w:tcPr>
          <w:p w:rsidR="009145B5" w:rsidRPr="009145B5" w:rsidRDefault="009145B5" w:rsidP="00387177">
            <w:pPr>
              <w:rPr>
                <w:sz w:val="20"/>
                <w:szCs w:val="20"/>
              </w:rPr>
            </w:pPr>
          </w:p>
        </w:tc>
        <w:tc>
          <w:tcPr>
            <w:tcW w:w="4417" w:type="dxa"/>
          </w:tcPr>
          <w:p w:rsidR="009145B5" w:rsidRPr="009145B5" w:rsidRDefault="009145B5" w:rsidP="00387177">
            <w:pPr>
              <w:rPr>
                <w:sz w:val="20"/>
                <w:szCs w:val="20"/>
              </w:rPr>
            </w:pPr>
          </w:p>
        </w:tc>
      </w:tr>
      <w:tr w:rsidR="009145B5" w:rsidRPr="001602E4" w:rsidTr="00387177">
        <w:tc>
          <w:tcPr>
            <w:tcW w:w="1368" w:type="dxa"/>
          </w:tcPr>
          <w:p w:rsidR="009145B5" w:rsidRPr="009145B5" w:rsidRDefault="009145B5" w:rsidP="00387177">
            <w:pPr>
              <w:rPr>
                <w:sz w:val="20"/>
                <w:szCs w:val="20"/>
              </w:rPr>
            </w:pPr>
          </w:p>
        </w:tc>
        <w:tc>
          <w:tcPr>
            <w:tcW w:w="3240" w:type="dxa"/>
          </w:tcPr>
          <w:p w:rsidR="009145B5" w:rsidRPr="009145B5" w:rsidRDefault="009145B5" w:rsidP="00387177">
            <w:pPr>
              <w:rPr>
                <w:sz w:val="20"/>
                <w:szCs w:val="20"/>
                <w:lang w:val="fr-CA"/>
              </w:rPr>
            </w:pPr>
            <w:r w:rsidRPr="009145B5">
              <w:rPr>
                <w:sz w:val="20"/>
                <w:szCs w:val="20"/>
                <w:lang w:val="fr-FR"/>
              </w:rPr>
              <w:t>Mouvement d'Éducation et de Défense des Actionnaires;</w:t>
            </w:r>
          </w:p>
        </w:tc>
        <w:tc>
          <w:tcPr>
            <w:tcW w:w="810" w:type="dxa"/>
          </w:tcPr>
          <w:p w:rsidR="009145B5" w:rsidRPr="009145B5" w:rsidRDefault="009145B5" w:rsidP="00387177">
            <w:pPr>
              <w:rPr>
                <w:sz w:val="20"/>
                <w:szCs w:val="20"/>
                <w:lang w:val="fr-CA"/>
              </w:rPr>
            </w:pPr>
          </w:p>
        </w:tc>
        <w:tc>
          <w:tcPr>
            <w:tcW w:w="4417" w:type="dxa"/>
          </w:tcPr>
          <w:p w:rsidR="009145B5" w:rsidRPr="009145B5" w:rsidRDefault="009145B5" w:rsidP="00387177">
            <w:pPr>
              <w:rPr>
                <w:sz w:val="20"/>
                <w:szCs w:val="20"/>
                <w:lang w:val="fr-CA"/>
              </w:rPr>
            </w:pPr>
          </w:p>
        </w:tc>
      </w:tr>
      <w:tr w:rsidR="009145B5" w:rsidRPr="009145B5" w:rsidTr="00387177">
        <w:tc>
          <w:tcPr>
            <w:tcW w:w="1368" w:type="dxa"/>
          </w:tcPr>
          <w:p w:rsidR="009145B5" w:rsidRPr="009145B5" w:rsidRDefault="009145B5" w:rsidP="00387177">
            <w:pPr>
              <w:rPr>
                <w:sz w:val="20"/>
                <w:szCs w:val="20"/>
                <w:lang w:val="fr-CA"/>
              </w:rPr>
            </w:pPr>
          </w:p>
        </w:tc>
        <w:tc>
          <w:tcPr>
            <w:tcW w:w="3240" w:type="dxa"/>
          </w:tcPr>
          <w:p w:rsidR="009145B5" w:rsidRPr="009145B5" w:rsidRDefault="009145B5" w:rsidP="00387177">
            <w:pPr>
              <w:rPr>
                <w:sz w:val="20"/>
                <w:szCs w:val="20"/>
                <w:lang w:val="fr-CA"/>
              </w:rPr>
            </w:pPr>
            <w:r w:rsidRPr="009145B5">
              <w:rPr>
                <w:sz w:val="20"/>
                <w:szCs w:val="20"/>
                <w:lang w:val="fr-FR"/>
              </w:rPr>
              <w:t>Barreau du Québec;</w:t>
            </w:r>
          </w:p>
        </w:tc>
        <w:tc>
          <w:tcPr>
            <w:tcW w:w="810" w:type="dxa"/>
          </w:tcPr>
          <w:p w:rsidR="009145B5" w:rsidRPr="009145B5" w:rsidRDefault="009145B5" w:rsidP="00387177">
            <w:pPr>
              <w:rPr>
                <w:sz w:val="20"/>
                <w:szCs w:val="20"/>
                <w:lang w:val="fr-CA"/>
              </w:rPr>
            </w:pPr>
          </w:p>
        </w:tc>
        <w:tc>
          <w:tcPr>
            <w:tcW w:w="4417" w:type="dxa"/>
          </w:tcPr>
          <w:p w:rsidR="009145B5" w:rsidRPr="009145B5" w:rsidRDefault="009145B5" w:rsidP="00387177">
            <w:pPr>
              <w:rPr>
                <w:sz w:val="20"/>
                <w:szCs w:val="20"/>
                <w:lang w:val="fr-CA"/>
              </w:rPr>
            </w:pPr>
          </w:p>
        </w:tc>
      </w:tr>
      <w:tr w:rsidR="009145B5" w:rsidRPr="009145B5" w:rsidTr="00387177">
        <w:tc>
          <w:tcPr>
            <w:tcW w:w="1368" w:type="dxa"/>
          </w:tcPr>
          <w:p w:rsidR="009145B5" w:rsidRPr="009145B5" w:rsidRDefault="009145B5" w:rsidP="00387177">
            <w:pPr>
              <w:rPr>
                <w:sz w:val="20"/>
                <w:szCs w:val="20"/>
                <w:lang w:val="fr-CA"/>
              </w:rPr>
            </w:pPr>
          </w:p>
        </w:tc>
        <w:tc>
          <w:tcPr>
            <w:tcW w:w="3240" w:type="dxa"/>
          </w:tcPr>
          <w:p w:rsidR="009145B5" w:rsidRPr="009145B5" w:rsidRDefault="009145B5" w:rsidP="00387177">
            <w:pPr>
              <w:rPr>
                <w:sz w:val="20"/>
                <w:szCs w:val="20"/>
              </w:rPr>
            </w:pPr>
            <w:r w:rsidRPr="009145B5">
              <w:rPr>
                <w:sz w:val="20"/>
                <w:szCs w:val="20"/>
              </w:rPr>
              <w:t>Ontario Teachers' Pension Plan Board;</w:t>
            </w:r>
          </w:p>
        </w:tc>
        <w:tc>
          <w:tcPr>
            <w:tcW w:w="810" w:type="dxa"/>
          </w:tcPr>
          <w:p w:rsidR="009145B5" w:rsidRPr="009145B5" w:rsidRDefault="009145B5" w:rsidP="00387177">
            <w:pPr>
              <w:rPr>
                <w:sz w:val="20"/>
                <w:szCs w:val="20"/>
              </w:rPr>
            </w:pPr>
          </w:p>
        </w:tc>
        <w:tc>
          <w:tcPr>
            <w:tcW w:w="4417" w:type="dxa"/>
          </w:tcPr>
          <w:p w:rsidR="009145B5" w:rsidRPr="009145B5" w:rsidRDefault="009145B5" w:rsidP="00387177">
            <w:pPr>
              <w:rPr>
                <w:sz w:val="20"/>
                <w:szCs w:val="20"/>
              </w:rPr>
            </w:pPr>
          </w:p>
        </w:tc>
      </w:tr>
      <w:tr w:rsidR="009145B5" w:rsidRPr="001602E4" w:rsidTr="00387177">
        <w:tc>
          <w:tcPr>
            <w:tcW w:w="1368" w:type="dxa"/>
          </w:tcPr>
          <w:p w:rsidR="009145B5" w:rsidRPr="009145B5" w:rsidRDefault="009145B5" w:rsidP="00387177">
            <w:pPr>
              <w:rPr>
                <w:sz w:val="20"/>
                <w:szCs w:val="20"/>
              </w:rPr>
            </w:pPr>
          </w:p>
        </w:tc>
        <w:tc>
          <w:tcPr>
            <w:tcW w:w="3240" w:type="dxa"/>
          </w:tcPr>
          <w:p w:rsidR="009145B5" w:rsidRPr="009145B5" w:rsidRDefault="009145B5" w:rsidP="00387177">
            <w:pPr>
              <w:spacing w:line="233" w:lineRule="auto"/>
              <w:rPr>
                <w:sz w:val="20"/>
                <w:szCs w:val="20"/>
                <w:lang w:val="fr-FR"/>
              </w:rPr>
            </w:pPr>
            <w:r w:rsidRPr="009145B5">
              <w:rPr>
                <w:sz w:val="20"/>
                <w:szCs w:val="20"/>
                <w:lang w:val="fr-FR"/>
              </w:rPr>
              <w:t>Institut sur la Gouvernance</w:t>
            </w:r>
          </w:p>
          <w:p w:rsidR="009145B5" w:rsidRPr="009145B5" w:rsidRDefault="009145B5" w:rsidP="00387177">
            <w:pPr>
              <w:rPr>
                <w:sz w:val="20"/>
                <w:szCs w:val="20"/>
                <w:lang w:val="fr-CA"/>
              </w:rPr>
            </w:pPr>
            <w:r w:rsidRPr="009145B5">
              <w:rPr>
                <w:sz w:val="20"/>
                <w:szCs w:val="20"/>
                <w:lang w:val="fr-CA"/>
              </w:rPr>
              <w:t>d'organisations privées et publiques</w:t>
            </w:r>
          </w:p>
        </w:tc>
        <w:tc>
          <w:tcPr>
            <w:tcW w:w="810" w:type="dxa"/>
          </w:tcPr>
          <w:p w:rsidR="009145B5" w:rsidRPr="009145B5" w:rsidRDefault="009145B5" w:rsidP="00387177">
            <w:pPr>
              <w:rPr>
                <w:sz w:val="20"/>
                <w:szCs w:val="20"/>
                <w:lang w:val="fr-CA"/>
              </w:rPr>
            </w:pPr>
          </w:p>
        </w:tc>
        <w:tc>
          <w:tcPr>
            <w:tcW w:w="4417" w:type="dxa"/>
          </w:tcPr>
          <w:p w:rsidR="009145B5" w:rsidRPr="009145B5" w:rsidRDefault="009145B5" w:rsidP="00387177">
            <w:pPr>
              <w:rPr>
                <w:sz w:val="20"/>
                <w:szCs w:val="20"/>
                <w:lang w:val="fr-CA"/>
              </w:rPr>
            </w:pPr>
          </w:p>
        </w:tc>
      </w:tr>
      <w:tr w:rsidR="009145B5" w:rsidRPr="001602E4" w:rsidTr="00387177">
        <w:tc>
          <w:tcPr>
            <w:tcW w:w="1368" w:type="dxa"/>
          </w:tcPr>
          <w:p w:rsidR="009145B5" w:rsidRPr="009145B5" w:rsidRDefault="009145B5" w:rsidP="00387177">
            <w:pPr>
              <w:rPr>
                <w:sz w:val="20"/>
                <w:szCs w:val="20"/>
                <w:lang w:val="fr-CA"/>
              </w:rPr>
            </w:pPr>
          </w:p>
        </w:tc>
        <w:tc>
          <w:tcPr>
            <w:tcW w:w="3240" w:type="dxa"/>
          </w:tcPr>
          <w:p w:rsidR="009145B5" w:rsidRPr="009145B5" w:rsidRDefault="009145B5" w:rsidP="00387177">
            <w:pPr>
              <w:rPr>
                <w:sz w:val="20"/>
                <w:szCs w:val="20"/>
                <w:lang w:val="fr-CA"/>
              </w:rPr>
            </w:pPr>
          </w:p>
        </w:tc>
        <w:tc>
          <w:tcPr>
            <w:tcW w:w="810" w:type="dxa"/>
          </w:tcPr>
          <w:p w:rsidR="009145B5" w:rsidRPr="009145B5" w:rsidRDefault="009145B5" w:rsidP="00387177">
            <w:pPr>
              <w:rPr>
                <w:sz w:val="20"/>
                <w:szCs w:val="20"/>
                <w:lang w:val="fr-CA"/>
              </w:rPr>
            </w:pPr>
          </w:p>
        </w:tc>
        <w:tc>
          <w:tcPr>
            <w:tcW w:w="4417" w:type="dxa"/>
          </w:tcPr>
          <w:p w:rsidR="009145B5" w:rsidRPr="009145B5" w:rsidRDefault="009145B5" w:rsidP="00387177">
            <w:pPr>
              <w:rPr>
                <w:sz w:val="20"/>
                <w:szCs w:val="20"/>
                <w:lang w:val="fr-CA"/>
              </w:rPr>
            </w:pPr>
          </w:p>
        </w:tc>
      </w:tr>
      <w:tr w:rsidR="009145B5" w:rsidRPr="009145B5" w:rsidTr="00387177">
        <w:tc>
          <w:tcPr>
            <w:tcW w:w="1368" w:type="dxa"/>
          </w:tcPr>
          <w:p w:rsidR="009145B5" w:rsidRPr="009145B5" w:rsidRDefault="009145B5" w:rsidP="00387177">
            <w:pPr>
              <w:rPr>
                <w:sz w:val="20"/>
                <w:szCs w:val="20"/>
              </w:rPr>
            </w:pPr>
            <w:r w:rsidRPr="009145B5">
              <w:rPr>
                <w:sz w:val="20"/>
                <w:szCs w:val="20"/>
              </w:rPr>
              <w:t>IN / DANS :</w:t>
            </w:r>
          </w:p>
        </w:tc>
        <w:tc>
          <w:tcPr>
            <w:tcW w:w="3240" w:type="dxa"/>
          </w:tcPr>
          <w:p w:rsidR="009145B5" w:rsidRPr="009145B5" w:rsidRDefault="009145B5" w:rsidP="00387177">
            <w:pPr>
              <w:jc w:val="both"/>
              <w:rPr>
                <w:sz w:val="20"/>
                <w:szCs w:val="20"/>
              </w:rPr>
            </w:pPr>
            <w:r w:rsidRPr="009145B5">
              <w:rPr>
                <w:sz w:val="20"/>
                <w:szCs w:val="20"/>
              </w:rPr>
              <w:t>In the Matter of a Reference by Governor in Council concerning the proposed Canadian Securities Act, as set out in Order in Council P.C. 2010-667, dated May 26, 2010 (Can.) (33718)</w:t>
            </w:r>
          </w:p>
        </w:tc>
        <w:tc>
          <w:tcPr>
            <w:tcW w:w="810" w:type="dxa"/>
          </w:tcPr>
          <w:p w:rsidR="009145B5" w:rsidRPr="009145B5" w:rsidRDefault="009145B5" w:rsidP="00387177">
            <w:pPr>
              <w:rPr>
                <w:sz w:val="20"/>
                <w:szCs w:val="20"/>
              </w:rPr>
            </w:pPr>
          </w:p>
        </w:tc>
        <w:tc>
          <w:tcPr>
            <w:tcW w:w="4417" w:type="dxa"/>
          </w:tcPr>
          <w:p w:rsidR="009145B5" w:rsidRPr="009145B5" w:rsidRDefault="009145B5" w:rsidP="00387177">
            <w:pPr>
              <w:rPr>
                <w:sz w:val="20"/>
                <w:szCs w:val="20"/>
              </w:rPr>
            </w:pPr>
          </w:p>
        </w:tc>
      </w:tr>
    </w:tbl>
    <w:p w:rsidR="009145B5" w:rsidRPr="009145B5" w:rsidRDefault="009145B5" w:rsidP="009145B5">
      <w:pPr>
        <w:jc w:val="both"/>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58"/>
        <w:gridCol w:w="1177"/>
      </w:tblGrid>
      <w:tr w:rsidR="009145B5" w:rsidRPr="009145B5" w:rsidTr="00387177">
        <w:tc>
          <w:tcPr>
            <w:tcW w:w="8658" w:type="dxa"/>
          </w:tcPr>
          <w:p w:rsidR="009145B5" w:rsidRPr="009145B5" w:rsidRDefault="009145B5" w:rsidP="00387177">
            <w:pPr>
              <w:spacing w:line="233" w:lineRule="auto"/>
              <w:jc w:val="both"/>
              <w:rPr>
                <w:b/>
                <w:sz w:val="20"/>
                <w:szCs w:val="20"/>
              </w:rPr>
            </w:pPr>
            <w:r w:rsidRPr="009145B5">
              <w:rPr>
                <w:b/>
                <w:sz w:val="20"/>
                <w:szCs w:val="20"/>
              </w:rPr>
              <w:t>THE FOLLOWING ORDER IS RENDERED:</w:t>
            </w:r>
          </w:p>
          <w:p w:rsidR="009145B5" w:rsidRPr="009145B5" w:rsidRDefault="009145B5" w:rsidP="00387177">
            <w:pPr>
              <w:jc w:val="both"/>
              <w:rPr>
                <w:sz w:val="20"/>
                <w:szCs w:val="20"/>
              </w:rPr>
            </w:pPr>
          </w:p>
        </w:tc>
        <w:tc>
          <w:tcPr>
            <w:tcW w:w="1177" w:type="dxa"/>
          </w:tcPr>
          <w:p w:rsidR="009145B5" w:rsidRPr="009145B5" w:rsidRDefault="009145B5" w:rsidP="00387177">
            <w:pPr>
              <w:jc w:val="both"/>
              <w:rPr>
                <w:sz w:val="20"/>
                <w:szCs w:val="20"/>
              </w:rPr>
            </w:pPr>
          </w:p>
        </w:tc>
      </w:tr>
      <w:tr w:rsidR="009145B5" w:rsidRPr="009145B5" w:rsidTr="00387177">
        <w:tc>
          <w:tcPr>
            <w:tcW w:w="8658" w:type="dxa"/>
          </w:tcPr>
          <w:p w:rsidR="009145B5" w:rsidRPr="009145B5" w:rsidRDefault="0004334C" w:rsidP="00387177">
            <w:pPr>
              <w:spacing w:line="233" w:lineRule="auto"/>
              <w:jc w:val="both"/>
              <w:rPr>
                <w:b/>
                <w:sz w:val="20"/>
                <w:szCs w:val="20"/>
              </w:rPr>
            </w:pPr>
            <w:r w:rsidRPr="009145B5">
              <w:rPr>
                <w:sz w:val="20"/>
                <w:szCs w:val="20"/>
              </w:rPr>
              <w:fldChar w:fldCharType="begin"/>
            </w:r>
            <w:r w:rsidR="009145B5" w:rsidRPr="009145B5">
              <w:rPr>
                <w:sz w:val="20"/>
                <w:szCs w:val="20"/>
              </w:rPr>
              <w:instrText xml:space="preserve"> SEQ CHAPTER \h \r 1</w:instrText>
            </w:r>
            <w:r w:rsidRPr="009145B5">
              <w:rPr>
                <w:sz w:val="20"/>
                <w:szCs w:val="20"/>
              </w:rPr>
              <w:fldChar w:fldCharType="end"/>
            </w:r>
            <w:r w:rsidR="009145B5" w:rsidRPr="009145B5">
              <w:rPr>
                <w:sz w:val="20"/>
                <w:szCs w:val="20"/>
              </w:rPr>
              <w:t>The time for oral argument by the parties in this Reference shall be as follows:</w:t>
            </w:r>
          </w:p>
          <w:p w:rsidR="009145B5" w:rsidRPr="009145B5" w:rsidRDefault="009145B5" w:rsidP="00387177">
            <w:pPr>
              <w:jc w:val="both"/>
              <w:rPr>
                <w:sz w:val="20"/>
                <w:szCs w:val="20"/>
              </w:rPr>
            </w:pPr>
          </w:p>
        </w:tc>
        <w:tc>
          <w:tcPr>
            <w:tcW w:w="1177" w:type="dxa"/>
          </w:tcPr>
          <w:p w:rsidR="009145B5" w:rsidRPr="009145B5" w:rsidRDefault="009145B5" w:rsidP="00387177">
            <w:pPr>
              <w:jc w:val="both"/>
              <w:rPr>
                <w:sz w:val="20"/>
                <w:szCs w:val="20"/>
              </w:rPr>
            </w:pPr>
          </w:p>
        </w:tc>
      </w:tr>
      <w:tr w:rsidR="009145B5" w:rsidRPr="009145B5" w:rsidTr="00387177">
        <w:tc>
          <w:tcPr>
            <w:tcW w:w="8658" w:type="dxa"/>
          </w:tcPr>
          <w:p w:rsidR="009145B5" w:rsidRPr="009145B5" w:rsidRDefault="009145B5" w:rsidP="00387177">
            <w:pPr>
              <w:jc w:val="both"/>
              <w:rPr>
                <w:sz w:val="20"/>
                <w:szCs w:val="20"/>
              </w:rPr>
            </w:pPr>
            <w:r w:rsidRPr="009145B5">
              <w:rPr>
                <w:sz w:val="20"/>
                <w:szCs w:val="20"/>
              </w:rPr>
              <w:t>The Attorney General of Canada:</w:t>
            </w:r>
          </w:p>
          <w:p w:rsidR="009145B5" w:rsidRPr="009145B5" w:rsidRDefault="009145B5" w:rsidP="00387177">
            <w:pPr>
              <w:jc w:val="both"/>
              <w:rPr>
                <w:sz w:val="20"/>
                <w:szCs w:val="20"/>
              </w:rPr>
            </w:pPr>
          </w:p>
        </w:tc>
        <w:tc>
          <w:tcPr>
            <w:tcW w:w="1177" w:type="dxa"/>
          </w:tcPr>
          <w:p w:rsidR="009145B5" w:rsidRPr="009145B5" w:rsidRDefault="009145B5" w:rsidP="00387177">
            <w:pPr>
              <w:jc w:val="right"/>
              <w:rPr>
                <w:sz w:val="20"/>
                <w:szCs w:val="20"/>
              </w:rPr>
            </w:pPr>
            <w:r w:rsidRPr="009145B5">
              <w:rPr>
                <w:sz w:val="20"/>
                <w:szCs w:val="20"/>
              </w:rPr>
              <w:t>2 hours</w:t>
            </w:r>
          </w:p>
        </w:tc>
      </w:tr>
      <w:tr w:rsidR="009145B5" w:rsidRPr="009145B5" w:rsidTr="00387177">
        <w:tc>
          <w:tcPr>
            <w:tcW w:w="8658" w:type="dxa"/>
          </w:tcPr>
          <w:p w:rsidR="009145B5" w:rsidRPr="009145B5" w:rsidRDefault="009145B5" w:rsidP="00387177">
            <w:pPr>
              <w:jc w:val="both"/>
              <w:rPr>
                <w:sz w:val="20"/>
                <w:szCs w:val="20"/>
              </w:rPr>
            </w:pPr>
            <w:r w:rsidRPr="009145B5">
              <w:rPr>
                <w:sz w:val="20"/>
                <w:szCs w:val="20"/>
              </w:rPr>
              <w:t>The Attorney General of Québec:</w:t>
            </w:r>
          </w:p>
          <w:p w:rsidR="009145B5" w:rsidRPr="009145B5" w:rsidRDefault="009145B5" w:rsidP="00387177">
            <w:pPr>
              <w:jc w:val="both"/>
              <w:rPr>
                <w:sz w:val="20"/>
                <w:szCs w:val="20"/>
              </w:rPr>
            </w:pPr>
          </w:p>
        </w:tc>
        <w:tc>
          <w:tcPr>
            <w:tcW w:w="1177" w:type="dxa"/>
          </w:tcPr>
          <w:p w:rsidR="009145B5" w:rsidRPr="009145B5" w:rsidRDefault="009145B5" w:rsidP="00387177">
            <w:pPr>
              <w:jc w:val="right"/>
              <w:rPr>
                <w:sz w:val="20"/>
                <w:szCs w:val="20"/>
              </w:rPr>
            </w:pPr>
            <w:r w:rsidRPr="009145B5">
              <w:rPr>
                <w:sz w:val="20"/>
                <w:szCs w:val="20"/>
              </w:rPr>
              <w:t>1 hour</w:t>
            </w:r>
          </w:p>
        </w:tc>
      </w:tr>
      <w:tr w:rsidR="009145B5" w:rsidRPr="009145B5" w:rsidTr="00387177">
        <w:tc>
          <w:tcPr>
            <w:tcW w:w="8658" w:type="dxa"/>
          </w:tcPr>
          <w:p w:rsidR="009145B5" w:rsidRPr="009145B5" w:rsidRDefault="009145B5" w:rsidP="00387177">
            <w:pPr>
              <w:jc w:val="both"/>
              <w:rPr>
                <w:sz w:val="20"/>
                <w:szCs w:val="20"/>
              </w:rPr>
            </w:pPr>
            <w:r w:rsidRPr="009145B5">
              <w:rPr>
                <w:sz w:val="20"/>
                <w:szCs w:val="20"/>
              </w:rPr>
              <w:t>The Attorney General of Alberta:</w:t>
            </w:r>
          </w:p>
          <w:p w:rsidR="009145B5" w:rsidRPr="009145B5" w:rsidRDefault="009145B5" w:rsidP="00387177">
            <w:pPr>
              <w:jc w:val="both"/>
              <w:rPr>
                <w:sz w:val="20"/>
                <w:szCs w:val="20"/>
              </w:rPr>
            </w:pPr>
          </w:p>
        </w:tc>
        <w:tc>
          <w:tcPr>
            <w:tcW w:w="1177" w:type="dxa"/>
          </w:tcPr>
          <w:p w:rsidR="009145B5" w:rsidRPr="009145B5" w:rsidRDefault="009145B5" w:rsidP="00387177">
            <w:pPr>
              <w:jc w:val="right"/>
              <w:rPr>
                <w:sz w:val="20"/>
                <w:szCs w:val="20"/>
              </w:rPr>
            </w:pPr>
            <w:r w:rsidRPr="009145B5">
              <w:rPr>
                <w:sz w:val="20"/>
                <w:szCs w:val="20"/>
              </w:rPr>
              <w:t>1 hour</w:t>
            </w:r>
          </w:p>
        </w:tc>
      </w:tr>
      <w:tr w:rsidR="009145B5" w:rsidRPr="009145B5" w:rsidTr="00387177">
        <w:tc>
          <w:tcPr>
            <w:tcW w:w="8658" w:type="dxa"/>
          </w:tcPr>
          <w:p w:rsidR="009145B5" w:rsidRPr="009145B5" w:rsidRDefault="009145B5" w:rsidP="00387177">
            <w:pPr>
              <w:spacing w:line="233" w:lineRule="auto"/>
              <w:rPr>
                <w:sz w:val="20"/>
                <w:szCs w:val="20"/>
              </w:rPr>
            </w:pPr>
            <w:r w:rsidRPr="009145B5">
              <w:rPr>
                <w:sz w:val="20"/>
                <w:szCs w:val="20"/>
              </w:rPr>
              <w:t xml:space="preserve">The interveners Attorneys General of Ontario, New Brunswick, Manitoba, </w:t>
            </w:r>
          </w:p>
          <w:p w:rsidR="009145B5" w:rsidRPr="009145B5" w:rsidRDefault="009145B5" w:rsidP="00387177">
            <w:pPr>
              <w:spacing w:line="233" w:lineRule="auto"/>
              <w:rPr>
                <w:sz w:val="20"/>
                <w:szCs w:val="20"/>
              </w:rPr>
            </w:pPr>
            <w:r w:rsidRPr="009145B5">
              <w:rPr>
                <w:sz w:val="20"/>
                <w:szCs w:val="20"/>
              </w:rPr>
              <w:t xml:space="preserve">British Columbia and Saskatchewan and the interveners Canadian Foundation </w:t>
            </w:r>
          </w:p>
          <w:p w:rsidR="009145B5" w:rsidRPr="009145B5" w:rsidRDefault="009145B5" w:rsidP="00387177">
            <w:pPr>
              <w:spacing w:line="233" w:lineRule="auto"/>
              <w:rPr>
                <w:sz w:val="20"/>
                <w:szCs w:val="20"/>
              </w:rPr>
            </w:pPr>
            <w:r w:rsidRPr="009145B5">
              <w:rPr>
                <w:sz w:val="20"/>
                <w:szCs w:val="20"/>
              </w:rPr>
              <w:t>for Advancement of Investor Rights, Canadian Coalition for Good Governance,</w:t>
            </w:r>
          </w:p>
          <w:p w:rsidR="009145B5" w:rsidRPr="009145B5" w:rsidRDefault="009145B5" w:rsidP="00387177">
            <w:pPr>
              <w:spacing w:line="233" w:lineRule="auto"/>
              <w:jc w:val="both"/>
              <w:rPr>
                <w:sz w:val="20"/>
                <w:szCs w:val="20"/>
              </w:rPr>
            </w:pPr>
            <w:r w:rsidRPr="009145B5">
              <w:rPr>
                <w:sz w:val="20"/>
                <w:szCs w:val="20"/>
              </w:rPr>
              <w:t xml:space="preserve">Investment Industry Association of Canada, Canadian Bankers Association, </w:t>
            </w:r>
          </w:p>
          <w:p w:rsidR="009145B5" w:rsidRPr="009145B5" w:rsidRDefault="009145B5" w:rsidP="00387177">
            <w:pPr>
              <w:spacing w:line="233" w:lineRule="auto"/>
              <w:rPr>
                <w:sz w:val="20"/>
                <w:szCs w:val="20"/>
                <w:lang w:val="fr-FR"/>
              </w:rPr>
            </w:pPr>
            <w:r w:rsidRPr="009145B5">
              <w:rPr>
                <w:sz w:val="20"/>
                <w:szCs w:val="20"/>
                <w:lang w:val="fr-FR"/>
              </w:rPr>
              <w:t xml:space="preserve">Mouvement d'Éducation et de Défense des Actionnaires, Barreau du Québec, </w:t>
            </w:r>
          </w:p>
          <w:p w:rsidR="009145B5" w:rsidRPr="009145B5" w:rsidRDefault="009145B5" w:rsidP="00387177">
            <w:pPr>
              <w:spacing w:line="233" w:lineRule="auto"/>
              <w:rPr>
                <w:sz w:val="20"/>
                <w:szCs w:val="20"/>
                <w:lang w:val="fr-FR"/>
              </w:rPr>
            </w:pPr>
            <w:r w:rsidRPr="009145B5">
              <w:rPr>
                <w:sz w:val="20"/>
                <w:szCs w:val="20"/>
                <w:lang w:val="fr-FR"/>
              </w:rPr>
              <w:t xml:space="preserve">Ontario </w:t>
            </w:r>
            <w:proofErr w:type="spellStart"/>
            <w:r w:rsidRPr="009145B5">
              <w:rPr>
                <w:sz w:val="20"/>
                <w:szCs w:val="20"/>
                <w:lang w:val="fr-FR"/>
              </w:rPr>
              <w:t>Teachers</w:t>
            </w:r>
            <w:proofErr w:type="spellEnd"/>
            <w:r w:rsidRPr="009145B5">
              <w:rPr>
                <w:sz w:val="20"/>
                <w:szCs w:val="20"/>
                <w:lang w:val="fr-FR"/>
              </w:rPr>
              <w:t xml:space="preserve">' Pension Plan </w:t>
            </w:r>
            <w:proofErr w:type="spellStart"/>
            <w:r w:rsidRPr="009145B5">
              <w:rPr>
                <w:sz w:val="20"/>
                <w:szCs w:val="20"/>
                <w:lang w:val="fr-FR"/>
              </w:rPr>
              <w:t>Board</w:t>
            </w:r>
            <w:proofErr w:type="spellEnd"/>
            <w:r w:rsidRPr="009145B5">
              <w:rPr>
                <w:sz w:val="20"/>
                <w:szCs w:val="20"/>
                <w:lang w:val="fr-FR"/>
              </w:rPr>
              <w:t xml:space="preserve"> and Institut sur la Gouvernance</w:t>
            </w:r>
          </w:p>
          <w:p w:rsidR="009145B5" w:rsidRPr="009145B5" w:rsidRDefault="009145B5" w:rsidP="00387177">
            <w:pPr>
              <w:jc w:val="both"/>
              <w:rPr>
                <w:sz w:val="20"/>
                <w:szCs w:val="20"/>
                <w:lang w:val="fr-CA"/>
              </w:rPr>
            </w:pPr>
            <w:r w:rsidRPr="009145B5">
              <w:rPr>
                <w:sz w:val="20"/>
                <w:szCs w:val="20"/>
                <w:lang w:val="fr-CA"/>
              </w:rPr>
              <w:t>d'organisations privées et publiques:</w:t>
            </w:r>
          </w:p>
          <w:p w:rsidR="009145B5" w:rsidRPr="009145B5" w:rsidRDefault="009145B5" w:rsidP="00387177">
            <w:pPr>
              <w:jc w:val="both"/>
              <w:rPr>
                <w:sz w:val="20"/>
                <w:szCs w:val="20"/>
                <w:lang w:val="fr-CA"/>
              </w:rPr>
            </w:pPr>
          </w:p>
        </w:tc>
        <w:tc>
          <w:tcPr>
            <w:tcW w:w="1177" w:type="dxa"/>
          </w:tcPr>
          <w:p w:rsidR="009145B5" w:rsidRPr="009145B5" w:rsidRDefault="009145B5" w:rsidP="00387177">
            <w:pPr>
              <w:jc w:val="right"/>
              <w:rPr>
                <w:sz w:val="20"/>
                <w:szCs w:val="20"/>
              </w:rPr>
            </w:pPr>
            <w:r w:rsidRPr="009145B5">
              <w:rPr>
                <w:sz w:val="20"/>
                <w:szCs w:val="20"/>
              </w:rPr>
              <w:t>15 minutes</w:t>
            </w:r>
          </w:p>
        </w:tc>
      </w:tr>
      <w:tr w:rsidR="009145B5" w:rsidRPr="009145B5" w:rsidTr="00387177">
        <w:tc>
          <w:tcPr>
            <w:tcW w:w="8658" w:type="dxa"/>
          </w:tcPr>
          <w:p w:rsidR="009145B5" w:rsidRPr="009145B5" w:rsidRDefault="009145B5" w:rsidP="00387177">
            <w:pPr>
              <w:jc w:val="both"/>
              <w:rPr>
                <w:sz w:val="20"/>
                <w:szCs w:val="20"/>
              </w:rPr>
            </w:pPr>
            <w:r w:rsidRPr="009145B5">
              <w:rPr>
                <w:sz w:val="20"/>
                <w:szCs w:val="20"/>
              </w:rPr>
              <w:lastRenderedPageBreak/>
              <w:t>Reply by the Attorney General of Canada:</w:t>
            </w:r>
          </w:p>
        </w:tc>
        <w:tc>
          <w:tcPr>
            <w:tcW w:w="1177" w:type="dxa"/>
          </w:tcPr>
          <w:p w:rsidR="009145B5" w:rsidRPr="009145B5" w:rsidRDefault="009145B5" w:rsidP="00387177">
            <w:pPr>
              <w:jc w:val="right"/>
              <w:rPr>
                <w:sz w:val="20"/>
                <w:szCs w:val="20"/>
              </w:rPr>
            </w:pPr>
            <w:r w:rsidRPr="009145B5">
              <w:rPr>
                <w:sz w:val="20"/>
                <w:szCs w:val="20"/>
              </w:rPr>
              <w:t>5 minutes</w:t>
            </w:r>
          </w:p>
        </w:tc>
      </w:tr>
    </w:tbl>
    <w:p w:rsidR="009145B5" w:rsidRPr="009145B5" w:rsidRDefault="009145B5" w:rsidP="009145B5">
      <w:pPr>
        <w:jc w:val="both"/>
        <w:rPr>
          <w:sz w:val="20"/>
          <w:szCs w:val="20"/>
        </w:rPr>
      </w:pPr>
    </w:p>
    <w:p w:rsidR="009145B5" w:rsidRPr="009145B5" w:rsidRDefault="009145B5" w:rsidP="009145B5">
      <w:pPr>
        <w:jc w:val="both"/>
        <w:rPr>
          <w:sz w:val="20"/>
          <w:szCs w:val="20"/>
        </w:rPr>
      </w:pPr>
    </w:p>
    <w:p w:rsidR="009145B5" w:rsidRPr="009145B5" w:rsidRDefault="009145B5" w:rsidP="009145B5">
      <w:pPr>
        <w:jc w:val="both"/>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58"/>
        <w:gridCol w:w="1177"/>
      </w:tblGrid>
      <w:tr w:rsidR="009145B5" w:rsidRPr="009145B5" w:rsidTr="00387177">
        <w:tc>
          <w:tcPr>
            <w:tcW w:w="8658" w:type="dxa"/>
          </w:tcPr>
          <w:p w:rsidR="009145B5" w:rsidRPr="009145B5" w:rsidRDefault="0004334C" w:rsidP="00387177">
            <w:pPr>
              <w:rPr>
                <w:b/>
                <w:bCs/>
                <w:sz w:val="20"/>
                <w:szCs w:val="20"/>
                <w:lang w:val="fr-CA"/>
              </w:rPr>
            </w:pPr>
            <w:r w:rsidRPr="009145B5">
              <w:rPr>
                <w:sz w:val="20"/>
                <w:szCs w:val="20"/>
                <w:lang w:val="fr-FR"/>
              </w:rPr>
              <w:fldChar w:fldCharType="begin"/>
            </w:r>
            <w:r w:rsidR="009145B5" w:rsidRPr="009145B5">
              <w:rPr>
                <w:sz w:val="20"/>
                <w:szCs w:val="20"/>
              </w:rPr>
              <w:instrText xml:space="preserve"> SEQ CHAPTER \h </w:instrText>
            </w:r>
            <w:r w:rsidR="009145B5" w:rsidRPr="009145B5">
              <w:rPr>
                <w:sz w:val="20"/>
                <w:szCs w:val="20"/>
                <w:lang w:val="fr-FR"/>
              </w:rPr>
              <w:instrText>\r 1</w:instrText>
            </w:r>
            <w:r w:rsidRPr="009145B5">
              <w:rPr>
                <w:sz w:val="20"/>
                <w:szCs w:val="20"/>
                <w:lang w:val="fr-FR"/>
              </w:rPr>
              <w:fldChar w:fldCharType="end"/>
            </w:r>
            <w:r w:rsidR="009145B5" w:rsidRPr="009145B5">
              <w:rPr>
                <w:b/>
                <w:bCs/>
                <w:sz w:val="20"/>
                <w:szCs w:val="20"/>
                <w:lang w:val="fr-FR"/>
              </w:rPr>
              <w:t>L’ORDONNANCE SUIVANTE EST RENDU</w:t>
            </w:r>
            <w:r w:rsidR="009145B5" w:rsidRPr="009145B5">
              <w:rPr>
                <w:b/>
                <w:bCs/>
                <w:sz w:val="20"/>
                <w:szCs w:val="20"/>
                <w:lang w:val="fr-CA"/>
              </w:rPr>
              <w:t>E :</w:t>
            </w:r>
          </w:p>
          <w:p w:rsidR="009145B5" w:rsidRPr="009145B5" w:rsidRDefault="009145B5" w:rsidP="00387177">
            <w:pPr>
              <w:jc w:val="both"/>
              <w:rPr>
                <w:sz w:val="20"/>
                <w:szCs w:val="20"/>
              </w:rPr>
            </w:pPr>
          </w:p>
        </w:tc>
        <w:tc>
          <w:tcPr>
            <w:tcW w:w="1177" w:type="dxa"/>
          </w:tcPr>
          <w:p w:rsidR="009145B5" w:rsidRPr="009145B5" w:rsidRDefault="009145B5" w:rsidP="00387177">
            <w:pPr>
              <w:jc w:val="both"/>
              <w:rPr>
                <w:sz w:val="20"/>
                <w:szCs w:val="20"/>
              </w:rPr>
            </w:pPr>
          </w:p>
        </w:tc>
      </w:tr>
      <w:tr w:rsidR="009145B5" w:rsidRPr="001602E4" w:rsidTr="00387177">
        <w:tc>
          <w:tcPr>
            <w:tcW w:w="8658" w:type="dxa"/>
          </w:tcPr>
          <w:p w:rsidR="009145B5" w:rsidRPr="009145B5" w:rsidRDefault="0004334C" w:rsidP="00387177">
            <w:pPr>
              <w:rPr>
                <w:b/>
                <w:bCs/>
                <w:sz w:val="20"/>
                <w:szCs w:val="20"/>
                <w:lang w:val="fr-FR"/>
              </w:rPr>
            </w:pPr>
            <w:r w:rsidRPr="009145B5">
              <w:rPr>
                <w:sz w:val="20"/>
                <w:szCs w:val="20"/>
                <w:lang w:val="fr-FR"/>
              </w:rPr>
              <w:fldChar w:fldCharType="begin"/>
            </w:r>
            <w:r w:rsidR="009145B5" w:rsidRPr="009145B5">
              <w:rPr>
                <w:sz w:val="20"/>
                <w:szCs w:val="20"/>
                <w:lang w:val="fr-FR"/>
              </w:rPr>
              <w:instrText xml:space="preserve"> SEQ CHAPTER \h \r 1</w:instrText>
            </w:r>
            <w:r w:rsidRPr="009145B5">
              <w:rPr>
                <w:sz w:val="20"/>
                <w:szCs w:val="20"/>
                <w:lang w:val="fr-FR"/>
              </w:rPr>
              <w:fldChar w:fldCharType="end"/>
            </w:r>
            <w:r w:rsidR="009145B5" w:rsidRPr="009145B5">
              <w:rPr>
                <w:sz w:val="20"/>
                <w:szCs w:val="20"/>
                <w:lang w:val="fr-FR"/>
              </w:rPr>
              <w:t xml:space="preserve">Le temps alloué pour les plaidoiries orales à l’audition de ce renvoi </w:t>
            </w:r>
            <w:r w:rsidRPr="009145B5">
              <w:rPr>
                <w:sz w:val="20"/>
                <w:szCs w:val="20"/>
                <w:lang w:val="fr-FR"/>
              </w:rPr>
              <w:fldChar w:fldCharType="begin"/>
            </w:r>
            <w:r w:rsidR="009145B5" w:rsidRPr="009145B5">
              <w:rPr>
                <w:sz w:val="20"/>
                <w:szCs w:val="20"/>
                <w:lang w:val="fr-FR"/>
              </w:rPr>
              <w:instrText xml:space="preserve"> SEQ CHAPTER \h \r 1</w:instrText>
            </w:r>
            <w:r w:rsidRPr="009145B5">
              <w:rPr>
                <w:sz w:val="20"/>
                <w:szCs w:val="20"/>
                <w:lang w:val="fr-FR"/>
              </w:rPr>
              <w:fldChar w:fldCharType="end"/>
            </w:r>
            <w:r w:rsidR="009145B5" w:rsidRPr="009145B5">
              <w:rPr>
                <w:sz w:val="20"/>
                <w:szCs w:val="20"/>
                <w:lang w:val="fr-FR"/>
              </w:rPr>
              <w:t>sera réparti comme suit :</w:t>
            </w:r>
          </w:p>
          <w:p w:rsidR="009145B5" w:rsidRPr="009145B5" w:rsidRDefault="009145B5" w:rsidP="00387177">
            <w:pPr>
              <w:jc w:val="both"/>
              <w:rPr>
                <w:sz w:val="20"/>
                <w:szCs w:val="20"/>
                <w:lang w:val="fr-FR"/>
              </w:rPr>
            </w:pPr>
          </w:p>
        </w:tc>
        <w:tc>
          <w:tcPr>
            <w:tcW w:w="1177" w:type="dxa"/>
          </w:tcPr>
          <w:p w:rsidR="009145B5" w:rsidRPr="009145B5" w:rsidRDefault="009145B5" w:rsidP="00387177">
            <w:pPr>
              <w:jc w:val="both"/>
              <w:rPr>
                <w:sz w:val="20"/>
                <w:szCs w:val="20"/>
                <w:lang w:val="fr-CA"/>
              </w:rPr>
            </w:pPr>
          </w:p>
        </w:tc>
      </w:tr>
      <w:tr w:rsidR="009145B5" w:rsidRPr="009145B5" w:rsidTr="00387177">
        <w:tc>
          <w:tcPr>
            <w:tcW w:w="8658" w:type="dxa"/>
          </w:tcPr>
          <w:p w:rsidR="009145B5" w:rsidRPr="009145B5" w:rsidRDefault="009145B5" w:rsidP="00387177">
            <w:pPr>
              <w:jc w:val="both"/>
              <w:rPr>
                <w:bCs/>
                <w:sz w:val="20"/>
                <w:szCs w:val="20"/>
                <w:lang w:val="fr-CA"/>
              </w:rPr>
            </w:pPr>
            <w:r w:rsidRPr="009145B5">
              <w:rPr>
                <w:bCs/>
                <w:sz w:val="20"/>
                <w:szCs w:val="20"/>
                <w:lang w:val="fr-CA"/>
              </w:rPr>
              <w:t>Le procureur général du Canada :</w:t>
            </w:r>
          </w:p>
          <w:p w:rsidR="009145B5" w:rsidRPr="009145B5" w:rsidRDefault="009145B5" w:rsidP="00387177">
            <w:pPr>
              <w:jc w:val="both"/>
              <w:rPr>
                <w:sz w:val="20"/>
                <w:szCs w:val="20"/>
                <w:lang w:val="fr-CA"/>
              </w:rPr>
            </w:pPr>
          </w:p>
        </w:tc>
        <w:tc>
          <w:tcPr>
            <w:tcW w:w="1177" w:type="dxa"/>
          </w:tcPr>
          <w:p w:rsidR="009145B5" w:rsidRPr="009145B5" w:rsidRDefault="009145B5" w:rsidP="00387177">
            <w:pPr>
              <w:jc w:val="right"/>
              <w:rPr>
                <w:sz w:val="20"/>
                <w:szCs w:val="20"/>
                <w:lang w:val="fr-CA"/>
              </w:rPr>
            </w:pPr>
            <w:r w:rsidRPr="009145B5">
              <w:rPr>
                <w:bCs/>
                <w:sz w:val="20"/>
                <w:szCs w:val="20"/>
                <w:lang w:val="fr-CA"/>
              </w:rPr>
              <w:t>2 heures</w:t>
            </w:r>
          </w:p>
        </w:tc>
      </w:tr>
      <w:tr w:rsidR="009145B5" w:rsidRPr="009145B5" w:rsidTr="00387177">
        <w:tc>
          <w:tcPr>
            <w:tcW w:w="8658" w:type="dxa"/>
          </w:tcPr>
          <w:p w:rsidR="009145B5" w:rsidRPr="009145B5" w:rsidRDefault="009145B5" w:rsidP="00387177">
            <w:pPr>
              <w:jc w:val="both"/>
              <w:rPr>
                <w:bCs/>
                <w:sz w:val="20"/>
                <w:szCs w:val="20"/>
                <w:lang w:val="fr-CA"/>
              </w:rPr>
            </w:pPr>
            <w:r w:rsidRPr="009145B5">
              <w:rPr>
                <w:bCs/>
                <w:sz w:val="20"/>
                <w:szCs w:val="20"/>
                <w:lang w:val="fr-CA"/>
              </w:rPr>
              <w:t>Le procureur général du Québec </w:t>
            </w:r>
          </w:p>
          <w:p w:rsidR="009145B5" w:rsidRPr="009145B5" w:rsidRDefault="009145B5" w:rsidP="00387177">
            <w:pPr>
              <w:jc w:val="both"/>
              <w:rPr>
                <w:sz w:val="20"/>
                <w:szCs w:val="20"/>
                <w:lang w:val="fr-CA"/>
              </w:rPr>
            </w:pPr>
          </w:p>
        </w:tc>
        <w:tc>
          <w:tcPr>
            <w:tcW w:w="1177" w:type="dxa"/>
          </w:tcPr>
          <w:p w:rsidR="009145B5" w:rsidRPr="009145B5" w:rsidRDefault="009145B5" w:rsidP="00387177">
            <w:pPr>
              <w:jc w:val="right"/>
              <w:rPr>
                <w:sz w:val="20"/>
                <w:szCs w:val="20"/>
                <w:lang w:val="fr-CA"/>
              </w:rPr>
            </w:pPr>
            <w:r w:rsidRPr="009145B5">
              <w:rPr>
                <w:bCs/>
                <w:sz w:val="20"/>
                <w:szCs w:val="20"/>
                <w:lang w:val="fr-CA"/>
              </w:rPr>
              <w:t>1 heure</w:t>
            </w:r>
          </w:p>
        </w:tc>
      </w:tr>
      <w:tr w:rsidR="009145B5" w:rsidRPr="009145B5" w:rsidTr="00387177">
        <w:tc>
          <w:tcPr>
            <w:tcW w:w="8658" w:type="dxa"/>
          </w:tcPr>
          <w:p w:rsidR="009145B5" w:rsidRPr="009145B5" w:rsidRDefault="009145B5" w:rsidP="00387177">
            <w:pPr>
              <w:jc w:val="both"/>
              <w:rPr>
                <w:bCs/>
                <w:sz w:val="20"/>
                <w:szCs w:val="20"/>
                <w:lang w:val="fr-CA"/>
              </w:rPr>
            </w:pPr>
            <w:r w:rsidRPr="009145B5">
              <w:rPr>
                <w:bCs/>
                <w:sz w:val="20"/>
                <w:szCs w:val="20"/>
                <w:lang w:val="fr-CA"/>
              </w:rPr>
              <w:t>Le procureur général de l’Alberta </w:t>
            </w:r>
          </w:p>
          <w:p w:rsidR="009145B5" w:rsidRPr="009145B5" w:rsidRDefault="009145B5" w:rsidP="00387177">
            <w:pPr>
              <w:jc w:val="both"/>
              <w:rPr>
                <w:sz w:val="20"/>
                <w:szCs w:val="20"/>
                <w:lang w:val="fr-CA"/>
              </w:rPr>
            </w:pPr>
          </w:p>
        </w:tc>
        <w:tc>
          <w:tcPr>
            <w:tcW w:w="1177" w:type="dxa"/>
          </w:tcPr>
          <w:p w:rsidR="009145B5" w:rsidRPr="009145B5" w:rsidRDefault="009145B5" w:rsidP="00387177">
            <w:pPr>
              <w:jc w:val="right"/>
              <w:rPr>
                <w:sz w:val="20"/>
                <w:szCs w:val="20"/>
                <w:lang w:val="fr-CA"/>
              </w:rPr>
            </w:pPr>
            <w:r w:rsidRPr="009145B5">
              <w:rPr>
                <w:bCs/>
                <w:sz w:val="20"/>
                <w:szCs w:val="20"/>
                <w:lang w:val="fr-CA"/>
              </w:rPr>
              <w:t>1 heure</w:t>
            </w:r>
          </w:p>
        </w:tc>
      </w:tr>
      <w:tr w:rsidR="009145B5" w:rsidRPr="009145B5" w:rsidTr="00387177">
        <w:tc>
          <w:tcPr>
            <w:tcW w:w="8658" w:type="dxa"/>
          </w:tcPr>
          <w:p w:rsidR="009145B5" w:rsidRPr="009145B5" w:rsidRDefault="009145B5" w:rsidP="00387177">
            <w:pPr>
              <w:spacing w:line="233" w:lineRule="auto"/>
              <w:rPr>
                <w:bCs/>
                <w:sz w:val="20"/>
                <w:szCs w:val="20"/>
                <w:lang w:val="fr-CA"/>
              </w:rPr>
            </w:pPr>
            <w:r w:rsidRPr="009145B5">
              <w:rPr>
                <w:bCs/>
                <w:sz w:val="20"/>
                <w:szCs w:val="20"/>
                <w:lang w:val="fr-CA"/>
              </w:rPr>
              <w:t>Les intervenants les procureurs généraux de l’Ontario, du Nouveau-Brunswick,</w:t>
            </w:r>
          </w:p>
          <w:p w:rsidR="009145B5" w:rsidRPr="009145B5" w:rsidRDefault="009145B5" w:rsidP="00387177">
            <w:pPr>
              <w:spacing w:line="233" w:lineRule="auto"/>
              <w:rPr>
                <w:bCs/>
                <w:sz w:val="20"/>
                <w:szCs w:val="20"/>
                <w:lang w:val="fr-CA"/>
              </w:rPr>
            </w:pPr>
            <w:r w:rsidRPr="009145B5">
              <w:rPr>
                <w:bCs/>
                <w:sz w:val="20"/>
                <w:szCs w:val="20"/>
                <w:lang w:val="fr-CA"/>
              </w:rPr>
              <w:t xml:space="preserve">du Manitoba, de la Colombie-Britannique et de la Saskatchewan, et les </w:t>
            </w:r>
          </w:p>
          <w:p w:rsidR="009145B5" w:rsidRPr="009145B5" w:rsidRDefault="009145B5" w:rsidP="00387177">
            <w:pPr>
              <w:spacing w:line="233" w:lineRule="auto"/>
              <w:rPr>
                <w:sz w:val="20"/>
                <w:szCs w:val="20"/>
                <w:lang w:val="fr-CA"/>
              </w:rPr>
            </w:pPr>
            <w:r w:rsidRPr="009145B5">
              <w:rPr>
                <w:bCs/>
                <w:sz w:val="20"/>
                <w:szCs w:val="20"/>
                <w:lang w:val="fr-CA"/>
              </w:rPr>
              <w:t xml:space="preserve">intervenants la </w:t>
            </w:r>
            <w:r w:rsidRPr="009145B5">
              <w:rPr>
                <w:sz w:val="20"/>
                <w:szCs w:val="20"/>
                <w:lang w:val="fr-CA"/>
              </w:rPr>
              <w:t xml:space="preserve">Fondation canadienne pour l'avancement des droits des </w:t>
            </w:r>
          </w:p>
          <w:p w:rsidR="009145B5" w:rsidRPr="009145B5" w:rsidRDefault="009145B5" w:rsidP="00387177">
            <w:pPr>
              <w:spacing w:line="233" w:lineRule="auto"/>
              <w:rPr>
                <w:sz w:val="20"/>
                <w:szCs w:val="20"/>
                <w:lang w:val="fr-CA"/>
              </w:rPr>
            </w:pPr>
            <w:r w:rsidRPr="009145B5">
              <w:rPr>
                <w:sz w:val="20"/>
                <w:szCs w:val="20"/>
                <w:lang w:val="fr-CA"/>
              </w:rPr>
              <w:t>investisseurs, la Coalition canadienne pour une saine gestion des entreprises,</w:t>
            </w:r>
          </w:p>
          <w:p w:rsidR="009145B5" w:rsidRPr="009145B5" w:rsidRDefault="009145B5" w:rsidP="00387177">
            <w:pPr>
              <w:spacing w:line="233" w:lineRule="auto"/>
              <w:rPr>
                <w:sz w:val="20"/>
                <w:szCs w:val="20"/>
                <w:lang w:val="fr-CA"/>
              </w:rPr>
            </w:pPr>
            <w:r w:rsidRPr="009145B5">
              <w:rPr>
                <w:sz w:val="20"/>
                <w:szCs w:val="20"/>
                <w:lang w:val="fr-CA"/>
              </w:rPr>
              <w:t>l’Association canadienne</w:t>
            </w:r>
            <w:r w:rsidRPr="009145B5">
              <w:rPr>
                <w:bCs/>
                <w:sz w:val="20"/>
                <w:szCs w:val="20"/>
                <w:lang w:val="fr-CA"/>
              </w:rPr>
              <w:t xml:space="preserve"> </w:t>
            </w:r>
            <w:r w:rsidRPr="009145B5">
              <w:rPr>
                <w:sz w:val="20"/>
                <w:szCs w:val="20"/>
                <w:lang w:val="fr-CA"/>
              </w:rPr>
              <w:t>du commerce des valeurs mobilières, l’Association</w:t>
            </w:r>
          </w:p>
          <w:p w:rsidR="009145B5" w:rsidRPr="009145B5" w:rsidRDefault="009145B5" w:rsidP="00387177">
            <w:pPr>
              <w:spacing w:line="233" w:lineRule="auto"/>
              <w:rPr>
                <w:sz w:val="20"/>
                <w:szCs w:val="20"/>
                <w:lang w:val="fr-CA"/>
              </w:rPr>
            </w:pPr>
            <w:r w:rsidRPr="009145B5">
              <w:rPr>
                <w:sz w:val="20"/>
                <w:szCs w:val="20"/>
                <w:lang w:val="fr-CA"/>
              </w:rPr>
              <w:t xml:space="preserve">des banquiers canadiens, le Mouvement d'éducation et de défense des </w:t>
            </w:r>
          </w:p>
          <w:p w:rsidR="009145B5" w:rsidRPr="009145B5" w:rsidRDefault="009145B5" w:rsidP="00387177">
            <w:pPr>
              <w:spacing w:line="233" w:lineRule="auto"/>
              <w:rPr>
                <w:sz w:val="20"/>
                <w:szCs w:val="20"/>
                <w:lang w:val="fr-CA"/>
              </w:rPr>
            </w:pPr>
            <w:r w:rsidRPr="009145B5">
              <w:rPr>
                <w:sz w:val="20"/>
                <w:szCs w:val="20"/>
                <w:lang w:val="fr-CA"/>
              </w:rPr>
              <w:t xml:space="preserve">actionnaires, le Barreau du Québec, le Régime de retraite des enseignantes et </w:t>
            </w:r>
          </w:p>
          <w:p w:rsidR="009145B5" w:rsidRPr="009145B5" w:rsidRDefault="009145B5" w:rsidP="00387177">
            <w:pPr>
              <w:spacing w:line="233" w:lineRule="auto"/>
              <w:rPr>
                <w:sz w:val="20"/>
                <w:szCs w:val="20"/>
                <w:lang w:val="fr-FR"/>
              </w:rPr>
            </w:pPr>
            <w:r w:rsidRPr="009145B5">
              <w:rPr>
                <w:sz w:val="20"/>
                <w:szCs w:val="20"/>
                <w:lang w:val="fr-CA"/>
              </w:rPr>
              <w:t>des enseignants de l'Ontario et l’</w:t>
            </w:r>
            <w:r w:rsidRPr="009145B5">
              <w:rPr>
                <w:sz w:val="20"/>
                <w:szCs w:val="20"/>
                <w:lang w:val="fr-FR"/>
              </w:rPr>
              <w:t xml:space="preserve">Institut sur la gouvernance d'organisations </w:t>
            </w:r>
          </w:p>
          <w:p w:rsidR="009145B5" w:rsidRPr="009145B5" w:rsidRDefault="009145B5" w:rsidP="00387177">
            <w:pPr>
              <w:jc w:val="both"/>
              <w:rPr>
                <w:sz w:val="20"/>
                <w:szCs w:val="20"/>
                <w:lang w:val="fr-FR"/>
              </w:rPr>
            </w:pPr>
            <w:r w:rsidRPr="009145B5">
              <w:rPr>
                <w:sz w:val="20"/>
                <w:szCs w:val="20"/>
                <w:lang w:val="fr-FR"/>
              </w:rPr>
              <w:t>privées et publiques :</w:t>
            </w:r>
          </w:p>
          <w:p w:rsidR="009145B5" w:rsidRPr="009145B5" w:rsidRDefault="009145B5" w:rsidP="00387177">
            <w:pPr>
              <w:jc w:val="both"/>
              <w:rPr>
                <w:sz w:val="20"/>
                <w:szCs w:val="20"/>
                <w:lang w:val="fr-CA"/>
              </w:rPr>
            </w:pPr>
          </w:p>
        </w:tc>
        <w:tc>
          <w:tcPr>
            <w:tcW w:w="1177" w:type="dxa"/>
          </w:tcPr>
          <w:p w:rsidR="009145B5" w:rsidRPr="009145B5" w:rsidRDefault="009145B5" w:rsidP="00387177">
            <w:pPr>
              <w:jc w:val="right"/>
              <w:rPr>
                <w:sz w:val="20"/>
                <w:szCs w:val="20"/>
                <w:lang w:val="fr-CA"/>
              </w:rPr>
            </w:pPr>
            <w:r w:rsidRPr="009145B5">
              <w:rPr>
                <w:bCs/>
                <w:sz w:val="20"/>
                <w:szCs w:val="20"/>
                <w:lang w:val="fr-CA"/>
              </w:rPr>
              <w:t>15 minutes</w:t>
            </w:r>
          </w:p>
        </w:tc>
      </w:tr>
      <w:tr w:rsidR="009145B5" w:rsidRPr="009145B5" w:rsidTr="00387177">
        <w:tc>
          <w:tcPr>
            <w:tcW w:w="8658" w:type="dxa"/>
          </w:tcPr>
          <w:p w:rsidR="009145B5" w:rsidRPr="009145B5" w:rsidRDefault="009145B5" w:rsidP="00387177">
            <w:pPr>
              <w:jc w:val="both"/>
              <w:rPr>
                <w:sz w:val="20"/>
                <w:szCs w:val="20"/>
                <w:lang w:val="fr-CA"/>
              </w:rPr>
            </w:pPr>
            <w:r w:rsidRPr="009145B5">
              <w:rPr>
                <w:bCs/>
                <w:sz w:val="20"/>
                <w:szCs w:val="20"/>
                <w:lang w:val="fr-CA"/>
              </w:rPr>
              <w:t>Réplique du procureur général du Canada :</w:t>
            </w:r>
          </w:p>
        </w:tc>
        <w:tc>
          <w:tcPr>
            <w:tcW w:w="1177" w:type="dxa"/>
          </w:tcPr>
          <w:p w:rsidR="009145B5" w:rsidRPr="009145B5" w:rsidRDefault="009145B5" w:rsidP="00387177">
            <w:pPr>
              <w:jc w:val="right"/>
              <w:rPr>
                <w:sz w:val="20"/>
                <w:szCs w:val="20"/>
                <w:lang w:val="fr-CA"/>
              </w:rPr>
            </w:pPr>
            <w:r w:rsidRPr="009145B5">
              <w:rPr>
                <w:bCs/>
                <w:sz w:val="20"/>
                <w:szCs w:val="20"/>
                <w:lang w:val="fr-CA"/>
              </w:rPr>
              <w:t>5 minutes</w:t>
            </w:r>
          </w:p>
        </w:tc>
      </w:tr>
    </w:tbl>
    <w:p w:rsidR="009145B5" w:rsidRPr="009145B5" w:rsidRDefault="009145B5" w:rsidP="009145B5">
      <w:pPr>
        <w:jc w:val="both"/>
        <w:rPr>
          <w:sz w:val="20"/>
          <w:szCs w:val="20"/>
          <w:lang w:val="fr-CA"/>
        </w:rPr>
      </w:pPr>
    </w:p>
    <w:p w:rsidR="009145B5" w:rsidRPr="009145B5" w:rsidRDefault="0004334C" w:rsidP="009145B5">
      <w:pPr>
        <w:jc w:val="both"/>
        <w:rPr>
          <w:sz w:val="20"/>
          <w:szCs w:val="20"/>
          <w:lang w:val="fr-CA"/>
        </w:rPr>
      </w:pPr>
      <w:r w:rsidRPr="0004334C">
        <w:rPr>
          <w:sz w:val="20"/>
          <w:szCs w:val="20"/>
          <w:lang w:val="fr-CA"/>
        </w:rPr>
        <w:pict>
          <v:rect id="_x0000_i1074" style="width:2in;height:1pt" o:hrpct="0" o:hralign="center" o:hrstd="t" o:hrnoshade="t" o:hr="t" fillcolor="black [3213]" stroked="f"/>
        </w:pict>
      </w:r>
    </w:p>
    <w:p w:rsidR="009145B5" w:rsidRPr="00C50A5C" w:rsidRDefault="009145B5" w:rsidP="00890FEB">
      <w:pPr>
        <w:rPr>
          <w:sz w:val="20"/>
          <w:szCs w:val="20"/>
        </w:rPr>
      </w:pPr>
    </w:p>
    <w:p w:rsidR="00890FEB" w:rsidRPr="00C50A5C" w:rsidRDefault="00890FEB" w:rsidP="00890FEB">
      <w:pPr>
        <w:tabs>
          <w:tab w:val="left" w:pos="-1440"/>
          <w:tab w:val="left" w:pos="-720"/>
        </w:tabs>
        <w:spacing w:line="-19" w:lineRule="auto"/>
        <w:jc w:val="both"/>
        <w:rPr>
          <w:sz w:val="20"/>
          <w:szCs w:val="20"/>
        </w:rPr>
      </w:pPr>
    </w:p>
    <w:p w:rsidR="00890FEB" w:rsidRPr="00C50A5C" w:rsidRDefault="00890FEB" w:rsidP="00831CA9">
      <w:pPr>
        <w:jc w:val="both"/>
        <w:rPr>
          <w:sz w:val="20"/>
          <w:szCs w:val="20"/>
          <w:lang w:val="fr-CA"/>
        </w:rPr>
      </w:pPr>
    </w:p>
    <w:p w:rsidR="00831CA9" w:rsidRPr="00C50A5C" w:rsidRDefault="00831CA9" w:rsidP="00831CA9">
      <w:pPr>
        <w:jc w:val="both"/>
        <w:rPr>
          <w:sz w:val="20"/>
          <w:szCs w:val="20"/>
          <w:lang w:val="fr-CA"/>
        </w:rPr>
        <w:sectPr w:rsidR="00831CA9" w:rsidRPr="00C50A5C" w:rsidSect="00831CA9">
          <w:headerReference w:type="even" r:id="rId29"/>
          <w:headerReference w:type="default" r:id="rId30"/>
          <w:footerReference w:type="even" r:id="rId31"/>
          <w:footerReference w:type="default" r:id="rId32"/>
          <w:headerReference w:type="first" r:id="rId33"/>
          <w:footerReference w:type="first" r:id="rId34"/>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FF6EEC" w:rsidRPr="001602E4" w:rsidTr="0085476B">
        <w:tc>
          <w:tcPr>
            <w:tcW w:w="4200" w:type="dxa"/>
            <w:tcMar>
              <w:left w:w="0" w:type="dxa"/>
              <w:right w:w="0" w:type="dxa"/>
            </w:tcMar>
          </w:tcPr>
          <w:p w:rsidR="00FF6EEC" w:rsidRPr="00C1697B" w:rsidRDefault="00FF6EEC" w:rsidP="0085476B">
            <w:pPr>
              <w:keepNext/>
              <w:keepLines/>
              <w:tabs>
                <w:tab w:val="left" w:pos="-1440"/>
                <w:tab w:val="left" w:pos="-720"/>
              </w:tabs>
              <w:rPr>
                <w:b/>
                <w:szCs w:val="24"/>
              </w:rPr>
            </w:pPr>
            <w:r w:rsidRPr="00C1697B">
              <w:rPr>
                <w:b/>
                <w:szCs w:val="24"/>
              </w:rPr>
              <w:lastRenderedPageBreak/>
              <w:t>PRONOUNCEMENTS OF APPEALS</w:t>
            </w:r>
            <w:r w:rsidR="0085476B">
              <w:rPr>
                <w:b/>
                <w:szCs w:val="24"/>
              </w:rPr>
              <w:t xml:space="preserve"> </w:t>
            </w:r>
            <w:r w:rsidRPr="00C1697B">
              <w:rPr>
                <w:b/>
                <w:szCs w:val="24"/>
              </w:rPr>
              <w:t>RESERVED</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r w:rsidRPr="00C1697B">
              <w:rPr>
                <w:b/>
                <w:szCs w:val="24"/>
              </w:rPr>
              <w:t>Reasons for judgment are available</w:t>
            </w:r>
          </w:p>
        </w:tc>
        <w:tc>
          <w:tcPr>
            <w:tcW w:w="1200" w:type="dxa"/>
            <w:tcMar>
              <w:left w:w="0" w:type="dxa"/>
              <w:right w:w="0" w:type="dxa"/>
            </w:tcMar>
          </w:tcPr>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tc>
        <w:tc>
          <w:tcPr>
            <w:tcW w:w="4080" w:type="dxa"/>
            <w:tcMar>
              <w:left w:w="0" w:type="dxa"/>
              <w:right w:w="0" w:type="dxa"/>
            </w:tcMar>
          </w:tcPr>
          <w:p w:rsidR="00FF6EEC" w:rsidRPr="00C1697B" w:rsidRDefault="00FF6EEC" w:rsidP="00FF6EEC">
            <w:pPr>
              <w:keepNext/>
              <w:keepLines/>
              <w:tabs>
                <w:tab w:val="left" w:pos="-1440"/>
                <w:tab w:val="left" w:pos="-720"/>
              </w:tabs>
              <w:rPr>
                <w:b/>
                <w:szCs w:val="24"/>
                <w:lang w:val="fr-CA"/>
              </w:rPr>
            </w:pPr>
            <w:r w:rsidRPr="00C1697B">
              <w:rPr>
                <w:b/>
                <w:szCs w:val="24"/>
                <w:lang w:val="fr-CA"/>
              </w:rPr>
              <w:t>JUGEMENTS RENDUS SUR LES APPELS EN DÉLIBÉRÉ</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p w:rsidR="00FF6EEC" w:rsidRPr="00C1697B" w:rsidRDefault="00FF6EEC" w:rsidP="00697C6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C1697B">
              <w:rPr>
                <w:b/>
                <w:szCs w:val="24"/>
                <w:lang w:val="fr-CA"/>
              </w:rPr>
              <w:t>Les motifs de jugement sont disponibles</w:t>
            </w:r>
          </w:p>
        </w:tc>
      </w:tr>
    </w:tbl>
    <w:p w:rsidR="00FF6EEC" w:rsidRPr="003B3977" w:rsidRDefault="00FF6EEC" w:rsidP="00FF6EEC">
      <w:pPr>
        <w:rPr>
          <w:b/>
          <w:sz w:val="20"/>
          <w:szCs w:val="20"/>
          <w:lang w:val="fr-CA"/>
        </w:rPr>
      </w:pPr>
    </w:p>
    <w:p w:rsidR="00AF1715" w:rsidRPr="003B3977" w:rsidRDefault="0093211D" w:rsidP="00AF1715">
      <w:pPr>
        <w:rPr>
          <w:b/>
          <w:sz w:val="20"/>
          <w:szCs w:val="20"/>
        </w:rPr>
      </w:pPr>
      <w:r>
        <w:rPr>
          <w:b/>
          <w:sz w:val="20"/>
          <w:szCs w:val="20"/>
        </w:rPr>
        <w:t>MARCH 11</w:t>
      </w:r>
      <w:r w:rsidR="00AF1715" w:rsidRPr="003B3977">
        <w:rPr>
          <w:b/>
          <w:sz w:val="20"/>
          <w:szCs w:val="20"/>
        </w:rPr>
        <w:t>, 201</w:t>
      </w:r>
      <w:r>
        <w:rPr>
          <w:b/>
          <w:sz w:val="20"/>
          <w:szCs w:val="20"/>
        </w:rPr>
        <w:t>1</w:t>
      </w:r>
      <w:r w:rsidR="00AF1715" w:rsidRPr="003B3977">
        <w:rPr>
          <w:b/>
          <w:sz w:val="20"/>
          <w:szCs w:val="20"/>
        </w:rPr>
        <w:t xml:space="preserve"> / LE</w:t>
      </w:r>
      <w:r>
        <w:rPr>
          <w:b/>
          <w:sz w:val="20"/>
          <w:szCs w:val="20"/>
        </w:rPr>
        <w:t xml:space="preserve"> 11 MARS</w:t>
      </w:r>
      <w:r w:rsidR="00AF1715" w:rsidRPr="003B3977">
        <w:rPr>
          <w:b/>
          <w:sz w:val="20"/>
          <w:szCs w:val="20"/>
        </w:rPr>
        <w:t xml:space="preserve"> 201</w:t>
      </w:r>
      <w:r>
        <w:rPr>
          <w:b/>
          <w:sz w:val="20"/>
          <w:szCs w:val="20"/>
        </w:rPr>
        <w:t>1</w:t>
      </w:r>
    </w:p>
    <w:p w:rsidR="00AF1715" w:rsidRDefault="00AF1715" w:rsidP="00AF1715">
      <w:pPr>
        <w:rPr>
          <w:sz w:val="20"/>
          <w:szCs w:val="20"/>
        </w:rPr>
      </w:pPr>
    </w:p>
    <w:p w:rsidR="009B5B32" w:rsidRPr="00364C87" w:rsidRDefault="0004334C" w:rsidP="009B5B32">
      <w:pPr>
        <w:ind w:left="1440" w:hanging="1440"/>
        <w:jc w:val="both"/>
        <w:rPr>
          <w:sz w:val="20"/>
          <w:szCs w:val="20"/>
        </w:rPr>
      </w:pPr>
      <w:r w:rsidRPr="00364C87">
        <w:rPr>
          <w:b/>
          <w:sz w:val="20"/>
          <w:szCs w:val="20"/>
        </w:rPr>
        <w:fldChar w:fldCharType="begin"/>
      </w:r>
      <w:r w:rsidR="009B5B32" w:rsidRPr="00364C87">
        <w:rPr>
          <w:b/>
          <w:sz w:val="20"/>
          <w:szCs w:val="20"/>
        </w:rPr>
        <w:instrText xml:space="preserve"> SEQ CHAPTER \h \r 1</w:instrText>
      </w:r>
      <w:r w:rsidRPr="00364C87">
        <w:rPr>
          <w:b/>
          <w:sz w:val="20"/>
          <w:szCs w:val="20"/>
        </w:rPr>
        <w:fldChar w:fldCharType="end"/>
      </w:r>
      <w:proofErr w:type="gramStart"/>
      <w:r w:rsidR="009B5B32" w:rsidRPr="00364C87">
        <w:rPr>
          <w:b/>
          <w:sz w:val="20"/>
          <w:szCs w:val="20"/>
        </w:rPr>
        <w:t>33464</w:t>
      </w:r>
      <w:r w:rsidR="009B5B32" w:rsidRPr="00364C87">
        <w:rPr>
          <w:sz w:val="20"/>
          <w:szCs w:val="20"/>
        </w:rPr>
        <w:tab/>
      </w:r>
      <w:r w:rsidR="009B5B32" w:rsidRPr="00364C87">
        <w:rPr>
          <w:b/>
          <w:sz w:val="20"/>
          <w:szCs w:val="20"/>
          <w:u w:val="single"/>
        </w:rPr>
        <w:t>Dennis Robert White v.</w:t>
      </w:r>
      <w:proofErr w:type="gramEnd"/>
      <w:r w:rsidR="009B5B32" w:rsidRPr="00364C87">
        <w:rPr>
          <w:b/>
          <w:sz w:val="20"/>
          <w:szCs w:val="20"/>
          <w:u w:val="single"/>
        </w:rPr>
        <w:t xml:space="preserve"> </w:t>
      </w:r>
      <w:proofErr w:type="gramStart"/>
      <w:r w:rsidR="009B5B32" w:rsidRPr="00364C87">
        <w:rPr>
          <w:b/>
          <w:sz w:val="20"/>
          <w:szCs w:val="20"/>
          <w:u w:val="single"/>
        </w:rPr>
        <w:t>Her Majesty the Queen</w:t>
      </w:r>
      <w:r w:rsidR="009B5B32" w:rsidRPr="00364C87">
        <w:rPr>
          <w:b/>
          <w:sz w:val="20"/>
          <w:szCs w:val="20"/>
        </w:rPr>
        <w:t xml:space="preserve"> </w:t>
      </w:r>
      <w:r w:rsidR="009B5B32" w:rsidRPr="00364C87">
        <w:rPr>
          <w:iCs/>
          <w:sz w:val="20"/>
          <w:szCs w:val="20"/>
        </w:rPr>
        <w:t>(B.C.)</w:t>
      </w:r>
      <w:proofErr w:type="gramEnd"/>
    </w:p>
    <w:p w:rsidR="009B5B32" w:rsidRPr="00364C87" w:rsidRDefault="009B5B32" w:rsidP="009B5B32">
      <w:pPr>
        <w:ind w:left="1440"/>
        <w:jc w:val="both"/>
        <w:rPr>
          <w:sz w:val="20"/>
          <w:szCs w:val="20"/>
        </w:rPr>
      </w:pPr>
      <w:r w:rsidRPr="00364C87">
        <w:rPr>
          <w:b/>
          <w:sz w:val="20"/>
          <w:szCs w:val="20"/>
        </w:rPr>
        <w:t>2011 SCC 13 / 2011 CSC 13</w:t>
      </w:r>
    </w:p>
    <w:p w:rsidR="009B5B32" w:rsidRPr="00364C87" w:rsidRDefault="009B5B32" w:rsidP="009B5B32">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szCs w:val="20"/>
        </w:rPr>
      </w:pPr>
    </w:p>
    <w:p w:rsidR="009B5B32" w:rsidRPr="00364C87" w:rsidRDefault="009B5B32" w:rsidP="009B5B32">
      <w:pPr>
        <w:ind w:left="1440" w:hanging="1440"/>
        <w:jc w:val="both"/>
        <w:rPr>
          <w:sz w:val="20"/>
          <w:szCs w:val="20"/>
        </w:rPr>
      </w:pPr>
      <w:r w:rsidRPr="00364C87">
        <w:rPr>
          <w:sz w:val="20"/>
          <w:szCs w:val="20"/>
        </w:rPr>
        <w:t xml:space="preserve">Coram:  </w:t>
      </w:r>
      <w:r w:rsidRPr="009B5B32">
        <w:rPr>
          <w:sz w:val="20"/>
          <w:szCs w:val="20"/>
        </w:rPr>
        <w:tab/>
      </w:r>
      <w:proofErr w:type="spellStart"/>
      <w:r w:rsidRPr="009B5B32">
        <w:rPr>
          <w:sz w:val="20"/>
          <w:szCs w:val="20"/>
          <w:u w:val="single"/>
        </w:rPr>
        <w:t>McLachlin</w:t>
      </w:r>
      <w:proofErr w:type="spellEnd"/>
      <w:r w:rsidRPr="009B5B32">
        <w:rPr>
          <w:sz w:val="20"/>
          <w:szCs w:val="20"/>
          <w:u w:val="single"/>
        </w:rPr>
        <w:t xml:space="preserve"> C.J. and </w:t>
      </w:r>
      <w:proofErr w:type="spellStart"/>
      <w:r w:rsidRPr="009B5B32">
        <w:rPr>
          <w:sz w:val="20"/>
          <w:szCs w:val="20"/>
          <w:u w:val="single"/>
        </w:rPr>
        <w:t>Binnie</w:t>
      </w:r>
      <w:proofErr w:type="spellEnd"/>
      <w:r w:rsidRPr="009B5B32">
        <w:rPr>
          <w:sz w:val="20"/>
          <w:szCs w:val="20"/>
          <w:u w:val="single"/>
        </w:rPr>
        <w:t xml:space="preserve">, </w:t>
      </w:r>
      <w:proofErr w:type="spellStart"/>
      <w:r w:rsidRPr="009B5B32">
        <w:rPr>
          <w:sz w:val="20"/>
          <w:szCs w:val="20"/>
          <w:u w:val="single"/>
        </w:rPr>
        <w:t>LeBel</w:t>
      </w:r>
      <w:proofErr w:type="spellEnd"/>
      <w:r w:rsidRPr="009B5B32">
        <w:rPr>
          <w:sz w:val="20"/>
          <w:szCs w:val="20"/>
          <w:u w:val="single"/>
        </w:rPr>
        <w:t xml:space="preserve">, </w:t>
      </w:r>
      <w:proofErr w:type="spellStart"/>
      <w:r w:rsidRPr="009B5B32">
        <w:rPr>
          <w:sz w:val="20"/>
          <w:szCs w:val="20"/>
          <w:u w:val="single"/>
        </w:rPr>
        <w:t>Deschamps</w:t>
      </w:r>
      <w:proofErr w:type="spellEnd"/>
      <w:r w:rsidRPr="009B5B32">
        <w:rPr>
          <w:sz w:val="20"/>
          <w:szCs w:val="20"/>
          <w:u w:val="single"/>
        </w:rPr>
        <w:t xml:space="preserve">, Fish, </w:t>
      </w:r>
      <w:proofErr w:type="spellStart"/>
      <w:r w:rsidRPr="009B5B32">
        <w:rPr>
          <w:sz w:val="20"/>
          <w:szCs w:val="20"/>
          <w:u w:val="single"/>
        </w:rPr>
        <w:t>Abella</w:t>
      </w:r>
      <w:proofErr w:type="spellEnd"/>
      <w:r w:rsidRPr="009B5B32">
        <w:rPr>
          <w:sz w:val="20"/>
          <w:szCs w:val="20"/>
          <w:u w:val="single"/>
        </w:rPr>
        <w:t xml:space="preserve">, </w:t>
      </w:r>
      <w:proofErr w:type="spellStart"/>
      <w:r w:rsidRPr="009B5B32">
        <w:rPr>
          <w:sz w:val="20"/>
          <w:szCs w:val="20"/>
          <w:u w:val="single"/>
        </w:rPr>
        <w:t>Charron</w:t>
      </w:r>
      <w:proofErr w:type="spellEnd"/>
      <w:r w:rsidRPr="009B5B32">
        <w:rPr>
          <w:sz w:val="20"/>
          <w:szCs w:val="20"/>
          <w:u w:val="single"/>
        </w:rPr>
        <w:t>, Rothstein and Cromwell JJ.</w:t>
      </w:r>
      <w:r w:rsidRPr="00364C87">
        <w:rPr>
          <w:sz w:val="20"/>
          <w:szCs w:val="20"/>
          <w:u w:val="single"/>
        </w:rPr>
        <w:t xml:space="preserve"> </w:t>
      </w:r>
      <w:r w:rsidR="0004334C" w:rsidRPr="00364C87">
        <w:rPr>
          <w:sz w:val="20"/>
          <w:szCs w:val="20"/>
          <w:u w:val="single"/>
        </w:rPr>
        <w:fldChar w:fldCharType="begin"/>
      </w:r>
      <w:r w:rsidRPr="00364C87">
        <w:rPr>
          <w:sz w:val="20"/>
          <w:szCs w:val="20"/>
          <w:u w:val="single"/>
        </w:rPr>
        <w:instrText xml:space="preserve"> SEQ CHAPTER \h \r 1</w:instrText>
      </w:r>
      <w:r w:rsidR="0004334C" w:rsidRPr="00364C87">
        <w:rPr>
          <w:sz w:val="20"/>
          <w:szCs w:val="20"/>
          <w:u w:val="single"/>
        </w:rPr>
        <w:fldChar w:fldCharType="end"/>
      </w:r>
    </w:p>
    <w:p w:rsidR="009B5B32" w:rsidRPr="00364C87" w:rsidRDefault="009B5B32" w:rsidP="009B5B32">
      <w:pPr>
        <w:ind w:left="1440" w:hanging="1440"/>
        <w:jc w:val="both"/>
        <w:rPr>
          <w:sz w:val="20"/>
          <w:szCs w:val="20"/>
        </w:rPr>
      </w:pPr>
    </w:p>
    <w:p w:rsidR="009B5B32" w:rsidRPr="00364C87" w:rsidRDefault="009B5B32" w:rsidP="009B5B32">
      <w:pPr>
        <w:jc w:val="both"/>
        <w:rPr>
          <w:sz w:val="20"/>
          <w:szCs w:val="20"/>
        </w:rPr>
      </w:pPr>
      <w:r w:rsidRPr="00364C87">
        <w:rPr>
          <w:sz w:val="20"/>
          <w:szCs w:val="20"/>
        </w:rPr>
        <w:t xml:space="preserve">The appeal from the judgment of the Court of Appeal for British Columbia (Vancouver), Number CA035900, 2009 BCCA 513, dated November 18, 2009, heard on May 14, 2010 is dismissed, </w:t>
      </w:r>
      <w:proofErr w:type="spellStart"/>
      <w:r w:rsidRPr="00364C87">
        <w:rPr>
          <w:sz w:val="20"/>
          <w:szCs w:val="20"/>
        </w:rPr>
        <w:t>McLachlin</w:t>
      </w:r>
      <w:proofErr w:type="spellEnd"/>
      <w:r w:rsidRPr="00364C87">
        <w:rPr>
          <w:sz w:val="20"/>
          <w:szCs w:val="20"/>
        </w:rPr>
        <w:t xml:space="preserve"> C.J. and </w:t>
      </w:r>
      <w:proofErr w:type="spellStart"/>
      <w:r w:rsidRPr="00364C87">
        <w:rPr>
          <w:sz w:val="20"/>
          <w:szCs w:val="20"/>
        </w:rPr>
        <w:t>Binnie</w:t>
      </w:r>
      <w:proofErr w:type="spellEnd"/>
      <w:r w:rsidRPr="00364C87">
        <w:rPr>
          <w:sz w:val="20"/>
          <w:szCs w:val="20"/>
        </w:rPr>
        <w:t xml:space="preserve"> and Fish JJ. </w:t>
      </w:r>
      <w:proofErr w:type="gramStart"/>
      <w:r w:rsidRPr="00364C87">
        <w:rPr>
          <w:sz w:val="20"/>
          <w:szCs w:val="20"/>
        </w:rPr>
        <w:t>dissenting</w:t>
      </w:r>
      <w:proofErr w:type="gramEnd"/>
      <w:r w:rsidRPr="00364C87">
        <w:rPr>
          <w:sz w:val="20"/>
          <w:szCs w:val="20"/>
        </w:rPr>
        <w:t>.</w:t>
      </w:r>
    </w:p>
    <w:p w:rsidR="009B5B32" w:rsidRPr="00364C87" w:rsidRDefault="009B5B32" w:rsidP="009B5B32">
      <w:pPr>
        <w:jc w:val="both"/>
        <w:rPr>
          <w:sz w:val="20"/>
          <w:szCs w:val="20"/>
        </w:rPr>
      </w:pPr>
    </w:p>
    <w:p w:rsidR="009B5B32" w:rsidRPr="00364C87" w:rsidRDefault="009B5B32" w:rsidP="009B5B32">
      <w:pPr>
        <w:jc w:val="both"/>
        <w:rPr>
          <w:sz w:val="20"/>
          <w:szCs w:val="20"/>
          <w:lang w:val="fr-CA"/>
        </w:rPr>
      </w:pPr>
      <w:r w:rsidRPr="00364C87">
        <w:rPr>
          <w:sz w:val="20"/>
          <w:szCs w:val="20"/>
          <w:lang w:val="fr-CA"/>
        </w:rPr>
        <w:t xml:space="preserve">L’appel interjeté contre l’arrêt de la Cour d’appel de la Colombie-Britannique (Vancouver), numéro CA035900, 2009 BCCA 513, en date du 18 novembre 2009, entendu le 14 mai 2010, est rejeté.  La juge en chef </w:t>
      </w:r>
      <w:proofErr w:type="spellStart"/>
      <w:r w:rsidRPr="00364C87">
        <w:rPr>
          <w:sz w:val="20"/>
          <w:szCs w:val="20"/>
          <w:lang w:val="fr-CA"/>
        </w:rPr>
        <w:t>McLachlin</w:t>
      </w:r>
      <w:proofErr w:type="spellEnd"/>
      <w:r w:rsidRPr="00364C87">
        <w:rPr>
          <w:sz w:val="20"/>
          <w:szCs w:val="20"/>
          <w:lang w:val="fr-CA"/>
        </w:rPr>
        <w:t xml:space="preserve"> et les juges </w:t>
      </w:r>
      <w:proofErr w:type="spellStart"/>
      <w:r w:rsidRPr="00364C87">
        <w:rPr>
          <w:sz w:val="20"/>
          <w:szCs w:val="20"/>
          <w:lang w:val="fr-CA"/>
        </w:rPr>
        <w:t>Binnie</w:t>
      </w:r>
      <w:proofErr w:type="spellEnd"/>
      <w:r w:rsidRPr="00364C87">
        <w:rPr>
          <w:sz w:val="20"/>
          <w:szCs w:val="20"/>
          <w:lang w:val="fr-CA"/>
        </w:rPr>
        <w:t xml:space="preserve"> et Fish sont dissidents.</w:t>
      </w:r>
    </w:p>
    <w:p w:rsidR="0093211D" w:rsidRPr="009B5B32" w:rsidRDefault="0093211D" w:rsidP="00AF1715">
      <w:pPr>
        <w:rPr>
          <w:sz w:val="20"/>
          <w:szCs w:val="20"/>
          <w:lang w:val="fr-CA"/>
        </w:rPr>
      </w:pPr>
    </w:p>
    <w:p w:rsidR="00AF1715" w:rsidRPr="006C5F7A" w:rsidRDefault="0004334C" w:rsidP="009B5B32">
      <w:pPr>
        <w:jc w:val="both"/>
        <w:rPr>
          <w:rFonts w:cs="Times New Roman"/>
          <w:sz w:val="20"/>
          <w:szCs w:val="20"/>
          <w:lang w:val="fr-CA"/>
        </w:rPr>
      </w:pPr>
      <w:r w:rsidRPr="0004334C">
        <w:rPr>
          <w:rFonts w:cs="Times New Roman"/>
          <w:b/>
          <w:sz w:val="20"/>
          <w:szCs w:val="20"/>
        </w:rPr>
        <w:pict>
          <v:rect id="_x0000_i1077" style="width:144.3pt;height:1pt" o:hrpct="300" o:hralign="center" o:hrstd="t" o:hrnoshade="t" o:hr="t" fillcolor="black [3213]" stroked="f"/>
        </w:pict>
      </w:r>
    </w:p>
    <w:p w:rsidR="00732DB7" w:rsidRPr="00C50A5C" w:rsidRDefault="00732DB7" w:rsidP="00732DB7">
      <w:pPr>
        <w:widowControl w:val="0"/>
        <w:rPr>
          <w:sz w:val="20"/>
          <w:szCs w:val="20"/>
        </w:rPr>
      </w:pPr>
    </w:p>
    <w:p w:rsidR="00697C62" w:rsidRPr="00C50A5C" w:rsidRDefault="00697C62" w:rsidP="00732DB7">
      <w:pPr>
        <w:widowControl w:val="0"/>
        <w:rPr>
          <w:sz w:val="20"/>
          <w:szCs w:val="20"/>
        </w:rPr>
        <w:sectPr w:rsidR="00697C62" w:rsidRPr="00C50A5C" w:rsidSect="00782AE4">
          <w:headerReference w:type="even" r:id="rId35"/>
          <w:headerReference w:type="default" r:id="rId36"/>
          <w:footerReference w:type="even" r:id="rId37"/>
          <w:footerReference w:type="default" r:id="rId38"/>
          <w:headerReference w:type="first" r:id="rId39"/>
          <w:footerReference w:type="first" r:id="rId40"/>
          <w:pgSz w:w="12240" w:h="15840"/>
          <w:pgMar w:top="720" w:right="965" w:bottom="1080" w:left="1656" w:header="720" w:footer="960" w:gutter="0"/>
          <w:cols w:space="720"/>
          <w:titlePg/>
          <w:docGrid w:linePitch="326"/>
        </w:sectPr>
      </w:pPr>
    </w:p>
    <w:tbl>
      <w:tblPr>
        <w:tblW w:w="9480" w:type="dxa"/>
        <w:tblBorders>
          <w:bottom w:val="single" w:sz="8" w:space="0" w:color="auto"/>
        </w:tblBorders>
        <w:tblLayout w:type="fixed"/>
        <w:tblCellMar>
          <w:left w:w="0" w:type="dxa"/>
          <w:right w:w="0" w:type="dxa"/>
        </w:tblCellMar>
        <w:tblLook w:val="0000"/>
      </w:tblPr>
      <w:tblGrid>
        <w:gridCol w:w="4200"/>
        <w:gridCol w:w="1200"/>
        <w:gridCol w:w="4080"/>
      </w:tblGrid>
      <w:tr w:rsidR="00782AE4" w:rsidRPr="00C1697B" w:rsidTr="0085476B">
        <w:tc>
          <w:tcPr>
            <w:tcW w:w="4200" w:type="dxa"/>
            <w:tcMar>
              <w:left w:w="0" w:type="dxa"/>
              <w:right w:w="0" w:type="dxa"/>
            </w:tcMar>
          </w:tcPr>
          <w:p w:rsidR="00782AE4" w:rsidRPr="00C1697B" w:rsidRDefault="00782AE4" w:rsidP="00782AE4">
            <w:pPr>
              <w:keepNext/>
              <w:keepLines/>
              <w:jc w:val="both"/>
              <w:rPr>
                <w:b/>
                <w:szCs w:val="24"/>
              </w:rPr>
            </w:pPr>
            <w:r w:rsidRPr="00C1697B">
              <w:rPr>
                <w:b/>
                <w:szCs w:val="24"/>
              </w:rPr>
              <w:lastRenderedPageBreak/>
              <w:t>HEADNOTES OF RECENT</w:t>
            </w:r>
          </w:p>
          <w:p w:rsidR="00782AE4" w:rsidRPr="00C1697B" w:rsidRDefault="00782AE4" w:rsidP="00782AE4">
            <w:pPr>
              <w:keepNext/>
              <w:keepLines/>
              <w:jc w:val="both"/>
              <w:rPr>
                <w:b/>
                <w:szCs w:val="24"/>
              </w:rPr>
            </w:pPr>
            <w:r w:rsidRPr="00C1697B">
              <w:rPr>
                <w:b/>
                <w:szCs w:val="24"/>
              </w:rPr>
              <w:t>JUDGMENTS</w:t>
            </w:r>
          </w:p>
        </w:tc>
        <w:tc>
          <w:tcPr>
            <w:tcW w:w="1200" w:type="dxa"/>
            <w:tcMar>
              <w:left w:w="0" w:type="dxa"/>
              <w:right w:w="0" w:type="dxa"/>
            </w:tcMar>
          </w:tcPr>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tc>
        <w:tc>
          <w:tcPr>
            <w:tcW w:w="4080" w:type="dxa"/>
            <w:tcMar>
              <w:left w:w="0" w:type="dxa"/>
              <w:right w:w="0" w:type="dxa"/>
            </w:tcMar>
          </w:tcPr>
          <w:p w:rsidR="00782AE4" w:rsidRPr="00C1697B" w:rsidRDefault="00782AE4" w:rsidP="00782AE4">
            <w:pPr>
              <w:keepNext/>
              <w:keepLines/>
              <w:rPr>
                <w:b/>
                <w:szCs w:val="24"/>
              </w:rPr>
            </w:pPr>
            <w:r w:rsidRPr="00C1697B">
              <w:rPr>
                <w:b/>
                <w:szCs w:val="24"/>
              </w:rPr>
              <w:t>SOMMAIRES DE JUGEMENTS RÉCENTS</w:t>
            </w:r>
          </w:p>
        </w:tc>
      </w:tr>
    </w:tbl>
    <w:p w:rsidR="003B3977" w:rsidRPr="003B3977" w:rsidRDefault="003B3977" w:rsidP="005C6840">
      <w:pPr>
        <w:rPr>
          <w:rFonts w:cs="Times New Roman"/>
          <w:i/>
          <w:sz w:val="20"/>
          <w:szCs w:val="20"/>
        </w:rPr>
      </w:pPr>
    </w:p>
    <w:p w:rsidR="0093211D" w:rsidRPr="00C77216" w:rsidRDefault="0093211D" w:rsidP="0093211D">
      <w:pPr>
        <w:tabs>
          <w:tab w:val="left" w:pos="-1440"/>
        </w:tabs>
        <w:ind w:left="2160" w:hanging="2160"/>
        <w:jc w:val="both"/>
        <w:rPr>
          <w:b/>
          <w:bCs/>
          <w:sz w:val="20"/>
          <w:szCs w:val="20"/>
          <w:lang w:val="en-GB"/>
        </w:rPr>
      </w:pPr>
      <w:proofErr w:type="gramStart"/>
      <w:r w:rsidRPr="00C77216">
        <w:rPr>
          <w:bCs/>
          <w:i/>
          <w:iCs/>
          <w:sz w:val="20"/>
          <w:szCs w:val="20"/>
          <w:lang w:val="en-GB"/>
        </w:rPr>
        <w:t>Dennis Robert White v.</w:t>
      </w:r>
      <w:proofErr w:type="gramEnd"/>
      <w:r w:rsidRPr="00C77216">
        <w:rPr>
          <w:bCs/>
          <w:i/>
          <w:iCs/>
          <w:sz w:val="20"/>
          <w:szCs w:val="20"/>
          <w:lang w:val="en-GB"/>
        </w:rPr>
        <w:t xml:space="preserve"> Her Majesty the Queen</w:t>
      </w:r>
      <w:r w:rsidRPr="00C77216">
        <w:rPr>
          <w:b/>
          <w:bCs/>
          <w:sz w:val="20"/>
          <w:szCs w:val="20"/>
          <w:lang w:val="en-GB"/>
        </w:rPr>
        <w:t xml:space="preserve"> </w:t>
      </w:r>
      <w:r w:rsidRPr="00C77216">
        <w:rPr>
          <w:bCs/>
          <w:sz w:val="20"/>
          <w:szCs w:val="20"/>
          <w:lang w:val="en-GB"/>
        </w:rPr>
        <w:t>(B.C.) (</w:t>
      </w:r>
      <w:r w:rsidRPr="00C77216">
        <w:rPr>
          <w:sz w:val="20"/>
          <w:szCs w:val="20"/>
          <w:lang w:val="en-GB"/>
        </w:rPr>
        <w:t>33464)</w:t>
      </w:r>
    </w:p>
    <w:p w:rsidR="005F3D4C" w:rsidRPr="005352D1" w:rsidRDefault="005F3D4C" w:rsidP="005F3D4C">
      <w:pPr>
        <w:jc w:val="both"/>
        <w:rPr>
          <w:rFonts w:cs="Times New Roman"/>
          <w:b/>
          <w:sz w:val="20"/>
          <w:szCs w:val="20"/>
        </w:rPr>
      </w:pPr>
      <w:r w:rsidRPr="00044F9D">
        <w:rPr>
          <w:rFonts w:cs="Times New Roman"/>
          <w:b/>
          <w:sz w:val="20"/>
          <w:szCs w:val="20"/>
        </w:rPr>
        <w:t xml:space="preserve">Indexed as:  </w:t>
      </w:r>
      <w:r w:rsidRPr="00044F9D">
        <w:rPr>
          <w:rStyle w:val="SCCRespondentForIndexChar"/>
          <w:rFonts w:eastAsiaTheme="minorHAnsi"/>
          <w:sz w:val="20"/>
        </w:rPr>
        <w:t xml:space="preserve">R. </w:t>
      </w:r>
      <w:r w:rsidRPr="00044F9D">
        <w:rPr>
          <w:rFonts w:cs="Times New Roman"/>
          <w:b/>
          <w:i/>
          <w:sz w:val="20"/>
          <w:szCs w:val="20"/>
        </w:rPr>
        <w:t>v.</w:t>
      </w:r>
      <w:r w:rsidRPr="00044F9D">
        <w:rPr>
          <w:rFonts w:cs="Times New Roman"/>
          <w:b/>
          <w:sz w:val="20"/>
          <w:szCs w:val="20"/>
        </w:rPr>
        <w:t xml:space="preserve"> </w:t>
      </w:r>
      <w:r w:rsidRPr="005F3D4C">
        <w:rPr>
          <w:rStyle w:val="SCCAppellantForIndexChar"/>
          <w:rFonts w:eastAsia="Calibri"/>
          <w:sz w:val="20"/>
          <w:lang w:val="en-CA"/>
        </w:rPr>
        <w:t>White /</w:t>
      </w:r>
      <w:r>
        <w:rPr>
          <w:rStyle w:val="SCCAppellantForIndexChar"/>
          <w:rFonts w:eastAsia="Calibri"/>
          <w:sz w:val="20"/>
          <w:lang w:val="en-CA"/>
        </w:rPr>
        <w:t xml:space="preserve"> </w:t>
      </w:r>
      <w:proofErr w:type="spellStart"/>
      <w:proofErr w:type="gramStart"/>
      <w:r w:rsidRPr="005352D1">
        <w:rPr>
          <w:rFonts w:cs="Times New Roman"/>
          <w:b/>
          <w:sz w:val="20"/>
          <w:szCs w:val="20"/>
        </w:rPr>
        <w:t>Répertorié</w:t>
      </w:r>
      <w:proofErr w:type="spellEnd"/>
      <w:r w:rsidRPr="005352D1">
        <w:rPr>
          <w:rFonts w:cs="Times New Roman"/>
          <w:b/>
          <w:sz w:val="20"/>
          <w:szCs w:val="20"/>
        </w:rPr>
        <w:t> :</w:t>
      </w:r>
      <w:proofErr w:type="gramEnd"/>
      <w:r w:rsidRPr="005352D1">
        <w:rPr>
          <w:rFonts w:cs="Times New Roman"/>
          <w:b/>
          <w:sz w:val="20"/>
          <w:szCs w:val="20"/>
        </w:rPr>
        <w:t> </w:t>
      </w:r>
      <w:r w:rsidRPr="005352D1">
        <w:rPr>
          <w:rStyle w:val="SCCRespondentForIndexChar"/>
          <w:rFonts w:eastAsiaTheme="minorHAnsi"/>
          <w:sz w:val="20"/>
        </w:rPr>
        <w:t xml:space="preserve">R. </w:t>
      </w:r>
      <w:r w:rsidRPr="005352D1">
        <w:rPr>
          <w:rFonts w:cs="Times New Roman"/>
          <w:b/>
          <w:i/>
          <w:sz w:val="20"/>
          <w:szCs w:val="20"/>
        </w:rPr>
        <w:t>c.</w:t>
      </w:r>
      <w:r w:rsidRPr="005352D1">
        <w:rPr>
          <w:rFonts w:cs="Times New Roman"/>
          <w:b/>
          <w:sz w:val="20"/>
          <w:szCs w:val="20"/>
        </w:rPr>
        <w:t xml:space="preserve"> </w:t>
      </w:r>
      <w:r w:rsidRPr="005F3D4C">
        <w:rPr>
          <w:rStyle w:val="SCCAppellantForIndexChar"/>
          <w:rFonts w:eastAsia="Calibri"/>
          <w:sz w:val="20"/>
          <w:lang w:val="en-CA"/>
        </w:rPr>
        <w:t>White</w:t>
      </w:r>
    </w:p>
    <w:p w:rsidR="005C6840" w:rsidRPr="003B3977" w:rsidRDefault="005C6840" w:rsidP="005C6840">
      <w:pPr>
        <w:pStyle w:val="SCCSystemYear"/>
        <w:jc w:val="both"/>
        <w:rPr>
          <w:sz w:val="20"/>
        </w:rPr>
      </w:pPr>
      <w:proofErr w:type="spellStart"/>
      <w:r w:rsidRPr="003B3977">
        <w:rPr>
          <w:sz w:val="20"/>
        </w:rPr>
        <w:t>Neutral</w:t>
      </w:r>
      <w:proofErr w:type="spellEnd"/>
      <w:r w:rsidRPr="003B3977">
        <w:rPr>
          <w:sz w:val="20"/>
        </w:rPr>
        <w:t xml:space="preserve"> citation</w:t>
      </w:r>
      <w:proofErr w:type="gramStart"/>
      <w:r w:rsidRPr="003B3977">
        <w:rPr>
          <w:sz w:val="20"/>
        </w:rPr>
        <w:t>:  201</w:t>
      </w:r>
      <w:r w:rsidR="007F387B">
        <w:rPr>
          <w:sz w:val="20"/>
        </w:rPr>
        <w:t>1</w:t>
      </w:r>
      <w:proofErr w:type="gramEnd"/>
      <w:r w:rsidRPr="003B3977">
        <w:rPr>
          <w:sz w:val="20"/>
        </w:rPr>
        <w:t xml:space="preserve"> SCC </w:t>
      </w:r>
      <w:r w:rsidR="007F387B">
        <w:rPr>
          <w:sz w:val="20"/>
        </w:rPr>
        <w:t>1</w:t>
      </w:r>
      <w:r w:rsidR="0093211D">
        <w:rPr>
          <w:sz w:val="20"/>
        </w:rPr>
        <w:t>3</w:t>
      </w:r>
      <w:r w:rsidRPr="003B3977">
        <w:rPr>
          <w:sz w:val="20"/>
        </w:rPr>
        <w:t xml:space="preserve"> / Référence neutre : 201</w:t>
      </w:r>
      <w:r w:rsidR="007F387B">
        <w:rPr>
          <w:sz w:val="20"/>
        </w:rPr>
        <w:t>1</w:t>
      </w:r>
      <w:r w:rsidRPr="003B3977">
        <w:rPr>
          <w:sz w:val="20"/>
        </w:rPr>
        <w:t xml:space="preserve"> CSC </w:t>
      </w:r>
      <w:r w:rsidR="007F387B">
        <w:rPr>
          <w:sz w:val="20"/>
        </w:rPr>
        <w:t>1</w:t>
      </w:r>
      <w:r w:rsidR="0093211D">
        <w:rPr>
          <w:sz w:val="20"/>
        </w:rPr>
        <w:t>3</w:t>
      </w:r>
    </w:p>
    <w:p w:rsidR="005C6840" w:rsidRPr="003B3977" w:rsidRDefault="005C6840" w:rsidP="005C6840">
      <w:pPr>
        <w:rPr>
          <w:rFonts w:cs="Times New Roman"/>
          <w:sz w:val="20"/>
          <w:szCs w:val="20"/>
          <w:lang w:val="fr-CA"/>
        </w:rPr>
      </w:pPr>
      <w:proofErr w:type="spellStart"/>
      <w:r w:rsidRPr="003B3977">
        <w:rPr>
          <w:rFonts w:cs="Times New Roman"/>
          <w:sz w:val="20"/>
          <w:szCs w:val="20"/>
          <w:lang w:val="fr-CA"/>
        </w:rPr>
        <w:t>Hearing</w:t>
      </w:r>
      <w:proofErr w:type="spellEnd"/>
      <w:proofErr w:type="gramStart"/>
      <w:r w:rsidRPr="003B3977">
        <w:rPr>
          <w:rFonts w:cs="Times New Roman"/>
          <w:sz w:val="20"/>
          <w:szCs w:val="20"/>
          <w:lang w:val="fr-CA"/>
        </w:rPr>
        <w:t xml:space="preserve">:  </w:t>
      </w:r>
      <w:r w:rsidR="005F3D4C">
        <w:rPr>
          <w:rFonts w:cs="Times New Roman"/>
          <w:sz w:val="20"/>
          <w:szCs w:val="20"/>
          <w:lang w:val="fr-CA"/>
        </w:rPr>
        <w:t>May</w:t>
      </w:r>
      <w:proofErr w:type="gramEnd"/>
      <w:r w:rsidR="005F3D4C">
        <w:rPr>
          <w:rFonts w:cs="Times New Roman"/>
          <w:sz w:val="20"/>
          <w:szCs w:val="20"/>
          <w:lang w:val="fr-CA"/>
        </w:rPr>
        <w:t xml:space="preserve"> 14,</w:t>
      </w:r>
      <w:r w:rsidRPr="003B3977">
        <w:rPr>
          <w:rFonts w:cs="Times New Roman"/>
          <w:sz w:val="20"/>
          <w:szCs w:val="20"/>
          <w:lang w:val="fr-CA"/>
        </w:rPr>
        <w:t xml:space="preserve"> 2010 / </w:t>
      </w:r>
      <w:proofErr w:type="spellStart"/>
      <w:r w:rsidRPr="003B3977">
        <w:rPr>
          <w:rFonts w:cs="Times New Roman"/>
          <w:sz w:val="20"/>
          <w:szCs w:val="20"/>
          <w:lang w:val="fr-CA"/>
        </w:rPr>
        <w:t>Judgment</w:t>
      </w:r>
      <w:proofErr w:type="spellEnd"/>
      <w:r w:rsidRPr="003B3977">
        <w:rPr>
          <w:rFonts w:cs="Times New Roman"/>
          <w:sz w:val="20"/>
          <w:szCs w:val="20"/>
          <w:lang w:val="fr-CA"/>
        </w:rPr>
        <w:t xml:space="preserve">:  </w:t>
      </w:r>
      <w:r w:rsidR="0093211D">
        <w:rPr>
          <w:rFonts w:cs="Times New Roman"/>
          <w:sz w:val="20"/>
          <w:szCs w:val="20"/>
          <w:lang w:val="fr-CA"/>
        </w:rPr>
        <w:t>March 11</w:t>
      </w:r>
      <w:r w:rsidRPr="003B3977">
        <w:rPr>
          <w:rFonts w:cs="Times New Roman"/>
          <w:sz w:val="20"/>
          <w:szCs w:val="20"/>
          <w:lang w:val="fr-CA"/>
        </w:rPr>
        <w:t>, 201</w:t>
      </w:r>
      <w:r w:rsidR="0093211D">
        <w:rPr>
          <w:rFonts w:cs="Times New Roman"/>
          <w:sz w:val="20"/>
          <w:szCs w:val="20"/>
          <w:lang w:val="fr-CA"/>
        </w:rPr>
        <w:t>1</w:t>
      </w:r>
    </w:p>
    <w:p w:rsidR="005C6840" w:rsidRPr="003B3977" w:rsidRDefault="005C6840" w:rsidP="005C6840">
      <w:pPr>
        <w:rPr>
          <w:rFonts w:cs="Times New Roman"/>
          <w:sz w:val="20"/>
          <w:szCs w:val="20"/>
          <w:lang w:val="fr-CA"/>
        </w:rPr>
      </w:pPr>
      <w:r w:rsidRPr="003B3977">
        <w:rPr>
          <w:rFonts w:cs="Times New Roman"/>
          <w:sz w:val="20"/>
          <w:szCs w:val="20"/>
          <w:lang w:val="fr-CA"/>
        </w:rPr>
        <w:t xml:space="preserve">Audition : Le </w:t>
      </w:r>
      <w:r w:rsidR="005F3D4C">
        <w:rPr>
          <w:rFonts w:cs="Times New Roman"/>
          <w:sz w:val="20"/>
          <w:szCs w:val="20"/>
          <w:lang w:val="fr-CA"/>
        </w:rPr>
        <w:t>14 mai</w:t>
      </w:r>
      <w:r w:rsidRPr="003B3977">
        <w:rPr>
          <w:rFonts w:cs="Times New Roman"/>
          <w:sz w:val="20"/>
          <w:szCs w:val="20"/>
          <w:lang w:val="fr-CA"/>
        </w:rPr>
        <w:t xml:space="preserve"> 2010 / Jugement : Le </w:t>
      </w:r>
      <w:r w:rsidR="0093211D">
        <w:rPr>
          <w:rFonts w:cs="Times New Roman"/>
          <w:sz w:val="20"/>
          <w:szCs w:val="20"/>
          <w:lang w:val="fr-CA"/>
        </w:rPr>
        <w:t>11 mars</w:t>
      </w:r>
      <w:r w:rsidRPr="003B3977">
        <w:rPr>
          <w:rFonts w:cs="Times New Roman"/>
          <w:sz w:val="20"/>
          <w:szCs w:val="20"/>
          <w:lang w:val="fr-CA"/>
        </w:rPr>
        <w:t xml:space="preserve"> 201</w:t>
      </w:r>
      <w:r w:rsidR="0093211D">
        <w:rPr>
          <w:rFonts w:cs="Times New Roman"/>
          <w:sz w:val="20"/>
          <w:szCs w:val="20"/>
          <w:lang w:val="fr-CA"/>
        </w:rPr>
        <w:t>1</w:t>
      </w:r>
    </w:p>
    <w:p w:rsidR="005C6840" w:rsidRPr="003B3977" w:rsidRDefault="0004334C" w:rsidP="005C6840">
      <w:pPr>
        <w:rPr>
          <w:rFonts w:cs="Times New Roman"/>
          <w:sz w:val="20"/>
          <w:szCs w:val="20"/>
          <w:lang w:val="fr-CA"/>
        </w:rPr>
      </w:pPr>
      <w:r w:rsidRPr="0004334C">
        <w:rPr>
          <w:rFonts w:cs="Times New Roman"/>
          <w:i/>
          <w:sz w:val="20"/>
          <w:szCs w:val="20"/>
        </w:rPr>
        <w:pict>
          <v:rect id="_x0000_i1080" style="width:480.95pt;height:1pt" o:hralign="center" o:hrstd="t" o:hrnoshade="t" o:hr="t" fillcolor="black [3213]" stroked="f"/>
        </w:pict>
      </w:r>
    </w:p>
    <w:p w:rsidR="005C6840" w:rsidRDefault="005C6840" w:rsidP="005C6840">
      <w:pPr>
        <w:rPr>
          <w:rFonts w:cs="Times New Roman"/>
          <w:sz w:val="20"/>
          <w:szCs w:val="20"/>
          <w:lang w:val="fr-CA"/>
        </w:rPr>
      </w:pPr>
    </w:p>
    <w:p w:rsidR="0072279A" w:rsidRPr="00044F9D" w:rsidRDefault="0072279A" w:rsidP="0072279A">
      <w:pPr>
        <w:jc w:val="both"/>
        <w:rPr>
          <w:rFonts w:cs="Times New Roman"/>
          <w:sz w:val="20"/>
          <w:szCs w:val="20"/>
        </w:rPr>
      </w:pPr>
      <w:r w:rsidRPr="00044F9D">
        <w:rPr>
          <w:rFonts w:cs="Times New Roman"/>
          <w:sz w:val="20"/>
          <w:szCs w:val="20"/>
        </w:rPr>
        <w:t xml:space="preserve">Present:  </w:t>
      </w:r>
      <w:proofErr w:type="spellStart"/>
      <w:r w:rsidRPr="00044F9D">
        <w:rPr>
          <w:rFonts w:cs="Times New Roman"/>
          <w:sz w:val="20"/>
          <w:szCs w:val="20"/>
        </w:rPr>
        <w:t>McLachlin</w:t>
      </w:r>
      <w:proofErr w:type="spellEnd"/>
      <w:r w:rsidRPr="00044F9D">
        <w:rPr>
          <w:rFonts w:cs="Times New Roman"/>
          <w:sz w:val="20"/>
          <w:szCs w:val="20"/>
        </w:rPr>
        <w:t xml:space="preserve"> C.J. and </w:t>
      </w:r>
      <w:proofErr w:type="spellStart"/>
      <w:r w:rsidRPr="00044F9D">
        <w:rPr>
          <w:rFonts w:cs="Times New Roman"/>
          <w:sz w:val="20"/>
          <w:szCs w:val="20"/>
        </w:rPr>
        <w:t>Binnie</w:t>
      </w:r>
      <w:proofErr w:type="spellEnd"/>
      <w:r w:rsidRPr="00044F9D">
        <w:rPr>
          <w:rFonts w:cs="Times New Roman"/>
          <w:sz w:val="20"/>
          <w:szCs w:val="20"/>
        </w:rPr>
        <w:t xml:space="preserve">, </w:t>
      </w:r>
      <w:proofErr w:type="spellStart"/>
      <w:r w:rsidRPr="00044F9D">
        <w:rPr>
          <w:rFonts w:cs="Times New Roman"/>
          <w:sz w:val="20"/>
          <w:szCs w:val="20"/>
        </w:rPr>
        <w:t>LeBel</w:t>
      </w:r>
      <w:proofErr w:type="spellEnd"/>
      <w:r w:rsidRPr="00044F9D">
        <w:rPr>
          <w:rFonts w:cs="Times New Roman"/>
          <w:sz w:val="20"/>
          <w:szCs w:val="20"/>
        </w:rPr>
        <w:t xml:space="preserve">, </w:t>
      </w:r>
      <w:proofErr w:type="spellStart"/>
      <w:r w:rsidRPr="00044F9D">
        <w:rPr>
          <w:rFonts w:cs="Times New Roman"/>
          <w:sz w:val="20"/>
          <w:szCs w:val="20"/>
        </w:rPr>
        <w:t>Deschamps</w:t>
      </w:r>
      <w:proofErr w:type="spellEnd"/>
      <w:r w:rsidRPr="00044F9D">
        <w:rPr>
          <w:rFonts w:cs="Times New Roman"/>
          <w:sz w:val="20"/>
          <w:szCs w:val="20"/>
        </w:rPr>
        <w:t xml:space="preserve">, Fish, </w:t>
      </w:r>
      <w:proofErr w:type="spellStart"/>
      <w:r w:rsidRPr="00044F9D">
        <w:rPr>
          <w:rFonts w:cs="Times New Roman"/>
          <w:sz w:val="20"/>
          <w:szCs w:val="20"/>
        </w:rPr>
        <w:t>Abella</w:t>
      </w:r>
      <w:proofErr w:type="spellEnd"/>
      <w:r w:rsidRPr="00044F9D">
        <w:rPr>
          <w:rFonts w:cs="Times New Roman"/>
          <w:sz w:val="20"/>
          <w:szCs w:val="20"/>
        </w:rPr>
        <w:t xml:space="preserve">, </w:t>
      </w:r>
      <w:proofErr w:type="spellStart"/>
      <w:r w:rsidRPr="00044F9D">
        <w:rPr>
          <w:rFonts w:cs="Times New Roman"/>
          <w:sz w:val="20"/>
          <w:szCs w:val="20"/>
        </w:rPr>
        <w:t>Charron</w:t>
      </w:r>
      <w:proofErr w:type="spellEnd"/>
      <w:r w:rsidRPr="00044F9D">
        <w:rPr>
          <w:rFonts w:cs="Times New Roman"/>
          <w:sz w:val="20"/>
          <w:szCs w:val="20"/>
        </w:rPr>
        <w:t>, Rothstein and Cromwell JJ.</w:t>
      </w:r>
    </w:p>
    <w:p w:rsidR="0072279A" w:rsidRPr="00044F9D" w:rsidRDefault="0072279A" w:rsidP="0072279A">
      <w:pPr>
        <w:jc w:val="both"/>
        <w:rPr>
          <w:rFonts w:cs="Times New Roman"/>
          <w:sz w:val="20"/>
          <w:szCs w:val="20"/>
        </w:rPr>
      </w:pPr>
    </w:p>
    <w:p w:rsidR="0072279A" w:rsidRDefault="0072279A" w:rsidP="0072279A">
      <w:pPr>
        <w:pStyle w:val="SCCNormalDoubleSpacing"/>
        <w:tabs>
          <w:tab w:val="left" w:pos="720"/>
        </w:tabs>
        <w:spacing w:line="240" w:lineRule="auto"/>
        <w:rPr>
          <w:i/>
          <w:sz w:val="20"/>
          <w:lang w:val="en-US"/>
        </w:rPr>
      </w:pPr>
      <w:r w:rsidRPr="00044F9D">
        <w:rPr>
          <w:sz w:val="20"/>
        </w:rPr>
        <w:tab/>
      </w:r>
      <w:r w:rsidRPr="00044F9D">
        <w:rPr>
          <w:i/>
          <w:sz w:val="20"/>
        </w:rPr>
        <w:t xml:space="preserve">Criminal law — Trial — Charge to jury — Post-offence conduct — Murder — Accused fleeing crime scene after shooting victim — Accused conceding at trial to having shot victim unlawfully but claiming lack of intent to kill — Crown stating in closing argument that accused fled with no hesitation, shock or uncertainty — Trial judge instructing jury to be “careful” in considering post-offence conduct — Whether lack of instruction stating that post-offence conduct had no probative value constituting error of law — If so, whether curative proviso applicable — </w:t>
      </w:r>
      <w:r w:rsidRPr="00044F9D">
        <w:rPr>
          <w:i/>
          <w:sz w:val="20"/>
          <w:lang w:val="en-US"/>
        </w:rPr>
        <w:t>Criminal Code, R.S.C. 1985, c. C</w:t>
      </w:r>
      <w:r w:rsidRPr="00044F9D">
        <w:rPr>
          <w:i/>
          <w:sz w:val="20"/>
          <w:lang w:val="en-US"/>
        </w:rPr>
        <w:noBreakHyphen/>
        <w:t>46, s. 686(1)(b)(iii).</w:t>
      </w:r>
    </w:p>
    <w:p w:rsidR="0072279A" w:rsidRPr="00044F9D" w:rsidRDefault="0072279A" w:rsidP="0072279A">
      <w:pPr>
        <w:pStyle w:val="SCCNormalDoubleSpacing"/>
        <w:tabs>
          <w:tab w:val="left" w:pos="720"/>
        </w:tabs>
        <w:spacing w:line="240" w:lineRule="auto"/>
        <w:rPr>
          <w:i/>
          <w:sz w:val="20"/>
          <w:lang w:val="en-US"/>
        </w:rPr>
      </w:pPr>
    </w:p>
    <w:p w:rsidR="0072279A" w:rsidRDefault="0072279A" w:rsidP="0072279A">
      <w:pPr>
        <w:pStyle w:val="SCCNormalDoubleSpacing"/>
        <w:tabs>
          <w:tab w:val="left" w:pos="720"/>
        </w:tabs>
        <w:spacing w:line="240" w:lineRule="auto"/>
        <w:rPr>
          <w:sz w:val="20"/>
        </w:rPr>
      </w:pPr>
      <w:r w:rsidRPr="00044F9D">
        <w:rPr>
          <w:sz w:val="20"/>
        </w:rPr>
        <w:tab/>
        <w:t xml:space="preserve">The accused and the victim were engaged in a physical altercation when a loaded handgun in the </w:t>
      </w:r>
      <w:proofErr w:type="spellStart"/>
      <w:r w:rsidRPr="00044F9D">
        <w:rPr>
          <w:sz w:val="20"/>
        </w:rPr>
        <w:t>accused’s</w:t>
      </w:r>
      <w:proofErr w:type="spellEnd"/>
      <w:r w:rsidRPr="00044F9D">
        <w:rPr>
          <w:sz w:val="20"/>
        </w:rPr>
        <w:t xml:space="preserve"> possession was fired into the victim’s chest, killing him instantly.  Immediately and without hesitation, the accused fled the scene.  He was later apprehended by police and charged with second degree murder.  Throughout the Crown’s case, the identity of the shooter was a live issue, but by trial’s end, the accused effectively admitted to manslaughter, and thus the only live issue before the jury was whether he had the requisite intent for murder.  In response to the </w:t>
      </w:r>
      <w:proofErr w:type="spellStart"/>
      <w:r w:rsidRPr="00044F9D">
        <w:rPr>
          <w:sz w:val="20"/>
        </w:rPr>
        <w:t>accused’s</w:t>
      </w:r>
      <w:proofErr w:type="spellEnd"/>
      <w:r w:rsidRPr="00044F9D">
        <w:rPr>
          <w:sz w:val="20"/>
        </w:rPr>
        <w:t xml:space="preserve"> theory according to which he shot the victim accidently as the two grappled with one another, the Crown pointed out in its closing argument that the accused had fled with “no hesitation here, no shock, </w:t>
      </w:r>
      <w:proofErr w:type="gramStart"/>
      <w:r w:rsidRPr="00044F9D">
        <w:rPr>
          <w:sz w:val="20"/>
        </w:rPr>
        <w:t>no</w:t>
      </w:r>
      <w:proofErr w:type="gramEnd"/>
      <w:r w:rsidRPr="00044F9D">
        <w:rPr>
          <w:sz w:val="20"/>
        </w:rPr>
        <w:t xml:space="preserve"> uncertainty on his part” and that one would expect hesitation if the shot had been anything other than intended. In his charge to the jury, the trial judge referred to the </w:t>
      </w:r>
      <w:proofErr w:type="spellStart"/>
      <w:r w:rsidRPr="00044F9D">
        <w:rPr>
          <w:sz w:val="20"/>
        </w:rPr>
        <w:t>accused’s</w:t>
      </w:r>
      <w:proofErr w:type="spellEnd"/>
      <w:r w:rsidRPr="00044F9D">
        <w:rPr>
          <w:sz w:val="20"/>
        </w:rPr>
        <w:t xml:space="preserve"> post-offence conduct on two occasions, namely in the context of his instructions on the issue of intent where he stated “you may consider the </w:t>
      </w:r>
      <w:proofErr w:type="spellStart"/>
      <w:r w:rsidRPr="00044F9D">
        <w:rPr>
          <w:sz w:val="20"/>
        </w:rPr>
        <w:t>accused’s</w:t>
      </w:r>
      <w:proofErr w:type="spellEnd"/>
      <w:r w:rsidRPr="00044F9D">
        <w:rPr>
          <w:sz w:val="20"/>
        </w:rPr>
        <w:t xml:space="preserve"> post-event conduct in fleeing the scene, but you must also be careful with it” and “it may not be of much assistance in assessing his precise state of mind at the time the gun was fired”, and in his summary of the Crown’s theory of the case.  The accused was convicted as charged.  On appeal, the accused argued that the trial judge should have specifically instructed the jury that the evidence concerning the circumstances of his flight had no probative value in relation to the issue of intent, because that evidence was consistent with both manslaughter and second degree murder.  The majority of the Court of Appeal upheld the conviction, concluding that although the jury charge was deficient, the error was minor and could have no impact on the final verdict.  The dissenting judge concluded that the trial judge had erred in failing to give a “no probative value” instruction.  In his view, the error was serious such that it could not be saved by using the curative proviso found in s. 686(1</w:t>
      </w:r>
      <w:proofErr w:type="gramStart"/>
      <w:r w:rsidRPr="00044F9D">
        <w:rPr>
          <w:sz w:val="20"/>
        </w:rPr>
        <w:t>)(</w:t>
      </w:r>
      <w:proofErr w:type="gramEnd"/>
      <w:r w:rsidRPr="00044F9D">
        <w:rPr>
          <w:i/>
          <w:sz w:val="20"/>
        </w:rPr>
        <w:t>b</w:t>
      </w:r>
      <w:r w:rsidRPr="00044F9D">
        <w:rPr>
          <w:sz w:val="20"/>
        </w:rPr>
        <w:t xml:space="preserve">)(iii) of the </w:t>
      </w:r>
      <w:r w:rsidRPr="00044F9D">
        <w:rPr>
          <w:i/>
          <w:sz w:val="20"/>
        </w:rPr>
        <w:t>Criminal Code</w:t>
      </w:r>
      <w:r w:rsidRPr="00044F9D">
        <w:rPr>
          <w:sz w:val="20"/>
        </w:rPr>
        <w:t>.</w:t>
      </w:r>
    </w:p>
    <w:p w:rsidR="0072279A" w:rsidRPr="00044F9D" w:rsidRDefault="0072279A" w:rsidP="0072279A">
      <w:pPr>
        <w:pStyle w:val="SCCNormalDoubleSpacing"/>
        <w:tabs>
          <w:tab w:val="left" w:pos="720"/>
        </w:tabs>
        <w:spacing w:line="240" w:lineRule="auto"/>
        <w:rPr>
          <w:sz w:val="20"/>
        </w:rPr>
      </w:pPr>
    </w:p>
    <w:p w:rsidR="0072279A" w:rsidRDefault="0072279A" w:rsidP="0072279A">
      <w:pPr>
        <w:pStyle w:val="SCCNormalDoubleSpacing"/>
        <w:tabs>
          <w:tab w:val="left" w:pos="720"/>
        </w:tabs>
        <w:spacing w:line="240" w:lineRule="auto"/>
        <w:rPr>
          <w:sz w:val="20"/>
        </w:rPr>
      </w:pPr>
      <w:r w:rsidRPr="00044F9D">
        <w:rPr>
          <w:sz w:val="20"/>
        </w:rPr>
        <w:tab/>
      </w:r>
      <w:r w:rsidRPr="00044F9D">
        <w:rPr>
          <w:i/>
          <w:sz w:val="20"/>
        </w:rPr>
        <w:t>Held</w:t>
      </w:r>
      <w:r w:rsidRPr="00044F9D">
        <w:rPr>
          <w:sz w:val="20"/>
        </w:rPr>
        <w:t xml:space="preserve"> (</w:t>
      </w:r>
      <w:proofErr w:type="spellStart"/>
      <w:r w:rsidRPr="00044F9D">
        <w:rPr>
          <w:sz w:val="20"/>
        </w:rPr>
        <w:t>McLachlin</w:t>
      </w:r>
      <w:proofErr w:type="spellEnd"/>
      <w:r w:rsidRPr="00044F9D">
        <w:rPr>
          <w:sz w:val="20"/>
        </w:rPr>
        <w:t xml:space="preserve"> C.J. and </w:t>
      </w:r>
      <w:proofErr w:type="spellStart"/>
      <w:r w:rsidRPr="00044F9D">
        <w:rPr>
          <w:sz w:val="20"/>
        </w:rPr>
        <w:t>Binnie</w:t>
      </w:r>
      <w:proofErr w:type="spellEnd"/>
      <w:r w:rsidRPr="00044F9D">
        <w:rPr>
          <w:sz w:val="20"/>
        </w:rPr>
        <w:t xml:space="preserve"> and Fish JJ. dissenting):  The appeal should be dismissed.</w:t>
      </w:r>
    </w:p>
    <w:p w:rsidR="0072279A" w:rsidRPr="00044F9D" w:rsidRDefault="0072279A" w:rsidP="0072279A">
      <w:pPr>
        <w:pStyle w:val="SCCNormalDoubleSpacing"/>
        <w:tabs>
          <w:tab w:val="left" w:pos="720"/>
        </w:tabs>
        <w:spacing w:line="240" w:lineRule="auto"/>
        <w:rPr>
          <w:sz w:val="20"/>
        </w:rPr>
      </w:pPr>
    </w:p>
    <w:p w:rsidR="0072279A" w:rsidRDefault="0072279A" w:rsidP="0072279A">
      <w:pPr>
        <w:pStyle w:val="SCCNormalDoubleSpacing"/>
        <w:tabs>
          <w:tab w:val="left" w:pos="720"/>
        </w:tabs>
        <w:spacing w:line="240" w:lineRule="auto"/>
        <w:rPr>
          <w:sz w:val="20"/>
        </w:rPr>
      </w:pPr>
      <w:r w:rsidRPr="00044F9D">
        <w:rPr>
          <w:sz w:val="20"/>
        </w:rPr>
        <w:tab/>
      </w:r>
      <w:r w:rsidRPr="00044F9D">
        <w:rPr>
          <w:i/>
          <w:sz w:val="20"/>
        </w:rPr>
        <w:t xml:space="preserve">Per </w:t>
      </w:r>
      <w:proofErr w:type="spellStart"/>
      <w:r w:rsidRPr="00044F9D">
        <w:rPr>
          <w:sz w:val="20"/>
        </w:rPr>
        <w:t>LeBel</w:t>
      </w:r>
      <w:proofErr w:type="spellEnd"/>
      <w:r w:rsidRPr="00044F9D">
        <w:rPr>
          <w:sz w:val="20"/>
        </w:rPr>
        <w:t xml:space="preserve">, </w:t>
      </w:r>
      <w:proofErr w:type="spellStart"/>
      <w:r w:rsidRPr="00044F9D">
        <w:rPr>
          <w:sz w:val="20"/>
        </w:rPr>
        <w:t>Abella</w:t>
      </w:r>
      <w:proofErr w:type="spellEnd"/>
      <w:r w:rsidRPr="00044F9D">
        <w:rPr>
          <w:sz w:val="20"/>
        </w:rPr>
        <w:t xml:space="preserve">, </w:t>
      </w:r>
      <w:r w:rsidRPr="00044F9D">
        <w:rPr>
          <w:b/>
          <w:sz w:val="20"/>
        </w:rPr>
        <w:t>Rothstein</w:t>
      </w:r>
      <w:r w:rsidRPr="00044F9D">
        <w:rPr>
          <w:sz w:val="20"/>
        </w:rPr>
        <w:t xml:space="preserve"> and Cromwell JJ.:  This case is distinguishable from </w:t>
      </w:r>
      <w:r w:rsidRPr="00044F9D">
        <w:rPr>
          <w:i/>
          <w:sz w:val="20"/>
        </w:rPr>
        <w:t>R. v.</w:t>
      </w:r>
      <w:r w:rsidRPr="00044F9D">
        <w:rPr>
          <w:sz w:val="20"/>
        </w:rPr>
        <w:t xml:space="preserve"> </w:t>
      </w:r>
      <w:proofErr w:type="spellStart"/>
      <w:r w:rsidRPr="00044F9D">
        <w:rPr>
          <w:i/>
          <w:sz w:val="20"/>
        </w:rPr>
        <w:t>Arcangioli</w:t>
      </w:r>
      <w:proofErr w:type="spellEnd"/>
      <w:r w:rsidRPr="00044F9D">
        <w:rPr>
          <w:sz w:val="20"/>
        </w:rPr>
        <w:t xml:space="preserve">, </w:t>
      </w:r>
      <w:r w:rsidRPr="00044F9D">
        <w:rPr>
          <w:sz w:val="20"/>
          <w:lang w:val="en-US"/>
        </w:rPr>
        <w:t>[1994] 1 S.C.R. 129,</w:t>
      </w:r>
      <w:r w:rsidRPr="00044F9D">
        <w:rPr>
          <w:sz w:val="20"/>
        </w:rPr>
        <w:t xml:space="preserve"> on the facts, and the jury charge was adequate.  Even assuming that the trial judge erred in his instructions to the jury, the error was harmless and should be saved by the curative proviso in s. 686(1</w:t>
      </w:r>
      <w:proofErr w:type="gramStart"/>
      <w:r w:rsidRPr="00044F9D">
        <w:rPr>
          <w:sz w:val="20"/>
        </w:rPr>
        <w:t>)(</w:t>
      </w:r>
      <w:proofErr w:type="gramEnd"/>
      <w:r w:rsidRPr="00044F9D">
        <w:rPr>
          <w:i/>
          <w:sz w:val="20"/>
        </w:rPr>
        <w:t>b</w:t>
      </w:r>
      <w:r w:rsidRPr="00044F9D">
        <w:rPr>
          <w:sz w:val="20"/>
        </w:rPr>
        <w:t xml:space="preserve">)(iii) of the </w:t>
      </w:r>
      <w:r w:rsidRPr="00044F9D">
        <w:rPr>
          <w:i/>
          <w:sz w:val="20"/>
        </w:rPr>
        <w:t>Criminal Code</w:t>
      </w:r>
      <w:r w:rsidRPr="00044F9D">
        <w:rPr>
          <w:sz w:val="20"/>
        </w:rPr>
        <w:t>.</w:t>
      </w:r>
    </w:p>
    <w:p w:rsidR="0072279A" w:rsidRPr="00044F9D" w:rsidRDefault="0072279A" w:rsidP="0072279A">
      <w:pPr>
        <w:pStyle w:val="SCCNormalDoubleSpacing"/>
        <w:tabs>
          <w:tab w:val="left" w:pos="720"/>
        </w:tabs>
        <w:spacing w:line="240" w:lineRule="auto"/>
        <w:rPr>
          <w:i/>
          <w:sz w:val="20"/>
          <w:lang w:val="en-US"/>
        </w:rPr>
      </w:pPr>
    </w:p>
    <w:p w:rsidR="0072279A" w:rsidRDefault="0072279A" w:rsidP="0072279A">
      <w:pPr>
        <w:pStyle w:val="SCCNormalDoubleSpacing"/>
        <w:tabs>
          <w:tab w:val="left" w:pos="720"/>
        </w:tabs>
        <w:spacing w:line="240" w:lineRule="auto"/>
        <w:rPr>
          <w:sz w:val="20"/>
        </w:rPr>
      </w:pPr>
      <w:r w:rsidRPr="00044F9D">
        <w:rPr>
          <w:sz w:val="20"/>
          <w:lang w:val="en-US"/>
        </w:rPr>
        <w:tab/>
      </w:r>
      <w:r w:rsidRPr="00044F9D">
        <w:rPr>
          <w:sz w:val="20"/>
        </w:rPr>
        <w:t xml:space="preserve">The principle that post-offence conduct may constitute circumstantial evidence of guilt remains good law.  At its heart, the question of whether such evidence should be subject to a “no probative value” limiting instruction is simply a matter of relevance.  As with all other evidence, the relevance and probative value of post-offence conduct must be assessed on a case-by-case basis.  Given that post-offence conduct is not fundamentally different from other kinds of circumstantial evidence, its admissibility and the formulation of limiting instructions should be governed by the same principles of evidence that govern other circumstantial evidence.  In particular, to be admissible, post-offence conduct evidence must be relevant to a live issue and must not be subject to a specific exclusionary rule; it may also be excluded pursuant to the exercise of a recognized judicial discretion.  It is also possible, and often appropriate, for a trial judge to warn the jury of the risks associated with certain types of evidence.  The purpose of such a caution is to alert the jury to the danger, which has been recognized through judicial experience, but then allow the properly informed jurors to evaluate the evidence with care. Moreover, there is an important distinction to be made between a </w:t>
      </w:r>
      <w:r w:rsidRPr="00044F9D">
        <w:rPr>
          <w:sz w:val="20"/>
        </w:rPr>
        <w:lastRenderedPageBreak/>
        <w:t xml:space="preserve">limiting instruction and a warning or caution.  A limiting instruction tells the jury they must not consider the evidence for one or several purposes, and a warning or caution leaves the evidence for the jury to consider, but warns them to be careful with it.  In the present case, the judge did warn the jury to be careful with the evidence relating to the </w:t>
      </w:r>
      <w:proofErr w:type="spellStart"/>
      <w:r w:rsidRPr="00044F9D">
        <w:rPr>
          <w:sz w:val="20"/>
        </w:rPr>
        <w:t>accused’s</w:t>
      </w:r>
      <w:proofErr w:type="spellEnd"/>
      <w:r w:rsidRPr="00044F9D">
        <w:rPr>
          <w:sz w:val="20"/>
        </w:rPr>
        <w:t xml:space="preserve"> flight and that there may be one or more explanations for his conduct.</w:t>
      </w:r>
    </w:p>
    <w:p w:rsidR="0072279A" w:rsidRPr="00044F9D" w:rsidRDefault="0072279A" w:rsidP="0072279A">
      <w:pPr>
        <w:pStyle w:val="SCCNormalDoubleSpacing"/>
        <w:tabs>
          <w:tab w:val="left" w:pos="720"/>
        </w:tabs>
        <w:spacing w:line="240" w:lineRule="auto"/>
        <w:rPr>
          <w:sz w:val="20"/>
        </w:rPr>
      </w:pPr>
    </w:p>
    <w:p w:rsidR="0072279A" w:rsidRDefault="0072279A" w:rsidP="0072279A">
      <w:pPr>
        <w:pStyle w:val="SCCNormalDoubleSpacing"/>
        <w:tabs>
          <w:tab w:val="left" w:pos="720"/>
        </w:tabs>
        <w:spacing w:line="240" w:lineRule="auto"/>
        <w:rPr>
          <w:sz w:val="20"/>
        </w:rPr>
      </w:pPr>
      <w:r w:rsidRPr="00044F9D">
        <w:rPr>
          <w:sz w:val="20"/>
        </w:rPr>
        <w:tab/>
      </w:r>
      <w:proofErr w:type="spellStart"/>
      <w:r w:rsidRPr="00044F9D">
        <w:rPr>
          <w:i/>
          <w:sz w:val="20"/>
        </w:rPr>
        <w:t>Arcangioli</w:t>
      </w:r>
      <w:proofErr w:type="spellEnd"/>
      <w:r w:rsidRPr="00044F9D">
        <w:rPr>
          <w:sz w:val="20"/>
        </w:rPr>
        <w:t xml:space="preserve"> and its successor cases, such as </w:t>
      </w:r>
      <w:r w:rsidRPr="00044F9D">
        <w:rPr>
          <w:i/>
          <w:sz w:val="20"/>
        </w:rPr>
        <w:t>R. v.</w:t>
      </w:r>
      <w:r w:rsidRPr="00044F9D">
        <w:rPr>
          <w:sz w:val="20"/>
        </w:rPr>
        <w:t xml:space="preserve"> </w:t>
      </w:r>
      <w:r w:rsidRPr="00044F9D">
        <w:rPr>
          <w:i/>
          <w:sz w:val="20"/>
        </w:rPr>
        <w:t>White</w:t>
      </w:r>
      <w:r w:rsidRPr="00044F9D">
        <w:rPr>
          <w:sz w:val="20"/>
        </w:rPr>
        <w:t xml:space="preserve">, </w:t>
      </w:r>
      <w:r w:rsidRPr="00044F9D">
        <w:rPr>
          <w:sz w:val="20"/>
          <w:lang w:val="en-US"/>
        </w:rPr>
        <w:t>[1998] 2 S.C.R. 72,</w:t>
      </w:r>
      <w:r w:rsidRPr="00044F9D">
        <w:rPr>
          <w:sz w:val="20"/>
        </w:rPr>
        <w:t xml:space="preserve"> do not support the very broad proposition that post-offence conduct is generally inadmissible in determining whether an accused is guilty of manslaughter or murder.  Indeed, they stand for the proposition that a “no probative value” instruction will be required when an </w:t>
      </w:r>
      <w:proofErr w:type="spellStart"/>
      <w:r w:rsidRPr="00044F9D">
        <w:rPr>
          <w:sz w:val="20"/>
        </w:rPr>
        <w:t>accused’s</w:t>
      </w:r>
      <w:proofErr w:type="spellEnd"/>
      <w:r w:rsidRPr="00044F9D">
        <w:rPr>
          <w:sz w:val="20"/>
        </w:rPr>
        <w:t xml:space="preserve"> post-offence conduct is equally explained by or equally consistent with two or more offences.  Those cases should be understood as a restatement, tailored to specific circumstances, of the established rule that circumstantial evidence must be relevant to the fact in issue.  Whether or not a given instance of post-offence conduct has probative value with respect to an </w:t>
      </w:r>
      <w:proofErr w:type="spellStart"/>
      <w:r w:rsidRPr="00044F9D">
        <w:rPr>
          <w:sz w:val="20"/>
        </w:rPr>
        <w:t>accused’s</w:t>
      </w:r>
      <w:proofErr w:type="spellEnd"/>
      <w:r w:rsidRPr="00044F9D">
        <w:rPr>
          <w:sz w:val="20"/>
        </w:rPr>
        <w:t xml:space="preserve"> level of culpability depends entirely on the specific nature of the conduct, its relationship to the record as a whole, and the issues </w:t>
      </w:r>
      <w:proofErr w:type="gramStart"/>
      <w:r w:rsidRPr="00044F9D">
        <w:rPr>
          <w:sz w:val="20"/>
        </w:rPr>
        <w:t>raised</w:t>
      </w:r>
      <w:proofErr w:type="gramEnd"/>
      <w:r w:rsidRPr="00044F9D">
        <w:rPr>
          <w:sz w:val="20"/>
        </w:rPr>
        <w:t xml:space="preserve"> at trial.  Furthermore, when the question is whether certain evidence should be removed from the jury because it is irrelevant, it is enough to evaluate whether that evidence is relevant to the material fact at issue as a matter of logic and human experience.  The risk that a jury will misuse or be misled by an item of evidence should not inform the relevance determination.  Instead, this risk is appropriately addressed through the trial judge’s discretion to exclude evidence whose prejudicial effect outweighs its probative value or through a caution in the jury charge.</w:t>
      </w:r>
    </w:p>
    <w:p w:rsidR="0072279A" w:rsidRPr="00044F9D" w:rsidRDefault="0072279A" w:rsidP="0072279A">
      <w:pPr>
        <w:pStyle w:val="SCCNormalDoubleSpacing"/>
        <w:tabs>
          <w:tab w:val="left" w:pos="720"/>
        </w:tabs>
        <w:spacing w:line="240" w:lineRule="auto"/>
        <w:rPr>
          <w:sz w:val="20"/>
        </w:rPr>
      </w:pPr>
    </w:p>
    <w:p w:rsidR="0072279A" w:rsidRDefault="0072279A" w:rsidP="0072279A">
      <w:pPr>
        <w:pStyle w:val="SCCNormalDoubleSpacing"/>
        <w:tabs>
          <w:tab w:val="left" w:pos="720"/>
        </w:tabs>
        <w:spacing w:line="240" w:lineRule="auto"/>
        <w:rPr>
          <w:sz w:val="20"/>
        </w:rPr>
      </w:pPr>
      <w:r w:rsidRPr="00044F9D">
        <w:rPr>
          <w:sz w:val="20"/>
        </w:rPr>
        <w:tab/>
        <w:t xml:space="preserve">In this case, the trial judge’s instructions to the jury on the question of post-offence conduct were adequate and did not constitute an error of law.  Indeed, the conduct alluded to by the Crown was not the flight itself, but rather the </w:t>
      </w:r>
      <w:proofErr w:type="spellStart"/>
      <w:r w:rsidRPr="00044F9D">
        <w:rPr>
          <w:sz w:val="20"/>
        </w:rPr>
        <w:t>accused’s</w:t>
      </w:r>
      <w:proofErr w:type="spellEnd"/>
      <w:r w:rsidRPr="00044F9D">
        <w:rPr>
          <w:sz w:val="20"/>
        </w:rPr>
        <w:t xml:space="preserve"> failure to hesitate after his gun was fired into the victim’s chest before he fled the scene.  This is different from the question at issue in </w:t>
      </w:r>
      <w:proofErr w:type="spellStart"/>
      <w:r w:rsidRPr="00044F9D">
        <w:rPr>
          <w:i/>
          <w:sz w:val="20"/>
        </w:rPr>
        <w:t>Arcangioli</w:t>
      </w:r>
      <w:proofErr w:type="spellEnd"/>
      <w:r w:rsidRPr="00044F9D">
        <w:rPr>
          <w:sz w:val="20"/>
        </w:rPr>
        <w:t xml:space="preserve">, which concerned the simple act of fleeing from the scene.  The situation in the present case is no different from that in </w:t>
      </w:r>
      <w:r w:rsidRPr="00044F9D">
        <w:rPr>
          <w:i/>
          <w:sz w:val="20"/>
        </w:rPr>
        <w:t>R. v.</w:t>
      </w:r>
      <w:r w:rsidRPr="00044F9D">
        <w:rPr>
          <w:sz w:val="20"/>
        </w:rPr>
        <w:t xml:space="preserve"> </w:t>
      </w:r>
      <w:r w:rsidRPr="00044F9D">
        <w:rPr>
          <w:i/>
          <w:sz w:val="20"/>
        </w:rPr>
        <w:t>Jaw</w:t>
      </w:r>
      <w:r w:rsidRPr="00044F9D">
        <w:rPr>
          <w:sz w:val="20"/>
        </w:rPr>
        <w:t xml:space="preserve">, </w:t>
      </w:r>
      <w:r w:rsidRPr="00044F9D">
        <w:rPr>
          <w:sz w:val="20"/>
          <w:lang w:val="en-US"/>
        </w:rPr>
        <w:t>2009 SCC 42, [2009] 3 S.C.R. 26,</w:t>
      </w:r>
      <w:r w:rsidRPr="00044F9D">
        <w:rPr>
          <w:sz w:val="20"/>
        </w:rPr>
        <w:t xml:space="preserve"> in that a jury could legitimately infer that the </w:t>
      </w:r>
      <w:proofErr w:type="spellStart"/>
      <w:r w:rsidRPr="00044F9D">
        <w:rPr>
          <w:sz w:val="20"/>
        </w:rPr>
        <w:t>accused’s</w:t>
      </w:r>
      <w:proofErr w:type="spellEnd"/>
      <w:r w:rsidRPr="00044F9D">
        <w:rPr>
          <w:sz w:val="20"/>
        </w:rPr>
        <w:t xml:space="preserve"> lack of hesitation after the gun was fired belied his claim that the shooting was accidental.  Evidence of such a failure is thus relevant to the question of whether he had the requisite intent for second degree murder.  Moreover, the evidence was not tainted by the hallmark flaws associated with demeanour evidence so as to be irrelevant, nor was it an invitation to infer a murderous intent from the way the accused looked just before he fled.  Lack of hesitation prior to flight is an objective fact, from which the finder of </w:t>
      </w:r>
      <w:proofErr w:type="gramStart"/>
      <w:r w:rsidRPr="00044F9D">
        <w:rPr>
          <w:sz w:val="20"/>
        </w:rPr>
        <w:t>fact,</w:t>
      </w:r>
      <w:proofErr w:type="gramEnd"/>
      <w:r w:rsidRPr="00044F9D">
        <w:rPr>
          <w:sz w:val="20"/>
        </w:rPr>
        <w:t xml:space="preserve"> and not a witness is asked to draw an inference of no shock or surprise.  While it is true that using evidence of lack of hesitation prior to flight presupposes a normal range of reactions, and while it may be that not everyone will respond in the same way, divergence from that norm, though not determinative, is more consistent with an intentional shooting than with an accident.  It would therefore have been wrong for the trial judge to instruct the jury that this evidence had no probative value in determining intent.  As well, while it is theoretically possible to read the trial judge’s statement as an invitation to consider the </w:t>
      </w:r>
      <w:proofErr w:type="spellStart"/>
      <w:r w:rsidRPr="00044F9D">
        <w:rPr>
          <w:sz w:val="20"/>
        </w:rPr>
        <w:t>accused’s</w:t>
      </w:r>
      <w:proofErr w:type="spellEnd"/>
      <w:r w:rsidRPr="00044F9D">
        <w:rPr>
          <w:sz w:val="20"/>
        </w:rPr>
        <w:t xml:space="preserve"> act of flight as evidence of consciousness of guilt, this would not be a reasonable interpretation given the context in which the statement was made.</w:t>
      </w:r>
    </w:p>
    <w:p w:rsidR="0072279A" w:rsidRPr="00044F9D" w:rsidRDefault="0072279A" w:rsidP="0072279A">
      <w:pPr>
        <w:pStyle w:val="SCCNormalDoubleSpacing"/>
        <w:tabs>
          <w:tab w:val="left" w:pos="720"/>
        </w:tabs>
        <w:spacing w:line="240" w:lineRule="auto"/>
        <w:rPr>
          <w:sz w:val="20"/>
          <w:lang w:val="en-US"/>
        </w:rPr>
      </w:pPr>
    </w:p>
    <w:p w:rsidR="0072279A" w:rsidRDefault="0072279A" w:rsidP="0072279A">
      <w:pPr>
        <w:pStyle w:val="SCCNormalDoubleSpacing"/>
        <w:tabs>
          <w:tab w:val="left" w:pos="720"/>
        </w:tabs>
        <w:spacing w:line="240" w:lineRule="auto"/>
        <w:rPr>
          <w:sz w:val="20"/>
        </w:rPr>
      </w:pPr>
      <w:r w:rsidRPr="00044F9D">
        <w:rPr>
          <w:sz w:val="20"/>
          <w:lang w:val="en-US"/>
        </w:rPr>
        <w:tab/>
      </w:r>
      <w:r w:rsidRPr="00044F9D">
        <w:rPr>
          <w:sz w:val="20"/>
        </w:rPr>
        <w:t xml:space="preserve">It was, however, appropriate for the trial judge to warn the jury to be careful with the post-event conduct evidence and tell them that it might not be of much assistance.  Indeed, there could have been other explanations for the </w:t>
      </w:r>
      <w:proofErr w:type="spellStart"/>
      <w:r w:rsidRPr="00044F9D">
        <w:rPr>
          <w:sz w:val="20"/>
        </w:rPr>
        <w:t>accused’s</w:t>
      </w:r>
      <w:proofErr w:type="spellEnd"/>
      <w:r w:rsidRPr="00044F9D">
        <w:rPr>
          <w:sz w:val="20"/>
        </w:rPr>
        <w:t xml:space="preserve"> failure to hesitate.  While the notion that a person who accidentally shoots someone to death will normally have the immediate reaction of hesitating or showing some other sign of surprise is well-founded, there may be exceptional individuals who do not respond in the normal way.  The caution was adequate to alert the jury to the risk associated with that evidence and to allow them to properly weigh it.</w:t>
      </w:r>
    </w:p>
    <w:p w:rsidR="0072279A" w:rsidRPr="00044F9D" w:rsidRDefault="0072279A" w:rsidP="0072279A">
      <w:pPr>
        <w:pStyle w:val="SCCNormalDoubleSpacing"/>
        <w:tabs>
          <w:tab w:val="left" w:pos="720"/>
        </w:tabs>
        <w:spacing w:line="240" w:lineRule="auto"/>
        <w:rPr>
          <w:sz w:val="20"/>
        </w:rPr>
      </w:pPr>
    </w:p>
    <w:p w:rsidR="0072279A" w:rsidRDefault="0072279A" w:rsidP="0072279A">
      <w:pPr>
        <w:pStyle w:val="SCCNormalDoubleSpacing"/>
        <w:tabs>
          <w:tab w:val="left" w:pos="720"/>
        </w:tabs>
        <w:spacing w:line="240" w:lineRule="auto"/>
        <w:rPr>
          <w:sz w:val="20"/>
        </w:rPr>
      </w:pPr>
      <w:r w:rsidRPr="00044F9D">
        <w:rPr>
          <w:sz w:val="20"/>
        </w:rPr>
        <w:tab/>
        <w:t>Nevertheless, if there was an error in the trial judge’s instructions, it should be saved by the curative proviso in s. 686(1</w:t>
      </w:r>
      <w:proofErr w:type="gramStart"/>
      <w:r w:rsidRPr="00044F9D">
        <w:rPr>
          <w:sz w:val="20"/>
        </w:rPr>
        <w:t>)(</w:t>
      </w:r>
      <w:proofErr w:type="gramEnd"/>
      <w:r w:rsidRPr="00044F9D">
        <w:rPr>
          <w:i/>
          <w:sz w:val="20"/>
        </w:rPr>
        <w:t>b</w:t>
      </w:r>
      <w:r w:rsidRPr="00044F9D">
        <w:rPr>
          <w:sz w:val="20"/>
        </w:rPr>
        <w:t xml:space="preserve">)(iii).  It would have been ideal for the trial judge, when instructing the jury on the matter of intent, to refer expressly and exclusively to the </w:t>
      </w:r>
      <w:proofErr w:type="spellStart"/>
      <w:r w:rsidRPr="00044F9D">
        <w:rPr>
          <w:sz w:val="20"/>
        </w:rPr>
        <w:t>accused’s</w:t>
      </w:r>
      <w:proofErr w:type="spellEnd"/>
      <w:r w:rsidRPr="00044F9D">
        <w:rPr>
          <w:sz w:val="20"/>
        </w:rPr>
        <w:t xml:space="preserve"> lack of hesitation, as opposed to his “conduct in fleeing the scene”.  However, even assuming that the statement was persistently or intractably ambiguous and therefore constitutes an error, such an error is a minor one.  There is no requirement for perfectly instructed juries, and given the nature of the purported error, it was unlikely to have had any effect on the jury’s deliberations.</w:t>
      </w:r>
    </w:p>
    <w:p w:rsidR="0072279A" w:rsidRPr="00044F9D" w:rsidRDefault="0072279A" w:rsidP="0072279A">
      <w:pPr>
        <w:pStyle w:val="SCCNormalDoubleSpacing"/>
        <w:tabs>
          <w:tab w:val="left" w:pos="720"/>
        </w:tabs>
        <w:spacing w:line="240" w:lineRule="auto"/>
        <w:rPr>
          <w:sz w:val="20"/>
        </w:rPr>
      </w:pPr>
    </w:p>
    <w:p w:rsidR="0072279A" w:rsidRDefault="0072279A" w:rsidP="0072279A">
      <w:pPr>
        <w:pStyle w:val="SCCNormalDoubleSpacing"/>
        <w:tabs>
          <w:tab w:val="left" w:pos="720"/>
        </w:tabs>
        <w:spacing w:line="240" w:lineRule="auto"/>
        <w:rPr>
          <w:sz w:val="20"/>
        </w:rPr>
      </w:pPr>
      <w:r w:rsidRPr="00044F9D">
        <w:rPr>
          <w:sz w:val="20"/>
        </w:rPr>
        <w:tab/>
      </w:r>
      <w:r w:rsidRPr="00044F9D">
        <w:rPr>
          <w:i/>
          <w:sz w:val="20"/>
        </w:rPr>
        <w:t>Per</w:t>
      </w:r>
      <w:r w:rsidRPr="00044F9D">
        <w:rPr>
          <w:sz w:val="20"/>
        </w:rPr>
        <w:t xml:space="preserve"> </w:t>
      </w:r>
      <w:proofErr w:type="spellStart"/>
      <w:r w:rsidRPr="00044F9D">
        <w:rPr>
          <w:sz w:val="20"/>
        </w:rPr>
        <w:t>Deschamps</w:t>
      </w:r>
      <w:proofErr w:type="spellEnd"/>
      <w:r w:rsidRPr="00044F9D">
        <w:rPr>
          <w:sz w:val="20"/>
        </w:rPr>
        <w:t xml:space="preserve"> and </w:t>
      </w:r>
      <w:proofErr w:type="spellStart"/>
      <w:r w:rsidRPr="00044F9D">
        <w:rPr>
          <w:b/>
          <w:sz w:val="20"/>
        </w:rPr>
        <w:t>Charron</w:t>
      </w:r>
      <w:proofErr w:type="spellEnd"/>
      <w:r w:rsidRPr="00044F9D">
        <w:rPr>
          <w:sz w:val="20"/>
        </w:rPr>
        <w:t> </w:t>
      </w:r>
      <w:proofErr w:type="gramStart"/>
      <w:r w:rsidRPr="00044F9D">
        <w:rPr>
          <w:sz w:val="20"/>
        </w:rPr>
        <w:t>JJ.:</w:t>
      </w:r>
      <w:proofErr w:type="gramEnd"/>
      <w:r w:rsidRPr="00044F9D">
        <w:rPr>
          <w:sz w:val="20"/>
        </w:rPr>
        <w:t xml:space="preserve">  There is agreement with </w:t>
      </w:r>
      <w:proofErr w:type="spellStart"/>
      <w:r w:rsidRPr="00044F9D">
        <w:rPr>
          <w:sz w:val="20"/>
        </w:rPr>
        <w:t>Binnie</w:t>
      </w:r>
      <w:proofErr w:type="spellEnd"/>
      <w:r w:rsidRPr="00044F9D">
        <w:rPr>
          <w:sz w:val="20"/>
        </w:rPr>
        <w:t xml:space="preserve"> J.’s analysis on the law concerning the use that may be made of evidence of post-offence conduct.  As he stresses, it is definitely wrong to suggest that evidence of anything said or done by an accused after the commission of an offence gives rise to special rules of admissibility, or that it is subject to special warnings as to what use may be made of it by the </w:t>
      </w:r>
      <w:proofErr w:type="spellStart"/>
      <w:r w:rsidRPr="00044F9D">
        <w:rPr>
          <w:sz w:val="20"/>
        </w:rPr>
        <w:t>trier</w:t>
      </w:r>
      <w:proofErr w:type="spellEnd"/>
      <w:r w:rsidRPr="00044F9D">
        <w:rPr>
          <w:sz w:val="20"/>
        </w:rPr>
        <w:t xml:space="preserve"> of fact.  There is also agreement with </w:t>
      </w:r>
      <w:proofErr w:type="spellStart"/>
      <w:r w:rsidRPr="00044F9D">
        <w:rPr>
          <w:sz w:val="20"/>
        </w:rPr>
        <w:lastRenderedPageBreak/>
        <w:t>Binnie</w:t>
      </w:r>
      <w:proofErr w:type="spellEnd"/>
      <w:r w:rsidRPr="00044F9D">
        <w:rPr>
          <w:sz w:val="20"/>
        </w:rPr>
        <w:t xml:space="preserve"> J. that judicial experience has taught us that in some cases jurors have found certain types of evidence more persuasive than warranted, thus making it necessary in appropriate cases to caution the jury accordingly or remove the evidence from their consideration altogether.  Furthermore, it is agreed that inferences drawn by a witness, based on his or her observation of the </w:t>
      </w:r>
      <w:proofErr w:type="spellStart"/>
      <w:r w:rsidRPr="00044F9D">
        <w:rPr>
          <w:sz w:val="20"/>
        </w:rPr>
        <w:t>accused’s</w:t>
      </w:r>
      <w:proofErr w:type="spellEnd"/>
      <w:r w:rsidRPr="00044F9D">
        <w:rPr>
          <w:sz w:val="20"/>
        </w:rPr>
        <w:t xml:space="preserve"> demeanour, may well call for a special caution or be subject to an exclusion order.</w:t>
      </w:r>
    </w:p>
    <w:p w:rsidR="0072279A" w:rsidRPr="00044F9D" w:rsidRDefault="0072279A" w:rsidP="0072279A">
      <w:pPr>
        <w:pStyle w:val="SCCNormalDoubleSpacing"/>
        <w:tabs>
          <w:tab w:val="left" w:pos="720"/>
        </w:tabs>
        <w:spacing w:line="240" w:lineRule="auto"/>
        <w:rPr>
          <w:sz w:val="20"/>
        </w:rPr>
      </w:pPr>
    </w:p>
    <w:p w:rsidR="0072279A" w:rsidRDefault="0072279A" w:rsidP="0072279A">
      <w:pPr>
        <w:pStyle w:val="SCCNormalDoubleSpacing"/>
        <w:tabs>
          <w:tab w:val="left" w:pos="720"/>
        </w:tabs>
        <w:spacing w:line="240" w:lineRule="auto"/>
        <w:rPr>
          <w:sz w:val="20"/>
        </w:rPr>
      </w:pPr>
      <w:r w:rsidRPr="00044F9D">
        <w:rPr>
          <w:sz w:val="20"/>
        </w:rPr>
        <w:tab/>
        <w:t xml:space="preserve">However, there is disagreement with </w:t>
      </w:r>
      <w:proofErr w:type="spellStart"/>
      <w:r w:rsidRPr="00044F9D">
        <w:rPr>
          <w:sz w:val="20"/>
        </w:rPr>
        <w:t>Binnie</w:t>
      </w:r>
      <w:proofErr w:type="spellEnd"/>
      <w:r w:rsidRPr="00044F9D">
        <w:rPr>
          <w:sz w:val="20"/>
        </w:rPr>
        <w:t> J. on the significance he attaches to Crown counsel’s reference in his closing address to the fact that the accused immediately fled the scene “with no hesitation here, no shock no uncertainty”.  The Crown did not invite the jury to draw an impermissible inference of guilt.  Taken in context, Crown counsel’s comment could only have been understood by the jury as a rhetorical argument that no evidence supported the defence theory of accidental discharge of the firearm.  The failure of defence counsel to raise any issue at trial regarding Crown counsel’s closing address or the trial judge’s instructions on the evidence of flight further supports this interpretation.</w:t>
      </w:r>
    </w:p>
    <w:p w:rsidR="0072279A" w:rsidRPr="00044F9D" w:rsidRDefault="0072279A" w:rsidP="0072279A">
      <w:pPr>
        <w:pStyle w:val="SCCNormalDoubleSpacing"/>
        <w:tabs>
          <w:tab w:val="left" w:pos="720"/>
        </w:tabs>
        <w:spacing w:line="240" w:lineRule="auto"/>
        <w:rPr>
          <w:sz w:val="20"/>
        </w:rPr>
      </w:pPr>
    </w:p>
    <w:p w:rsidR="0072279A" w:rsidRDefault="0072279A" w:rsidP="0072279A">
      <w:pPr>
        <w:pStyle w:val="SCCNormalDoubleSpacing"/>
        <w:tabs>
          <w:tab w:val="left" w:pos="720"/>
        </w:tabs>
        <w:spacing w:line="240" w:lineRule="auto"/>
        <w:rPr>
          <w:sz w:val="20"/>
        </w:rPr>
      </w:pPr>
      <w:r w:rsidRPr="00044F9D">
        <w:rPr>
          <w:sz w:val="20"/>
        </w:rPr>
        <w:tab/>
        <w:t xml:space="preserve">There is also no support in the record for the </w:t>
      </w:r>
      <w:proofErr w:type="spellStart"/>
      <w:r w:rsidRPr="00044F9D">
        <w:rPr>
          <w:sz w:val="20"/>
        </w:rPr>
        <w:t>accused’s</w:t>
      </w:r>
      <w:proofErr w:type="spellEnd"/>
      <w:r w:rsidRPr="00044F9D">
        <w:rPr>
          <w:sz w:val="20"/>
        </w:rPr>
        <w:t xml:space="preserve"> contention, accepted by </w:t>
      </w:r>
      <w:proofErr w:type="spellStart"/>
      <w:r w:rsidRPr="00044F9D">
        <w:rPr>
          <w:sz w:val="20"/>
        </w:rPr>
        <w:t>Binnie</w:t>
      </w:r>
      <w:proofErr w:type="spellEnd"/>
      <w:r w:rsidRPr="00044F9D">
        <w:rPr>
          <w:sz w:val="20"/>
        </w:rPr>
        <w:t> J</w:t>
      </w:r>
      <w:proofErr w:type="gramStart"/>
      <w:r w:rsidRPr="00044F9D">
        <w:rPr>
          <w:sz w:val="20"/>
        </w:rPr>
        <w:t>., that</w:t>
      </w:r>
      <w:proofErr w:type="gramEnd"/>
      <w:r w:rsidRPr="00044F9D">
        <w:rPr>
          <w:sz w:val="20"/>
        </w:rPr>
        <w:t xml:space="preserve"> this case is a re-run of </w:t>
      </w:r>
      <w:proofErr w:type="spellStart"/>
      <w:r w:rsidRPr="00044F9D">
        <w:rPr>
          <w:i/>
          <w:sz w:val="20"/>
        </w:rPr>
        <w:t>Arcangioli</w:t>
      </w:r>
      <w:proofErr w:type="spellEnd"/>
      <w:r w:rsidRPr="00044F9D">
        <w:rPr>
          <w:sz w:val="20"/>
        </w:rPr>
        <w:t>.  In that case, the accused admitted to participating in the culpable event and the only issue at trial was his level of culpability.  Conversely, in the present case, the identity of the shooter was a very live issue and the evidence of flight was highly relevant to the issue of identification.  Moreover, it formed an inextricable part of the narrative as every witness to the event described the shooter, gun in hand, fleeing the scene.  The evidence was therefore admissible at trial and properly left for the jury’s assessment.  The trial judge’s instructions regarding this evidence contained no error.  The evidence of flight was reviewed for the jury in this context and its significance would have been properly understood.  In addition, on the question of intention, the trial judge took care to instruct the jury that they should “be careful with” the evidence in question, as it might not tell them “much more than for any number of reasons, he would be in some kind of trouble if he stayed at the scene and it may not be of much assistance in assessing his precise state of mind at the time the gun was fired”.  In the context of this trial, no more was required.  Accordingly, there is agreement with Rothstein J. that the jury charge contained no error, and there is no reason to interfere with the jury’s verdict.</w:t>
      </w:r>
    </w:p>
    <w:p w:rsidR="0072279A" w:rsidRPr="00044F9D" w:rsidRDefault="0072279A" w:rsidP="0072279A">
      <w:pPr>
        <w:pStyle w:val="SCCNormalDoubleSpacing"/>
        <w:tabs>
          <w:tab w:val="left" w:pos="720"/>
        </w:tabs>
        <w:spacing w:line="240" w:lineRule="auto"/>
        <w:rPr>
          <w:sz w:val="20"/>
        </w:rPr>
      </w:pPr>
    </w:p>
    <w:p w:rsidR="0072279A" w:rsidRDefault="0072279A" w:rsidP="0072279A">
      <w:pPr>
        <w:pStyle w:val="SCCNormalDoubleSpacing"/>
        <w:tabs>
          <w:tab w:val="left" w:pos="720"/>
        </w:tabs>
        <w:spacing w:line="240" w:lineRule="auto"/>
        <w:rPr>
          <w:sz w:val="20"/>
        </w:rPr>
      </w:pPr>
      <w:r w:rsidRPr="00044F9D">
        <w:rPr>
          <w:i/>
          <w:sz w:val="20"/>
        </w:rPr>
        <w:tab/>
        <w:t xml:space="preserve">Per </w:t>
      </w:r>
      <w:proofErr w:type="spellStart"/>
      <w:r w:rsidRPr="00044F9D">
        <w:rPr>
          <w:sz w:val="20"/>
        </w:rPr>
        <w:t>McLachlin</w:t>
      </w:r>
      <w:proofErr w:type="spellEnd"/>
      <w:r w:rsidRPr="00044F9D">
        <w:rPr>
          <w:sz w:val="20"/>
        </w:rPr>
        <w:t xml:space="preserve"> C.J. and </w:t>
      </w:r>
      <w:proofErr w:type="spellStart"/>
      <w:r w:rsidRPr="00044F9D">
        <w:rPr>
          <w:b/>
          <w:sz w:val="20"/>
        </w:rPr>
        <w:t>Binnie</w:t>
      </w:r>
      <w:proofErr w:type="spellEnd"/>
      <w:r w:rsidRPr="00044F9D">
        <w:rPr>
          <w:sz w:val="20"/>
        </w:rPr>
        <w:t xml:space="preserve"> and Fish JJ. (</w:t>
      </w:r>
      <w:proofErr w:type="gramStart"/>
      <w:r w:rsidRPr="00044F9D">
        <w:rPr>
          <w:sz w:val="20"/>
        </w:rPr>
        <w:t>dissenting</w:t>
      </w:r>
      <w:proofErr w:type="gramEnd"/>
      <w:r w:rsidRPr="00044F9D">
        <w:rPr>
          <w:sz w:val="20"/>
        </w:rPr>
        <w:t xml:space="preserve">):  The rules governing jury instructions where evidence relied on by the prosecution is not probative, or if probative is outweighed by unfair prejudice, are outlined in recent decisions in this Court in cases such as </w:t>
      </w:r>
      <w:proofErr w:type="spellStart"/>
      <w:r w:rsidRPr="00044F9D">
        <w:rPr>
          <w:i/>
          <w:sz w:val="20"/>
        </w:rPr>
        <w:t>Arcangioli</w:t>
      </w:r>
      <w:proofErr w:type="spellEnd"/>
      <w:r w:rsidRPr="00044F9D">
        <w:rPr>
          <w:sz w:val="20"/>
        </w:rPr>
        <w:t xml:space="preserve"> and </w:t>
      </w:r>
      <w:r w:rsidRPr="00044F9D">
        <w:rPr>
          <w:i/>
          <w:sz w:val="20"/>
        </w:rPr>
        <w:t>White</w:t>
      </w:r>
      <w:r w:rsidRPr="00044F9D">
        <w:rPr>
          <w:sz w:val="20"/>
        </w:rPr>
        <w:t xml:space="preserve">.  The present case is not distinguishable in principle from </w:t>
      </w:r>
      <w:proofErr w:type="spellStart"/>
      <w:r w:rsidRPr="00044F9D">
        <w:rPr>
          <w:i/>
          <w:sz w:val="20"/>
        </w:rPr>
        <w:t>Arcangioli</w:t>
      </w:r>
      <w:proofErr w:type="spellEnd"/>
      <w:r w:rsidRPr="00044F9D">
        <w:rPr>
          <w:sz w:val="20"/>
        </w:rPr>
        <w:t xml:space="preserve">.  Indeed, as in </w:t>
      </w:r>
      <w:proofErr w:type="spellStart"/>
      <w:r w:rsidRPr="00044F9D">
        <w:rPr>
          <w:i/>
          <w:sz w:val="20"/>
        </w:rPr>
        <w:t>Arcangioli</w:t>
      </w:r>
      <w:proofErr w:type="spellEnd"/>
      <w:r w:rsidRPr="00044F9D">
        <w:rPr>
          <w:sz w:val="20"/>
        </w:rPr>
        <w:t xml:space="preserve">, the conduct of the accused in the immediate aftermath of the offence was a significant element in the Crown’s argument to the jury, and in the trial judge’s final instructions.  As well, there was the danger in this case that the jury might fail to take account of alternative explanations for the </w:t>
      </w:r>
      <w:proofErr w:type="spellStart"/>
      <w:r w:rsidRPr="00044F9D">
        <w:rPr>
          <w:sz w:val="20"/>
        </w:rPr>
        <w:t>accused’s</w:t>
      </w:r>
      <w:proofErr w:type="spellEnd"/>
      <w:r w:rsidRPr="00044F9D">
        <w:rPr>
          <w:sz w:val="20"/>
        </w:rPr>
        <w:t xml:space="preserve"> behaviour, and that they might mistakenly leap from such demeanour evidence to a conclusion of guilt.  Had the issue of identity been put to the jury, undoubtedly evidence of flight would have been highly relevant.  It might have been used by the jury, along with other evidence to find the accused to be the shooter.  In the end, however, identity was admitted.  Accordingly, the </w:t>
      </w:r>
      <w:proofErr w:type="spellStart"/>
      <w:r w:rsidRPr="00044F9D">
        <w:rPr>
          <w:sz w:val="20"/>
        </w:rPr>
        <w:t>accused’s</w:t>
      </w:r>
      <w:proofErr w:type="spellEnd"/>
      <w:r w:rsidRPr="00044F9D">
        <w:rPr>
          <w:sz w:val="20"/>
        </w:rPr>
        <w:t xml:space="preserve"> post-offence conduct was not simply put forward as part of the narrative; it was put forward as proof of guilt of second degree murder.  On the basis of </w:t>
      </w:r>
      <w:proofErr w:type="spellStart"/>
      <w:r w:rsidRPr="00044F9D">
        <w:rPr>
          <w:i/>
          <w:sz w:val="20"/>
        </w:rPr>
        <w:t>Arcangioli</w:t>
      </w:r>
      <w:proofErr w:type="spellEnd"/>
      <w:r w:rsidRPr="00044F9D">
        <w:rPr>
          <w:sz w:val="20"/>
        </w:rPr>
        <w:t>, that evidence was inadmissible to prove the specific intent necessary to support a conviction for murder.</w:t>
      </w:r>
    </w:p>
    <w:p w:rsidR="0072279A" w:rsidRPr="00044F9D" w:rsidRDefault="0072279A" w:rsidP="0072279A">
      <w:pPr>
        <w:pStyle w:val="SCCNormalDoubleSpacing"/>
        <w:tabs>
          <w:tab w:val="left" w:pos="720"/>
        </w:tabs>
        <w:spacing w:line="240" w:lineRule="auto"/>
        <w:rPr>
          <w:sz w:val="20"/>
        </w:rPr>
      </w:pPr>
    </w:p>
    <w:p w:rsidR="0072279A" w:rsidRDefault="0072279A" w:rsidP="0072279A">
      <w:pPr>
        <w:pStyle w:val="SCCNormalDoubleSpacing"/>
        <w:tabs>
          <w:tab w:val="left" w:pos="720"/>
        </w:tabs>
        <w:spacing w:line="240" w:lineRule="auto"/>
        <w:rPr>
          <w:sz w:val="20"/>
        </w:rPr>
      </w:pPr>
      <w:r w:rsidRPr="00044F9D">
        <w:rPr>
          <w:sz w:val="20"/>
        </w:rPr>
        <w:tab/>
        <w:t xml:space="preserve">Evidence of post-offence conduct is typical of many items of evidence adduced in a criminal trial:  it is evidence of limited admissibility; the </w:t>
      </w:r>
      <w:proofErr w:type="spellStart"/>
      <w:r w:rsidRPr="00044F9D">
        <w:rPr>
          <w:sz w:val="20"/>
        </w:rPr>
        <w:t>trier</w:t>
      </w:r>
      <w:proofErr w:type="spellEnd"/>
      <w:r w:rsidRPr="00044F9D">
        <w:rPr>
          <w:sz w:val="20"/>
        </w:rPr>
        <w:t xml:space="preserve"> of fact may use it for one or more purposes but not for another.  It follows that its introduction imposes on the trial judge in a jury trial the obligation to explain both the permitted and prohibited use of the evidence.  The need will depend on the facts.  One of the problems with evidence of post-offence conduct is that often the inferences sought are too equivocal for the evidence to be of any value.  The question, as always, is the strength of the inferential link between the evidence in question and the fact sought to be established.  If the evidence introduced in relation to a contentious issue has no probative value — or value that depends entirely on speculative or unreasonable inferences — it is irrelevant and should not be cluttering up the jury’s deliberations.  In other situations, the inferences urged by the prosecution from post-offence conduct are impermissible for legal reasons rather than illogicality, and the evidence may be effectively withdrawn from the jury with a “no probative value” instruction.  Whether or not a special caution is required with respect to post-offence conduct will depend not on whether that evidence alone can support an inference of guilt but on the court’s appreciation of the risk of impermissible inferences in relation to the issues on which the prosecution in its jury address places reliance. </w:t>
      </w:r>
    </w:p>
    <w:p w:rsidR="0072279A" w:rsidRPr="00044F9D" w:rsidRDefault="0072279A" w:rsidP="0072279A">
      <w:pPr>
        <w:pStyle w:val="SCCNormalDoubleSpacing"/>
        <w:tabs>
          <w:tab w:val="left" w:pos="720"/>
        </w:tabs>
        <w:spacing w:line="240" w:lineRule="auto"/>
        <w:rPr>
          <w:sz w:val="20"/>
        </w:rPr>
      </w:pPr>
    </w:p>
    <w:p w:rsidR="0072279A" w:rsidRDefault="0072279A" w:rsidP="0072279A">
      <w:pPr>
        <w:pStyle w:val="SCCNormalDoubleSpacing"/>
        <w:tabs>
          <w:tab w:val="left" w:pos="720"/>
        </w:tabs>
        <w:spacing w:line="240" w:lineRule="auto"/>
        <w:rPr>
          <w:sz w:val="20"/>
        </w:rPr>
      </w:pPr>
      <w:r w:rsidRPr="00044F9D">
        <w:rPr>
          <w:sz w:val="20"/>
        </w:rPr>
        <w:lastRenderedPageBreak/>
        <w:tab/>
        <w:t xml:space="preserve">There is no doubt that post-offence conduct is a type of circumstantial evidence and that when it comes to the need for a limiting instruction, much will depend on the facts.  However, it is not enough simply to evaluate whether evidence as to, in this case, the </w:t>
      </w:r>
      <w:proofErr w:type="spellStart"/>
      <w:r w:rsidRPr="00044F9D">
        <w:rPr>
          <w:sz w:val="20"/>
        </w:rPr>
        <w:t>accused’s</w:t>
      </w:r>
      <w:proofErr w:type="spellEnd"/>
      <w:r w:rsidRPr="00044F9D">
        <w:rPr>
          <w:sz w:val="20"/>
        </w:rPr>
        <w:t xml:space="preserve"> “no hesitation here, no shock, </w:t>
      </w:r>
      <w:proofErr w:type="gramStart"/>
      <w:r w:rsidRPr="00044F9D">
        <w:rPr>
          <w:sz w:val="20"/>
        </w:rPr>
        <w:t>no</w:t>
      </w:r>
      <w:proofErr w:type="gramEnd"/>
      <w:r w:rsidRPr="00044F9D">
        <w:rPr>
          <w:sz w:val="20"/>
        </w:rPr>
        <w:t xml:space="preserve"> uncertainty on his part” might be portrayed as relevant to the issue of murderous intent merely as a matter of logic and human experience.  Rather, relevance depends on the evidence having probative value in relation to a live issue.  If the post-offence evidence of demeanour is not probative it is not relevant.  As to probity, it is necessary to evaluate demeanour evidence having regard to the practical lessons that have accumulated in the courts over many years with respect to the potentially misleading nature of certain types of post-offence demeanour.  While the bare fact of flight from the scene may be objective the same cannot be said of what a bystander interprets as a momentary lack of hesitation or absence of a demonstration of “shock” or “uncertainty”. This type of evidence depends on the unspoken assumptions that hesitation is normal whereas an immediate reaction is abnormal, and that the conduct of the accused fell below some assumed but unarticulated standard of procrastination.  Moreover, this assumed departure from the assumed norm is said to give rise — potentially — to further inference of murderous intent.  The double inference is problematic and relies on the type of subjective after-the-fact evaluation which experience has shown to be unreliable.</w:t>
      </w:r>
    </w:p>
    <w:p w:rsidR="0072279A" w:rsidRPr="00044F9D" w:rsidRDefault="0072279A" w:rsidP="0072279A">
      <w:pPr>
        <w:pStyle w:val="SCCNormalDoubleSpacing"/>
        <w:tabs>
          <w:tab w:val="left" w:pos="720"/>
        </w:tabs>
        <w:spacing w:line="240" w:lineRule="auto"/>
        <w:rPr>
          <w:sz w:val="20"/>
        </w:rPr>
      </w:pPr>
    </w:p>
    <w:p w:rsidR="0072279A" w:rsidRDefault="0072279A" w:rsidP="0072279A">
      <w:pPr>
        <w:pStyle w:val="SCCNormalDoubleSpacing"/>
        <w:tabs>
          <w:tab w:val="left" w:pos="720"/>
        </w:tabs>
        <w:spacing w:line="240" w:lineRule="auto"/>
        <w:rPr>
          <w:sz w:val="20"/>
        </w:rPr>
      </w:pPr>
      <w:r w:rsidRPr="00044F9D">
        <w:rPr>
          <w:sz w:val="20"/>
        </w:rPr>
        <w:tab/>
        <w:t xml:space="preserve">In this case, the Crown specifically urged the jury to infer murderous intent from “no hesitation here, no shock, no uncertainty on his part, just immediate flight”.  The Crown emphasis was not on the act of flight (which was an objective fact) but on the alleged demeanour of the accused which was a matter of interpretation and opinion by a stranger necessarily calibrated according to the stranger’s own subjective expectation and cultural frame of reference about what would be expected.  It seems equally plausible to conclude that a person in possession of an illegal handgun that has just shot a stranger — accidentally or otherwise — would run away as fast and far as he could without any hesitation at all.  The use of such demeanour evidence in this case ought not to have been permitted to go to the jury on the critical, and virtually the only, issue in the case — murderous intent or accident.  A jury should not be invited to draw unequivocal inferences from equivocal conduct based on attributed motives and subjective interpretations or misinterpretations of physical reactions.  Moreover, because the </w:t>
      </w:r>
      <w:proofErr w:type="spellStart"/>
      <w:r w:rsidRPr="00044F9D">
        <w:rPr>
          <w:sz w:val="20"/>
        </w:rPr>
        <w:t>accused’s</w:t>
      </w:r>
      <w:proofErr w:type="spellEnd"/>
      <w:r w:rsidRPr="00044F9D">
        <w:rPr>
          <w:sz w:val="20"/>
        </w:rPr>
        <w:t xml:space="preserve"> lack of hesitation and instantaneous flight are equally explainable by the consciousness of more than one offence, the conduct has no probative value in relation to intent.  The Crown asked the jury to draw speculative and unreasonable inferences on the issue of specific intent and the jury ought to have been instructed that the evidence of flight and the pre-flight demeanour was of no probative value on the issue of murderous intent.  In addition, failure of the </w:t>
      </w:r>
      <w:proofErr w:type="spellStart"/>
      <w:r w:rsidRPr="00044F9D">
        <w:rPr>
          <w:sz w:val="20"/>
        </w:rPr>
        <w:t>accused’s</w:t>
      </w:r>
      <w:proofErr w:type="spellEnd"/>
      <w:r w:rsidRPr="00044F9D">
        <w:rPr>
          <w:sz w:val="20"/>
        </w:rPr>
        <w:t xml:space="preserve"> trial counsel to object to this aspect of the charge should not deny him relief.</w:t>
      </w:r>
    </w:p>
    <w:p w:rsidR="0072279A" w:rsidRPr="00044F9D" w:rsidRDefault="0072279A" w:rsidP="0072279A">
      <w:pPr>
        <w:pStyle w:val="SCCNormalDoubleSpacing"/>
        <w:tabs>
          <w:tab w:val="left" w:pos="720"/>
        </w:tabs>
        <w:spacing w:line="240" w:lineRule="auto"/>
        <w:rPr>
          <w:sz w:val="20"/>
        </w:rPr>
      </w:pPr>
    </w:p>
    <w:p w:rsidR="0072279A" w:rsidRDefault="0072279A" w:rsidP="0072279A">
      <w:pPr>
        <w:pStyle w:val="SCCNormalDoubleSpacing"/>
        <w:tabs>
          <w:tab w:val="left" w:pos="720"/>
        </w:tabs>
        <w:spacing w:line="240" w:lineRule="auto"/>
        <w:rPr>
          <w:sz w:val="20"/>
        </w:rPr>
      </w:pPr>
      <w:r w:rsidRPr="00044F9D">
        <w:rPr>
          <w:sz w:val="20"/>
        </w:rPr>
        <w:tab/>
        <w:t>Finally the prosecution’s case against the accused for second degree murder was not overwhelming.  The jury had little to work with in finding a way to choose between the hand to hand combat scenario suggesting manslaughter and the downwards shooting of an individual already on the ground which might suggest second degree murder.  In these elusive circumstances, post-offence conduct of reaction time and demeanour took on considerable importance, which is why, no doubt, the Crown laid considerable emphasis on it in its closing argument.  The error was therefore not harmless, and the curative proviso in s. 686(1</w:t>
      </w:r>
      <w:proofErr w:type="gramStart"/>
      <w:r w:rsidRPr="00044F9D">
        <w:rPr>
          <w:sz w:val="20"/>
        </w:rPr>
        <w:t>)(</w:t>
      </w:r>
      <w:proofErr w:type="gramEnd"/>
      <w:r w:rsidRPr="00044F9D">
        <w:rPr>
          <w:i/>
          <w:sz w:val="20"/>
        </w:rPr>
        <w:t>b</w:t>
      </w:r>
      <w:r w:rsidRPr="00044F9D">
        <w:rPr>
          <w:sz w:val="20"/>
        </w:rPr>
        <w:t xml:space="preserve">)(iii) should have no application. </w:t>
      </w:r>
    </w:p>
    <w:p w:rsidR="0072279A" w:rsidRDefault="0072279A" w:rsidP="0072279A">
      <w:pPr>
        <w:pStyle w:val="SCCNormalDoubleSpacing"/>
        <w:tabs>
          <w:tab w:val="left" w:pos="720"/>
        </w:tabs>
        <w:spacing w:line="240" w:lineRule="auto"/>
        <w:rPr>
          <w:sz w:val="20"/>
        </w:rPr>
      </w:pPr>
    </w:p>
    <w:p w:rsidR="0072279A" w:rsidRDefault="0072279A" w:rsidP="0072279A">
      <w:pPr>
        <w:pStyle w:val="SCCNormalDoubleSpacing"/>
        <w:tabs>
          <w:tab w:val="left" w:pos="720"/>
        </w:tabs>
        <w:spacing w:line="240" w:lineRule="auto"/>
        <w:rPr>
          <w:sz w:val="20"/>
        </w:rPr>
      </w:pPr>
      <w:r w:rsidRPr="00044F9D">
        <w:rPr>
          <w:sz w:val="20"/>
        </w:rPr>
        <w:tab/>
        <w:t xml:space="preserve">APPEAL from a judgment of the British Columbia Court of Appeal (Finch C.J.B.C. and Ryan and </w:t>
      </w:r>
      <w:proofErr w:type="spellStart"/>
      <w:r w:rsidRPr="00044F9D">
        <w:rPr>
          <w:sz w:val="20"/>
        </w:rPr>
        <w:t>Chiasson</w:t>
      </w:r>
      <w:proofErr w:type="spellEnd"/>
      <w:r w:rsidRPr="00044F9D">
        <w:rPr>
          <w:sz w:val="20"/>
        </w:rPr>
        <w:t xml:space="preserve"> JJ.A.), 2009 BCCA 513, 278 B.C.A.C. 177, 248 C.C.C. (3d) 499, 71 C.R. (6th) 266, 471 W.A.C. 177, [2009] B.C.J. No. 2276 (QL), 2009 </w:t>
      </w:r>
      <w:proofErr w:type="spellStart"/>
      <w:r w:rsidRPr="00044F9D">
        <w:rPr>
          <w:sz w:val="20"/>
        </w:rPr>
        <w:t>CarswellBC</w:t>
      </w:r>
      <w:proofErr w:type="spellEnd"/>
      <w:r w:rsidRPr="00044F9D">
        <w:rPr>
          <w:sz w:val="20"/>
        </w:rPr>
        <w:t xml:space="preserve"> 3083, upholding the </w:t>
      </w:r>
      <w:proofErr w:type="spellStart"/>
      <w:r w:rsidRPr="00044F9D">
        <w:rPr>
          <w:sz w:val="20"/>
        </w:rPr>
        <w:t>accused’s</w:t>
      </w:r>
      <w:proofErr w:type="spellEnd"/>
      <w:r w:rsidRPr="00044F9D">
        <w:rPr>
          <w:sz w:val="20"/>
        </w:rPr>
        <w:t xml:space="preserve"> conviction for second degree murder.  Appeal dismissed, </w:t>
      </w:r>
      <w:proofErr w:type="spellStart"/>
      <w:r w:rsidRPr="00044F9D">
        <w:rPr>
          <w:sz w:val="20"/>
        </w:rPr>
        <w:t>McLachlin</w:t>
      </w:r>
      <w:proofErr w:type="spellEnd"/>
      <w:r w:rsidRPr="00044F9D">
        <w:rPr>
          <w:sz w:val="20"/>
        </w:rPr>
        <w:t xml:space="preserve"> C.J. and </w:t>
      </w:r>
      <w:proofErr w:type="spellStart"/>
      <w:r w:rsidRPr="00044F9D">
        <w:rPr>
          <w:sz w:val="20"/>
        </w:rPr>
        <w:t>Binnie</w:t>
      </w:r>
      <w:proofErr w:type="spellEnd"/>
      <w:r w:rsidRPr="00044F9D">
        <w:rPr>
          <w:sz w:val="20"/>
        </w:rPr>
        <w:t xml:space="preserve"> and Fish JJ. </w:t>
      </w:r>
      <w:proofErr w:type="gramStart"/>
      <w:r w:rsidRPr="00044F9D">
        <w:rPr>
          <w:sz w:val="20"/>
        </w:rPr>
        <w:t>dissenting</w:t>
      </w:r>
      <w:proofErr w:type="gramEnd"/>
      <w:r w:rsidRPr="00044F9D">
        <w:rPr>
          <w:sz w:val="20"/>
        </w:rPr>
        <w:t>.</w:t>
      </w:r>
    </w:p>
    <w:p w:rsidR="0072279A" w:rsidRPr="00044F9D" w:rsidRDefault="0072279A" w:rsidP="0072279A">
      <w:pPr>
        <w:pStyle w:val="SCCNormalDoubleSpacing"/>
        <w:tabs>
          <w:tab w:val="left" w:pos="720"/>
        </w:tabs>
        <w:spacing w:line="240" w:lineRule="auto"/>
        <w:rPr>
          <w:sz w:val="20"/>
        </w:rPr>
      </w:pPr>
    </w:p>
    <w:p w:rsidR="0072279A" w:rsidRDefault="0072279A" w:rsidP="0072279A">
      <w:pPr>
        <w:pStyle w:val="SCCNormalDoubleSpacing"/>
        <w:tabs>
          <w:tab w:val="left" w:pos="720"/>
        </w:tabs>
        <w:spacing w:line="240" w:lineRule="auto"/>
        <w:rPr>
          <w:rStyle w:val="SCCCounselPartyRoleChar"/>
          <w:sz w:val="20"/>
        </w:rPr>
      </w:pPr>
      <w:r w:rsidRPr="00044F9D">
        <w:rPr>
          <w:rStyle w:val="SCCCounselNameChar"/>
          <w:sz w:val="20"/>
        </w:rPr>
        <w:tab/>
      </w:r>
      <w:proofErr w:type="gramStart"/>
      <w:r w:rsidRPr="00044F9D">
        <w:rPr>
          <w:rStyle w:val="SCCCounselNameChar"/>
          <w:sz w:val="20"/>
        </w:rPr>
        <w:t>Kathleen M. Bradley</w:t>
      </w:r>
      <w:r w:rsidRPr="0072279A">
        <w:rPr>
          <w:rStyle w:val="SCCCounselSeparatorChar"/>
          <w:sz w:val="20"/>
          <w:lang w:val="en-CA"/>
        </w:rPr>
        <w:t xml:space="preserve"> and </w:t>
      </w:r>
      <w:r w:rsidRPr="00044F9D">
        <w:rPr>
          <w:rStyle w:val="SCCCounselNameChar"/>
          <w:sz w:val="20"/>
        </w:rPr>
        <w:t>Nikos Harris</w:t>
      </w:r>
      <w:r w:rsidRPr="00044F9D">
        <w:rPr>
          <w:rStyle w:val="SCCCounselPartyRoleChar"/>
          <w:sz w:val="20"/>
        </w:rPr>
        <w:t>, for the appellant.</w:t>
      </w:r>
      <w:proofErr w:type="gramEnd"/>
    </w:p>
    <w:p w:rsidR="0072279A" w:rsidRPr="00044F9D" w:rsidRDefault="0072279A" w:rsidP="0072279A">
      <w:pPr>
        <w:pStyle w:val="SCCNormalDoubleSpacing"/>
        <w:tabs>
          <w:tab w:val="left" w:pos="720"/>
        </w:tabs>
        <w:spacing w:line="240" w:lineRule="auto"/>
        <w:rPr>
          <w:sz w:val="20"/>
        </w:rPr>
      </w:pPr>
    </w:p>
    <w:p w:rsidR="0072279A" w:rsidRDefault="0072279A" w:rsidP="0072279A">
      <w:pPr>
        <w:pStyle w:val="SCCNormalDoubleSpacing"/>
        <w:tabs>
          <w:tab w:val="left" w:pos="720"/>
        </w:tabs>
        <w:spacing w:line="240" w:lineRule="auto"/>
        <w:rPr>
          <w:rStyle w:val="SCCCounselPartyRoleChar"/>
          <w:sz w:val="20"/>
        </w:rPr>
      </w:pPr>
      <w:r w:rsidRPr="00044F9D">
        <w:rPr>
          <w:rStyle w:val="SCCCounselNameChar"/>
          <w:sz w:val="20"/>
        </w:rPr>
        <w:tab/>
        <w:t>Wendy Rubin, Q.C.</w:t>
      </w:r>
      <w:r w:rsidRPr="00044F9D">
        <w:rPr>
          <w:rStyle w:val="SCCCounselPartyRoleChar"/>
          <w:sz w:val="20"/>
        </w:rPr>
        <w:t>, for the respondent.</w:t>
      </w:r>
    </w:p>
    <w:p w:rsidR="0072279A" w:rsidRPr="00044F9D" w:rsidRDefault="0072279A" w:rsidP="0072279A">
      <w:pPr>
        <w:pStyle w:val="SCCNormalDoubleSpacing"/>
        <w:tabs>
          <w:tab w:val="left" w:pos="720"/>
        </w:tabs>
        <w:spacing w:line="240" w:lineRule="auto"/>
        <w:rPr>
          <w:sz w:val="20"/>
        </w:rPr>
      </w:pPr>
    </w:p>
    <w:p w:rsidR="0072279A" w:rsidRDefault="0072279A" w:rsidP="0072279A">
      <w:pPr>
        <w:pStyle w:val="SCCLawFirm"/>
        <w:tabs>
          <w:tab w:val="left" w:pos="720"/>
        </w:tabs>
        <w:spacing w:line="240" w:lineRule="auto"/>
        <w:rPr>
          <w:sz w:val="20"/>
        </w:rPr>
      </w:pPr>
      <w:r w:rsidRPr="00044F9D">
        <w:rPr>
          <w:sz w:val="20"/>
        </w:rPr>
        <w:tab/>
        <w:t>Solicitors for the appellant:</w:t>
      </w:r>
      <w:proofErr w:type="gramStart"/>
      <w:r w:rsidRPr="00044F9D">
        <w:rPr>
          <w:sz w:val="20"/>
        </w:rPr>
        <w:t>  Peck and</w:t>
      </w:r>
      <w:proofErr w:type="gramEnd"/>
      <w:r w:rsidRPr="00044F9D">
        <w:rPr>
          <w:sz w:val="20"/>
        </w:rPr>
        <w:t xml:space="preserve"> Company, Vancouver.</w:t>
      </w:r>
    </w:p>
    <w:p w:rsidR="0072279A" w:rsidRPr="00044F9D" w:rsidRDefault="0072279A" w:rsidP="0072279A">
      <w:pPr>
        <w:pStyle w:val="SCCNormalDoubleSpacing"/>
        <w:tabs>
          <w:tab w:val="left" w:pos="720"/>
        </w:tabs>
        <w:spacing w:line="240" w:lineRule="auto"/>
      </w:pPr>
    </w:p>
    <w:p w:rsidR="0072279A" w:rsidRDefault="0072279A" w:rsidP="0072279A">
      <w:pPr>
        <w:pStyle w:val="SCCLawFirm"/>
        <w:tabs>
          <w:tab w:val="left" w:pos="720"/>
        </w:tabs>
        <w:spacing w:line="240" w:lineRule="auto"/>
        <w:rPr>
          <w:sz w:val="20"/>
        </w:rPr>
      </w:pPr>
      <w:r w:rsidRPr="00044F9D">
        <w:rPr>
          <w:sz w:val="20"/>
        </w:rPr>
        <w:tab/>
        <w:t>Solicitor for the respondent:  Attorney General of British Columbia, Vancouver.</w:t>
      </w:r>
    </w:p>
    <w:p w:rsidR="00DD0B49" w:rsidRPr="003B3977" w:rsidRDefault="00DD0B49" w:rsidP="00DD0B49">
      <w:pPr>
        <w:rPr>
          <w:rFonts w:cs="Times New Roman"/>
          <w:sz w:val="20"/>
          <w:szCs w:val="20"/>
          <w:lang w:val="fr-CA"/>
        </w:rPr>
      </w:pPr>
      <w:r w:rsidRPr="003B3977">
        <w:rPr>
          <w:rFonts w:cs="Times New Roman"/>
          <w:sz w:val="20"/>
          <w:szCs w:val="20"/>
          <w:lang w:val="fr-CA"/>
        </w:rPr>
        <w:t>________________________</w:t>
      </w:r>
    </w:p>
    <w:p w:rsidR="00DD0B49" w:rsidRPr="003B3977" w:rsidRDefault="00DD0B49" w:rsidP="00DD0B49">
      <w:pPr>
        <w:rPr>
          <w:rFonts w:cs="Times New Roman"/>
          <w:sz w:val="20"/>
          <w:szCs w:val="20"/>
          <w:lang w:val="fr-CA"/>
        </w:rPr>
      </w:pPr>
    </w:p>
    <w:p w:rsidR="0072279A" w:rsidRPr="0072279A" w:rsidRDefault="0072279A" w:rsidP="0072279A">
      <w:pPr>
        <w:jc w:val="both"/>
        <w:rPr>
          <w:sz w:val="20"/>
          <w:lang w:val="fr-CA"/>
        </w:rPr>
      </w:pPr>
      <w:r w:rsidRPr="0072279A">
        <w:rPr>
          <w:rFonts w:cs="Times New Roman"/>
          <w:sz w:val="20"/>
          <w:szCs w:val="20"/>
          <w:lang w:val="fr-CA"/>
        </w:rPr>
        <w:t xml:space="preserve">Présents : La juge en chef </w:t>
      </w:r>
      <w:proofErr w:type="spellStart"/>
      <w:r w:rsidRPr="0072279A">
        <w:rPr>
          <w:rFonts w:cs="Times New Roman"/>
          <w:sz w:val="20"/>
          <w:szCs w:val="20"/>
          <w:lang w:val="fr-CA"/>
        </w:rPr>
        <w:t>McLachlin</w:t>
      </w:r>
      <w:proofErr w:type="spellEnd"/>
      <w:r w:rsidRPr="0072279A">
        <w:rPr>
          <w:rFonts w:cs="Times New Roman"/>
          <w:sz w:val="20"/>
          <w:szCs w:val="20"/>
          <w:lang w:val="fr-CA"/>
        </w:rPr>
        <w:t xml:space="preserve"> et les juges </w:t>
      </w:r>
      <w:proofErr w:type="spellStart"/>
      <w:r w:rsidRPr="0072279A">
        <w:rPr>
          <w:rFonts w:cs="Times New Roman"/>
          <w:sz w:val="20"/>
          <w:szCs w:val="20"/>
          <w:lang w:val="fr-CA"/>
        </w:rPr>
        <w:t>Binnie</w:t>
      </w:r>
      <w:proofErr w:type="spellEnd"/>
      <w:r w:rsidRPr="0072279A">
        <w:rPr>
          <w:rFonts w:cs="Times New Roman"/>
          <w:sz w:val="20"/>
          <w:szCs w:val="20"/>
          <w:lang w:val="fr-CA"/>
        </w:rPr>
        <w:t xml:space="preserve">, </w:t>
      </w:r>
      <w:proofErr w:type="spellStart"/>
      <w:r w:rsidRPr="0072279A">
        <w:rPr>
          <w:rFonts w:cs="Times New Roman"/>
          <w:sz w:val="20"/>
          <w:szCs w:val="20"/>
          <w:lang w:val="fr-CA"/>
        </w:rPr>
        <w:t>LeBel</w:t>
      </w:r>
      <w:proofErr w:type="spellEnd"/>
      <w:r w:rsidRPr="0072279A">
        <w:rPr>
          <w:rFonts w:cs="Times New Roman"/>
          <w:sz w:val="20"/>
          <w:szCs w:val="20"/>
          <w:lang w:val="fr-CA"/>
        </w:rPr>
        <w:t xml:space="preserve">, Deschamps, Fish, Abella, Charron, </w:t>
      </w:r>
      <w:proofErr w:type="spellStart"/>
      <w:r w:rsidRPr="0072279A">
        <w:rPr>
          <w:rFonts w:cs="Times New Roman"/>
          <w:sz w:val="20"/>
          <w:szCs w:val="20"/>
          <w:lang w:val="fr-CA"/>
        </w:rPr>
        <w:t>Rothstein</w:t>
      </w:r>
      <w:proofErr w:type="spellEnd"/>
      <w:r w:rsidRPr="0072279A">
        <w:rPr>
          <w:rFonts w:cs="Times New Roman"/>
          <w:sz w:val="20"/>
          <w:szCs w:val="20"/>
          <w:lang w:val="fr-CA"/>
        </w:rPr>
        <w:t xml:space="preserve"> et Cromwell.</w:t>
      </w:r>
    </w:p>
    <w:p w:rsidR="0072279A" w:rsidRPr="0072279A" w:rsidRDefault="0072279A" w:rsidP="0072279A">
      <w:pPr>
        <w:jc w:val="both"/>
        <w:rPr>
          <w:rFonts w:cs="Times New Roman"/>
          <w:sz w:val="20"/>
          <w:szCs w:val="20"/>
          <w:lang w:val="fr-CA"/>
        </w:rPr>
      </w:pPr>
    </w:p>
    <w:p w:rsidR="0072279A" w:rsidRPr="0072279A" w:rsidRDefault="0072279A" w:rsidP="0072279A">
      <w:pPr>
        <w:pStyle w:val="SCCNormalDoubleSpacing"/>
        <w:tabs>
          <w:tab w:val="left" w:pos="720"/>
        </w:tabs>
        <w:spacing w:line="240" w:lineRule="auto"/>
        <w:rPr>
          <w:i/>
          <w:sz w:val="20"/>
          <w:lang w:val="fr-CA"/>
        </w:rPr>
      </w:pPr>
      <w:r w:rsidRPr="0072279A">
        <w:rPr>
          <w:sz w:val="20"/>
          <w:lang w:val="fr-CA"/>
        </w:rPr>
        <w:lastRenderedPageBreak/>
        <w:tab/>
      </w:r>
      <w:r w:rsidRPr="0072279A">
        <w:rPr>
          <w:i/>
          <w:sz w:val="20"/>
          <w:lang w:val="fr-CA"/>
        </w:rPr>
        <w:t xml:space="preserve">Droit criminel — Procès — Exposé au jury — Comportement postérieur à l’infraction — Meurtre — Accusé ayant fui après avoir tiré sur la victime — Accusé ayant concédé au procès avoir abattu la victime illégalement, mais niant avoir eu l’intention de tuer — Ministère public ayant mentionné dans sa plaidoirie finale que l’accusé avait fui sans hésiter, se montrer bouleversé ni indécis — Juge du procès appelant les jurés à la « prudence » à l’égard du comportement postérieur à l’infraction — L’absence de directive indiquant que le comportement postérieur à l’infraction n’avait aucune valeur probante </w:t>
      </w:r>
      <w:proofErr w:type="spellStart"/>
      <w:r w:rsidRPr="0072279A">
        <w:rPr>
          <w:i/>
          <w:sz w:val="20"/>
          <w:lang w:val="fr-CA"/>
        </w:rPr>
        <w:t>constitue</w:t>
      </w:r>
      <w:r w:rsidRPr="0072279A">
        <w:rPr>
          <w:i/>
          <w:sz w:val="20"/>
          <w:lang w:val="fr-CA"/>
        </w:rPr>
        <w:noBreakHyphen/>
        <w:t>t</w:t>
      </w:r>
      <w:r w:rsidRPr="0072279A">
        <w:rPr>
          <w:i/>
          <w:sz w:val="20"/>
          <w:lang w:val="fr-CA"/>
        </w:rPr>
        <w:noBreakHyphen/>
        <w:t>elle</w:t>
      </w:r>
      <w:proofErr w:type="spellEnd"/>
      <w:r w:rsidRPr="0072279A">
        <w:rPr>
          <w:i/>
          <w:sz w:val="20"/>
          <w:lang w:val="fr-CA"/>
        </w:rPr>
        <w:t xml:space="preserve"> une erreur de droit? — Dans l’affirmative, la disposition réparatrice s’applique</w:t>
      </w:r>
      <w:r w:rsidRPr="0072279A">
        <w:rPr>
          <w:i/>
          <w:sz w:val="20"/>
          <w:lang w:val="fr-CA"/>
        </w:rPr>
        <w:noBreakHyphen/>
      </w:r>
      <w:proofErr w:type="spellStart"/>
      <w:r w:rsidRPr="0072279A">
        <w:rPr>
          <w:i/>
          <w:sz w:val="20"/>
          <w:lang w:val="fr-CA"/>
        </w:rPr>
        <w:t>t</w:t>
      </w:r>
      <w:r w:rsidRPr="0072279A">
        <w:rPr>
          <w:i/>
          <w:sz w:val="20"/>
          <w:lang w:val="fr-CA"/>
        </w:rPr>
        <w:noBreakHyphen/>
        <w:t>elle</w:t>
      </w:r>
      <w:proofErr w:type="spellEnd"/>
      <w:r w:rsidRPr="0072279A">
        <w:rPr>
          <w:i/>
          <w:sz w:val="20"/>
          <w:lang w:val="fr-CA"/>
        </w:rPr>
        <w:t>? — Code criminel, L.R.C. 1985, ch. C</w:t>
      </w:r>
      <w:r w:rsidRPr="0072279A">
        <w:rPr>
          <w:i/>
          <w:sz w:val="20"/>
          <w:lang w:val="fr-CA"/>
        </w:rPr>
        <w:noBreakHyphen/>
        <w:t>46, art. 686(1)b</w:t>
      </w:r>
      <w:proofErr w:type="gramStart"/>
      <w:r w:rsidRPr="0072279A">
        <w:rPr>
          <w:i/>
          <w:sz w:val="20"/>
          <w:lang w:val="fr-CA"/>
        </w:rPr>
        <w:t>)(</w:t>
      </w:r>
      <w:proofErr w:type="gramEnd"/>
      <w:r w:rsidRPr="0072279A">
        <w:rPr>
          <w:i/>
          <w:sz w:val="20"/>
          <w:lang w:val="fr-CA"/>
        </w:rPr>
        <w:t>iii).</w:t>
      </w:r>
    </w:p>
    <w:p w:rsidR="0072279A" w:rsidRPr="0072279A" w:rsidRDefault="0072279A" w:rsidP="0072279A">
      <w:pPr>
        <w:pStyle w:val="SCCNormalDoubleSpacing"/>
        <w:tabs>
          <w:tab w:val="left" w:pos="720"/>
        </w:tabs>
        <w:spacing w:line="240" w:lineRule="auto"/>
        <w:rPr>
          <w:i/>
          <w:sz w:val="20"/>
          <w:lang w:val="fr-CA"/>
        </w:rPr>
      </w:pPr>
    </w:p>
    <w:p w:rsidR="0072279A" w:rsidRPr="0072279A" w:rsidRDefault="0072279A" w:rsidP="0072279A">
      <w:pPr>
        <w:pStyle w:val="SCCNormalDoubleSpacing"/>
        <w:tabs>
          <w:tab w:val="left" w:pos="720"/>
        </w:tabs>
        <w:spacing w:line="240" w:lineRule="auto"/>
        <w:rPr>
          <w:sz w:val="20"/>
          <w:lang w:val="fr-CA"/>
        </w:rPr>
      </w:pPr>
      <w:r w:rsidRPr="0072279A">
        <w:rPr>
          <w:sz w:val="20"/>
          <w:lang w:val="fr-CA"/>
        </w:rPr>
        <w:tab/>
        <w:t xml:space="preserve">L’accusé et la victime se battaient lorsqu’un coup de feu provenant du pistolet chargé que tenait l’accusé a atteint la victime à la poitrine, la tuant instantanément.  L’accusé a fui </w:t>
      </w:r>
      <w:proofErr w:type="spellStart"/>
      <w:r w:rsidRPr="0072279A">
        <w:rPr>
          <w:sz w:val="20"/>
          <w:lang w:val="fr-CA"/>
        </w:rPr>
        <w:t>sur-le</w:t>
      </w:r>
      <w:r w:rsidRPr="0072279A">
        <w:rPr>
          <w:sz w:val="20"/>
          <w:lang w:val="fr-CA"/>
        </w:rPr>
        <w:noBreakHyphen/>
        <w:t>champ</w:t>
      </w:r>
      <w:proofErr w:type="spellEnd"/>
      <w:r w:rsidRPr="0072279A">
        <w:rPr>
          <w:sz w:val="20"/>
          <w:lang w:val="fr-CA"/>
        </w:rPr>
        <w:t>, sans hésiter.  Il a été arrêté plus tard par la police et accusé de meurtre au deuxième degré.  L’identité du tireur est demeurée en litige tout au long de la preuve du ministère public, mais à la fin du procès l’accusé avait concédé dans les faits avoir commis un homicide involontaire coupable, de sorte que la seule question que le jury devait trancher était de savoir s’il avait l’intention requise pour commettre un meurtre.  En réponse à la thèse de l’accusé selon laquelle il avait tiré accidentellement sur la victime alors que les deux hommes luttaient corps à corps, le ministère public a souligné, dans sa plaidoirie finale, que l’accusé avait fui « sans hésiter, ni se montrer bouleversé ou indécis » et qu’on se serait attendu à ce qu’il hésite si le coup de feu n’avait pas été intentionnel.  Dans son exposé au jury, le juge du procès a</w:t>
      </w:r>
      <w:r w:rsidRPr="005352D1">
        <w:rPr>
          <w:sz w:val="20"/>
          <w:lang w:val="fr-FR"/>
        </w:rPr>
        <w:t xml:space="preserve"> parlé à deux reprises du comportement de l’accusé après l’infraction : une première fois, en</w:t>
      </w:r>
      <w:r w:rsidRPr="0072279A">
        <w:rPr>
          <w:sz w:val="20"/>
          <w:lang w:val="fr-CA"/>
        </w:rPr>
        <w:t xml:space="preserve"> donnant ses directives aux jurés sur la question de l’intention, lorsqu’il a dit : « Vous pouvez tenir compte du comportement que [l’accusé] a adopté après l’événement en fuyant le lieu du crime, mais vous devez utiliser cette preuve avec prudence » et « il se peut que [cette preuve] ne soit pas très utile pour évaluer son état d’esprit précis au moment où le coup de feu a été tiré »; une deuxième fois, en résumant la thèse du ministère public.  L’accusé a été déclaré coupable de l’infraction dont il était accusé.   En appel, il a soutenu que le juge du procès aurait dû mentionner expressément aux jurés que la preuve des circonstances entourant sa fuite n’avait aucune valeur probante quant à la question de l’intention, car cette preuve était tout aussi compatible avec l’homicide involontaire coupable qu’avec le meurtre au deuxième degré.  La cour d’appel, à la majorité, a confirmé la déclaration de culpabilité, concluant </w:t>
      </w:r>
      <w:r w:rsidRPr="0072279A">
        <w:rPr>
          <w:color w:val="000000"/>
          <w:sz w:val="20"/>
          <w:lang w:val="fr-CA"/>
        </w:rPr>
        <w:t xml:space="preserve">que l’exposé au jury était </w:t>
      </w:r>
      <w:proofErr w:type="gramStart"/>
      <w:r w:rsidRPr="0072279A">
        <w:rPr>
          <w:color w:val="000000"/>
          <w:sz w:val="20"/>
          <w:lang w:val="fr-CA"/>
        </w:rPr>
        <w:t>entaché</w:t>
      </w:r>
      <w:proofErr w:type="gramEnd"/>
      <w:r w:rsidRPr="0072279A">
        <w:rPr>
          <w:color w:val="000000"/>
          <w:sz w:val="20"/>
          <w:lang w:val="fr-CA"/>
        </w:rPr>
        <w:t xml:space="preserve"> d’une erreur, mais que cette erreur était négligeable et ne pouvait avoir d’incidence sur le verdict final. </w:t>
      </w:r>
      <w:r w:rsidRPr="0072279A">
        <w:rPr>
          <w:sz w:val="20"/>
          <w:lang w:val="fr-CA"/>
        </w:rPr>
        <w:t xml:space="preserve"> Le juge dissident a statué que le juge du procès avait commis une erreur en n’indiquant pas que la preuve n’avait « aucune valeur probante ».  Selon lui, cette erreur était grave au point où la disposition réparatrice du </w:t>
      </w:r>
      <w:proofErr w:type="spellStart"/>
      <w:r w:rsidRPr="0072279A">
        <w:rPr>
          <w:sz w:val="20"/>
          <w:lang w:val="fr-CA"/>
        </w:rPr>
        <w:t>sous</w:t>
      </w:r>
      <w:r w:rsidRPr="0072279A">
        <w:rPr>
          <w:sz w:val="20"/>
          <w:lang w:val="fr-CA"/>
        </w:rPr>
        <w:noBreakHyphen/>
        <w:t>al</w:t>
      </w:r>
      <w:proofErr w:type="spellEnd"/>
      <w:r w:rsidRPr="0072279A">
        <w:rPr>
          <w:sz w:val="20"/>
          <w:lang w:val="fr-CA"/>
        </w:rPr>
        <w:t>. 686(1)</w:t>
      </w:r>
      <w:r w:rsidRPr="0072279A">
        <w:rPr>
          <w:i/>
          <w:sz w:val="20"/>
          <w:lang w:val="fr-CA"/>
        </w:rPr>
        <w:t>b</w:t>
      </w:r>
      <w:proofErr w:type="gramStart"/>
      <w:r w:rsidRPr="0072279A">
        <w:rPr>
          <w:sz w:val="20"/>
          <w:lang w:val="fr-CA"/>
        </w:rPr>
        <w:t>)(</w:t>
      </w:r>
      <w:proofErr w:type="gramEnd"/>
      <w:r w:rsidRPr="0072279A">
        <w:rPr>
          <w:sz w:val="20"/>
          <w:lang w:val="fr-CA"/>
        </w:rPr>
        <w:t xml:space="preserve">iii) du </w:t>
      </w:r>
      <w:r w:rsidRPr="0072279A">
        <w:rPr>
          <w:i/>
          <w:sz w:val="20"/>
          <w:lang w:val="fr-CA"/>
        </w:rPr>
        <w:t xml:space="preserve">Code criminel </w:t>
      </w:r>
      <w:r w:rsidRPr="0072279A">
        <w:rPr>
          <w:sz w:val="20"/>
          <w:lang w:val="fr-CA"/>
        </w:rPr>
        <w:t>ne permettait pas d’y remédier.</w:t>
      </w:r>
    </w:p>
    <w:p w:rsidR="0072279A" w:rsidRPr="0072279A" w:rsidRDefault="0072279A" w:rsidP="0072279A">
      <w:pPr>
        <w:pStyle w:val="SCCNormalDoubleSpacing"/>
        <w:tabs>
          <w:tab w:val="left" w:pos="720"/>
        </w:tabs>
        <w:spacing w:line="240" w:lineRule="auto"/>
        <w:rPr>
          <w:sz w:val="20"/>
          <w:lang w:val="fr-CA"/>
        </w:rPr>
      </w:pPr>
    </w:p>
    <w:p w:rsidR="0072279A" w:rsidRPr="0072279A" w:rsidRDefault="0072279A" w:rsidP="0072279A">
      <w:pPr>
        <w:pStyle w:val="SCCNormalDoubleSpacing"/>
        <w:tabs>
          <w:tab w:val="left" w:pos="720"/>
        </w:tabs>
        <w:spacing w:line="240" w:lineRule="auto"/>
        <w:rPr>
          <w:sz w:val="20"/>
          <w:lang w:val="fr-CA"/>
        </w:rPr>
      </w:pPr>
      <w:r w:rsidRPr="0072279A">
        <w:rPr>
          <w:sz w:val="20"/>
          <w:lang w:val="fr-CA"/>
        </w:rPr>
        <w:tab/>
      </w:r>
      <w:r w:rsidRPr="0072279A">
        <w:rPr>
          <w:i/>
          <w:sz w:val="20"/>
          <w:lang w:val="fr-CA"/>
        </w:rPr>
        <w:t>Arrêt</w:t>
      </w:r>
      <w:r w:rsidRPr="0072279A">
        <w:rPr>
          <w:sz w:val="20"/>
          <w:lang w:val="fr-CA"/>
        </w:rPr>
        <w:t xml:space="preserve"> (la juge en chef </w:t>
      </w:r>
      <w:proofErr w:type="spellStart"/>
      <w:r w:rsidRPr="0072279A">
        <w:rPr>
          <w:sz w:val="20"/>
          <w:lang w:val="fr-CA"/>
        </w:rPr>
        <w:t>McLachlin</w:t>
      </w:r>
      <w:proofErr w:type="spellEnd"/>
      <w:r w:rsidRPr="0072279A">
        <w:rPr>
          <w:sz w:val="20"/>
          <w:lang w:val="fr-CA"/>
        </w:rPr>
        <w:t xml:space="preserve"> et les juges </w:t>
      </w:r>
      <w:proofErr w:type="spellStart"/>
      <w:r w:rsidRPr="0072279A">
        <w:rPr>
          <w:sz w:val="20"/>
          <w:lang w:val="fr-CA"/>
        </w:rPr>
        <w:t>Binnie</w:t>
      </w:r>
      <w:proofErr w:type="spellEnd"/>
      <w:r w:rsidRPr="0072279A">
        <w:rPr>
          <w:sz w:val="20"/>
          <w:lang w:val="fr-CA"/>
        </w:rPr>
        <w:t xml:space="preserve"> et Fish sont dissidents) : Le pourvoi est rejeté.</w:t>
      </w:r>
    </w:p>
    <w:p w:rsidR="0072279A" w:rsidRPr="0072279A" w:rsidRDefault="0072279A" w:rsidP="0072279A">
      <w:pPr>
        <w:pStyle w:val="SCCNormalDoubleSpacing"/>
        <w:tabs>
          <w:tab w:val="left" w:pos="720"/>
        </w:tabs>
        <w:spacing w:line="240" w:lineRule="auto"/>
        <w:rPr>
          <w:sz w:val="20"/>
          <w:lang w:val="fr-CA"/>
        </w:rPr>
      </w:pPr>
    </w:p>
    <w:p w:rsidR="0072279A" w:rsidRPr="0072279A" w:rsidRDefault="0072279A" w:rsidP="0072279A">
      <w:pPr>
        <w:pStyle w:val="SCCNormalDoubleSpacing"/>
        <w:tabs>
          <w:tab w:val="left" w:pos="720"/>
        </w:tabs>
        <w:spacing w:line="240" w:lineRule="auto"/>
        <w:rPr>
          <w:sz w:val="20"/>
          <w:lang w:val="fr-CA"/>
        </w:rPr>
      </w:pPr>
      <w:r w:rsidRPr="0072279A">
        <w:rPr>
          <w:sz w:val="20"/>
          <w:lang w:val="fr-CA"/>
        </w:rPr>
        <w:tab/>
      </w:r>
      <w:r w:rsidRPr="0072279A">
        <w:rPr>
          <w:i/>
          <w:sz w:val="20"/>
          <w:lang w:val="fr-CA"/>
        </w:rPr>
        <w:t xml:space="preserve">Les </w:t>
      </w:r>
      <w:r w:rsidRPr="0072279A">
        <w:rPr>
          <w:sz w:val="20"/>
          <w:lang w:val="fr-CA"/>
        </w:rPr>
        <w:t>juges</w:t>
      </w:r>
      <w:r w:rsidRPr="0072279A">
        <w:rPr>
          <w:i/>
          <w:sz w:val="20"/>
          <w:lang w:val="fr-CA"/>
        </w:rPr>
        <w:t xml:space="preserve"> </w:t>
      </w:r>
      <w:proofErr w:type="spellStart"/>
      <w:r w:rsidRPr="0072279A">
        <w:rPr>
          <w:sz w:val="20"/>
          <w:lang w:val="fr-CA"/>
        </w:rPr>
        <w:t>LeBel</w:t>
      </w:r>
      <w:proofErr w:type="spellEnd"/>
      <w:r w:rsidRPr="0072279A">
        <w:rPr>
          <w:sz w:val="20"/>
          <w:lang w:val="fr-CA"/>
        </w:rPr>
        <w:t xml:space="preserve">, Abella, </w:t>
      </w:r>
      <w:proofErr w:type="spellStart"/>
      <w:r w:rsidRPr="0072279A">
        <w:rPr>
          <w:b/>
          <w:sz w:val="20"/>
          <w:lang w:val="fr-CA"/>
        </w:rPr>
        <w:t>Rothstein</w:t>
      </w:r>
      <w:proofErr w:type="spellEnd"/>
      <w:r w:rsidRPr="0072279A">
        <w:rPr>
          <w:sz w:val="20"/>
          <w:lang w:val="fr-CA"/>
        </w:rPr>
        <w:t xml:space="preserve"> et Cromwell </w:t>
      </w:r>
      <w:proofErr w:type="gramStart"/>
      <w:r w:rsidRPr="0072279A">
        <w:rPr>
          <w:sz w:val="20"/>
          <w:lang w:val="fr-CA"/>
        </w:rPr>
        <w:t>:  Les</w:t>
      </w:r>
      <w:proofErr w:type="gramEnd"/>
      <w:r w:rsidRPr="0072279A">
        <w:rPr>
          <w:sz w:val="20"/>
          <w:lang w:val="fr-CA"/>
        </w:rPr>
        <w:t xml:space="preserve"> faits diffèrent de ceux de l’affaire </w:t>
      </w:r>
      <w:r w:rsidRPr="0072279A">
        <w:rPr>
          <w:i/>
          <w:sz w:val="20"/>
          <w:lang w:val="fr-CA"/>
        </w:rPr>
        <w:t>R. c.</w:t>
      </w:r>
      <w:r w:rsidRPr="0072279A">
        <w:rPr>
          <w:sz w:val="20"/>
          <w:lang w:val="fr-CA"/>
        </w:rPr>
        <w:t xml:space="preserve"> </w:t>
      </w:r>
      <w:proofErr w:type="spellStart"/>
      <w:r w:rsidRPr="0072279A">
        <w:rPr>
          <w:i/>
          <w:sz w:val="20"/>
          <w:lang w:val="fr-CA"/>
        </w:rPr>
        <w:t>Arcangioli</w:t>
      </w:r>
      <w:proofErr w:type="spellEnd"/>
      <w:r w:rsidRPr="0072279A">
        <w:rPr>
          <w:sz w:val="20"/>
          <w:lang w:val="fr-CA"/>
        </w:rPr>
        <w:t xml:space="preserve">, [1994] 1 R.C.S. 129, et l’exposé au jury était correct.  Même en supposant que le juge du procès a commis une erreur dans ses directives, cette erreur était inoffensive et la disposition réparatrice du </w:t>
      </w:r>
      <w:proofErr w:type="spellStart"/>
      <w:r w:rsidRPr="0072279A">
        <w:rPr>
          <w:sz w:val="20"/>
          <w:lang w:val="fr-CA"/>
        </w:rPr>
        <w:t>sous</w:t>
      </w:r>
      <w:r w:rsidRPr="0072279A">
        <w:rPr>
          <w:sz w:val="20"/>
          <w:lang w:val="fr-CA"/>
        </w:rPr>
        <w:noBreakHyphen/>
        <w:t>al</w:t>
      </w:r>
      <w:proofErr w:type="spellEnd"/>
      <w:r w:rsidRPr="0072279A">
        <w:rPr>
          <w:sz w:val="20"/>
          <w:lang w:val="fr-CA"/>
        </w:rPr>
        <w:t>. 686(1)</w:t>
      </w:r>
      <w:r w:rsidRPr="0072279A">
        <w:rPr>
          <w:i/>
          <w:sz w:val="20"/>
          <w:lang w:val="fr-CA"/>
        </w:rPr>
        <w:t>b</w:t>
      </w:r>
      <w:proofErr w:type="gramStart"/>
      <w:r w:rsidRPr="0072279A">
        <w:rPr>
          <w:sz w:val="20"/>
          <w:lang w:val="fr-CA"/>
        </w:rPr>
        <w:t>)(</w:t>
      </w:r>
      <w:proofErr w:type="gramEnd"/>
      <w:r w:rsidRPr="0072279A">
        <w:rPr>
          <w:sz w:val="20"/>
          <w:lang w:val="fr-CA"/>
        </w:rPr>
        <w:t xml:space="preserve">iii) du </w:t>
      </w:r>
      <w:r w:rsidRPr="0072279A">
        <w:rPr>
          <w:i/>
          <w:sz w:val="20"/>
          <w:lang w:val="fr-CA"/>
        </w:rPr>
        <w:t xml:space="preserve">Code criminel </w:t>
      </w:r>
      <w:r w:rsidRPr="0072279A">
        <w:rPr>
          <w:sz w:val="20"/>
          <w:lang w:val="fr-CA"/>
        </w:rPr>
        <w:t>doit lui être appliquée.</w:t>
      </w:r>
    </w:p>
    <w:p w:rsidR="0072279A" w:rsidRPr="0072279A" w:rsidRDefault="0072279A" w:rsidP="0072279A">
      <w:pPr>
        <w:pStyle w:val="SCCNormalDoubleSpacing"/>
        <w:tabs>
          <w:tab w:val="left" w:pos="720"/>
        </w:tabs>
        <w:spacing w:line="240" w:lineRule="auto"/>
        <w:rPr>
          <w:i/>
          <w:sz w:val="20"/>
          <w:lang w:val="fr-CA"/>
        </w:rPr>
      </w:pPr>
    </w:p>
    <w:p w:rsidR="0072279A" w:rsidRPr="0072279A" w:rsidRDefault="0072279A" w:rsidP="0072279A">
      <w:pPr>
        <w:pStyle w:val="SCCNormalDoubleSpacing"/>
        <w:tabs>
          <w:tab w:val="left" w:pos="720"/>
        </w:tabs>
        <w:spacing w:line="240" w:lineRule="auto"/>
        <w:rPr>
          <w:sz w:val="20"/>
          <w:lang w:val="fr-CA"/>
        </w:rPr>
      </w:pPr>
      <w:r w:rsidRPr="0072279A">
        <w:rPr>
          <w:color w:val="000000"/>
          <w:sz w:val="20"/>
          <w:lang w:val="fr-CA"/>
        </w:rPr>
        <w:tab/>
        <w:t>Le principe selon lequel le comportement postérieur à l’infraction peut constituer une preuve circonstancielle de culpabilité est toujours valable</w:t>
      </w:r>
      <w:r w:rsidRPr="0072279A">
        <w:rPr>
          <w:sz w:val="20"/>
          <w:lang w:val="fr-CA"/>
        </w:rPr>
        <w:t xml:space="preserve">. </w:t>
      </w:r>
      <w:r w:rsidRPr="0072279A">
        <w:rPr>
          <w:color w:val="000000"/>
          <w:sz w:val="20"/>
          <w:lang w:val="fr-CA"/>
        </w:rPr>
        <w:t>Fondamentalement, la question de savoir si une telle preuve doit faire l’objet d’une directive restrictive indiquant qu’elle n’a « aucune valeur probante » est simplement fonction de sa pertinence</w:t>
      </w:r>
      <w:r w:rsidRPr="0072279A">
        <w:rPr>
          <w:sz w:val="20"/>
          <w:lang w:val="fr-CA"/>
        </w:rPr>
        <w:t>. Comme pour tous les autres éléments de preuve, la pertinence et la valeur probante du comportement postérieur à l’infraction s’apprécient au cas par cas.  Comme la preuve relative au comportement postérieur à l’infraction ne diffère pas fondamentalement des autres types de preuve circonstancielle, son admissibilité et la formulation de directives restrictives devraient obéir aux mêmes principes de preuve que les autres éléments de preuve circonstancielle.  Plus particulièrement, pour être admise, la preuve du</w:t>
      </w:r>
      <w:r w:rsidRPr="0072279A">
        <w:rPr>
          <w:color w:val="000000"/>
          <w:sz w:val="20"/>
          <w:lang w:val="fr-CA"/>
        </w:rPr>
        <w:t xml:space="preserve"> comportement postérieur à l’infraction doit </w:t>
      </w:r>
      <w:r w:rsidRPr="0072279A">
        <w:rPr>
          <w:sz w:val="20"/>
          <w:lang w:val="fr-CA"/>
        </w:rPr>
        <w:t>être pertinente relativement à une question en litige et n’être visée par aucune règle d’exclusion particulière; elle peut également être exclue par suite de l’exercice d’un pouvoir judiciaire discrétionnaire reconnu.  Il est aussi possible, et souvent opportun, pour le juge du procès de prévenir le jury des risques associés à certains types de preuve.  Pareille mise en garde a pour objet de signaler au jury le danger, constaté par les tribunaux au fil du temps, tout en lui permettant, une fois bien informé, d’apprécier la preuve avec prudence.  De plus, il existe une distinction importante entre une directive limitative et une mise en garde ou un avertissement.  Une directive restrictive interdit au jury de tenir compte de la preuve à une ou plusieurs fins alors qu’une mise en garde ou un avertissement laisse au jury le soin d’apprécier la preuve, mais l’appelle à la prudence.  En l’espèce, le juge a dit aux jurés qu’ils devaient apprécier la preuve relative à la fuite de l’accusé avec prudence et que son comportement pouvait avoir une ou plusieurs explications.</w:t>
      </w:r>
    </w:p>
    <w:p w:rsidR="0072279A" w:rsidRPr="0072279A" w:rsidRDefault="0072279A" w:rsidP="0072279A">
      <w:pPr>
        <w:pStyle w:val="SCCNormalDoubleSpacing"/>
        <w:tabs>
          <w:tab w:val="left" w:pos="720"/>
        </w:tabs>
        <w:spacing w:line="240" w:lineRule="auto"/>
        <w:rPr>
          <w:sz w:val="20"/>
          <w:lang w:val="fr-CA"/>
        </w:rPr>
      </w:pPr>
      <w:r w:rsidRPr="0072279A">
        <w:rPr>
          <w:sz w:val="20"/>
          <w:lang w:val="fr-CA"/>
        </w:rPr>
        <w:lastRenderedPageBreak/>
        <w:tab/>
        <w:t xml:space="preserve">L’arrêt </w:t>
      </w:r>
      <w:proofErr w:type="spellStart"/>
      <w:r w:rsidRPr="0072279A">
        <w:rPr>
          <w:i/>
          <w:sz w:val="20"/>
          <w:lang w:val="fr-CA"/>
        </w:rPr>
        <w:t>Arcangioli</w:t>
      </w:r>
      <w:proofErr w:type="spellEnd"/>
      <w:r w:rsidRPr="0072279A">
        <w:rPr>
          <w:sz w:val="20"/>
          <w:lang w:val="fr-CA"/>
        </w:rPr>
        <w:t xml:space="preserve"> et ceux qui l’ont suivi, notamment </w:t>
      </w:r>
      <w:r w:rsidRPr="0072279A">
        <w:rPr>
          <w:i/>
          <w:sz w:val="20"/>
          <w:lang w:val="fr-CA"/>
        </w:rPr>
        <w:t>R. c.</w:t>
      </w:r>
      <w:r w:rsidRPr="0072279A">
        <w:rPr>
          <w:sz w:val="20"/>
          <w:lang w:val="fr-CA"/>
        </w:rPr>
        <w:t xml:space="preserve"> </w:t>
      </w:r>
      <w:r w:rsidRPr="0072279A">
        <w:rPr>
          <w:i/>
          <w:sz w:val="20"/>
          <w:lang w:val="fr-CA"/>
        </w:rPr>
        <w:t>White</w:t>
      </w:r>
      <w:r w:rsidRPr="0072279A">
        <w:rPr>
          <w:sz w:val="20"/>
          <w:lang w:val="fr-CA"/>
        </w:rPr>
        <w:t>, [1998] 2 R.C.S. 72, n’appuient pas le principe très large selon lequel le comportement postérieur à l’infraction est généralement inadmissible pour déterminer si un accusé est coupable d’homicide involontaire coupable ou de meurtre. En effet, ils énoncent le principe qu’une directive indiquant que la preuve du comportement postérieur à l’infraction n’a « aucune valeur probante » est nécessaire lorsque ce comportement peut « s’expliquer tout autant » par la perpétration de deux infractions ou plus, ou est « tout aussi compatible » avec deux infractions ou plus.  Il faut voir ces arrêts comme reformulant, en l’adaptant à un contexte précis, la règle établie selon laquelle un élément de preuve circonstancielle doit être pertinent à l’égard du fait en cause. La valeur probante de la preuve du comportement postérieur à l’infraction à l’égard du degré de culpabilité de l’accusé dans un cas donné dépend entièrement de la nature particulière du comportement, de son rapport avec l’ensemble du dossier et des questions soulevées au procès.  En outre, lorsqu’il s’agit de savoir s’il y a lieu de soustraire une certaine preuve à l’examen du jury parce qu’elle n’est pas pertinente, il suffit de déterminer si elle est pertinente relativement au fait substantiel en cause selon la logique et l’expérience humaine. Pour évaluer la pertinence d’un élément de preuve, i</w:t>
      </w:r>
      <w:r w:rsidRPr="005352D1">
        <w:rPr>
          <w:sz w:val="20"/>
          <w:lang w:val="fr-FR"/>
        </w:rPr>
        <w:t>l ne faut pas prendre en considération le risque qu’il induise le jury en erreur ou qu’il soit mal utilisé</w:t>
      </w:r>
      <w:r w:rsidRPr="005352D1">
        <w:rPr>
          <w:i/>
          <w:sz w:val="20"/>
          <w:lang w:val="fr-FR"/>
        </w:rPr>
        <w:t xml:space="preserve"> </w:t>
      </w:r>
      <w:r w:rsidRPr="005352D1">
        <w:rPr>
          <w:sz w:val="20"/>
          <w:lang w:val="fr-FR"/>
        </w:rPr>
        <w:t xml:space="preserve">par le jury.  </w:t>
      </w:r>
      <w:r w:rsidRPr="0072279A">
        <w:rPr>
          <w:sz w:val="20"/>
          <w:lang w:val="fr-CA"/>
        </w:rPr>
        <w:t>Le juge du procès doit plutôt remédier à ce risque en exerçant son pouvoir discrétionnaire d’exclure un élément de preuve qui est plus préjudiciable qu’il n’est probant ou en incluant une mise en garde dans son exposé aux jurés.</w:t>
      </w:r>
    </w:p>
    <w:p w:rsidR="0072279A" w:rsidRPr="0072279A" w:rsidRDefault="0072279A" w:rsidP="0072279A">
      <w:pPr>
        <w:pStyle w:val="SCCNormalDoubleSpacing"/>
        <w:tabs>
          <w:tab w:val="left" w:pos="720"/>
        </w:tabs>
        <w:spacing w:line="240" w:lineRule="auto"/>
        <w:rPr>
          <w:sz w:val="20"/>
          <w:lang w:val="fr-CA"/>
        </w:rPr>
      </w:pPr>
    </w:p>
    <w:p w:rsidR="0072279A" w:rsidRPr="0072279A" w:rsidRDefault="0072279A" w:rsidP="0072279A">
      <w:pPr>
        <w:tabs>
          <w:tab w:val="left" w:pos="720"/>
        </w:tabs>
        <w:jc w:val="both"/>
        <w:rPr>
          <w:sz w:val="20"/>
          <w:lang w:val="fr-CA"/>
        </w:rPr>
      </w:pPr>
      <w:r w:rsidRPr="0072279A">
        <w:rPr>
          <w:rFonts w:cs="Times New Roman"/>
          <w:sz w:val="20"/>
          <w:szCs w:val="20"/>
          <w:lang w:val="fr-CA"/>
        </w:rPr>
        <w:tab/>
        <w:t xml:space="preserve">En l’espèce, </w:t>
      </w:r>
      <w:r w:rsidRPr="005352D1">
        <w:rPr>
          <w:rFonts w:cs="Times New Roman"/>
          <w:sz w:val="20"/>
          <w:szCs w:val="20"/>
          <w:lang w:val="fr-FR"/>
        </w:rPr>
        <w:t>les directives du juge du procès au jury sur le comportement postérieur à l’infraction étaient suffisantes et ne constituaient pas une erreur de droit</w:t>
      </w:r>
      <w:r w:rsidRPr="0072279A">
        <w:rPr>
          <w:rFonts w:cs="Times New Roman"/>
          <w:sz w:val="20"/>
          <w:szCs w:val="20"/>
          <w:lang w:val="fr-CA"/>
        </w:rPr>
        <w:t xml:space="preserve">.  En effet, le comportement évoqué par le ministère public n’est pas la fuite même, mais plutôt le fait que l’accusé n’a pas hésité avant de prendre la fuite après qu’un coup de feu provenant de son arme a atteint la victime à la poitrine.  Il en était autrement dans </w:t>
      </w:r>
      <w:proofErr w:type="spellStart"/>
      <w:r w:rsidRPr="0072279A">
        <w:rPr>
          <w:rFonts w:cs="Times New Roman"/>
          <w:i/>
          <w:sz w:val="20"/>
          <w:szCs w:val="20"/>
          <w:lang w:val="fr-CA"/>
        </w:rPr>
        <w:t>Arcangioli</w:t>
      </w:r>
      <w:proofErr w:type="spellEnd"/>
      <w:r w:rsidRPr="0072279A">
        <w:rPr>
          <w:rFonts w:cs="Times New Roman"/>
          <w:sz w:val="20"/>
          <w:szCs w:val="20"/>
          <w:lang w:val="fr-CA"/>
        </w:rPr>
        <w:t xml:space="preserve">, où c’était simplement la fuite comme telle qui était en cause. La situation en cause ici n’est pas différente de celle examinée dans </w:t>
      </w:r>
      <w:r w:rsidRPr="0072279A">
        <w:rPr>
          <w:rFonts w:cs="Times New Roman"/>
          <w:i/>
          <w:sz w:val="20"/>
          <w:szCs w:val="20"/>
          <w:lang w:val="fr-CA"/>
        </w:rPr>
        <w:t>R. c.</w:t>
      </w:r>
      <w:r w:rsidRPr="0072279A">
        <w:rPr>
          <w:rFonts w:cs="Times New Roman"/>
          <w:sz w:val="20"/>
          <w:szCs w:val="20"/>
          <w:lang w:val="fr-CA"/>
        </w:rPr>
        <w:t xml:space="preserve"> </w:t>
      </w:r>
      <w:proofErr w:type="spellStart"/>
      <w:r w:rsidRPr="0072279A">
        <w:rPr>
          <w:rFonts w:cs="Times New Roman"/>
          <w:i/>
          <w:sz w:val="20"/>
          <w:szCs w:val="20"/>
          <w:lang w:val="fr-CA"/>
        </w:rPr>
        <w:t>Jaw</w:t>
      </w:r>
      <w:proofErr w:type="spellEnd"/>
      <w:r w:rsidRPr="0072279A">
        <w:rPr>
          <w:rFonts w:cs="Times New Roman"/>
          <w:sz w:val="20"/>
          <w:szCs w:val="20"/>
          <w:lang w:val="fr-CA"/>
        </w:rPr>
        <w:t xml:space="preserve">, 2009 CSC 42, [2009] 3 R.C.S. 26, car un jury pourrait légitimement conclure que l’absence d’hésitation chez l’accusé après le coup de feu contredisait sa prétention que le coup était parti accidentellement.  La preuve de l’absence d’hésitation est donc pertinente quant à l’existence de l’intention requise pour commettre un meurtre au deuxième degré.  Qui plus est, cette preuve n’était pas entachée des lacunes caractéristiques de la preuve relative à l’attitude au point d’être dénuée de pertinence et n’était pas une invitation à conclure à l’intention de commettre un meurtre, à partir de l’air qu’avait l’accusé juste avant sa fuite.  </w:t>
      </w:r>
      <w:r w:rsidRPr="005352D1">
        <w:rPr>
          <w:rFonts w:cs="Times New Roman"/>
          <w:sz w:val="20"/>
          <w:szCs w:val="20"/>
          <w:lang w:val="fr-FR"/>
        </w:rPr>
        <w:t>L’absence d’hésitation avant la fuite constitue un fait objectif à partir duquel on demande au juge des faits (et non au témoin) de conclure que l’accusé n’était ni bouleversé ni surpris</w:t>
      </w:r>
      <w:r w:rsidRPr="0072279A">
        <w:rPr>
          <w:rFonts w:cs="Times New Roman"/>
          <w:sz w:val="20"/>
          <w:szCs w:val="20"/>
          <w:lang w:val="fr-CA"/>
        </w:rPr>
        <w:t xml:space="preserve">.  </w:t>
      </w:r>
      <w:r w:rsidRPr="005352D1">
        <w:rPr>
          <w:rFonts w:cs="Times New Roman"/>
          <w:sz w:val="20"/>
          <w:szCs w:val="20"/>
          <w:lang w:val="fr-FR"/>
        </w:rPr>
        <w:t xml:space="preserve">Certes, l’utilisation de la preuve de l’absence d’hésitation avant la fuite présuppose qu’une certaine gamme de réactions </w:t>
      </w:r>
      <w:proofErr w:type="gramStart"/>
      <w:r w:rsidRPr="005352D1">
        <w:rPr>
          <w:rFonts w:cs="Times New Roman"/>
          <w:sz w:val="20"/>
          <w:szCs w:val="20"/>
          <w:lang w:val="fr-FR"/>
        </w:rPr>
        <w:t>sont</w:t>
      </w:r>
      <w:proofErr w:type="gramEnd"/>
      <w:r w:rsidRPr="005352D1">
        <w:rPr>
          <w:rFonts w:cs="Times New Roman"/>
          <w:sz w:val="20"/>
          <w:szCs w:val="20"/>
          <w:lang w:val="fr-FR"/>
        </w:rPr>
        <w:t xml:space="preserve"> normales</w:t>
      </w:r>
      <w:r w:rsidRPr="0072279A">
        <w:rPr>
          <w:rFonts w:cs="Times New Roman"/>
          <w:sz w:val="20"/>
          <w:szCs w:val="20"/>
          <w:lang w:val="fr-CA"/>
        </w:rPr>
        <w:t xml:space="preserve"> et </w:t>
      </w:r>
      <w:r w:rsidRPr="005352D1">
        <w:rPr>
          <w:rFonts w:cs="Times New Roman"/>
          <w:sz w:val="20"/>
          <w:szCs w:val="20"/>
          <w:lang w:val="fr-FR"/>
        </w:rPr>
        <w:t>il se peut que toutes les personnes ne réagissent pas de la même façon</w:t>
      </w:r>
      <w:r w:rsidRPr="0072279A">
        <w:rPr>
          <w:rFonts w:cs="Times New Roman"/>
          <w:sz w:val="20"/>
          <w:szCs w:val="20"/>
          <w:lang w:val="fr-CA"/>
        </w:rPr>
        <w:t xml:space="preserve">, mais </w:t>
      </w:r>
      <w:r w:rsidRPr="005352D1">
        <w:rPr>
          <w:rFonts w:cs="Times New Roman"/>
          <w:sz w:val="20"/>
          <w:szCs w:val="20"/>
          <w:lang w:val="fr-FR"/>
        </w:rPr>
        <w:t>un écart par rapport à cette norme, bien qu’il ne soit pas déterminant, est plus compatible avec un coup de feu intentionnel qu’avec un coup de feu accidentel</w:t>
      </w:r>
      <w:r w:rsidRPr="0072279A">
        <w:rPr>
          <w:rFonts w:cs="Times New Roman"/>
          <w:sz w:val="20"/>
          <w:szCs w:val="20"/>
          <w:lang w:val="fr-CA"/>
        </w:rPr>
        <w:t xml:space="preserve">.  </w:t>
      </w:r>
      <w:r w:rsidRPr="005352D1">
        <w:rPr>
          <w:rFonts w:cs="Times New Roman"/>
          <w:sz w:val="20"/>
          <w:szCs w:val="20"/>
          <w:lang w:val="fr-FR"/>
        </w:rPr>
        <w:t>Le juge du procès aurait donc eu tort de dire au jury que cette preuve n’avait aucune valeur probante relativement à l’intention</w:t>
      </w:r>
      <w:r w:rsidRPr="0072279A">
        <w:rPr>
          <w:rFonts w:cs="Times New Roman"/>
          <w:sz w:val="20"/>
          <w:szCs w:val="20"/>
          <w:lang w:val="fr-CA"/>
        </w:rPr>
        <w:t xml:space="preserve">.  De même, bien </w:t>
      </w:r>
      <w:r w:rsidRPr="005352D1">
        <w:rPr>
          <w:rFonts w:cs="Times New Roman"/>
          <w:sz w:val="20"/>
          <w:szCs w:val="20"/>
          <w:lang w:val="fr-FR"/>
        </w:rPr>
        <w:t>qu’il soit possible en théorie d’interpréter les propos du juge du procès comme une invitation à considérer la fuite de l’accusé comme une preuve de sa conscience de culpabilité, cette interprétation ne serait pas raisonnable compte tenu du contexte de ces propos</w:t>
      </w:r>
      <w:r w:rsidRPr="0072279A">
        <w:rPr>
          <w:rFonts w:cs="Times New Roman"/>
          <w:sz w:val="20"/>
          <w:szCs w:val="20"/>
          <w:lang w:val="fr-CA"/>
        </w:rPr>
        <w:t>.</w:t>
      </w:r>
    </w:p>
    <w:p w:rsidR="0072279A" w:rsidRPr="0072279A" w:rsidRDefault="0072279A" w:rsidP="0072279A">
      <w:pPr>
        <w:tabs>
          <w:tab w:val="left" w:pos="720"/>
        </w:tabs>
        <w:jc w:val="both"/>
        <w:rPr>
          <w:rFonts w:cs="Times New Roman"/>
          <w:sz w:val="20"/>
          <w:szCs w:val="20"/>
          <w:lang w:val="fr-CA"/>
        </w:rPr>
      </w:pPr>
    </w:p>
    <w:p w:rsidR="0072279A" w:rsidRPr="0072279A" w:rsidRDefault="0072279A" w:rsidP="0072279A">
      <w:pPr>
        <w:pStyle w:val="SCCNormalDoubleSpacing"/>
        <w:tabs>
          <w:tab w:val="left" w:pos="720"/>
        </w:tabs>
        <w:spacing w:line="240" w:lineRule="auto"/>
        <w:rPr>
          <w:sz w:val="20"/>
          <w:lang w:val="fr-CA"/>
        </w:rPr>
      </w:pPr>
      <w:r w:rsidRPr="0072279A">
        <w:rPr>
          <w:sz w:val="20"/>
          <w:lang w:val="fr-CA"/>
        </w:rPr>
        <w:tab/>
        <w:t xml:space="preserve">C’est toutefois à bon droit que le juge du procès a </w:t>
      </w:r>
      <w:r w:rsidRPr="005352D1">
        <w:rPr>
          <w:sz w:val="20"/>
          <w:lang w:val="fr-FR"/>
        </w:rPr>
        <w:t xml:space="preserve">appelé le jury à la prudence à l’égard de la preuve du comportement postérieur à l’infraction et précisé qu’elle ne lui serait </w:t>
      </w:r>
      <w:proofErr w:type="spellStart"/>
      <w:r w:rsidRPr="005352D1">
        <w:rPr>
          <w:sz w:val="20"/>
          <w:lang w:val="fr-FR"/>
        </w:rPr>
        <w:t>peut</w:t>
      </w:r>
      <w:r w:rsidRPr="005352D1">
        <w:rPr>
          <w:sz w:val="20"/>
          <w:lang w:val="fr-FR"/>
        </w:rPr>
        <w:noBreakHyphen/>
        <w:t>être</w:t>
      </w:r>
      <w:proofErr w:type="spellEnd"/>
      <w:r w:rsidRPr="005352D1">
        <w:rPr>
          <w:sz w:val="20"/>
          <w:lang w:val="fr-FR"/>
        </w:rPr>
        <w:t xml:space="preserve"> pas très utile</w:t>
      </w:r>
      <w:r w:rsidRPr="0072279A">
        <w:rPr>
          <w:sz w:val="20"/>
          <w:lang w:val="fr-CA"/>
        </w:rPr>
        <w:t xml:space="preserve">.  Il aurait pu exister d’autres explications au fait que l’accusé a fui sans hésiter.  Bien </w:t>
      </w:r>
      <w:r w:rsidRPr="005352D1">
        <w:rPr>
          <w:sz w:val="20"/>
          <w:lang w:val="fr-FR"/>
        </w:rPr>
        <w:t>qu’il soit justifié de croire que, normalement, la personne qui en tue accidentellement une autre d’un coup de feu aura un moment d’hésitation ou manifestera quelque autre signe de surprise</w:t>
      </w:r>
      <w:r w:rsidRPr="0072279A">
        <w:rPr>
          <w:sz w:val="20"/>
          <w:lang w:val="fr-CA"/>
        </w:rPr>
        <w:t xml:space="preserve">, </w:t>
      </w:r>
      <w:r w:rsidRPr="005352D1">
        <w:rPr>
          <w:sz w:val="20"/>
          <w:lang w:val="fr-FR"/>
        </w:rPr>
        <w:t>il est possible que des personnes singulières ne réagissent pas normalement</w:t>
      </w:r>
      <w:r w:rsidRPr="0072279A">
        <w:rPr>
          <w:sz w:val="20"/>
          <w:lang w:val="fr-CA"/>
        </w:rPr>
        <w:t xml:space="preserve">.  La </w:t>
      </w:r>
      <w:r w:rsidRPr="005352D1">
        <w:rPr>
          <w:sz w:val="20"/>
          <w:lang w:val="fr-FR"/>
        </w:rPr>
        <w:t>mise en garde était suffisante pour informer le jury des risques associés à cette preuve et lui permettre de bien la soupeser</w:t>
      </w:r>
      <w:r w:rsidRPr="0072279A">
        <w:rPr>
          <w:sz w:val="20"/>
          <w:lang w:val="fr-CA"/>
        </w:rPr>
        <w:t>.</w:t>
      </w:r>
    </w:p>
    <w:p w:rsidR="0072279A" w:rsidRPr="0072279A" w:rsidRDefault="0072279A" w:rsidP="0072279A">
      <w:pPr>
        <w:pStyle w:val="SCCNormalDoubleSpacing"/>
        <w:tabs>
          <w:tab w:val="left" w:pos="720"/>
        </w:tabs>
        <w:spacing w:line="240" w:lineRule="auto"/>
        <w:rPr>
          <w:sz w:val="20"/>
          <w:lang w:val="fr-CA"/>
        </w:rPr>
      </w:pPr>
    </w:p>
    <w:p w:rsidR="0072279A" w:rsidRPr="0072279A" w:rsidRDefault="0072279A" w:rsidP="0072279A">
      <w:pPr>
        <w:pStyle w:val="SCCNormalDoubleSpacing"/>
        <w:tabs>
          <w:tab w:val="left" w:pos="720"/>
        </w:tabs>
        <w:spacing w:line="240" w:lineRule="auto"/>
        <w:ind w:firstLine="720"/>
        <w:rPr>
          <w:sz w:val="20"/>
          <w:lang w:val="fr-CA"/>
        </w:rPr>
      </w:pPr>
      <w:r w:rsidRPr="0072279A">
        <w:rPr>
          <w:sz w:val="20"/>
          <w:lang w:val="fr-CA"/>
        </w:rPr>
        <w:t xml:space="preserve">Si les directives du juge du procès </w:t>
      </w:r>
      <w:r w:rsidRPr="005352D1">
        <w:rPr>
          <w:color w:val="000000"/>
          <w:sz w:val="20"/>
          <w:lang w:val="fr-FR"/>
        </w:rPr>
        <w:t xml:space="preserve">comportaient une erreur, il y aurait lieu d’y remédier par l’application de la disposition réparatrice du </w:t>
      </w:r>
      <w:proofErr w:type="spellStart"/>
      <w:r w:rsidRPr="005352D1">
        <w:rPr>
          <w:color w:val="000000"/>
          <w:sz w:val="20"/>
          <w:lang w:val="fr-FR"/>
        </w:rPr>
        <w:t>sous</w:t>
      </w:r>
      <w:r w:rsidRPr="005352D1">
        <w:rPr>
          <w:color w:val="000000"/>
          <w:sz w:val="20"/>
          <w:lang w:val="fr-FR"/>
        </w:rPr>
        <w:noBreakHyphen/>
        <w:t>al</w:t>
      </w:r>
      <w:proofErr w:type="spellEnd"/>
      <w:r w:rsidRPr="005352D1">
        <w:rPr>
          <w:color w:val="000000"/>
          <w:sz w:val="20"/>
          <w:lang w:val="fr-FR"/>
        </w:rPr>
        <w:t>. </w:t>
      </w:r>
      <w:r w:rsidRPr="0072279A">
        <w:rPr>
          <w:sz w:val="20"/>
          <w:lang w:val="fr-CA"/>
        </w:rPr>
        <w:t>686(1)</w:t>
      </w:r>
      <w:r w:rsidRPr="0072279A">
        <w:rPr>
          <w:i/>
          <w:sz w:val="20"/>
          <w:lang w:val="fr-CA"/>
        </w:rPr>
        <w:t>b</w:t>
      </w:r>
      <w:proofErr w:type="gramStart"/>
      <w:r w:rsidRPr="0072279A">
        <w:rPr>
          <w:sz w:val="20"/>
          <w:lang w:val="fr-CA"/>
        </w:rPr>
        <w:t>)(</w:t>
      </w:r>
      <w:proofErr w:type="gramEnd"/>
      <w:r w:rsidRPr="0072279A">
        <w:rPr>
          <w:sz w:val="20"/>
          <w:lang w:val="fr-CA"/>
        </w:rPr>
        <w:t xml:space="preserve">iii). </w:t>
      </w:r>
      <w:r w:rsidRPr="005352D1">
        <w:rPr>
          <w:sz w:val="20"/>
          <w:lang w:val="fr-FR"/>
        </w:rPr>
        <w:t xml:space="preserve">Idéalement, le juge du procès aurait dû, dans ses directives au jury sur la question de l’intention, mentionner expressément et uniquement le fait que l’accusé n’a pas hésité, plutôt que de parler du comportement qu’il a adopté « en fuyant le lieu du crime ».  Toutefois, même en supposant que ses propos demeurent toujours et irréductiblement ambigus et qu’ils constituent de ce fait une erreur, il s’agit d’une erreur négligeable. </w:t>
      </w:r>
      <w:r w:rsidRPr="0072279A">
        <w:rPr>
          <w:sz w:val="20"/>
          <w:lang w:val="fr-CA"/>
        </w:rPr>
        <w:t xml:space="preserve"> Il n’est pas obligatoire que le jury reçoive des directives parfaites et, vu </w:t>
      </w:r>
      <w:r w:rsidRPr="005352D1">
        <w:rPr>
          <w:sz w:val="20"/>
          <w:lang w:val="fr-FR"/>
        </w:rPr>
        <w:t>sa nature, la prétendue erreur n’aurait vraisemblablement pas influé sur les délibérations du jury</w:t>
      </w:r>
      <w:r w:rsidRPr="0072279A">
        <w:rPr>
          <w:sz w:val="20"/>
          <w:lang w:val="fr-CA"/>
        </w:rPr>
        <w:t>.</w:t>
      </w:r>
    </w:p>
    <w:p w:rsidR="0072279A" w:rsidRPr="0072279A" w:rsidRDefault="0072279A" w:rsidP="0072279A">
      <w:pPr>
        <w:pStyle w:val="SCCNormalDoubleSpacing"/>
        <w:tabs>
          <w:tab w:val="left" w:pos="720"/>
        </w:tabs>
        <w:spacing w:line="240" w:lineRule="auto"/>
        <w:ind w:firstLine="720"/>
        <w:rPr>
          <w:sz w:val="20"/>
          <w:lang w:val="fr-CA"/>
        </w:rPr>
      </w:pPr>
    </w:p>
    <w:p w:rsidR="0072279A" w:rsidRPr="0072279A" w:rsidRDefault="0072279A" w:rsidP="0072279A">
      <w:pPr>
        <w:pStyle w:val="SCCNormalDoubleSpacing"/>
        <w:tabs>
          <w:tab w:val="left" w:pos="720"/>
        </w:tabs>
        <w:spacing w:line="240" w:lineRule="auto"/>
        <w:rPr>
          <w:sz w:val="20"/>
          <w:lang w:val="fr-CA"/>
        </w:rPr>
      </w:pPr>
      <w:r w:rsidRPr="0072279A">
        <w:rPr>
          <w:sz w:val="20"/>
          <w:lang w:val="fr-CA"/>
        </w:rPr>
        <w:tab/>
      </w:r>
      <w:r w:rsidRPr="0072279A">
        <w:rPr>
          <w:i/>
          <w:sz w:val="20"/>
          <w:lang w:val="fr-CA"/>
        </w:rPr>
        <w:t>Les</w:t>
      </w:r>
      <w:r w:rsidRPr="0072279A">
        <w:rPr>
          <w:sz w:val="20"/>
          <w:lang w:val="fr-CA"/>
        </w:rPr>
        <w:t xml:space="preserve"> juges Deschamps et </w:t>
      </w:r>
      <w:r w:rsidRPr="0072279A">
        <w:rPr>
          <w:b/>
          <w:sz w:val="20"/>
          <w:lang w:val="fr-CA"/>
        </w:rPr>
        <w:t>Charron</w:t>
      </w:r>
      <w:r w:rsidRPr="0072279A">
        <w:rPr>
          <w:sz w:val="20"/>
          <w:lang w:val="fr-CA"/>
        </w:rPr>
        <w:t xml:space="preserve"> : Il y a accord avec l’analyse que fait le juge </w:t>
      </w:r>
      <w:proofErr w:type="spellStart"/>
      <w:r w:rsidRPr="0072279A">
        <w:rPr>
          <w:sz w:val="20"/>
          <w:lang w:val="fr-CA"/>
        </w:rPr>
        <w:t>Binnie</w:t>
      </w:r>
      <w:proofErr w:type="spellEnd"/>
      <w:r w:rsidRPr="0072279A">
        <w:rPr>
          <w:sz w:val="20"/>
          <w:lang w:val="fr-CA"/>
        </w:rPr>
        <w:t xml:space="preserve"> des règles de droit concernant l’utilisation qui peut être faite de la preuve relative au comportement postérieur à l’infraction.  Comme il le souligne, c’est nettement une erreur que de supposer que la preuve de ce que l’accusé a pu dire ou faire après la </w:t>
      </w:r>
      <w:r w:rsidRPr="0072279A">
        <w:rPr>
          <w:sz w:val="20"/>
          <w:lang w:val="fr-CA"/>
        </w:rPr>
        <w:lastRenderedPageBreak/>
        <w:t xml:space="preserve">perpétration de l’infraction est assujettie à des règles d’admissibilité spéciales ou justifie une mise en garde particulière quant à l’utilisation que le juge des faits peut en faire.  Il y a également accord avec l’avis du juge </w:t>
      </w:r>
      <w:proofErr w:type="spellStart"/>
      <w:r w:rsidRPr="0072279A">
        <w:rPr>
          <w:sz w:val="20"/>
          <w:lang w:val="fr-CA"/>
        </w:rPr>
        <w:t>Binnie</w:t>
      </w:r>
      <w:proofErr w:type="spellEnd"/>
      <w:r w:rsidRPr="0072279A">
        <w:rPr>
          <w:sz w:val="20"/>
          <w:lang w:val="fr-CA"/>
        </w:rPr>
        <w:t xml:space="preserve"> que l’expérience a démontré que, dans certaines instances, les jurés attribuent une force probante injustifiée à certains types d’éléments de preuve, de sorte qu’il faut, au besoin, les mettre en garde en conséquence ou soustraire complètement la preuve à leur appréciation.  Il est en outre reconnu que les conclusions tirées par un témoin à partir de sa propre observation de l’attitude de l’accusé peuvent fort bien appeler une mise en garde particulière ou faire l’objet d’une ordonnance d’exclusion.</w:t>
      </w:r>
    </w:p>
    <w:p w:rsidR="0072279A" w:rsidRPr="0072279A" w:rsidRDefault="0072279A" w:rsidP="0072279A">
      <w:pPr>
        <w:pStyle w:val="SCCNormalDoubleSpacing"/>
        <w:tabs>
          <w:tab w:val="left" w:pos="720"/>
        </w:tabs>
        <w:spacing w:line="240" w:lineRule="auto"/>
        <w:rPr>
          <w:sz w:val="20"/>
          <w:lang w:val="fr-CA"/>
        </w:rPr>
      </w:pPr>
    </w:p>
    <w:p w:rsidR="0072279A" w:rsidRPr="0072279A" w:rsidRDefault="0072279A" w:rsidP="0072279A">
      <w:pPr>
        <w:pStyle w:val="SCCNormalDoubleSpacing"/>
        <w:tabs>
          <w:tab w:val="left" w:pos="720"/>
        </w:tabs>
        <w:spacing w:line="240" w:lineRule="auto"/>
        <w:rPr>
          <w:sz w:val="20"/>
          <w:lang w:val="fr-CA"/>
        </w:rPr>
      </w:pPr>
      <w:r w:rsidRPr="0072279A">
        <w:rPr>
          <w:sz w:val="20"/>
          <w:lang w:val="fr-CA"/>
        </w:rPr>
        <w:tab/>
        <w:t xml:space="preserve">Il y a toutefois désaccord avec le juge </w:t>
      </w:r>
      <w:proofErr w:type="spellStart"/>
      <w:r w:rsidRPr="0072279A">
        <w:rPr>
          <w:sz w:val="20"/>
          <w:lang w:val="fr-CA"/>
        </w:rPr>
        <w:t>Binnie</w:t>
      </w:r>
      <w:proofErr w:type="spellEnd"/>
      <w:r w:rsidRPr="0072279A">
        <w:rPr>
          <w:sz w:val="20"/>
          <w:lang w:val="fr-CA"/>
        </w:rPr>
        <w:t xml:space="preserve"> sur l’importance qu’il accorde à la remarque que l’avocat du ministère public a faite dans sa plaidoirie finale, suivant laquelle l’accusé avait quitté immédiatement les lieux « sans hésiter, ni se montrer bouleversé ou indécis ».  Le ministère public n’a pas invité ainsi le jury à tirer une conclusion de culpabilité injustifiée.  Interprétée dans son contexte, la remarque du ministère public devait forcément être perçue par le jury comme une observation rhétorique suivant laquelle aucun élément de preuve n’étayait la thèse du coup de feu accidentel proposée par la défense.  Le défaut de l’avocat de la défense de soulever quelque question que ce soit au procès, au sujet de la plaidoirie finale de l’avocat du ministère public ou des instructions du juge du procès concernant la preuve de la fuite, appuie cette interprétation.</w:t>
      </w:r>
    </w:p>
    <w:p w:rsidR="0072279A" w:rsidRPr="0072279A" w:rsidRDefault="0072279A" w:rsidP="0072279A">
      <w:pPr>
        <w:pStyle w:val="SCCNormalDoubleSpacing"/>
        <w:tabs>
          <w:tab w:val="left" w:pos="720"/>
        </w:tabs>
        <w:spacing w:line="240" w:lineRule="auto"/>
        <w:rPr>
          <w:sz w:val="20"/>
          <w:lang w:val="fr-CA"/>
        </w:rPr>
      </w:pPr>
    </w:p>
    <w:p w:rsidR="0072279A" w:rsidRPr="0072279A" w:rsidRDefault="0072279A" w:rsidP="0072279A">
      <w:pPr>
        <w:pStyle w:val="SCCNormalDoubleSpacing"/>
        <w:tabs>
          <w:tab w:val="left" w:pos="720"/>
        </w:tabs>
        <w:spacing w:line="240" w:lineRule="auto"/>
        <w:rPr>
          <w:sz w:val="20"/>
          <w:lang w:val="fr-CA"/>
        </w:rPr>
      </w:pPr>
      <w:r w:rsidRPr="0072279A">
        <w:rPr>
          <w:sz w:val="20"/>
          <w:lang w:val="fr-CA"/>
        </w:rPr>
        <w:tab/>
        <w:t xml:space="preserve">Le dossier n’offre non plus aucun fondement à l’argument de l’accusé, retenu par le juge </w:t>
      </w:r>
      <w:proofErr w:type="spellStart"/>
      <w:r w:rsidRPr="0072279A">
        <w:rPr>
          <w:sz w:val="20"/>
          <w:lang w:val="fr-CA"/>
        </w:rPr>
        <w:t>Binnie</w:t>
      </w:r>
      <w:proofErr w:type="spellEnd"/>
      <w:r w:rsidRPr="0072279A">
        <w:rPr>
          <w:sz w:val="20"/>
          <w:lang w:val="fr-CA"/>
        </w:rPr>
        <w:t xml:space="preserve">, suivant lequel la présente espèce est identique à l’affaire </w:t>
      </w:r>
      <w:proofErr w:type="spellStart"/>
      <w:r w:rsidRPr="0072279A">
        <w:rPr>
          <w:i/>
          <w:iCs/>
          <w:sz w:val="20"/>
          <w:lang w:val="fr-CA"/>
        </w:rPr>
        <w:t>Arcangioli</w:t>
      </w:r>
      <w:proofErr w:type="spellEnd"/>
      <w:r w:rsidRPr="0072279A">
        <w:rPr>
          <w:sz w:val="20"/>
          <w:lang w:val="fr-CA"/>
        </w:rPr>
        <w:t xml:space="preserve">.  Dans cette affaire, l’accusé avait admis avoir participé aux faits incriminés et la seule question en litige au procès était son degré de culpabilité.  À l’opposé, en l’espèce, l’identité de l’auteur du coup de feu était au cœur du débat et la preuve de la fuite était très pertinente quant à la question de l’identification.  Il s’agissait par ailleurs d’une partie inextricable du récit des faits, car chacun des témoins de l’incident avait mentionné que le tueur s’était enfui, un pistolet à la main. La preuve était donc admissible au procès et a été soumise à bon droit à l’appréciation du jury.  Les directives du juge du procès sur cette preuve n’étaient entachées d’aucune erreur.  C’est dans ce contexte que la preuve de la fuite a été passée en revue à l’intention du jury, qui a dû en comprendre correctement la signification.  De plus, en ce qui a trait à l’intention, le juge du procès a pris soin d’expliquer aux jurés qu’ils devaient utiliser cette preuve « avec prudence », car il se peut : </w:t>
      </w:r>
      <w:r w:rsidRPr="0072279A">
        <w:rPr>
          <w:smallCaps/>
          <w:sz w:val="20"/>
          <w:lang w:val="fr-CA"/>
        </w:rPr>
        <w:t>[traduction]</w:t>
      </w:r>
      <w:r w:rsidRPr="0072279A">
        <w:rPr>
          <w:sz w:val="20"/>
          <w:lang w:val="fr-CA"/>
        </w:rPr>
        <w:t xml:space="preserve"> « qu’elle ne démontre rien de plus que, pour différentes raisons, l’appelant aurait eu des ennuis s’il était resté sur les lieux et il se peut qu’elle ne soit pas très utile pour évaluer son état d’esprit précis au moment où le coup de feu a été tiré ».  Dans le contexte du présent procès, cela suffisait.  Il y a donc accord avec le juge </w:t>
      </w:r>
      <w:proofErr w:type="spellStart"/>
      <w:r w:rsidRPr="0072279A">
        <w:rPr>
          <w:sz w:val="20"/>
          <w:lang w:val="fr-CA"/>
        </w:rPr>
        <w:t>Rothstein</w:t>
      </w:r>
      <w:proofErr w:type="spellEnd"/>
      <w:r w:rsidRPr="0072279A">
        <w:rPr>
          <w:sz w:val="20"/>
          <w:lang w:val="fr-CA"/>
        </w:rPr>
        <w:t xml:space="preserve"> pour dire que les directives au jury ne contenaient pas d’erreur et qu’il n’existe aucun motif de modifier le verdict du jury.</w:t>
      </w:r>
    </w:p>
    <w:p w:rsidR="0072279A" w:rsidRPr="0072279A" w:rsidRDefault="0072279A" w:rsidP="0072279A">
      <w:pPr>
        <w:pStyle w:val="SCCNormalDoubleSpacing"/>
        <w:tabs>
          <w:tab w:val="left" w:pos="720"/>
        </w:tabs>
        <w:spacing w:line="240" w:lineRule="auto"/>
        <w:rPr>
          <w:sz w:val="20"/>
          <w:lang w:val="fr-CA"/>
        </w:rPr>
      </w:pPr>
    </w:p>
    <w:p w:rsidR="0072279A" w:rsidRPr="0072279A" w:rsidRDefault="0072279A" w:rsidP="0072279A">
      <w:pPr>
        <w:pStyle w:val="SCCNormalDoubleSpacing"/>
        <w:tabs>
          <w:tab w:val="left" w:pos="720"/>
        </w:tabs>
        <w:spacing w:line="240" w:lineRule="auto"/>
        <w:rPr>
          <w:sz w:val="20"/>
          <w:lang w:val="fr-CA"/>
        </w:rPr>
      </w:pPr>
      <w:r w:rsidRPr="0072279A">
        <w:rPr>
          <w:i/>
          <w:sz w:val="20"/>
          <w:lang w:val="fr-CA"/>
        </w:rPr>
        <w:tab/>
        <w:t xml:space="preserve">La </w:t>
      </w:r>
      <w:r w:rsidRPr="0072279A">
        <w:rPr>
          <w:sz w:val="20"/>
          <w:lang w:val="fr-CA"/>
        </w:rPr>
        <w:t>juge en chef</w:t>
      </w:r>
      <w:r w:rsidRPr="0072279A">
        <w:rPr>
          <w:i/>
          <w:sz w:val="20"/>
          <w:lang w:val="fr-CA"/>
        </w:rPr>
        <w:t xml:space="preserve"> </w:t>
      </w:r>
      <w:proofErr w:type="spellStart"/>
      <w:r w:rsidRPr="0072279A">
        <w:rPr>
          <w:sz w:val="20"/>
          <w:lang w:val="fr-CA"/>
        </w:rPr>
        <w:t>McLachlin</w:t>
      </w:r>
      <w:proofErr w:type="spellEnd"/>
      <w:r w:rsidRPr="0072279A">
        <w:rPr>
          <w:sz w:val="20"/>
          <w:lang w:val="fr-CA"/>
        </w:rPr>
        <w:t xml:space="preserve"> et les juges </w:t>
      </w:r>
      <w:proofErr w:type="spellStart"/>
      <w:r w:rsidRPr="0072279A">
        <w:rPr>
          <w:b/>
          <w:sz w:val="20"/>
          <w:lang w:val="fr-CA"/>
        </w:rPr>
        <w:t>Binnie</w:t>
      </w:r>
      <w:proofErr w:type="spellEnd"/>
      <w:r w:rsidRPr="0072279A">
        <w:rPr>
          <w:sz w:val="20"/>
          <w:lang w:val="fr-CA"/>
        </w:rPr>
        <w:t xml:space="preserve"> et Fish (dissidents) :  Les règles régissant les directives aux jurés dans les cas où la preuve du ministère public n’a aucune valeur probante, ou une valeur probante trop faible pour contrebalancer le préjudice inéquitable qui en découlerait, sont énoncées dans des arrêts récents de notre Cour, tels </w:t>
      </w:r>
      <w:proofErr w:type="spellStart"/>
      <w:r w:rsidRPr="0072279A">
        <w:rPr>
          <w:i/>
          <w:sz w:val="20"/>
          <w:lang w:val="fr-CA"/>
        </w:rPr>
        <w:t>Arcangioli</w:t>
      </w:r>
      <w:proofErr w:type="spellEnd"/>
      <w:r w:rsidRPr="0072279A">
        <w:rPr>
          <w:sz w:val="20"/>
          <w:lang w:val="fr-CA"/>
        </w:rPr>
        <w:t xml:space="preserve"> et </w:t>
      </w:r>
      <w:r w:rsidRPr="0072279A">
        <w:rPr>
          <w:i/>
          <w:sz w:val="20"/>
          <w:lang w:val="fr-CA"/>
        </w:rPr>
        <w:t>White</w:t>
      </w:r>
      <w:r w:rsidRPr="0072279A">
        <w:rPr>
          <w:sz w:val="20"/>
          <w:lang w:val="fr-CA"/>
        </w:rPr>
        <w:t xml:space="preserve">.  La présente espèce ne se distingue pas, sur le plan des principes, de l’affaire </w:t>
      </w:r>
      <w:proofErr w:type="spellStart"/>
      <w:r w:rsidRPr="0072279A">
        <w:rPr>
          <w:i/>
          <w:iCs/>
          <w:sz w:val="20"/>
          <w:lang w:val="fr-CA"/>
        </w:rPr>
        <w:t>Arcangioli</w:t>
      </w:r>
      <w:proofErr w:type="spellEnd"/>
      <w:r w:rsidRPr="0072279A">
        <w:rPr>
          <w:sz w:val="20"/>
          <w:lang w:val="fr-CA"/>
        </w:rPr>
        <w:t xml:space="preserve">.  Tout comme dans </w:t>
      </w:r>
      <w:proofErr w:type="spellStart"/>
      <w:r w:rsidRPr="0072279A">
        <w:rPr>
          <w:i/>
          <w:sz w:val="20"/>
          <w:lang w:val="fr-CA"/>
        </w:rPr>
        <w:t>Arcangioli</w:t>
      </w:r>
      <w:proofErr w:type="spellEnd"/>
      <w:r w:rsidRPr="0072279A">
        <w:rPr>
          <w:sz w:val="20"/>
          <w:lang w:val="fr-CA"/>
        </w:rPr>
        <w:t xml:space="preserve">, le comportement de l’appelant tout juste après l’infraction constituait un élément important de la plaidoirie adressée au jury par le ministère public et des directives finales du juge du procès.  De même, en l’espèce, le jury risquait de ne pas prendre en considération les autres explications possibles du comportement de l’accusé et de conclure immédiatement, à tort, à sa culpabilité à partir de cet élément de preuve relative à l’attitude.  Si la question de l’identité avait été soumise au jury, la preuve de la fuite aurait sans aucun doute été très pertinente.  Elle aurait pu être utilisée par le jury, de concert avec d’autres éléments de preuve, pour conclure que l’accusé était le tireur.  Mais, en fin de compte, l’identité a été admise.  La preuve du comportement de l’accusé après l’infraction n’a donc pas été présentée en tant que partie </w:t>
      </w:r>
      <w:r w:rsidRPr="005352D1">
        <w:rPr>
          <w:sz w:val="20"/>
          <w:lang w:val="fr-FR"/>
        </w:rPr>
        <w:t>de l’exposé des faits,</w:t>
      </w:r>
      <w:r w:rsidRPr="0072279A">
        <w:rPr>
          <w:sz w:val="20"/>
          <w:lang w:val="fr-CA"/>
        </w:rPr>
        <w:t xml:space="preserve"> mais plutôt comme preuve de la perpétration d’un meurtre au deuxième degré.  Suivant </w:t>
      </w:r>
      <w:proofErr w:type="spellStart"/>
      <w:r w:rsidRPr="0072279A">
        <w:rPr>
          <w:i/>
          <w:iCs/>
          <w:sz w:val="20"/>
          <w:lang w:val="fr-CA"/>
        </w:rPr>
        <w:t>Arcangioli</w:t>
      </w:r>
      <w:proofErr w:type="spellEnd"/>
      <w:r w:rsidRPr="0072279A">
        <w:rPr>
          <w:sz w:val="20"/>
          <w:lang w:val="fr-CA"/>
        </w:rPr>
        <w:t>, cette preuve ne pouvait être admise afin d’établir l’intention spécifique nécessaire pour justifier un verdict de culpabilité pour meurtre.</w:t>
      </w:r>
    </w:p>
    <w:p w:rsidR="0072279A" w:rsidRPr="0072279A" w:rsidRDefault="0072279A" w:rsidP="0072279A">
      <w:pPr>
        <w:pStyle w:val="SCCNormalDoubleSpacing"/>
        <w:tabs>
          <w:tab w:val="left" w:pos="720"/>
        </w:tabs>
        <w:spacing w:line="240" w:lineRule="auto"/>
        <w:rPr>
          <w:sz w:val="20"/>
          <w:lang w:val="fr-CA"/>
        </w:rPr>
      </w:pPr>
    </w:p>
    <w:p w:rsidR="0072279A" w:rsidRPr="0072279A" w:rsidRDefault="0072279A" w:rsidP="0072279A">
      <w:pPr>
        <w:pStyle w:val="SCCNormalDoubleSpacing"/>
        <w:tabs>
          <w:tab w:val="left" w:pos="720"/>
        </w:tabs>
        <w:spacing w:line="240" w:lineRule="auto"/>
        <w:rPr>
          <w:sz w:val="20"/>
          <w:lang w:val="fr-CA"/>
        </w:rPr>
      </w:pPr>
      <w:r w:rsidRPr="0072279A">
        <w:rPr>
          <w:sz w:val="20"/>
          <w:lang w:val="fr-CA"/>
        </w:rPr>
        <w:tab/>
        <w:t xml:space="preserve">La preuve du comportement postérieur à l’infraction est typique de nombreux éléments de preuve présentés dans un procès criminel : l’admissibilité de cette preuve est limitée; le juge des faits peut utiliser cette preuve à une ou plusieurs fins, mais non à d’autres.  Par conséquent, la production de cette preuve dans un procès avec jury impose au juge l’obligation d’expliquer au jury ce qu’il peut en faire et ce qu’il ne peut pas en faire.  Tout dépendra des faits.  L’une des difficultés que pose la preuve du comportement postérieur à l’infraction tient à ce que, souvent, les inférences recherchées peuvent être trop équivoques pour que la preuve ait une valeur quelconque.    La question consiste, comme toujours, à évaluer la force du lien </w:t>
      </w:r>
      <w:proofErr w:type="spellStart"/>
      <w:r w:rsidRPr="0072279A">
        <w:rPr>
          <w:sz w:val="20"/>
          <w:lang w:val="fr-CA"/>
        </w:rPr>
        <w:t>inférentiel</w:t>
      </w:r>
      <w:proofErr w:type="spellEnd"/>
      <w:r w:rsidRPr="0072279A">
        <w:rPr>
          <w:sz w:val="20"/>
          <w:lang w:val="fr-CA"/>
        </w:rPr>
        <w:t xml:space="preserve"> entre la preuve et le fait que l’on cherche à établir.  Si la preuve relative à une question litigieuse n’a aucune valeur probante — ou a une valeur qui dépend entièrement d’inférences </w:t>
      </w:r>
      <w:r w:rsidRPr="0072279A">
        <w:rPr>
          <w:sz w:val="20"/>
          <w:lang w:val="fr-CA"/>
        </w:rPr>
        <w:lastRenderedPageBreak/>
        <w:t xml:space="preserve">hypothétiques ou déraisonnables, — elle n’est pas pertinente et ne devrait pas encombrer inutilement les délibérations du jury.  Dans d’autres cas, les inférences qui, selon le ministère public, devraient être tirées du comportement postérieur à l’infraction sont inacceptables pour des raisons juridiques et non parce qu’elles sont illogiques et cette preuve peut être soustraite de fait à l’attention du jury par une directive précisant qu’elle n’a « aucune valeur probante ».  La nécessité de faire une mise en garde spéciale à l’égard du comportement postérieur à l’infraction ne dépendra pas de savoir si cette preuve peut ou non étayer à elle seule une conclusion de culpabilité, mais plutôt de l’appréciation que le tribunal fera du risque que le jury tire des inférences inacceptables relativement aux questions sur lesquelles s’appuie la poursuite en s’adressant au jury. </w:t>
      </w:r>
    </w:p>
    <w:p w:rsidR="0072279A" w:rsidRPr="0072279A" w:rsidRDefault="0072279A" w:rsidP="0072279A">
      <w:pPr>
        <w:pStyle w:val="SCCNormalDoubleSpacing"/>
        <w:tabs>
          <w:tab w:val="left" w:pos="720"/>
        </w:tabs>
        <w:spacing w:line="240" w:lineRule="auto"/>
        <w:rPr>
          <w:sz w:val="20"/>
          <w:lang w:val="fr-CA"/>
        </w:rPr>
      </w:pPr>
    </w:p>
    <w:p w:rsidR="0072279A" w:rsidRPr="0072279A" w:rsidRDefault="0072279A" w:rsidP="0072279A">
      <w:pPr>
        <w:pStyle w:val="SCCNormalDoubleSpacing"/>
        <w:tabs>
          <w:tab w:val="left" w:pos="720"/>
        </w:tabs>
        <w:spacing w:line="240" w:lineRule="auto"/>
        <w:rPr>
          <w:sz w:val="20"/>
          <w:lang w:val="fr-CA"/>
        </w:rPr>
      </w:pPr>
      <w:r w:rsidRPr="0072279A">
        <w:rPr>
          <w:sz w:val="20"/>
          <w:lang w:val="fr-CA"/>
        </w:rPr>
        <w:tab/>
        <w:t xml:space="preserve">Il ne fait pas de doute que le comportement postérieur à l’infraction entre dans la catégorie des éléments de preuve circonstancielle et que la question de savoir si une directive restrictive s’impose dépendra largement des faits.  Il ne suffit pas de simplement déterminer si la preuve selon laquelle, en l’espèce, l’appelant a fui « sans hésiter, ni se montrer bouleversé ou indécis » peut être considérée comme pertinente quant à la question de l’intention de commettre un meurtre simplement selon la logique et l’expérience humaine.  La pertinence d’une preuve dépend plutôt de sa valeur probante relativement à une question en litige.  Si la preuve relative à l’attitude postérieure à l’infraction n’est pas probante, elle ne sera pas pertinente.  Et la valeur probante de la preuve relative à l’attitude doit être évaluée au regard de l’expérience pratique acquise par les tribunaux au fil des ans en ce qui concerne le risque que certains types de comportement postérieur à l’infraction induisent le jury en erreur.  Si le simple fait que l’accusé a fui les lieux du crime peut être un fait objectif, il en va autrement des éléments qu’un observateur interprète comme le défaut d’hésiter momentanément, ou de se montrer « bouleversé » ou « indécis ».  Ce genre de preuve repose sur des suppositions non exprimées voulant qu’il soit normal d’hésiter, mais anormal de réagir instantanément et que  le comportement de l’appelant déroge à une norme de procrastination présumée, mais non énoncée. De plus, on dit que cette présumée dérogation à la norme présumée justifie — potentiellement — une autre inférence selon laquelle l’accusé avait l’intention de commettre un meurtre.  Cette double inférence pose problème et s’appuie sur le type d’appréciation subjective après les faits dont l’expérience a démontré la </w:t>
      </w:r>
      <w:proofErr w:type="spellStart"/>
      <w:r w:rsidRPr="0072279A">
        <w:rPr>
          <w:sz w:val="20"/>
          <w:lang w:val="fr-CA"/>
        </w:rPr>
        <w:t>non</w:t>
      </w:r>
      <w:r w:rsidRPr="0072279A">
        <w:rPr>
          <w:sz w:val="20"/>
          <w:lang w:val="fr-CA"/>
        </w:rPr>
        <w:noBreakHyphen/>
        <w:t>fiabilité</w:t>
      </w:r>
      <w:proofErr w:type="spellEnd"/>
      <w:r w:rsidRPr="0072279A">
        <w:rPr>
          <w:sz w:val="20"/>
          <w:lang w:val="fr-CA"/>
        </w:rPr>
        <w:t>.</w:t>
      </w:r>
    </w:p>
    <w:p w:rsidR="0072279A" w:rsidRPr="0072279A" w:rsidRDefault="0072279A" w:rsidP="0072279A">
      <w:pPr>
        <w:pStyle w:val="SCCNormalDoubleSpacing"/>
        <w:tabs>
          <w:tab w:val="left" w:pos="720"/>
        </w:tabs>
        <w:spacing w:line="240" w:lineRule="auto"/>
        <w:rPr>
          <w:sz w:val="20"/>
          <w:lang w:val="fr-CA"/>
        </w:rPr>
      </w:pPr>
    </w:p>
    <w:p w:rsidR="0072279A" w:rsidRPr="0072279A" w:rsidRDefault="0072279A" w:rsidP="0072279A">
      <w:pPr>
        <w:pStyle w:val="SCCNormalDoubleSpacing"/>
        <w:tabs>
          <w:tab w:val="left" w:pos="720"/>
        </w:tabs>
        <w:spacing w:line="240" w:lineRule="auto"/>
        <w:rPr>
          <w:sz w:val="20"/>
          <w:lang w:val="fr-CA"/>
        </w:rPr>
      </w:pPr>
      <w:r w:rsidRPr="0072279A">
        <w:rPr>
          <w:sz w:val="20"/>
          <w:lang w:val="fr-CA"/>
        </w:rPr>
        <w:tab/>
        <w:t xml:space="preserve">En l’espèce, le ministère public a expressément exhorté les jurés à inférer l’intention de commettre un meurtre du fait que l’accusé avait quitté les lieux « sans hésiter, ni se montrer bouleversé ou indécis, [avait] juste fui </w:t>
      </w:r>
      <w:proofErr w:type="spellStart"/>
      <w:r w:rsidRPr="0072279A">
        <w:rPr>
          <w:sz w:val="20"/>
          <w:lang w:val="fr-CA"/>
        </w:rPr>
        <w:t>sur</w:t>
      </w:r>
      <w:r w:rsidRPr="0072279A">
        <w:rPr>
          <w:sz w:val="20"/>
          <w:lang w:val="fr-CA"/>
        </w:rPr>
        <w:noBreakHyphen/>
        <w:t>le</w:t>
      </w:r>
      <w:r w:rsidRPr="0072279A">
        <w:rPr>
          <w:sz w:val="20"/>
          <w:lang w:val="fr-CA"/>
        </w:rPr>
        <w:noBreakHyphen/>
        <w:t>champ</w:t>
      </w:r>
      <w:proofErr w:type="spellEnd"/>
      <w:r w:rsidRPr="0072279A">
        <w:rPr>
          <w:sz w:val="20"/>
          <w:lang w:val="fr-CA"/>
        </w:rPr>
        <w:t xml:space="preserve"> ».  Le ministère public n’a pas mis l’accent sur la fuite (un fait objectif), mais sur la prétendue attitude de l’accusé qui était une question de perception et d’opinion de la part d’un inconnu, nécessairement déterminée par les attentes subjectives et le cadre de référence culturel de cet inconnu quant à l’attitude à laquelle il s’attendrait.  Il semble tout aussi plausible de conclure qu’une personne en possession d’un pistolet illégal avec lequel un inconnu vient d’être abattu — accidentellement ou non — se sauverait aussi vite et aussi loin que possible, sans hésiter le moindrement.  Il ne fallait pas, en l’espèce, laisser cette preuve de l’attitude de l’accusé à l’appréciation du jury relativement à la question cruciale, et pour ainsi dire l’unique question en litige — soit celle de l’intention de commettre un meurtre ou de la survenue d’un accident.  Le jury ne doit pas être invité à tirer des inférences non équivoques d’un comportement équivoque sur le fondement de suppositions sur les raisons de réactions physiques interprétées ou mal interprétées subjectivement.  En outre, puisque l’absence d’hésitation et la fuite instantanée de l’accusé peuvent s’expliquer par la conscience de culpabilité tant à l’égard d’une infraction qu’à l’égard d’une ou plusieurs autres, ce comportement n’a aucune valeur probante quant à l’intention.  Le ministère public a demandé au jury de tirer des inférences hypothétiques ou déraisonnables sur la question de l’intention spécifique et le jury aurait dû recevoir des directives précisant que la preuve de la fuite </w:t>
      </w:r>
      <w:r w:rsidRPr="0072279A">
        <w:rPr>
          <w:iCs/>
          <w:sz w:val="20"/>
          <w:lang w:val="fr-CA"/>
        </w:rPr>
        <w:t>et</w:t>
      </w:r>
      <w:r w:rsidRPr="0072279A">
        <w:rPr>
          <w:sz w:val="20"/>
          <w:lang w:val="fr-CA"/>
        </w:rPr>
        <w:t xml:space="preserve"> de l’attitude de l’accusé avant sa fuite n’a aucune valeur probante quant à l’existence de l’intention de commettre un meurtre.  De plus, le défaut de l’avocat de l’accusé de soulever une objection à cet aspect de l’exposé au jury lors du procès ne devrait pas le priver d’une réparation.  </w:t>
      </w:r>
    </w:p>
    <w:p w:rsidR="0072279A" w:rsidRPr="0072279A" w:rsidRDefault="0072279A" w:rsidP="0072279A">
      <w:pPr>
        <w:pStyle w:val="SCCNormalDoubleSpacing"/>
        <w:tabs>
          <w:tab w:val="left" w:pos="720"/>
        </w:tabs>
        <w:spacing w:line="240" w:lineRule="auto"/>
        <w:rPr>
          <w:sz w:val="20"/>
          <w:lang w:val="fr-CA"/>
        </w:rPr>
      </w:pPr>
    </w:p>
    <w:p w:rsidR="0072279A" w:rsidRPr="0072279A" w:rsidRDefault="0072279A" w:rsidP="0072279A">
      <w:pPr>
        <w:pStyle w:val="SCCNormalDoubleSpacing"/>
        <w:tabs>
          <w:tab w:val="left" w:pos="720"/>
        </w:tabs>
        <w:spacing w:line="240" w:lineRule="auto"/>
        <w:rPr>
          <w:sz w:val="20"/>
          <w:lang w:val="fr-CA"/>
        </w:rPr>
      </w:pPr>
      <w:r w:rsidRPr="0072279A">
        <w:rPr>
          <w:sz w:val="20"/>
          <w:lang w:val="fr-CA"/>
        </w:rPr>
        <w:tab/>
        <w:t xml:space="preserve">Enfin, la preuve de meurtre au deuxième degré présentée contre l’accusé n’était pas accablante.  Le jury disposait de peu d’éléments lui permettant de choisir entre un combat corps à corps laissant croire à un homicide involontaire et un coup de feu tiré sur un homme qui était déjà au sol pouvant laisser croire à un meurtre au deuxième degré.  Dans ces circonstances incertaines, le comportement de l’accusé après l’infraction en ce qui concerne son temps de réaction et son attitude a pris énormément d’importance, ce qui explique sans doute pourquoi le ministère public a insisté sur cette preuve dans sa plaidoirie finale.  L’erreur n’était donc pas inoffensive et la disposition réparatrice du </w:t>
      </w:r>
      <w:proofErr w:type="spellStart"/>
      <w:r w:rsidRPr="0072279A">
        <w:rPr>
          <w:sz w:val="20"/>
          <w:lang w:val="fr-CA"/>
        </w:rPr>
        <w:t>sous</w:t>
      </w:r>
      <w:r w:rsidRPr="0072279A">
        <w:rPr>
          <w:sz w:val="20"/>
          <w:lang w:val="fr-CA"/>
        </w:rPr>
        <w:noBreakHyphen/>
        <w:t>al</w:t>
      </w:r>
      <w:proofErr w:type="spellEnd"/>
      <w:r w:rsidRPr="0072279A">
        <w:rPr>
          <w:sz w:val="20"/>
          <w:lang w:val="fr-CA"/>
        </w:rPr>
        <w:t>.  686(1</w:t>
      </w:r>
      <w:proofErr w:type="gramStart"/>
      <w:r w:rsidRPr="0072279A">
        <w:rPr>
          <w:sz w:val="20"/>
          <w:lang w:val="fr-CA"/>
        </w:rPr>
        <w:t>)(</w:t>
      </w:r>
      <w:proofErr w:type="gramEnd"/>
      <w:r w:rsidRPr="0072279A">
        <w:rPr>
          <w:i/>
          <w:sz w:val="20"/>
          <w:lang w:val="fr-CA"/>
        </w:rPr>
        <w:t>b</w:t>
      </w:r>
      <w:r w:rsidRPr="0072279A">
        <w:rPr>
          <w:sz w:val="20"/>
          <w:lang w:val="fr-CA"/>
        </w:rPr>
        <w:t xml:space="preserve">)(iii) ne devrait pas trouver application.  </w:t>
      </w:r>
    </w:p>
    <w:p w:rsidR="0072279A" w:rsidRPr="0072279A" w:rsidRDefault="0072279A" w:rsidP="0072279A">
      <w:pPr>
        <w:pStyle w:val="SCCNormalDoubleSpacing"/>
        <w:tabs>
          <w:tab w:val="left" w:pos="720"/>
        </w:tabs>
        <w:spacing w:line="240" w:lineRule="auto"/>
        <w:rPr>
          <w:sz w:val="20"/>
          <w:lang w:val="fr-CA"/>
        </w:rPr>
      </w:pPr>
    </w:p>
    <w:p w:rsidR="0072279A" w:rsidRPr="0072279A" w:rsidRDefault="0072279A" w:rsidP="0072279A">
      <w:pPr>
        <w:pStyle w:val="SCCNormalDoubleSpacing"/>
        <w:tabs>
          <w:tab w:val="left" w:pos="720"/>
        </w:tabs>
        <w:spacing w:line="240" w:lineRule="auto"/>
        <w:rPr>
          <w:sz w:val="20"/>
          <w:lang w:val="fr-CA"/>
        </w:rPr>
      </w:pPr>
      <w:r w:rsidRPr="0072279A">
        <w:rPr>
          <w:sz w:val="20"/>
          <w:lang w:val="fr-CA"/>
        </w:rPr>
        <w:tab/>
        <w:t xml:space="preserve">POURVOI contre un arrêt de la Cour d’appel de la </w:t>
      </w:r>
      <w:proofErr w:type="spellStart"/>
      <w:r w:rsidRPr="0072279A">
        <w:rPr>
          <w:sz w:val="20"/>
          <w:lang w:val="fr-CA"/>
        </w:rPr>
        <w:t>Colombie</w:t>
      </w:r>
      <w:r w:rsidRPr="0072279A">
        <w:rPr>
          <w:sz w:val="20"/>
          <w:lang w:val="fr-CA"/>
        </w:rPr>
        <w:noBreakHyphen/>
        <w:t>Britannique</w:t>
      </w:r>
      <w:proofErr w:type="spellEnd"/>
      <w:r w:rsidRPr="0072279A">
        <w:rPr>
          <w:sz w:val="20"/>
          <w:lang w:val="fr-CA"/>
        </w:rPr>
        <w:t xml:space="preserve"> (les juges </w:t>
      </w:r>
      <w:proofErr w:type="spellStart"/>
      <w:r w:rsidRPr="0072279A">
        <w:rPr>
          <w:sz w:val="20"/>
          <w:lang w:val="fr-CA"/>
        </w:rPr>
        <w:t>Finch</w:t>
      </w:r>
      <w:proofErr w:type="spellEnd"/>
      <w:r w:rsidRPr="0072279A">
        <w:rPr>
          <w:sz w:val="20"/>
          <w:lang w:val="fr-CA"/>
        </w:rPr>
        <w:t xml:space="preserve">, Ryan et Chiasson), 2009 BCCA 513, 278 B.C.A.C. 177, 248 C.C.C. (3d) 499, 71 C.R. (6th) 266, 471 W.A.C. 177, [2009] B.C.J. No. 2276 </w:t>
      </w:r>
      <w:r w:rsidRPr="0072279A">
        <w:rPr>
          <w:sz w:val="20"/>
          <w:lang w:val="fr-CA"/>
        </w:rPr>
        <w:lastRenderedPageBreak/>
        <w:t xml:space="preserve">(QL), 2009 </w:t>
      </w:r>
      <w:proofErr w:type="spellStart"/>
      <w:r w:rsidRPr="0072279A">
        <w:rPr>
          <w:sz w:val="20"/>
          <w:lang w:val="fr-CA"/>
        </w:rPr>
        <w:t>CarswellBC</w:t>
      </w:r>
      <w:proofErr w:type="spellEnd"/>
      <w:r w:rsidRPr="0072279A">
        <w:rPr>
          <w:sz w:val="20"/>
          <w:lang w:val="fr-CA"/>
        </w:rPr>
        <w:t xml:space="preserve"> 3083, qui a confirmé la déclaration de culpabilité de l’accusé pour meurtre au deuxième degré.  Pourvoi rejeté, la juge en chef </w:t>
      </w:r>
      <w:proofErr w:type="spellStart"/>
      <w:r w:rsidRPr="0072279A">
        <w:rPr>
          <w:sz w:val="20"/>
          <w:lang w:val="fr-CA"/>
        </w:rPr>
        <w:t>McLachlin</w:t>
      </w:r>
      <w:proofErr w:type="spellEnd"/>
      <w:r w:rsidRPr="0072279A">
        <w:rPr>
          <w:sz w:val="20"/>
          <w:lang w:val="fr-CA"/>
        </w:rPr>
        <w:t xml:space="preserve"> et les juges </w:t>
      </w:r>
      <w:proofErr w:type="spellStart"/>
      <w:r w:rsidRPr="0072279A">
        <w:rPr>
          <w:sz w:val="20"/>
          <w:lang w:val="fr-CA"/>
        </w:rPr>
        <w:t>Binnie</w:t>
      </w:r>
      <w:proofErr w:type="spellEnd"/>
      <w:r w:rsidRPr="0072279A">
        <w:rPr>
          <w:sz w:val="20"/>
          <w:lang w:val="fr-CA"/>
        </w:rPr>
        <w:t xml:space="preserve"> et Fish sont dissidents.</w:t>
      </w:r>
    </w:p>
    <w:p w:rsidR="0072279A" w:rsidRPr="0072279A" w:rsidRDefault="0072279A" w:rsidP="0072279A">
      <w:pPr>
        <w:pStyle w:val="SCCNormalDoubleSpacing"/>
        <w:tabs>
          <w:tab w:val="left" w:pos="720"/>
        </w:tabs>
        <w:spacing w:line="240" w:lineRule="auto"/>
        <w:rPr>
          <w:sz w:val="20"/>
          <w:lang w:val="fr-CA"/>
        </w:rPr>
      </w:pPr>
    </w:p>
    <w:p w:rsidR="0072279A" w:rsidRPr="0072279A" w:rsidRDefault="0072279A" w:rsidP="0072279A">
      <w:pPr>
        <w:pStyle w:val="SCCNormalDoubleSpacing"/>
        <w:tabs>
          <w:tab w:val="left" w:pos="720"/>
        </w:tabs>
        <w:spacing w:line="240" w:lineRule="auto"/>
        <w:rPr>
          <w:rStyle w:val="SCCCounselPartyRoleChar"/>
          <w:sz w:val="20"/>
          <w:lang w:val="fr-CA"/>
        </w:rPr>
      </w:pPr>
      <w:r w:rsidRPr="0072279A">
        <w:rPr>
          <w:rStyle w:val="SCCCounselNameChar"/>
          <w:sz w:val="20"/>
          <w:lang w:val="fr-CA"/>
        </w:rPr>
        <w:tab/>
        <w:t>Kathleen M. Bradley</w:t>
      </w:r>
      <w:r w:rsidRPr="005352D1">
        <w:rPr>
          <w:rStyle w:val="SCCCounselSeparatorChar"/>
          <w:sz w:val="20"/>
        </w:rPr>
        <w:t xml:space="preserve"> et </w:t>
      </w:r>
      <w:r w:rsidRPr="0072279A">
        <w:rPr>
          <w:rStyle w:val="SCCCounselNameChar"/>
          <w:sz w:val="20"/>
          <w:lang w:val="fr-CA"/>
        </w:rPr>
        <w:t>Nikos Harris</w:t>
      </w:r>
      <w:r w:rsidRPr="0072279A">
        <w:rPr>
          <w:rStyle w:val="SCCCounselPartyRoleChar"/>
          <w:sz w:val="20"/>
          <w:lang w:val="fr-CA"/>
        </w:rPr>
        <w:t>, pour l’appelant.</w:t>
      </w:r>
    </w:p>
    <w:p w:rsidR="0072279A" w:rsidRPr="0072279A" w:rsidRDefault="0072279A" w:rsidP="0072279A">
      <w:pPr>
        <w:pStyle w:val="SCCNormalDoubleSpacing"/>
        <w:tabs>
          <w:tab w:val="left" w:pos="720"/>
        </w:tabs>
        <w:spacing w:line="240" w:lineRule="auto"/>
        <w:rPr>
          <w:sz w:val="20"/>
          <w:lang w:val="fr-CA"/>
        </w:rPr>
      </w:pPr>
    </w:p>
    <w:p w:rsidR="0072279A" w:rsidRPr="0072279A" w:rsidRDefault="0072279A" w:rsidP="0072279A">
      <w:pPr>
        <w:pStyle w:val="SCCNormalDoubleSpacing"/>
        <w:tabs>
          <w:tab w:val="left" w:pos="720"/>
        </w:tabs>
        <w:spacing w:line="240" w:lineRule="auto"/>
        <w:rPr>
          <w:rStyle w:val="SCCCounselPartyRoleChar"/>
          <w:sz w:val="20"/>
          <w:lang w:val="fr-CA"/>
        </w:rPr>
      </w:pPr>
      <w:r w:rsidRPr="0072279A">
        <w:rPr>
          <w:rStyle w:val="SCCCounselNameChar"/>
          <w:sz w:val="20"/>
          <w:lang w:val="fr-CA"/>
        </w:rPr>
        <w:tab/>
        <w:t>Wendy Rubin, c.r.</w:t>
      </w:r>
      <w:r w:rsidRPr="0072279A">
        <w:rPr>
          <w:rStyle w:val="SCCCounselPartyRoleChar"/>
          <w:sz w:val="20"/>
          <w:lang w:val="fr-CA"/>
        </w:rPr>
        <w:t>, pour l’intimée.</w:t>
      </w:r>
    </w:p>
    <w:p w:rsidR="0072279A" w:rsidRPr="0072279A" w:rsidRDefault="0072279A" w:rsidP="0072279A">
      <w:pPr>
        <w:pStyle w:val="SCCNormalDoubleSpacing"/>
        <w:tabs>
          <w:tab w:val="left" w:pos="720"/>
        </w:tabs>
        <w:spacing w:line="240" w:lineRule="auto"/>
        <w:rPr>
          <w:sz w:val="20"/>
          <w:lang w:val="fr-CA"/>
        </w:rPr>
      </w:pPr>
    </w:p>
    <w:p w:rsidR="0072279A" w:rsidRPr="0072279A" w:rsidRDefault="0072279A" w:rsidP="0072279A">
      <w:pPr>
        <w:pStyle w:val="SCCLawFirm"/>
        <w:tabs>
          <w:tab w:val="left" w:pos="720"/>
        </w:tabs>
        <w:spacing w:line="240" w:lineRule="auto"/>
        <w:rPr>
          <w:sz w:val="20"/>
          <w:lang w:val="fr-CA"/>
        </w:rPr>
      </w:pPr>
      <w:r w:rsidRPr="0072279A">
        <w:rPr>
          <w:sz w:val="20"/>
          <w:lang w:val="fr-CA"/>
        </w:rPr>
        <w:tab/>
        <w:t xml:space="preserve">Procureurs de l’appelant : Peck and </w:t>
      </w:r>
      <w:proofErr w:type="spellStart"/>
      <w:r w:rsidRPr="0072279A">
        <w:rPr>
          <w:sz w:val="20"/>
          <w:lang w:val="fr-CA"/>
        </w:rPr>
        <w:t>Company</w:t>
      </w:r>
      <w:proofErr w:type="spellEnd"/>
      <w:r w:rsidRPr="0072279A">
        <w:rPr>
          <w:sz w:val="20"/>
          <w:lang w:val="fr-CA"/>
        </w:rPr>
        <w:t>, Vancouver.</w:t>
      </w:r>
    </w:p>
    <w:p w:rsidR="0072279A" w:rsidRPr="0072279A" w:rsidRDefault="0072279A" w:rsidP="0072279A">
      <w:pPr>
        <w:pStyle w:val="SCCNormalDoubleSpacing"/>
        <w:tabs>
          <w:tab w:val="left" w:pos="720"/>
        </w:tabs>
        <w:spacing w:line="240" w:lineRule="auto"/>
        <w:rPr>
          <w:lang w:val="fr-CA"/>
        </w:rPr>
      </w:pPr>
    </w:p>
    <w:p w:rsidR="003B3977" w:rsidRPr="0072279A" w:rsidRDefault="0072279A" w:rsidP="0072279A">
      <w:pPr>
        <w:jc w:val="both"/>
        <w:rPr>
          <w:i/>
          <w:lang w:val="fr-CA"/>
        </w:rPr>
      </w:pPr>
      <w:r w:rsidRPr="0072279A">
        <w:rPr>
          <w:rFonts w:cs="Times New Roman"/>
          <w:sz w:val="20"/>
          <w:szCs w:val="20"/>
          <w:lang w:val="fr-CA"/>
        </w:rPr>
        <w:tab/>
      </w:r>
      <w:r w:rsidRPr="0072279A">
        <w:rPr>
          <w:rFonts w:cs="Times New Roman"/>
          <w:i/>
          <w:sz w:val="20"/>
          <w:szCs w:val="20"/>
          <w:lang w:val="fr-CA"/>
        </w:rPr>
        <w:t xml:space="preserve">Procureur de l’intimée : Procureur général de la </w:t>
      </w:r>
      <w:proofErr w:type="spellStart"/>
      <w:r w:rsidRPr="0072279A">
        <w:rPr>
          <w:rFonts w:cs="Times New Roman"/>
          <w:i/>
          <w:sz w:val="20"/>
          <w:szCs w:val="20"/>
          <w:lang w:val="fr-CA"/>
        </w:rPr>
        <w:t>Colombie</w:t>
      </w:r>
      <w:r w:rsidRPr="0072279A">
        <w:rPr>
          <w:rFonts w:cs="Times New Roman"/>
          <w:i/>
          <w:sz w:val="20"/>
          <w:szCs w:val="20"/>
          <w:lang w:val="fr-CA"/>
        </w:rPr>
        <w:noBreakHyphen/>
        <w:t>Britannique</w:t>
      </w:r>
      <w:proofErr w:type="spellEnd"/>
      <w:r w:rsidRPr="0072279A">
        <w:rPr>
          <w:rFonts w:cs="Times New Roman"/>
          <w:i/>
          <w:sz w:val="20"/>
          <w:szCs w:val="20"/>
          <w:lang w:val="fr-CA"/>
        </w:rPr>
        <w:t>, Vancouver.</w:t>
      </w:r>
    </w:p>
    <w:p w:rsidR="003B3977" w:rsidRPr="0072279A" w:rsidRDefault="003B3977" w:rsidP="005C6840">
      <w:pPr>
        <w:rPr>
          <w:rFonts w:cs="Times New Roman"/>
          <w:i/>
          <w:sz w:val="20"/>
          <w:szCs w:val="20"/>
          <w:lang w:val="fr-CA"/>
        </w:rPr>
      </w:pPr>
    </w:p>
    <w:p w:rsidR="003B3977" w:rsidRDefault="0004334C" w:rsidP="0093211D">
      <w:pPr>
        <w:rPr>
          <w:sz w:val="20"/>
          <w:szCs w:val="20"/>
        </w:rPr>
      </w:pPr>
      <w:r w:rsidRPr="0004334C">
        <w:rPr>
          <w:rFonts w:cs="Times New Roman"/>
          <w:sz w:val="20"/>
          <w:szCs w:val="20"/>
          <w:lang w:val="fr-CA"/>
        </w:rPr>
        <w:pict>
          <v:rect id="_x0000_i1081" style="width:144.3pt;height:1pt" o:hrpct="300" o:hralign="center" o:hrstd="t" o:hrnoshade="t" o:hr="t" fillcolor="black [3213]" stroked="f"/>
        </w:pict>
      </w:r>
    </w:p>
    <w:p w:rsidR="003B3977" w:rsidRPr="003F4721" w:rsidRDefault="003B3977" w:rsidP="003B3977">
      <w:pPr>
        <w:rPr>
          <w:sz w:val="20"/>
          <w:szCs w:val="20"/>
        </w:rPr>
      </w:pPr>
    </w:p>
    <w:p w:rsidR="005C6840" w:rsidRPr="00C50A5C" w:rsidRDefault="005C6840" w:rsidP="005C6840">
      <w:pPr>
        <w:jc w:val="both"/>
        <w:rPr>
          <w:sz w:val="20"/>
          <w:szCs w:val="20"/>
        </w:rPr>
      </w:pPr>
    </w:p>
    <w:p w:rsidR="00102926" w:rsidRPr="00C50A5C" w:rsidRDefault="00102926" w:rsidP="00782AE4">
      <w:pPr>
        <w:jc w:val="both"/>
        <w:rPr>
          <w:sz w:val="20"/>
          <w:szCs w:val="20"/>
        </w:rPr>
        <w:sectPr w:rsidR="00102926" w:rsidRPr="00C50A5C" w:rsidSect="00782AE4">
          <w:headerReference w:type="even" r:id="rId41"/>
          <w:headerReference w:type="default" r:id="rId42"/>
          <w:footerReference w:type="even" r:id="rId43"/>
          <w:footerReference w:type="default" r:id="rId44"/>
          <w:headerReference w:type="first" r:id="rId45"/>
          <w:footerReference w:type="first" r:id="rId46"/>
          <w:pgSz w:w="12240" w:h="15840"/>
          <w:pgMar w:top="720" w:right="965" w:bottom="1080" w:left="1656" w:header="576" w:footer="960" w:gutter="0"/>
          <w:cols w:space="720"/>
          <w:titlePg/>
          <w:docGrid w:linePitch="272"/>
        </w:sectPr>
      </w:pPr>
    </w:p>
    <w:p w:rsidR="00924065" w:rsidRPr="00DE5525" w:rsidRDefault="0004334C" w:rsidP="00924065">
      <w:pPr>
        <w:jc w:val="center"/>
        <w:rPr>
          <w:b/>
          <w:szCs w:val="24"/>
        </w:rPr>
      </w:pPr>
      <w:r w:rsidRPr="00DE5525">
        <w:rPr>
          <w:b/>
          <w:szCs w:val="24"/>
        </w:rPr>
        <w:lastRenderedPageBreak/>
        <w:fldChar w:fldCharType="begin"/>
      </w:r>
      <w:r w:rsidR="00924065" w:rsidRPr="00DE5525">
        <w:rPr>
          <w:b/>
          <w:szCs w:val="24"/>
        </w:rPr>
        <w:instrText xml:space="preserve"> SEQ CHAPTER \h \r 1</w:instrText>
      </w:r>
      <w:r w:rsidRPr="00DE5525">
        <w:rPr>
          <w:b/>
          <w:szCs w:val="24"/>
        </w:rPr>
        <w:fldChar w:fldCharType="end"/>
      </w:r>
      <w:r w:rsidR="00924065" w:rsidRPr="00DE5525">
        <w:rPr>
          <w:b/>
          <w:szCs w:val="24"/>
        </w:rPr>
        <w:t>SUPREME COURT OF CANADA SCHEDULE / CALENDRIER DE LA COUR SUPREME</w:t>
      </w:r>
    </w:p>
    <w:p w:rsidR="00924065" w:rsidRPr="00DE5525" w:rsidRDefault="00924065" w:rsidP="00924065">
      <w:pPr>
        <w:widowControl w:val="0"/>
        <w:spacing w:line="180" w:lineRule="auto"/>
        <w:rPr>
          <w:szCs w:val="24"/>
        </w:rPr>
      </w:pPr>
    </w:p>
    <w:p w:rsidR="00924065" w:rsidRPr="00267AE0" w:rsidRDefault="00924065" w:rsidP="00924065">
      <w:pPr>
        <w:widowControl w:val="0"/>
        <w:tabs>
          <w:tab w:val="center" w:pos="5400"/>
          <w:tab w:val="right" w:pos="10440"/>
        </w:tabs>
        <w:rPr>
          <w:rFonts w:ascii="Arial" w:hAnsi="Arial" w:cs="Arial"/>
          <w:sz w:val="18"/>
        </w:rPr>
      </w:pPr>
      <w:r w:rsidRPr="00DE5525">
        <w:rPr>
          <w:sz w:val="18"/>
        </w:rPr>
        <w:tab/>
      </w:r>
      <w:r w:rsidRPr="00267AE0">
        <w:rPr>
          <w:rFonts w:ascii="Arial" w:hAnsi="Arial" w:cs="Arial"/>
          <w:i/>
          <w:sz w:val="36"/>
        </w:rPr>
        <w:t xml:space="preserve">- </w:t>
      </w:r>
      <w:r w:rsidRPr="00267AE0">
        <w:rPr>
          <w:rFonts w:ascii="Arial" w:hAnsi="Arial" w:cs="Arial"/>
          <w:b/>
          <w:i/>
          <w:sz w:val="36"/>
        </w:rPr>
        <w:t>2010</w:t>
      </w:r>
      <w:r w:rsidRPr="00267AE0">
        <w:rPr>
          <w:rFonts w:ascii="Arial" w:hAnsi="Arial" w:cs="Arial"/>
          <w:i/>
          <w:sz w:val="36"/>
        </w:rPr>
        <w:t xml:space="preserve"> -</w:t>
      </w:r>
      <w:r w:rsidRPr="00267AE0">
        <w:rPr>
          <w:rFonts w:ascii="Arial" w:hAnsi="Arial" w:cs="Arial"/>
          <w:sz w:val="18"/>
        </w:rPr>
        <w:tab/>
      </w: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69"/>
        <w:gridCol w:w="469"/>
        <w:gridCol w:w="469"/>
        <w:gridCol w:w="469"/>
        <w:gridCol w:w="463"/>
        <w:gridCol w:w="475"/>
        <w:gridCol w:w="469"/>
        <w:gridCol w:w="469"/>
        <w:gridCol w:w="469"/>
        <w:gridCol w:w="457"/>
        <w:gridCol w:w="506"/>
        <w:gridCol w:w="450"/>
        <w:gridCol w:w="484"/>
        <w:gridCol w:w="449"/>
        <w:gridCol w:w="469"/>
        <w:gridCol w:w="469"/>
        <w:gridCol w:w="536"/>
        <w:gridCol w:w="450"/>
        <w:gridCol w:w="540"/>
        <w:gridCol w:w="450"/>
        <w:gridCol w:w="450"/>
        <w:gridCol w:w="396"/>
        <w:gridCol w:w="470"/>
      </w:tblGrid>
      <w:tr w:rsidR="00924065" w:rsidRPr="00267AE0" w:rsidTr="003B3977">
        <w:trPr>
          <w:cantSplit/>
          <w:jc w:val="center"/>
        </w:trPr>
        <w:tc>
          <w:tcPr>
            <w:tcW w:w="3283"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OCTOBER - OCTOBRE</w:t>
            </w:r>
          </w:p>
        </w:tc>
        <w:tc>
          <w:tcPr>
            <w:tcW w:w="469" w:type="dxa"/>
            <w:tcBorders>
              <w:top w:val="nil"/>
              <w:left w:val="double" w:sz="8" w:space="0" w:color="000000"/>
              <w:bottom w:val="nil"/>
              <w:right w:val="double" w:sz="8" w:space="0" w:color="000000"/>
            </w:tcBorders>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p>
        </w:tc>
        <w:tc>
          <w:tcPr>
            <w:tcW w:w="3284"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NOVEMBER - NOVEMBRE</w:t>
            </w:r>
          </w:p>
        </w:tc>
        <w:tc>
          <w:tcPr>
            <w:tcW w:w="469" w:type="dxa"/>
            <w:tcBorders>
              <w:top w:val="nil"/>
              <w:left w:val="double" w:sz="8" w:space="0" w:color="000000"/>
              <w:bottom w:val="nil"/>
              <w:right w:val="double" w:sz="8" w:space="0" w:color="000000"/>
            </w:tcBorders>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p>
        </w:tc>
        <w:tc>
          <w:tcPr>
            <w:tcW w:w="3292"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DECEMBER - DÉCEMBRE</w:t>
            </w:r>
          </w:p>
        </w:tc>
      </w:tr>
      <w:tr w:rsidR="00924065" w:rsidRPr="00267AE0" w:rsidTr="003B3977">
        <w:trPr>
          <w:cantSplit/>
          <w:trHeight w:val="288"/>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D</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W</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J</w:t>
            </w: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F</w:t>
            </w:r>
          </w:p>
          <w:p w:rsidR="00924065" w:rsidRPr="00267AE0" w:rsidRDefault="00924065" w:rsidP="003B3977">
            <w:pPr>
              <w:widowControl w:val="0"/>
              <w:jc w:val="center"/>
              <w:rPr>
                <w:rFonts w:ascii="Arial" w:hAnsi="Arial" w:cs="Arial"/>
                <w:sz w:val="14"/>
              </w:rPr>
            </w:pPr>
            <w:r w:rsidRPr="00267AE0">
              <w:rPr>
                <w:rFonts w:ascii="Arial" w:hAnsi="Arial" w:cs="Arial"/>
                <w:sz w:val="14"/>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D</w:t>
            </w:r>
          </w:p>
        </w:tc>
        <w:tc>
          <w:tcPr>
            <w:tcW w:w="457"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L</w:t>
            </w:r>
          </w:p>
        </w:tc>
        <w:tc>
          <w:tcPr>
            <w:tcW w:w="50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W</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J</w:t>
            </w:r>
          </w:p>
        </w:tc>
        <w:tc>
          <w:tcPr>
            <w:tcW w:w="44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F</w:t>
            </w:r>
          </w:p>
          <w:p w:rsidR="00924065" w:rsidRPr="00267AE0" w:rsidRDefault="00924065" w:rsidP="003B3977">
            <w:pPr>
              <w:widowControl w:val="0"/>
              <w:jc w:val="center"/>
              <w:rPr>
                <w:rFonts w:ascii="Arial" w:hAnsi="Arial" w:cs="Arial"/>
                <w:sz w:val="14"/>
              </w:rPr>
            </w:pPr>
            <w:r w:rsidRPr="00267AE0">
              <w:rPr>
                <w:rFonts w:ascii="Arial" w:hAnsi="Arial" w:cs="Arial"/>
                <w:sz w:val="14"/>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D</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L</w:t>
            </w:r>
          </w:p>
        </w:tc>
        <w:tc>
          <w:tcPr>
            <w:tcW w:w="5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W</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J</w:t>
            </w: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F</w:t>
            </w:r>
          </w:p>
          <w:p w:rsidR="00924065" w:rsidRPr="00267AE0" w:rsidRDefault="00924065" w:rsidP="003B3977">
            <w:pPr>
              <w:widowControl w:val="0"/>
              <w:jc w:val="center"/>
              <w:rPr>
                <w:rFonts w:ascii="Arial" w:hAnsi="Arial" w:cs="Arial"/>
                <w:sz w:val="14"/>
              </w:rPr>
            </w:pPr>
            <w:r w:rsidRPr="00267AE0">
              <w:rPr>
                <w:rFonts w:ascii="Arial" w:hAnsi="Arial" w:cs="Arial"/>
                <w:sz w:val="14"/>
              </w:rPr>
              <w:t>V</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S</w:t>
            </w:r>
          </w:p>
        </w:tc>
      </w:tr>
      <w:tr w:rsidR="00924065" w:rsidRPr="00267AE0" w:rsidTr="003B3977">
        <w:trPr>
          <w:cantSplit/>
          <w:trHeight w:val="288"/>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20"/>
              </w:rPr>
            </w:pPr>
          </w:p>
          <w:p w:rsidR="00924065" w:rsidRPr="00267AE0" w:rsidRDefault="00924065" w:rsidP="003B3977">
            <w:pPr>
              <w:widowControl w:val="0"/>
              <w:jc w:val="center"/>
              <w:rPr>
                <w:rFonts w:ascii="Arial" w:hAnsi="Arial" w:cs="Arial"/>
                <w:sz w:val="14"/>
              </w:rPr>
            </w:pP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57" w:type="dxa"/>
            <w:tcBorders>
              <w:top w:val="double" w:sz="8" w:space="0" w:color="000000"/>
              <w:left w:val="double" w:sz="8" w:space="0" w:color="000000"/>
              <w:bottom w:val="double" w:sz="8" w:space="0" w:color="000000"/>
              <w:right w:val="double" w:sz="8" w:space="0" w:color="000000"/>
            </w:tcBorders>
            <w:shd w:val="pct30" w:color="000000" w:fill="auto"/>
          </w:tcPr>
          <w:p w:rsidR="00924065" w:rsidRPr="00267AE0" w:rsidRDefault="00924065" w:rsidP="003B3977">
            <w:pPr>
              <w:widowControl w:val="0"/>
              <w:jc w:val="center"/>
              <w:rPr>
                <w:rFonts w:ascii="Arial" w:hAnsi="Arial" w:cs="Arial"/>
                <w:sz w:val="14"/>
              </w:rPr>
            </w:pPr>
            <w:r w:rsidRPr="00267AE0">
              <w:rPr>
                <w:rFonts w:ascii="Arial" w:hAnsi="Arial" w:cs="Arial"/>
                <w:b/>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1</w:t>
            </w:r>
          </w:p>
        </w:tc>
        <w:tc>
          <w:tcPr>
            <w:tcW w:w="50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w:t>
            </w:r>
          </w:p>
        </w:tc>
        <w:tc>
          <w:tcPr>
            <w:tcW w:w="484" w:type="dxa"/>
            <w:tcBorders>
              <w:top w:val="single" w:sz="8" w:space="0" w:color="000000"/>
              <w:left w:val="single" w:sz="8" w:space="0" w:color="000000"/>
              <w:bottom w:val="doub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4</w:t>
            </w:r>
          </w:p>
        </w:tc>
        <w:tc>
          <w:tcPr>
            <w:tcW w:w="44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5</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50"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5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w:t>
            </w: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4</w:t>
            </w:r>
          </w:p>
        </w:tc>
      </w:tr>
      <w:tr w:rsidR="00924065" w:rsidRPr="00267AE0" w:rsidTr="003B3977">
        <w:trPr>
          <w:cantSplit/>
          <w:trHeight w:val="288"/>
          <w:jc w:val="center"/>
        </w:trPr>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w:t>
            </w:r>
          </w:p>
        </w:tc>
        <w:tc>
          <w:tcPr>
            <w:tcW w:w="46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4</w:t>
            </w:r>
          </w:p>
        </w:tc>
        <w:tc>
          <w:tcPr>
            <w:tcW w:w="469" w:type="dxa"/>
            <w:tcBorders>
              <w:top w:val="single" w:sz="8" w:space="0" w:color="000000"/>
              <w:left w:val="nil"/>
              <w:bottom w:val="nil"/>
              <w:right w:val="nil"/>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6</w:t>
            </w:r>
          </w:p>
        </w:tc>
        <w:tc>
          <w:tcPr>
            <w:tcW w:w="463"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7</w:t>
            </w:r>
          </w:p>
        </w:tc>
        <w:tc>
          <w:tcPr>
            <w:tcW w:w="475"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8</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7</w:t>
            </w:r>
          </w:p>
        </w:tc>
        <w:tc>
          <w:tcPr>
            <w:tcW w:w="457"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8</w:t>
            </w:r>
          </w:p>
        </w:tc>
        <w:tc>
          <w:tcPr>
            <w:tcW w:w="50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9</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10</w:t>
            </w:r>
          </w:p>
        </w:tc>
        <w:tc>
          <w:tcPr>
            <w:tcW w:w="484"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H</w:t>
            </w:r>
          </w:p>
          <w:p w:rsidR="00924065" w:rsidRPr="00267AE0" w:rsidRDefault="00924065" w:rsidP="003B3977">
            <w:pPr>
              <w:widowControl w:val="0"/>
              <w:jc w:val="center"/>
              <w:rPr>
                <w:rFonts w:ascii="Arial" w:hAnsi="Arial" w:cs="Arial"/>
                <w:sz w:val="14"/>
              </w:rPr>
            </w:pPr>
            <w:r w:rsidRPr="00267AE0">
              <w:rPr>
                <w:rFonts w:ascii="Arial" w:hAnsi="Arial" w:cs="Arial"/>
                <w:sz w:val="14"/>
              </w:rPr>
              <w:t>11</w:t>
            </w:r>
          </w:p>
        </w:tc>
        <w:tc>
          <w:tcPr>
            <w:tcW w:w="44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12</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536"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5</w:t>
            </w:r>
          </w:p>
        </w:tc>
        <w:tc>
          <w:tcPr>
            <w:tcW w:w="450"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6</w:t>
            </w:r>
          </w:p>
        </w:tc>
        <w:tc>
          <w:tcPr>
            <w:tcW w:w="5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7</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8</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9</w:t>
            </w:r>
          </w:p>
        </w:tc>
        <w:tc>
          <w:tcPr>
            <w:tcW w:w="39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10</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11</w:t>
            </w:r>
          </w:p>
        </w:tc>
      </w:tr>
      <w:tr w:rsidR="00924065" w:rsidRPr="00267AE0" w:rsidTr="003B3977">
        <w:trPr>
          <w:cantSplit/>
          <w:trHeight w:val="288"/>
          <w:jc w:val="center"/>
        </w:trPr>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10</w:t>
            </w:r>
          </w:p>
        </w:tc>
        <w:tc>
          <w:tcPr>
            <w:tcW w:w="469"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H</w:t>
            </w:r>
          </w:p>
          <w:p w:rsidR="00924065" w:rsidRPr="00267AE0" w:rsidRDefault="00924065" w:rsidP="003B3977">
            <w:pPr>
              <w:widowControl w:val="0"/>
              <w:jc w:val="center"/>
              <w:rPr>
                <w:rFonts w:ascii="Arial" w:hAnsi="Arial" w:cs="Arial"/>
                <w:sz w:val="14"/>
              </w:rPr>
            </w:pPr>
            <w:r w:rsidRPr="00267AE0">
              <w:rPr>
                <w:rFonts w:ascii="Arial" w:hAnsi="Arial" w:cs="Arial"/>
                <w:sz w:val="14"/>
              </w:rPr>
              <w:t>11</w:t>
            </w:r>
          </w:p>
        </w:tc>
        <w:tc>
          <w:tcPr>
            <w:tcW w:w="469"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13</w:t>
            </w:r>
          </w:p>
        </w:tc>
        <w:tc>
          <w:tcPr>
            <w:tcW w:w="463"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14</w:t>
            </w:r>
          </w:p>
        </w:tc>
        <w:tc>
          <w:tcPr>
            <w:tcW w:w="475"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15</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14</w:t>
            </w:r>
          </w:p>
        </w:tc>
        <w:tc>
          <w:tcPr>
            <w:tcW w:w="457"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15</w:t>
            </w:r>
          </w:p>
        </w:tc>
        <w:tc>
          <w:tcPr>
            <w:tcW w:w="506"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16</w:t>
            </w:r>
          </w:p>
        </w:tc>
        <w:tc>
          <w:tcPr>
            <w:tcW w:w="450" w:type="dxa"/>
            <w:tcBorders>
              <w:top w:val="nil"/>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17</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18</w:t>
            </w:r>
          </w:p>
        </w:tc>
        <w:tc>
          <w:tcPr>
            <w:tcW w:w="44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19</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20</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12</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13</w:t>
            </w:r>
          </w:p>
        </w:tc>
        <w:tc>
          <w:tcPr>
            <w:tcW w:w="5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14</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15</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16</w:t>
            </w:r>
          </w:p>
        </w:tc>
        <w:tc>
          <w:tcPr>
            <w:tcW w:w="39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17</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18</w:t>
            </w:r>
          </w:p>
        </w:tc>
      </w:tr>
      <w:tr w:rsidR="00924065" w:rsidRPr="00267AE0" w:rsidTr="003B3977">
        <w:trPr>
          <w:cantSplit/>
          <w:trHeight w:val="288"/>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17</w:t>
            </w:r>
          </w:p>
        </w:tc>
        <w:tc>
          <w:tcPr>
            <w:tcW w:w="469" w:type="dxa"/>
            <w:tcBorders>
              <w:top w:val="nil"/>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18</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20</w:t>
            </w: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21</w:t>
            </w: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22</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21</w:t>
            </w:r>
          </w:p>
        </w:tc>
        <w:tc>
          <w:tcPr>
            <w:tcW w:w="457"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22</w:t>
            </w:r>
          </w:p>
        </w:tc>
        <w:tc>
          <w:tcPr>
            <w:tcW w:w="506"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23</w:t>
            </w:r>
          </w:p>
        </w:tc>
        <w:tc>
          <w:tcPr>
            <w:tcW w:w="450"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24</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25</w:t>
            </w:r>
          </w:p>
        </w:tc>
        <w:tc>
          <w:tcPr>
            <w:tcW w:w="44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26</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27</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19</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20</w:t>
            </w:r>
          </w:p>
        </w:tc>
        <w:tc>
          <w:tcPr>
            <w:tcW w:w="54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21</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22</w:t>
            </w:r>
          </w:p>
        </w:tc>
        <w:tc>
          <w:tcPr>
            <w:tcW w:w="450"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23</w:t>
            </w: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24</w:t>
            </w:r>
          </w:p>
        </w:tc>
        <w:tc>
          <w:tcPr>
            <w:tcW w:w="470" w:type="dxa"/>
            <w:tcBorders>
              <w:top w:val="single" w:sz="8" w:space="0" w:color="000000"/>
              <w:left w:val="nil"/>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25</w:t>
            </w:r>
          </w:p>
        </w:tc>
      </w:tr>
      <w:tr w:rsidR="00924065" w:rsidRPr="00267AE0" w:rsidTr="003B3977">
        <w:trPr>
          <w:cantSplit/>
          <w:trHeight w:val="288"/>
          <w:jc w:val="center"/>
        </w:trPr>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24</w:t>
            </w:r>
          </w:p>
          <w:p w:rsidR="00924065" w:rsidRPr="00267AE0" w:rsidRDefault="00924065" w:rsidP="003B3977">
            <w:pPr>
              <w:widowControl w:val="0"/>
              <w:jc w:val="center"/>
              <w:rPr>
                <w:rFonts w:ascii="Arial" w:hAnsi="Arial" w:cs="Arial"/>
                <w:sz w:val="14"/>
              </w:rPr>
            </w:pPr>
            <w:r w:rsidRPr="00267AE0">
              <w:rPr>
                <w:rFonts w:ascii="Arial" w:hAnsi="Arial" w:cs="Arial"/>
                <w:sz w:val="14"/>
              </w:rPr>
              <w:t>/ 31</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25</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26</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27</w:t>
            </w:r>
          </w:p>
        </w:tc>
        <w:tc>
          <w:tcPr>
            <w:tcW w:w="463"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28</w:t>
            </w:r>
          </w:p>
        </w:tc>
        <w:tc>
          <w:tcPr>
            <w:tcW w:w="475"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29</w:t>
            </w: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30</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28</w:t>
            </w:r>
          </w:p>
        </w:tc>
        <w:tc>
          <w:tcPr>
            <w:tcW w:w="457"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29</w:t>
            </w:r>
          </w:p>
        </w:tc>
        <w:tc>
          <w:tcPr>
            <w:tcW w:w="50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30</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84"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4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536" w:type="dxa"/>
            <w:tcBorders>
              <w:top w:val="single" w:sz="8" w:space="0" w:color="000000"/>
              <w:left w:val="double" w:sz="8" w:space="0" w:color="000000"/>
              <w:bottom w:val="double" w:sz="8" w:space="0" w:color="000000"/>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26</w:t>
            </w:r>
          </w:p>
        </w:tc>
        <w:tc>
          <w:tcPr>
            <w:tcW w:w="450"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H</w:t>
            </w:r>
          </w:p>
          <w:p w:rsidR="00924065" w:rsidRPr="00267AE0" w:rsidRDefault="00924065" w:rsidP="003B3977">
            <w:pPr>
              <w:widowControl w:val="0"/>
              <w:jc w:val="center"/>
              <w:rPr>
                <w:rFonts w:ascii="Arial" w:hAnsi="Arial" w:cs="Arial"/>
                <w:sz w:val="14"/>
              </w:rPr>
            </w:pPr>
            <w:r w:rsidRPr="00267AE0">
              <w:rPr>
                <w:rFonts w:ascii="Arial" w:hAnsi="Arial" w:cs="Arial"/>
                <w:sz w:val="14"/>
              </w:rPr>
              <w:t>27</w:t>
            </w:r>
          </w:p>
        </w:tc>
        <w:tc>
          <w:tcPr>
            <w:tcW w:w="540"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H</w:t>
            </w:r>
          </w:p>
          <w:p w:rsidR="00924065" w:rsidRPr="00267AE0" w:rsidRDefault="00924065" w:rsidP="003B3977">
            <w:pPr>
              <w:widowControl w:val="0"/>
              <w:jc w:val="center"/>
              <w:rPr>
                <w:rFonts w:ascii="Arial" w:hAnsi="Arial" w:cs="Arial"/>
                <w:sz w:val="14"/>
              </w:rPr>
            </w:pPr>
            <w:r w:rsidRPr="00267AE0">
              <w:rPr>
                <w:rFonts w:ascii="Arial" w:hAnsi="Arial" w:cs="Arial"/>
                <w:sz w:val="14"/>
              </w:rPr>
              <w:t>28</w:t>
            </w:r>
          </w:p>
        </w:tc>
        <w:tc>
          <w:tcPr>
            <w:tcW w:w="450"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29</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30</w:t>
            </w:r>
          </w:p>
        </w:tc>
        <w:tc>
          <w:tcPr>
            <w:tcW w:w="396" w:type="dxa"/>
            <w:tcBorders>
              <w:top w:val="nil"/>
              <w:left w:val="nil"/>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31</w:t>
            </w: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r>
    </w:tbl>
    <w:p w:rsidR="00924065" w:rsidRPr="00267AE0" w:rsidRDefault="00924065" w:rsidP="00924065">
      <w:pPr>
        <w:widowControl w:val="0"/>
        <w:tabs>
          <w:tab w:val="center" w:pos="5400"/>
        </w:tabs>
        <w:rPr>
          <w:rFonts w:ascii="Arial" w:hAnsi="Arial" w:cs="Arial"/>
          <w:sz w:val="16"/>
        </w:rPr>
      </w:pPr>
      <w:r w:rsidRPr="00267AE0">
        <w:rPr>
          <w:rFonts w:ascii="Arial" w:hAnsi="Arial" w:cs="Arial"/>
          <w:sz w:val="18"/>
        </w:rPr>
        <w:tab/>
      </w:r>
      <w:r w:rsidRPr="00267AE0">
        <w:rPr>
          <w:rFonts w:ascii="Arial" w:hAnsi="Arial" w:cs="Arial"/>
          <w:i/>
          <w:sz w:val="36"/>
        </w:rPr>
        <w:t xml:space="preserve">- </w:t>
      </w:r>
      <w:r w:rsidRPr="00267AE0">
        <w:rPr>
          <w:rFonts w:ascii="Arial" w:hAnsi="Arial" w:cs="Arial"/>
          <w:b/>
          <w:i/>
          <w:sz w:val="36"/>
        </w:rPr>
        <w:t>2011</w:t>
      </w:r>
      <w:r w:rsidRPr="00267AE0">
        <w:rPr>
          <w:rFonts w:ascii="Arial" w:hAnsi="Arial" w:cs="Arial"/>
          <w:i/>
          <w:sz w:val="36"/>
        </w:rPr>
        <w:t xml:space="preserve"> -</w:t>
      </w: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69"/>
        <w:gridCol w:w="469"/>
        <w:gridCol w:w="498"/>
        <w:gridCol w:w="440"/>
        <w:gridCol w:w="469"/>
        <w:gridCol w:w="469"/>
        <w:gridCol w:w="469"/>
        <w:gridCol w:w="469"/>
        <w:gridCol w:w="469"/>
        <w:gridCol w:w="469"/>
        <w:gridCol w:w="469"/>
        <w:gridCol w:w="469"/>
        <w:gridCol w:w="486"/>
        <w:gridCol w:w="452"/>
        <w:gridCol w:w="469"/>
        <w:gridCol w:w="469"/>
        <w:gridCol w:w="469"/>
        <w:gridCol w:w="480"/>
        <w:gridCol w:w="458"/>
        <w:gridCol w:w="442"/>
        <w:gridCol w:w="450"/>
        <w:gridCol w:w="516"/>
        <w:gridCol w:w="470"/>
      </w:tblGrid>
      <w:tr w:rsidR="00924065" w:rsidRPr="00267AE0" w:rsidTr="003B3977">
        <w:trPr>
          <w:cantSplit/>
          <w:jc w:val="center"/>
        </w:trPr>
        <w:tc>
          <w:tcPr>
            <w:tcW w:w="3283"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JANUARY - JANVIER</w:t>
            </w:r>
          </w:p>
        </w:tc>
        <w:tc>
          <w:tcPr>
            <w:tcW w:w="469" w:type="dxa"/>
            <w:tcBorders>
              <w:top w:val="nil"/>
              <w:left w:val="double" w:sz="8" w:space="0" w:color="000000"/>
              <w:bottom w:val="nil"/>
              <w:right w:val="double" w:sz="8" w:space="0" w:color="000000"/>
            </w:tcBorders>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p>
        </w:tc>
        <w:tc>
          <w:tcPr>
            <w:tcW w:w="3283"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FEBRUARY - FÉVRIER</w:t>
            </w:r>
          </w:p>
        </w:tc>
        <w:tc>
          <w:tcPr>
            <w:tcW w:w="469" w:type="dxa"/>
            <w:tcBorders>
              <w:top w:val="nil"/>
              <w:left w:val="double" w:sz="8" w:space="0" w:color="000000"/>
              <w:bottom w:val="nil"/>
              <w:right w:val="double" w:sz="8" w:space="0" w:color="000000"/>
            </w:tcBorders>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p>
        </w:tc>
        <w:tc>
          <w:tcPr>
            <w:tcW w:w="3285"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MARCH - MARS</w:t>
            </w:r>
          </w:p>
        </w:tc>
      </w:tr>
      <w:tr w:rsidR="00924065" w:rsidRPr="00267AE0" w:rsidTr="003B3977">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D</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L</w:t>
            </w:r>
          </w:p>
        </w:tc>
        <w:tc>
          <w:tcPr>
            <w:tcW w:w="49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W</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J</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F</w:t>
            </w:r>
          </w:p>
          <w:p w:rsidR="00924065" w:rsidRPr="00267AE0" w:rsidRDefault="00924065" w:rsidP="003B3977">
            <w:pPr>
              <w:widowControl w:val="0"/>
              <w:jc w:val="center"/>
              <w:rPr>
                <w:rFonts w:ascii="Arial" w:hAnsi="Arial" w:cs="Arial"/>
                <w:sz w:val="14"/>
              </w:rPr>
            </w:pPr>
            <w:r w:rsidRPr="00267AE0">
              <w:rPr>
                <w:rFonts w:ascii="Arial" w:hAnsi="Arial" w:cs="Arial"/>
                <w:sz w:val="14"/>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D</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W</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J</w:t>
            </w:r>
          </w:p>
        </w:tc>
        <w:tc>
          <w:tcPr>
            <w:tcW w:w="45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F</w:t>
            </w:r>
          </w:p>
          <w:p w:rsidR="00924065" w:rsidRPr="00267AE0" w:rsidRDefault="00924065" w:rsidP="003B3977">
            <w:pPr>
              <w:widowControl w:val="0"/>
              <w:jc w:val="center"/>
              <w:rPr>
                <w:rFonts w:ascii="Arial" w:hAnsi="Arial" w:cs="Arial"/>
                <w:sz w:val="14"/>
              </w:rPr>
            </w:pPr>
            <w:r w:rsidRPr="00267AE0">
              <w:rPr>
                <w:rFonts w:ascii="Arial" w:hAnsi="Arial" w:cs="Arial"/>
                <w:sz w:val="14"/>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D</w:t>
            </w:r>
          </w:p>
        </w:tc>
        <w:tc>
          <w:tcPr>
            <w:tcW w:w="48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L</w:t>
            </w: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4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W</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J</w:t>
            </w:r>
          </w:p>
        </w:tc>
        <w:tc>
          <w:tcPr>
            <w:tcW w:w="51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F</w:t>
            </w:r>
          </w:p>
          <w:p w:rsidR="00924065" w:rsidRPr="00267AE0" w:rsidRDefault="00924065" w:rsidP="003B3977">
            <w:pPr>
              <w:widowControl w:val="0"/>
              <w:jc w:val="center"/>
              <w:rPr>
                <w:rFonts w:ascii="Arial" w:hAnsi="Arial" w:cs="Arial"/>
                <w:sz w:val="14"/>
              </w:rPr>
            </w:pPr>
            <w:r w:rsidRPr="00267AE0">
              <w:rPr>
                <w:rFonts w:ascii="Arial" w:hAnsi="Arial" w:cs="Arial"/>
                <w:sz w:val="14"/>
              </w:rPr>
              <w:t>V</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S</w:t>
            </w:r>
          </w:p>
        </w:tc>
      </w:tr>
      <w:tr w:rsidR="00924065" w:rsidRPr="00267AE0" w:rsidTr="003B3977">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98"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w:t>
            </w:r>
          </w:p>
        </w:tc>
        <w:tc>
          <w:tcPr>
            <w:tcW w:w="469"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w:t>
            </w:r>
          </w:p>
        </w:tc>
        <w:tc>
          <w:tcPr>
            <w:tcW w:w="486"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w:t>
            </w:r>
          </w:p>
        </w:tc>
        <w:tc>
          <w:tcPr>
            <w:tcW w:w="452"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4</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5</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80"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w:t>
            </w:r>
          </w:p>
        </w:tc>
        <w:tc>
          <w:tcPr>
            <w:tcW w:w="44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w:t>
            </w:r>
          </w:p>
        </w:tc>
        <w:tc>
          <w:tcPr>
            <w:tcW w:w="516"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4</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5</w:t>
            </w:r>
          </w:p>
        </w:tc>
      </w:tr>
      <w:tr w:rsidR="00924065" w:rsidRPr="00267AE0" w:rsidTr="003B3977">
        <w:trPr>
          <w:cantSplit/>
          <w:jc w:val="center"/>
        </w:trPr>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w:t>
            </w:r>
          </w:p>
        </w:tc>
        <w:tc>
          <w:tcPr>
            <w:tcW w:w="469"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H</w:t>
            </w:r>
          </w:p>
          <w:p w:rsidR="00924065" w:rsidRPr="00267AE0" w:rsidRDefault="00924065" w:rsidP="003B3977">
            <w:pPr>
              <w:widowControl w:val="0"/>
              <w:jc w:val="center"/>
              <w:rPr>
                <w:rFonts w:ascii="Arial" w:hAnsi="Arial" w:cs="Arial"/>
                <w:sz w:val="14"/>
              </w:rPr>
            </w:pPr>
            <w:r w:rsidRPr="00267AE0">
              <w:rPr>
                <w:rFonts w:ascii="Arial" w:hAnsi="Arial" w:cs="Arial"/>
                <w:sz w:val="14"/>
              </w:rPr>
              <w:t>3</w:t>
            </w:r>
          </w:p>
        </w:tc>
        <w:tc>
          <w:tcPr>
            <w:tcW w:w="49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4</w:t>
            </w:r>
          </w:p>
        </w:tc>
        <w:tc>
          <w:tcPr>
            <w:tcW w:w="4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6</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7</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8</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6</w:t>
            </w:r>
          </w:p>
        </w:tc>
        <w:tc>
          <w:tcPr>
            <w:tcW w:w="469"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 xml:space="preserve">   </w:t>
            </w:r>
          </w:p>
          <w:p w:rsidR="00924065" w:rsidRPr="00267AE0" w:rsidRDefault="00924065" w:rsidP="003B3977">
            <w:pPr>
              <w:widowControl w:val="0"/>
              <w:jc w:val="center"/>
              <w:rPr>
                <w:rFonts w:ascii="Arial" w:hAnsi="Arial" w:cs="Arial"/>
                <w:sz w:val="14"/>
              </w:rPr>
            </w:pPr>
            <w:r w:rsidRPr="00267AE0">
              <w:rPr>
                <w:rFonts w:ascii="Arial" w:hAnsi="Arial" w:cs="Arial"/>
                <w:sz w:val="14"/>
              </w:rPr>
              <w:t>7</w:t>
            </w:r>
          </w:p>
        </w:tc>
        <w:tc>
          <w:tcPr>
            <w:tcW w:w="469" w:type="dxa"/>
            <w:tcBorders>
              <w:top w:val="single" w:sz="8" w:space="0" w:color="000000"/>
              <w:left w:val="nil"/>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8</w:t>
            </w:r>
          </w:p>
        </w:tc>
        <w:tc>
          <w:tcPr>
            <w:tcW w:w="469"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9</w:t>
            </w:r>
          </w:p>
        </w:tc>
        <w:tc>
          <w:tcPr>
            <w:tcW w:w="486"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10</w:t>
            </w:r>
          </w:p>
        </w:tc>
        <w:tc>
          <w:tcPr>
            <w:tcW w:w="452"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11</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6</w:t>
            </w:r>
          </w:p>
        </w:tc>
        <w:tc>
          <w:tcPr>
            <w:tcW w:w="480"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7</w:t>
            </w:r>
          </w:p>
        </w:tc>
        <w:tc>
          <w:tcPr>
            <w:tcW w:w="458"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8</w:t>
            </w:r>
          </w:p>
        </w:tc>
        <w:tc>
          <w:tcPr>
            <w:tcW w:w="442"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9</w:t>
            </w:r>
          </w:p>
        </w:tc>
        <w:tc>
          <w:tcPr>
            <w:tcW w:w="450"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10</w:t>
            </w:r>
          </w:p>
        </w:tc>
        <w:tc>
          <w:tcPr>
            <w:tcW w:w="516"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11</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12</w:t>
            </w:r>
          </w:p>
        </w:tc>
      </w:tr>
      <w:tr w:rsidR="00924065" w:rsidRPr="00267AE0" w:rsidTr="003B3977">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10</w:t>
            </w:r>
          </w:p>
        </w:tc>
        <w:tc>
          <w:tcPr>
            <w:tcW w:w="498" w:type="dxa"/>
            <w:tcBorders>
              <w:top w:val="single" w:sz="8" w:space="0" w:color="000000"/>
              <w:left w:val="nil"/>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11</w:t>
            </w:r>
          </w:p>
        </w:tc>
        <w:tc>
          <w:tcPr>
            <w:tcW w:w="4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13</w:t>
            </w: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14</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15</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13</w:t>
            </w:r>
          </w:p>
        </w:tc>
        <w:tc>
          <w:tcPr>
            <w:tcW w:w="46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14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16</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17</w:t>
            </w:r>
          </w:p>
        </w:tc>
        <w:tc>
          <w:tcPr>
            <w:tcW w:w="45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18</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13</w:t>
            </w:r>
          </w:p>
        </w:tc>
        <w:tc>
          <w:tcPr>
            <w:tcW w:w="480"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14</w:t>
            </w:r>
          </w:p>
        </w:tc>
        <w:tc>
          <w:tcPr>
            <w:tcW w:w="45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15</w:t>
            </w:r>
          </w:p>
        </w:tc>
        <w:tc>
          <w:tcPr>
            <w:tcW w:w="44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16</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17</w:t>
            </w:r>
          </w:p>
        </w:tc>
        <w:tc>
          <w:tcPr>
            <w:tcW w:w="51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18</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19</w:t>
            </w:r>
          </w:p>
        </w:tc>
      </w:tr>
      <w:tr w:rsidR="00924065" w:rsidRPr="00267AE0" w:rsidTr="003B3977">
        <w:trPr>
          <w:cantSplit/>
          <w:jc w:val="center"/>
        </w:trPr>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16</w:t>
            </w:r>
          </w:p>
        </w:tc>
        <w:tc>
          <w:tcPr>
            <w:tcW w:w="469" w:type="dxa"/>
            <w:tcBorders>
              <w:top w:val="double" w:sz="8" w:space="0" w:color="000000"/>
              <w:left w:val="double" w:sz="8" w:space="0" w:color="000000"/>
              <w:bottom w:val="double" w:sz="6" w:space="0" w:color="000000"/>
              <w:right w:val="doub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17</w:t>
            </w:r>
          </w:p>
        </w:tc>
        <w:tc>
          <w:tcPr>
            <w:tcW w:w="49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18</w:t>
            </w:r>
          </w:p>
        </w:tc>
        <w:tc>
          <w:tcPr>
            <w:tcW w:w="4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21</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23</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24</w:t>
            </w:r>
          </w:p>
        </w:tc>
        <w:tc>
          <w:tcPr>
            <w:tcW w:w="45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25</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20</w:t>
            </w:r>
          </w:p>
        </w:tc>
        <w:tc>
          <w:tcPr>
            <w:tcW w:w="48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21</w:t>
            </w:r>
          </w:p>
        </w:tc>
        <w:tc>
          <w:tcPr>
            <w:tcW w:w="45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22</w:t>
            </w:r>
          </w:p>
        </w:tc>
        <w:tc>
          <w:tcPr>
            <w:tcW w:w="44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23</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24</w:t>
            </w:r>
          </w:p>
        </w:tc>
        <w:tc>
          <w:tcPr>
            <w:tcW w:w="516"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25</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26</w:t>
            </w:r>
          </w:p>
        </w:tc>
      </w:tr>
      <w:tr w:rsidR="00924065" w:rsidRPr="00267AE0" w:rsidTr="003B3977">
        <w:trPr>
          <w:cantSplit/>
          <w:jc w:val="center"/>
        </w:trPr>
        <w:tc>
          <w:tcPr>
            <w:tcW w:w="469" w:type="dxa"/>
            <w:tcBorders>
              <w:top w:val="single" w:sz="8" w:space="0" w:color="000000"/>
              <w:left w:val="double" w:sz="8" w:space="0" w:color="000000"/>
              <w:bottom w:val="double" w:sz="8" w:space="0" w:color="000000"/>
              <w:right w:val="single" w:sz="4" w:space="0" w:color="auto"/>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23</w:t>
            </w:r>
          </w:p>
          <w:p w:rsidR="00924065" w:rsidRPr="00267AE0" w:rsidRDefault="00924065" w:rsidP="003B3977">
            <w:pPr>
              <w:widowControl w:val="0"/>
              <w:jc w:val="center"/>
              <w:rPr>
                <w:rFonts w:ascii="Arial" w:hAnsi="Arial" w:cs="Arial"/>
                <w:sz w:val="14"/>
              </w:rPr>
            </w:pPr>
            <w:r w:rsidRPr="00267AE0">
              <w:rPr>
                <w:rFonts w:ascii="Arial" w:hAnsi="Arial" w:cs="Arial"/>
                <w:sz w:val="14"/>
              </w:rPr>
              <w:t>/ 30</w:t>
            </w:r>
          </w:p>
        </w:tc>
        <w:tc>
          <w:tcPr>
            <w:tcW w:w="469" w:type="dxa"/>
            <w:tcBorders>
              <w:top w:val="double" w:sz="6" w:space="0" w:color="000000"/>
              <w:left w:val="single" w:sz="4" w:space="0" w:color="auto"/>
              <w:bottom w:val="double" w:sz="6" w:space="0" w:color="000000"/>
              <w:right w:val="single" w:sz="4" w:space="0" w:color="auto"/>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24</w:t>
            </w:r>
          </w:p>
          <w:p w:rsidR="00924065" w:rsidRPr="00267AE0" w:rsidRDefault="00924065" w:rsidP="003B3977">
            <w:pPr>
              <w:widowControl w:val="0"/>
              <w:jc w:val="center"/>
              <w:rPr>
                <w:rFonts w:ascii="Arial" w:hAnsi="Arial" w:cs="Arial"/>
                <w:sz w:val="14"/>
              </w:rPr>
            </w:pPr>
            <w:r w:rsidRPr="00267AE0">
              <w:rPr>
                <w:rFonts w:ascii="Arial" w:hAnsi="Arial" w:cs="Arial"/>
                <w:sz w:val="14"/>
              </w:rPr>
              <w:t>/ 31</w:t>
            </w:r>
          </w:p>
        </w:tc>
        <w:tc>
          <w:tcPr>
            <w:tcW w:w="498" w:type="dxa"/>
            <w:tcBorders>
              <w:top w:val="single" w:sz="8" w:space="0" w:color="000000"/>
              <w:left w:val="single" w:sz="4" w:space="0" w:color="auto"/>
              <w:bottom w:val="doub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25</w:t>
            </w:r>
          </w:p>
        </w:tc>
        <w:tc>
          <w:tcPr>
            <w:tcW w:w="440" w:type="dxa"/>
            <w:tcBorders>
              <w:top w:val="single" w:sz="8" w:space="0" w:color="000000"/>
              <w:left w:val="single" w:sz="8" w:space="0" w:color="000000"/>
              <w:bottom w:val="doub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26</w:t>
            </w:r>
          </w:p>
        </w:tc>
        <w:tc>
          <w:tcPr>
            <w:tcW w:w="469" w:type="dxa"/>
            <w:tcBorders>
              <w:top w:val="single" w:sz="8" w:space="0" w:color="000000"/>
              <w:left w:val="single" w:sz="8" w:space="0" w:color="000000"/>
              <w:bottom w:val="doub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27</w:t>
            </w:r>
          </w:p>
        </w:tc>
        <w:tc>
          <w:tcPr>
            <w:tcW w:w="469" w:type="dxa"/>
            <w:tcBorders>
              <w:top w:val="single" w:sz="8" w:space="0" w:color="000000"/>
              <w:left w:val="single" w:sz="8" w:space="0" w:color="000000"/>
              <w:bottom w:val="doub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28</w:t>
            </w: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29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8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5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27</w:t>
            </w:r>
          </w:p>
        </w:tc>
        <w:tc>
          <w:tcPr>
            <w:tcW w:w="480"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28</w:t>
            </w:r>
          </w:p>
        </w:tc>
        <w:tc>
          <w:tcPr>
            <w:tcW w:w="45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29</w:t>
            </w:r>
          </w:p>
        </w:tc>
        <w:tc>
          <w:tcPr>
            <w:tcW w:w="44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30</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31</w:t>
            </w:r>
          </w:p>
        </w:tc>
        <w:tc>
          <w:tcPr>
            <w:tcW w:w="51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r>
    </w:tbl>
    <w:p w:rsidR="00924065" w:rsidRPr="00267AE0" w:rsidRDefault="00924065" w:rsidP="00924065">
      <w:pPr>
        <w:widowControl w:val="0"/>
        <w:spacing w:before="120" w:after="120"/>
        <w:rPr>
          <w:rFonts w:ascii="Arial" w:hAnsi="Arial" w:cs="Arial"/>
          <w:vanish/>
          <w:sz w:val="22"/>
        </w:rPr>
      </w:pPr>
    </w:p>
    <w:tbl>
      <w:tblPr>
        <w:tblW w:w="10790" w:type="dxa"/>
        <w:jc w:val="center"/>
        <w:tblBorders>
          <w:top w:val="nil"/>
          <w:left w:val="nil"/>
          <w:bottom w:val="nil"/>
          <w:right w:val="nil"/>
          <w:insideH w:val="nil"/>
          <w:insideV w:val="nil"/>
        </w:tblBorders>
        <w:tblLayout w:type="fixed"/>
        <w:tblCellMar>
          <w:left w:w="0" w:type="dxa"/>
          <w:right w:w="0" w:type="dxa"/>
        </w:tblCellMar>
        <w:tblLook w:val="0000"/>
      </w:tblPr>
      <w:tblGrid>
        <w:gridCol w:w="446"/>
        <w:gridCol w:w="492"/>
        <w:gridCol w:w="469"/>
        <w:gridCol w:w="469"/>
        <w:gridCol w:w="469"/>
        <w:gridCol w:w="469"/>
        <w:gridCol w:w="469"/>
        <w:gridCol w:w="469"/>
        <w:gridCol w:w="473"/>
        <w:gridCol w:w="466"/>
        <w:gridCol w:w="469"/>
        <w:gridCol w:w="469"/>
        <w:gridCol w:w="486"/>
        <w:gridCol w:w="450"/>
        <w:gridCol w:w="472"/>
        <w:gridCol w:w="518"/>
        <w:gridCol w:w="450"/>
        <w:gridCol w:w="439"/>
        <w:gridCol w:w="469"/>
        <w:gridCol w:w="469"/>
        <w:gridCol w:w="469"/>
        <w:gridCol w:w="469"/>
        <w:gridCol w:w="470"/>
      </w:tblGrid>
      <w:tr w:rsidR="00924065" w:rsidRPr="00267AE0" w:rsidTr="00924065">
        <w:trPr>
          <w:cantSplit/>
          <w:jc w:val="center"/>
        </w:trPr>
        <w:tc>
          <w:tcPr>
            <w:tcW w:w="3283"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APRIL - AVRIL</w:t>
            </w:r>
          </w:p>
        </w:tc>
        <w:tc>
          <w:tcPr>
            <w:tcW w:w="469" w:type="dxa"/>
            <w:tcBorders>
              <w:top w:val="nil"/>
              <w:left w:val="double" w:sz="8" w:space="0" w:color="000000"/>
              <w:bottom w:val="nil"/>
              <w:right w:val="double" w:sz="8" w:space="0" w:color="000000"/>
            </w:tcBorders>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p>
        </w:tc>
        <w:tc>
          <w:tcPr>
            <w:tcW w:w="3285"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MAY - MAI</w:t>
            </w:r>
          </w:p>
        </w:tc>
        <w:tc>
          <w:tcPr>
            <w:tcW w:w="518" w:type="dxa"/>
            <w:tcBorders>
              <w:top w:val="nil"/>
              <w:left w:val="double" w:sz="8" w:space="0" w:color="000000"/>
              <w:bottom w:val="nil"/>
              <w:right w:val="double" w:sz="8" w:space="0" w:color="000000"/>
            </w:tcBorders>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p>
        </w:tc>
        <w:tc>
          <w:tcPr>
            <w:tcW w:w="3235"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JUNE - JUIN</w:t>
            </w:r>
          </w:p>
        </w:tc>
      </w:tr>
      <w:tr w:rsidR="00924065" w:rsidRPr="00267AE0" w:rsidTr="00924065">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D</w:t>
            </w:r>
          </w:p>
        </w:tc>
        <w:tc>
          <w:tcPr>
            <w:tcW w:w="49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W</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J</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F</w:t>
            </w:r>
          </w:p>
          <w:p w:rsidR="00924065" w:rsidRPr="00267AE0" w:rsidRDefault="00924065" w:rsidP="003B3977">
            <w:pPr>
              <w:widowControl w:val="0"/>
              <w:jc w:val="center"/>
              <w:rPr>
                <w:rFonts w:ascii="Arial" w:hAnsi="Arial" w:cs="Arial"/>
                <w:sz w:val="14"/>
              </w:rPr>
            </w:pPr>
            <w:r w:rsidRPr="00267AE0">
              <w:rPr>
                <w:rFonts w:ascii="Arial" w:hAnsi="Arial" w:cs="Arial"/>
                <w:sz w:val="14"/>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D</w:t>
            </w:r>
          </w:p>
        </w:tc>
        <w:tc>
          <w:tcPr>
            <w:tcW w:w="46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W</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J</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F</w:t>
            </w:r>
          </w:p>
          <w:p w:rsidR="00924065" w:rsidRPr="00267AE0" w:rsidRDefault="00924065" w:rsidP="003B3977">
            <w:pPr>
              <w:widowControl w:val="0"/>
              <w:jc w:val="center"/>
              <w:rPr>
                <w:rFonts w:ascii="Arial" w:hAnsi="Arial" w:cs="Arial"/>
                <w:sz w:val="14"/>
              </w:rPr>
            </w:pPr>
            <w:r w:rsidRPr="00267AE0">
              <w:rPr>
                <w:rFonts w:ascii="Arial" w:hAnsi="Arial" w:cs="Arial"/>
                <w:sz w:val="14"/>
              </w:rPr>
              <w:t>V</w:t>
            </w:r>
          </w:p>
        </w:tc>
        <w:tc>
          <w:tcPr>
            <w:tcW w:w="472"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S</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D</w:t>
            </w:r>
          </w:p>
        </w:tc>
        <w:tc>
          <w:tcPr>
            <w:tcW w:w="43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W</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J</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F</w:t>
            </w:r>
          </w:p>
          <w:p w:rsidR="00924065" w:rsidRPr="00267AE0" w:rsidRDefault="00924065" w:rsidP="003B3977">
            <w:pPr>
              <w:widowControl w:val="0"/>
              <w:jc w:val="center"/>
              <w:rPr>
                <w:rFonts w:ascii="Arial" w:hAnsi="Arial" w:cs="Arial"/>
                <w:sz w:val="14"/>
              </w:rPr>
            </w:pPr>
            <w:r w:rsidRPr="00267AE0">
              <w:rPr>
                <w:rFonts w:ascii="Arial" w:hAnsi="Arial" w:cs="Arial"/>
                <w:sz w:val="14"/>
              </w:rPr>
              <w:t>v</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s</w:t>
            </w:r>
          </w:p>
        </w:tc>
      </w:tr>
      <w:tr w:rsidR="00924065" w:rsidRPr="00267AE0" w:rsidTr="00924065">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9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w:t>
            </w:r>
          </w:p>
        </w:tc>
        <w:tc>
          <w:tcPr>
            <w:tcW w:w="469" w:type="dxa"/>
            <w:tcBorders>
              <w:top w:val="single" w:sz="8" w:space="0" w:color="000000"/>
              <w:left w:val="nil"/>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w:t>
            </w:r>
          </w:p>
        </w:tc>
        <w:tc>
          <w:tcPr>
            <w:tcW w:w="46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 xml:space="preserve"> </w:t>
            </w:r>
          </w:p>
          <w:p w:rsidR="00924065" w:rsidRPr="00267AE0" w:rsidRDefault="00924065" w:rsidP="003B3977">
            <w:pPr>
              <w:widowControl w:val="0"/>
              <w:jc w:val="center"/>
              <w:rPr>
                <w:rFonts w:ascii="Arial" w:hAnsi="Arial" w:cs="Arial"/>
                <w:sz w:val="14"/>
              </w:rPr>
            </w:pPr>
            <w:r w:rsidRPr="00267AE0">
              <w:rPr>
                <w:rFonts w:ascii="Arial" w:hAnsi="Arial" w:cs="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4</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5</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b/>
                <w:sz w:val="14"/>
              </w:rPr>
            </w:pPr>
          </w:p>
          <w:p w:rsidR="00924065" w:rsidRPr="00267AE0" w:rsidRDefault="00924065" w:rsidP="003B3977">
            <w:pPr>
              <w:widowControl w:val="0"/>
              <w:jc w:val="center"/>
              <w:rPr>
                <w:rFonts w:ascii="Arial" w:hAnsi="Arial" w:cs="Arial"/>
                <w:sz w:val="14"/>
              </w:rPr>
            </w:pPr>
            <w:r w:rsidRPr="00267AE0">
              <w:rPr>
                <w:rFonts w:ascii="Arial" w:hAnsi="Arial" w:cs="Arial"/>
                <w:b/>
                <w:sz w:val="14"/>
              </w:rPr>
              <w:t>6</w:t>
            </w:r>
          </w:p>
        </w:tc>
        <w:tc>
          <w:tcPr>
            <w:tcW w:w="472"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7</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3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4</w:t>
            </w:r>
          </w:p>
        </w:tc>
      </w:tr>
      <w:tr w:rsidR="00924065" w:rsidRPr="00267AE0" w:rsidTr="00924065">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w:t>
            </w:r>
          </w:p>
        </w:tc>
        <w:tc>
          <w:tcPr>
            <w:tcW w:w="49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5</w:t>
            </w:r>
          </w:p>
        </w:tc>
        <w:tc>
          <w:tcPr>
            <w:tcW w:w="469" w:type="dxa"/>
            <w:tcBorders>
              <w:top w:val="single" w:sz="8" w:space="0" w:color="000000"/>
              <w:left w:val="nil"/>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6</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7</w:t>
            </w:r>
          </w:p>
        </w:tc>
        <w:tc>
          <w:tcPr>
            <w:tcW w:w="469" w:type="dxa"/>
            <w:tcBorders>
              <w:top w:val="nil"/>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8</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73"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8</w:t>
            </w:r>
          </w:p>
        </w:tc>
        <w:tc>
          <w:tcPr>
            <w:tcW w:w="466"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11</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12</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13</w:t>
            </w:r>
          </w:p>
        </w:tc>
        <w:tc>
          <w:tcPr>
            <w:tcW w:w="472"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14</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50"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5</w:t>
            </w:r>
          </w:p>
        </w:tc>
        <w:tc>
          <w:tcPr>
            <w:tcW w:w="43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10</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11</w:t>
            </w:r>
          </w:p>
        </w:tc>
      </w:tr>
      <w:tr w:rsidR="00924065" w:rsidRPr="00267AE0" w:rsidTr="00924065">
        <w:trPr>
          <w:cantSplit/>
          <w:jc w:val="center"/>
        </w:trPr>
        <w:tc>
          <w:tcPr>
            <w:tcW w:w="446"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10</w:t>
            </w:r>
          </w:p>
        </w:tc>
        <w:tc>
          <w:tcPr>
            <w:tcW w:w="492"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11</w:t>
            </w:r>
          </w:p>
        </w:tc>
        <w:tc>
          <w:tcPr>
            <w:tcW w:w="469" w:type="dxa"/>
            <w:tcBorders>
              <w:top w:val="nil"/>
              <w:left w:val="single" w:sz="8" w:space="0" w:color="000000"/>
              <w:bottom w:val="nil"/>
              <w:right w:val="nil"/>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14</w:t>
            </w:r>
          </w:p>
        </w:tc>
        <w:tc>
          <w:tcPr>
            <w:tcW w:w="469" w:type="dxa"/>
            <w:tcBorders>
              <w:top w:val="single" w:sz="8" w:space="0" w:color="000000"/>
              <w:left w:val="single" w:sz="8" w:space="0" w:color="000000"/>
              <w:bottom w:val="doub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15</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15</w:t>
            </w:r>
          </w:p>
        </w:tc>
        <w:tc>
          <w:tcPr>
            <w:tcW w:w="466" w:type="dxa"/>
            <w:tcBorders>
              <w:top w:val="single" w:sz="8" w:space="0" w:color="000000"/>
              <w:left w:val="single" w:sz="8" w:space="0" w:color="000000"/>
              <w:bottom w:val="nil"/>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16</w:t>
            </w:r>
          </w:p>
        </w:tc>
        <w:tc>
          <w:tcPr>
            <w:tcW w:w="469" w:type="dxa"/>
            <w:tcBorders>
              <w:top w:val="single" w:sz="8" w:space="0" w:color="000000"/>
              <w:left w:val="nil"/>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18</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19</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20</w:t>
            </w:r>
          </w:p>
        </w:tc>
        <w:tc>
          <w:tcPr>
            <w:tcW w:w="472"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21</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12</w:t>
            </w:r>
          </w:p>
        </w:tc>
        <w:tc>
          <w:tcPr>
            <w:tcW w:w="439"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17</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18</w:t>
            </w:r>
          </w:p>
        </w:tc>
      </w:tr>
      <w:tr w:rsidR="00924065" w:rsidRPr="00267AE0" w:rsidTr="00924065">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17</w:t>
            </w:r>
          </w:p>
        </w:tc>
        <w:tc>
          <w:tcPr>
            <w:tcW w:w="492"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vAlign w:val="cente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20</w:t>
            </w:r>
          </w:p>
        </w:tc>
        <w:tc>
          <w:tcPr>
            <w:tcW w:w="469" w:type="dxa"/>
            <w:tcBorders>
              <w:top w:val="single" w:sz="8" w:space="0" w:color="000000"/>
              <w:left w:val="single" w:sz="8" w:space="0" w:color="000000"/>
              <w:bottom w:val="single" w:sz="8" w:space="0" w:color="000000"/>
              <w:right w:val="doub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21</w:t>
            </w:r>
          </w:p>
        </w:tc>
        <w:tc>
          <w:tcPr>
            <w:tcW w:w="469"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H</w:t>
            </w:r>
          </w:p>
          <w:p w:rsidR="00924065" w:rsidRPr="00267AE0" w:rsidRDefault="00924065" w:rsidP="003B3977">
            <w:pPr>
              <w:widowControl w:val="0"/>
              <w:jc w:val="center"/>
              <w:rPr>
                <w:rFonts w:ascii="Arial" w:hAnsi="Arial" w:cs="Arial"/>
                <w:sz w:val="14"/>
              </w:rPr>
            </w:pPr>
            <w:r w:rsidRPr="00267AE0">
              <w:rPr>
                <w:rFonts w:ascii="Arial" w:hAnsi="Arial" w:cs="Arial"/>
                <w:sz w:val="14"/>
              </w:rPr>
              <w:t>22</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73"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22</w:t>
            </w:r>
          </w:p>
        </w:tc>
        <w:tc>
          <w:tcPr>
            <w:tcW w:w="466"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H</w:t>
            </w:r>
          </w:p>
          <w:p w:rsidR="00924065" w:rsidRPr="00267AE0" w:rsidRDefault="00924065" w:rsidP="003B3977">
            <w:pPr>
              <w:widowControl w:val="0"/>
              <w:jc w:val="center"/>
              <w:rPr>
                <w:rFonts w:ascii="Arial" w:hAnsi="Arial" w:cs="Arial"/>
                <w:sz w:val="14"/>
              </w:rPr>
            </w:pPr>
            <w:r w:rsidRPr="00267AE0">
              <w:rPr>
                <w:rFonts w:ascii="Arial" w:hAnsi="Arial" w:cs="Arial"/>
                <w:sz w:val="14"/>
              </w:rPr>
              <w:t>23</w:t>
            </w:r>
          </w:p>
        </w:tc>
        <w:tc>
          <w:tcPr>
            <w:tcW w:w="469" w:type="dxa"/>
            <w:tcBorders>
              <w:top w:val="single" w:sz="8" w:space="0" w:color="000000"/>
              <w:left w:val="nil"/>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25</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26</w:t>
            </w:r>
          </w:p>
        </w:tc>
        <w:tc>
          <w:tcPr>
            <w:tcW w:w="450"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27</w:t>
            </w:r>
          </w:p>
        </w:tc>
        <w:tc>
          <w:tcPr>
            <w:tcW w:w="472"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28</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19</w:t>
            </w:r>
          </w:p>
        </w:tc>
        <w:tc>
          <w:tcPr>
            <w:tcW w:w="43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20</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24</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25</w:t>
            </w:r>
          </w:p>
        </w:tc>
      </w:tr>
      <w:tr w:rsidR="00924065" w:rsidRPr="00267AE0" w:rsidTr="00924065">
        <w:trPr>
          <w:cantSplit/>
          <w:jc w:val="center"/>
        </w:trPr>
        <w:tc>
          <w:tcPr>
            <w:tcW w:w="446" w:type="dxa"/>
            <w:tcBorders>
              <w:top w:val="sing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24</w:t>
            </w:r>
          </w:p>
        </w:tc>
        <w:tc>
          <w:tcPr>
            <w:tcW w:w="492"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H</w:t>
            </w:r>
          </w:p>
          <w:p w:rsidR="00924065" w:rsidRPr="00267AE0" w:rsidRDefault="00924065" w:rsidP="003B3977">
            <w:pPr>
              <w:widowControl w:val="0"/>
              <w:jc w:val="center"/>
              <w:rPr>
                <w:rFonts w:ascii="Arial" w:hAnsi="Arial" w:cs="Arial"/>
                <w:sz w:val="14"/>
              </w:rPr>
            </w:pPr>
            <w:r w:rsidRPr="00267AE0">
              <w:rPr>
                <w:rFonts w:ascii="Arial" w:hAnsi="Arial" w:cs="Arial"/>
                <w:sz w:val="14"/>
              </w:rPr>
              <w:t>25</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26</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29</w:t>
            </w: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30</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73"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29</w:t>
            </w:r>
          </w:p>
        </w:tc>
        <w:tc>
          <w:tcPr>
            <w:tcW w:w="466"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30</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31</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8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50"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72"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50"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26</w:t>
            </w:r>
          </w:p>
        </w:tc>
        <w:tc>
          <w:tcPr>
            <w:tcW w:w="43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29</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30</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6"/>
              </w:rPr>
            </w:pPr>
          </w:p>
        </w:tc>
      </w:tr>
    </w:tbl>
    <w:p w:rsidR="00924065" w:rsidRPr="00267AE0" w:rsidRDefault="00924065" w:rsidP="00924065">
      <w:pPr>
        <w:widowControl w:val="0"/>
        <w:rPr>
          <w:rFonts w:ascii="Arial" w:hAnsi="Arial" w:cs="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tblPr>
      <w:tblGrid>
        <w:gridCol w:w="1710"/>
        <w:gridCol w:w="540"/>
        <w:gridCol w:w="8370"/>
      </w:tblGrid>
      <w:tr w:rsidR="00924065" w:rsidRPr="00267AE0" w:rsidTr="003B3977">
        <w:trPr>
          <w:cantSplit/>
          <w:trHeight w:val="368"/>
        </w:trPr>
        <w:tc>
          <w:tcPr>
            <w:tcW w:w="1710" w:type="dxa"/>
            <w:tcBorders>
              <w:top w:val="nil"/>
              <w:left w:val="nil"/>
              <w:bottom w:val="nil"/>
              <w:right w:val="nil"/>
            </w:tcBorders>
            <w:tcMar>
              <w:top w:w="43" w:type="dxa"/>
              <w:left w:w="120" w:type="dxa"/>
              <w:bottom w:w="29" w:type="dxa"/>
              <w:right w:w="120" w:type="dxa"/>
            </w:tcMar>
          </w:tcPr>
          <w:p w:rsidR="00924065" w:rsidRPr="00267AE0" w:rsidRDefault="00924065" w:rsidP="003B3977">
            <w:pPr>
              <w:widowControl w:val="0"/>
              <w:tabs>
                <w:tab w:val="left" w:pos="0"/>
                <w:tab w:val="left" w:pos="1"/>
                <w:tab w:val="left" w:pos="0"/>
                <w:tab w:val="left" w:pos="0"/>
                <w:tab w:val="left" w:pos="0"/>
                <w:tab w:val="left" w:pos="1"/>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right" w:pos="0"/>
                <w:tab w:val="left" w:leader="dot" w:pos="0"/>
                <w:tab w:val="left" w:pos="0"/>
                <w:tab w:val="left" w:pos="0"/>
                <w:tab w:val="left" w:pos="0"/>
                <w:tab w:val="left" w:pos="0"/>
                <w:tab w:val="left" w:pos="0"/>
                <w:tab w:val="left" w:pos="0"/>
                <w:tab w:val="left" w:pos="0"/>
                <w:tab w:val="center" w:pos="0"/>
                <w:tab w:val="left" w:pos="0"/>
                <w:tab w:val="left" w:pos="0"/>
              </w:tabs>
              <w:rPr>
                <w:rFonts w:ascii="Arial" w:hAnsi="Arial" w:cs="Arial"/>
                <w:sz w:val="16"/>
              </w:rPr>
            </w:pPr>
            <w:r w:rsidRPr="00267AE0">
              <w:rPr>
                <w:rFonts w:ascii="Arial" w:hAnsi="Arial" w:cs="Arial"/>
                <w:sz w:val="16"/>
              </w:rPr>
              <w:t>Sittings of the court:</w:t>
            </w:r>
          </w:p>
          <w:p w:rsidR="00924065" w:rsidRPr="00267AE0" w:rsidRDefault="00924065" w:rsidP="003B3977">
            <w:pPr>
              <w:widowControl w:val="0"/>
              <w:tabs>
                <w:tab w:val="left" w:pos="0"/>
                <w:tab w:val="left" w:pos="1"/>
                <w:tab w:val="left" w:pos="0"/>
                <w:tab w:val="left" w:pos="0"/>
                <w:tab w:val="left" w:pos="0"/>
                <w:tab w:val="left" w:pos="1"/>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right" w:pos="0"/>
                <w:tab w:val="left" w:leader="dot" w:pos="0"/>
                <w:tab w:val="left" w:pos="0"/>
                <w:tab w:val="left" w:pos="0"/>
                <w:tab w:val="left" w:pos="0"/>
                <w:tab w:val="left" w:pos="0"/>
                <w:tab w:val="left" w:pos="0"/>
                <w:tab w:val="left" w:pos="0"/>
                <w:tab w:val="left" w:pos="0"/>
                <w:tab w:val="center" w:pos="0"/>
                <w:tab w:val="left" w:pos="0"/>
                <w:tab w:val="left" w:pos="0"/>
              </w:tabs>
              <w:rPr>
                <w:rFonts w:ascii="Arial" w:hAnsi="Arial" w:cs="Arial"/>
                <w:sz w:val="16"/>
              </w:rPr>
            </w:pPr>
            <w:r w:rsidRPr="00267AE0">
              <w:rPr>
                <w:rFonts w:ascii="Arial" w:hAnsi="Arial" w:cs="Arial"/>
                <w:sz w:val="16"/>
              </w:rPr>
              <w:t xml:space="preserve">Séances de la </w:t>
            </w:r>
            <w:proofErr w:type="spellStart"/>
            <w:r w:rsidRPr="00267AE0">
              <w:rPr>
                <w:rFonts w:ascii="Arial" w:hAnsi="Arial" w:cs="Arial"/>
                <w:sz w:val="16"/>
              </w:rPr>
              <w:t>cour</w:t>
            </w:r>
            <w:proofErr w:type="spellEnd"/>
            <w:r w:rsidRPr="00267AE0">
              <w:rPr>
                <w:rFonts w:ascii="Arial" w:hAnsi="Arial" w:cs="Arial"/>
                <w:sz w:val="16"/>
              </w:rPr>
              <w:t xml:space="preserve"> :</w:t>
            </w:r>
          </w:p>
        </w:tc>
        <w:tc>
          <w:tcPr>
            <w:tcW w:w="540" w:type="dxa"/>
            <w:tcBorders>
              <w:top w:val="nil"/>
              <w:left w:val="nil"/>
              <w:bottom w:val="double" w:sz="8" w:space="0" w:color="000000"/>
              <w:right w:val="nil"/>
            </w:tcBorders>
            <w:shd w:val="pct30" w:color="000000" w:fill="auto"/>
            <w:tcMar>
              <w:top w:w="43" w:type="dxa"/>
              <w:left w:w="178" w:type="dxa"/>
              <w:bottom w:w="29" w:type="dxa"/>
              <w:right w:w="178" w:type="dxa"/>
            </w:tcMar>
          </w:tcPr>
          <w:p w:rsidR="00924065" w:rsidRPr="00267AE0" w:rsidRDefault="00924065" w:rsidP="003B3977">
            <w:pPr>
              <w:widowControl w:val="0"/>
              <w:tabs>
                <w:tab w:val="left" w:pos="0"/>
                <w:tab w:val="left" w:pos="1"/>
                <w:tab w:val="left" w:pos="0"/>
                <w:tab w:val="left" w:pos="0"/>
                <w:tab w:val="left" w:pos="0"/>
                <w:tab w:val="left" w:pos="1"/>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right" w:pos="0"/>
                <w:tab w:val="left" w:leader="dot" w:pos="0"/>
                <w:tab w:val="left" w:pos="0"/>
                <w:tab w:val="left" w:pos="0"/>
                <w:tab w:val="left" w:pos="0"/>
                <w:tab w:val="left" w:pos="0"/>
                <w:tab w:val="left" w:pos="0"/>
                <w:tab w:val="left" w:pos="0"/>
                <w:tab w:val="left" w:pos="0"/>
                <w:tab w:val="center" w:pos="0"/>
                <w:tab w:val="left" w:pos="0"/>
                <w:tab w:val="left" w:pos="0"/>
              </w:tabs>
              <w:rPr>
                <w:rFonts w:ascii="Arial" w:hAnsi="Arial" w:cs="Arial"/>
                <w:sz w:val="16"/>
              </w:rPr>
            </w:pPr>
          </w:p>
          <w:p w:rsidR="00924065" w:rsidRPr="00267AE0" w:rsidRDefault="00924065" w:rsidP="003B3977">
            <w:pPr>
              <w:widowControl w:val="0"/>
              <w:tabs>
                <w:tab w:val="left" w:pos="0"/>
                <w:tab w:val="left" w:pos="1"/>
                <w:tab w:val="left" w:pos="0"/>
                <w:tab w:val="left" w:pos="0"/>
                <w:tab w:val="left" w:pos="0"/>
                <w:tab w:val="left" w:pos="1"/>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right" w:pos="0"/>
                <w:tab w:val="left" w:leader="dot" w:pos="0"/>
                <w:tab w:val="left" w:pos="0"/>
                <w:tab w:val="left" w:pos="0"/>
                <w:tab w:val="left" w:pos="0"/>
                <w:tab w:val="left" w:pos="0"/>
                <w:tab w:val="left" w:pos="0"/>
                <w:tab w:val="left" w:pos="0"/>
                <w:tab w:val="left" w:pos="0"/>
                <w:tab w:val="center" w:pos="0"/>
                <w:tab w:val="left" w:pos="0"/>
                <w:tab w:val="left" w:pos="0"/>
              </w:tabs>
              <w:rPr>
                <w:rFonts w:ascii="Arial" w:hAnsi="Arial" w:cs="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fr-CA"/>
              </w:rPr>
            </w:pPr>
            <w:r w:rsidRPr="00267AE0">
              <w:rPr>
                <w:rFonts w:ascii="Arial" w:hAnsi="Arial" w:cs="Arial"/>
                <w:b/>
                <w:sz w:val="16"/>
              </w:rPr>
              <w:tab/>
            </w:r>
            <w:r w:rsidRPr="00267AE0">
              <w:rPr>
                <w:rFonts w:ascii="Arial" w:hAnsi="Arial" w:cs="Arial"/>
                <w:b/>
                <w:sz w:val="16"/>
                <w:lang w:val="fr-CA"/>
              </w:rPr>
              <w:t xml:space="preserve">18  </w:t>
            </w:r>
            <w:proofErr w:type="spellStart"/>
            <w:r w:rsidRPr="00267AE0">
              <w:rPr>
                <w:rFonts w:ascii="Arial" w:hAnsi="Arial" w:cs="Arial"/>
                <w:b/>
                <w:sz w:val="16"/>
                <w:lang w:val="fr-CA"/>
              </w:rPr>
              <w:t>sitting</w:t>
            </w:r>
            <w:proofErr w:type="spellEnd"/>
            <w:r w:rsidRPr="00267AE0">
              <w:rPr>
                <w:rFonts w:ascii="Arial" w:hAnsi="Arial" w:cs="Arial"/>
                <w:b/>
                <w:sz w:val="16"/>
                <w:lang w:val="fr-CA"/>
              </w:rPr>
              <w:t xml:space="preserve"> </w:t>
            </w:r>
            <w:proofErr w:type="spellStart"/>
            <w:r w:rsidRPr="00267AE0">
              <w:rPr>
                <w:rFonts w:ascii="Arial" w:hAnsi="Arial" w:cs="Arial"/>
                <w:b/>
                <w:sz w:val="16"/>
                <w:lang w:val="fr-CA"/>
              </w:rPr>
              <w:t>weeks</w:t>
            </w:r>
            <w:proofErr w:type="spellEnd"/>
            <w:r w:rsidRPr="00267AE0">
              <w:rPr>
                <w:rFonts w:ascii="Arial" w:hAnsi="Arial" w:cs="Arial"/>
                <w:b/>
                <w:sz w:val="16"/>
                <w:lang w:val="fr-CA"/>
              </w:rPr>
              <w:t>/semaines séances de la cour</w:t>
            </w:r>
          </w:p>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fr-CA"/>
              </w:rPr>
            </w:pPr>
            <w:r w:rsidRPr="00267AE0">
              <w:rPr>
                <w:rFonts w:ascii="Arial" w:hAnsi="Arial" w:cs="Arial"/>
                <w:b/>
                <w:sz w:val="16"/>
                <w:lang w:val="fr-CA"/>
              </w:rPr>
              <w:tab/>
              <w:t xml:space="preserve">87  </w:t>
            </w:r>
            <w:proofErr w:type="spellStart"/>
            <w:r w:rsidRPr="00267AE0">
              <w:rPr>
                <w:rFonts w:ascii="Arial" w:hAnsi="Arial" w:cs="Arial"/>
                <w:b/>
                <w:sz w:val="16"/>
                <w:lang w:val="fr-CA"/>
              </w:rPr>
              <w:t>sitting</w:t>
            </w:r>
            <w:proofErr w:type="spellEnd"/>
            <w:r w:rsidRPr="00267AE0">
              <w:rPr>
                <w:rFonts w:ascii="Arial" w:hAnsi="Arial" w:cs="Arial"/>
                <w:b/>
                <w:sz w:val="16"/>
                <w:lang w:val="fr-CA"/>
              </w:rPr>
              <w:t xml:space="preserve"> </w:t>
            </w:r>
            <w:proofErr w:type="spellStart"/>
            <w:r w:rsidRPr="00267AE0">
              <w:rPr>
                <w:rFonts w:ascii="Arial" w:hAnsi="Arial" w:cs="Arial"/>
                <w:b/>
                <w:sz w:val="16"/>
                <w:lang w:val="fr-CA"/>
              </w:rPr>
              <w:t>days</w:t>
            </w:r>
            <w:proofErr w:type="spellEnd"/>
            <w:r w:rsidRPr="00267AE0">
              <w:rPr>
                <w:rFonts w:ascii="Arial" w:hAnsi="Arial" w:cs="Arial"/>
                <w:b/>
                <w:sz w:val="16"/>
                <w:lang w:val="fr-CA"/>
              </w:rPr>
              <w:t>/journées séances de la cour</w:t>
            </w:r>
          </w:p>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fr-CA"/>
              </w:rPr>
            </w:pPr>
            <w:r w:rsidRPr="00267AE0">
              <w:rPr>
                <w:rFonts w:ascii="Arial" w:hAnsi="Arial" w:cs="Arial"/>
                <w:b/>
                <w:sz w:val="16"/>
                <w:lang w:val="fr-CA"/>
              </w:rPr>
              <w:tab/>
              <w:t xml:space="preserve">9  motion and </w:t>
            </w:r>
            <w:proofErr w:type="spellStart"/>
            <w:r w:rsidRPr="00267AE0">
              <w:rPr>
                <w:rFonts w:ascii="Arial" w:hAnsi="Arial" w:cs="Arial"/>
                <w:b/>
                <w:sz w:val="16"/>
                <w:lang w:val="fr-CA"/>
              </w:rPr>
              <w:t>conference</w:t>
            </w:r>
            <w:proofErr w:type="spellEnd"/>
            <w:r w:rsidRPr="00267AE0">
              <w:rPr>
                <w:rFonts w:ascii="Arial" w:hAnsi="Arial" w:cs="Arial"/>
                <w:b/>
                <w:sz w:val="16"/>
                <w:lang w:val="fr-CA"/>
              </w:rPr>
              <w:t xml:space="preserve"> </w:t>
            </w:r>
            <w:proofErr w:type="spellStart"/>
            <w:r w:rsidRPr="00267AE0">
              <w:rPr>
                <w:rFonts w:ascii="Arial" w:hAnsi="Arial" w:cs="Arial"/>
                <w:b/>
                <w:sz w:val="16"/>
                <w:lang w:val="fr-CA"/>
              </w:rPr>
              <w:t>days</w:t>
            </w:r>
            <w:proofErr w:type="spellEnd"/>
            <w:r w:rsidRPr="00267AE0">
              <w:rPr>
                <w:rFonts w:ascii="Arial" w:hAnsi="Arial" w:cs="Arial"/>
                <w:b/>
                <w:sz w:val="16"/>
                <w:lang w:val="fr-CA"/>
              </w:rPr>
              <w:t>/ journées des requêtes et des conférences</w:t>
            </w:r>
          </w:p>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r w:rsidRPr="00267AE0">
              <w:rPr>
                <w:rFonts w:ascii="Arial" w:hAnsi="Arial" w:cs="Arial"/>
                <w:b/>
                <w:sz w:val="16"/>
                <w:lang w:val="fr-CA"/>
              </w:rPr>
              <w:tab/>
            </w:r>
            <w:r w:rsidRPr="00267AE0">
              <w:rPr>
                <w:rFonts w:ascii="Arial" w:hAnsi="Arial" w:cs="Arial"/>
                <w:b/>
                <w:sz w:val="16"/>
              </w:rPr>
              <w:t xml:space="preserve">3  holidays during sitting days/ </w:t>
            </w:r>
            <w:proofErr w:type="spellStart"/>
            <w:r w:rsidRPr="00267AE0">
              <w:rPr>
                <w:rFonts w:ascii="Arial" w:hAnsi="Arial" w:cs="Arial"/>
                <w:b/>
                <w:sz w:val="16"/>
              </w:rPr>
              <w:t>jours</w:t>
            </w:r>
            <w:proofErr w:type="spellEnd"/>
            <w:r w:rsidRPr="00267AE0">
              <w:rPr>
                <w:rFonts w:ascii="Arial" w:hAnsi="Arial" w:cs="Arial"/>
                <w:b/>
                <w:sz w:val="16"/>
              </w:rPr>
              <w:t xml:space="preserve"> </w:t>
            </w:r>
            <w:proofErr w:type="spellStart"/>
            <w:r w:rsidRPr="00267AE0">
              <w:rPr>
                <w:rFonts w:ascii="Arial" w:hAnsi="Arial" w:cs="Arial"/>
                <w:b/>
                <w:sz w:val="16"/>
              </w:rPr>
              <w:t>fériés</w:t>
            </w:r>
            <w:proofErr w:type="spellEnd"/>
            <w:r w:rsidRPr="00267AE0">
              <w:rPr>
                <w:rFonts w:ascii="Arial" w:hAnsi="Arial" w:cs="Arial"/>
                <w:b/>
                <w:sz w:val="16"/>
              </w:rPr>
              <w:t xml:space="preserve"> </w:t>
            </w:r>
            <w:proofErr w:type="spellStart"/>
            <w:r w:rsidRPr="00267AE0">
              <w:rPr>
                <w:rFonts w:ascii="Arial" w:hAnsi="Arial" w:cs="Arial"/>
                <w:b/>
                <w:sz w:val="16"/>
              </w:rPr>
              <w:t>durant</w:t>
            </w:r>
            <w:proofErr w:type="spellEnd"/>
            <w:r w:rsidRPr="00267AE0">
              <w:rPr>
                <w:rFonts w:ascii="Arial" w:hAnsi="Arial" w:cs="Arial"/>
                <w:b/>
                <w:sz w:val="16"/>
              </w:rPr>
              <w:t xml:space="preserve"> les sessions</w:t>
            </w:r>
          </w:p>
        </w:tc>
      </w:tr>
      <w:tr w:rsidR="00924065" w:rsidRPr="00267AE0" w:rsidTr="003B3977">
        <w:trPr>
          <w:cantSplit/>
          <w:trHeight w:val="368"/>
        </w:trPr>
        <w:tc>
          <w:tcPr>
            <w:tcW w:w="1710" w:type="dxa"/>
            <w:tcBorders>
              <w:top w:val="nil"/>
              <w:left w:val="nil"/>
              <w:bottom w:val="nil"/>
              <w:right w:val="double" w:sz="8" w:space="0" w:color="000000"/>
            </w:tcBorders>
            <w:tcMar>
              <w:top w:w="43" w:type="dxa"/>
              <w:left w:w="120" w:type="dxa"/>
              <w:bottom w:w="29" w:type="dxa"/>
              <w:right w:w="120" w:type="dxa"/>
            </w:tcMar>
          </w:tcPr>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r w:rsidRPr="00267AE0">
              <w:rPr>
                <w:rFonts w:ascii="Arial" w:hAnsi="Arial" w:cs="Arial"/>
                <w:sz w:val="16"/>
              </w:rPr>
              <w:t>Motions:</w:t>
            </w:r>
          </w:p>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proofErr w:type="spellStart"/>
            <w:r w:rsidRPr="00267AE0">
              <w:rPr>
                <w:rFonts w:ascii="Arial" w:hAnsi="Arial" w:cs="Arial"/>
                <w:sz w:val="16"/>
              </w:rPr>
              <w:t>Requêtes</w:t>
            </w:r>
            <w:proofErr w:type="spellEnd"/>
            <w:r w:rsidRPr="00267AE0">
              <w:rPr>
                <w:rFonts w:ascii="Arial" w:hAnsi="Arial" w:cs="Arial"/>
                <w:sz w:val="16"/>
              </w:rPr>
              <w:t xml:space="preserve"> :</w:t>
            </w:r>
          </w:p>
        </w:tc>
        <w:tc>
          <w:tcPr>
            <w:tcW w:w="540" w:type="dxa"/>
            <w:tcBorders>
              <w:top w:val="double" w:sz="8" w:space="0" w:color="000000"/>
              <w:left w:val="double" w:sz="8" w:space="0" w:color="000000"/>
              <w:bottom w:val="double" w:sz="8" w:space="0" w:color="000000"/>
              <w:right w:val="double" w:sz="8" w:space="0" w:color="000000"/>
            </w:tcBorders>
            <w:shd w:val="pct30" w:color="000000" w:fill="auto"/>
            <w:tcMar>
              <w:top w:w="43" w:type="dxa"/>
              <w:left w:w="178" w:type="dxa"/>
              <w:bottom w:w="29" w:type="dxa"/>
              <w:right w:w="178" w:type="dxa"/>
            </w:tcMar>
            <w:vAlign w:val="center"/>
          </w:tcPr>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r w:rsidRPr="00267AE0">
              <w:rPr>
                <w:rFonts w:ascii="Arial" w:hAnsi="Arial" w:cs="Arial"/>
                <w:b/>
                <w:sz w:val="16"/>
              </w:rPr>
              <w:t>M</w:t>
            </w:r>
          </w:p>
        </w:tc>
        <w:tc>
          <w:tcPr>
            <w:tcW w:w="8370" w:type="dxa"/>
            <w:vMerge/>
            <w:tcBorders>
              <w:top w:val="nil"/>
              <w:left w:val="double" w:sz="8" w:space="0" w:color="000000"/>
              <w:bottom w:val="nil"/>
              <w:right w:val="nil"/>
            </w:tcBorders>
            <w:tcMar>
              <w:top w:w="43" w:type="dxa"/>
              <w:left w:w="139" w:type="dxa"/>
              <w:bottom w:w="29" w:type="dxa"/>
              <w:right w:w="120" w:type="dxa"/>
            </w:tcMar>
          </w:tcPr>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p>
        </w:tc>
      </w:tr>
      <w:tr w:rsidR="00924065" w:rsidRPr="00267AE0" w:rsidTr="003B3977">
        <w:trPr>
          <w:cantSplit/>
          <w:trHeight w:val="368"/>
        </w:trPr>
        <w:tc>
          <w:tcPr>
            <w:tcW w:w="1710" w:type="dxa"/>
            <w:tcBorders>
              <w:top w:val="nil"/>
              <w:left w:val="nil"/>
              <w:bottom w:val="nil"/>
              <w:right w:val="double" w:sz="8" w:space="0" w:color="000000"/>
            </w:tcBorders>
            <w:tcMar>
              <w:top w:w="43" w:type="dxa"/>
              <w:left w:w="120" w:type="dxa"/>
              <w:bottom w:w="29" w:type="dxa"/>
              <w:right w:w="120" w:type="dxa"/>
            </w:tcMar>
          </w:tcPr>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r w:rsidRPr="00267AE0">
              <w:rPr>
                <w:rFonts w:ascii="Arial" w:hAnsi="Arial" w:cs="Arial"/>
                <w:sz w:val="16"/>
              </w:rPr>
              <w:t>Holidays:</w:t>
            </w:r>
          </w:p>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r w:rsidRPr="00267AE0">
              <w:rPr>
                <w:rFonts w:ascii="Arial" w:hAnsi="Arial" w:cs="Arial"/>
                <w:sz w:val="16"/>
                <w:lang w:val="fr-CA"/>
              </w:rPr>
              <w:t>Jours fériés</w:t>
            </w:r>
            <w:r w:rsidRPr="00267AE0">
              <w:rPr>
                <w:rFonts w:ascii="Arial" w:hAnsi="Arial" w:cs="Arial"/>
                <w:sz w:val="16"/>
              </w:rPr>
              <w:t xml:space="preserve"> :</w:t>
            </w:r>
          </w:p>
        </w:tc>
        <w:tc>
          <w:tcPr>
            <w:tcW w:w="54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924065" w:rsidRPr="00267AE0" w:rsidRDefault="00924065" w:rsidP="003B3977">
            <w:pPr>
              <w:widowControl w:val="0"/>
              <w:tabs>
                <w:tab w:val="center" w:pos="150"/>
              </w:tabs>
              <w:rPr>
                <w:rFonts w:ascii="Arial" w:hAnsi="Arial" w:cs="Arial"/>
                <w:sz w:val="16"/>
              </w:rPr>
            </w:pPr>
            <w:r w:rsidRPr="00267AE0">
              <w:rPr>
                <w:rFonts w:ascii="Arial" w:hAnsi="Arial" w:cs="Arial"/>
                <w:b/>
                <w:sz w:val="16"/>
              </w:rPr>
              <w:tab/>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p>
        </w:tc>
      </w:tr>
    </w:tbl>
    <w:p w:rsidR="002410B8" w:rsidRPr="0022323B" w:rsidRDefault="002410B8" w:rsidP="00924065">
      <w:pPr>
        <w:jc w:val="both"/>
        <w:rPr>
          <w:lang w:val="fr-CA"/>
        </w:rPr>
      </w:pPr>
    </w:p>
    <w:sectPr w:rsidR="002410B8" w:rsidRPr="0022323B" w:rsidSect="00924065">
      <w:headerReference w:type="default" r:id="rId47"/>
      <w:footerReference w:type="default" r:id="rId48"/>
      <w:pgSz w:w="12240" w:h="15840" w:code="1"/>
      <w:pgMar w:top="720" w:right="720" w:bottom="1110" w:left="1080" w:header="144" w:footer="14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279A" w:rsidRDefault="0072279A" w:rsidP="00A87207">
      <w:r>
        <w:separator/>
      </w:r>
    </w:p>
  </w:endnote>
  <w:endnote w:type="continuationSeparator" w:id="0">
    <w:p w:rsidR="0072279A" w:rsidRDefault="0072279A" w:rsidP="00A872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871" w:rsidRDefault="009B1871">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79A" w:rsidRDefault="0004334C">
    <w:pPr>
      <w:pStyle w:val="Footer"/>
      <w:rPr>
        <w:lang w:val="fr-CA"/>
      </w:rPr>
    </w:pPr>
    <w:r w:rsidRPr="0004334C">
      <w:rPr>
        <w:lang w:val="fr-CA"/>
      </w:rPr>
      <w:pict>
        <v:rect id="_x0000_i1071" style="width:480.95pt;height:1pt" o:hralign="center" o:hrstd="t" o:hrnoshade="t" o:hr="t" fillcolor="black [3213]" stroked="f"/>
      </w:pict>
    </w:r>
  </w:p>
  <w:p w:rsidR="0072279A" w:rsidRDefault="0072279A" w:rsidP="00245129">
    <w:pPr>
      <w:tabs>
        <w:tab w:val="center" w:pos="4680"/>
      </w:tabs>
    </w:pPr>
    <w:r>
      <w:tab/>
    </w:r>
    <w:r w:rsidRPr="0009648D">
      <w:t xml:space="preserve">- </w:t>
    </w:r>
    <w:fldSimple w:instr=" PAGE   \* MERGEFORMAT ">
      <w:r w:rsidR="001602E4">
        <w:rPr>
          <w:noProof/>
        </w:rPr>
        <w:t>348</w:t>
      </w:r>
    </w:fldSimple>
    <w:r w:rsidRPr="0009648D">
      <w:t xml:space="preserve"> -</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79A" w:rsidRDefault="007227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72279A" w:rsidRDefault="007227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72279A" w:rsidRDefault="0072279A">
    <w:pPr>
      <w:tabs>
        <w:tab w:val="center" w:pos="4740"/>
      </w:tabs>
    </w:pPr>
    <w:r>
      <w:tab/>
      <w:t xml:space="preserve">- </w:t>
    </w:r>
    <w:r>
      <w:pgNum/>
    </w:r>
    <w:r>
      <w:t xml:space="preserve"> -</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79A" w:rsidRDefault="0004334C" w:rsidP="00755F22">
    <w:pPr>
      <w:tabs>
        <w:tab w:val="left" w:pos="-1440"/>
        <w:tab w:val="left" w:pos="-720"/>
      </w:tabs>
    </w:pPr>
    <w:r>
      <w:pict>
        <v:rect id="_x0000_i1075" style="width:480.95pt;height:1pt" o:hralign="center" o:hrstd="t" o:hrnoshade="t" o:hr="t" fillcolor="black [3213]" stroked="f"/>
      </w:pict>
    </w:r>
  </w:p>
  <w:p w:rsidR="0072279A" w:rsidRDefault="0072279A" w:rsidP="00EB2B90">
    <w:pPr>
      <w:tabs>
        <w:tab w:val="center" w:pos="4680"/>
      </w:tabs>
    </w:pPr>
    <w:r>
      <w:tab/>
      <w:t xml:space="preserve">- </w:t>
    </w:r>
    <w:fldSimple w:instr=" PAGE   \* MERGEFORMAT ">
      <w:r w:rsidR="001602E4">
        <w:rPr>
          <w:noProof/>
        </w:rPr>
        <w:t>364</w:t>
      </w:r>
    </w:fldSimple>
    <w:r>
      <w:t xml:space="preserve"> -</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79A" w:rsidRDefault="0004334C" w:rsidP="00EB2B90">
    <w:pPr>
      <w:tabs>
        <w:tab w:val="center" w:pos="4680"/>
      </w:tabs>
    </w:pPr>
    <w:r>
      <w:pict>
        <v:rect id="_x0000_i1076" style="width:480.95pt;height:1pt" o:hralign="center" o:hrstd="t" o:hrnoshade="t" o:hr="t" fillcolor="black [3213]" stroked="f"/>
      </w:pict>
    </w:r>
  </w:p>
  <w:p w:rsidR="0072279A" w:rsidRPr="0031432F" w:rsidRDefault="0072279A" w:rsidP="00EB2B90">
    <w:pPr>
      <w:tabs>
        <w:tab w:val="center" w:pos="4680"/>
      </w:tabs>
    </w:pPr>
    <w:r>
      <w:tab/>
      <w:t xml:space="preserve">- </w:t>
    </w:r>
    <w:fldSimple w:instr=" PAGE   \* MERGEFORMAT ">
      <w:r w:rsidR="001602E4">
        <w:rPr>
          <w:noProof/>
        </w:rPr>
        <w:t>362</w:t>
      </w:r>
    </w:fldSimple>
    <w:r>
      <w:t xml:space="preserve"> -</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79A" w:rsidRDefault="007227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72279A" w:rsidRDefault="007227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72279A" w:rsidRDefault="0072279A">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79A" w:rsidRDefault="0004334C" w:rsidP="00732DB7">
    <w:r>
      <w:pict>
        <v:rect id="_x0000_i1078" style="width:480.95pt;height:1pt" o:hralign="center" o:hrstd="t" o:hrnoshade="t" o:hr="t" fillcolor="black" stroked="f"/>
      </w:pict>
    </w:r>
  </w:p>
  <w:p w:rsidR="0072279A" w:rsidRDefault="0072279A">
    <w:pPr>
      <w:tabs>
        <w:tab w:val="center" w:pos="4740"/>
      </w:tabs>
      <w:spacing w:line="0" w:lineRule="atLeast"/>
    </w:pPr>
    <w:r>
      <w:tab/>
      <w:t xml:space="preserve">- </w:t>
    </w:r>
    <w:r>
      <w:pgNum/>
    </w:r>
    <w:r>
      <w:t xml:space="preserve"> -</w: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79A" w:rsidRDefault="0004334C">
    <w:pPr>
      <w:pStyle w:val="Footer"/>
    </w:pPr>
    <w:r>
      <w:pict>
        <v:rect id="_x0000_i1079" style="width:480.95pt;height:1pt" o:hralign="center" o:hrstd="t" o:hrnoshade="t" o:hr="t" fillcolor="black [3213]" stroked="f"/>
      </w:pict>
    </w:r>
  </w:p>
  <w:p w:rsidR="0072279A" w:rsidRPr="003C2C0F" w:rsidRDefault="0072279A" w:rsidP="00697C62">
    <w:pPr>
      <w:tabs>
        <w:tab w:val="center" w:pos="4680"/>
      </w:tabs>
    </w:pPr>
    <w:r>
      <w:tab/>
      <w:t xml:space="preserve">- </w:t>
    </w:r>
    <w:fldSimple w:instr=" PAGE   \* MERGEFORMAT ">
      <w:r w:rsidR="001602E4">
        <w:rPr>
          <w:noProof/>
        </w:rPr>
        <w:t>365</w:t>
      </w:r>
    </w:fldSimple>
    <w:r>
      <w:t xml:space="preserve"> -</w: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79A" w:rsidRDefault="007227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72279A" w:rsidRDefault="007227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72279A" w:rsidRDefault="0072279A">
    <w:pPr>
      <w:tabs>
        <w:tab w:val="center" w:pos="4740"/>
      </w:tabs>
    </w:pPr>
    <w:r>
      <w:tab/>
      <w:t xml:space="preserve">- </w:t>
    </w:r>
    <w:r>
      <w:pgNum/>
    </w:r>
    <w:r>
      <w:t xml:space="preserve"> -</w: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79A" w:rsidRDefault="007227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72279A" w:rsidRDefault="0004334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82" style="width:480.95pt;height:1pt" o:hralign="center" o:hrstd="t" o:hrnoshade="t" o:hr="t" fillcolor="black [3213]" stroked="f"/>
      </w:pict>
    </w:r>
  </w:p>
  <w:p w:rsidR="0072279A" w:rsidRDefault="0072279A" w:rsidP="00782AE4">
    <w:pPr>
      <w:tabs>
        <w:tab w:val="center" w:pos="4680"/>
      </w:tabs>
    </w:pPr>
    <w:r>
      <w:tab/>
      <w:t xml:space="preserve">- </w:t>
    </w:r>
    <w:r w:rsidR="0004334C" w:rsidRPr="001775C1">
      <w:rPr>
        <w:szCs w:val="24"/>
      </w:rPr>
      <w:fldChar w:fldCharType="begin"/>
    </w:r>
    <w:r w:rsidRPr="001775C1">
      <w:rPr>
        <w:szCs w:val="24"/>
      </w:rPr>
      <w:instrText xml:space="preserve"> PAGE   \* MERGEFORMAT </w:instrText>
    </w:r>
    <w:r w:rsidR="0004334C" w:rsidRPr="001775C1">
      <w:rPr>
        <w:szCs w:val="24"/>
      </w:rPr>
      <w:fldChar w:fldCharType="separate"/>
    </w:r>
    <w:r w:rsidR="001602E4">
      <w:rPr>
        <w:noProof/>
        <w:szCs w:val="24"/>
      </w:rPr>
      <w:t>374</w:t>
    </w:r>
    <w:r w:rsidR="0004334C" w:rsidRPr="001775C1">
      <w:rPr>
        <w:szCs w:val="24"/>
      </w:rPr>
      <w:fldChar w:fldCharType="end"/>
    </w:r>
    <w:r>
      <w:t xml:space="preserve"> -</w: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79A" w:rsidRDefault="0004334C" w:rsidP="00782AE4">
    <w:pPr>
      <w:tabs>
        <w:tab w:val="center" w:pos="4680"/>
      </w:tabs>
    </w:pPr>
    <w:r>
      <w:pict>
        <v:rect id="_x0000_i1083" style="width:480.95pt;height:1pt" o:hralign="center" o:hrstd="t" o:hrnoshade="t" o:hr="t" fillcolor="black [3213]" stroked="f"/>
      </w:pict>
    </w:r>
  </w:p>
  <w:p w:rsidR="0072279A" w:rsidRDefault="0072279A" w:rsidP="00782AE4">
    <w:pPr>
      <w:tabs>
        <w:tab w:val="center" w:pos="4680"/>
      </w:tabs>
    </w:pPr>
    <w:r>
      <w:tab/>
      <w:t xml:space="preserve">- </w:t>
    </w:r>
    <w:r w:rsidR="0004334C" w:rsidRPr="001775C1">
      <w:rPr>
        <w:szCs w:val="24"/>
      </w:rPr>
      <w:fldChar w:fldCharType="begin"/>
    </w:r>
    <w:r w:rsidRPr="001775C1">
      <w:rPr>
        <w:szCs w:val="24"/>
      </w:rPr>
      <w:instrText xml:space="preserve"> PAGE   \* MERGEFORMAT </w:instrText>
    </w:r>
    <w:r w:rsidR="0004334C" w:rsidRPr="001775C1">
      <w:rPr>
        <w:szCs w:val="24"/>
      </w:rPr>
      <w:fldChar w:fldCharType="separate"/>
    </w:r>
    <w:r w:rsidR="001602E4">
      <w:rPr>
        <w:noProof/>
        <w:szCs w:val="24"/>
      </w:rPr>
      <w:t>366</w:t>
    </w:r>
    <w:r w:rsidR="0004334C" w:rsidRPr="001775C1">
      <w:rPr>
        <w:szCs w:val="24"/>
      </w:rPr>
      <w:fldChar w:fldCharType="end"/>
    </w: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871" w:rsidRDefault="009B1871">
    <w:pPr>
      <w:pStyle w:val="Footer"/>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79A" w:rsidRPr="00924065" w:rsidRDefault="0072279A" w:rsidP="00924065">
    <w:pPr>
      <w:pStyle w:val="Footer"/>
      <w:rPr>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871" w:rsidRDefault="009B1871">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79A" w:rsidRDefault="0004334C" w:rsidP="00A87207">
    <w:pPr>
      <w:pStyle w:val="Footer"/>
    </w:pPr>
    <w:r>
      <w:pict>
        <v:rect id="_x0000_i1049" style="width:480.95pt;height:1pt" o:hralign="center" o:hrstd="t" o:hrnoshade="t" o:hr="t" fillcolor="black [3213]" stroked="f"/>
      </w:pict>
    </w:r>
  </w:p>
  <w:p w:rsidR="0072279A" w:rsidRPr="00B7374B" w:rsidRDefault="0072279A" w:rsidP="00B7374B">
    <w:pPr>
      <w:tabs>
        <w:tab w:val="center" w:pos="4680"/>
      </w:tabs>
      <w:rPr>
        <w:szCs w:val="24"/>
      </w:rPr>
    </w:pPr>
    <w:r w:rsidRPr="00954D22">
      <w:rPr>
        <w:szCs w:val="24"/>
      </w:rPr>
      <w:tab/>
      <w:t xml:space="preserve">- </w:t>
    </w:r>
    <w:r w:rsidR="0004334C" w:rsidRPr="00954D22">
      <w:rPr>
        <w:szCs w:val="24"/>
      </w:rPr>
      <w:fldChar w:fldCharType="begin"/>
    </w:r>
    <w:r w:rsidRPr="00954D22">
      <w:rPr>
        <w:szCs w:val="24"/>
      </w:rPr>
      <w:instrText xml:space="preserve"> PAGE   \* MERGEFORMAT </w:instrText>
    </w:r>
    <w:r w:rsidR="0004334C" w:rsidRPr="00954D22">
      <w:rPr>
        <w:szCs w:val="24"/>
      </w:rPr>
      <w:fldChar w:fldCharType="separate"/>
    </w:r>
    <w:r w:rsidR="001602E4">
      <w:rPr>
        <w:noProof/>
        <w:szCs w:val="24"/>
      </w:rPr>
      <w:t>346</w:t>
    </w:r>
    <w:r w:rsidR="0004334C" w:rsidRPr="00954D22">
      <w:rPr>
        <w:szCs w:val="24"/>
      </w:rPr>
      <w:fldChar w:fldCharType="end"/>
    </w:r>
    <w:r w:rsidRPr="00954D22">
      <w:rPr>
        <w:szCs w:val="24"/>
      </w:rP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79A" w:rsidRDefault="0004334C" w:rsidP="00755F22">
    <w:pPr>
      <w:tabs>
        <w:tab w:val="left" w:pos="-1440"/>
        <w:tab w:val="left" w:pos="-720"/>
      </w:tabs>
    </w:pPr>
    <w:r>
      <w:pict>
        <v:rect id="_x0000_i1050" style="width:480.95pt;height:1pt" o:hralign="center" o:hrstd="t" o:hrnoshade="t" o:hr="t" fillcolor="black [3213]" stroked="f"/>
      </w:pict>
    </w:r>
  </w:p>
  <w:p w:rsidR="0072279A" w:rsidRPr="00954D22" w:rsidRDefault="0072279A" w:rsidP="00B7374B">
    <w:pPr>
      <w:tabs>
        <w:tab w:val="center" w:pos="4680"/>
      </w:tabs>
      <w:rPr>
        <w:szCs w:val="24"/>
      </w:rPr>
    </w:pPr>
    <w:r w:rsidRPr="00954D22">
      <w:rPr>
        <w:szCs w:val="24"/>
      </w:rPr>
      <w:tab/>
      <w:t xml:space="preserve">- </w:t>
    </w:r>
    <w:r w:rsidR="0004334C">
      <w:rPr>
        <w:szCs w:val="24"/>
      </w:rPr>
      <w:fldChar w:fldCharType="begin"/>
    </w:r>
    <w:r>
      <w:rPr>
        <w:szCs w:val="24"/>
      </w:rPr>
      <w:instrText xml:space="preserve"> PAGE   \* MERGEFORMAT </w:instrText>
    </w:r>
    <w:r w:rsidR="0004334C">
      <w:rPr>
        <w:szCs w:val="24"/>
      </w:rPr>
      <w:fldChar w:fldCharType="separate"/>
    </w:r>
    <w:r w:rsidR="001602E4">
      <w:rPr>
        <w:noProof/>
        <w:szCs w:val="24"/>
      </w:rPr>
      <w:t>344</w:t>
    </w:r>
    <w:r w:rsidR="0004334C">
      <w:rPr>
        <w:szCs w:val="24"/>
      </w:rPr>
      <w:fldChar w:fldCharType="end"/>
    </w:r>
    <w:r w:rsidRPr="00954D22">
      <w:rPr>
        <w:szCs w:val="24"/>
      </w:rPr>
      <w:t xml:space="preserve"> -</w:t>
    </w:r>
  </w:p>
  <w:p w:rsidR="0072279A" w:rsidRDefault="0072279A">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79A" w:rsidRDefault="0004334C" w:rsidP="00A87207">
    <w:pPr>
      <w:pStyle w:val="Footer"/>
    </w:pPr>
    <w:r>
      <w:pict>
        <v:rect id="_x0000_i1052" style="width:480.95pt;height:1pt" o:hralign="center" o:hrstd="t" o:hrnoshade="t" o:hr="t" fillcolor="black [3213]" stroked="f"/>
      </w:pict>
    </w:r>
  </w:p>
  <w:p w:rsidR="0072279A" w:rsidRPr="00B7374B" w:rsidRDefault="0072279A" w:rsidP="00B7374B">
    <w:pPr>
      <w:tabs>
        <w:tab w:val="center" w:pos="4680"/>
      </w:tabs>
      <w:rPr>
        <w:szCs w:val="24"/>
      </w:rPr>
    </w:pPr>
    <w:r w:rsidRPr="00954D22">
      <w:rPr>
        <w:szCs w:val="24"/>
      </w:rPr>
      <w:tab/>
      <w:t xml:space="preserve">- </w:t>
    </w:r>
    <w:r w:rsidR="0004334C" w:rsidRPr="00954D22">
      <w:rPr>
        <w:szCs w:val="24"/>
      </w:rPr>
      <w:fldChar w:fldCharType="begin"/>
    </w:r>
    <w:r w:rsidRPr="00954D22">
      <w:rPr>
        <w:szCs w:val="24"/>
      </w:rPr>
      <w:instrText xml:space="preserve"> PAGE   \* MERGEFORMAT </w:instrText>
    </w:r>
    <w:r w:rsidR="0004334C" w:rsidRPr="00954D22">
      <w:rPr>
        <w:szCs w:val="24"/>
      </w:rPr>
      <w:fldChar w:fldCharType="separate"/>
    </w:r>
    <w:r>
      <w:rPr>
        <w:noProof/>
        <w:szCs w:val="24"/>
      </w:rPr>
      <w:t>348</w:t>
    </w:r>
    <w:r w:rsidR="0004334C" w:rsidRPr="00954D22">
      <w:rPr>
        <w:szCs w:val="24"/>
      </w:rPr>
      <w:fldChar w:fldCharType="end"/>
    </w:r>
    <w:r>
      <w:rPr>
        <w:szCs w:val="24"/>
      </w:rPr>
      <w:t xml:space="preserve"> -</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79A" w:rsidRDefault="0004334C"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53" style="width:480.95pt;height:1pt" o:hralign="center" o:hrstd="t" o:hrnoshade="t" o:hr="t" fillcolor="black [3213]" stroked="f"/>
      </w:pict>
    </w:r>
  </w:p>
  <w:p w:rsidR="0072279A" w:rsidRPr="00954D22" w:rsidRDefault="0072279A" w:rsidP="00B7374B">
    <w:pPr>
      <w:tabs>
        <w:tab w:val="center" w:pos="4680"/>
      </w:tabs>
      <w:rPr>
        <w:szCs w:val="24"/>
      </w:rPr>
    </w:pPr>
    <w:r w:rsidRPr="00954D22">
      <w:rPr>
        <w:szCs w:val="24"/>
      </w:rPr>
      <w:tab/>
      <w:t xml:space="preserve">- </w:t>
    </w:r>
    <w:r w:rsidR="0004334C" w:rsidRPr="00954D22">
      <w:rPr>
        <w:szCs w:val="24"/>
      </w:rPr>
      <w:fldChar w:fldCharType="begin"/>
    </w:r>
    <w:r w:rsidRPr="00954D22">
      <w:rPr>
        <w:szCs w:val="24"/>
      </w:rPr>
      <w:instrText xml:space="preserve"> PAGE   \* MERGEFORMAT </w:instrText>
    </w:r>
    <w:r w:rsidR="0004334C" w:rsidRPr="00954D22">
      <w:rPr>
        <w:szCs w:val="24"/>
      </w:rPr>
      <w:fldChar w:fldCharType="separate"/>
    </w:r>
    <w:r w:rsidR="001602E4">
      <w:rPr>
        <w:noProof/>
        <w:szCs w:val="24"/>
      </w:rPr>
      <w:t>347</w:t>
    </w:r>
    <w:r w:rsidR="0004334C" w:rsidRPr="00954D22">
      <w:rPr>
        <w:szCs w:val="24"/>
      </w:rPr>
      <w:fldChar w:fldCharType="end"/>
    </w:r>
    <w:r w:rsidRPr="00954D22">
      <w:rPr>
        <w:szCs w:val="24"/>
      </w:rPr>
      <w:t xml:space="preserve"> -</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79A" w:rsidRDefault="007227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72279A" w:rsidRDefault="007227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72279A" w:rsidRDefault="0072279A">
    <w:pPr>
      <w:tabs>
        <w:tab w:val="center" w:pos="4740"/>
      </w:tabs>
    </w:pPr>
    <w:r>
      <w:tab/>
      <w:t xml:space="preserve">- </w:t>
    </w:r>
    <w:r>
      <w:pgNum/>
    </w:r>
    <w:r>
      <w:t xml:space="preserve"> -</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79A" w:rsidRDefault="0004334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04334C">
      <w:rPr>
        <w:lang w:val="fr-CA"/>
      </w:rPr>
      <w:pict>
        <v:rect id="_x0000_i1070" style="width:480.95pt;height:1pt" o:hralign="center" o:hrstd="t" o:hrnoshade="t" o:hr="t" fillcolor="black [3213]" stroked="f"/>
      </w:pict>
    </w:r>
  </w:p>
  <w:p w:rsidR="0072279A" w:rsidRPr="0009648D" w:rsidRDefault="0072279A" w:rsidP="00ED7E83">
    <w:pPr>
      <w:tabs>
        <w:tab w:val="center" w:pos="4680"/>
      </w:tabs>
    </w:pPr>
    <w:r>
      <w:tab/>
    </w:r>
    <w:r w:rsidRPr="0009648D">
      <w:t xml:space="preserve">- </w:t>
    </w:r>
    <w:fldSimple w:instr=" PAGE   \* MERGEFORMAT ">
      <w:r w:rsidR="001602E4">
        <w:rPr>
          <w:noProof/>
        </w:rPr>
        <w:t>354</w:t>
      </w:r>
    </w:fldSimple>
    <w:r w:rsidRPr="0009648D">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279A" w:rsidRDefault="0072279A" w:rsidP="00A87207">
      <w:r>
        <w:separator/>
      </w:r>
    </w:p>
  </w:footnote>
  <w:footnote w:type="continuationSeparator" w:id="0">
    <w:p w:rsidR="0072279A" w:rsidRDefault="0072279A" w:rsidP="00A872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871" w:rsidRDefault="009B1871">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79A" w:rsidRDefault="0072279A">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30"/>
      <w:gridCol w:w="1170"/>
      <w:gridCol w:w="4080"/>
    </w:tblGrid>
    <w:tr w:rsidR="0072279A">
      <w:tc>
        <w:tcPr>
          <w:tcW w:w="4230" w:type="dxa"/>
          <w:tcMar>
            <w:left w:w="0" w:type="dxa"/>
            <w:right w:w="0" w:type="dxa"/>
          </w:tcMar>
        </w:tcPr>
        <w:p w:rsidR="0072279A" w:rsidRDefault="0072279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72279A" w:rsidRDefault="0072279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72279A" w:rsidRDefault="0072279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72279A">
      <w:trPr>
        <w:gridAfter w:val="2"/>
        <w:wAfter w:w="5250" w:type="dxa"/>
      </w:trPr>
      <w:tc>
        <w:tcPr>
          <w:tcW w:w="4230" w:type="dxa"/>
          <w:tcMar>
            <w:left w:w="0" w:type="dxa"/>
            <w:right w:w="0" w:type="dxa"/>
          </w:tcMar>
        </w:tcPr>
        <w:p w:rsidR="0072279A" w:rsidRDefault="007227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72279A" w:rsidRDefault="007227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72279A" w:rsidRPr="00755F22" w:rsidTr="00245129">
      <w:tc>
        <w:tcPr>
          <w:tcW w:w="4230" w:type="dxa"/>
          <w:tcMar>
            <w:left w:w="0" w:type="dxa"/>
            <w:right w:w="0" w:type="dxa"/>
          </w:tcMar>
        </w:tcPr>
        <w:p w:rsidR="0072279A" w:rsidRPr="00755F22" w:rsidRDefault="0072279A" w:rsidP="00831CA9">
          <w:pPr>
            <w:keepNext/>
            <w:keepLines/>
            <w:rPr>
              <w:sz w:val="20"/>
              <w:szCs w:val="20"/>
            </w:rPr>
          </w:pPr>
          <w:r w:rsidRPr="00755F22">
            <w:rPr>
              <w:sz w:val="20"/>
              <w:szCs w:val="20"/>
            </w:rPr>
            <w:t>MOTIONS</w:t>
          </w:r>
        </w:p>
      </w:tc>
      <w:tc>
        <w:tcPr>
          <w:tcW w:w="1170" w:type="dxa"/>
          <w:tcMar>
            <w:left w:w="0" w:type="dxa"/>
            <w:right w:w="0" w:type="dxa"/>
          </w:tcMar>
        </w:tcPr>
        <w:p w:rsidR="0072279A" w:rsidRPr="00755F22" w:rsidRDefault="0072279A" w:rsidP="00831CA9">
          <w:pPr>
            <w:keepLines/>
            <w:jc w:val="center"/>
            <w:rPr>
              <w:sz w:val="20"/>
              <w:szCs w:val="20"/>
            </w:rPr>
          </w:pPr>
        </w:p>
        <w:p w:rsidR="0072279A" w:rsidRPr="00755F22" w:rsidRDefault="0072279A" w:rsidP="00831CA9">
          <w:pPr>
            <w:keepLines/>
            <w:tabs>
              <w:tab w:val="left" w:pos="-1440"/>
              <w:tab w:val="left" w:pos="-720"/>
            </w:tabs>
            <w:jc w:val="center"/>
            <w:rPr>
              <w:sz w:val="20"/>
              <w:szCs w:val="20"/>
            </w:rPr>
          </w:pPr>
        </w:p>
      </w:tc>
      <w:tc>
        <w:tcPr>
          <w:tcW w:w="4080" w:type="dxa"/>
          <w:tcMar>
            <w:left w:w="0" w:type="dxa"/>
            <w:right w:w="0" w:type="dxa"/>
          </w:tcMar>
        </w:tcPr>
        <w:p w:rsidR="0072279A" w:rsidRPr="00BA6468" w:rsidRDefault="0072279A" w:rsidP="00BA6468">
          <w:pPr>
            <w:keepLines/>
            <w:rPr>
              <w:sz w:val="20"/>
              <w:szCs w:val="20"/>
              <w:lang w:val="fr-CA"/>
            </w:rPr>
          </w:pPr>
          <w:r w:rsidRPr="00BA6468">
            <w:rPr>
              <w:sz w:val="20"/>
              <w:szCs w:val="20"/>
              <w:lang w:val="fr-CA"/>
            </w:rPr>
            <w:t>REQUÊTES</w:t>
          </w:r>
        </w:p>
      </w:tc>
    </w:tr>
  </w:tbl>
  <w:p w:rsidR="0072279A" w:rsidRDefault="0072279A" w:rsidP="00831CA9">
    <w:pPr>
      <w:jc w:val="both"/>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79A" w:rsidRDefault="0072279A">
    <w:pPr>
      <w:pStyle w:val="Heade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72279A" w:rsidRPr="001602E4">
      <w:tc>
        <w:tcPr>
          <w:tcW w:w="4200" w:type="dxa"/>
          <w:tcMar>
            <w:left w:w="0" w:type="dxa"/>
            <w:right w:w="0" w:type="dxa"/>
          </w:tcMar>
        </w:tcPr>
        <w:p w:rsidR="0072279A" w:rsidRDefault="0072279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r>
            <w:rPr>
              <w:rFonts w:ascii="Times New" w:hAnsi="Times New"/>
            </w:rPr>
            <w:t>PRONOUNCEMENTS OF APPEALS RESERVED</w:t>
          </w:r>
        </w:p>
        <w:p w:rsidR="0072279A" w:rsidRDefault="0072279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1200" w:type="dxa"/>
          <w:tcMar>
            <w:left w:w="0" w:type="dxa"/>
            <w:right w:w="0" w:type="dxa"/>
          </w:tcMar>
        </w:tcPr>
        <w:p w:rsidR="0072279A" w:rsidRDefault="0072279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4080" w:type="dxa"/>
          <w:tcMar>
            <w:left w:w="0" w:type="dxa"/>
            <w:right w:w="0" w:type="dxa"/>
          </w:tcMar>
        </w:tcPr>
        <w:p w:rsidR="0072279A" w:rsidRPr="003C2C0F" w:rsidRDefault="0072279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r w:rsidRPr="003C2C0F">
            <w:rPr>
              <w:rFonts w:ascii="Times New" w:hAnsi="Times New"/>
              <w:lang w:val="fr-CA"/>
            </w:rPr>
            <w:t>JUGEMENTS RENDUS SUR LES APPELS EN DÉLIBÉRÉ</w:t>
          </w:r>
        </w:p>
        <w:p w:rsidR="0072279A" w:rsidRPr="003C2C0F" w:rsidRDefault="007227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tc>
    </w:tr>
  </w:tbl>
  <w:p w:rsidR="0072279A" w:rsidRPr="003C2C0F" w:rsidRDefault="007227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rFonts w:ascii="Times New" w:hAnsi="Times New"/>
        <w:lang w:val="fr-CA"/>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72279A" w:rsidRPr="001602E4" w:rsidTr="00245129">
      <w:tc>
        <w:tcPr>
          <w:tcW w:w="4200" w:type="dxa"/>
          <w:tcMar>
            <w:left w:w="0" w:type="dxa"/>
            <w:right w:w="0" w:type="dxa"/>
          </w:tcMar>
        </w:tcPr>
        <w:p w:rsidR="0072279A" w:rsidRPr="00FF6EEC" w:rsidRDefault="0072279A" w:rsidP="00FF6EEC">
          <w:pPr>
            <w:rPr>
              <w:sz w:val="20"/>
              <w:szCs w:val="20"/>
            </w:rPr>
          </w:pPr>
          <w:r w:rsidRPr="00FF6EEC">
            <w:rPr>
              <w:sz w:val="20"/>
              <w:szCs w:val="20"/>
            </w:rPr>
            <w:t>PRONOUNCEMENTS OF APPEALS RESERVED</w:t>
          </w:r>
        </w:p>
      </w:tc>
      <w:tc>
        <w:tcPr>
          <w:tcW w:w="1200" w:type="dxa"/>
          <w:tcMar>
            <w:left w:w="0" w:type="dxa"/>
            <w:right w:w="0" w:type="dxa"/>
          </w:tcMar>
        </w:tcPr>
        <w:p w:rsidR="0072279A" w:rsidRPr="00FF6EEC" w:rsidRDefault="0072279A" w:rsidP="00FF6EEC">
          <w:pPr>
            <w:jc w:val="center"/>
            <w:rPr>
              <w:sz w:val="20"/>
              <w:szCs w:val="20"/>
            </w:rPr>
          </w:pPr>
        </w:p>
        <w:p w:rsidR="0072279A" w:rsidRPr="00FF6EEC" w:rsidRDefault="0072279A" w:rsidP="00FF6EEC">
          <w:pPr>
            <w:jc w:val="center"/>
            <w:rPr>
              <w:sz w:val="20"/>
              <w:szCs w:val="20"/>
            </w:rPr>
          </w:pPr>
        </w:p>
        <w:p w:rsidR="0072279A" w:rsidRPr="00FF6EEC" w:rsidRDefault="0072279A" w:rsidP="00FF6EEC">
          <w:pPr>
            <w:jc w:val="center"/>
            <w:rPr>
              <w:sz w:val="20"/>
              <w:szCs w:val="20"/>
            </w:rPr>
          </w:pPr>
        </w:p>
      </w:tc>
      <w:tc>
        <w:tcPr>
          <w:tcW w:w="4080" w:type="dxa"/>
          <w:tcMar>
            <w:left w:w="0" w:type="dxa"/>
            <w:right w:w="0" w:type="dxa"/>
          </w:tcMar>
        </w:tcPr>
        <w:p w:rsidR="0072279A" w:rsidRPr="00FF6EEC" w:rsidRDefault="0072279A" w:rsidP="00FF6EEC">
          <w:pPr>
            <w:rPr>
              <w:sz w:val="20"/>
              <w:szCs w:val="20"/>
              <w:lang w:val="fr-CA"/>
            </w:rPr>
          </w:pPr>
          <w:r w:rsidRPr="00FF6EEC">
            <w:rPr>
              <w:sz w:val="20"/>
              <w:szCs w:val="20"/>
              <w:lang w:val="fr-CA"/>
            </w:rPr>
            <w:t>JUGEMENTS RENDUS SUR LES APPELS EN DÉLIBÉRÉ</w:t>
          </w:r>
        </w:p>
      </w:tc>
    </w:tr>
  </w:tbl>
  <w:p w:rsidR="0072279A" w:rsidRPr="003C2C0F" w:rsidRDefault="0072279A" w:rsidP="00697C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79A" w:rsidRDefault="0072279A">
    <w:pPr>
      <w:pStyle w:val="Heade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30"/>
      <w:gridCol w:w="1170"/>
      <w:gridCol w:w="4080"/>
    </w:tblGrid>
    <w:tr w:rsidR="0072279A">
      <w:tc>
        <w:tcPr>
          <w:tcW w:w="4230" w:type="dxa"/>
          <w:tcMar>
            <w:left w:w="0" w:type="dxa"/>
            <w:right w:w="0" w:type="dxa"/>
          </w:tcMar>
        </w:tcPr>
        <w:p w:rsidR="0072279A" w:rsidRDefault="0072279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72279A" w:rsidRDefault="0072279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72279A" w:rsidRDefault="0072279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72279A" w:rsidRDefault="0072279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72279A" w:rsidRDefault="0072279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72279A" w:rsidRDefault="0072279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72279A" w:rsidRDefault="007227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72279A" w:rsidRDefault="007227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72279A" w:rsidRPr="00782AE4" w:rsidTr="00245129">
      <w:tc>
        <w:tcPr>
          <w:tcW w:w="4230" w:type="dxa"/>
          <w:tcMar>
            <w:left w:w="0" w:type="dxa"/>
            <w:right w:w="0" w:type="dxa"/>
          </w:tcMar>
        </w:tcPr>
        <w:p w:rsidR="0072279A" w:rsidRPr="00782AE4" w:rsidRDefault="0072279A" w:rsidP="00102926">
          <w:pPr>
            <w:keepNext/>
            <w:keepLines/>
            <w:tabs>
              <w:tab w:val="left" w:pos="-1440"/>
              <w:tab w:val="left" w:pos="-720"/>
            </w:tabs>
            <w:rPr>
              <w:sz w:val="20"/>
              <w:szCs w:val="20"/>
            </w:rPr>
          </w:pPr>
          <w:r w:rsidRPr="00782AE4">
            <w:rPr>
              <w:sz w:val="20"/>
              <w:szCs w:val="20"/>
            </w:rPr>
            <w:t xml:space="preserve">HEADNOTES OF RECENT </w:t>
          </w:r>
        </w:p>
        <w:p w:rsidR="0072279A" w:rsidRPr="00782AE4" w:rsidRDefault="0072279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72279A" w:rsidRDefault="0072279A" w:rsidP="00102926">
          <w:pPr>
            <w:keepNext/>
            <w:keepLines/>
            <w:tabs>
              <w:tab w:val="left" w:pos="-1440"/>
              <w:tab w:val="left" w:pos="-720"/>
            </w:tabs>
            <w:jc w:val="center"/>
            <w:rPr>
              <w:sz w:val="20"/>
              <w:szCs w:val="20"/>
            </w:rPr>
          </w:pPr>
        </w:p>
        <w:p w:rsidR="0072279A" w:rsidRDefault="0072279A" w:rsidP="00102926">
          <w:pPr>
            <w:keepNext/>
            <w:keepLines/>
            <w:tabs>
              <w:tab w:val="left" w:pos="-1440"/>
              <w:tab w:val="left" w:pos="-720"/>
            </w:tabs>
            <w:jc w:val="center"/>
            <w:rPr>
              <w:sz w:val="20"/>
              <w:szCs w:val="20"/>
            </w:rPr>
          </w:pPr>
        </w:p>
        <w:p w:rsidR="0072279A" w:rsidRPr="00782AE4" w:rsidRDefault="0072279A" w:rsidP="00102926">
          <w:pPr>
            <w:keepNext/>
            <w:keepLines/>
            <w:tabs>
              <w:tab w:val="left" w:pos="-1440"/>
              <w:tab w:val="left" w:pos="-720"/>
            </w:tabs>
            <w:jc w:val="center"/>
            <w:rPr>
              <w:sz w:val="20"/>
              <w:szCs w:val="20"/>
            </w:rPr>
          </w:pPr>
        </w:p>
      </w:tc>
      <w:tc>
        <w:tcPr>
          <w:tcW w:w="4080" w:type="dxa"/>
          <w:tcMar>
            <w:left w:w="0" w:type="dxa"/>
            <w:right w:w="0" w:type="dxa"/>
          </w:tcMar>
        </w:tcPr>
        <w:p w:rsidR="0072279A" w:rsidRPr="00102926" w:rsidRDefault="0072279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72279A" w:rsidRPr="00782AE4" w:rsidRDefault="0072279A" w:rsidP="00102926">
          <w:pPr>
            <w:keepLines/>
            <w:tabs>
              <w:tab w:val="left" w:pos="-1440"/>
              <w:tab w:val="left" w:pos="-720"/>
            </w:tabs>
            <w:rPr>
              <w:sz w:val="20"/>
              <w:szCs w:val="20"/>
            </w:rPr>
          </w:pPr>
          <w:r w:rsidRPr="00102926">
            <w:rPr>
              <w:sz w:val="20"/>
              <w:szCs w:val="20"/>
              <w:lang w:val="fr-CA"/>
            </w:rPr>
            <w:t>RÉCENTS</w:t>
          </w:r>
        </w:p>
      </w:tc>
    </w:tr>
  </w:tbl>
  <w:p w:rsidR="0072279A" w:rsidRDefault="0072279A"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79A" w:rsidRDefault="0072279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871" w:rsidRDefault="009B1871">
    <w:pPr>
      <w:pStyle w:val="Heade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79A" w:rsidRDefault="0072279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871" w:rsidRDefault="009B1871">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10" w:type="dxa"/>
      <w:tblInd w:w="-90" w:type="dxa"/>
      <w:tblBorders>
        <w:bottom w:val="single" w:sz="8" w:space="0" w:color="auto"/>
      </w:tblBorders>
      <w:tblLayout w:type="fixed"/>
      <w:tblCellMar>
        <w:left w:w="0" w:type="dxa"/>
        <w:right w:w="0" w:type="dxa"/>
      </w:tblCellMar>
      <w:tblLook w:val="0000"/>
    </w:tblPr>
    <w:tblGrid>
      <w:gridCol w:w="4290"/>
      <w:gridCol w:w="1200"/>
      <w:gridCol w:w="4320"/>
    </w:tblGrid>
    <w:tr w:rsidR="0072279A" w:rsidRPr="0044776A" w:rsidTr="00245129">
      <w:tc>
        <w:tcPr>
          <w:tcW w:w="4290" w:type="dxa"/>
          <w:tcMar>
            <w:left w:w="0" w:type="dxa"/>
            <w:right w:w="0" w:type="dxa"/>
          </w:tcMar>
        </w:tcPr>
        <w:p w:rsidR="0072279A" w:rsidRPr="0044776A" w:rsidRDefault="0072279A"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72279A" w:rsidRPr="0044776A" w:rsidRDefault="0072279A" w:rsidP="002E2327">
          <w:pPr>
            <w:keepNext/>
            <w:keepLines/>
            <w:tabs>
              <w:tab w:val="left" w:pos="-1440"/>
              <w:tab w:val="left" w:pos="-720"/>
            </w:tabs>
            <w:jc w:val="center"/>
            <w:rPr>
              <w:sz w:val="20"/>
              <w:szCs w:val="20"/>
            </w:rPr>
          </w:pPr>
        </w:p>
        <w:p w:rsidR="0072279A" w:rsidRPr="0044776A" w:rsidRDefault="0072279A" w:rsidP="002E2327">
          <w:pPr>
            <w:keepNext/>
            <w:keepLines/>
            <w:tabs>
              <w:tab w:val="left" w:pos="-1440"/>
              <w:tab w:val="left" w:pos="-720"/>
            </w:tabs>
            <w:jc w:val="center"/>
            <w:rPr>
              <w:sz w:val="20"/>
              <w:szCs w:val="20"/>
            </w:rPr>
          </w:pPr>
        </w:p>
        <w:p w:rsidR="0072279A" w:rsidRPr="0044776A" w:rsidRDefault="0072279A" w:rsidP="002E2327">
          <w:pPr>
            <w:keepNext/>
            <w:keepLines/>
            <w:tabs>
              <w:tab w:val="left" w:pos="-1440"/>
              <w:tab w:val="left" w:pos="-720"/>
            </w:tabs>
            <w:jc w:val="center"/>
            <w:rPr>
              <w:sz w:val="20"/>
              <w:szCs w:val="20"/>
            </w:rPr>
          </w:pPr>
        </w:p>
      </w:tc>
      <w:tc>
        <w:tcPr>
          <w:tcW w:w="4320" w:type="dxa"/>
          <w:tcMar>
            <w:left w:w="0" w:type="dxa"/>
            <w:right w:w="0" w:type="dxa"/>
          </w:tcMar>
        </w:tcPr>
        <w:p w:rsidR="0072279A" w:rsidRPr="0044776A" w:rsidRDefault="0072279A" w:rsidP="002E2327">
          <w:pPr>
            <w:keepLines/>
            <w:rPr>
              <w:sz w:val="20"/>
              <w:szCs w:val="20"/>
              <w:lang w:val="fr-CA"/>
            </w:rPr>
          </w:pPr>
          <w:r w:rsidRPr="0044776A">
            <w:rPr>
              <w:sz w:val="20"/>
              <w:szCs w:val="20"/>
              <w:lang w:val="fr-CA"/>
            </w:rPr>
            <w:t>DEMANDES D'AUTORISATION D'APPEL DÉPOSÉES</w:t>
          </w:r>
        </w:p>
      </w:tc>
    </w:tr>
  </w:tbl>
  <w:p w:rsidR="0072279A" w:rsidRDefault="0072279A">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79A" w:rsidRDefault="0072279A">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72279A" w:rsidRPr="001602E4" w:rsidTr="00245129">
      <w:tc>
        <w:tcPr>
          <w:tcW w:w="4200" w:type="dxa"/>
          <w:tcMar>
            <w:left w:w="0" w:type="dxa"/>
            <w:right w:w="0" w:type="dxa"/>
          </w:tcMar>
        </w:tcPr>
        <w:p w:rsidR="0072279A" w:rsidRPr="0044776A" w:rsidRDefault="0072279A" w:rsidP="0044776A">
          <w:pPr>
            <w:keepNext/>
            <w:keepLines/>
            <w:widowControl w:val="0"/>
            <w:rPr>
              <w:sz w:val="20"/>
              <w:szCs w:val="20"/>
            </w:rPr>
          </w:pPr>
          <w:r>
            <w:rPr>
              <w:sz w:val="20"/>
              <w:szCs w:val="20"/>
            </w:rPr>
            <w:t>APPLICATIONS FOR LEAVE</w:t>
          </w:r>
        </w:p>
        <w:p w:rsidR="0072279A" w:rsidRPr="0044776A" w:rsidRDefault="0072279A"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72279A" w:rsidRPr="0044776A" w:rsidRDefault="0072279A" w:rsidP="0044776A">
          <w:pPr>
            <w:keepNext/>
            <w:keepLines/>
            <w:widowControl w:val="0"/>
            <w:jc w:val="center"/>
            <w:rPr>
              <w:sz w:val="20"/>
              <w:szCs w:val="20"/>
            </w:rPr>
          </w:pPr>
        </w:p>
        <w:p w:rsidR="0072279A" w:rsidRPr="0044776A" w:rsidRDefault="0072279A" w:rsidP="0044776A">
          <w:pPr>
            <w:keepNext/>
            <w:keepLines/>
            <w:widowControl w:val="0"/>
            <w:jc w:val="center"/>
            <w:rPr>
              <w:sz w:val="20"/>
              <w:szCs w:val="20"/>
            </w:rPr>
          </w:pPr>
        </w:p>
        <w:p w:rsidR="0072279A" w:rsidRPr="0044776A" w:rsidRDefault="0072279A" w:rsidP="0044776A">
          <w:pPr>
            <w:keepNext/>
            <w:keepLines/>
            <w:widowControl w:val="0"/>
            <w:jc w:val="center"/>
            <w:rPr>
              <w:sz w:val="20"/>
              <w:szCs w:val="20"/>
            </w:rPr>
          </w:pPr>
        </w:p>
      </w:tc>
      <w:tc>
        <w:tcPr>
          <w:tcW w:w="4080" w:type="dxa"/>
          <w:tcMar>
            <w:left w:w="0" w:type="dxa"/>
            <w:right w:w="0" w:type="dxa"/>
          </w:tcMar>
        </w:tcPr>
        <w:p w:rsidR="0072279A" w:rsidRPr="0044776A" w:rsidRDefault="0072279A" w:rsidP="0044776A">
          <w:pPr>
            <w:keepLines/>
            <w:widowControl w:val="0"/>
            <w:rPr>
              <w:sz w:val="20"/>
              <w:szCs w:val="20"/>
              <w:lang w:val="fr-CA"/>
            </w:rPr>
          </w:pPr>
          <w:r w:rsidRPr="0044776A">
            <w:rPr>
              <w:sz w:val="20"/>
              <w:szCs w:val="20"/>
              <w:lang w:val="fr-CA"/>
            </w:rPr>
            <w:t>DEMANDES SOUMISES À LA COUR DEPUIS LA DERNIÈRE PARUTION</w:t>
          </w:r>
        </w:p>
        <w:p w:rsidR="0072279A" w:rsidRPr="0044776A" w:rsidRDefault="0072279A" w:rsidP="0044776A">
          <w:pPr>
            <w:widowControl w:val="0"/>
            <w:rPr>
              <w:sz w:val="20"/>
              <w:szCs w:val="20"/>
              <w:lang w:val="fr-CA"/>
            </w:rPr>
          </w:pPr>
        </w:p>
      </w:tc>
    </w:tr>
  </w:tbl>
  <w:p w:rsidR="0072279A" w:rsidRPr="002E2327" w:rsidRDefault="0072279A">
    <w:pPr>
      <w:pStyle w:val="Header"/>
      <w:rPr>
        <w:lang w:val="fr-CA"/>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79A" w:rsidRDefault="0072279A">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72279A" w:rsidRPr="001602E4">
      <w:tc>
        <w:tcPr>
          <w:tcW w:w="4200" w:type="dxa"/>
          <w:tcMar>
            <w:left w:w="0" w:type="dxa"/>
            <w:right w:w="0" w:type="dxa"/>
          </w:tcMar>
        </w:tcPr>
        <w:p w:rsidR="0072279A" w:rsidRDefault="0072279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72279A" w:rsidRDefault="0072279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72279A" w:rsidRDefault="0072279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72279A" w:rsidRPr="00FF6BA5" w:rsidRDefault="0072279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72279A" w:rsidRPr="00FF6BA5" w:rsidRDefault="007227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72279A" w:rsidRPr="00FF6BA5" w:rsidRDefault="007227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72279A" w:rsidRPr="00FF6BA5" w:rsidRDefault="007227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72279A" w:rsidRPr="001602E4" w:rsidTr="00245129">
      <w:tc>
        <w:tcPr>
          <w:tcW w:w="4200" w:type="dxa"/>
          <w:tcMar>
            <w:left w:w="0" w:type="dxa"/>
            <w:right w:w="0" w:type="dxa"/>
          </w:tcMar>
        </w:tcPr>
        <w:p w:rsidR="0072279A" w:rsidRPr="00755F22" w:rsidRDefault="0072279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72279A" w:rsidRPr="00755F22" w:rsidRDefault="0072279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72279A" w:rsidRPr="00755F22" w:rsidRDefault="0072279A"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72279A" w:rsidRPr="00755F22" w:rsidRDefault="0072279A"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72279A" w:rsidRPr="00755F22" w:rsidRDefault="0072279A"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72279A" w:rsidRPr="00755F22" w:rsidRDefault="0072279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72279A" w:rsidRPr="00FF6BA5" w:rsidRDefault="0072279A" w:rsidP="00755F22">
    <w:pPr>
      <w:tabs>
        <w:tab w:val="left" w:pos="-1440"/>
        <w:tab w:val="left" w:pos="-720"/>
      </w:tabs>
      <w:rPr>
        <w:lang w:val="fr-C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37901"/>
  </w:hdrShapeDefaults>
  <w:footnotePr>
    <w:footnote w:id="-1"/>
    <w:footnote w:id="0"/>
  </w:footnotePr>
  <w:endnotePr>
    <w:endnote w:id="-1"/>
    <w:endnote w:id="0"/>
  </w:endnotePr>
  <w:compat/>
  <w:rsids>
    <w:rsidRoot w:val="00124235"/>
    <w:rsid w:val="00013128"/>
    <w:rsid w:val="00014ADB"/>
    <w:rsid w:val="000151B0"/>
    <w:rsid w:val="000327B2"/>
    <w:rsid w:val="0004334C"/>
    <w:rsid w:val="00092E36"/>
    <w:rsid w:val="00096BD9"/>
    <w:rsid w:val="000A46ED"/>
    <w:rsid w:val="000B3C9A"/>
    <w:rsid w:val="000B40A2"/>
    <w:rsid w:val="000C0ACD"/>
    <w:rsid w:val="000C1D53"/>
    <w:rsid w:val="000C712D"/>
    <w:rsid w:val="000F0D8A"/>
    <w:rsid w:val="00102926"/>
    <w:rsid w:val="0010587F"/>
    <w:rsid w:val="00111C6B"/>
    <w:rsid w:val="00124235"/>
    <w:rsid w:val="0013369E"/>
    <w:rsid w:val="001602E4"/>
    <w:rsid w:val="001630F7"/>
    <w:rsid w:val="00164E6D"/>
    <w:rsid w:val="00176869"/>
    <w:rsid w:val="001B5C23"/>
    <w:rsid w:val="001D0D5F"/>
    <w:rsid w:val="001D6B8C"/>
    <w:rsid w:val="001F1F83"/>
    <w:rsid w:val="002021A9"/>
    <w:rsid w:val="002139A7"/>
    <w:rsid w:val="00215F7C"/>
    <w:rsid w:val="0022323B"/>
    <w:rsid w:val="002410B8"/>
    <w:rsid w:val="00242A7B"/>
    <w:rsid w:val="00242AEE"/>
    <w:rsid w:val="00245129"/>
    <w:rsid w:val="00245146"/>
    <w:rsid w:val="00245879"/>
    <w:rsid w:val="00267FD5"/>
    <w:rsid w:val="0027091C"/>
    <w:rsid w:val="002868D0"/>
    <w:rsid w:val="002B516C"/>
    <w:rsid w:val="002C079C"/>
    <w:rsid w:val="002D6759"/>
    <w:rsid w:val="002D72EB"/>
    <w:rsid w:val="002E2327"/>
    <w:rsid w:val="002E3583"/>
    <w:rsid w:val="002E5576"/>
    <w:rsid w:val="00313303"/>
    <w:rsid w:val="003261ED"/>
    <w:rsid w:val="00331B52"/>
    <w:rsid w:val="00355967"/>
    <w:rsid w:val="00366943"/>
    <w:rsid w:val="00366E24"/>
    <w:rsid w:val="00382C47"/>
    <w:rsid w:val="00384384"/>
    <w:rsid w:val="00387177"/>
    <w:rsid w:val="003A1D0C"/>
    <w:rsid w:val="003A4291"/>
    <w:rsid w:val="003B3977"/>
    <w:rsid w:val="003D0B5F"/>
    <w:rsid w:val="003D4CDC"/>
    <w:rsid w:val="00430835"/>
    <w:rsid w:val="00432989"/>
    <w:rsid w:val="00440E24"/>
    <w:rsid w:val="00446B21"/>
    <w:rsid w:val="0044776A"/>
    <w:rsid w:val="0045145A"/>
    <w:rsid w:val="00460AFC"/>
    <w:rsid w:val="004704BD"/>
    <w:rsid w:val="0047471F"/>
    <w:rsid w:val="004B66B4"/>
    <w:rsid w:val="004C1AAC"/>
    <w:rsid w:val="004F090E"/>
    <w:rsid w:val="00527CC7"/>
    <w:rsid w:val="00571CA4"/>
    <w:rsid w:val="00582136"/>
    <w:rsid w:val="005C6840"/>
    <w:rsid w:val="005E4D2D"/>
    <w:rsid w:val="005F263E"/>
    <w:rsid w:val="005F3D4C"/>
    <w:rsid w:val="00600252"/>
    <w:rsid w:val="00612A40"/>
    <w:rsid w:val="00675479"/>
    <w:rsid w:val="00697C62"/>
    <w:rsid w:val="006A329B"/>
    <w:rsid w:val="006A75C3"/>
    <w:rsid w:val="006A7EB8"/>
    <w:rsid w:val="006B6926"/>
    <w:rsid w:val="006C3F47"/>
    <w:rsid w:val="006C4744"/>
    <w:rsid w:val="006C5F7A"/>
    <w:rsid w:val="006F350F"/>
    <w:rsid w:val="00707A29"/>
    <w:rsid w:val="0072279A"/>
    <w:rsid w:val="00732DB7"/>
    <w:rsid w:val="00755F22"/>
    <w:rsid w:val="00766E4A"/>
    <w:rsid w:val="007820CE"/>
    <w:rsid w:val="00782AE4"/>
    <w:rsid w:val="0079724F"/>
    <w:rsid w:val="007A3EAE"/>
    <w:rsid w:val="007C04FC"/>
    <w:rsid w:val="007D14B5"/>
    <w:rsid w:val="007D3E0F"/>
    <w:rsid w:val="007E76B0"/>
    <w:rsid w:val="007F387B"/>
    <w:rsid w:val="00802863"/>
    <w:rsid w:val="00815B3C"/>
    <w:rsid w:val="008267D0"/>
    <w:rsid w:val="0082783A"/>
    <w:rsid w:val="00831CA9"/>
    <w:rsid w:val="00850E1F"/>
    <w:rsid w:val="0085476B"/>
    <w:rsid w:val="00885923"/>
    <w:rsid w:val="00890FEB"/>
    <w:rsid w:val="008A53D2"/>
    <w:rsid w:val="008B61DE"/>
    <w:rsid w:val="008D292F"/>
    <w:rsid w:val="008D29B4"/>
    <w:rsid w:val="008E03DC"/>
    <w:rsid w:val="009145B5"/>
    <w:rsid w:val="00922E3D"/>
    <w:rsid w:val="00924065"/>
    <w:rsid w:val="00927205"/>
    <w:rsid w:val="00930D68"/>
    <w:rsid w:val="0093211D"/>
    <w:rsid w:val="00932DB4"/>
    <w:rsid w:val="00946242"/>
    <w:rsid w:val="0095096B"/>
    <w:rsid w:val="00970CD3"/>
    <w:rsid w:val="009723FA"/>
    <w:rsid w:val="00984546"/>
    <w:rsid w:val="00986BBB"/>
    <w:rsid w:val="00996510"/>
    <w:rsid w:val="00997814"/>
    <w:rsid w:val="009B1871"/>
    <w:rsid w:val="009B5B32"/>
    <w:rsid w:val="009C08F0"/>
    <w:rsid w:val="009D1F15"/>
    <w:rsid w:val="009D555E"/>
    <w:rsid w:val="009F75BE"/>
    <w:rsid w:val="00A0355E"/>
    <w:rsid w:val="00A375D1"/>
    <w:rsid w:val="00A51233"/>
    <w:rsid w:val="00A51D10"/>
    <w:rsid w:val="00A52A83"/>
    <w:rsid w:val="00A87207"/>
    <w:rsid w:val="00A935AA"/>
    <w:rsid w:val="00AB2201"/>
    <w:rsid w:val="00AB696F"/>
    <w:rsid w:val="00AD2E89"/>
    <w:rsid w:val="00AF1715"/>
    <w:rsid w:val="00AF3904"/>
    <w:rsid w:val="00B010C0"/>
    <w:rsid w:val="00B06F37"/>
    <w:rsid w:val="00B16D15"/>
    <w:rsid w:val="00B40A49"/>
    <w:rsid w:val="00B43E99"/>
    <w:rsid w:val="00B4740D"/>
    <w:rsid w:val="00B61629"/>
    <w:rsid w:val="00B7374B"/>
    <w:rsid w:val="00B90DC0"/>
    <w:rsid w:val="00BA116A"/>
    <w:rsid w:val="00BA4F25"/>
    <w:rsid w:val="00BA5582"/>
    <w:rsid w:val="00BA6468"/>
    <w:rsid w:val="00BB4E58"/>
    <w:rsid w:val="00BD06DA"/>
    <w:rsid w:val="00BD4217"/>
    <w:rsid w:val="00BF25F3"/>
    <w:rsid w:val="00BF37EB"/>
    <w:rsid w:val="00C1697B"/>
    <w:rsid w:val="00C50A5C"/>
    <w:rsid w:val="00C50B91"/>
    <w:rsid w:val="00C50FDF"/>
    <w:rsid w:val="00C73E1B"/>
    <w:rsid w:val="00C77713"/>
    <w:rsid w:val="00CA6203"/>
    <w:rsid w:val="00CB43D5"/>
    <w:rsid w:val="00CC4D84"/>
    <w:rsid w:val="00CD1F41"/>
    <w:rsid w:val="00CE54DE"/>
    <w:rsid w:val="00CF6F63"/>
    <w:rsid w:val="00D1335E"/>
    <w:rsid w:val="00D16C03"/>
    <w:rsid w:val="00D64901"/>
    <w:rsid w:val="00D76BDF"/>
    <w:rsid w:val="00D85433"/>
    <w:rsid w:val="00D862C1"/>
    <w:rsid w:val="00D93B50"/>
    <w:rsid w:val="00D94670"/>
    <w:rsid w:val="00DA5001"/>
    <w:rsid w:val="00DD0B49"/>
    <w:rsid w:val="00DE48DC"/>
    <w:rsid w:val="00E06DFA"/>
    <w:rsid w:val="00E356C7"/>
    <w:rsid w:val="00E5508D"/>
    <w:rsid w:val="00E64FA7"/>
    <w:rsid w:val="00E770CB"/>
    <w:rsid w:val="00E940EB"/>
    <w:rsid w:val="00EB2B90"/>
    <w:rsid w:val="00ED7E83"/>
    <w:rsid w:val="00EF4B63"/>
    <w:rsid w:val="00F0068D"/>
    <w:rsid w:val="00F0576D"/>
    <w:rsid w:val="00F15EA8"/>
    <w:rsid w:val="00F16C8D"/>
    <w:rsid w:val="00F26C61"/>
    <w:rsid w:val="00F33CCE"/>
    <w:rsid w:val="00F40249"/>
    <w:rsid w:val="00F526C8"/>
    <w:rsid w:val="00F56400"/>
    <w:rsid w:val="00F728F0"/>
    <w:rsid w:val="00F9518C"/>
    <w:rsid w:val="00F967FE"/>
    <w:rsid w:val="00FA316E"/>
    <w:rsid w:val="00FA59EF"/>
    <w:rsid w:val="00FB19A2"/>
    <w:rsid w:val="00FF6EE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79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87207"/>
    <w:pPr>
      <w:tabs>
        <w:tab w:val="center" w:pos="4680"/>
        <w:tab w:val="right" w:pos="9360"/>
      </w:tabs>
    </w:pPr>
  </w:style>
  <w:style w:type="character" w:customStyle="1" w:styleId="HeaderChar">
    <w:name w:val="Header Char"/>
    <w:basedOn w:val="DefaultParagraphFont"/>
    <w:link w:val="Header"/>
    <w:uiPriority w:val="99"/>
    <w:semiHidden/>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Ind w:w="0" w:type="dxa"/>
      <w:tblCellMar>
        <w:top w:w="0" w:type="dxa"/>
        <w:left w:w="576" w:type="dxa"/>
        <w:bottom w:w="0"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Ind w:w="0" w:type="dxa"/>
      <w:tblCellMar>
        <w:top w:w="0" w:type="dxa"/>
        <w:left w:w="576" w:type="dxa"/>
        <w:bottom w:w="0"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i/>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i/>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lang w:val="fr-CA"/>
    </w:rPr>
  </w:style>
  <w:style w:type="paragraph" w:customStyle="1" w:styleId="SCCBanSummary">
    <w:name w:val="SCC.BanSummary"/>
    <w:basedOn w:val="Normal"/>
    <w:next w:val="Normal"/>
    <w:link w:val="SCCBanSummaryChar"/>
    <w:uiPriority w:val="99"/>
    <w:rsid w:val="00A51233"/>
    <w:pPr>
      <w:jc w:val="both"/>
    </w:pPr>
    <w:rPr>
      <w:rFonts w:eastAsia="Calibri" w:cs="Times New Roman"/>
      <w:smallCaps/>
    </w:rPr>
  </w:style>
  <w:style w:type="character" w:customStyle="1" w:styleId="SCCBanSummaryChar">
    <w:name w:val="SCC.BanSummary Char"/>
    <w:basedOn w:val="DefaultParagraphFont"/>
    <w:link w:val="SCCBanSummary"/>
    <w:uiPriority w:val="99"/>
    <w:rsid w:val="00A51233"/>
    <w:rPr>
      <w:rFonts w:eastAsia="Calibri" w:cs="Times New Roman"/>
      <w:smallCaps/>
      <w:lang w:val="en-CA"/>
    </w:rPr>
  </w:style>
  <w:style w:type="paragraph" w:customStyle="1" w:styleId="SCCFileNumber">
    <w:name w:val="SCC.FileNumber"/>
    <w:basedOn w:val="Normal"/>
    <w:next w:val="Normal"/>
    <w:link w:val="SCCFileNumberChar"/>
    <w:rsid w:val="00092E36"/>
    <w:pPr>
      <w:jc w:val="center"/>
    </w:pPr>
    <w:rPr>
      <w:b/>
      <w:szCs w:val="24"/>
      <w:lang w:val="fr-CA"/>
    </w:rPr>
  </w:style>
  <w:style w:type="character" w:customStyle="1" w:styleId="SCCFileNumberChar">
    <w:name w:val="SCC.FileNumber Char"/>
    <w:basedOn w:val="DefaultParagraphFont"/>
    <w:link w:val="SCCFileNumber"/>
    <w:rsid w:val="00092E36"/>
    <w:rPr>
      <w:b/>
      <w:szCs w:val="24"/>
      <w:lang w:val="fr-CA"/>
    </w:rPr>
  </w:style>
  <w:style w:type="paragraph" w:customStyle="1" w:styleId="SCCLsoc">
    <w:name w:val="SCC.Lsoc"/>
    <w:basedOn w:val="Normal"/>
    <w:next w:val="Normal"/>
    <w:link w:val="SCCLsocChar"/>
    <w:rsid w:val="00092E36"/>
    <w:pPr>
      <w:jc w:val="center"/>
    </w:pPr>
    <w:rPr>
      <w:b/>
      <w:szCs w:val="24"/>
      <w:u w:val="single"/>
      <w:lang w:val="fr-CA"/>
    </w:rPr>
  </w:style>
  <w:style w:type="character" w:customStyle="1" w:styleId="SCCLsocChar">
    <w:name w:val="SCC.Lsoc Char"/>
    <w:basedOn w:val="DefaultParagraphFont"/>
    <w:link w:val="SCCLsoc"/>
    <w:rsid w:val="00092E36"/>
    <w:rPr>
      <w:b/>
      <w:szCs w:val="24"/>
      <w:u w:val="single"/>
      <w:lang w:val="fr-CA"/>
    </w:rPr>
  </w:style>
  <w:style w:type="paragraph" w:customStyle="1" w:styleId="SCCCoram">
    <w:name w:val="SCC.Coram"/>
    <w:basedOn w:val="Normal"/>
    <w:next w:val="Normal"/>
    <w:link w:val="SCCCoramChar"/>
    <w:rsid w:val="00092E36"/>
    <w:pPr>
      <w:jc w:val="center"/>
    </w:pPr>
    <w:rPr>
      <w:szCs w:val="24"/>
      <w:u w:val="single"/>
      <w:lang w:val="fr-CA"/>
    </w:rPr>
  </w:style>
  <w:style w:type="character" w:customStyle="1" w:styleId="SCCCoramChar">
    <w:name w:val="SCC.Coram Char"/>
    <w:basedOn w:val="DefaultParagraphFont"/>
    <w:link w:val="SCCCoram"/>
    <w:rsid w:val="00092E36"/>
    <w:rPr>
      <w:szCs w:val="24"/>
      <w:u w:val="single"/>
      <w:lang w:val="fr-CA"/>
    </w:rPr>
  </w:style>
  <w:style w:type="paragraph" w:customStyle="1" w:styleId="SCCShortJudgment">
    <w:name w:val="SCC.ShortJudgment"/>
    <w:basedOn w:val="Normal"/>
    <w:qFormat/>
    <w:rsid w:val="00092E36"/>
    <w:pPr>
      <w:ind w:firstLine="720"/>
      <w:jc w:val="both"/>
    </w:pPr>
    <w:rPr>
      <w:sz w:val="2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16.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oter" Target="footer13.xml"/><Relationship Id="rId42" Type="http://schemas.openxmlformats.org/officeDocument/2006/relationships/header" Target="header18.xml"/><Relationship Id="rId47" Type="http://schemas.openxmlformats.org/officeDocument/2006/relationships/header" Target="header20.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3.xml"/><Relationship Id="rId38" Type="http://schemas.openxmlformats.org/officeDocument/2006/relationships/footer" Target="footer15.xml"/><Relationship Id="rId46" Type="http://schemas.openxmlformats.org/officeDocument/2006/relationships/footer" Target="footer1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12.xml"/><Relationship Id="rId37" Type="http://schemas.openxmlformats.org/officeDocument/2006/relationships/footer" Target="footer14.xml"/><Relationship Id="rId40" Type="http://schemas.openxmlformats.org/officeDocument/2006/relationships/footer" Target="footer16.xml"/><Relationship Id="rId45"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10.xml"/><Relationship Id="rId36" Type="http://schemas.openxmlformats.org/officeDocument/2006/relationships/header" Target="header15.xml"/><Relationship Id="rId49"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11.xml"/><Relationship Id="rId44" Type="http://schemas.openxmlformats.org/officeDocument/2006/relationships/footer" Target="footer1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4.xml"/><Relationship Id="rId43" Type="http://schemas.openxmlformats.org/officeDocument/2006/relationships/footer" Target="footer17.xml"/><Relationship Id="rId48" Type="http://schemas.openxmlformats.org/officeDocument/2006/relationships/footer" Target="footer20.xml"/><Relationship Id="rId8"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3D5DE-3440-44BF-B147-2853FE2E3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14444</Words>
  <Characters>82337</Characters>
  <Application>Microsoft Office Word</Application>
  <DocSecurity>0</DocSecurity>
  <Lines>686</Lines>
  <Paragraphs>193</Paragraphs>
  <ScaleCrop>false</ScaleCrop>
  <Company/>
  <LinksUpToDate>false</LinksUpToDate>
  <CharactersWithSpaces>96588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2011-03-14T12:59:00Z</dcterms:created>
  <dcterms:modified xsi:type="dcterms:W3CDTF">2011-03-14T13:00:00Z</dcterms:modified>
</cp:coreProperties>
</file>