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FD412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FD412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412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FD412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FD412A" w:rsidTr="002E5576">
        <w:tc>
          <w:tcPr>
            <w:tcW w:w="4518" w:type="dxa"/>
          </w:tcPr>
          <w:p w:rsidR="00BF25F3" w:rsidRPr="002E2327" w:rsidRDefault="00CF05D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CF05D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A21C70" w:rsidP="00F0068D">
      <w:pPr>
        <w:pBdr>
          <w:bottom w:val="single" w:sz="6" w:space="1" w:color="auto"/>
        </w:pBdr>
        <w:tabs>
          <w:tab w:val="center" w:pos="4680"/>
          <w:tab w:val="right" w:pos="9360"/>
        </w:tabs>
        <w:rPr>
          <w:lang w:val="fr-CA"/>
        </w:rPr>
      </w:pPr>
      <w:r>
        <w:rPr>
          <w:lang w:val="fr-CA"/>
        </w:rPr>
        <w:t>May 6</w:t>
      </w:r>
      <w:r w:rsidR="00440E24" w:rsidRPr="00675479">
        <w:rPr>
          <w:lang w:val="fr-CA"/>
        </w:rPr>
        <w:t>, 201</w:t>
      </w:r>
      <w:r>
        <w:rPr>
          <w:lang w:val="fr-CA"/>
        </w:rPr>
        <w:t>1</w:t>
      </w:r>
      <w:r w:rsidR="00F0068D" w:rsidRPr="00675479">
        <w:rPr>
          <w:lang w:val="fr-CA"/>
        </w:rPr>
        <w:tab/>
      </w:r>
      <w:r>
        <w:rPr>
          <w:lang w:val="fr-CA"/>
        </w:rPr>
        <w:t>685</w:t>
      </w:r>
      <w:r w:rsidR="00F0068D" w:rsidRPr="00675479">
        <w:rPr>
          <w:lang w:val="fr-CA"/>
        </w:rPr>
        <w:t xml:space="preserve"> - </w:t>
      </w:r>
      <w:r w:rsidR="007B1BA8">
        <w:rPr>
          <w:lang w:val="fr-CA"/>
        </w:rPr>
        <w:t>73</w:t>
      </w:r>
      <w:r w:rsidR="00B92821">
        <w:rPr>
          <w:lang w:val="fr-CA"/>
        </w:rPr>
        <w:t>8</w:t>
      </w:r>
      <w:r w:rsidR="00440E24" w:rsidRPr="00675479">
        <w:rPr>
          <w:lang w:val="fr-CA"/>
        </w:rPr>
        <w:tab/>
      </w:r>
      <w:r w:rsidR="00440E24" w:rsidRPr="002E2327">
        <w:rPr>
          <w:lang w:val="fr-CA"/>
        </w:rPr>
        <w:t xml:space="preserve">Le </w:t>
      </w:r>
      <w:r>
        <w:rPr>
          <w:lang w:val="fr-CA"/>
        </w:rPr>
        <w:t xml:space="preserve">6 mai </w:t>
      </w:r>
      <w:r w:rsidR="00440E24" w:rsidRPr="002E2327">
        <w:rPr>
          <w:lang w:val="fr-CA"/>
        </w:rPr>
        <w:t>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(Print)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65791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intervention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5E3C63">
            <w:pPr>
              <w:tabs>
                <w:tab w:val="right" w:pos="9360"/>
              </w:tabs>
              <w:rPr>
                <w:rFonts w:cs="Times New Roman"/>
                <w:sz w:val="20"/>
                <w:szCs w:val="20"/>
              </w:rPr>
            </w:pPr>
          </w:p>
        </w:tc>
        <w:tc>
          <w:tcPr>
            <w:tcW w:w="1980" w:type="dxa"/>
          </w:tcPr>
          <w:p w:rsidR="0095096B" w:rsidRPr="002E2327" w:rsidRDefault="007757E5" w:rsidP="0095096B">
            <w:pPr>
              <w:jc w:val="center"/>
              <w:rPr>
                <w:rFonts w:cs="Times New Roman"/>
                <w:sz w:val="20"/>
                <w:szCs w:val="20"/>
              </w:rPr>
            </w:pPr>
            <w:r>
              <w:rPr>
                <w:rFonts w:cs="Times New Roman"/>
                <w:sz w:val="20"/>
                <w:szCs w:val="20"/>
              </w:rPr>
              <w:t xml:space="preserve">685 </w:t>
            </w:r>
            <w:r w:rsidR="00CF05D4" w:rsidRPr="002E2327">
              <w:rPr>
                <w:rFonts w:cs="Times New Roman"/>
                <w:sz w:val="20"/>
                <w:szCs w:val="20"/>
              </w:rPr>
              <w:fldChar w:fldCharType="begin"/>
            </w:r>
            <w:r w:rsidR="0095096B" w:rsidRPr="002E2327">
              <w:rPr>
                <w:rFonts w:cs="Times New Roman"/>
                <w:sz w:val="20"/>
                <w:szCs w:val="20"/>
              </w:rPr>
              <w:instrText xml:space="preserve"> SEQ CHAPTER \h \r 1</w:instrText>
            </w:r>
            <w:r w:rsidR="00CF05D4" w:rsidRPr="002E2327">
              <w:rPr>
                <w:rFonts w:cs="Times New Roman"/>
                <w:sz w:val="20"/>
                <w:szCs w:val="20"/>
              </w:rPr>
              <w:fldChar w:fldCharType="end"/>
            </w:r>
            <w:r w:rsidR="0095096B" w:rsidRPr="002E2327">
              <w:rPr>
                <w:rFonts w:cs="Times New Roman"/>
                <w:sz w:val="20"/>
                <w:szCs w:val="20"/>
              </w:rPr>
              <w:t>-</w:t>
            </w:r>
            <w:r w:rsidR="00FB60C3">
              <w:rPr>
                <w:rFonts w:cs="Times New Roman"/>
                <w:sz w:val="20"/>
                <w:szCs w:val="20"/>
              </w:rPr>
              <w:t xml:space="preserve"> 68</w:t>
            </w:r>
            <w:r w:rsidR="00B92821">
              <w:rPr>
                <w:rFonts w:cs="Times New Roman"/>
                <w:sz w:val="20"/>
                <w:szCs w:val="20"/>
              </w:rPr>
              <w:t>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60C3" w:rsidP="0095096B">
            <w:pPr>
              <w:jc w:val="center"/>
              <w:rPr>
                <w:rFonts w:cs="Times New Roman"/>
                <w:sz w:val="20"/>
                <w:szCs w:val="20"/>
              </w:rPr>
            </w:pPr>
            <w:r>
              <w:rPr>
                <w:rFonts w:cs="Times New Roman"/>
                <w:sz w:val="20"/>
                <w:szCs w:val="20"/>
              </w:rPr>
              <w:t>687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FB60C3" w:rsidP="0095096B">
            <w:pPr>
              <w:jc w:val="center"/>
              <w:rPr>
                <w:rFonts w:cs="Times New Roman"/>
                <w:sz w:val="20"/>
                <w:szCs w:val="20"/>
              </w:rPr>
            </w:pPr>
            <w:r>
              <w:rPr>
                <w:rFonts w:cs="Times New Roman"/>
                <w:sz w:val="20"/>
                <w:szCs w:val="20"/>
              </w:rPr>
              <w:t xml:space="preserve">688 </w:t>
            </w:r>
            <w:r w:rsidR="0095096B" w:rsidRPr="002E2327">
              <w:rPr>
                <w:rFonts w:cs="Times New Roman"/>
                <w:sz w:val="20"/>
                <w:szCs w:val="20"/>
              </w:rPr>
              <w:t>-</w:t>
            </w:r>
            <w:r w:rsidR="001041BF">
              <w:rPr>
                <w:rFonts w:cs="Times New Roman"/>
                <w:sz w:val="20"/>
                <w:szCs w:val="20"/>
              </w:rPr>
              <w:t xml:space="preserve"> 728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041BF" w:rsidP="0095096B">
            <w:pPr>
              <w:jc w:val="center"/>
              <w:rPr>
                <w:rFonts w:cs="Times New Roman"/>
                <w:sz w:val="20"/>
                <w:szCs w:val="20"/>
              </w:rPr>
            </w:pPr>
            <w:r>
              <w:rPr>
                <w:rFonts w:cs="Times New Roman"/>
                <w:sz w:val="20"/>
                <w:szCs w:val="20"/>
              </w:rPr>
              <w:t xml:space="preserve">729 </w:t>
            </w:r>
            <w:r w:rsidR="0095096B" w:rsidRPr="002E2327">
              <w:rPr>
                <w:rFonts w:cs="Times New Roman"/>
                <w:sz w:val="20"/>
                <w:szCs w:val="20"/>
              </w:rPr>
              <w:t>-</w:t>
            </w:r>
            <w:r>
              <w:rPr>
                <w:rFonts w:cs="Times New Roman"/>
                <w:sz w:val="20"/>
                <w:szCs w:val="20"/>
              </w:rPr>
              <w:t xml:space="preserve"> 730</w:t>
            </w:r>
          </w:p>
          <w:p w:rsidR="0095096B" w:rsidRPr="002E2327" w:rsidRDefault="0095096B" w:rsidP="0095096B">
            <w:pPr>
              <w:jc w:val="center"/>
              <w:rPr>
                <w:rFonts w:cs="Times New Roman"/>
                <w:sz w:val="20"/>
                <w:szCs w:val="20"/>
              </w:rPr>
            </w:pPr>
          </w:p>
          <w:p w:rsidR="0095096B" w:rsidRDefault="001041BF" w:rsidP="0095096B">
            <w:pPr>
              <w:jc w:val="center"/>
              <w:rPr>
                <w:rFonts w:cs="Times New Roman"/>
                <w:sz w:val="20"/>
                <w:szCs w:val="20"/>
              </w:rPr>
            </w:pPr>
            <w:r>
              <w:rPr>
                <w:rFonts w:cs="Times New Roman"/>
                <w:sz w:val="20"/>
                <w:szCs w:val="20"/>
              </w:rPr>
              <w:t>731</w:t>
            </w:r>
          </w:p>
          <w:p w:rsidR="001041BF" w:rsidRDefault="001041BF" w:rsidP="0095096B">
            <w:pPr>
              <w:jc w:val="center"/>
              <w:rPr>
                <w:rFonts w:cs="Times New Roman"/>
                <w:sz w:val="20"/>
                <w:szCs w:val="20"/>
              </w:rPr>
            </w:pPr>
          </w:p>
          <w:p w:rsidR="001041BF" w:rsidRPr="002E2327" w:rsidRDefault="001041BF" w:rsidP="0095096B">
            <w:pPr>
              <w:jc w:val="center"/>
              <w:rPr>
                <w:rFonts w:cs="Times New Roman"/>
                <w:sz w:val="20"/>
                <w:szCs w:val="20"/>
              </w:rPr>
            </w:pPr>
          </w:p>
          <w:p w:rsidR="0095096B" w:rsidRPr="002E2327" w:rsidRDefault="001041BF" w:rsidP="0095096B">
            <w:pPr>
              <w:jc w:val="center"/>
              <w:rPr>
                <w:rFonts w:cs="Times New Roman"/>
                <w:sz w:val="20"/>
                <w:szCs w:val="20"/>
              </w:rPr>
            </w:pPr>
            <w:r>
              <w:rPr>
                <w:rFonts w:cs="Times New Roman"/>
                <w:sz w:val="20"/>
                <w:szCs w:val="20"/>
              </w:rPr>
              <w:t xml:space="preserve">732 </w:t>
            </w:r>
            <w:r w:rsidR="0095096B" w:rsidRPr="002E2327">
              <w:rPr>
                <w:rFonts w:cs="Times New Roman"/>
                <w:sz w:val="20"/>
                <w:szCs w:val="20"/>
              </w:rPr>
              <w:t>-</w:t>
            </w:r>
            <w:r>
              <w:rPr>
                <w:rFonts w:cs="Times New Roman"/>
                <w:sz w:val="20"/>
                <w:szCs w:val="20"/>
              </w:rPr>
              <w:t xml:space="preserve"> 733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1041BF" w:rsidP="0095096B">
            <w:pPr>
              <w:jc w:val="center"/>
              <w:rPr>
                <w:rFonts w:cs="Times New Roman"/>
                <w:sz w:val="20"/>
                <w:szCs w:val="20"/>
              </w:rPr>
            </w:pPr>
            <w:r>
              <w:rPr>
                <w:rFonts w:cs="Times New Roman"/>
                <w:sz w:val="20"/>
                <w:szCs w:val="20"/>
              </w:rPr>
              <w:t>734</w:t>
            </w:r>
          </w:p>
          <w:p w:rsidR="0095096B" w:rsidRPr="002E2327" w:rsidRDefault="0095096B" w:rsidP="0095096B">
            <w:pPr>
              <w:jc w:val="center"/>
              <w:rPr>
                <w:rFonts w:cs="Times New Roman"/>
                <w:sz w:val="20"/>
                <w:szCs w:val="20"/>
              </w:rPr>
            </w:pPr>
          </w:p>
          <w:p w:rsidR="001041BF" w:rsidRDefault="001041BF" w:rsidP="0095096B">
            <w:pPr>
              <w:jc w:val="center"/>
              <w:rPr>
                <w:rFonts w:cs="Times New Roman"/>
                <w:sz w:val="20"/>
                <w:szCs w:val="20"/>
              </w:rPr>
            </w:pPr>
          </w:p>
          <w:p w:rsidR="0095096B" w:rsidRPr="002E2327" w:rsidRDefault="001041BF" w:rsidP="0095096B">
            <w:pPr>
              <w:jc w:val="center"/>
              <w:rPr>
                <w:rFonts w:cs="Times New Roman"/>
                <w:sz w:val="20"/>
                <w:szCs w:val="20"/>
              </w:rPr>
            </w:pPr>
            <w:r>
              <w:rPr>
                <w:rFonts w:cs="Times New Roman"/>
                <w:sz w:val="20"/>
                <w:szCs w:val="20"/>
              </w:rPr>
              <w:t xml:space="preserve">735 </w:t>
            </w:r>
            <w:r w:rsidR="0095096B" w:rsidRPr="002E2327">
              <w:rPr>
                <w:rFonts w:cs="Times New Roman"/>
                <w:sz w:val="20"/>
                <w:szCs w:val="20"/>
              </w:rPr>
              <w:t>-</w:t>
            </w:r>
            <w:r w:rsidR="007B1BA8">
              <w:rPr>
                <w:rFonts w:cs="Times New Roman"/>
                <w:sz w:val="20"/>
                <w:szCs w:val="20"/>
              </w:rPr>
              <w:t xml:space="preserve"> 73</w:t>
            </w:r>
            <w:r w:rsidR="00B92821">
              <w:rPr>
                <w:rFonts w:cs="Times New Roman"/>
                <w:sz w:val="20"/>
                <w:szCs w:val="20"/>
              </w:rPr>
              <w:t>8</w:t>
            </w:r>
          </w:p>
          <w:p w:rsidR="00A87207" w:rsidRPr="002E2327" w:rsidRDefault="00A87207" w:rsidP="005E3C63">
            <w:pPr>
              <w:jc w:val="center"/>
              <w:rPr>
                <w:rFonts w:cs="Times New Roman"/>
                <w:sz w:val="20"/>
                <w:szCs w:val="20"/>
              </w:rPr>
            </w:pPr>
          </w:p>
        </w:tc>
        <w:tc>
          <w:tcPr>
            <w:tcW w:w="3888" w:type="dxa"/>
          </w:tcPr>
          <w:p w:rsidR="0095096B" w:rsidRPr="002E2327" w:rsidRDefault="00CF05D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F3210C">
            <w:pPr>
              <w:tabs>
                <w:tab w:val="right" w:pos="9360"/>
              </w:tabs>
              <w:rPr>
                <w:rFonts w:cs="Times New Roman"/>
                <w:sz w:val="20"/>
                <w:szCs w:val="20"/>
                <w:lang w:val="fr-CA"/>
              </w:rPr>
            </w:pPr>
          </w:p>
        </w:tc>
      </w:tr>
    </w:tbl>
    <w:p w:rsidR="0095096B" w:rsidRDefault="0095096B" w:rsidP="0095096B">
      <w:pPr>
        <w:tabs>
          <w:tab w:val="right" w:pos="9360"/>
        </w:tabs>
        <w:rPr>
          <w:lang w:val="fr-CA"/>
        </w:rPr>
      </w:pPr>
    </w:p>
    <w:p w:rsidR="00657917" w:rsidRDefault="00657917" w:rsidP="0095096B">
      <w:pPr>
        <w:tabs>
          <w:tab w:val="right" w:pos="9360"/>
        </w:tabs>
        <w:rPr>
          <w:lang w:val="fr-CA"/>
        </w:rPr>
      </w:pPr>
    </w:p>
    <w:p w:rsidR="00657917" w:rsidRDefault="00657917" w:rsidP="0095096B">
      <w:pPr>
        <w:tabs>
          <w:tab w:val="right" w:pos="9360"/>
        </w:tabs>
        <w:rPr>
          <w:lang w:val="fr-CA"/>
        </w:rPr>
      </w:pPr>
    </w:p>
    <w:p w:rsidR="00657917" w:rsidRDefault="00657917" w:rsidP="0095096B">
      <w:pPr>
        <w:tabs>
          <w:tab w:val="right" w:pos="9360"/>
        </w:tabs>
        <w:rPr>
          <w:lang w:val="fr-CA"/>
        </w:rPr>
      </w:pPr>
    </w:p>
    <w:p w:rsidR="00657917" w:rsidRDefault="00657917" w:rsidP="0095096B">
      <w:pPr>
        <w:tabs>
          <w:tab w:val="right" w:pos="9360"/>
        </w:tabs>
        <w:rPr>
          <w:lang w:val="fr-CA"/>
        </w:rPr>
      </w:pPr>
    </w:p>
    <w:p w:rsidR="00657917" w:rsidRPr="00F3210C" w:rsidRDefault="00657917" w:rsidP="0095096B">
      <w:pPr>
        <w:tabs>
          <w:tab w:val="right" w:pos="9360"/>
        </w:tabs>
        <w:rPr>
          <w:lang w:val="fr-CA"/>
        </w:rPr>
      </w:pPr>
    </w:p>
    <w:tbl>
      <w:tblPr>
        <w:tblStyle w:val="TableGrid"/>
        <w:tblW w:w="0" w:type="auto"/>
        <w:tblLook w:val="04A0"/>
      </w:tblPr>
      <w:tblGrid>
        <w:gridCol w:w="9576"/>
      </w:tblGrid>
      <w:tr w:rsidR="0079724F" w:rsidRPr="00FD412A"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736DD" w:rsidRPr="007757E5" w:rsidTr="00040317">
        <w:trPr>
          <w:cantSplit/>
        </w:trPr>
        <w:tc>
          <w:tcPr>
            <w:tcW w:w="4320" w:type="dxa"/>
            <w:shd w:val="clear" w:color="auto" w:fill="auto"/>
          </w:tcPr>
          <w:p w:rsidR="002736DD" w:rsidRPr="00657917" w:rsidRDefault="00657917" w:rsidP="003B3977">
            <w:pPr>
              <w:rPr>
                <w:sz w:val="20"/>
                <w:szCs w:val="20"/>
              </w:rPr>
            </w:pPr>
            <w:r w:rsidRPr="00657917">
              <w:rPr>
                <w:b/>
                <w:sz w:val="20"/>
                <w:szCs w:val="20"/>
              </w:rPr>
              <w:t>Ibrahim Yumnu</w:t>
            </w:r>
          </w:p>
          <w:p w:rsidR="002736DD" w:rsidRDefault="00657917" w:rsidP="003B3977">
            <w:pPr>
              <w:rPr>
                <w:sz w:val="20"/>
                <w:szCs w:val="20"/>
              </w:rPr>
            </w:pPr>
            <w:r>
              <w:rPr>
                <w:sz w:val="20"/>
                <w:szCs w:val="20"/>
              </w:rPr>
              <w:tab/>
              <w:t>Gregory Lafontaine</w:t>
            </w:r>
          </w:p>
          <w:p w:rsidR="00657917" w:rsidRDefault="00657917" w:rsidP="003B3977">
            <w:pPr>
              <w:rPr>
                <w:sz w:val="20"/>
                <w:szCs w:val="20"/>
              </w:rPr>
            </w:pPr>
            <w:r>
              <w:rPr>
                <w:sz w:val="20"/>
                <w:szCs w:val="20"/>
              </w:rPr>
              <w:tab/>
              <w:t>Lafontaine &amp; Associates</w:t>
            </w:r>
          </w:p>
          <w:p w:rsidR="00657917" w:rsidRPr="00657917" w:rsidRDefault="00657917" w:rsidP="003B3977">
            <w:pPr>
              <w:rPr>
                <w:sz w:val="20"/>
                <w:szCs w:val="20"/>
              </w:rPr>
            </w:pPr>
          </w:p>
          <w:p w:rsidR="002736DD" w:rsidRPr="00657917" w:rsidRDefault="002736DD" w:rsidP="003B3977">
            <w:pPr>
              <w:rPr>
                <w:sz w:val="20"/>
                <w:szCs w:val="20"/>
              </w:rPr>
            </w:pPr>
            <w:r w:rsidRPr="00657917">
              <w:rPr>
                <w:sz w:val="20"/>
                <w:szCs w:val="20"/>
              </w:rPr>
              <w:tab/>
              <w:t>v. (34</w:t>
            </w:r>
            <w:r w:rsidR="00657917" w:rsidRPr="00657917">
              <w:rPr>
                <w:sz w:val="20"/>
                <w:szCs w:val="20"/>
              </w:rPr>
              <w:t>0</w:t>
            </w:r>
            <w:r w:rsidRPr="00657917">
              <w:rPr>
                <w:sz w:val="20"/>
                <w:szCs w:val="20"/>
              </w:rPr>
              <w:t>9</w:t>
            </w:r>
            <w:r w:rsidR="00657917" w:rsidRPr="00657917">
              <w:rPr>
                <w:sz w:val="20"/>
                <w:szCs w:val="20"/>
              </w:rPr>
              <w:t>0</w:t>
            </w:r>
            <w:r w:rsidRPr="00657917">
              <w:rPr>
                <w:sz w:val="20"/>
                <w:szCs w:val="20"/>
              </w:rPr>
              <w:t>)</w:t>
            </w:r>
          </w:p>
          <w:p w:rsidR="002736DD" w:rsidRPr="00657917" w:rsidRDefault="002736DD" w:rsidP="003B3977">
            <w:pPr>
              <w:rPr>
                <w:sz w:val="20"/>
                <w:szCs w:val="20"/>
              </w:rPr>
            </w:pPr>
          </w:p>
          <w:p w:rsidR="002736DD" w:rsidRPr="00657917" w:rsidRDefault="00657917" w:rsidP="003B3977">
            <w:pPr>
              <w:rPr>
                <w:b/>
                <w:sz w:val="20"/>
                <w:szCs w:val="20"/>
              </w:rPr>
            </w:pPr>
            <w:r w:rsidRPr="00657917">
              <w:rPr>
                <w:b/>
                <w:sz w:val="20"/>
                <w:szCs w:val="20"/>
              </w:rPr>
              <w:t>Her Majesty the Queen</w:t>
            </w:r>
            <w:r>
              <w:rPr>
                <w:b/>
                <w:sz w:val="20"/>
                <w:szCs w:val="20"/>
              </w:rPr>
              <w:t xml:space="preserve"> (Ont.)</w:t>
            </w:r>
          </w:p>
          <w:p w:rsidR="002736DD" w:rsidRDefault="002736DD" w:rsidP="003B3977">
            <w:pPr>
              <w:rPr>
                <w:sz w:val="20"/>
                <w:szCs w:val="20"/>
              </w:rPr>
            </w:pPr>
            <w:r w:rsidRPr="00657917">
              <w:rPr>
                <w:sz w:val="20"/>
                <w:szCs w:val="20"/>
              </w:rPr>
              <w:tab/>
            </w:r>
            <w:r w:rsidR="00657917">
              <w:rPr>
                <w:sz w:val="20"/>
                <w:szCs w:val="20"/>
              </w:rPr>
              <w:t>Mich</w:t>
            </w:r>
            <w:r w:rsidRPr="007757E5">
              <w:rPr>
                <w:sz w:val="20"/>
                <w:szCs w:val="20"/>
              </w:rPr>
              <w:t>al</w:t>
            </w:r>
            <w:r w:rsidR="00657917">
              <w:rPr>
                <w:sz w:val="20"/>
                <w:szCs w:val="20"/>
              </w:rPr>
              <w:t xml:space="preserve"> Fai</w:t>
            </w:r>
            <w:r>
              <w:rPr>
                <w:sz w:val="20"/>
                <w:szCs w:val="20"/>
              </w:rPr>
              <w:t>r</w:t>
            </w:r>
            <w:r w:rsidR="00657917">
              <w:rPr>
                <w:sz w:val="20"/>
                <w:szCs w:val="20"/>
              </w:rPr>
              <w:t>bur</w:t>
            </w:r>
            <w:r>
              <w:rPr>
                <w:sz w:val="20"/>
                <w:szCs w:val="20"/>
              </w:rPr>
              <w:t>n</w:t>
            </w:r>
          </w:p>
          <w:p w:rsidR="002736DD" w:rsidRDefault="002736DD" w:rsidP="003B3977">
            <w:pPr>
              <w:rPr>
                <w:sz w:val="20"/>
                <w:szCs w:val="20"/>
              </w:rPr>
            </w:pPr>
            <w:r>
              <w:rPr>
                <w:sz w:val="20"/>
                <w:szCs w:val="20"/>
              </w:rPr>
              <w:tab/>
            </w:r>
            <w:r w:rsidR="00657917">
              <w:rPr>
                <w:sz w:val="20"/>
                <w:szCs w:val="20"/>
              </w:rPr>
              <w:t>A.G. of Ontario</w:t>
            </w:r>
          </w:p>
          <w:p w:rsidR="002736DD" w:rsidRDefault="002736DD" w:rsidP="003B3977">
            <w:pPr>
              <w:rPr>
                <w:sz w:val="20"/>
                <w:szCs w:val="20"/>
              </w:rPr>
            </w:pPr>
          </w:p>
          <w:p w:rsidR="002736DD" w:rsidRDefault="002736DD" w:rsidP="003B3977">
            <w:pPr>
              <w:rPr>
                <w:sz w:val="20"/>
                <w:szCs w:val="20"/>
              </w:rPr>
            </w:pPr>
            <w:r>
              <w:rPr>
                <w:sz w:val="20"/>
                <w:szCs w:val="20"/>
              </w:rPr>
              <w:t>FILING DATE: 0</w:t>
            </w:r>
            <w:r w:rsidR="00657917">
              <w:rPr>
                <w:sz w:val="20"/>
                <w:szCs w:val="20"/>
              </w:rPr>
              <w:t>8</w:t>
            </w:r>
            <w:r>
              <w:rPr>
                <w:sz w:val="20"/>
                <w:szCs w:val="20"/>
              </w:rPr>
              <w:t>.0</w:t>
            </w:r>
            <w:r w:rsidR="00657917">
              <w:rPr>
                <w:sz w:val="20"/>
                <w:szCs w:val="20"/>
              </w:rPr>
              <w:t>2</w:t>
            </w:r>
            <w:r>
              <w:rPr>
                <w:sz w:val="20"/>
                <w:szCs w:val="20"/>
              </w:rPr>
              <w:t>.2011</w:t>
            </w:r>
          </w:p>
          <w:p w:rsidR="002736DD" w:rsidRPr="007757E5" w:rsidRDefault="00CF05D4" w:rsidP="002736DD">
            <w:pPr>
              <w:rPr>
                <w:sz w:val="20"/>
                <w:szCs w:val="20"/>
              </w:rPr>
            </w:pPr>
            <w:r w:rsidRPr="00CF05D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Default="002736DD" w:rsidP="00242AEE">
            <w:pPr>
              <w:jc w:val="center"/>
              <w:rPr>
                <w:sz w:val="20"/>
                <w:szCs w:val="20"/>
              </w:rPr>
            </w:pPr>
          </w:p>
          <w:p w:rsidR="002736DD" w:rsidRPr="007757E5" w:rsidRDefault="002736DD" w:rsidP="00242AEE">
            <w:pPr>
              <w:jc w:val="center"/>
              <w:rPr>
                <w:sz w:val="20"/>
                <w:szCs w:val="20"/>
              </w:rPr>
            </w:pPr>
          </w:p>
        </w:tc>
        <w:tc>
          <w:tcPr>
            <w:tcW w:w="4320" w:type="dxa"/>
            <w:shd w:val="clear" w:color="auto" w:fill="auto"/>
          </w:tcPr>
          <w:p w:rsidR="002736DD" w:rsidRPr="002736DD" w:rsidRDefault="00FB60C3" w:rsidP="00FE6697">
            <w:pPr>
              <w:rPr>
                <w:b/>
                <w:sz w:val="20"/>
                <w:szCs w:val="20"/>
              </w:rPr>
            </w:pPr>
            <w:r>
              <w:rPr>
                <w:b/>
                <w:sz w:val="20"/>
                <w:szCs w:val="20"/>
              </w:rPr>
              <w:t>Bradman Lee</w:t>
            </w:r>
            <w:r w:rsidR="002736DD" w:rsidRPr="002736DD">
              <w:rPr>
                <w:b/>
                <w:sz w:val="20"/>
                <w:szCs w:val="20"/>
              </w:rPr>
              <w:t xml:space="preserve"> </w:t>
            </w:r>
          </w:p>
          <w:p w:rsidR="002736DD" w:rsidRPr="00A935AA" w:rsidRDefault="00B66BAD" w:rsidP="00FE6697">
            <w:pPr>
              <w:tabs>
                <w:tab w:val="left" w:pos="-1440"/>
                <w:tab w:val="left" w:pos="-720"/>
              </w:tabs>
              <w:rPr>
                <w:sz w:val="20"/>
                <w:szCs w:val="20"/>
              </w:rPr>
            </w:pPr>
            <w:r>
              <w:rPr>
                <w:sz w:val="20"/>
                <w:szCs w:val="20"/>
              </w:rPr>
              <w:tab/>
            </w:r>
            <w:r w:rsidR="00FB60C3">
              <w:rPr>
                <w:sz w:val="20"/>
                <w:szCs w:val="20"/>
              </w:rPr>
              <w:t>Bradma</w:t>
            </w:r>
            <w:r w:rsidR="002736DD">
              <w:rPr>
                <w:sz w:val="20"/>
                <w:szCs w:val="20"/>
              </w:rPr>
              <w:t>n</w:t>
            </w:r>
            <w:r w:rsidR="00FB60C3">
              <w:rPr>
                <w:sz w:val="20"/>
                <w:szCs w:val="20"/>
              </w:rPr>
              <w:t xml:space="preserve"> Lee</w:t>
            </w:r>
          </w:p>
          <w:p w:rsidR="002736DD" w:rsidRPr="00A935AA" w:rsidRDefault="002736DD" w:rsidP="00FE6697">
            <w:pPr>
              <w:tabs>
                <w:tab w:val="left" w:pos="-1440"/>
                <w:tab w:val="left" w:pos="-720"/>
              </w:tabs>
              <w:rPr>
                <w:sz w:val="20"/>
                <w:szCs w:val="20"/>
              </w:rPr>
            </w:pPr>
          </w:p>
          <w:p w:rsidR="002736DD" w:rsidRPr="00A935AA" w:rsidRDefault="002736DD" w:rsidP="00FE6697">
            <w:pPr>
              <w:tabs>
                <w:tab w:val="left" w:pos="-1440"/>
                <w:tab w:val="left" w:pos="-720"/>
              </w:tabs>
              <w:rPr>
                <w:sz w:val="20"/>
                <w:szCs w:val="20"/>
              </w:rPr>
            </w:pPr>
            <w:r w:rsidRPr="00A935AA">
              <w:rPr>
                <w:sz w:val="20"/>
                <w:szCs w:val="20"/>
              </w:rPr>
              <w:tab/>
              <w:t>v. (3</w:t>
            </w:r>
            <w:r>
              <w:rPr>
                <w:sz w:val="20"/>
                <w:szCs w:val="20"/>
              </w:rPr>
              <w:t>4</w:t>
            </w:r>
            <w:r w:rsidR="00FB60C3">
              <w:rPr>
                <w:sz w:val="20"/>
                <w:szCs w:val="20"/>
              </w:rPr>
              <w:t>204</w:t>
            </w:r>
            <w:r w:rsidRPr="00A935AA">
              <w:rPr>
                <w:sz w:val="20"/>
                <w:szCs w:val="20"/>
              </w:rPr>
              <w:t>)</w:t>
            </w:r>
          </w:p>
          <w:p w:rsidR="002736DD" w:rsidRPr="00A935AA" w:rsidRDefault="002736DD" w:rsidP="00FE6697">
            <w:pPr>
              <w:tabs>
                <w:tab w:val="left" w:pos="-1440"/>
                <w:tab w:val="left" w:pos="-720"/>
              </w:tabs>
              <w:rPr>
                <w:sz w:val="20"/>
                <w:szCs w:val="20"/>
              </w:rPr>
            </w:pPr>
          </w:p>
          <w:p w:rsidR="002736DD" w:rsidRPr="00A935AA" w:rsidRDefault="00FB60C3" w:rsidP="00FE6697">
            <w:pPr>
              <w:tabs>
                <w:tab w:val="left" w:pos="-1440"/>
                <w:tab w:val="left" w:pos="-720"/>
              </w:tabs>
              <w:rPr>
                <w:b/>
                <w:sz w:val="20"/>
                <w:szCs w:val="20"/>
              </w:rPr>
            </w:pPr>
            <w:r>
              <w:rPr>
                <w:b/>
                <w:sz w:val="20"/>
                <w:szCs w:val="20"/>
              </w:rPr>
              <w:t>Her Majesty the Queen</w:t>
            </w:r>
            <w:r w:rsidR="002736DD">
              <w:rPr>
                <w:b/>
                <w:sz w:val="20"/>
                <w:szCs w:val="20"/>
              </w:rPr>
              <w:t xml:space="preserve"> </w:t>
            </w:r>
            <w:r w:rsidR="002736DD" w:rsidRPr="00A935AA">
              <w:rPr>
                <w:b/>
                <w:sz w:val="20"/>
                <w:szCs w:val="20"/>
              </w:rPr>
              <w:t>(</w:t>
            </w:r>
            <w:r w:rsidR="002736DD">
              <w:rPr>
                <w:b/>
                <w:sz w:val="20"/>
                <w:szCs w:val="20"/>
              </w:rPr>
              <w:t>Ont</w:t>
            </w:r>
            <w:r w:rsidR="002736DD" w:rsidRPr="00A935AA">
              <w:rPr>
                <w:b/>
                <w:sz w:val="20"/>
                <w:szCs w:val="20"/>
              </w:rPr>
              <w:t>.)</w:t>
            </w:r>
          </w:p>
          <w:p w:rsidR="002736DD" w:rsidRPr="00A935AA" w:rsidRDefault="002736DD" w:rsidP="00FE6697">
            <w:pPr>
              <w:tabs>
                <w:tab w:val="left" w:pos="-1440"/>
                <w:tab w:val="left" w:pos="-720"/>
              </w:tabs>
              <w:rPr>
                <w:sz w:val="20"/>
                <w:szCs w:val="20"/>
              </w:rPr>
            </w:pPr>
            <w:r w:rsidRPr="00A935AA">
              <w:rPr>
                <w:sz w:val="20"/>
                <w:szCs w:val="20"/>
              </w:rPr>
              <w:tab/>
            </w:r>
            <w:r w:rsidR="00FB60C3">
              <w:rPr>
                <w:sz w:val="20"/>
                <w:szCs w:val="20"/>
              </w:rPr>
              <w:t>Niall Gilks</w:t>
            </w:r>
          </w:p>
          <w:p w:rsidR="002736DD" w:rsidRPr="00A935AA" w:rsidRDefault="002736DD" w:rsidP="00FE6697">
            <w:pPr>
              <w:tabs>
                <w:tab w:val="left" w:pos="-1440"/>
                <w:tab w:val="left" w:pos="-720"/>
              </w:tabs>
              <w:rPr>
                <w:sz w:val="20"/>
                <w:szCs w:val="20"/>
              </w:rPr>
            </w:pPr>
            <w:r w:rsidRPr="00A935AA">
              <w:rPr>
                <w:sz w:val="20"/>
                <w:szCs w:val="20"/>
              </w:rPr>
              <w:tab/>
            </w:r>
            <w:r w:rsidR="00FB60C3">
              <w:rPr>
                <w:sz w:val="20"/>
                <w:szCs w:val="20"/>
              </w:rPr>
              <w:t>Public Prosecution Service of Ca</w:t>
            </w:r>
            <w:r>
              <w:rPr>
                <w:sz w:val="20"/>
                <w:szCs w:val="20"/>
              </w:rPr>
              <w:t>n</w:t>
            </w:r>
            <w:r w:rsidR="00FB60C3">
              <w:rPr>
                <w:sz w:val="20"/>
                <w:szCs w:val="20"/>
              </w:rPr>
              <w:t>ada</w:t>
            </w:r>
          </w:p>
          <w:p w:rsidR="002736DD" w:rsidRPr="00A935AA" w:rsidRDefault="002736DD" w:rsidP="00FE6697">
            <w:pPr>
              <w:tabs>
                <w:tab w:val="left" w:pos="-1440"/>
                <w:tab w:val="left" w:pos="-720"/>
              </w:tabs>
              <w:rPr>
                <w:sz w:val="20"/>
                <w:szCs w:val="20"/>
              </w:rPr>
            </w:pPr>
          </w:p>
          <w:p w:rsidR="002736DD" w:rsidRPr="00A935AA" w:rsidRDefault="002736DD" w:rsidP="00FE6697">
            <w:pPr>
              <w:rPr>
                <w:sz w:val="20"/>
                <w:szCs w:val="20"/>
              </w:rPr>
            </w:pPr>
            <w:r w:rsidRPr="00A935AA">
              <w:rPr>
                <w:sz w:val="20"/>
                <w:szCs w:val="20"/>
              </w:rPr>
              <w:t xml:space="preserve">FILING DATE: </w:t>
            </w:r>
            <w:r w:rsidR="00FB60C3">
              <w:rPr>
                <w:sz w:val="20"/>
                <w:szCs w:val="20"/>
              </w:rPr>
              <w:t>0</w:t>
            </w:r>
            <w:r>
              <w:rPr>
                <w:sz w:val="20"/>
                <w:szCs w:val="20"/>
              </w:rPr>
              <w:t>1</w:t>
            </w:r>
            <w:r w:rsidRPr="00A935AA">
              <w:rPr>
                <w:sz w:val="20"/>
                <w:szCs w:val="20"/>
              </w:rPr>
              <w:t>.0</w:t>
            </w:r>
            <w:r>
              <w:rPr>
                <w:sz w:val="20"/>
                <w:szCs w:val="20"/>
              </w:rPr>
              <w:t>4</w:t>
            </w:r>
            <w:r w:rsidRPr="00A935AA">
              <w:rPr>
                <w:sz w:val="20"/>
                <w:szCs w:val="20"/>
              </w:rPr>
              <w:t>.201</w:t>
            </w:r>
            <w:r>
              <w:rPr>
                <w:sz w:val="20"/>
                <w:szCs w:val="20"/>
              </w:rPr>
              <w:t>1</w:t>
            </w:r>
          </w:p>
          <w:p w:rsidR="002736DD" w:rsidRPr="00A935AA" w:rsidRDefault="00CF05D4" w:rsidP="00FE6697">
            <w:pPr>
              <w:rPr>
                <w:sz w:val="20"/>
                <w:szCs w:val="20"/>
              </w:rPr>
            </w:pPr>
            <w:r w:rsidRPr="00CF05D4">
              <w:rPr>
                <w:sz w:val="20"/>
                <w:szCs w:val="20"/>
                <w:lang w:val="fr-CA"/>
              </w:rPr>
              <w:pict>
                <v:rect id="_x0000_i1026" style="width:108pt;height:1pt" o:hrpct="0" o:hralign="center" o:hrstd="t" o:hrnoshade="t" o:hr="t" fillcolor="black [3213]" stroked="f"/>
              </w:pict>
            </w:r>
          </w:p>
        </w:tc>
      </w:tr>
      <w:tr w:rsidR="00657917" w:rsidRPr="007757E5" w:rsidTr="00040317">
        <w:trPr>
          <w:cantSplit/>
        </w:trPr>
        <w:tc>
          <w:tcPr>
            <w:tcW w:w="4320" w:type="dxa"/>
            <w:shd w:val="clear" w:color="auto" w:fill="auto"/>
          </w:tcPr>
          <w:p w:rsidR="00FB60C3" w:rsidRDefault="00FB60C3" w:rsidP="00657917">
            <w:pPr>
              <w:rPr>
                <w:b/>
                <w:sz w:val="20"/>
                <w:szCs w:val="20"/>
                <w:lang w:val="fr-CA"/>
              </w:rPr>
            </w:pPr>
          </w:p>
          <w:p w:rsidR="00657917" w:rsidRDefault="00657917" w:rsidP="00657917">
            <w:pPr>
              <w:rPr>
                <w:sz w:val="20"/>
                <w:szCs w:val="20"/>
                <w:lang w:val="fr-CA"/>
              </w:rPr>
            </w:pPr>
            <w:r w:rsidRPr="007757E5">
              <w:rPr>
                <w:b/>
                <w:sz w:val="20"/>
                <w:szCs w:val="20"/>
                <w:lang w:val="fr-CA"/>
              </w:rPr>
              <w:t>Datanet Information Systems, Inc. et al.</w:t>
            </w:r>
          </w:p>
          <w:p w:rsidR="00657917" w:rsidRDefault="00657917" w:rsidP="00657917">
            <w:pPr>
              <w:rPr>
                <w:sz w:val="20"/>
                <w:szCs w:val="20"/>
                <w:lang w:val="fr-CA"/>
              </w:rPr>
            </w:pPr>
          </w:p>
          <w:p w:rsidR="00657917" w:rsidRDefault="00657917" w:rsidP="00657917">
            <w:pPr>
              <w:rPr>
                <w:sz w:val="20"/>
                <w:szCs w:val="20"/>
                <w:lang w:val="fr-CA"/>
              </w:rPr>
            </w:pPr>
            <w:r>
              <w:rPr>
                <w:sz w:val="20"/>
                <w:szCs w:val="20"/>
                <w:lang w:val="fr-CA"/>
              </w:rPr>
              <w:tab/>
              <w:t>v. (34196)</w:t>
            </w:r>
          </w:p>
          <w:p w:rsidR="00657917" w:rsidRDefault="00657917" w:rsidP="00657917">
            <w:pPr>
              <w:rPr>
                <w:sz w:val="20"/>
                <w:szCs w:val="20"/>
                <w:lang w:val="fr-CA"/>
              </w:rPr>
            </w:pPr>
          </w:p>
          <w:p w:rsidR="00657917" w:rsidRPr="007757E5" w:rsidRDefault="00657917" w:rsidP="00657917">
            <w:pPr>
              <w:rPr>
                <w:b/>
                <w:sz w:val="20"/>
                <w:szCs w:val="20"/>
                <w:lang w:val="fr-CA"/>
              </w:rPr>
            </w:pPr>
            <w:r w:rsidRPr="007757E5">
              <w:rPr>
                <w:b/>
                <w:sz w:val="20"/>
                <w:szCs w:val="20"/>
                <w:lang w:val="fr-CA"/>
              </w:rPr>
              <w:t>Françoise H. Belzil et al.</w:t>
            </w:r>
            <w:r w:rsidR="00E62A55">
              <w:rPr>
                <w:b/>
                <w:sz w:val="20"/>
                <w:szCs w:val="20"/>
                <w:lang w:val="fr-CA"/>
              </w:rPr>
              <w:t xml:space="preserve"> (Alta.)</w:t>
            </w:r>
          </w:p>
          <w:p w:rsidR="00657917" w:rsidRDefault="00657917" w:rsidP="00657917">
            <w:pPr>
              <w:rPr>
                <w:sz w:val="20"/>
                <w:szCs w:val="20"/>
              </w:rPr>
            </w:pPr>
            <w:r>
              <w:rPr>
                <w:sz w:val="20"/>
                <w:szCs w:val="20"/>
                <w:lang w:val="fr-CA"/>
              </w:rPr>
              <w:tab/>
            </w:r>
            <w:r w:rsidRPr="007757E5">
              <w:rPr>
                <w:sz w:val="20"/>
                <w:szCs w:val="20"/>
              </w:rPr>
              <w:t xml:space="preserve">Donald R. </w:t>
            </w:r>
            <w:r>
              <w:rPr>
                <w:sz w:val="20"/>
                <w:szCs w:val="20"/>
              </w:rPr>
              <w:t>Cranston, Q.C.</w:t>
            </w:r>
          </w:p>
          <w:p w:rsidR="00657917" w:rsidRDefault="00657917" w:rsidP="00657917">
            <w:pPr>
              <w:rPr>
                <w:sz w:val="20"/>
                <w:szCs w:val="20"/>
              </w:rPr>
            </w:pPr>
            <w:r>
              <w:rPr>
                <w:sz w:val="20"/>
                <w:szCs w:val="20"/>
              </w:rPr>
              <w:tab/>
              <w:t>Bennett Jones LLP</w:t>
            </w:r>
          </w:p>
          <w:p w:rsidR="00657917" w:rsidRDefault="00657917" w:rsidP="00657917">
            <w:pPr>
              <w:rPr>
                <w:sz w:val="20"/>
                <w:szCs w:val="20"/>
              </w:rPr>
            </w:pPr>
          </w:p>
          <w:p w:rsidR="00657917" w:rsidRDefault="00657917" w:rsidP="00657917">
            <w:pPr>
              <w:rPr>
                <w:sz w:val="20"/>
                <w:szCs w:val="20"/>
              </w:rPr>
            </w:pPr>
            <w:r>
              <w:rPr>
                <w:sz w:val="20"/>
                <w:szCs w:val="20"/>
              </w:rPr>
              <w:t>FILING DATE: 05.04.2011</w:t>
            </w:r>
          </w:p>
          <w:p w:rsidR="00657917" w:rsidRPr="007757E5" w:rsidRDefault="00CF05D4" w:rsidP="00657917">
            <w:pPr>
              <w:rPr>
                <w:sz w:val="20"/>
                <w:szCs w:val="20"/>
              </w:rPr>
            </w:pPr>
            <w:r w:rsidRPr="00CF05D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657917" w:rsidRDefault="00657917"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p w:rsidR="00FB60C3" w:rsidRDefault="00FB60C3" w:rsidP="00242AEE">
            <w:pPr>
              <w:jc w:val="center"/>
              <w:rPr>
                <w:sz w:val="20"/>
                <w:szCs w:val="20"/>
              </w:rPr>
            </w:pPr>
          </w:p>
        </w:tc>
        <w:tc>
          <w:tcPr>
            <w:tcW w:w="4320" w:type="dxa"/>
            <w:shd w:val="clear" w:color="auto" w:fill="auto"/>
          </w:tcPr>
          <w:p w:rsidR="00657917" w:rsidRPr="002736DD" w:rsidRDefault="00657917" w:rsidP="00657917">
            <w:pPr>
              <w:rPr>
                <w:b/>
                <w:sz w:val="20"/>
                <w:szCs w:val="20"/>
              </w:rPr>
            </w:pPr>
            <w:r w:rsidRPr="002736DD">
              <w:rPr>
                <w:b/>
                <w:sz w:val="20"/>
                <w:szCs w:val="20"/>
              </w:rPr>
              <w:t xml:space="preserve">Thomas Glen Drake et al. </w:t>
            </w:r>
          </w:p>
          <w:p w:rsidR="00657917" w:rsidRPr="00A935AA" w:rsidRDefault="00657917" w:rsidP="00657917">
            <w:pPr>
              <w:tabs>
                <w:tab w:val="left" w:pos="-1440"/>
                <w:tab w:val="left" w:pos="-720"/>
              </w:tabs>
              <w:rPr>
                <w:sz w:val="20"/>
                <w:szCs w:val="20"/>
              </w:rPr>
            </w:pPr>
            <w:r>
              <w:rPr>
                <w:sz w:val="20"/>
                <w:szCs w:val="20"/>
              </w:rPr>
              <w:tab/>
              <w:t>D. Andrew Thomson</w:t>
            </w:r>
          </w:p>
          <w:p w:rsidR="00657917" w:rsidRPr="00A935AA" w:rsidRDefault="00657917" w:rsidP="00657917">
            <w:pPr>
              <w:tabs>
                <w:tab w:val="left" w:pos="-1440"/>
                <w:tab w:val="left" w:pos="-720"/>
              </w:tabs>
              <w:rPr>
                <w:sz w:val="20"/>
                <w:szCs w:val="20"/>
              </w:rPr>
            </w:pPr>
          </w:p>
          <w:p w:rsidR="00657917" w:rsidRPr="00A935AA" w:rsidRDefault="00657917" w:rsidP="00657917">
            <w:pPr>
              <w:tabs>
                <w:tab w:val="left" w:pos="-1440"/>
                <w:tab w:val="left" w:pos="-720"/>
              </w:tabs>
              <w:rPr>
                <w:sz w:val="20"/>
                <w:szCs w:val="20"/>
              </w:rPr>
            </w:pPr>
            <w:r w:rsidRPr="00A935AA">
              <w:rPr>
                <w:sz w:val="20"/>
                <w:szCs w:val="20"/>
              </w:rPr>
              <w:tab/>
              <w:t>v. (3</w:t>
            </w:r>
            <w:r>
              <w:rPr>
                <w:sz w:val="20"/>
                <w:szCs w:val="20"/>
              </w:rPr>
              <w:t>4197</w:t>
            </w:r>
            <w:r w:rsidRPr="00A935AA">
              <w:rPr>
                <w:sz w:val="20"/>
                <w:szCs w:val="20"/>
              </w:rPr>
              <w:t>)</w:t>
            </w:r>
          </w:p>
          <w:p w:rsidR="00657917" w:rsidRPr="00A935AA" w:rsidRDefault="00657917" w:rsidP="00657917">
            <w:pPr>
              <w:tabs>
                <w:tab w:val="left" w:pos="-1440"/>
                <w:tab w:val="left" w:pos="-720"/>
              </w:tabs>
              <w:rPr>
                <w:sz w:val="20"/>
                <w:szCs w:val="20"/>
              </w:rPr>
            </w:pPr>
          </w:p>
          <w:p w:rsidR="00657917" w:rsidRPr="00A935AA" w:rsidRDefault="00657917" w:rsidP="00657917">
            <w:pPr>
              <w:tabs>
                <w:tab w:val="left" w:pos="-1440"/>
                <w:tab w:val="left" w:pos="-720"/>
              </w:tabs>
              <w:rPr>
                <w:b/>
                <w:sz w:val="20"/>
                <w:szCs w:val="20"/>
              </w:rPr>
            </w:pPr>
            <w:r>
              <w:rPr>
                <w:b/>
                <w:sz w:val="20"/>
                <w:szCs w:val="20"/>
              </w:rPr>
              <w:t xml:space="preserve">Corporation of the City of Stratford </w:t>
            </w:r>
            <w:r w:rsidRPr="00A935AA">
              <w:rPr>
                <w:b/>
                <w:sz w:val="20"/>
                <w:szCs w:val="20"/>
              </w:rPr>
              <w:t>(</w:t>
            </w:r>
            <w:r>
              <w:rPr>
                <w:b/>
                <w:sz w:val="20"/>
                <w:szCs w:val="20"/>
              </w:rPr>
              <w:t>Ont</w:t>
            </w:r>
            <w:r w:rsidRPr="00A935AA">
              <w:rPr>
                <w:b/>
                <w:sz w:val="20"/>
                <w:szCs w:val="20"/>
              </w:rPr>
              <w:t>.)</w:t>
            </w:r>
          </w:p>
          <w:p w:rsidR="00657917" w:rsidRPr="00A935AA" w:rsidRDefault="00657917" w:rsidP="00657917">
            <w:pPr>
              <w:tabs>
                <w:tab w:val="left" w:pos="-1440"/>
                <w:tab w:val="left" w:pos="-720"/>
              </w:tabs>
              <w:rPr>
                <w:sz w:val="20"/>
                <w:szCs w:val="20"/>
              </w:rPr>
            </w:pPr>
            <w:r w:rsidRPr="00A935AA">
              <w:rPr>
                <w:sz w:val="20"/>
                <w:szCs w:val="20"/>
              </w:rPr>
              <w:tab/>
            </w:r>
            <w:r>
              <w:rPr>
                <w:sz w:val="20"/>
                <w:szCs w:val="20"/>
              </w:rPr>
              <w:t>Michael A. van Bodegom</w:t>
            </w:r>
          </w:p>
          <w:p w:rsidR="00657917" w:rsidRPr="00A935AA" w:rsidRDefault="00657917" w:rsidP="00657917">
            <w:pPr>
              <w:tabs>
                <w:tab w:val="left" w:pos="-1440"/>
                <w:tab w:val="left" w:pos="-720"/>
              </w:tabs>
              <w:rPr>
                <w:sz w:val="20"/>
                <w:szCs w:val="20"/>
              </w:rPr>
            </w:pPr>
            <w:r w:rsidRPr="00A935AA">
              <w:rPr>
                <w:sz w:val="20"/>
                <w:szCs w:val="20"/>
              </w:rPr>
              <w:tab/>
            </w:r>
            <w:r>
              <w:rPr>
                <w:sz w:val="20"/>
                <w:szCs w:val="20"/>
              </w:rPr>
              <w:t>White, Duncan, Linton LLP</w:t>
            </w:r>
          </w:p>
          <w:p w:rsidR="00657917" w:rsidRPr="00A935AA" w:rsidRDefault="00657917" w:rsidP="00657917">
            <w:pPr>
              <w:tabs>
                <w:tab w:val="left" w:pos="-1440"/>
                <w:tab w:val="left" w:pos="-720"/>
              </w:tabs>
              <w:rPr>
                <w:sz w:val="20"/>
                <w:szCs w:val="20"/>
              </w:rPr>
            </w:pPr>
          </w:p>
          <w:p w:rsidR="00657917" w:rsidRPr="00A935AA" w:rsidRDefault="00657917" w:rsidP="00657917">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4</w:t>
            </w:r>
            <w:r w:rsidRPr="00A935AA">
              <w:rPr>
                <w:sz w:val="20"/>
                <w:szCs w:val="20"/>
              </w:rPr>
              <w:t>.201</w:t>
            </w:r>
            <w:r>
              <w:rPr>
                <w:sz w:val="20"/>
                <w:szCs w:val="20"/>
              </w:rPr>
              <w:t>1</w:t>
            </w:r>
          </w:p>
          <w:p w:rsidR="00657917" w:rsidRPr="00A935AA" w:rsidRDefault="00CF05D4" w:rsidP="00657917">
            <w:pPr>
              <w:rPr>
                <w:sz w:val="20"/>
                <w:szCs w:val="20"/>
              </w:rPr>
            </w:pPr>
            <w:r w:rsidRPr="00CF05D4">
              <w:rPr>
                <w:sz w:val="20"/>
                <w:szCs w:val="20"/>
                <w:lang w:val="fr-CA"/>
              </w:rPr>
              <w:pict>
                <v:rect id="_x0000_i1028" style="width:108pt;height:1pt" o:hrpct="0" o:hralign="center" o:hrstd="t" o:hrnoshade="t" o:hr="t" fillcolor="black [3213]" stroked="f"/>
              </w:pict>
            </w:r>
          </w:p>
        </w:tc>
      </w:tr>
      <w:tr w:rsidR="00657917" w:rsidRPr="00A935AA" w:rsidTr="00040317">
        <w:trPr>
          <w:cantSplit/>
        </w:trPr>
        <w:tc>
          <w:tcPr>
            <w:tcW w:w="4320" w:type="dxa"/>
            <w:shd w:val="clear" w:color="auto" w:fill="auto"/>
          </w:tcPr>
          <w:p w:rsidR="00657917" w:rsidRDefault="00657917" w:rsidP="003B3977">
            <w:pPr>
              <w:rPr>
                <w:sz w:val="20"/>
                <w:szCs w:val="20"/>
              </w:rPr>
            </w:pPr>
            <w:r>
              <w:rPr>
                <w:b/>
                <w:sz w:val="20"/>
                <w:szCs w:val="20"/>
              </w:rPr>
              <w:t>Wayne Anthony Hillary</w:t>
            </w:r>
          </w:p>
          <w:p w:rsidR="00657917" w:rsidRPr="00F3210C" w:rsidRDefault="00657917" w:rsidP="002736DD">
            <w:pPr>
              <w:keepNext/>
              <w:keepLines/>
              <w:tabs>
                <w:tab w:val="left" w:pos="-1440"/>
                <w:tab w:val="left" w:pos="-720"/>
              </w:tabs>
              <w:rPr>
                <w:sz w:val="20"/>
                <w:szCs w:val="20"/>
              </w:rPr>
            </w:pPr>
            <w:r w:rsidRPr="00A935AA">
              <w:rPr>
                <w:sz w:val="20"/>
                <w:szCs w:val="20"/>
              </w:rPr>
              <w:tab/>
            </w:r>
            <w:r w:rsidRPr="00F3210C">
              <w:rPr>
                <w:sz w:val="20"/>
                <w:szCs w:val="20"/>
              </w:rPr>
              <w:t>Aadil Mangalji</w:t>
            </w:r>
          </w:p>
          <w:p w:rsidR="00657917" w:rsidRPr="00F3210C" w:rsidRDefault="00657917" w:rsidP="002736DD">
            <w:pPr>
              <w:keepNext/>
              <w:keepLines/>
              <w:tabs>
                <w:tab w:val="left" w:pos="-1440"/>
                <w:tab w:val="left" w:pos="-720"/>
              </w:tabs>
              <w:rPr>
                <w:sz w:val="20"/>
                <w:szCs w:val="20"/>
              </w:rPr>
            </w:pPr>
            <w:r w:rsidRPr="00F3210C">
              <w:rPr>
                <w:sz w:val="20"/>
                <w:szCs w:val="20"/>
              </w:rPr>
              <w:tab/>
              <w:t xml:space="preserve">Long Mangalji Immigration Law </w:t>
            </w:r>
          </w:p>
          <w:p w:rsidR="00657917" w:rsidRPr="00A935AA" w:rsidRDefault="00657917" w:rsidP="002736DD">
            <w:pPr>
              <w:keepNext/>
              <w:keepLines/>
              <w:tabs>
                <w:tab w:val="left" w:pos="-1440"/>
                <w:tab w:val="left" w:pos="-720"/>
              </w:tabs>
              <w:rPr>
                <w:sz w:val="20"/>
                <w:szCs w:val="20"/>
              </w:rPr>
            </w:pPr>
            <w:r w:rsidRPr="00F3210C">
              <w:rPr>
                <w:sz w:val="20"/>
                <w:szCs w:val="20"/>
              </w:rPr>
              <w:tab/>
            </w:r>
            <w:r>
              <w:rPr>
                <w:sz w:val="20"/>
                <w:szCs w:val="20"/>
              </w:rPr>
              <w:t>Group LLP</w:t>
            </w:r>
          </w:p>
          <w:p w:rsidR="00657917" w:rsidRPr="00A935AA" w:rsidRDefault="00657917" w:rsidP="002736DD">
            <w:pPr>
              <w:keepNext/>
              <w:keepLines/>
              <w:tabs>
                <w:tab w:val="left" w:pos="-1440"/>
                <w:tab w:val="left" w:pos="-720"/>
              </w:tabs>
              <w:rPr>
                <w:sz w:val="20"/>
                <w:szCs w:val="20"/>
              </w:rPr>
            </w:pPr>
          </w:p>
          <w:p w:rsidR="00657917" w:rsidRPr="007757E5" w:rsidRDefault="00657917" w:rsidP="002736DD">
            <w:pPr>
              <w:keepNext/>
              <w:keepLines/>
              <w:tabs>
                <w:tab w:val="left" w:pos="-1440"/>
                <w:tab w:val="left" w:pos="-720"/>
              </w:tabs>
              <w:rPr>
                <w:sz w:val="20"/>
                <w:szCs w:val="20"/>
              </w:rPr>
            </w:pPr>
            <w:r w:rsidRPr="00A935AA">
              <w:rPr>
                <w:sz w:val="20"/>
                <w:szCs w:val="20"/>
              </w:rPr>
              <w:tab/>
            </w:r>
            <w:r w:rsidRPr="007757E5">
              <w:rPr>
                <w:sz w:val="20"/>
                <w:szCs w:val="20"/>
              </w:rPr>
              <w:t>v. (34</w:t>
            </w:r>
            <w:r>
              <w:rPr>
                <w:sz w:val="20"/>
                <w:szCs w:val="20"/>
              </w:rPr>
              <w:t>199</w:t>
            </w:r>
            <w:r w:rsidRPr="007757E5">
              <w:rPr>
                <w:sz w:val="20"/>
                <w:szCs w:val="20"/>
              </w:rPr>
              <w:t>)</w:t>
            </w:r>
          </w:p>
          <w:p w:rsidR="00657917" w:rsidRPr="007757E5" w:rsidRDefault="00657917" w:rsidP="002736DD">
            <w:pPr>
              <w:keepNext/>
              <w:keepLines/>
              <w:tabs>
                <w:tab w:val="left" w:pos="-1440"/>
                <w:tab w:val="left" w:pos="-720"/>
              </w:tabs>
              <w:rPr>
                <w:sz w:val="20"/>
                <w:szCs w:val="20"/>
              </w:rPr>
            </w:pPr>
          </w:p>
          <w:p w:rsidR="00657917" w:rsidRPr="007757E5" w:rsidRDefault="00657917" w:rsidP="002736DD">
            <w:pPr>
              <w:keepNext/>
              <w:keepLines/>
              <w:tabs>
                <w:tab w:val="left" w:pos="-1440"/>
                <w:tab w:val="left" w:pos="-720"/>
              </w:tabs>
              <w:rPr>
                <w:b/>
                <w:sz w:val="20"/>
                <w:szCs w:val="20"/>
              </w:rPr>
            </w:pPr>
            <w:r>
              <w:rPr>
                <w:b/>
                <w:sz w:val="20"/>
                <w:szCs w:val="20"/>
              </w:rPr>
              <w:t xml:space="preserve">Minister of Citizenship and Immigration </w:t>
            </w:r>
            <w:r w:rsidRPr="007757E5">
              <w:rPr>
                <w:b/>
                <w:sz w:val="20"/>
                <w:szCs w:val="20"/>
              </w:rPr>
              <w:t>(</w:t>
            </w:r>
            <w:r>
              <w:rPr>
                <w:b/>
                <w:sz w:val="20"/>
                <w:szCs w:val="20"/>
              </w:rPr>
              <w:t>F</w:t>
            </w:r>
            <w:r w:rsidRPr="007757E5">
              <w:rPr>
                <w:b/>
                <w:sz w:val="20"/>
                <w:szCs w:val="20"/>
              </w:rPr>
              <w:t>.</w:t>
            </w:r>
            <w:r>
              <w:rPr>
                <w:b/>
                <w:sz w:val="20"/>
                <w:szCs w:val="20"/>
              </w:rPr>
              <w:t>C.</w:t>
            </w:r>
            <w:r w:rsidRPr="007757E5">
              <w:rPr>
                <w:b/>
                <w:sz w:val="20"/>
                <w:szCs w:val="20"/>
              </w:rPr>
              <w:t>)</w:t>
            </w:r>
          </w:p>
          <w:p w:rsidR="00657917" w:rsidRPr="007757E5" w:rsidRDefault="00657917" w:rsidP="002736DD">
            <w:pPr>
              <w:keepNext/>
              <w:keepLines/>
              <w:tabs>
                <w:tab w:val="left" w:pos="-1440"/>
                <w:tab w:val="left" w:pos="-720"/>
              </w:tabs>
              <w:rPr>
                <w:sz w:val="20"/>
                <w:szCs w:val="20"/>
              </w:rPr>
            </w:pPr>
            <w:r w:rsidRPr="007757E5">
              <w:rPr>
                <w:sz w:val="20"/>
                <w:szCs w:val="20"/>
              </w:rPr>
              <w:tab/>
            </w:r>
            <w:r>
              <w:rPr>
                <w:sz w:val="20"/>
                <w:szCs w:val="20"/>
              </w:rPr>
              <w:t>Kristina Dragaitis</w:t>
            </w:r>
          </w:p>
          <w:p w:rsidR="00657917" w:rsidRPr="007757E5" w:rsidRDefault="00657917" w:rsidP="002736DD">
            <w:pPr>
              <w:keepNext/>
              <w:keepLines/>
              <w:tabs>
                <w:tab w:val="left" w:pos="-1440"/>
                <w:tab w:val="left" w:pos="-720"/>
              </w:tabs>
              <w:rPr>
                <w:sz w:val="20"/>
                <w:szCs w:val="20"/>
              </w:rPr>
            </w:pPr>
            <w:r w:rsidRPr="007757E5">
              <w:rPr>
                <w:sz w:val="20"/>
                <w:szCs w:val="20"/>
              </w:rPr>
              <w:tab/>
            </w:r>
            <w:r>
              <w:rPr>
                <w:sz w:val="20"/>
                <w:szCs w:val="20"/>
              </w:rPr>
              <w:t>A.G. of Canada</w:t>
            </w:r>
          </w:p>
          <w:p w:rsidR="00657917" w:rsidRPr="007757E5" w:rsidRDefault="00657917" w:rsidP="002736DD">
            <w:pPr>
              <w:keepNext/>
              <w:keepLines/>
              <w:tabs>
                <w:tab w:val="left" w:pos="-1440"/>
                <w:tab w:val="left" w:pos="-720"/>
              </w:tabs>
              <w:rPr>
                <w:sz w:val="20"/>
                <w:szCs w:val="20"/>
              </w:rPr>
            </w:pPr>
          </w:p>
          <w:p w:rsidR="00657917" w:rsidRDefault="00657917" w:rsidP="002736DD">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4</w:t>
            </w:r>
            <w:r w:rsidRPr="00A935AA">
              <w:rPr>
                <w:sz w:val="20"/>
                <w:szCs w:val="20"/>
              </w:rPr>
              <w:t>.201</w:t>
            </w:r>
            <w:r>
              <w:rPr>
                <w:sz w:val="20"/>
                <w:szCs w:val="20"/>
              </w:rPr>
              <w:t>1</w:t>
            </w:r>
          </w:p>
          <w:p w:rsidR="00657917" w:rsidRPr="002736DD" w:rsidRDefault="00CF05D4" w:rsidP="002736DD">
            <w:pPr>
              <w:rPr>
                <w:sz w:val="20"/>
                <w:szCs w:val="20"/>
              </w:rPr>
            </w:pPr>
            <w:r w:rsidRPr="00CF05D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Pr="00A935AA"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Pr="00A935AA" w:rsidRDefault="00657917" w:rsidP="00242AEE">
            <w:pPr>
              <w:jc w:val="center"/>
              <w:rPr>
                <w:sz w:val="20"/>
                <w:szCs w:val="20"/>
              </w:rPr>
            </w:pPr>
          </w:p>
        </w:tc>
        <w:tc>
          <w:tcPr>
            <w:tcW w:w="4320" w:type="dxa"/>
            <w:shd w:val="clear" w:color="auto" w:fill="auto"/>
          </w:tcPr>
          <w:p w:rsidR="00657917" w:rsidRPr="00A935AA" w:rsidRDefault="00657917" w:rsidP="00FE6697">
            <w:pPr>
              <w:keepNext/>
              <w:keepLines/>
              <w:tabs>
                <w:tab w:val="left" w:pos="-1440"/>
                <w:tab w:val="left" w:pos="-720"/>
              </w:tabs>
              <w:rPr>
                <w:b/>
                <w:sz w:val="20"/>
                <w:szCs w:val="20"/>
              </w:rPr>
            </w:pPr>
            <w:r>
              <w:rPr>
                <w:b/>
                <w:sz w:val="20"/>
                <w:szCs w:val="20"/>
              </w:rPr>
              <w:t>Phuc Hong Nguyen</w:t>
            </w:r>
          </w:p>
          <w:p w:rsidR="00657917" w:rsidRPr="00A935AA" w:rsidRDefault="00657917" w:rsidP="00FE6697">
            <w:pPr>
              <w:keepNext/>
              <w:keepLines/>
              <w:tabs>
                <w:tab w:val="left" w:pos="-1440"/>
                <w:tab w:val="left" w:pos="-720"/>
              </w:tabs>
              <w:rPr>
                <w:sz w:val="20"/>
                <w:szCs w:val="20"/>
              </w:rPr>
            </w:pPr>
            <w:r w:rsidRPr="00A935AA">
              <w:rPr>
                <w:sz w:val="20"/>
                <w:szCs w:val="20"/>
              </w:rPr>
              <w:tab/>
            </w:r>
            <w:r>
              <w:rPr>
                <w:sz w:val="20"/>
                <w:szCs w:val="20"/>
              </w:rPr>
              <w:t>Christopher Hicks</w:t>
            </w:r>
          </w:p>
          <w:p w:rsidR="00657917" w:rsidRPr="00A935AA" w:rsidRDefault="00657917" w:rsidP="00FE6697">
            <w:pPr>
              <w:keepNext/>
              <w:keepLines/>
              <w:tabs>
                <w:tab w:val="left" w:pos="-1440"/>
                <w:tab w:val="left" w:pos="-720"/>
              </w:tabs>
              <w:rPr>
                <w:sz w:val="20"/>
                <w:szCs w:val="20"/>
              </w:rPr>
            </w:pPr>
            <w:r w:rsidRPr="00A935AA">
              <w:rPr>
                <w:sz w:val="20"/>
                <w:szCs w:val="20"/>
              </w:rPr>
              <w:tab/>
            </w:r>
            <w:r>
              <w:rPr>
                <w:sz w:val="20"/>
                <w:szCs w:val="20"/>
              </w:rPr>
              <w:t>Hicks Adams LLP</w:t>
            </w:r>
          </w:p>
          <w:p w:rsidR="00657917" w:rsidRPr="00A935AA" w:rsidRDefault="00657917" w:rsidP="00FE6697">
            <w:pPr>
              <w:keepNext/>
              <w:keepLines/>
              <w:tabs>
                <w:tab w:val="left" w:pos="-1440"/>
                <w:tab w:val="left" w:pos="-720"/>
              </w:tabs>
              <w:rPr>
                <w:sz w:val="20"/>
                <w:szCs w:val="20"/>
              </w:rPr>
            </w:pPr>
          </w:p>
          <w:p w:rsidR="00657917" w:rsidRPr="002736DD" w:rsidRDefault="00657917" w:rsidP="00FE6697">
            <w:pPr>
              <w:keepNext/>
              <w:keepLines/>
              <w:tabs>
                <w:tab w:val="left" w:pos="-1440"/>
                <w:tab w:val="left" w:pos="-720"/>
              </w:tabs>
              <w:rPr>
                <w:sz w:val="20"/>
                <w:szCs w:val="20"/>
              </w:rPr>
            </w:pPr>
            <w:r w:rsidRPr="00A935AA">
              <w:rPr>
                <w:sz w:val="20"/>
                <w:szCs w:val="20"/>
              </w:rPr>
              <w:tab/>
            </w:r>
            <w:r w:rsidRPr="002736DD">
              <w:rPr>
                <w:sz w:val="20"/>
                <w:szCs w:val="20"/>
              </w:rPr>
              <w:t>v. (34195)</w:t>
            </w:r>
          </w:p>
          <w:p w:rsidR="00657917" w:rsidRPr="002736DD" w:rsidRDefault="00657917" w:rsidP="00FE6697">
            <w:pPr>
              <w:keepNext/>
              <w:keepLines/>
              <w:tabs>
                <w:tab w:val="left" w:pos="-1440"/>
                <w:tab w:val="left" w:pos="-720"/>
              </w:tabs>
              <w:rPr>
                <w:sz w:val="20"/>
                <w:szCs w:val="20"/>
              </w:rPr>
            </w:pPr>
          </w:p>
          <w:p w:rsidR="00657917" w:rsidRPr="002736DD" w:rsidRDefault="00657917" w:rsidP="00FE6697">
            <w:pPr>
              <w:keepNext/>
              <w:keepLines/>
              <w:tabs>
                <w:tab w:val="left" w:pos="-1440"/>
                <w:tab w:val="left" w:pos="-720"/>
              </w:tabs>
              <w:rPr>
                <w:b/>
                <w:sz w:val="20"/>
                <w:szCs w:val="20"/>
              </w:rPr>
            </w:pPr>
            <w:r w:rsidRPr="002736DD">
              <w:rPr>
                <w:b/>
                <w:sz w:val="20"/>
                <w:szCs w:val="20"/>
              </w:rPr>
              <w:t>Her Majesty the Queen (Alta.)</w:t>
            </w:r>
          </w:p>
          <w:p w:rsidR="00657917" w:rsidRPr="002736DD" w:rsidRDefault="00657917" w:rsidP="00FE6697">
            <w:pPr>
              <w:keepNext/>
              <w:keepLines/>
              <w:tabs>
                <w:tab w:val="left" w:pos="-1440"/>
                <w:tab w:val="left" w:pos="-720"/>
              </w:tabs>
              <w:rPr>
                <w:sz w:val="20"/>
                <w:szCs w:val="20"/>
              </w:rPr>
            </w:pPr>
            <w:r w:rsidRPr="002736DD">
              <w:rPr>
                <w:sz w:val="20"/>
                <w:szCs w:val="20"/>
              </w:rPr>
              <w:tab/>
            </w:r>
            <w:r>
              <w:rPr>
                <w:sz w:val="20"/>
                <w:szCs w:val="20"/>
              </w:rPr>
              <w:t>Christine Rideout</w:t>
            </w:r>
          </w:p>
          <w:p w:rsidR="00657917" w:rsidRPr="002736DD" w:rsidRDefault="00657917" w:rsidP="00FE6697">
            <w:pPr>
              <w:keepNext/>
              <w:keepLines/>
              <w:tabs>
                <w:tab w:val="left" w:pos="-1440"/>
                <w:tab w:val="left" w:pos="-720"/>
              </w:tabs>
              <w:rPr>
                <w:sz w:val="20"/>
                <w:szCs w:val="20"/>
              </w:rPr>
            </w:pPr>
            <w:r w:rsidRPr="002736DD">
              <w:rPr>
                <w:sz w:val="20"/>
                <w:szCs w:val="20"/>
              </w:rPr>
              <w:tab/>
            </w:r>
            <w:r>
              <w:rPr>
                <w:sz w:val="20"/>
                <w:szCs w:val="20"/>
              </w:rPr>
              <w:t>A.G. of Alberta</w:t>
            </w:r>
          </w:p>
          <w:p w:rsidR="00657917" w:rsidRPr="002736DD" w:rsidRDefault="00657917" w:rsidP="00FE6697">
            <w:pPr>
              <w:keepNext/>
              <w:keepLines/>
              <w:tabs>
                <w:tab w:val="left" w:pos="-1440"/>
                <w:tab w:val="left" w:pos="-720"/>
              </w:tabs>
              <w:rPr>
                <w:sz w:val="20"/>
                <w:szCs w:val="20"/>
              </w:rPr>
            </w:pPr>
          </w:p>
          <w:p w:rsidR="00657917" w:rsidRPr="00A935AA" w:rsidRDefault="00657917" w:rsidP="002736DD">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4</w:t>
            </w:r>
            <w:r w:rsidRPr="00A935AA">
              <w:rPr>
                <w:sz w:val="20"/>
                <w:szCs w:val="20"/>
              </w:rPr>
              <w:t>.201</w:t>
            </w:r>
            <w:r>
              <w:rPr>
                <w:sz w:val="20"/>
                <w:szCs w:val="20"/>
              </w:rPr>
              <w:t>1</w:t>
            </w:r>
            <w:r w:rsidR="00CF05D4" w:rsidRPr="00CF05D4">
              <w:rPr>
                <w:sz w:val="20"/>
                <w:szCs w:val="20"/>
                <w:lang w:val="fr-CA"/>
              </w:rPr>
              <w:pict>
                <v:rect id="_x0000_i1030" style="width:108pt;height:1pt" o:hrpct="0" o:hralign="center" o:hrstd="t" o:hrnoshade="t" o:hr="t" fillcolor="black [3213]" stroked="f"/>
              </w:pict>
            </w:r>
          </w:p>
        </w:tc>
      </w:tr>
      <w:tr w:rsidR="00657917" w:rsidRPr="00A935AA" w:rsidTr="00040317">
        <w:trPr>
          <w:cantSplit/>
        </w:trPr>
        <w:tc>
          <w:tcPr>
            <w:tcW w:w="4320" w:type="dxa"/>
            <w:shd w:val="clear" w:color="auto" w:fill="auto"/>
          </w:tcPr>
          <w:p w:rsidR="00FB60C3" w:rsidRDefault="00FB60C3" w:rsidP="007757E5">
            <w:pPr>
              <w:rPr>
                <w:b/>
                <w:sz w:val="20"/>
                <w:szCs w:val="20"/>
              </w:rPr>
            </w:pPr>
          </w:p>
          <w:p w:rsidR="00657917" w:rsidRPr="00A935AA" w:rsidRDefault="00657917" w:rsidP="007757E5">
            <w:pPr>
              <w:rPr>
                <w:b/>
                <w:sz w:val="20"/>
                <w:szCs w:val="20"/>
              </w:rPr>
            </w:pPr>
            <w:r>
              <w:rPr>
                <w:b/>
                <w:sz w:val="20"/>
                <w:szCs w:val="20"/>
              </w:rPr>
              <w:t>Dennis Keegan Cheeseman</w:t>
            </w:r>
          </w:p>
          <w:p w:rsidR="00657917" w:rsidRPr="00A935AA" w:rsidRDefault="00657917" w:rsidP="007757E5">
            <w:pPr>
              <w:tabs>
                <w:tab w:val="left" w:pos="-1440"/>
                <w:tab w:val="left" w:pos="-720"/>
              </w:tabs>
              <w:rPr>
                <w:sz w:val="20"/>
                <w:szCs w:val="20"/>
              </w:rPr>
            </w:pPr>
            <w:r w:rsidRPr="00A935AA">
              <w:rPr>
                <w:sz w:val="20"/>
                <w:szCs w:val="20"/>
              </w:rPr>
              <w:tab/>
            </w:r>
            <w:r>
              <w:rPr>
                <w:sz w:val="20"/>
                <w:szCs w:val="20"/>
              </w:rPr>
              <w:t>Peter J. Royal, Q.C.</w:t>
            </w:r>
          </w:p>
          <w:p w:rsidR="00657917" w:rsidRPr="00A935AA" w:rsidRDefault="00657917" w:rsidP="007757E5">
            <w:pPr>
              <w:tabs>
                <w:tab w:val="left" w:pos="-1440"/>
                <w:tab w:val="left" w:pos="-720"/>
              </w:tabs>
              <w:rPr>
                <w:sz w:val="20"/>
                <w:szCs w:val="20"/>
              </w:rPr>
            </w:pPr>
            <w:r w:rsidRPr="00A935AA">
              <w:rPr>
                <w:sz w:val="20"/>
                <w:szCs w:val="20"/>
              </w:rPr>
              <w:tab/>
            </w:r>
            <w:r>
              <w:rPr>
                <w:sz w:val="20"/>
                <w:szCs w:val="20"/>
              </w:rPr>
              <w:t>Royal Teskey</w:t>
            </w:r>
          </w:p>
          <w:p w:rsidR="00657917" w:rsidRPr="00A935AA" w:rsidRDefault="00657917" w:rsidP="007757E5">
            <w:pPr>
              <w:tabs>
                <w:tab w:val="left" w:pos="-1440"/>
                <w:tab w:val="left" w:pos="-720"/>
              </w:tabs>
              <w:rPr>
                <w:sz w:val="20"/>
                <w:szCs w:val="20"/>
              </w:rPr>
            </w:pPr>
          </w:p>
          <w:p w:rsidR="00657917" w:rsidRPr="00A935AA" w:rsidRDefault="00657917" w:rsidP="007757E5">
            <w:pPr>
              <w:tabs>
                <w:tab w:val="left" w:pos="-1440"/>
                <w:tab w:val="left" w:pos="-720"/>
              </w:tabs>
              <w:rPr>
                <w:sz w:val="20"/>
                <w:szCs w:val="20"/>
              </w:rPr>
            </w:pPr>
            <w:r w:rsidRPr="00A935AA">
              <w:rPr>
                <w:sz w:val="20"/>
                <w:szCs w:val="20"/>
              </w:rPr>
              <w:tab/>
              <w:t>v. (3</w:t>
            </w:r>
            <w:r>
              <w:rPr>
                <w:sz w:val="20"/>
                <w:szCs w:val="20"/>
              </w:rPr>
              <w:t>4198</w:t>
            </w:r>
            <w:r w:rsidRPr="00A935AA">
              <w:rPr>
                <w:sz w:val="20"/>
                <w:szCs w:val="20"/>
              </w:rPr>
              <w:t>)</w:t>
            </w:r>
          </w:p>
          <w:p w:rsidR="00657917" w:rsidRPr="00A935AA" w:rsidRDefault="00657917" w:rsidP="007757E5">
            <w:pPr>
              <w:tabs>
                <w:tab w:val="left" w:pos="-1440"/>
                <w:tab w:val="left" w:pos="-720"/>
              </w:tabs>
              <w:rPr>
                <w:sz w:val="20"/>
                <w:szCs w:val="20"/>
              </w:rPr>
            </w:pPr>
          </w:p>
          <w:p w:rsidR="00657917" w:rsidRPr="00A935AA" w:rsidRDefault="00657917" w:rsidP="007757E5">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657917" w:rsidRPr="00A935AA" w:rsidRDefault="00657917" w:rsidP="007757E5">
            <w:pPr>
              <w:tabs>
                <w:tab w:val="left" w:pos="-1440"/>
                <w:tab w:val="left" w:pos="-720"/>
              </w:tabs>
              <w:rPr>
                <w:sz w:val="20"/>
                <w:szCs w:val="20"/>
              </w:rPr>
            </w:pPr>
            <w:r w:rsidRPr="00A935AA">
              <w:rPr>
                <w:sz w:val="20"/>
                <w:szCs w:val="20"/>
              </w:rPr>
              <w:tab/>
            </w:r>
            <w:r>
              <w:rPr>
                <w:sz w:val="20"/>
                <w:szCs w:val="20"/>
              </w:rPr>
              <w:t>Susan Hughson, Q.C.</w:t>
            </w:r>
          </w:p>
          <w:p w:rsidR="00657917" w:rsidRPr="00A935AA" w:rsidRDefault="00657917" w:rsidP="007757E5">
            <w:pPr>
              <w:tabs>
                <w:tab w:val="left" w:pos="-1440"/>
                <w:tab w:val="left" w:pos="-720"/>
              </w:tabs>
              <w:rPr>
                <w:sz w:val="20"/>
                <w:szCs w:val="20"/>
              </w:rPr>
            </w:pPr>
            <w:r w:rsidRPr="00A935AA">
              <w:rPr>
                <w:sz w:val="20"/>
                <w:szCs w:val="20"/>
              </w:rPr>
              <w:tab/>
            </w:r>
            <w:r>
              <w:rPr>
                <w:sz w:val="20"/>
                <w:szCs w:val="20"/>
              </w:rPr>
              <w:t>A.G. of Alberta</w:t>
            </w:r>
          </w:p>
          <w:p w:rsidR="00657917" w:rsidRPr="00A935AA" w:rsidRDefault="00657917" w:rsidP="007757E5">
            <w:pPr>
              <w:tabs>
                <w:tab w:val="left" w:pos="-1440"/>
                <w:tab w:val="left" w:pos="-720"/>
              </w:tabs>
              <w:rPr>
                <w:sz w:val="20"/>
                <w:szCs w:val="20"/>
              </w:rPr>
            </w:pPr>
          </w:p>
          <w:p w:rsidR="00657917" w:rsidRPr="00A935AA" w:rsidRDefault="00657917" w:rsidP="007757E5">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4</w:t>
            </w:r>
            <w:r w:rsidRPr="00A935AA">
              <w:rPr>
                <w:sz w:val="20"/>
                <w:szCs w:val="20"/>
              </w:rPr>
              <w:t>.201</w:t>
            </w:r>
            <w:r>
              <w:rPr>
                <w:sz w:val="20"/>
                <w:szCs w:val="20"/>
              </w:rPr>
              <w:t>1</w:t>
            </w:r>
          </w:p>
          <w:p w:rsidR="00657917" w:rsidRPr="00A935AA" w:rsidRDefault="00CF05D4" w:rsidP="007757E5">
            <w:pPr>
              <w:rPr>
                <w:sz w:val="20"/>
                <w:szCs w:val="20"/>
              </w:rPr>
            </w:pPr>
            <w:r w:rsidRPr="00CF05D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657917" w:rsidRDefault="00657917" w:rsidP="00242AEE">
            <w:pPr>
              <w:jc w:val="center"/>
              <w:rPr>
                <w:sz w:val="20"/>
                <w:szCs w:val="20"/>
              </w:rPr>
            </w:pPr>
          </w:p>
          <w:p w:rsidR="00FB60C3" w:rsidRDefault="00FB60C3" w:rsidP="00242AEE">
            <w:pPr>
              <w:jc w:val="center"/>
              <w:rPr>
                <w:sz w:val="20"/>
                <w:szCs w:val="20"/>
              </w:rPr>
            </w:pPr>
          </w:p>
          <w:p w:rsidR="00657917" w:rsidRPr="00A935AA" w:rsidRDefault="00657917" w:rsidP="00242AEE">
            <w:pPr>
              <w:jc w:val="center"/>
              <w:rPr>
                <w:sz w:val="20"/>
                <w:szCs w:val="20"/>
              </w:rPr>
            </w:pPr>
          </w:p>
        </w:tc>
        <w:tc>
          <w:tcPr>
            <w:tcW w:w="4320" w:type="dxa"/>
            <w:shd w:val="clear" w:color="auto" w:fill="auto"/>
          </w:tcPr>
          <w:p w:rsidR="00657917" w:rsidRPr="00A935AA" w:rsidRDefault="00657917" w:rsidP="007757E5">
            <w:pPr>
              <w:keepNext/>
              <w:keepLines/>
              <w:tabs>
                <w:tab w:val="left" w:pos="-1440"/>
                <w:tab w:val="left" w:pos="-720"/>
              </w:tabs>
              <w:rPr>
                <w:b/>
                <w:sz w:val="20"/>
                <w:szCs w:val="20"/>
              </w:rPr>
            </w:pPr>
            <w:r>
              <w:rPr>
                <w:b/>
                <w:sz w:val="20"/>
                <w:szCs w:val="20"/>
              </w:rPr>
              <w:t>Harjit Matharu</w:t>
            </w:r>
          </w:p>
          <w:p w:rsidR="00657917" w:rsidRPr="00A935AA" w:rsidRDefault="00657917" w:rsidP="007757E5">
            <w:pPr>
              <w:keepNext/>
              <w:keepLines/>
              <w:tabs>
                <w:tab w:val="left" w:pos="-1440"/>
                <w:tab w:val="left" w:pos="-720"/>
              </w:tabs>
              <w:rPr>
                <w:sz w:val="20"/>
                <w:szCs w:val="20"/>
              </w:rPr>
            </w:pPr>
            <w:r w:rsidRPr="00A935AA">
              <w:rPr>
                <w:sz w:val="20"/>
                <w:szCs w:val="20"/>
              </w:rPr>
              <w:tab/>
            </w:r>
            <w:r>
              <w:rPr>
                <w:sz w:val="20"/>
                <w:szCs w:val="20"/>
              </w:rPr>
              <w:t>James Lockyer</w:t>
            </w:r>
          </w:p>
          <w:p w:rsidR="00657917" w:rsidRPr="00A935AA" w:rsidRDefault="00657917" w:rsidP="007757E5">
            <w:pPr>
              <w:keepNext/>
              <w:keepLines/>
              <w:tabs>
                <w:tab w:val="left" w:pos="-1440"/>
                <w:tab w:val="left" w:pos="-720"/>
              </w:tabs>
              <w:rPr>
                <w:sz w:val="20"/>
                <w:szCs w:val="20"/>
              </w:rPr>
            </w:pPr>
            <w:r w:rsidRPr="00A935AA">
              <w:rPr>
                <w:sz w:val="20"/>
                <w:szCs w:val="20"/>
              </w:rPr>
              <w:tab/>
            </w:r>
            <w:r>
              <w:rPr>
                <w:sz w:val="20"/>
                <w:szCs w:val="20"/>
              </w:rPr>
              <w:t>Lockyer Campbell Posner</w:t>
            </w:r>
          </w:p>
          <w:p w:rsidR="00657917" w:rsidRPr="00A935AA" w:rsidRDefault="00657917" w:rsidP="007757E5">
            <w:pPr>
              <w:keepNext/>
              <w:keepLines/>
              <w:tabs>
                <w:tab w:val="left" w:pos="-1440"/>
                <w:tab w:val="left" w:pos="-720"/>
              </w:tabs>
              <w:rPr>
                <w:sz w:val="20"/>
                <w:szCs w:val="20"/>
              </w:rPr>
            </w:pPr>
          </w:p>
          <w:p w:rsidR="00657917" w:rsidRPr="003524C5" w:rsidRDefault="00657917" w:rsidP="007757E5">
            <w:pPr>
              <w:keepNext/>
              <w:keepLines/>
              <w:tabs>
                <w:tab w:val="left" w:pos="-1440"/>
                <w:tab w:val="left" w:pos="-720"/>
              </w:tabs>
              <w:rPr>
                <w:sz w:val="20"/>
                <w:szCs w:val="20"/>
              </w:rPr>
            </w:pPr>
            <w:r w:rsidRPr="00A935AA">
              <w:rPr>
                <w:sz w:val="20"/>
                <w:szCs w:val="20"/>
              </w:rPr>
              <w:tab/>
            </w:r>
            <w:r w:rsidRPr="003524C5">
              <w:rPr>
                <w:sz w:val="20"/>
                <w:szCs w:val="20"/>
              </w:rPr>
              <w:t>v. (34</w:t>
            </w:r>
            <w:r>
              <w:rPr>
                <w:sz w:val="20"/>
                <w:szCs w:val="20"/>
              </w:rPr>
              <w:t>203</w:t>
            </w:r>
            <w:r w:rsidRPr="003524C5">
              <w:rPr>
                <w:sz w:val="20"/>
                <w:szCs w:val="20"/>
              </w:rPr>
              <w:t>)</w:t>
            </w:r>
          </w:p>
          <w:p w:rsidR="00657917" w:rsidRPr="003524C5" w:rsidRDefault="00657917" w:rsidP="007757E5">
            <w:pPr>
              <w:keepNext/>
              <w:keepLines/>
              <w:tabs>
                <w:tab w:val="left" w:pos="-1440"/>
                <w:tab w:val="left" w:pos="-720"/>
              </w:tabs>
              <w:rPr>
                <w:sz w:val="20"/>
                <w:szCs w:val="20"/>
              </w:rPr>
            </w:pPr>
          </w:p>
          <w:p w:rsidR="00657917" w:rsidRPr="003524C5" w:rsidRDefault="00657917" w:rsidP="007757E5">
            <w:pPr>
              <w:keepNext/>
              <w:keepLines/>
              <w:tabs>
                <w:tab w:val="left" w:pos="-1440"/>
                <w:tab w:val="left" w:pos="-720"/>
              </w:tabs>
              <w:rPr>
                <w:b/>
                <w:sz w:val="20"/>
                <w:szCs w:val="20"/>
              </w:rPr>
            </w:pPr>
            <w:r>
              <w:rPr>
                <w:b/>
                <w:sz w:val="20"/>
                <w:szCs w:val="20"/>
              </w:rPr>
              <w:t xml:space="preserve">Her Majesty the Queen </w:t>
            </w:r>
            <w:r w:rsidRPr="003524C5">
              <w:rPr>
                <w:b/>
                <w:sz w:val="20"/>
                <w:szCs w:val="20"/>
              </w:rPr>
              <w:t>(Ont.)</w:t>
            </w:r>
          </w:p>
          <w:p w:rsidR="00657917" w:rsidRPr="003524C5" w:rsidRDefault="00657917" w:rsidP="007757E5">
            <w:pPr>
              <w:keepNext/>
              <w:keepLines/>
              <w:tabs>
                <w:tab w:val="left" w:pos="-1440"/>
                <w:tab w:val="left" w:pos="-720"/>
              </w:tabs>
              <w:rPr>
                <w:sz w:val="20"/>
                <w:szCs w:val="20"/>
              </w:rPr>
            </w:pPr>
            <w:r w:rsidRPr="003524C5">
              <w:rPr>
                <w:sz w:val="20"/>
                <w:szCs w:val="20"/>
              </w:rPr>
              <w:tab/>
            </w:r>
            <w:r>
              <w:rPr>
                <w:sz w:val="20"/>
                <w:szCs w:val="20"/>
              </w:rPr>
              <w:t>Gillian E. Roberts</w:t>
            </w:r>
          </w:p>
          <w:p w:rsidR="00657917" w:rsidRPr="003524C5" w:rsidRDefault="00657917" w:rsidP="007757E5">
            <w:pPr>
              <w:keepNext/>
              <w:keepLines/>
              <w:tabs>
                <w:tab w:val="left" w:pos="-1440"/>
                <w:tab w:val="left" w:pos="-720"/>
              </w:tabs>
              <w:rPr>
                <w:sz w:val="20"/>
                <w:szCs w:val="20"/>
              </w:rPr>
            </w:pPr>
            <w:r w:rsidRPr="003524C5">
              <w:rPr>
                <w:sz w:val="20"/>
                <w:szCs w:val="20"/>
              </w:rPr>
              <w:tab/>
            </w:r>
            <w:r>
              <w:rPr>
                <w:sz w:val="20"/>
                <w:szCs w:val="20"/>
              </w:rPr>
              <w:t>A.G. of Ontario</w:t>
            </w:r>
          </w:p>
          <w:p w:rsidR="00657917" w:rsidRPr="003524C5" w:rsidRDefault="00657917" w:rsidP="007757E5">
            <w:pPr>
              <w:keepNext/>
              <w:keepLines/>
              <w:tabs>
                <w:tab w:val="left" w:pos="-1440"/>
                <w:tab w:val="left" w:pos="-720"/>
              </w:tabs>
              <w:rPr>
                <w:sz w:val="20"/>
                <w:szCs w:val="20"/>
              </w:rPr>
            </w:pPr>
          </w:p>
          <w:p w:rsidR="00657917" w:rsidRPr="00A935AA" w:rsidRDefault="00657917" w:rsidP="00040317">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4</w:t>
            </w:r>
            <w:r w:rsidRPr="00A935AA">
              <w:rPr>
                <w:sz w:val="20"/>
                <w:szCs w:val="20"/>
              </w:rPr>
              <w:t>.201</w:t>
            </w:r>
            <w:r>
              <w:rPr>
                <w:sz w:val="20"/>
                <w:szCs w:val="20"/>
              </w:rPr>
              <w:t>1</w:t>
            </w:r>
            <w:r w:rsidR="00CF05D4" w:rsidRPr="00CF05D4">
              <w:rPr>
                <w:sz w:val="20"/>
                <w:szCs w:val="20"/>
                <w:lang w:val="fr-CA"/>
              </w:rPr>
              <w:pict>
                <v:rect id="_x0000_i1032" style="width:108pt;height:1pt" o:hrpct="0" o:hralign="center" o:hrstd="t" o:hrnoshade="t" o:hr="t" fillcolor="black [3213]" stroked="f"/>
              </w:pict>
            </w:r>
          </w:p>
        </w:tc>
      </w:tr>
      <w:tr w:rsidR="00657917" w:rsidRPr="00A935AA" w:rsidTr="00040317">
        <w:trPr>
          <w:cantSplit/>
        </w:trPr>
        <w:tc>
          <w:tcPr>
            <w:tcW w:w="4320" w:type="dxa"/>
            <w:shd w:val="clear" w:color="auto" w:fill="auto"/>
          </w:tcPr>
          <w:p w:rsidR="00657917" w:rsidRPr="00FE6697" w:rsidRDefault="00657917" w:rsidP="007757E5">
            <w:pPr>
              <w:rPr>
                <w:b/>
                <w:sz w:val="20"/>
                <w:szCs w:val="20"/>
                <w:lang w:val="fr-CA"/>
              </w:rPr>
            </w:pPr>
            <w:r w:rsidRPr="00FE6697">
              <w:rPr>
                <w:b/>
                <w:sz w:val="20"/>
                <w:szCs w:val="20"/>
                <w:lang w:val="fr-CA"/>
              </w:rPr>
              <w:lastRenderedPageBreak/>
              <w:t>Uri Sagman et al.</w:t>
            </w:r>
          </w:p>
          <w:p w:rsidR="00657917" w:rsidRPr="00FE6697" w:rsidRDefault="00657917" w:rsidP="007757E5">
            <w:pPr>
              <w:tabs>
                <w:tab w:val="left" w:pos="-1440"/>
                <w:tab w:val="left" w:pos="-720"/>
              </w:tabs>
              <w:rPr>
                <w:sz w:val="20"/>
                <w:szCs w:val="20"/>
                <w:lang w:val="fr-CA"/>
              </w:rPr>
            </w:pPr>
            <w:r w:rsidRPr="00FE6697">
              <w:rPr>
                <w:sz w:val="20"/>
                <w:szCs w:val="20"/>
                <w:lang w:val="fr-CA"/>
              </w:rPr>
              <w:tab/>
              <w:t>Jérôme Choquette</w:t>
            </w:r>
            <w:r>
              <w:rPr>
                <w:sz w:val="20"/>
                <w:szCs w:val="20"/>
                <w:lang w:val="fr-CA"/>
              </w:rPr>
              <w:t>, Q.C.</w:t>
            </w:r>
          </w:p>
          <w:p w:rsidR="00657917" w:rsidRPr="00FE6697" w:rsidRDefault="00657917" w:rsidP="007757E5">
            <w:pPr>
              <w:tabs>
                <w:tab w:val="left" w:pos="-1440"/>
                <w:tab w:val="left" w:pos="-720"/>
              </w:tabs>
              <w:rPr>
                <w:sz w:val="20"/>
                <w:szCs w:val="20"/>
                <w:lang w:val="fr-CA"/>
              </w:rPr>
            </w:pPr>
            <w:r w:rsidRPr="00FE6697">
              <w:rPr>
                <w:sz w:val="20"/>
                <w:szCs w:val="20"/>
                <w:lang w:val="fr-CA"/>
              </w:rPr>
              <w:tab/>
            </w:r>
            <w:r>
              <w:rPr>
                <w:sz w:val="20"/>
                <w:szCs w:val="20"/>
                <w:lang w:val="fr-CA"/>
              </w:rPr>
              <w:t>Choquette Beaupré Rhéaume</w:t>
            </w:r>
          </w:p>
          <w:p w:rsidR="00657917" w:rsidRPr="00FE6697" w:rsidRDefault="00657917" w:rsidP="007757E5">
            <w:pPr>
              <w:tabs>
                <w:tab w:val="left" w:pos="-1440"/>
                <w:tab w:val="left" w:pos="-720"/>
              </w:tabs>
              <w:rPr>
                <w:sz w:val="20"/>
                <w:szCs w:val="20"/>
                <w:lang w:val="fr-CA"/>
              </w:rPr>
            </w:pPr>
          </w:p>
          <w:p w:rsidR="00657917" w:rsidRPr="00FE6697" w:rsidRDefault="00657917" w:rsidP="007757E5">
            <w:pPr>
              <w:tabs>
                <w:tab w:val="left" w:pos="-1440"/>
                <w:tab w:val="left" w:pos="-720"/>
              </w:tabs>
              <w:rPr>
                <w:sz w:val="20"/>
                <w:szCs w:val="20"/>
                <w:lang w:val="fr-CA"/>
              </w:rPr>
            </w:pPr>
            <w:r w:rsidRPr="00FE6697">
              <w:rPr>
                <w:sz w:val="20"/>
                <w:szCs w:val="20"/>
                <w:lang w:val="fr-CA"/>
              </w:rPr>
              <w:tab/>
              <w:t>v. (34209)</w:t>
            </w:r>
          </w:p>
          <w:p w:rsidR="00657917" w:rsidRPr="00FE6697" w:rsidRDefault="00657917" w:rsidP="007757E5">
            <w:pPr>
              <w:tabs>
                <w:tab w:val="left" w:pos="-1440"/>
                <w:tab w:val="left" w:pos="-720"/>
              </w:tabs>
              <w:rPr>
                <w:sz w:val="20"/>
                <w:szCs w:val="20"/>
                <w:lang w:val="fr-CA"/>
              </w:rPr>
            </w:pPr>
          </w:p>
          <w:p w:rsidR="00657917" w:rsidRPr="00FE6697" w:rsidRDefault="00657917" w:rsidP="007757E5">
            <w:pPr>
              <w:tabs>
                <w:tab w:val="left" w:pos="-1440"/>
                <w:tab w:val="left" w:pos="-720"/>
              </w:tabs>
              <w:rPr>
                <w:b/>
                <w:sz w:val="20"/>
                <w:szCs w:val="20"/>
                <w:lang w:val="fr-CA"/>
              </w:rPr>
            </w:pPr>
            <w:r w:rsidRPr="00FE6697">
              <w:rPr>
                <w:b/>
                <w:sz w:val="20"/>
                <w:szCs w:val="20"/>
                <w:lang w:val="fr-CA"/>
              </w:rPr>
              <w:t>Société en commandite Gaz Métro (Que.)</w:t>
            </w:r>
          </w:p>
          <w:p w:rsidR="00657917" w:rsidRPr="00FE6697" w:rsidRDefault="00657917" w:rsidP="007757E5">
            <w:pPr>
              <w:tabs>
                <w:tab w:val="left" w:pos="-1440"/>
                <w:tab w:val="left" w:pos="-720"/>
              </w:tabs>
              <w:rPr>
                <w:sz w:val="20"/>
                <w:szCs w:val="20"/>
                <w:lang w:val="fr-CA"/>
              </w:rPr>
            </w:pPr>
            <w:r w:rsidRPr="00FE6697">
              <w:rPr>
                <w:sz w:val="20"/>
                <w:szCs w:val="20"/>
                <w:lang w:val="fr-CA"/>
              </w:rPr>
              <w:tab/>
            </w:r>
            <w:r>
              <w:rPr>
                <w:sz w:val="20"/>
                <w:szCs w:val="20"/>
                <w:lang w:val="fr-CA"/>
              </w:rPr>
              <w:t>Philippe Gariépy</w:t>
            </w:r>
          </w:p>
          <w:p w:rsidR="00657917" w:rsidRPr="00FE6697" w:rsidRDefault="00657917" w:rsidP="007757E5">
            <w:pPr>
              <w:tabs>
                <w:tab w:val="left" w:pos="-1440"/>
                <w:tab w:val="left" w:pos="-720"/>
              </w:tabs>
              <w:rPr>
                <w:sz w:val="20"/>
                <w:szCs w:val="20"/>
                <w:lang w:val="fr-CA"/>
              </w:rPr>
            </w:pPr>
          </w:p>
          <w:p w:rsidR="00657917" w:rsidRPr="00A935AA" w:rsidRDefault="00657917" w:rsidP="007757E5">
            <w:pPr>
              <w:rPr>
                <w:sz w:val="20"/>
                <w:szCs w:val="20"/>
              </w:rPr>
            </w:pPr>
            <w:r w:rsidRPr="00A935AA">
              <w:rPr>
                <w:sz w:val="20"/>
                <w:szCs w:val="20"/>
              </w:rPr>
              <w:t xml:space="preserve">FILING DATE: </w:t>
            </w:r>
            <w:r>
              <w:rPr>
                <w:sz w:val="20"/>
                <w:szCs w:val="20"/>
              </w:rPr>
              <w:t>14</w:t>
            </w:r>
            <w:r w:rsidRPr="00A935AA">
              <w:rPr>
                <w:sz w:val="20"/>
                <w:szCs w:val="20"/>
              </w:rPr>
              <w:t>.0</w:t>
            </w:r>
            <w:r>
              <w:rPr>
                <w:sz w:val="20"/>
                <w:szCs w:val="20"/>
              </w:rPr>
              <w:t>4</w:t>
            </w:r>
            <w:r w:rsidRPr="00A935AA">
              <w:rPr>
                <w:sz w:val="20"/>
                <w:szCs w:val="20"/>
              </w:rPr>
              <w:t>.201</w:t>
            </w:r>
            <w:r>
              <w:rPr>
                <w:sz w:val="20"/>
                <w:szCs w:val="20"/>
              </w:rPr>
              <w:t>1</w:t>
            </w:r>
          </w:p>
          <w:p w:rsidR="00657917" w:rsidRPr="00A935AA" w:rsidRDefault="00CF05D4" w:rsidP="007757E5">
            <w:pPr>
              <w:rPr>
                <w:sz w:val="20"/>
                <w:szCs w:val="20"/>
              </w:rPr>
            </w:pPr>
            <w:r w:rsidRPr="00CF05D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657917" w:rsidRPr="00A935AA" w:rsidRDefault="00657917" w:rsidP="00242AEE">
            <w:pPr>
              <w:jc w:val="center"/>
              <w:rPr>
                <w:sz w:val="20"/>
                <w:szCs w:val="20"/>
              </w:rPr>
            </w:pPr>
          </w:p>
        </w:tc>
        <w:tc>
          <w:tcPr>
            <w:tcW w:w="4320" w:type="dxa"/>
            <w:shd w:val="clear" w:color="auto" w:fill="auto"/>
          </w:tcPr>
          <w:p w:rsidR="00657917" w:rsidRPr="00A935AA" w:rsidRDefault="00657917" w:rsidP="007757E5">
            <w:pPr>
              <w:keepNext/>
              <w:keepLines/>
              <w:tabs>
                <w:tab w:val="left" w:pos="-1440"/>
                <w:tab w:val="left" w:pos="-720"/>
              </w:tabs>
              <w:rPr>
                <w:b/>
                <w:sz w:val="20"/>
                <w:szCs w:val="20"/>
              </w:rPr>
            </w:pPr>
            <w:r>
              <w:rPr>
                <w:b/>
                <w:sz w:val="20"/>
                <w:szCs w:val="20"/>
              </w:rPr>
              <w:t>Paul R. Love</w:t>
            </w:r>
          </w:p>
          <w:p w:rsidR="00657917" w:rsidRPr="00A935AA" w:rsidRDefault="00657917" w:rsidP="007757E5">
            <w:pPr>
              <w:keepNext/>
              <w:keepLines/>
              <w:tabs>
                <w:tab w:val="left" w:pos="-1440"/>
                <w:tab w:val="left" w:pos="-720"/>
              </w:tabs>
              <w:rPr>
                <w:sz w:val="20"/>
                <w:szCs w:val="20"/>
              </w:rPr>
            </w:pPr>
            <w:r w:rsidRPr="00A935AA">
              <w:rPr>
                <w:sz w:val="20"/>
                <w:szCs w:val="20"/>
              </w:rPr>
              <w:tab/>
            </w:r>
            <w:r>
              <w:rPr>
                <w:sz w:val="20"/>
                <w:szCs w:val="20"/>
              </w:rPr>
              <w:t>Jonathan C. Lisus</w:t>
            </w:r>
          </w:p>
          <w:p w:rsidR="00657917" w:rsidRPr="00A935AA" w:rsidRDefault="00657917" w:rsidP="007757E5">
            <w:pPr>
              <w:keepNext/>
              <w:keepLines/>
              <w:tabs>
                <w:tab w:val="left" w:pos="-1440"/>
                <w:tab w:val="left" w:pos="-720"/>
              </w:tabs>
              <w:rPr>
                <w:sz w:val="20"/>
                <w:szCs w:val="20"/>
              </w:rPr>
            </w:pPr>
            <w:r w:rsidRPr="00A935AA">
              <w:rPr>
                <w:sz w:val="20"/>
                <w:szCs w:val="20"/>
              </w:rPr>
              <w:tab/>
            </w:r>
            <w:r>
              <w:rPr>
                <w:sz w:val="20"/>
                <w:szCs w:val="20"/>
              </w:rPr>
              <w:t>Lax O’Sullivan Scott Lisus LLP</w:t>
            </w:r>
          </w:p>
          <w:p w:rsidR="00657917" w:rsidRPr="00A935AA" w:rsidRDefault="00657917" w:rsidP="007757E5">
            <w:pPr>
              <w:keepNext/>
              <w:keepLines/>
              <w:tabs>
                <w:tab w:val="left" w:pos="-1440"/>
                <w:tab w:val="left" w:pos="-720"/>
              </w:tabs>
              <w:rPr>
                <w:sz w:val="20"/>
                <w:szCs w:val="20"/>
              </w:rPr>
            </w:pPr>
          </w:p>
          <w:p w:rsidR="00657917" w:rsidRPr="00FE6697" w:rsidRDefault="00657917" w:rsidP="007757E5">
            <w:pPr>
              <w:keepNext/>
              <w:keepLines/>
              <w:tabs>
                <w:tab w:val="left" w:pos="-1440"/>
                <w:tab w:val="left" w:pos="-720"/>
              </w:tabs>
              <w:rPr>
                <w:sz w:val="20"/>
                <w:szCs w:val="20"/>
              </w:rPr>
            </w:pPr>
            <w:r w:rsidRPr="00A935AA">
              <w:rPr>
                <w:sz w:val="20"/>
                <w:szCs w:val="20"/>
              </w:rPr>
              <w:tab/>
            </w:r>
            <w:r w:rsidRPr="003524C5">
              <w:rPr>
                <w:sz w:val="20"/>
                <w:szCs w:val="20"/>
              </w:rPr>
              <w:t xml:space="preserve">v. </w:t>
            </w:r>
            <w:r w:rsidRPr="00FE6697">
              <w:rPr>
                <w:sz w:val="20"/>
                <w:szCs w:val="20"/>
              </w:rPr>
              <w:t>(34</w:t>
            </w:r>
            <w:r>
              <w:rPr>
                <w:sz w:val="20"/>
                <w:szCs w:val="20"/>
              </w:rPr>
              <w:t>206</w:t>
            </w:r>
            <w:r w:rsidRPr="00FE6697">
              <w:rPr>
                <w:sz w:val="20"/>
                <w:szCs w:val="20"/>
              </w:rPr>
              <w:t>)</w:t>
            </w:r>
          </w:p>
          <w:p w:rsidR="00657917" w:rsidRPr="00FE6697" w:rsidRDefault="00657917" w:rsidP="007757E5">
            <w:pPr>
              <w:keepNext/>
              <w:keepLines/>
              <w:tabs>
                <w:tab w:val="left" w:pos="-1440"/>
                <w:tab w:val="left" w:pos="-720"/>
              </w:tabs>
              <w:rPr>
                <w:sz w:val="20"/>
                <w:szCs w:val="20"/>
              </w:rPr>
            </w:pPr>
          </w:p>
          <w:p w:rsidR="00657917" w:rsidRPr="00FE6697" w:rsidRDefault="00657917" w:rsidP="007757E5">
            <w:pPr>
              <w:keepNext/>
              <w:keepLines/>
              <w:tabs>
                <w:tab w:val="left" w:pos="-1440"/>
                <w:tab w:val="left" w:pos="-720"/>
              </w:tabs>
              <w:rPr>
                <w:b/>
                <w:sz w:val="20"/>
                <w:szCs w:val="20"/>
              </w:rPr>
            </w:pPr>
            <w:r>
              <w:rPr>
                <w:b/>
                <w:sz w:val="20"/>
                <w:szCs w:val="20"/>
              </w:rPr>
              <w:t xml:space="preserve">Acuity Investment Management Inc. </w:t>
            </w:r>
            <w:r w:rsidRPr="00FE6697">
              <w:rPr>
                <w:b/>
                <w:sz w:val="20"/>
                <w:szCs w:val="20"/>
              </w:rPr>
              <w:t>(Ont.)</w:t>
            </w:r>
          </w:p>
          <w:p w:rsidR="00657917" w:rsidRPr="00FE6697" w:rsidRDefault="00657917" w:rsidP="007757E5">
            <w:pPr>
              <w:keepNext/>
              <w:keepLines/>
              <w:tabs>
                <w:tab w:val="left" w:pos="-1440"/>
                <w:tab w:val="left" w:pos="-720"/>
              </w:tabs>
              <w:rPr>
                <w:sz w:val="20"/>
                <w:szCs w:val="20"/>
              </w:rPr>
            </w:pPr>
            <w:r w:rsidRPr="00FE6697">
              <w:rPr>
                <w:sz w:val="20"/>
                <w:szCs w:val="20"/>
              </w:rPr>
              <w:tab/>
            </w:r>
            <w:r>
              <w:rPr>
                <w:sz w:val="20"/>
                <w:szCs w:val="20"/>
              </w:rPr>
              <w:t>John D. Campbell</w:t>
            </w:r>
          </w:p>
          <w:p w:rsidR="00657917" w:rsidRPr="00FE6697" w:rsidRDefault="00657917" w:rsidP="007757E5">
            <w:pPr>
              <w:keepNext/>
              <w:keepLines/>
              <w:tabs>
                <w:tab w:val="left" w:pos="-1440"/>
                <w:tab w:val="left" w:pos="-720"/>
              </w:tabs>
              <w:rPr>
                <w:sz w:val="20"/>
                <w:szCs w:val="20"/>
              </w:rPr>
            </w:pPr>
            <w:r w:rsidRPr="00FE6697">
              <w:rPr>
                <w:sz w:val="20"/>
                <w:szCs w:val="20"/>
              </w:rPr>
              <w:tab/>
            </w:r>
            <w:r>
              <w:rPr>
                <w:sz w:val="20"/>
                <w:szCs w:val="20"/>
              </w:rPr>
              <w:t>WeirFoulds LLP</w:t>
            </w:r>
          </w:p>
          <w:p w:rsidR="00657917" w:rsidRPr="00FE6697" w:rsidRDefault="00657917" w:rsidP="007757E5">
            <w:pPr>
              <w:keepNext/>
              <w:keepLines/>
              <w:tabs>
                <w:tab w:val="left" w:pos="-1440"/>
                <w:tab w:val="left" w:pos="-720"/>
              </w:tabs>
              <w:rPr>
                <w:sz w:val="20"/>
                <w:szCs w:val="20"/>
              </w:rPr>
            </w:pPr>
          </w:p>
          <w:p w:rsidR="00657917" w:rsidRPr="00A935AA" w:rsidRDefault="00657917" w:rsidP="000B543C">
            <w:pPr>
              <w:rPr>
                <w:sz w:val="20"/>
                <w:szCs w:val="20"/>
              </w:rPr>
            </w:pPr>
            <w:r w:rsidRPr="00A935AA">
              <w:rPr>
                <w:sz w:val="20"/>
                <w:szCs w:val="20"/>
              </w:rPr>
              <w:t xml:space="preserve">FILING DATE: </w:t>
            </w:r>
            <w:r>
              <w:rPr>
                <w:sz w:val="20"/>
                <w:szCs w:val="20"/>
              </w:rPr>
              <w:t>15</w:t>
            </w:r>
            <w:r w:rsidRPr="00A935AA">
              <w:rPr>
                <w:sz w:val="20"/>
                <w:szCs w:val="20"/>
              </w:rPr>
              <w:t>.0</w:t>
            </w:r>
            <w:r>
              <w:rPr>
                <w:sz w:val="20"/>
                <w:szCs w:val="20"/>
              </w:rPr>
              <w:t>4</w:t>
            </w:r>
            <w:r w:rsidRPr="00A935AA">
              <w:rPr>
                <w:sz w:val="20"/>
                <w:szCs w:val="20"/>
              </w:rPr>
              <w:t>.201</w:t>
            </w:r>
            <w:r>
              <w:rPr>
                <w:sz w:val="20"/>
                <w:szCs w:val="20"/>
              </w:rPr>
              <w:t>1</w:t>
            </w:r>
            <w:r w:rsidR="00CF05D4" w:rsidRPr="00CF05D4">
              <w:rPr>
                <w:sz w:val="20"/>
                <w:szCs w:val="20"/>
                <w:lang w:val="fr-CA"/>
              </w:rPr>
              <w:pict>
                <v:rect id="_x0000_i1034"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430C47">
          <w:headerReference w:type="default" r:id="rId15"/>
          <w:footerReference w:type="default" r:id="rId16"/>
          <w:headerReference w:type="first" r:id="rId17"/>
          <w:footerReference w:type="first" r:id="rId18"/>
          <w:pgSz w:w="12240" w:h="15840"/>
          <w:pgMar w:top="720" w:right="965" w:bottom="1080" w:left="1656" w:header="706" w:footer="706" w:gutter="0"/>
          <w:pgNumType w:start="685"/>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E62A55"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MAY 2, 201</w:t>
      </w:r>
      <w:r w:rsidR="00F3210C">
        <w:rPr>
          <w:b/>
          <w:sz w:val="20"/>
          <w:szCs w:val="20"/>
        </w:rPr>
        <w:t>1</w:t>
      </w:r>
      <w:r w:rsidRPr="00C50A5C">
        <w:rPr>
          <w:b/>
          <w:sz w:val="20"/>
          <w:szCs w:val="20"/>
        </w:rPr>
        <w:t xml:space="preserve"> / LE 2 MAI 201</w:t>
      </w:r>
      <w:r w:rsidR="00F3210C">
        <w:rPr>
          <w:b/>
          <w:sz w:val="20"/>
          <w:szCs w:val="20"/>
        </w:rPr>
        <w:t>1</w:t>
      </w:r>
    </w:p>
    <w:p w:rsidR="00C50A5C" w:rsidRDefault="00C50A5C" w:rsidP="002E2327">
      <w:pPr>
        <w:widowControl w:val="0"/>
        <w:rPr>
          <w:b/>
          <w:sz w:val="20"/>
          <w:szCs w:val="20"/>
        </w:rPr>
      </w:pPr>
    </w:p>
    <w:p w:rsidR="00F3210C" w:rsidRPr="00C50A5C" w:rsidRDefault="00F3210C" w:rsidP="00F3210C">
      <w:pPr>
        <w:widowControl w:val="0"/>
        <w:jc w:val="center"/>
        <w:rPr>
          <w:b/>
          <w:sz w:val="20"/>
          <w:szCs w:val="20"/>
        </w:rPr>
      </w:pPr>
      <w:r w:rsidRPr="00C50A5C">
        <w:rPr>
          <w:b/>
          <w:sz w:val="20"/>
          <w:szCs w:val="20"/>
        </w:rPr>
        <w:t xml:space="preserve">CORAM:  Chief Justice McLachlin and </w:t>
      </w:r>
      <w:r>
        <w:rPr>
          <w:b/>
          <w:sz w:val="20"/>
          <w:szCs w:val="20"/>
        </w:rPr>
        <w:t>Deschamps</w:t>
      </w:r>
      <w:r w:rsidRPr="00C50A5C">
        <w:rPr>
          <w:b/>
          <w:sz w:val="20"/>
          <w:szCs w:val="20"/>
        </w:rPr>
        <w:t xml:space="preserve"> and C</w:t>
      </w:r>
      <w:r>
        <w:rPr>
          <w:b/>
          <w:sz w:val="20"/>
          <w:szCs w:val="20"/>
        </w:rPr>
        <w:t>har</w:t>
      </w:r>
      <w:r w:rsidRPr="00C50A5C">
        <w:rPr>
          <w:b/>
          <w:sz w:val="20"/>
          <w:szCs w:val="20"/>
        </w:rPr>
        <w:t>ro</w:t>
      </w:r>
      <w:r>
        <w:rPr>
          <w:b/>
          <w:sz w:val="20"/>
          <w:szCs w:val="20"/>
        </w:rPr>
        <w:t>n</w:t>
      </w:r>
      <w:r w:rsidRPr="00C50A5C">
        <w:rPr>
          <w:b/>
          <w:sz w:val="20"/>
          <w:szCs w:val="20"/>
        </w:rPr>
        <w:t xml:space="preserve"> JJ.</w:t>
      </w:r>
    </w:p>
    <w:p w:rsidR="00F3210C" w:rsidRPr="00C50A5C" w:rsidRDefault="00F3210C" w:rsidP="00F3210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Deschamps</w:t>
      </w:r>
      <w:r w:rsidRPr="00C50A5C">
        <w:rPr>
          <w:b/>
          <w:sz w:val="20"/>
          <w:szCs w:val="20"/>
          <w:lang w:val="fr-CA"/>
        </w:rPr>
        <w:t xml:space="preserve"> et C</w:t>
      </w:r>
      <w:r>
        <w:rPr>
          <w:b/>
          <w:sz w:val="20"/>
          <w:szCs w:val="20"/>
          <w:lang w:val="fr-CA"/>
        </w:rPr>
        <w:t>har</w:t>
      </w:r>
      <w:r w:rsidRPr="00C50A5C">
        <w:rPr>
          <w:b/>
          <w:sz w:val="20"/>
          <w:szCs w:val="20"/>
          <w:lang w:val="fr-CA"/>
        </w:rPr>
        <w:t>ro</w:t>
      </w:r>
      <w:r>
        <w:rPr>
          <w:b/>
          <w:sz w:val="20"/>
          <w:szCs w:val="20"/>
          <w:lang w:val="fr-CA"/>
        </w:rPr>
        <w:t>n</w:t>
      </w:r>
    </w:p>
    <w:p w:rsidR="00F3210C" w:rsidRPr="00C50A5C" w:rsidRDefault="00F3210C" w:rsidP="00F3210C">
      <w:pPr>
        <w:widowControl w:val="0"/>
        <w:rPr>
          <w:sz w:val="20"/>
          <w:szCs w:val="20"/>
          <w:lang w:val="fr-CA"/>
        </w:rPr>
      </w:pPr>
    </w:p>
    <w:p w:rsidR="002E2327" w:rsidRPr="00C50A5C" w:rsidRDefault="006826AE" w:rsidP="00C50A5C">
      <w:pPr>
        <w:pStyle w:val="ListParagraph"/>
        <w:widowControl w:val="0"/>
        <w:numPr>
          <w:ilvl w:val="0"/>
          <w:numId w:val="1"/>
        </w:numPr>
        <w:ind w:hanging="720"/>
        <w:jc w:val="both"/>
        <w:rPr>
          <w:sz w:val="20"/>
          <w:szCs w:val="20"/>
        </w:rPr>
      </w:pPr>
      <w:r w:rsidRPr="006826AE">
        <w:rPr>
          <w:i/>
          <w:sz w:val="20"/>
          <w:szCs w:val="20"/>
        </w:rPr>
        <w:t>Adrian John Walle v. Her Majesty the Queen</w:t>
      </w:r>
      <w:r w:rsidRPr="006826AE">
        <w:rPr>
          <w:sz w:val="20"/>
          <w:szCs w:val="20"/>
        </w:rPr>
        <w:t xml:space="preserve"> (Alta.) (Crim</w:t>
      </w:r>
      <w:r>
        <w:rPr>
          <w:sz w:val="20"/>
          <w:szCs w:val="20"/>
        </w:rPr>
        <w:t>.</w:t>
      </w:r>
      <w:r w:rsidRPr="006826AE">
        <w:rPr>
          <w:sz w:val="20"/>
          <w:szCs w:val="20"/>
        </w:rPr>
        <w:t>) (By Leave)</w:t>
      </w:r>
      <w:r w:rsidRPr="00C50A5C">
        <w:rPr>
          <w:sz w:val="20"/>
          <w:szCs w:val="20"/>
        </w:rPr>
        <w:t xml:space="preserve"> </w:t>
      </w:r>
      <w:r w:rsidR="002E2327" w:rsidRPr="00C50A5C">
        <w:rPr>
          <w:sz w:val="20"/>
          <w:szCs w:val="20"/>
        </w:rPr>
        <w:t>(3</w:t>
      </w:r>
      <w:r>
        <w:rPr>
          <w:sz w:val="20"/>
          <w:szCs w:val="20"/>
        </w:rPr>
        <w:t>4080</w:t>
      </w:r>
      <w:r w:rsidR="002E2327" w:rsidRPr="00C50A5C">
        <w:rPr>
          <w:sz w:val="20"/>
          <w:szCs w:val="20"/>
        </w:rPr>
        <w:t>)</w:t>
      </w:r>
    </w:p>
    <w:p w:rsidR="002E2327" w:rsidRPr="00C50A5C" w:rsidRDefault="002E2327" w:rsidP="00C50A5C">
      <w:pPr>
        <w:widowControl w:val="0"/>
        <w:jc w:val="both"/>
        <w:rPr>
          <w:sz w:val="20"/>
          <w:szCs w:val="20"/>
        </w:rPr>
      </w:pPr>
    </w:p>
    <w:p w:rsidR="002E2327" w:rsidRPr="006826AE" w:rsidRDefault="006826AE" w:rsidP="00C50A5C">
      <w:pPr>
        <w:pStyle w:val="ListParagraph"/>
        <w:widowControl w:val="0"/>
        <w:numPr>
          <w:ilvl w:val="0"/>
          <w:numId w:val="1"/>
        </w:numPr>
        <w:ind w:hanging="720"/>
        <w:jc w:val="both"/>
        <w:rPr>
          <w:sz w:val="20"/>
          <w:szCs w:val="20"/>
          <w:lang w:val="fr-CA"/>
        </w:rPr>
      </w:pPr>
      <w:r w:rsidRPr="006826AE">
        <w:rPr>
          <w:i/>
          <w:sz w:val="20"/>
          <w:szCs w:val="20"/>
          <w:lang w:val="fr-CA"/>
        </w:rPr>
        <w:t>Yves Presmy c. Hôpital du Sacré-Coeur de Montréal et autres</w:t>
      </w:r>
      <w:r w:rsidRPr="006826AE">
        <w:rPr>
          <w:sz w:val="20"/>
          <w:szCs w:val="20"/>
          <w:lang w:val="fr-CA"/>
        </w:rPr>
        <w:t xml:space="preserve"> (Qc) (Civile) (Autorisation) </w:t>
      </w:r>
      <w:r w:rsidR="002E2327" w:rsidRPr="006826AE">
        <w:rPr>
          <w:sz w:val="20"/>
          <w:szCs w:val="20"/>
          <w:lang w:val="fr-CA"/>
        </w:rPr>
        <w:t>(34</w:t>
      </w:r>
      <w:r w:rsidRPr="006826AE">
        <w:rPr>
          <w:sz w:val="20"/>
          <w:szCs w:val="20"/>
          <w:lang w:val="fr-CA"/>
        </w:rPr>
        <w:t>143</w:t>
      </w:r>
      <w:r w:rsidR="002E2327" w:rsidRPr="006826AE">
        <w:rPr>
          <w:sz w:val="20"/>
          <w:szCs w:val="20"/>
          <w:lang w:val="fr-CA"/>
        </w:rPr>
        <w:t>)</w:t>
      </w:r>
    </w:p>
    <w:p w:rsidR="002E2327" w:rsidRPr="006826AE" w:rsidRDefault="002E2327" w:rsidP="00C50A5C">
      <w:pPr>
        <w:widowControl w:val="0"/>
        <w:jc w:val="both"/>
        <w:rPr>
          <w:sz w:val="20"/>
          <w:szCs w:val="20"/>
          <w:lang w:val="fr-CA"/>
        </w:rPr>
      </w:pPr>
    </w:p>
    <w:p w:rsidR="00F3210C" w:rsidRPr="006826AE" w:rsidRDefault="00F3210C" w:rsidP="00C50A5C">
      <w:pPr>
        <w:widowControl w:val="0"/>
        <w:jc w:val="both"/>
        <w:rPr>
          <w:sz w:val="20"/>
          <w:szCs w:val="20"/>
          <w:lang w:val="fr-CA"/>
        </w:rPr>
      </w:pPr>
    </w:p>
    <w:p w:rsidR="00F3210C" w:rsidRPr="00C50A5C" w:rsidRDefault="00F3210C" w:rsidP="00F3210C">
      <w:pPr>
        <w:widowControl w:val="0"/>
        <w:jc w:val="center"/>
        <w:rPr>
          <w:b/>
          <w:sz w:val="20"/>
          <w:szCs w:val="20"/>
        </w:rPr>
      </w:pPr>
      <w:r w:rsidRPr="00C50A5C">
        <w:rPr>
          <w:b/>
          <w:sz w:val="20"/>
          <w:szCs w:val="20"/>
        </w:rPr>
        <w:t xml:space="preserve">CORAM: Binnie, </w:t>
      </w:r>
      <w:r>
        <w:rPr>
          <w:b/>
          <w:sz w:val="20"/>
          <w:szCs w:val="20"/>
        </w:rPr>
        <w:t>Abella</w:t>
      </w:r>
      <w:r w:rsidRPr="00C50A5C">
        <w:rPr>
          <w:b/>
          <w:sz w:val="20"/>
          <w:szCs w:val="20"/>
        </w:rPr>
        <w:t xml:space="preserve"> and Rothstein JJ.</w:t>
      </w:r>
    </w:p>
    <w:p w:rsidR="00F3210C" w:rsidRPr="00C50A5C" w:rsidRDefault="00F3210C" w:rsidP="00F3210C">
      <w:pPr>
        <w:widowControl w:val="0"/>
        <w:jc w:val="center"/>
        <w:rPr>
          <w:b/>
          <w:sz w:val="20"/>
          <w:szCs w:val="20"/>
          <w:lang w:val="fr-CA"/>
        </w:rPr>
      </w:pPr>
      <w:r w:rsidRPr="00C50A5C">
        <w:rPr>
          <w:b/>
          <w:sz w:val="20"/>
          <w:szCs w:val="20"/>
          <w:lang w:val="fr-CA"/>
        </w:rPr>
        <w:t xml:space="preserve">Les juges Binnie, </w:t>
      </w:r>
      <w:r>
        <w:rPr>
          <w:b/>
          <w:sz w:val="20"/>
          <w:szCs w:val="20"/>
          <w:lang w:val="fr-CA"/>
        </w:rPr>
        <w:t>Abella</w:t>
      </w:r>
      <w:r w:rsidRPr="00C50A5C">
        <w:rPr>
          <w:b/>
          <w:sz w:val="20"/>
          <w:szCs w:val="20"/>
          <w:lang w:val="fr-CA"/>
        </w:rPr>
        <w:t xml:space="preserve"> et Rothstein</w:t>
      </w:r>
    </w:p>
    <w:p w:rsidR="00F3210C" w:rsidRPr="00F3210C" w:rsidRDefault="00F3210C" w:rsidP="00C50A5C">
      <w:pPr>
        <w:widowControl w:val="0"/>
        <w:jc w:val="both"/>
        <w:rPr>
          <w:sz w:val="20"/>
          <w:szCs w:val="20"/>
          <w:lang w:val="fr-CA"/>
        </w:rPr>
      </w:pPr>
    </w:p>
    <w:p w:rsidR="002E2327" w:rsidRPr="006826AE" w:rsidRDefault="006826AE" w:rsidP="00C50A5C">
      <w:pPr>
        <w:pStyle w:val="ListParagraph"/>
        <w:widowControl w:val="0"/>
        <w:numPr>
          <w:ilvl w:val="0"/>
          <w:numId w:val="1"/>
        </w:numPr>
        <w:ind w:hanging="720"/>
        <w:jc w:val="both"/>
        <w:rPr>
          <w:sz w:val="20"/>
          <w:szCs w:val="20"/>
        </w:rPr>
      </w:pPr>
      <w:r w:rsidRPr="006826AE">
        <w:rPr>
          <w:i/>
          <w:sz w:val="20"/>
          <w:szCs w:val="20"/>
        </w:rPr>
        <w:t>Prabjot Singh v. Her Majesty the Queen</w:t>
      </w:r>
      <w:r w:rsidRPr="006826AE">
        <w:rPr>
          <w:sz w:val="20"/>
          <w:szCs w:val="20"/>
        </w:rPr>
        <w:t xml:space="preserve"> (Ont.) (Crim</w:t>
      </w:r>
      <w:r>
        <w:rPr>
          <w:sz w:val="20"/>
          <w:szCs w:val="20"/>
        </w:rPr>
        <w:t>.</w:t>
      </w:r>
      <w:r w:rsidRPr="006826AE">
        <w:rPr>
          <w:sz w:val="20"/>
          <w:szCs w:val="20"/>
        </w:rPr>
        <w:t>) (By Leave)</w:t>
      </w:r>
      <w:r>
        <w:rPr>
          <w:sz w:val="20"/>
          <w:szCs w:val="20"/>
        </w:rPr>
        <w:t xml:space="preserve"> </w:t>
      </w:r>
      <w:r w:rsidR="002E2327" w:rsidRPr="006826AE">
        <w:rPr>
          <w:sz w:val="20"/>
          <w:szCs w:val="20"/>
        </w:rPr>
        <w:t>(3</w:t>
      </w:r>
      <w:r w:rsidRPr="006826AE">
        <w:rPr>
          <w:sz w:val="20"/>
          <w:szCs w:val="20"/>
        </w:rPr>
        <w:t>4076</w:t>
      </w:r>
      <w:r w:rsidR="002E2327" w:rsidRPr="006826AE">
        <w:rPr>
          <w:sz w:val="20"/>
          <w:szCs w:val="20"/>
        </w:rPr>
        <w:t>)</w:t>
      </w:r>
    </w:p>
    <w:p w:rsidR="002E2327" w:rsidRPr="006826AE" w:rsidRDefault="002E2327" w:rsidP="002E2327">
      <w:pPr>
        <w:widowControl w:val="0"/>
        <w:rPr>
          <w:sz w:val="20"/>
          <w:szCs w:val="20"/>
        </w:rPr>
      </w:pPr>
    </w:p>
    <w:p w:rsidR="002E2327" w:rsidRPr="00C50A5C" w:rsidRDefault="006826AE" w:rsidP="00C50A5C">
      <w:pPr>
        <w:pStyle w:val="ListParagraph"/>
        <w:widowControl w:val="0"/>
        <w:numPr>
          <w:ilvl w:val="0"/>
          <w:numId w:val="1"/>
        </w:numPr>
        <w:ind w:hanging="720"/>
        <w:jc w:val="both"/>
        <w:rPr>
          <w:sz w:val="20"/>
          <w:szCs w:val="20"/>
        </w:rPr>
      </w:pPr>
      <w:r w:rsidRPr="006826AE">
        <w:rPr>
          <w:i/>
          <w:sz w:val="20"/>
          <w:szCs w:val="20"/>
        </w:rPr>
        <w:t>Mark DeMarco v. The Estate of Joseph Nicoletti</w:t>
      </w:r>
      <w:r w:rsidRPr="006826AE">
        <w:rPr>
          <w:sz w:val="20"/>
          <w:szCs w:val="20"/>
        </w:rPr>
        <w:t xml:space="preserve"> (Ont.) (Civil) (By Leave)</w:t>
      </w:r>
      <w:r w:rsidRPr="00C50A5C">
        <w:rPr>
          <w:sz w:val="20"/>
          <w:szCs w:val="20"/>
        </w:rPr>
        <w:t xml:space="preserve"> </w:t>
      </w:r>
      <w:r w:rsidR="002E2327" w:rsidRPr="00C50A5C">
        <w:rPr>
          <w:sz w:val="20"/>
          <w:szCs w:val="20"/>
        </w:rPr>
        <w:t>(3</w:t>
      </w:r>
      <w:r>
        <w:rPr>
          <w:sz w:val="20"/>
          <w:szCs w:val="20"/>
        </w:rPr>
        <w:t>4108</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6826AE" w:rsidP="00C50A5C">
      <w:pPr>
        <w:pStyle w:val="ListParagraph"/>
        <w:widowControl w:val="0"/>
        <w:numPr>
          <w:ilvl w:val="0"/>
          <w:numId w:val="1"/>
        </w:numPr>
        <w:ind w:hanging="720"/>
        <w:jc w:val="both"/>
        <w:rPr>
          <w:sz w:val="20"/>
          <w:szCs w:val="20"/>
        </w:rPr>
      </w:pPr>
      <w:r w:rsidRPr="006826AE">
        <w:rPr>
          <w:i/>
          <w:sz w:val="20"/>
          <w:szCs w:val="20"/>
        </w:rPr>
        <w:t>Ivanco Keremelevski v. V.W.R. Capital Corporation et al.</w:t>
      </w:r>
      <w:r w:rsidRPr="006826AE">
        <w:rPr>
          <w:sz w:val="20"/>
          <w:szCs w:val="20"/>
        </w:rPr>
        <w:t xml:space="preserve"> (B.C.) (Civil) (By Leave)</w:t>
      </w:r>
      <w:r>
        <w:rPr>
          <w:sz w:val="20"/>
          <w:szCs w:val="20"/>
        </w:rPr>
        <w:t xml:space="preserve"> </w:t>
      </w:r>
      <w:r w:rsidR="002E2327" w:rsidRPr="00C50A5C">
        <w:rPr>
          <w:sz w:val="20"/>
          <w:szCs w:val="20"/>
        </w:rPr>
        <w:t>(34</w:t>
      </w:r>
      <w:r>
        <w:rPr>
          <w:sz w:val="20"/>
          <w:szCs w:val="20"/>
        </w:rPr>
        <w:t>191</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F3210C" w:rsidRPr="00C50A5C" w:rsidRDefault="00F3210C" w:rsidP="00F3210C">
      <w:pPr>
        <w:widowControl w:val="0"/>
        <w:jc w:val="center"/>
        <w:rPr>
          <w:b/>
          <w:sz w:val="20"/>
          <w:szCs w:val="20"/>
        </w:rPr>
      </w:pPr>
      <w:r w:rsidRPr="00C50A5C">
        <w:rPr>
          <w:b/>
          <w:sz w:val="20"/>
          <w:szCs w:val="20"/>
        </w:rPr>
        <w:t xml:space="preserve">CORAM: LeBel, </w:t>
      </w:r>
      <w:r>
        <w:rPr>
          <w:b/>
          <w:sz w:val="20"/>
          <w:szCs w:val="20"/>
        </w:rPr>
        <w:t>Fish</w:t>
      </w:r>
      <w:r w:rsidRPr="00C50A5C">
        <w:rPr>
          <w:b/>
          <w:sz w:val="20"/>
          <w:szCs w:val="20"/>
        </w:rPr>
        <w:t xml:space="preserve"> and Cro</w:t>
      </w:r>
      <w:r>
        <w:rPr>
          <w:b/>
          <w:sz w:val="20"/>
          <w:szCs w:val="20"/>
        </w:rPr>
        <w:t>mwell</w:t>
      </w:r>
      <w:r w:rsidRPr="00C50A5C">
        <w:rPr>
          <w:b/>
          <w:sz w:val="20"/>
          <w:szCs w:val="20"/>
        </w:rPr>
        <w:t xml:space="preserve"> JJ.</w:t>
      </w:r>
    </w:p>
    <w:p w:rsidR="00F3210C" w:rsidRPr="00C50A5C" w:rsidRDefault="00F3210C" w:rsidP="00F3210C">
      <w:pPr>
        <w:widowControl w:val="0"/>
        <w:jc w:val="center"/>
        <w:rPr>
          <w:b/>
          <w:sz w:val="20"/>
          <w:szCs w:val="20"/>
          <w:lang w:val="fr-CA"/>
        </w:rPr>
      </w:pPr>
      <w:r w:rsidRPr="00C50A5C">
        <w:rPr>
          <w:b/>
          <w:sz w:val="20"/>
          <w:szCs w:val="20"/>
          <w:lang w:val="fr-CA"/>
        </w:rPr>
        <w:t xml:space="preserve">Les juges LeBel, </w:t>
      </w:r>
      <w:r>
        <w:rPr>
          <w:b/>
          <w:sz w:val="20"/>
          <w:szCs w:val="20"/>
          <w:lang w:val="fr-CA"/>
        </w:rPr>
        <w:t>Fish</w:t>
      </w:r>
      <w:r w:rsidRPr="00C50A5C">
        <w:rPr>
          <w:b/>
          <w:sz w:val="20"/>
          <w:szCs w:val="20"/>
          <w:lang w:val="fr-CA"/>
        </w:rPr>
        <w:t xml:space="preserve"> et Cro</w:t>
      </w:r>
      <w:r>
        <w:rPr>
          <w:b/>
          <w:sz w:val="20"/>
          <w:szCs w:val="20"/>
          <w:lang w:val="fr-CA"/>
        </w:rPr>
        <w:t>mwell</w:t>
      </w:r>
    </w:p>
    <w:p w:rsidR="002E2327" w:rsidRPr="00C50A5C" w:rsidRDefault="002E2327" w:rsidP="002E2327">
      <w:pPr>
        <w:widowControl w:val="0"/>
        <w:rPr>
          <w:sz w:val="20"/>
          <w:szCs w:val="20"/>
          <w:lang w:val="fr-CA"/>
        </w:rPr>
      </w:pPr>
    </w:p>
    <w:p w:rsidR="002E2327" w:rsidRPr="00C50A5C" w:rsidRDefault="006826AE" w:rsidP="00C50A5C">
      <w:pPr>
        <w:pStyle w:val="ListParagraph"/>
        <w:widowControl w:val="0"/>
        <w:numPr>
          <w:ilvl w:val="0"/>
          <w:numId w:val="1"/>
        </w:numPr>
        <w:ind w:hanging="720"/>
        <w:jc w:val="both"/>
        <w:rPr>
          <w:sz w:val="20"/>
          <w:szCs w:val="20"/>
          <w:lang w:val="fr-CA"/>
        </w:rPr>
      </w:pPr>
      <w:r w:rsidRPr="006826AE">
        <w:rPr>
          <w:i/>
          <w:sz w:val="20"/>
          <w:szCs w:val="20"/>
          <w:lang w:val="fr-CA"/>
        </w:rPr>
        <w:t>Liviu Pogan c. Université de Montréal et autre</w:t>
      </w:r>
      <w:r w:rsidRPr="006826AE">
        <w:rPr>
          <w:sz w:val="20"/>
          <w:szCs w:val="20"/>
          <w:lang w:val="fr-CA"/>
        </w:rPr>
        <w:t xml:space="preserve"> (Qc) (Civile) (Autorisation) </w:t>
      </w:r>
      <w:r w:rsidR="002E2327" w:rsidRPr="00C50A5C">
        <w:rPr>
          <w:sz w:val="20"/>
          <w:szCs w:val="20"/>
          <w:lang w:val="fr-CA"/>
        </w:rPr>
        <w:t>(3</w:t>
      </w:r>
      <w:r>
        <w:rPr>
          <w:sz w:val="20"/>
          <w:szCs w:val="20"/>
          <w:lang w:val="fr-CA"/>
        </w:rPr>
        <w:t>4190</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6826AE" w:rsidP="00C50A5C">
      <w:pPr>
        <w:pStyle w:val="ListParagraph"/>
        <w:widowControl w:val="0"/>
        <w:numPr>
          <w:ilvl w:val="0"/>
          <w:numId w:val="1"/>
        </w:numPr>
        <w:ind w:hanging="720"/>
        <w:jc w:val="both"/>
        <w:rPr>
          <w:sz w:val="20"/>
          <w:szCs w:val="20"/>
          <w:lang w:val="fr-CA"/>
        </w:rPr>
      </w:pPr>
      <w:r w:rsidRPr="006826AE">
        <w:rPr>
          <w:i/>
          <w:sz w:val="20"/>
          <w:szCs w:val="20"/>
          <w:lang w:val="fr-CA"/>
        </w:rPr>
        <w:t xml:space="preserve">Ruth Klein Tatner et al. </w:t>
      </w:r>
      <w:r w:rsidRPr="002203C0">
        <w:rPr>
          <w:i/>
          <w:sz w:val="20"/>
          <w:szCs w:val="20"/>
          <w:lang w:val="fr-CA"/>
        </w:rPr>
        <w:t xml:space="preserve">v. Gérard Mohr </w:t>
      </w:r>
      <w:r w:rsidRPr="002203C0">
        <w:rPr>
          <w:sz w:val="20"/>
          <w:szCs w:val="20"/>
          <w:lang w:val="fr-CA"/>
        </w:rPr>
        <w:t xml:space="preserve">(Que.) </w:t>
      </w:r>
      <w:r w:rsidRPr="006826AE">
        <w:rPr>
          <w:sz w:val="20"/>
          <w:szCs w:val="20"/>
        </w:rPr>
        <w:t>(Civil) (By Leave)</w:t>
      </w:r>
      <w:r w:rsidRPr="00C50A5C">
        <w:rPr>
          <w:sz w:val="20"/>
          <w:szCs w:val="20"/>
          <w:lang w:val="fr-CA"/>
        </w:rPr>
        <w:t xml:space="preserve"> </w:t>
      </w:r>
      <w:r w:rsidR="002E2327" w:rsidRPr="00C50A5C">
        <w:rPr>
          <w:sz w:val="20"/>
          <w:szCs w:val="20"/>
          <w:lang w:val="fr-CA"/>
        </w:rPr>
        <w:t>(34</w:t>
      </w:r>
      <w:r>
        <w:rPr>
          <w:sz w:val="20"/>
          <w:szCs w:val="20"/>
          <w:lang w:val="fr-CA"/>
        </w:rPr>
        <w:t>077</w:t>
      </w:r>
      <w:r w:rsidR="002E2327" w:rsidRPr="00C50A5C">
        <w:rPr>
          <w:sz w:val="20"/>
          <w:szCs w:val="20"/>
          <w:lang w:val="fr-CA"/>
        </w:rPr>
        <w:t>)</w:t>
      </w:r>
    </w:p>
    <w:p w:rsidR="002E2327" w:rsidRPr="00C50A5C" w:rsidRDefault="002E2327" w:rsidP="00C50A5C">
      <w:pPr>
        <w:widowControl w:val="0"/>
        <w:jc w:val="both"/>
        <w:rPr>
          <w:sz w:val="20"/>
          <w:szCs w:val="20"/>
          <w:lang w:val="fr-CA"/>
        </w:rPr>
      </w:pPr>
    </w:p>
    <w:p w:rsidR="00F3210C" w:rsidRPr="00F3210C" w:rsidRDefault="006826AE" w:rsidP="00F3210C">
      <w:pPr>
        <w:pStyle w:val="ListParagraph"/>
        <w:widowControl w:val="0"/>
        <w:numPr>
          <w:ilvl w:val="0"/>
          <w:numId w:val="1"/>
        </w:numPr>
        <w:ind w:hanging="720"/>
        <w:jc w:val="both"/>
        <w:rPr>
          <w:sz w:val="20"/>
          <w:szCs w:val="20"/>
          <w:lang w:val="fr-CA"/>
        </w:rPr>
      </w:pPr>
      <w:r w:rsidRPr="006826AE">
        <w:rPr>
          <w:i/>
          <w:sz w:val="20"/>
          <w:szCs w:val="20"/>
        </w:rPr>
        <w:t>F. Max E. Maréchaux v. Her Majesty the Queen</w:t>
      </w:r>
      <w:r w:rsidRPr="006826AE">
        <w:rPr>
          <w:sz w:val="20"/>
          <w:szCs w:val="20"/>
        </w:rPr>
        <w:t xml:space="preserve"> (F.C.) (Civil) (By Leave)</w:t>
      </w:r>
      <w:r w:rsidRPr="00C50A5C">
        <w:rPr>
          <w:sz w:val="20"/>
          <w:szCs w:val="20"/>
          <w:lang w:val="fr-CA"/>
        </w:rPr>
        <w:t xml:space="preserve"> </w:t>
      </w:r>
      <w:r w:rsidR="002E2327" w:rsidRPr="00C50A5C">
        <w:rPr>
          <w:sz w:val="20"/>
          <w:szCs w:val="20"/>
          <w:lang w:val="fr-CA"/>
        </w:rPr>
        <w:t>(3</w:t>
      </w:r>
      <w:r>
        <w:rPr>
          <w:sz w:val="20"/>
          <w:szCs w:val="20"/>
          <w:lang w:val="fr-CA"/>
        </w:rPr>
        <w:t>4</w:t>
      </w:r>
      <w:r w:rsidR="002E2327" w:rsidRPr="00C50A5C">
        <w:rPr>
          <w:sz w:val="20"/>
          <w:szCs w:val="20"/>
          <w:lang w:val="fr-CA"/>
        </w:rPr>
        <w:t>07</w:t>
      </w:r>
      <w:r>
        <w:rPr>
          <w:sz w:val="20"/>
          <w:szCs w:val="20"/>
          <w:lang w:val="fr-CA"/>
        </w:rPr>
        <w:t>3</w:t>
      </w:r>
      <w:r w:rsidR="002E2327" w:rsidRPr="00C50A5C">
        <w:rPr>
          <w:sz w:val="20"/>
          <w:szCs w:val="20"/>
          <w:lang w:val="fr-CA"/>
        </w:rPr>
        <w:t>)</w:t>
      </w:r>
    </w:p>
    <w:p w:rsidR="002E2327" w:rsidRDefault="002E2327" w:rsidP="002E2327">
      <w:pPr>
        <w:widowControl w:val="0"/>
        <w:rPr>
          <w:sz w:val="20"/>
          <w:szCs w:val="20"/>
          <w:lang w:val="fr-CA"/>
        </w:rPr>
      </w:pPr>
    </w:p>
    <w:p w:rsidR="006826AE" w:rsidRDefault="00CF05D4" w:rsidP="002E2327">
      <w:pPr>
        <w:widowControl w:val="0"/>
        <w:rPr>
          <w:sz w:val="20"/>
          <w:szCs w:val="20"/>
          <w:lang w:val="fr-CA"/>
        </w:rPr>
      </w:pPr>
      <w:r w:rsidRPr="00CF05D4">
        <w:rPr>
          <w:sz w:val="20"/>
          <w:szCs w:val="20"/>
        </w:rPr>
        <w:pict>
          <v:rect id="_x0000_i1037" style="width:2in;height:1pt" o:hrpct="0" o:hralign="center" o:hrstd="t" o:hrnoshade="t" o:hr="t" fillcolor="black [3213]" stroked="f"/>
        </w:pict>
      </w:r>
    </w:p>
    <w:p w:rsidR="006826AE" w:rsidRDefault="006826AE" w:rsidP="002E2327">
      <w:pPr>
        <w:widowControl w:val="0"/>
        <w:rPr>
          <w:sz w:val="20"/>
          <w:szCs w:val="20"/>
          <w:lang w:val="fr-CA"/>
        </w:rPr>
      </w:pPr>
    </w:p>
    <w:p w:rsidR="002E2327" w:rsidRPr="00C50A5C" w:rsidRDefault="002E2327"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E62A55"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B47D18" w:rsidRPr="00B47D18" w:rsidRDefault="00B47D18" w:rsidP="008D292F">
      <w:pPr>
        <w:rPr>
          <w:b/>
          <w:sz w:val="20"/>
          <w:szCs w:val="20"/>
        </w:rPr>
      </w:pPr>
      <w:r>
        <w:rPr>
          <w:b/>
          <w:sz w:val="20"/>
          <w:szCs w:val="20"/>
        </w:rPr>
        <w:t>MAY 5, 2011 / LE 5 MAI 2011</w:t>
      </w:r>
    </w:p>
    <w:p w:rsidR="00B47D18" w:rsidRDefault="00B47D18"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54BE" w:rsidRPr="003354BE" w:rsidTr="00DD30CB">
        <w:trPr>
          <w:cantSplit/>
        </w:trPr>
        <w:tc>
          <w:tcPr>
            <w:tcW w:w="1458" w:type="dxa"/>
          </w:tcPr>
          <w:p w:rsidR="003354BE" w:rsidRPr="003354BE" w:rsidRDefault="003354BE" w:rsidP="00DD30CB">
            <w:pPr>
              <w:rPr>
                <w:sz w:val="20"/>
                <w:szCs w:val="20"/>
              </w:rPr>
            </w:pPr>
            <w:r w:rsidRPr="003354BE">
              <w:rPr>
                <w:rStyle w:val="SCCFileNumberChar"/>
                <w:sz w:val="20"/>
                <w:szCs w:val="20"/>
              </w:rPr>
              <w:t>33831</w:t>
            </w:r>
          </w:p>
          <w:p w:rsidR="003354BE" w:rsidRPr="003354BE" w:rsidRDefault="003354BE" w:rsidP="00DD30CB">
            <w:pPr>
              <w:rPr>
                <w:b/>
                <w:sz w:val="20"/>
                <w:szCs w:val="20"/>
                <w:lang w:val="fr-CA"/>
              </w:rPr>
            </w:pPr>
          </w:p>
        </w:tc>
        <w:tc>
          <w:tcPr>
            <w:tcW w:w="8118" w:type="dxa"/>
          </w:tcPr>
          <w:p w:rsidR="003354BE" w:rsidRPr="003354BE" w:rsidRDefault="003354BE" w:rsidP="00DD30CB">
            <w:pPr>
              <w:jc w:val="both"/>
              <w:rPr>
                <w:sz w:val="20"/>
                <w:szCs w:val="20"/>
              </w:rPr>
            </w:pPr>
            <w:r w:rsidRPr="003354BE">
              <w:rPr>
                <w:rStyle w:val="SCCLsocChar"/>
                <w:sz w:val="20"/>
                <w:szCs w:val="20"/>
                <w:lang w:val="en-CA"/>
              </w:rPr>
              <w:t>Pharmascience Inc. v. Aventis Pharma Inc., Aventis Pharma Deutschland GmbH, Schering Corporation and Minister of Health</w:t>
            </w:r>
            <w:r w:rsidRPr="003354BE">
              <w:rPr>
                <w:sz w:val="20"/>
                <w:szCs w:val="20"/>
              </w:rPr>
              <w:t xml:space="preserve"> (F.C.) (Civil) (By Leave)</w:t>
            </w:r>
          </w:p>
          <w:p w:rsidR="003354BE" w:rsidRPr="003354BE" w:rsidRDefault="003354BE" w:rsidP="00DD30CB">
            <w:pPr>
              <w:rPr>
                <w:sz w:val="20"/>
                <w:szCs w:val="20"/>
              </w:rPr>
            </w:pPr>
          </w:p>
        </w:tc>
      </w:tr>
      <w:tr w:rsidR="003354BE" w:rsidRPr="003354BE" w:rsidTr="00DD30CB">
        <w:trPr>
          <w:cantSplit/>
        </w:trPr>
        <w:tc>
          <w:tcPr>
            <w:tcW w:w="1458" w:type="dxa"/>
          </w:tcPr>
          <w:p w:rsidR="003354BE" w:rsidRPr="003354BE" w:rsidRDefault="003354BE" w:rsidP="00DD30CB">
            <w:pPr>
              <w:rPr>
                <w:sz w:val="20"/>
                <w:szCs w:val="20"/>
              </w:rPr>
            </w:pPr>
            <w:r w:rsidRPr="003354BE">
              <w:rPr>
                <w:sz w:val="20"/>
                <w:szCs w:val="20"/>
              </w:rPr>
              <w:t>Coram :</w:t>
            </w:r>
          </w:p>
        </w:tc>
        <w:tc>
          <w:tcPr>
            <w:tcW w:w="8118" w:type="dxa"/>
          </w:tcPr>
          <w:p w:rsidR="003354BE" w:rsidRPr="003354BE" w:rsidRDefault="003354BE" w:rsidP="00DD30CB">
            <w:pPr>
              <w:rPr>
                <w:sz w:val="20"/>
                <w:szCs w:val="20"/>
              </w:rPr>
            </w:pPr>
            <w:r w:rsidRPr="003354BE">
              <w:rPr>
                <w:rStyle w:val="SCCCoramChar"/>
                <w:sz w:val="20"/>
                <w:szCs w:val="20"/>
                <w:lang w:val="en-CA"/>
              </w:rPr>
              <w:t>Binnie, Fish and Rothstein JJ.</w:t>
            </w:r>
          </w:p>
          <w:p w:rsidR="003354BE" w:rsidRPr="003354BE" w:rsidRDefault="003354BE" w:rsidP="00DD30CB">
            <w:pPr>
              <w:rPr>
                <w:sz w:val="20"/>
                <w:szCs w:val="20"/>
                <w:u w:val="single"/>
              </w:rPr>
            </w:pPr>
          </w:p>
        </w:tc>
      </w:tr>
      <w:tr w:rsidR="003354BE" w:rsidRPr="00E62A55" w:rsidTr="00DD30CB">
        <w:trPr>
          <w:cantSplit/>
        </w:trPr>
        <w:tc>
          <w:tcPr>
            <w:tcW w:w="9576" w:type="dxa"/>
            <w:gridSpan w:val="2"/>
          </w:tcPr>
          <w:p w:rsidR="003354BE" w:rsidRPr="003354BE" w:rsidRDefault="003354BE" w:rsidP="00DD30CB">
            <w:pPr>
              <w:pStyle w:val="SCCShortJudgment"/>
              <w:rPr>
                <w:szCs w:val="20"/>
              </w:rPr>
            </w:pPr>
            <w:r w:rsidRPr="003354BE">
              <w:rPr>
                <w:szCs w:val="20"/>
              </w:rPr>
              <w:t>The motion for leave to intervene by the Canadian Generic Pharmaceutical Association and the application for leave to appeal from the judgment of the Federal Court of Appeal, Number A-379-09, 2010 FCA 153, dated June 8, 2010, are dismissed with costs to the respondents Aventis Pharma Inc., Aventis Pharma Deutschland GmbH and Schering Corporation.</w:t>
            </w:r>
          </w:p>
          <w:p w:rsidR="003354BE" w:rsidRPr="003354BE" w:rsidRDefault="003354BE" w:rsidP="00DD30CB">
            <w:pPr>
              <w:pStyle w:val="SCCShortJudgment"/>
              <w:ind w:firstLine="0"/>
              <w:rPr>
                <w:szCs w:val="20"/>
              </w:rPr>
            </w:pPr>
          </w:p>
          <w:p w:rsidR="003354BE" w:rsidRPr="003354BE" w:rsidRDefault="003354BE" w:rsidP="00DD30CB">
            <w:pPr>
              <w:pStyle w:val="SCCShortJudgment"/>
              <w:rPr>
                <w:szCs w:val="20"/>
                <w:lang w:val="fr-CA"/>
              </w:rPr>
            </w:pPr>
            <w:r w:rsidRPr="003354BE">
              <w:rPr>
                <w:szCs w:val="20"/>
                <w:lang w:val="fr-CA"/>
              </w:rPr>
              <w:t>La requête pour permission d’intervenir de l’Association canadienne du médicament générique et la demande d’autorisation d’appel de l’arrêt de la Cour d’appel fédérale, numéro A-379-09, 2010 CAF 153, daté du 8 juin 2010, sont rejetées avec dépens en faveur des intimées Aventis Pharma Inc., Aventis Pharma Deutschland GmbH et Schering Corporation.</w:t>
            </w:r>
          </w:p>
        </w:tc>
      </w:tr>
    </w:tbl>
    <w:p w:rsidR="00741F3F" w:rsidRPr="003354BE" w:rsidRDefault="00741F3F" w:rsidP="008D292F">
      <w:pPr>
        <w:rPr>
          <w:sz w:val="20"/>
          <w:szCs w:val="20"/>
          <w:lang w:val="fr-CA"/>
        </w:rPr>
      </w:pPr>
    </w:p>
    <w:p w:rsidR="00741F3F" w:rsidRDefault="00741F3F" w:rsidP="008D292F">
      <w:pPr>
        <w:rPr>
          <w:sz w:val="20"/>
          <w:szCs w:val="20"/>
        </w:rPr>
      </w:pPr>
      <w:r>
        <w:rPr>
          <w:sz w:val="20"/>
          <w:szCs w:val="20"/>
          <w:u w:val="single"/>
        </w:rPr>
        <w:t>CASE SUMMARY</w:t>
      </w:r>
    </w:p>
    <w:p w:rsidR="00741F3F" w:rsidRDefault="00741F3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E6FA2" w:rsidRPr="00723BA8" w:rsidTr="002B7BFF">
        <w:tc>
          <w:tcPr>
            <w:tcW w:w="5000" w:type="pct"/>
            <w:gridSpan w:val="3"/>
          </w:tcPr>
          <w:p w:rsidR="004E6FA2" w:rsidRPr="00723BA8" w:rsidRDefault="004E6FA2" w:rsidP="002B7BFF">
            <w:pPr>
              <w:jc w:val="both"/>
              <w:rPr>
                <w:rFonts w:eastAsia="Calibri"/>
                <w:sz w:val="20"/>
              </w:rPr>
            </w:pPr>
            <w:r w:rsidRPr="00723BA8">
              <w:rPr>
                <w:rFonts w:eastAsia="Calibri"/>
                <w:sz w:val="20"/>
              </w:rPr>
              <w:t xml:space="preserve">Intellectual property – Patents –Medicines – Following prohibition order under </w:t>
            </w:r>
            <w:r w:rsidRPr="00723BA8">
              <w:rPr>
                <w:rFonts w:eastAsia="Calibri"/>
                <w:i/>
                <w:sz w:val="20"/>
              </w:rPr>
              <w:t>Patented Medicines (Notice of Compliance) Regulations</w:t>
            </w:r>
            <w:r w:rsidRPr="00723BA8">
              <w:rPr>
                <w:rFonts w:eastAsia="Calibri"/>
                <w:sz w:val="20"/>
              </w:rPr>
              <w:t xml:space="preserve">, SOR 93/133, patent in question declared invalid in patent action – Whether s. 8 of the </w:t>
            </w:r>
            <w:r w:rsidRPr="00723BA8">
              <w:rPr>
                <w:rFonts w:eastAsia="Calibri"/>
                <w:i/>
                <w:sz w:val="20"/>
              </w:rPr>
              <w:t>Regulations</w:t>
            </w:r>
            <w:r w:rsidRPr="00723BA8">
              <w:rPr>
                <w:rFonts w:eastAsia="Calibri"/>
                <w:sz w:val="20"/>
              </w:rPr>
              <w:t xml:space="preserve"> provides for compensation for a generic company which has been kept out of the market by a NOC prohibition order where it is determined that the relevant claims of the patent which are the basis for the order are invalid - Whether the underlying application for the prohibition order should be dismissed?  Whether the federal court of appeal made other fundamental errors of law in affirming the refusal to dismiss the NOC prohibition applications substantially for the reasons of the motion judge?</w:t>
            </w:r>
          </w:p>
          <w:p w:rsidR="004E6FA2" w:rsidRPr="00723BA8" w:rsidRDefault="004E6FA2" w:rsidP="002B7BFF">
            <w:pPr>
              <w:jc w:val="both"/>
              <w:rPr>
                <w:rFonts w:eastAsia="Calibri"/>
                <w:sz w:val="20"/>
              </w:rPr>
            </w:pPr>
          </w:p>
        </w:tc>
      </w:tr>
      <w:tr w:rsidR="004E6FA2" w:rsidRPr="00723BA8" w:rsidTr="002B7BFF">
        <w:tc>
          <w:tcPr>
            <w:tcW w:w="5000" w:type="pct"/>
            <w:gridSpan w:val="3"/>
          </w:tcPr>
          <w:p w:rsidR="004E6FA2" w:rsidRPr="00723BA8" w:rsidRDefault="004E6FA2" w:rsidP="002B7BFF">
            <w:pPr>
              <w:jc w:val="both"/>
              <w:rPr>
                <w:rFonts w:eastAsia="Calibri"/>
                <w:sz w:val="20"/>
              </w:rPr>
            </w:pPr>
            <w:r w:rsidRPr="00723BA8">
              <w:rPr>
                <w:rFonts w:eastAsia="Calibri"/>
                <w:sz w:val="20"/>
              </w:rPr>
              <w:t>In 2001, Pharmascience Inc. (“Pharmascience”), a generic drug manufacturer, submitted a notice of allegation to the Minister of Health to obtain a notice of compliance (“NOC”) to market its generic version of ramipril, a drug used in the treatment of hypertension.  The Respondents (collectively</w:t>
            </w:r>
            <w:proofErr w:type="gramStart"/>
            <w:r w:rsidRPr="00723BA8">
              <w:rPr>
                <w:rFonts w:eastAsia="Calibri"/>
                <w:sz w:val="20"/>
              </w:rPr>
              <w:t>,“</w:t>
            </w:r>
            <w:proofErr w:type="gramEnd"/>
            <w:r w:rsidRPr="00723BA8">
              <w:rPr>
                <w:rFonts w:eastAsia="Calibri"/>
                <w:sz w:val="20"/>
              </w:rPr>
              <w:t>Aventis”) brought a motion to prohibit the Minister of Health from issuing a NOC to Pharmascience.  The court rejected Pharmascience’s allegation that the claims of the ‘206 patent were invalid for double patenting and granted the prohibition order until after the expiry of the ‘206 patent.  Pharmascience filed a second notice of allegation, asserting that the ‘206 patent was invalid on several different grounds.  The court held that the allegation of invalidity had been finally determined in the first application and that issue estoppel precluded Pharmascience from making further allegations of invalidity and issued a second prohibition order.</w:t>
            </w:r>
          </w:p>
          <w:p w:rsidR="004E6FA2" w:rsidRPr="00723BA8" w:rsidRDefault="004E6FA2" w:rsidP="002B7BFF">
            <w:pPr>
              <w:jc w:val="both"/>
              <w:rPr>
                <w:rFonts w:eastAsia="Calibri"/>
                <w:sz w:val="20"/>
              </w:rPr>
            </w:pPr>
          </w:p>
          <w:p w:rsidR="004E6FA2" w:rsidRPr="00723BA8" w:rsidRDefault="004E6FA2" w:rsidP="002B7BFF">
            <w:pPr>
              <w:jc w:val="both"/>
              <w:rPr>
                <w:rFonts w:eastAsia="Calibri"/>
                <w:sz w:val="20"/>
              </w:rPr>
            </w:pPr>
            <w:r w:rsidRPr="00723BA8">
              <w:rPr>
                <w:rFonts w:eastAsia="Calibri"/>
                <w:sz w:val="20"/>
              </w:rPr>
              <w:t>In 2007, Aventis commenced an infringement action against Apotex Inc. and Novopharm Limited, two other generic manufacturers, arising from their sales of ramipril in Canada.  Claims 1,2,3,6 and 12, the same claims that were relevant in the Pharmascience NOC litigation, were found to be invalid and of no force and effect.  As a result of this finding in 2009, Pharmascience again asked the Minister for a NOC to market its ramipril capsules.  The Minister’s position was that as not all of the claims of the ‘206 patent were declared invalid, it could not be considered “expired” and refused to issue the NOC.  Pharmascience brought a motion to set aside the two orders of prohibition and to dismiss their underlying applications granted by the federal court in the NOC litigation.</w:t>
            </w:r>
          </w:p>
          <w:p w:rsidR="004E6FA2" w:rsidRPr="00723BA8" w:rsidRDefault="004E6FA2" w:rsidP="002B7BFF">
            <w:pPr>
              <w:jc w:val="both"/>
              <w:rPr>
                <w:rFonts w:eastAsia="Calibri"/>
                <w:sz w:val="20"/>
              </w:rPr>
            </w:pPr>
          </w:p>
        </w:tc>
      </w:tr>
      <w:tr w:rsidR="004E6FA2" w:rsidRPr="00723BA8" w:rsidTr="002B7BFF">
        <w:tc>
          <w:tcPr>
            <w:tcW w:w="2427" w:type="pct"/>
          </w:tcPr>
          <w:p w:rsidR="004E6FA2" w:rsidRPr="00723BA8" w:rsidRDefault="004E6FA2" w:rsidP="002B7BFF">
            <w:pPr>
              <w:jc w:val="both"/>
              <w:rPr>
                <w:rFonts w:eastAsia="Calibri"/>
                <w:sz w:val="20"/>
              </w:rPr>
            </w:pPr>
            <w:r w:rsidRPr="00723BA8">
              <w:rPr>
                <w:rFonts w:eastAsia="Calibri"/>
                <w:sz w:val="20"/>
              </w:rPr>
              <w:t>September 15, 2009</w:t>
            </w:r>
          </w:p>
          <w:p w:rsidR="004E6FA2" w:rsidRPr="00723BA8" w:rsidRDefault="004E6FA2" w:rsidP="002B7BFF">
            <w:pPr>
              <w:jc w:val="both"/>
              <w:rPr>
                <w:rFonts w:eastAsia="Calibri"/>
                <w:sz w:val="20"/>
              </w:rPr>
            </w:pPr>
            <w:r w:rsidRPr="00723BA8">
              <w:rPr>
                <w:rFonts w:eastAsia="Calibri"/>
                <w:sz w:val="20"/>
              </w:rPr>
              <w:t>Federal Court</w:t>
            </w:r>
          </w:p>
          <w:p w:rsidR="004E6FA2" w:rsidRPr="00723BA8" w:rsidRDefault="004E6FA2" w:rsidP="002B7BFF">
            <w:pPr>
              <w:jc w:val="both"/>
              <w:rPr>
                <w:rFonts w:eastAsia="Calibri"/>
                <w:sz w:val="20"/>
              </w:rPr>
            </w:pPr>
            <w:r w:rsidRPr="00723BA8">
              <w:rPr>
                <w:rFonts w:eastAsia="Calibri"/>
                <w:sz w:val="20"/>
              </w:rPr>
              <w:t>(Zinn J.)</w:t>
            </w:r>
          </w:p>
          <w:p w:rsidR="004E6FA2" w:rsidRPr="00723BA8" w:rsidRDefault="004E6FA2" w:rsidP="002B7BFF">
            <w:pPr>
              <w:jc w:val="both"/>
              <w:rPr>
                <w:rFonts w:eastAsia="Calibri"/>
                <w:sz w:val="20"/>
              </w:rPr>
            </w:pPr>
            <w:r w:rsidRPr="00723BA8">
              <w:rPr>
                <w:rFonts w:eastAsia="Calibri"/>
                <w:sz w:val="20"/>
              </w:rPr>
              <w:t>2009 FC 915</w:t>
            </w:r>
          </w:p>
        </w:tc>
        <w:tc>
          <w:tcPr>
            <w:tcW w:w="243" w:type="pct"/>
          </w:tcPr>
          <w:p w:rsidR="004E6FA2" w:rsidRPr="00723BA8" w:rsidRDefault="004E6FA2" w:rsidP="002B7BFF">
            <w:pPr>
              <w:jc w:val="both"/>
              <w:rPr>
                <w:rFonts w:eastAsia="Calibri"/>
                <w:sz w:val="20"/>
              </w:rPr>
            </w:pPr>
          </w:p>
        </w:tc>
        <w:tc>
          <w:tcPr>
            <w:tcW w:w="2330" w:type="pct"/>
          </w:tcPr>
          <w:p w:rsidR="004E6FA2" w:rsidRPr="00723BA8" w:rsidRDefault="004E6FA2" w:rsidP="002B7BFF">
            <w:pPr>
              <w:jc w:val="both"/>
              <w:rPr>
                <w:rFonts w:eastAsia="Calibri"/>
                <w:sz w:val="20"/>
              </w:rPr>
            </w:pPr>
            <w:r w:rsidRPr="00723BA8">
              <w:rPr>
                <w:rFonts w:eastAsia="Calibri"/>
                <w:sz w:val="20"/>
              </w:rPr>
              <w:t>Previous orders for prohibition set aside; Pharmascience’s motion to set aside underlying applications dismissed</w:t>
            </w:r>
          </w:p>
          <w:p w:rsidR="004E6FA2" w:rsidRPr="00723BA8" w:rsidRDefault="004E6FA2" w:rsidP="002B7BFF">
            <w:pPr>
              <w:jc w:val="both"/>
              <w:rPr>
                <w:rFonts w:eastAsia="Calibri"/>
                <w:sz w:val="20"/>
              </w:rPr>
            </w:pPr>
          </w:p>
        </w:tc>
      </w:tr>
      <w:tr w:rsidR="004E6FA2" w:rsidRPr="00723BA8" w:rsidTr="003354BE">
        <w:trPr>
          <w:cantSplit/>
        </w:trPr>
        <w:tc>
          <w:tcPr>
            <w:tcW w:w="2427" w:type="pct"/>
          </w:tcPr>
          <w:p w:rsidR="004E6FA2" w:rsidRPr="00723BA8" w:rsidRDefault="004E6FA2" w:rsidP="002B7BFF">
            <w:pPr>
              <w:jc w:val="both"/>
              <w:rPr>
                <w:rFonts w:eastAsia="Calibri"/>
                <w:sz w:val="20"/>
              </w:rPr>
            </w:pPr>
            <w:r w:rsidRPr="00723BA8">
              <w:rPr>
                <w:rFonts w:eastAsia="Calibri"/>
                <w:sz w:val="20"/>
              </w:rPr>
              <w:lastRenderedPageBreak/>
              <w:t>June 8, 2010</w:t>
            </w:r>
          </w:p>
          <w:p w:rsidR="004E6FA2" w:rsidRPr="00723BA8" w:rsidRDefault="004E6FA2" w:rsidP="002B7BFF">
            <w:pPr>
              <w:jc w:val="both"/>
              <w:rPr>
                <w:rFonts w:eastAsia="Calibri"/>
                <w:sz w:val="20"/>
              </w:rPr>
            </w:pPr>
            <w:r w:rsidRPr="00723BA8">
              <w:rPr>
                <w:rFonts w:eastAsia="Calibri"/>
                <w:sz w:val="20"/>
              </w:rPr>
              <w:t>Federal Court of Appeal</w:t>
            </w:r>
          </w:p>
          <w:p w:rsidR="004E6FA2" w:rsidRPr="00723BA8" w:rsidRDefault="004E6FA2" w:rsidP="002B7BFF">
            <w:pPr>
              <w:jc w:val="both"/>
              <w:rPr>
                <w:rFonts w:eastAsia="Calibri"/>
                <w:sz w:val="20"/>
              </w:rPr>
            </w:pPr>
            <w:r w:rsidRPr="00723BA8">
              <w:rPr>
                <w:rFonts w:eastAsia="Calibri"/>
                <w:sz w:val="20"/>
              </w:rPr>
              <w:t>(Nadon, Sharlow and Layden-Stevenson JJ.A.)</w:t>
            </w:r>
          </w:p>
          <w:p w:rsidR="004E6FA2" w:rsidRPr="00723BA8" w:rsidRDefault="004E6FA2" w:rsidP="002B7BFF">
            <w:pPr>
              <w:jc w:val="both"/>
              <w:rPr>
                <w:rFonts w:eastAsia="Calibri"/>
                <w:sz w:val="20"/>
              </w:rPr>
            </w:pPr>
          </w:p>
        </w:tc>
        <w:tc>
          <w:tcPr>
            <w:tcW w:w="243" w:type="pct"/>
          </w:tcPr>
          <w:p w:rsidR="004E6FA2" w:rsidRPr="00723BA8" w:rsidRDefault="004E6FA2" w:rsidP="002B7BFF">
            <w:pPr>
              <w:jc w:val="both"/>
              <w:rPr>
                <w:rFonts w:eastAsia="Calibri"/>
                <w:sz w:val="20"/>
              </w:rPr>
            </w:pPr>
          </w:p>
        </w:tc>
        <w:tc>
          <w:tcPr>
            <w:tcW w:w="2330" w:type="pct"/>
          </w:tcPr>
          <w:p w:rsidR="004E6FA2" w:rsidRPr="00723BA8" w:rsidRDefault="004E6FA2" w:rsidP="002B7BFF">
            <w:pPr>
              <w:jc w:val="both"/>
              <w:rPr>
                <w:rFonts w:eastAsia="Calibri"/>
                <w:sz w:val="20"/>
              </w:rPr>
            </w:pPr>
            <w:r w:rsidRPr="00723BA8">
              <w:rPr>
                <w:rFonts w:eastAsia="Calibri"/>
                <w:sz w:val="20"/>
              </w:rPr>
              <w:t>Appeal dismissed</w:t>
            </w:r>
          </w:p>
          <w:p w:rsidR="004E6FA2" w:rsidRPr="00723BA8" w:rsidRDefault="004E6FA2" w:rsidP="002B7BFF">
            <w:pPr>
              <w:jc w:val="both"/>
              <w:rPr>
                <w:rFonts w:eastAsia="Calibri"/>
                <w:sz w:val="20"/>
              </w:rPr>
            </w:pPr>
          </w:p>
        </w:tc>
      </w:tr>
      <w:tr w:rsidR="004E6FA2" w:rsidRPr="00723BA8" w:rsidTr="003354BE">
        <w:trPr>
          <w:cantSplit/>
        </w:trPr>
        <w:tc>
          <w:tcPr>
            <w:tcW w:w="2427" w:type="pct"/>
          </w:tcPr>
          <w:p w:rsidR="004E6FA2" w:rsidRPr="00723BA8" w:rsidRDefault="004E6FA2" w:rsidP="002B7BFF">
            <w:pPr>
              <w:jc w:val="both"/>
              <w:rPr>
                <w:rFonts w:eastAsia="Calibri"/>
                <w:sz w:val="20"/>
              </w:rPr>
            </w:pPr>
            <w:r w:rsidRPr="00723BA8">
              <w:rPr>
                <w:rFonts w:eastAsia="Calibri"/>
                <w:sz w:val="20"/>
              </w:rPr>
              <w:t>September 7, 2010</w:t>
            </w:r>
          </w:p>
          <w:p w:rsidR="004E6FA2" w:rsidRPr="00723BA8" w:rsidRDefault="004E6FA2" w:rsidP="002B7BFF">
            <w:pPr>
              <w:jc w:val="both"/>
              <w:rPr>
                <w:rFonts w:eastAsia="Calibri"/>
                <w:sz w:val="20"/>
              </w:rPr>
            </w:pPr>
            <w:r w:rsidRPr="00723BA8">
              <w:rPr>
                <w:rFonts w:eastAsia="Calibri"/>
                <w:sz w:val="20"/>
              </w:rPr>
              <w:t>Supreme Court of Canada</w:t>
            </w:r>
          </w:p>
          <w:p w:rsidR="004E6FA2" w:rsidRPr="00723BA8" w:rsidRDefault="004E6FA2" w:rsidP="002B7BFF">
            <w:pPr>
              <w:jc w:val="both"/>
              <w:rPr>
                <w:rFonts w:eastAsia="Calibri"/>
                <w:sz w:val="20"/>
              </w:rPr>
            </w:pPr>
          </w:p>
        </w:tc>
        <w:tc>
          <w:tcPr>
            <w:tcW w:w="243" w:type="pct"/>
          </w:tcPr>
          <w:p w:rsidR="004E6FA2" w:rsidRPr="00723BA8" w:rsidRDefault="004E6FA2" w:rsidP="002B7BFF">
            <w:pPr>
              <w:jc w:val="both"/>
              <w:rPr>
                <w:rFonts w:eastAsia="Calibri"/>
                <w:sz w:val="20"/>
              </w:rPr>
            </w:pPr>
          </w:p>
        </w:tc>
        <w:tc>
          <w:tcPr>
            <w:tcW w:w="2330" w:type="pct"/>
          </w:tcPr>
          <w:p w:rsidR="004E6FA2" w:rsidRPr="00723BA8" w:rsidRDefault="004E6FA2" w:rsidP="002B7BFF">
            <w:pPr>
              <w:jc w:val="both"/>
              <w:rPr>
                <w:rFonts w:eastAsia="Calibri"/>
                <w:sz w:val="20"/>
              </w:rPr>
            </w:pPr>
            <w:r w:rsidRPr="00723BA8">
              <w:rPr>
                <w:rFonts w:eastAsia="Calibri"/>
                <w:sz w:val="20"/>
              </w:rPr>
              <w:t>Application for leave to appeal filed</w:t>
            </w:r>
          </w:p>
        </w:tc>
      </w:tr>
      <w:tr w:rsidR="004E6FA2" w:rsidRPr="00723BA8" w:rsidTr="003354BE">
        <w:trPr>
          <w:cantSplit/>
        </w:trPr>
        <w:tc>
          <w:tcPr>
            <w:tcW w:w="2427" w:type="pct"/>
          </w:tcPr>
          <w:p w:rsidR="004E6FA2" w:rsidRPr="00723BA8" w:rsidRDefault="004E6FA2" w:rsidP="002B7BFF">
            <w:pPr>
              <w:jc w:val="both"/>
              <w:rPr>
                <w:rFonts w:eastAsia="Calibri"/>
                <w:sz w:val="20"/>
              </w:rPr>
            </w:pPr>
            <w:r w:rsidRPr="00723BA8">
              <w:rPr>
                <w:rFonts w:eastAsia="Calibri"/>
                <w:sz w:val="20"/>
              </w:rPr>
              <w:t>October 8, 2010</w:t>
            </w:r>
          </w:p>
          <w:p w:rsidR="004E6FA2" w:rsidRPr="00723BA8" w:rsidRDefault="004E6FA2" w:rsidP="002B7BFF">
            <w:pPr>
              <w:jc w:val="both"/>
              <w:rPr>
                <w:rFonts w:eastAsia="Calibri"/>
                <w:sz w:val="20"/>
              </w:rPr>
            </w:pPr>
            <w:r w:rsidRPr="00723BA8">
              <w:rPr>
                <w:rFonts w:eastAsia="Calibri"/>
                <w:sz w:val="20"/>
              </w:rPr>
              <w:t>Supreme Court of Canada</w:t>
            </w:r>
          </w:p>
        </w:tc>
        <w:tc>
          <w:tcPr>
            <w:tcW w:w="243" w:type="pct"/>
          </w:tcPr>
          <w:p w:rsidR="004E6FA2" w:rsidRPr="00723BA8" w:rsidRDefault="004E6FA2" w:rsidP="002B7BFF">
            <w:pPr>
              <w:jc w:val="both"/>
              <w:rPr>
                <w:rFonts w:eastAsia="Calibri"/>
                <w:sz w:val="20"/>
              </w:rPr>
            </w:pPr>
          </w:p>
        </w:tc>
        <w:tc>
          <w:tcPr>
            <w:tcW w:w="2330" w:type="pct"/>
          </w:tcPr>
          <w:p w:rsidR="004E6FA2" w:rsidRPr="00723BA8" w:rsidRDefault="004E6FA2" w:rsidP="002B7BFF">
            <w:pPr>
              <w:jc w:val="both"/>
              <w:rPr>
                <w:rFonts w:eastAsia="Calibri"/>
                <w:sz w:val="20"/>
              </w:rPr>
            </w:pPr>
            <w:r w:rsidRPr="00723BA8">
              <w:rPr>
                <w:rFonts w:eastAsia="Calibri"/>
                <w:sz w:val="20"/>
              </w:rPr>
              <w:t xml:space="preserve">Motion for leave to intervene filed by Canadian Generic Pharmaceutical Association </w:t>
            </w:r>
          </w:p>
        </w:tc>
      </w:tr>
    </w:tbl>
    <w:p w:rsidR="00741F3F" w:rsidRDefault="00741F3F" w:rsidP="008D292F">
      <w:pPr>
        <w:rPr>
          <w:sz w:val="20"/>
          <w:szCs w:val="20"/>
        </w:rPr>
      </w:pPr>
    </w:p>
    <w:p w:rsidR="00741F3F" w:rsidRDefault="00CF05D4" w:rsidP="008D292F">
      <w:pPr>
        <w:rPr>
          <w:sz w:val="20"/>
          <w:szCs w:val="20"/>
        </w:rPr>
      </w:pPr>
      <w:r w:rsidRPr="00CF05D4">
        <w:rPr>
          <w:sz w:val="20"/>
          <w:szCs w:val="20"/>
          <w:lang w:val="fr-CA"/>
        </w:rPr>
        <w:pict>
          <v:rect id="_x0000_i1040" style="width:2in;height:1pt" o:hrpct="0" o:hralign="center" o:hrstd="t" o:hrnoshade="t" o:hr="t" fillcolor="black [3213]" stroked="f"/>
        </w:pict>
      </w:r>
    </w:p>
    <w:p w:rsidR="00741F3F" w:rsidRDefault="00741F3F" w:rsidP="008D292F">
      <w:pPr>
        <w:rPr>
          <w:sz w:val="20"/>
          <w:szCs w:val="20"/>
        </w:rPr>
      </w:pPr>
    </w:p>
    <w:p w:rsidR="00741F3F" w:rsidRDefault="00741F3F" w:rsidP="008D292F">
      <w:pPr>
        <w:rPr>
          <w:sz w:val="20"/>
          <w:szCs w:val="20"/>
        </w:rPr>
      </w:pPr>
      <w:r>
        <w:rPr>
          <w:sz w:val="20"/>
          <w:szCs w:val="20"/>
          <w:u w:val="single"/>
        </w:rPr>
        <w:t>RÉSUMÉ DE L’AFFAIRE</w:t>
      </w:r>
    </w:p>
    <w:p w:rsidR="00741F3F" w:rsidRDefault="00741F3F"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E6FA2" w:rsidRPr="00E62A55" w:rsidTr="002B7BFF">
        <w:tc>
          <w:tcPr>
            <w:tcW w:w="5000" w:type="pct"/>
            <w:gridSpan w:val="3"/>
          </w:tcPr>
          <w:p w:rsidR="004E6FA2" w:rsidRPr="00723BA8" w:rsidRDefault="004E6FA2" w:rsidP="002B7BFF">
            <w:pPr>
              <w:jc w:val="both"/>
              <w:rPr>
                <w:rFonts w:eastAsia="Calibri"/>
                <w:sz w:val="20"/>
                <w:lang w:val="fr-CA"/>
              </w:rPr>
            </w:pPr>
            <w:r w:rsidRPr="00723BA8">
              <w:rPr>
                <w:rFonts w:eastAsia="Calibri"/>
                <w:sz w:val="20"/>
                <w:lang w:val="fr-CA"/>
              </w:rPr>
              <w:t xml:space="preserve">Propriété intellectuelle – Brevets – Médicaments – À la suite d’une ordonnance d’interdiction délivrée en application du </w:t>
            </w:r>
            <w:r w:rsidRPr="00723BA8">
              <w:rPr>
                <w:rFonts w:eastAsia="Calibri"/>
                <w:i/>
                <w:sz w:val="20"/>
                <w:lang w:val="fr-CA"/>
              </w:rPr>
              <w:t>Règlement sur les médicaments brevetés (avis de conformité)</w:t>
            </w:r>
            <w:r w:rsidRPr="00723BA8">
              <w:rPr>
                <w:rFonts w:eastAsia="Calibri"/>
                <w:sz w:val="20"/>
                <w:lang w:val="fr-CA"/>
              </w:rPr>
              <w:t>, DORS 93/133 (le Règlement), le brevet en question a été déclaré invalide dans une action en matière de brevet – L’article 8 du Règlement prévoit-il le versement d’une indemnité à un fabricant de médicaments génériques qui a été mis à l’écart du marché à la suite d’une ordonnance d’interdiction relative à un avis de conformité lorsqu’il est établi que les revendications pertinentes du brevet qui constituent le fondement de l’ordonnance sont invalides? – La demande sous-jacente à l’ordonnance d’interdiction devrait-elle être rejetée? La cour d’appel fédérale a-t-elle commis d’autres erreurs de droit fondamentales en confirmant, en grande partie pour les motifs invoqués par le juge des requêtes, le refus de rejeter les demandes d’interdiction relatives à un avis de conformité?</w:t>
            </w:r>
          </w:p>
          <w:p w:rsidR="004E6FA2" w:rsidRPr="00723BA8" w:rsidRDefault="004E6FA2" w:rsidP="002B7BFF">
            <w:pPr>
              <w:jc w:val="both"/>
              <w:rPr>
                <w:rFonts w:eastAsia="Calibri"/>
                <w:sz w:val="20"/>
                <w:lang w:val="fr-CA"/>
              </w:rPr>
            </w:pPr>
          </w:p>
        </w:tc>
      </w:tr>
      <w:tr w:rsidR="004E6FA2" w:rsidRPr="00E62A55" w:rsidTr="002B7BFF">
        <w:tc>
          <w:tcPr>
            <w:tcW w:w="5000" w:type="pct"/>
            <w:gridSpan w:val="3"/>
          </w:tcPr>
          <w:p w:rsidR="004E6FA2" w:rsidRPr="00723BA8" w:rsidRDefault="004E6FA2" w:rsidP="002B7BFF">
            <w:pPr>
              <w:jc w:val="both"/>
              <w:rPr>
                <w:rFonts w:eastAsia="Calibri"/>
                <w:sz w:val="20"/>
                <w:lang w:val="fr-CA"/>
              </w:rPr>
            </w:pPr>
            <w:r w:rsidRPr="00723BA8">
              <w:rPr>
                <w:rFonts w:eastAsia="Calibri"/>
                <w:sz w:val="20"/>
                <w:lang w:val="fr-CA"/>
              </w:rPr>
              <w:t>En 2001, Pharmascience Inc. (Pharmascience), un fabricant de médicaments génériques, a présenté un avis d’allégation au ministre de la Santé afin d’obtenir un avis de conformité en vue de commercialiser sa version générique de ramipril, un médicament utilisé dans le traitement de l’hypertension.  Les défendeurs (collectivement, Aventis) ont déposé une requête visant à interdire au ministre de la Santé de délivrer un avis de conformité à Pharmascience.  La cour a rejeté l’allégation de Pharmascience selon laquelle les revendications du brevet ‘206 étaient invalides pour cause de double brevet et elle a accordé l’ordonnance d’interdiction qui est valide jusqu’à l’expiration du brevet ‘206.  Pharmascience a déposé un deuxième avis d’allégation dans lequel elle affirme que le brevet‘206 était invalide pour différents motifs.  La cour a conclu que l’allégation d’invalidité avait été tranchée de façon définitive lors de la première demande et que, en raison du principe de la préclusion pour question déjà tranchée, Pharmascience ne pouvait pas soumettre d’autres allégations d’invalidité et elle a délivré une deuxième ordonnance d’interdiction.</w:t>
            </w:r>
          </w:p>
          <w:p w:rsidR="004E6FA2" w:rsidRPr="00723BA8" w:rsidRDefault="004E6FA2" w:rsidP="002B7BFF">
            <w:pPr>
              <w:jc w:val="both"/>
              <w:rPr>
                <w:rFonts w:eastAsia="Calibri"/>
                <w:sz w:val="20"/>
                <w:lang w:val="fr-CA"/>
              </w:rPr>
            </w:pPr>
          </w:p>
          <w:p w:rsidR="004E6FA2" w:rsidRPr="00723BA8" w:rsidRDefault="004E6FA2" w:rsidP="002B7BFF">
            <w:pPr>
              <w:jc w:val="both"/>
              <w:rPr>
                <w:rFonts w:eastAsia="Calibri"/>
                <w:sz w:val="20"/>
                <w:lang w:val="fr-CA"/>
              </w:rPr>
            </w:pPr>
            <w:r w:rsidRPr="00723BA8">
              <w:rPr>
                <w:rFonts w:eastAsia="Calibri"/>
                <w:sz w:val="20"/>
                <w:lang w:val="fr-CA"/>
              </w:rPr>
              <w:t>En 2007, Aventis a introduit une action en contrefaçon contre Apotex Inc. et Novopharm Ltée, deux autres fabricants de médicaments génériques, en raison de leurs ventes de ramipril au Canada.  Les revendications n</w:t>
            </w:r>
            <w:r w:rsidRPr="00723BA8">
              <w:rPr>
                <w:rFonts w:eastAsia="Calibri"/>
                <w:sz w:val="20"/>
                <w:vertAlign w:val="superscript"/>
                <w:lang w:val="fr-CA"/>
              </w:rPr>
              <w:t>o</w:t>
            </w:r>
            <w:r w:rsidRPr="00723BA8">
              <w:rPr>
                <w:rFonts w:eastAsia="Calibri"/>
                <w:sz w:val="20"/>
                <w:lang w:val="fr-CA"/>
              </w:rPr>
              <w:t> 1</w:t>
            </w:r>
            <w:proofErr w:type="gramStart"/>
            <w:r w:rsidRPr="00723BA8">
              <w:rPr>
                <w:rFonts w:eastAsia="Calibri"/>
                <w:sz w:val="20"/>
                <w:lang w:val="fr-CA"/>
              </w:rPr>
              <w:t>,2,3,6</w:t>
            </w:r>
            <w:proofErr w:type="gramEnd"/>
            <w:r w:rsidRPr="00723BA8">
              <w:rPr>
                <w:rFonts w:eastAsia="Calibri"/>
                <w:sz w:val="20"/>
                <w:lang w:val="fr-CA"/>
              </w:rPr>
              <w:t xml:space="preserve"> et 12, les mêmes revendications qui étaient pertinentes dans le litige relatif à un avis de conformité impliquant Pharmascience, ont été déclarées invalides et inopérantes.  En conséquence de cette conclusion tirée en 2009, Pharmascience a demandé à nouveau au ministre de délivrer un avis de conformité afin qu’elle puisse commercialiser ses gélules de ramipril.  Le point de vue du ministre était que, comme les revendications du brevet ‘206 n’avaient pas toutes été déclarées invalides, le brevet ne pouvait pas être considéré comme étant « expiré » et il a refusé de délivrer un avis de conformité.  Pharmascience a déposé une requête en vue de faire annuler les deux ordonnances d’interdiction et de faire rejeter leurs demandes sous-jacentes qui ont été accueillies par la cour fédérale dans le cadre du litige relatif à un avis de conformité.</w:t>
            </w:r>
          </w:p>
          <w:p w:rsidR="004E6FA2" w:rsidRPr="00723BA8" w:rsidRDefault="004E6FA2" w:rsidP="002B7BFF">
            <w:pPr>
              <w:jc w:val="both"/>
              <w:rPr>
                <w:rFonts w:eastAsia="Calibri"/>
                <w:sz w:val="20"/>
                <w:lang w:val="fr-CA"/>
              </w:rPr>
            </w:pPr>
          </w:p>
        </w:tc>
      </w:tr>
      <w:tr w:rsidR="004E6FA2" w:rsidRPr="00E62A55" w:rsidTr="002B7BFF">
        <w:tc>
          <w:tcPr>
            <w:tcW w:w="2427" w:type="pct"/>
          </w:tcPr>
          <w:p w:rsidR="004E6FA2" w:rsidRPr="00723BA8" w:rsidRDefault="004E6FA2" w:rsidP="002B7BFF">
            <w:pPr>
              <w:jc w:val="both"/>
              <w:rPr>
                <w:rFonts w:eastAsia="Calibri"/>
                <w:sz w:val="20"/>
                <w:lang w:val="fr-CA"/>
              </w:rPr>
            </w:pPr>
            <w:r w:rsidRPr="00723BA8">
              <w:rPr>
                <w:rFonts w:eastAsia="Calibri"/>
                <w:sz w:val="20"/>
                <w:lang w:val="fr-CA"/>
              </w:rPr>
              <w:t>15 septembre 2009</w:t>
            </w:r>
          </w:p>
          <w:p w:rsidR="004E6FA2" w:rsidRPr="00723BA8" w:rsidRDefault="004E6FA2" w:rsidP="002B7BFF">
            <w:pPr>
              <w:jc w:val="both"/>
              <w:rPr>
                <w:rFonts w:eastAsia="Calibri"/>
                <w:sz w:val="20"/>
                <w:lang w:val="fr-CA"/>
              </w:rPr>
            </w:pPr>
            <w:r w:rsidRPr="00723BA8">
              <w:rPr>
                <w:rFonts w:eastAsia="Calibri"/>
                <w:sz w:val="20"/>
                <w:lang w:val="fr-CA"/>
              </w:rPr>
              <w:t>Cour fédérale</w:t>
            </w:r>
          </w:p>
          <w:p w:rsidR="004E6FA2" w:rsidRPr="00723BA8" w:rsidRDefault="004E6FA2" w:rsidP="002B7BFF">
            <w:pPr>
              <w:jc w:val="both"/>
              <w:rPr>
                <w:rFonts w:eastAsia="Calibri"/>
                <w:sz w:val="20"/>
                <w:lang w:val="fr-CA"/>
              </w:rPr>
            </w:pPr>
            <w:r w:rsidRPr="00723BA8">
              <w:rPr>
                <w:rFonts w:eastAsia="Calibri"/>
                <w:sz w:val="20"/>
                <w:lang w:val="fr-CA"/>
              </w:rPr>
              <w:t>(juge Zinn)</w:t>
            </w:r>
          </w:p>
          <w:p w:rsidR="004E6FA2" w:rsidRPr="00723BA8" w:rsidRDefault="004E6FA2" w:rsidP="002B7BFF">
            <w:pPr>
              <w:jc w:val="both"/>
              <w:rPr>
                <w:rFonts w:eastAsia="Calibri"/>
                <w:sz w:val="20"/>
                <w:lang w:val="fr-CA"/>
              </w:rPr>
            </w:pPr>
            <w:r w:rsidRPr="00723BA8">
              <w:rPr>
                <w:rFonts w:eastAsia="Calibri"/>
                <w:sz w:val="20"/>
                <w:lang w:val="fr-CA"/>
              </w:rPr>
              <w:t>2009 CF 915</w:t>
            </w:r>
          </w:p>
          <w:p w:rsidR="004E6FA2" w:rsidRPr="00723BA8" w:rsidRDefault="004E6FA2" w:rsidP="002B7BFF">
            <w:pPr>
              <w:jc w:val="both"/>
              <w:rPr>
                <w:rFonts w:eastAsia="Calibri"/>
                <w:sz w:val="20"/>
                <w:lang w:val="fr-CA"/>
              </w:rPr>
            </w:pPr>
          </w:p>
        </w:tc>
        <w:tc>
          <w:tcPr>
            <w:tcW w:w="243" w:type="pct"/>
          </w:tcPr>
          <w:p w:rsidR="004E6FA2" w:rsidRPr="00723BA8" w:rsidRDefault="004E6FA2" w:rsidP="002B7BFF">
            <w:pPr>
              <w:jc w:val="both"/>
              <w:rPr>
                <w:rFonts w:eastAsia="Calibri"/>
                <w:sz w:val="20"/>
                <w:lang w:val="fr-CA"/>
              </w:rPr>
            </w:pPr>
          </w:p>
        </w:tc>
        <w:tc>
          <w:tcPr>
            <w:tcW w:w="2330" w:type="pct"/>
          </w:tcPr>
          <w:p w:rsidR="004E6FA2" w:rsidRPr="00723BA8" w:rsidRDefault="004E6FA2" w:rsidP="002B7BFF">
            <w:pPr>
              <w:jc w:val="both"/>
              <w:rPr>
                <w:rFonts w:eastAsia="Calibri"/>
                <w:sz w:val="20"/>
                <w:lang w:val="fr-CA"/>
              </w:rPr>
            </w:pPr>
            <w:r w:rsidRPr="00723BA8">
              <w:rPr>
                <w:rFonts w:eastAsia="Calibri"/>
                <w:sz w:val="20"/>
                <w:lang w:val="fr-CA"/>
              </w:rPr>
              <w:t>Ordonnances d’interdiction antérieures annulées; Requête de Pharmascience visant à faire annuler les demandes sous-jacentes annulée</w:t>
            </w:r>
          </w:p>
          <w:p w:rsidR="004E6FA2" w:rsidRPr="00723BA8" w:rsidRDefault="004E6FA2" w:rsidP="002B7BFF">
            <w:pPr>
              <w:jc w:val="both"/>
              <w:rPr>
                <w:rFonts w:eastAsia="Calibri"/>
                <w:sz w:val="20"/>
                <w:lang w:val="fr-CA"/>
              </w:rPr>
            </w:pPr>
          </w:p>
        </w:tc>
      </w:tr>
      <w:tr w:rsidR="004E6FA2" w:rsidRPr="00723BA8" w:rsidTr="003354BE">
        <w:trPr>
          <w:cantSplit/>
        </w:trPr>
        <w:tc>
          <w:tcPr>
            <w:tcW w:w="2427" w:type="pct"/>
          </w:tcPr>
          <w:p w:rsidR="004E6FA2" w:rsidRPr="00723BA8" w:rsidRDefault="004E6FA2" w:rsidP="002B7BFF">
            <w:pPr>
              <w:jc w:val="both"/>
              <w:rPr>
                <w:rFonts w:eastAsia="Calibri"/>
                <w:sz w:val="20"/>
                <w:lang w:val="fr-CA"/>
              </w:rPr>
            </w:pPr>
            <w:r w:rsidRPr="00723BA8">
              <w:rPr>
                <w:rFonts w:eastAsia="Calibri"/>
                <w:sz w:val="20"/>
                <w:lang w:val="fr-CA"/>
              </w:rPr>
              <w:lastRenderedPageBreak/>
              <w:t>8 juin 2010</w:t>
            </w:r>
          </w:p>
          <w:p w:rsidR="004E6FA2" w:rsidRPr="00723BA8" w:rsidRDefault="004E6FA2" w:rsidP="002B7BFF">
            <w:pPr>
              <w:jc w:val="both"/>
              <w:rPr>
                <w:rFonts w:eastAsia="Calibri"/>
                <w:sz w:val="20"/>
                <w:lang w:val="fr-CA"/>
              </w:rPr>
            </w:pPr>
            <w:r w:rsidRPr="00723BA8">
              <w:rPr>
                <w:rFonts w:eastAsia="Calibri"/>
                <w:sz w:val="20"/>
                <w:lang w:val="fr-CA"/>
              </w:rPr>
              <w:t>Cour d’appel fédérale</w:t>
            </w:r>
          </w:p>
          <w:p w:rsidR="004E6FA2" w:rsidRPr="00723BA8" w:rsidRDefault="004E6FA2" w:rsidP="002B7BFF">
            <w:pPr>
              <w:jc w:val="both"/>
              <w:rPr>
                <w:rFonts w:eastAsia="Calibri"/>
                <w:sz w:val="20"/>
                <w:lang w:val="fr-CA"/>
              </w:rPr>
            </w:pPr>
            <w:r w:rsidRPr="00723BA8">
              <w:rPr>
                <w:rFonts w:eastAsia="Calibri"/>
                <w:sz w:val="20"/>
                <w:lang w:val="fr-CA"/>
              </w:rPr>
              <w:t>(juges Nadon, Sharlow et Layden-Stevenson.)</w:t>
            </w:r>
          </w:p>
          <w:p w:rsidR="004E6FA2" w:rsidRPr="00723BA8" w:rsidRDefault="004E6FA2" w:rsidP="002B7BFF">
            <w:pPr>
              <w:jc w:val="both"/>
              <w:rPr>
                <w:rFonts w:eastAsia="Calibri"/>
                <w:sz w:val="20"/>
                <w:lang w:val="fr-CA"/>
              </w:rPr>
            </w:pPr>
          </w:p>
        </w:tc>
        <w:tc>
          <w:tcPr>
            <w:tcW w:w="243" w:type="pct"/>
          </w:tcPr>
          <w:p w:rsidR="004E6FA2" w:rsidRPr="00723BA8" w:rsidRDefault="004E6FA2" w:rsidP="002B7BFF">
            <w:pPr>
              <w:jc w:val="both"/>
              <w:rPr>
                <w:rFonts w:eastAsia="Calibri"/>
                <w:sz w:val="20"/>
                <w:lang w:val="fr-CA"/>
              </w:rPr>
            </w:pPr>
          </w:p>
        </w:tc>
        <w:tc>
          <w:tcPr>
            <w:tcW w:w="2330" w:type="pct"/>
          </w:tcPr>
          <w:p w:rsidR="004E6FA2" w:rsidRPr="00723BA8" w:rsidRDefault="004E6FA2" w:rsidP="002B7BFF">
            <w:pPr>
              <w:jc w:val="both"/>
              <w:rPr>
                <w:rFonts w:eastAsia="Calibri"/>
                <w:sz w:val="20"/>
                <w:lang w:val="fr-CA"/>
              </w:rPr>
            </w:pPr>
            <w:r w:rsidRPr="00723BA8">
              <w:rPr>
                <w:rFonts w:eastAsia="Calibri"/>
                <w:sz w:val="20"/>
                <w:lang w:val="fr-CA"/>
              </w:rPr>
              <w:t>Appel rejeté</w:t>
            </w:r>
          </w:p>
          <w:p w:rsidR="004E6FA2" w:rsidRPr="00723BA8" w:rsidRDefault="004E6FA2" w:rsidP="002B7BFF">
            <w:pPr>
              <w:jc w:val="both"/>
              <w:rPr>
                <w:rFonts w:eastAsia="Calibri"/>
                <w:sz w:val="20"/>
                <w:lang w:val="fr-CA"/>
              </w:rPr>
            </w:pPr>
          </w:p>
        </w:tc>
      </w:tr>
      <w:tr w:rsidR="004E6FA2" w:rsidRPr="00723BA8" w:rsidTr="003354BE">
        <w:trPr>
          <w:cantSplit/>
        </w:trPr>
        <w:tc>
          <w:tcPr>
            <w:tcW w:w="2427" w:type="pct"/>
          </w:tcPr>
          <w:p w:rsidR="004E6FA2" w:rsidRPr="00723BA8" w:rsidRDefault="004E6FA2" w:rsidP="002B7BFF">
            <w:pPr>
              <w:jc w:val="both"/>
              <w:rPr>
                <w:rFonts w:eastAsia="Calibri"/>
                <w:sz w:val="20"/>
                <w:lang w:val="fr-CA"/>
              </w:rPr>
            </w:pPr>
            <w:r w:rsidRPr="00723BA8">
              <w:rPr>
                <w:rFonts w:eastAsia="Calibri"/>
                <w:sz w:val="20"/>
                <w:lang w:val="fr-CA"/>
              </w:rPr>
              <w:t>7 septembre 2010</w:t>
            </w:r>
          </w:p>
          <w:p w:rsidR="004E6FA2" w:rsidRPr="00723BA8" w:rsidRDefault="004E6FA2" w:rsidP="002B7BFF">
            <w:pPr>
              <w:jc w:val="both"/>
              <w:rPr>
                <w:rFonts w:eastAsia="Calibri"/>
                <w:sz w:val="20"/>
                <w:lang w:val="fr-CA"/>
              </w:rPr>
            </w:pPr>
            <w:r w:rsidRPr="00723BA8">
              <w:rPr>
                <w:rFonts w:eastAsia="Calibri"/>
                <w:sz w:val="20"/>
                <w:lang w:val="fr-CA"/>
              </w:rPr>
              <w:t>Cour suprême du Canada</w:t>
            </w:r>
          </w:p>
          <w:p w:rsidR="004E6FA2" w:rsidRPr="00723BA8" w:rsidRDefault="004E6FA2" w:rsidP="002B7BFF">
            <w:pPr>
              <w:jc w:val="both"/>
              <w:rPr>
                <w:rFonts w:eastAsia="Calibri"/>
                <w:sz w:val="20"/>
                <w:lang w:val="fr-CA"/>
              </w:rPr>
            </w:pPr>
          </w:p>
        </w:tc>
        <w:tc>
          <w:tcPr>
            <w:tcW w:w="243" w:type="pct"/>
          </w:tcPr>
          <w:p w:rsidR="004E6FA2" w:rsidRPr="00723BA8" w:rsidRDefault="004E6FA2" w:rsidP="002B7BFF">
            <w:pPr>
              <w:jc w:val="both"/>
              <w:rPr>
                <w:rFonts w:eastAsia="Calibri"/>
                <w:sz w:val="20"/>
                <w:lang w:val="fr-CA"/>
              </w:rPr>
            </w:pPr>
          </w:p>
        </w:tc>
        <w:tc>
          <w:tcPr>
            <w:tcW w:w="2330" w:type="pct"/>
          </w:tcPr>
          <w:p w:rsidR="004E6FA2" w:rsidRPr="00723BA8" w:rsidRDefault="004E6FA2" w:rsidP="002B7BFF">
            <w:pPr>
              <w:jc w:val="both"/>
              <w:rPr>
                <w:rFonts w:eastAsia="Calibri"/>
                <w:sz w:val="20"/>
                <w:lang w:val="fr-CA"/>
              </w:rPr>
            </w:pPr>
            <w:r w:rsidRPr="00723BA8">
              <w:rPr>
                <w:rFonts w:eastAsia="Calibri"/>
                <w:sz w:val="20"/>
                <w:lang w:val="fr-CA"/>
              </w:rPr>
              <w:t>Demande d’autorisation d’appel déposée</w:t>
            </w:r>
          </w:p>
        </w:tc>
      </w:tr>
      <w:tr w:rsidR="004E6FA2" w:rsidRPr="00E62A55" w:rsidTr="003354BE">
        <w:trPr>
          <w:cantSplit/>
        </w:trPr>
        <w:tc>
          <w:tcPr>
            <w:tcW w:w="2427" w:type="pct"/>
          </w:tcPr>
          <w:p w:rsidR="004E6FA2" w:rsidRPr="00723BA8" w:rsidRDefault="004E6FA2" w:rsidP="002B7BFF">
            <w:pPr>
              <w:jc w:val="both"/>
              <w:rPr>
                <w:rFonts w:eastAsia="Calibri"/>
                <w:sz w:val="20"/>
                <w:lang w:val="fr-CA"/>
              </w:rPr>
            </w:pPr>
            <w:r w:rsidRPr="00723BA8">
              <w:rPr>
                <w:rFonts w:eastAsia="Calibri"/>
                <w:sz w:val="20"/>
                <w:lang w:val="fr-CA"/>
              </w:rPr>
              <w:t>8 octobre 2010</w:t>
            </w:r>
          </w:p>
          <w:p w:rsidR="004E6FA2" w:rsidRPr="00723BA8" w:rsidRDefault="004E6FA2" w:rsidP="002B7BFF">
            <w:pPr>
              <w:jc w:val="both"/>
              <w:rPr>
                <w:rFonts w:eastAsia="Calibri"/>
                <w:sz w:val="20"/>
                <w:lang w:val="fr-CA"/>
              </w:rPr>
            </w:pPr>
            <w:r w:rsidRPr="00723BA8">
              <w:rPr>
                <w:rFonts w:eastAsia="Calibri"/>
                <w:sz w:val="20"/>
                <w:lang w:val="fr-CA"/>
              </w:rPr>
              <w:t>Cour suprême du Canada</w:t>
            </w:r>
          </w:p>
        </w:tc>
        <w:tc>
          <w:tcPr>
            <w:tcW w:w="243" w:type="pct"/>
          </w:tcPr>
          <w:p w:rsidR="004E6FA2" w:rsidRPr="00723BA8" w:rsidRDefault="004E6FA2" w:rsidP="002B7BFF">
            <w:pPr>
              <w:jc w:val="both"/>
              <w:rPr>
                <w:rFonts w:eastAsia="Calibri"/>
                <w:sz w:val="20"/>
                <w:lang w:val="fr-CA"/>
              </w:rPr>
            </w:pPr>
          </w:p>
        </w:tc>
        <w:tc>
          <w:tcPr>
            <w:tcW w:w="2330" w:type="pct"/>
          </w:tcPr>
          <w:p w:rsidR="004E6FA2" w:rsidRPr="00723BA8" w:rsidRDefault="004E6FA2" w:rsidP="002B7BFF">
            <w:pPr>
              <w:jc w:val="both"/>
              <w:rPr>
                <w:rFonts w:eastAsia="Calibri"/>
                <w:sz w:val="20"/>
                <w:lang w:val="fr-CA"/>
              </w:rPr>
            </w:pPr>
            <w:r w:rsidRPr="00723BA8">
              <w:rPr>
                <w:rFonts w:eastAsia="Calibri"/>
                <w:sz w:val="20"/>
                <w:lang w:val="fr-CA"/>
              </w:rPr>
              <w:t xml:space="preserve">Requête en autorisation d’intervenir déposée par l’Association canadienne du médicament générique </w:t>
            </w:r>
          </w:p>
        </w:tc>
      </w:tr>
    </w:tbl>
    <w:p w:rsidR="00741F3F" w:rsidRPr="004E6FA2" w:rsidRDefault="00741F3F" w:rsidP="008D292F">
      <w:pPr>
        <w:rPr>
          <w:sz w:val="20"/>
          <w:szCs w:val="20"/>
          <w:lang w:val="fr-CA"/>
        </w:rPr>
      </w:pPr>
    </w:p>
    <w:p w:rsidR="00741F3F" w:rsidRDefault="00CF05D4" w:rsidP="008D292F">
      <w:pPr>
        <w:rPr>
          <w:sz w:val="20"/>
          <w:szCs w:val="20"/>
        </w:rPr>
      </w:pPr>
      <w:r w:rsidRPr="00CF05D4">
        <w:rPr>
          <w:sz w:val="20"/>
          <w:szCs w:val="20"/>
          <w:lang w:val="fr-CA"/>
        </w:rPr>
        <w:pict>
          <v:rect id="_x0000_i1041" style="width:2in;height:1pt" o:hrpct="0" o:hralign="center" o:hrstd="t" o:hrnoshade="t" o:hr="t" fillcolor="black [3213]" stroked="f"/>
        </w:pict>
      </w:r>
    </w:p>
    <w:p w:rsidR="00741F3F" w:rsidRDefault="00741F3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B0DE3" w:rsidRPr="00DB0DE3" w:rsidTr="00DD30CB">
        <w:trPr>
          <w:cantSplit/>
        </w:trPr>
        <w:tc>
          <w:tcPr>
            <w:tcW w:w="1458" w:type="dxa"/>
          </w:tcPr>
          <w:p w:rsidR="00DB0DE3" w:rsidRPr="00DB0DE3" w:rsidRDefault="00DB0DE3" w:rsidP="00DD30CB">
            <w:pPr>
              <w:rPr>
                <w:sz w:val="20"/>
                <w:szCs w:val="20"/>
              </w:rPr>
            </w:pPr>
            <w:r w:rsidRPr="00DB0DE3">
              <w:rPr>
                <w:rStyle w:val="SCCFileNumberChar"/>
                <w:sz w:val="20"/>
                <w:szCs w:val="20"/>
              </w:rPr>
              <w:t>33832</w:t>
            </w:r>
          </w:p>
          <w:p w:rsidR="00DB0DE3" w:rsidRPr="00DB0DE3" w:rsidRDefault="00DB0DE3" w:rsidP="00DD30CB">
            <w:pPr>
              <w:rPr>
                <w:b/>
                <w:sz w:val="20"/>
                <w:szCs w:val="20"/>
                <w:lang w:val="fr-CA"/>
              </w:rPr>
            </w:pPr>
          </w:p>
        </w:tc>
        <w:tc>
          <w:tcPr>
            <w:tcW w:w="8118" w:type="dxa"/>
          </w:tcPr>
          <w:p w:rsidR="00DB0DE3" w:rsidRPr="00DB0DE3" w:rsidRDefault="00DB0DE3" w:rsidP="00DD30CB">
            <w:pPr>
              <w:rPr>
                <w:sz w:val="20"/>
                <w:szCs w:val="20"/>
              </w:rPr>
            </w:pPr>
            <w:r w:rsidRPr="00DB0DE3">
              <w:rPr>
                <w:rStyle w:val="SCCLsocChar"/>
                <w:sz w:val="20"/>
                <w:szCs w:val="20"/>
                <w:lang w:val="en-CA"/>
              </w:rPr>
              <w:t>Apotex Inc. v. Hoffmann Laroche Limited</w:t>
            </w:r>
            <w:r w:rsidRPr="00DB0DE3">
              <w:rPr>
                <w:sz w:val="20"/>
                <w:szCs w:val="20"/>
              </w:rPr>
              <w:t xml:space="preserve"> (F.C.) (Civil) (By Leave)</w:t>
            </w:r>
          </w:p>
          <w:p w:rsidR="00DB0DE3" w:rsidRPr="00DB0DE3" w:rsidRDefault="00DB0DE3" w:rsidP="00DD30CB">
            <w:pPr>
              <w:rPr>
                <w:sz w:val="20"/>
                <w:szCs w:val="20"/>
              </w:rPr>
            </w:pPr>
          </w:p>
        </w:tc>
      </w:tr>
      <w:tr w:rsidR="00DB0DE3" w:rsidRPr="00DB0DE3" w:rsidTr="00DD30CB">
        <w:trPr>
          <w:cantSplit/>
        </w:trPr>
        <w:tc>
          <w:tcPr>
            <w:tcW w:w="1458" w:type="dxa"/>
          </w:tcPr>
          <w:p w:rsidR="00DB0DE3" w:rsidRPr="00DB0DE3" w:rsidRDefault="00DB0DE3" w:rsidP="00DD30CB">
            <w:pPr>
              <w:rPr>
                <w:sz w:val="20"/>
                <w:szCs w:val="20"/>
              </w:rPr>
            </w:pPr>
            <w:r w:rsidRPr="00DB0DE3">
              <w:rPr>
                <w:sz w:val="20"/>
                <w:szCs w:val="20"/>
              </w:rPr>
              <w:t>Coram :</w:t>
            </w:r>
          </w:p>
        </w:tc>
        <w:tc>
          <w:tcPr>
            <w:tcW w:w="8118" w:type="dxa"/>
          </w:tcPr>
          <w:p w:rsidR="00DB0DE3" w:rsidRPr="00DB0DE3" w:rsidRDefault="00DB0DE3" w:rsidP="00DD30CB">
            <w:pPr>
              <w:rPr>
                <w:sz w:val="20"/>
                <w:szCs w:val="20"/>
              </w:rPr>
            </w:pPr>
            <w:r w:rsidRPr="00DB0DE3">
              <w:rPr>
                <w:rStyle w:val="SCCCoramChar"/>
                <w:sz w:val="20"/>
                <w:szCs w:val="20"/>
                <w:lang w:val="en-CA"/>
              </w:rPr>
              <w:t>Binnie, Fish and Rothstein JJ.</w:t>
            </w:r>
          </w:p>
          <w:p w:rsidR="00DB0DE3" w:rsidRPr="00DB0DE3" w:rsidRDefault="00DB0DE3" w:rsidP="00DD30CB">
            <w:pPr>
              <w:rPr>
                <w:sz w:val="20"/>
                <w:szCs w:val="20"/>
                <w:u w:val="single"/>
              </w:rPr>
            </w:pPr>
          </w:p>
        </w:tc>
      </w:tr>
      <w:tr w:rsidR="00DB0DE3" w:rsidRPr="00E62A55" w:rsidTr="00DD30CB">
        <w:trPr>
          <w:cantSplit/>
        </w:trPr>
        <w:tc>
          <w:tcPr>
            <w:tcW w:w="9576" w:type="dxa"/>
            <w:gridSpan w:val="2"/>
          </w:tcPr>
          <w:p w:rsidR="00DB0DE3" w:rsidRPr="00DB0DE3" w:rsidRDefault="00DB0DE3" w:rsidP="00DD30CB">
            <w:pPr>
              <w:pStyle w:val="SCCShortJudgment"/>
              <w:rPr>
                <w:szCs w:val="20"/>
              </w:rPr>
            </w:pPr>
            <w:r w:rsidRPr="00DB0DE3">
              <w:rPr>
                <w:szCs w:val="20"/>
              </w:rPr>
              <w:t>The motion for leave to intervene by Canadian Generic Pharmaceutical Association and the application for leave to appeal from the judgment of the Federal Court of Appeal, Number A-238-09, 2010 FCA 155, dated June 10, 2010, are dismissed with costs in accordance with the Tariff in Schedule B.</w:t>
            </w:r>
          </w:p>
          <w:p w:rsidR="00DB0DE3" w:rsidRPr="00DB0DE3" w:rsidRDefault="00DB0DE3" w:rsidP="00DD30CB">
            <w:pPr>
              <w:pStyle w:val="SCCShortJudgment"/>
              <w:ind w:firstLine="0"/>
              <w:rPr>
                <w:szCs w:val="20"/>
              </w:rPr>
            </w:pPr>
          </w:p>
          <w:p w:rsidR="00DB0DE3" w:rsidRPr="00DB0DE3" w:rsidRDefault="00DB0DE3" w:rsidP="00DD30CB">
            <w:pPr>
              <w:pStyle w:val="SCCShortJudgment"/>
              <w:rPr>
                <w:szCs w:val="20"/>
                <w:lang w:val="fr-CA"/>
              </w:rPr>
            </w:pPr>
            <w:r w:rsidRPr="00DB0DE3">
              <w:rPr>
                <w:szCs w:val="20"/>
                <w:lang w:val="fr-CA"/>
              </w:rPr>
              <w:t>La requête pour permission d’intervenir de l’Association canadienne du médicament générique et la demande d’autorisation d’appel de l’arrêt de la Cour d’appel fédérale, numéro A-238-09, 2010 CAF 155, daté du 10 juin 2010, sont rejetées avec dépens selon le montant qui sera établi conformément au Tarif à l’annexe B.</w:t>
            </w:r>
          </w:p>
        </w:tc>
      </w:tr>
    </w:tbl>
    <w:p w:rsidR="0055174B" w:rsidRPr="00DB0DE3" w:rsidRDefault="0055174B"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174B" w:rsidRPr="00723BA8" w:rsidTr="002B7BFF">
        <w:tc>
          <w:tcPr>
            <w:tcW w:w="5000" w:type="pct"/>
            <w:gridSpan w:val="3"/>
          </w:tcPr>
          <w:p w:rsidR="0055174B" w:rsidRPr="00723BA8" w:rsidRDefault="0055174B" w:rsidP="002B7BFF">
            <w:pPr>
              <w:jc w:val="both"/>
              <w:rPr>
                <w:rFonts w:eastAsia="Calibri"/>
                <w:sz w:val="20"/>
              </w:rPr>
            </w:pPr>
            <w:r w:rsidRPr="00723BA8">
              <w:rPr>
                <w:rFonts w:eastAsia="Calibri"/>
                <w:sz w:val="20"/>
              </w:rPr>
              <w:t xml:space="preserve">Intellectual property — Patents — Medicines — Notice of Compliance — </w:t>
            </w:r>
            <w:r w:rsidRPr="00723BA8">
              <w:rPr>
                <w:rFonts w:eastAsia="Calibri"/>
                <w:i/>
                <w:sz w:val="20"/>
              </w:rPr>
              <w:t>Patented Medicines (Notice of Compliance) Regulations</w:t>
            </w:r>
            <w:r w:rsidRPr="00723BA8">
              <w:rPr>
                <w:rFonts w:eastAsia="Calibri"/>
                <w:sz w:val="20"/>
              </w:rPr>
              <w:t>, SOR/93</w:t>
            </w:r>
            <w:r w:rsidRPr="00723BA8">
              <w:rPr>
                <w:rFonts w:eastAsia="Calibri"/>
                <w:sz w:val="20"/>
              </w:rPr>
              <w:noBreakHyphen/>
              <w:t>133 —</w:t>
            </w:r>
            <w:r w:rsidRPr="00723BA8">
              <w:rPr>
                <w:rFonts w:eastAsia="Calibri"/>
                <w:sz w:val="20"/>
              </w:rPr>
              <w:noBreakHyphen/>
              <w:t xml:space="preserve">Whether a party who enjoins another, pursuant to the </w:t>
            </w:r>
            <w:r w:rsidRPr="00723BA8">
              <w:rPr>
                <w:rFonts w:eastAsia="Calibri"/>
                <w:i/>
                <w:sz w:val="20"/>
              </w:rPr>
              <w:t>Regulations</w:t>
            </w:r>
            <w:r w:rsidRPr="00723BA8">
              <w:rPr>
                <w:rFonts w:eastAsia="Calibri"/>
                <w:sz w:val="20"/>
              </w:rPr>
              <w:t xml:space="preserve"> can avoid payment of damages caused by the injunction merely because it succeeded in obtaining the injunction in the enforcement of a patent ultimately declared invalid </w:t>
            </w:r>
            <w:r w:rsidRPr="00723BA8">
              <w:rPr>
                <w:rFonts w:eastAsia="Calibri"/>
                <w:sz w:val="20"/>
              </w:rPr>
              <w:noBreakHyphen/>
              <w:t xml:space="preserve"> Proper interpretation  s. 8 of the </w:t>
            </w:r>
            <w:r w:rsidRPr="00723BA8">
              <w:rPr>
                <w:rFonts w:eastAsia="Calibri"/>
                <w:i/>
                <w:sz w:val="20"/>
              </w:rPr>
              <w:t>Regulations.</w:t>
            </w:r>
          </w:p>
          <w:p w:rsidR="0055174B" w:rsidRPr="00723BA8" w:rsidRDefault="0055174B" w:rsidP="002B7BFF">
            <w:pPr>
              <w:jc w:val="both"/>
              <w:rPr>
                <w:rFonts w:eastAsia="Calibri"/>
                <w:sz w:val="20"/>
              </w:rPr>
            </w:pPr>
          </w:p>
        </w:tc>
      </w:tr>
      <w:tr w:rsidR="0055174B" w:rsidRPr="00723BA8" w:rsidTr="002B7BFF">
        <w:tc>
          <w:tcPr>
            <w:tcW w:w="5000" w:type="pct"/>
            <w:gridSpan w:val="3"/>
          </w:tcPr>
          <w:p w:rsidR="0055174B" w:rsidRPr="00723BA8" w:rsidRDefault="0055174B" w:rsidP="0055174B">
            <w:pPr>
              <w:jc w:val="both"/>
              <w:rPr>
                <w:color w:val="000000"/>
                <w:sz w:val="20"/>
              </w:rPr>
            </w:pPr>
            <w:r w:rsidRPr="00723BA8">
              <w:rPr>
                <w:color w:val="000000"/>
                <w:sz w:val="20"/>
              </w:rPr>
              <w:t xml:space="preserve">In 1996, Hoffmann LaRoche Limited (“Roche”) obtained an order from the federal court in </w:t>
            </w:r>
            <w:r w:rsidRPr="00723BA8">
              <w:rPr>
                <w:i/>
                <w:color w:val="000000"/>
                <w:sz w:val="20"/>
              </w:rPr>
              <w:t>Patented Medicines (Notice of Compliance)</w:t>
            </w:r>
            <w:r w:rsidRPr="00723BA8">
              <w:rPr>
                <w:color w:val="000000"/>
                <w:sz w:val="20"/>
              </w:rPr>
              <w:t xml:space="preserve"> proceedings, prohibiting the Minister of Health from issuing a notice of compliance (NOC”) to Apotex for its generic version of naproxen slow release tablets until after the expiration of the ‘671 patent in issue.  The court found that Apotex’s allegation of non</w:t>
            </w:r>
            <w:r w:rsidRPr="00723BA8">
              <w:rPr>
                <w:color w:val="000000"/>
                <w:sz w:val="20"/>
              </w:rPr>
              <w:noBreakHyphen/>
              <w:t>infringement was not justified.  There was no allegation of invalidity. An appeal and cross</w:t>
            </w:r>
            <w:r w:rsidRPr="00723BA8">
              <w:rPr>
                <w:color w:val="000000"/>
                <w:sz w:val="20"/>
              </w:rPr>
              <w:noBreakHyphen/>
              <w:t xml:space="preserve">appeal were dismissed.  Apotex then commenced an action under the </w:t>
            </w:r>
            <w:r w:rsidRPr="00723BA8">
              <w:rPr>
                <w:i/>
                <w:color w:val="000000"/>
                <w:sz w:val="20"/>
              </w:rPr>
              <w:t>Patent Act</w:t>
            </w:r>
            <w:r w:rsidRPr="00723BA8">
              <w:rPr>
                <w:color w:val="000000"/>
                <w:sz w:val="20"/>
              </w:rPr>
              <w:t>, seeking a declaration that the '671 patent was invalid.  Apotex’s formulation of naproxen tablets was held to be non</w:t>
            </w:r>
            <w:r w:rsidRPr="00723BA8">
              <w:rPr>
                <w:color w:val="000000"/>
                <w:sz w:val="20"/>
              </w:rPr>
              <w:noBreakHyphen/>
              <w:t xml:space="preserve">infringing and the ‘671 patent was held to be invalid in 1999.  The Minister refused to grant Apotex a NOC on the ground that the previous prohibition order continued in effect.  Apotex obtained an order setting aside the prohibition order and dismissing Roche’s underlying application and the Minister issued a NOC to Apotex.  Apotex then brought an action for damages under s. 8 of the </w:t>
            </w:r>
            <w:r w:rsidRPr="00723BA8">
              <w:rPr>
                <w:i/>
                <w:color w:val="000000"/>
                <w:sz w:val="20"/>
              </w:rPr>
              <w:t>Regulations</w:t>
            </w:r>
            <w:r w:rsidRPr="00723BA8">
              <w:rPr>
                <w:color w:val="000000"/>
                <w:sz w:val="20"/>
              </w:rPr>
              <w:t>, claiming that its market entry had been delayed for four years by the prohibition order</w:t>
            </w:r>
          </w:p>
          <w:p w:rsidR="0055174B" w:rsidRPr="00723BA8" w:rsidRDefault="0055174B" w:rsidP="002B7BFF">
            <w:pPr>
              <w:ind w:right="144"/>
              <w:jc w:val="both"/>
              <w:rPr>
                <w:sz w:val="20"/>
              </w:rPr>
            </w:pPr>
          </w:p>
        </w:tc>
      </w:tr>
      <w:tr w:rsidR="0055174B" w:rsidRPr="00723BA8" w:rsidTr="002B7BFF">
        <w:tc>
          <w:tcPr>
            <w:tcW w:w="2427" w:type="pct"/>
          </w:tcPr>
          <w:p w:rsidR="0055174B" w:rsidRPr="00723BA8" w:rsidRDefault="0055174B" w:rsidP="002B7BFF">
            <w:pPr>
              <w:jc w:val="both"/>
              <w:rPr>
                <w:rFonts w:eastAsia="Calibri"/>
                <w:sz w:val="20"/>
              </w:rPr>
            </w:pPr>
            <w:r w:rsidRPr="00723BA8">
              <w:rPr>
                <w:rFonts w:eastAsia="Calibri"/>
                <w:sz w:val="20"/>
              </w:rPr>
              <w:t>May 12, 2009</w:t>
            </w:r>
          </w:p>
          <w:p w:rsidR="0055174B" w:rsidRPr="00723BA8" w:rsidRDefault="0055174B" w:rsidP="002B7BFF">
            <w:pPr>
              <w:jc w:val="both"/>
              <w:rPr>
                <w:rFonts w:eastAsia="Calibri"/>
                <w:sz w:val="20"/>
              </w:rPr>
            </w:pPr>
            <w:r w:rsidRPr="00723BA8">
              <w:rPr>
                <w:rFonts w:eastAsia="Calibri"/>
                <w:sz w:val="20"/>
              </w:rPr>
              <w:t>Federal Court</w:t>
            </w:r>
          </w:p>
          <w:p w:rsidR="0055174B" w:rsidRPr="00723BA8" w:rsidRDefault="0055174B" w:rsidP="002B7BFF">
            <w:pPr>
              <w:jc w:val="both"/>
              <w:rPr>
                <w:rFonts w:eastAsia="Calibri"/>
                <w:sz w:val="20"/>
              </w:rPr>
            </w:pPr>
            <w:r w:rsidRPr="00723BA8">
              <w:rPr>
                <w:rFonts w:eastAsia="Calibri"/>
                <w:sz w:val="20"/>
              </w:rPr>
              <w:t>(Hughes J.)</w:t>
            </w:r>
          </w:p>
          <w:p w:rsidR="0055174B" w:rsidRPr="00723BA8" w:rsidRDefault="0055174B" w:rsidP="002B7BFF">
            <w:pPr>
              <w:jc w:val="both"/>
              <w:rPr>
                <w:rFonts w:eastAsia="Calibri"/>
                <w:sz w:val="20"/>
              </w:rPr>
            </w:pPr>
            <w:r w:rsidRPr="00723BA8">
              <w:rPr>
                <w:rFonts w:eastAsia="Calibri"/>
                <w:sz w:val="20"/>
              </w:rPr>
              <w:t xml:space="preserve">2009 FC 494 </w:t>
            </w:r>
          </w:p>
          <w:p w:rsidR="0055174B" w:rsidRPr="00723BA8" w:rsidRDefault="0055174B" w:rsidP="002B7BFF">
            <w:pPr>
              <w:jc w:val="both"/>
              <w:rPr>
                <w:rFonts w:eastAsia="Calibri"/>
                <w:sz w:val="20"/>
              </w:rPr>
            </w:pPr>
            <w:r w:rsidRPr="00723BA8">
              <w:rPr>
                <w:rFonts w:eastAsia="Calibri"/>
                <w:sz w:val="20"/>
              </w:rPr>
              <w:t>2010 FCA 155</w:t>
            </w:r>
          </w:p>
          <w:p w:rsidR="0055174B" w:rsidRPr="00723BA8" w:rsidRDefault="0055174B" w:rsidP="002B7BFF">
            <w:pPr>
              <w:jc w:val="both"/>
              <w:rPr>
                <w:rFonts w:eastAsia="Calibri"/>
                <w:sz w:val="20"/>
              </w:rPr>
            </w:pPr>
          </w:p>
        </w:tc>
        <w:tc>
          <w:tcPr>
            <w:tcW w:w="243" w:type="pct"/>
          </w:tcPr>
          <w:p w:rsidR="0055174B" w:rsidRPr="00723BA8" w:rsidRDefault="0055174B" w:rsidP="002B7BFF">
            <w:pPr>
              <w:jc w:val="both"/>
              <w:rPr>
                <w:rFonts w:eastAsia="Calibri"/>
                <w:sz w:val="20"/>
              </w:rPr>
            </w:pPr>
          </w:p>
        </w:tc>
        <w:tc>
          <w:tcPr>
            <w:tcW w:w="2330" w:type="pct"/>
          </w:tcPr>
          <w:p w:rsidR="0055174B" w:rsidRPr="00723BA8" w:rsidRDefault="0055174B" w:rsidP="002B7BFF">
            <w:pPr>
              <w:jc w:val="both"/>
              <w:rPr>
                <w:rFonts w:eastAsia="Calibri"/>
                <w:sz w:val="20"/>
              </w:rPr>
            </w:pPr>
            <w:r w:rsidRPr="00723BA8">
              <w:rPr>
                <w:rFonts w:eastAsia="Calibri"/>
                <w:sz w:val="20"/>
              </w:rPr>
              <w:t>Apotex’s action for section 8 damages dismissed</w:t>
            </w:r>
          </w:p>
          <w:p w:rsidR="0055174B" w:rsidRPr="00723BA8" w:rsidRDefault="0055174B" w:rsidP="002B7BFF">
            <w:pPr>
              <w:jc w:val="both"/>
              <w:rPr>
                <w:rFonts w:eastAsia="Calibri"/>
                <w:sz w:val="20"/>
              </w:rPr>
            </w:pPr>
          </w:p>
          <w:p w:rsidR="0055174B" w:rsidRPr="00723BA8" w:rsidRDefault="0055174B" w:rsidP="002B7BFF">
            <w:pPr>
              <w:jc w:val="both"/>
              <w:rPr>
                <w:rFonts w:eastAsia="Calibri"/>
                <w:sz w:val="20"/>
              </w:rPr>
            </w:pPr>
          </w:p>
        </w:tc>
      </w:tr>
      <w:tr w:rsidR="0055174B" w:rsidRPr="00723BA8" w:rsidTr="003354BE">
        <w:trPr>
          <w:cantSplit/>
        </w:trPr>
        <w:tc>
          <w:tcPr>
            <w:tcW w:w="2427" w:type="pct"/>
          </w:tcPr>
          <w:p w:rsidR="0055174B" w:rsidRPr="00723BA8" w:rsidRDefault="0055174B" w:rsidP="002B7BFF">
            <w:pPr>
              <w:jc w:val="both"/>
              <w:rPr>
                <w:rFonts w:eastAsia="Calibri"/>
                <w:sz w:val="20"/>
              </w:rPr>
            </w:pPr>
            <w:r w:rsidRPr="00723BA8">
              <w:rPr>
                <w:rFonts w:eastAsia="Calibri"/>
                <w:sz w:val="20"/>
              </w:rPr>
              <w:lastRenderedPageBreak/>
              <w:t>June 10, 2010</w:t>
            </w:r>
          </w:p>
          <w:p w:rsidR="0055174B" w:rsidRPr="00723BA8" w:rsidRDefault="0055174B" w:rsidP="002B7BFF">
            <w:pPr>
              <w:jc w:val="both"/>
              <w:rPr>
                <w:rFonts w:eastAsia="Calibri"/>
                <w:sz w:val="20"/>
              </w:rPr>
            </w:pPr>
            <w:r w:rsidRPr="00723BA8">
              <w:rPr>
                <w:rFonts w:eastAsia="Calibri"/>
                <w:sz w:val="20"/>
              </w:rPr>
              <w:t>Federal Court of Appeal</w:t>
            </w:r>
          </w:p>
          <w:p w:rsidR="0055174B" w:rsidRPr="00723BA8" w:rsidRDefault="0055174B" w:rsidP="002B7BFF">
            <w:pPr>
              <w:jc w:val="both"/>
              <w:rPr>
                <w:rFonts w:eastAsia="Calibri"/>
                <w:sz w:val="20"/>
              </w:rPr>
            </w:pPr>
            <w:r w:rsidRPr="00723BA8">
              <w:rPr>
                <w:rFonts w:eastAsia="Calibri"/>
                <w:sz w:val="20"/>
              </w:rPr>
              <w:t>(Evans, Dawson and Stratas JJ.A.)</w:t>
            </w:r>
          </w:p>
          <w:p w:rsidR="0055174B" w:rsidRPr="00723BA8" w:rsidRDefault="0055174B" w:rsidP="002B7BFF">
            <w:pPr>
              <w:jc w:val="both"/>
              <w:rPr>
                <w:rFonts w:eastAsia="Calibri"/>
                <w:sz w:val="20"/>
              </w:rPr>
            </w:pPr>
            <w:r w:rsidRPr="00723BA8">
              <w:rPr>
                <w:rFonts w:eastAsia="Calibri"/>
                <w:sz w:val="20"/>
              </w:rPr>
              <w:t>2010 FCA 155</w:t>
            </w:r>
          </w:p>
          <w:p w:rsidR="0055174B" w:rsidRPr="00723BA8" w:rsidRDefault="0055174B" w:rsidP="002B7BFF">
            <w:pPr>
              <w:jc w:val="both"/>
              <w:rPr>
                <w:rFonts w:eastAsia="Calibri"/>
                <w:sz w:val="20"/>
              </w:rPr>
            </w:pPr>
          </w:p>
        </w:tc>
        <w:tc>
          <w:tcPr>
            <w:tcW w:w="243" w:type="pct"/>
          </w:tcPr>
          <w:p w:rsidR="0055174B" w:rsidRPr="00723BA8" w:rsidRDefault="0055174B" w:rsidP="002B7BFF">
            <w:pPr>
              <w:jc w:val="both"/>
              <w:rPr>
                <w:rFonts w:eastAsia="Calibri"/>
                <w:sz w:val="20"/>
              </w:rPr>
            </w:pPr>
          </w:p>
        </w:tc>
        <w:tc>
          <w:tcPr>
            <w:tcW w:w="2330" w:type="pct"/>
          </w:tcPr>
          <w:p w:rsidR="0055174B" w:rsidRPr="00723BA8" w:rsidRDefault="0055174B" w:rsidP="002B7BFF">
            <w:pPr>
              <w:jc w:val="both"/>
              <w:rPr>
                <w:rFonts w:eastAsia="Calibri"/>
                <w:sz w:val="20"/>
              </w:rPr>
            </w:pPr>
            <w:r w:rsidRPr="00723BA8">
              <w:rPr>
                <w:rFonts w:eastAsia="Calibri"/>
                <w:sz w:val="20"/>
              </w:rPr>
              <w:t>Appeal dismissed</w:t>
            </w:r>
          </w:p>
          <w:p w:rsidR="0055174B" w:rsidRPr="00723BA8" w:rsidRDefault="0055174B" w:rsidP="002B7BFF">
            <w:pPr>
              <w:jc w:val="both"/>
              <w:rPr>
                <w:rFonts w:eastAsia="Calibri"/>
                <w:sz w:val="20"/>
              </w:rPr>
            </w:pPr>
          </w:p>
        </w:tc>
      </w:tr>
      <w:tr w:rsidR="0055174B" w:rsidRPr="00723BA8" w:rsidTr="003354BE">
        <w:trPr>
          <w:cantSplit/>
        </w:trPr>
        <w:tc>
          <w:tcPr>
            <w:tcW w:w="2427" w:type="pct"/>
          </w:tcPr>
          <w:p w:rsidR="0055174B" w:rsidRPr="00723BA8" w:rsidRDefault="0055174B" w:rsidP="002B7BFF">
            <w:pPr>
              <w:jc w:val="both"/>
              <w:rPr>
                <w:rFonts w:eastAsia="Calibri"/>
                <w:sz w:val="20"/>
              </w:rPr>
            </w:pPr>
            <w:r w:rsidRPr="00723BA8">
              <w:rPr>
                <w:rFonts w:eastAsia="Calibri"/>
                <w:sz w:val="20"/>
              </w:rPr>
              <w:t>September 9, 2010</w:t>
            </w:r>
          </w:p>
          <w:p w:rsidR="0055174B" w:rsidRPr="00723BA8" w:rsidRDefault="0055174B" w:rsidP="002B7BFF">
            <w:pPr>
              <w:jc w:val="both"/>
              <w:rPr>
                <w:rFonts w:eastAsia="Calibri"/>
                <w:sz w:val="20"/>
              </w:rPr>
            </w:pPr>
            <w:r w:rsidRPr="00723BA8">
              <w:rPr>
                <w:rFonts w:eastAsia="Calibri"/>
                <w:sz w:val="20"/>
              </w:rPr>
              <w:t>Supreme Court of Canada</w:t>
            </w:r>
          </w:p>
          <w:p w:rsidR="0055174B" w:rsidRPr="00723BA8" w:rsidRDefault="0055174B" w:rsidP="002B7BFF">
            <w:pPr>
              <w:jc w:val="both"/>
              <w:rPr>
                <w:rFonts w:eastAsia="Calibri"/>
                <w:sz w:val="20"/>
              </w:rPr>
            </w:pPr>
          </w:p>
        </w:tc>
        <w:tc>
          <w:tcPr>
            <w:tcW w:w="243" w:type="pct"/>
          </w:tcPr>
          <w:p w:rsidR="0055174B" w:rsidRPr="00723BA8" w:rsidRDefault="0055174B" w:rsidP="002B7BFF">
            <w:pPr>
              <w:jc w:val="both"/>
              <w:rPr>
                <w:rFonts w:eastAsia="Calibri"/>
                <w:sz w:val="20"/>
              </w:rPr>
            </w:pPr>
          </w:p>
        </w:tc>
        <w:tc>
          <w:tcPr>
            <w:tcW w:w="2330" w:type="pct"/>
          </w:tcPr>
          <w:p w:rsidR="0055174B" w:rsidRPr="00723BA8" w:rsidRDefault="0055174B" w:rsidP="002B7BFF">
            <w:pPr>
              <w:jc w:val="both"/>
              <w:rPr>
                <w:rFonts w:eastAsia="Calibri"/>
                <w:sz w:val="20"/>
              </w:rPr>
            </w:pPr>
            <w:r w:rsidRPr="00723BA8">
              <w:rPr>
                <w:rFonts w:eastAsia="Calibri"/>
                <w:sz w:val="20"/>
              </w:rPr>
              <w:t>Application for leave to appeal filed</w:t>
            </w:r>
          </w:p>
          <w:p w:rsidR="0055174B" w:rsidRPr="00723BA8" w:rsidRDefault="0055174B" w:rsidP="002B7BFF">
            <w:pPr>
              <w:jc w:val="both"/>
              <w:rPr>
                <w:rFonts w:eastAsia="Calibri"/>
                <w:sz w:val="20"/>
              </w:rPr>
            </w:pPr>
          </w:p>
          <w:p w:rsidR="0055174B" w:rsidRPr="00723BA8" w:rsidRDefault="0055174B" w:rsidP="002B7BFF">
            <w:pPr>
              <w:jc w:val="both"/>
              <w:rPr>
                <w:rFonts w:eastAsia="Calibri"/>
                <w:sz w:val="20"/>
              </w:rPr>
            </w:pPr>
          </w:p>
        </w:tc>
      </w:tr>
      <w:tr w:rsidR="0055174B" w:rsidRPr="00723BA8" w:rsidTr="003354BE">
        <w:trPr>
          <w:cantSplit/>
        </w:trPr>
        <w:tc>
          <w:tcPr>
            <w:tcW w:w="2427" w:type="pct"/>
          </w:tcPr>
          <w:p w:rsidR="0055174B" w:rsidRPr="00723BA8" w:rsidRDefault="0055174B" w:rsidP="002B7BFF">
            <w:pPr>
              <w:jc w:val="both"/>
              <w:rPr>
                <w:rFonts w:eastAsia="Calibri"/>
                <w:sz w:val="20"/>
              </w:rPr>
            </w:pPr>
            <w:r w:rsidRPr="00723BA8">
              <w:rPr>
                <w:rFonts w:eastAsia="Calibri"/>
                <w:sz w:val="20"/>
              </w:rPr>
              <w:t>October 7, 2011</w:t>
            </w:r>
          </w:p>
          <w:p w:rsidR="0055174B" w:rsidRPr="00723BA8" w:rsidRDefault="0055174B" w:rsidP="002B7BFF">
            <w:pPr>
              <w:jc w:val="both"/>
              <w:rPr>
                <w:rFonts w:eastAsia="Calibri"/>
                <w:sz w:val="20"/>
              </w:rPr>
            </w:pPr>
            <w:r w:rsidRPr="00723BA8">
              <w:rPr>
                <w:rFonts w:eastAsia="Calibri"/>
                <w:sz w:val="20"/>
              </w:rPr>
              <w:t>Supreme Court of Canada</w:t>
            </w:r>
          </w:p>
        </w:tc>
        <w:tc>
          <w:tcPr>
            <w:tcW w:w="243" w:type="pct"/>
          </w:tcPr>
          <w:p w:rsidR="0055174B" w:rsidRPr="00723BA8" w:rsidRDefault="0055174B" w:rsidP="002B7BFF">
            <w:pPr>
              <w:jc w:val="both"/>
              <w:rPr>
                <w:rFonts w:eastAsia="Calibri"/>
                <w:sz w:val="20"/>
              </w:rPr>
            </w:pPr>
          </w:p>
        </w:tc>
        <w:tc>
          <w:tcPr>
            <w:tcW w:w="2330" w:type="pct"/>
          </w:tcPr>
          <w:p w:rsidR="0055174B" w:rsidRPr="00723BA8" w:rsidRDefault="0055174B" w:rsidP="002B7BFF">
            <w:pPr>
              <w:jc w:val="both"/>
              <w:rPr>
                <w:rFonts w:eastAsia="Calibri"/>
                <w:sz w:val="20"/>
              </w:rPr>
            </w:pPr>
            <w:r w:rsidRPr="00723BA8">
              <w:rPr>
                <w:rFonts w:eastAsia="Calibri"/>
                <w:sz w:val="20"/>
              </w:rPr>
              <w:t>Motion for leave to intervene filed by the Canadian Generic Pharmaceutical Association</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2"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5174B" w:rsidRPr="003731F0" w:rsidTr="002B7BFF">
        <w:tc>
          <w:tcPr>
            <w:tcW w:w="5000" w:type="pct"/>
            <w:gridSpan w:val="3"/>
          </w:tcPr>
          <w:p w:rsidR="0055174B" w:rsidRPr="00723BA8" w:rsidRDefault="0055174B" w:rsidP="002B7BFF">
            <w:pPr>
              <w:jc w:val="both"/>
              <w:rPr>
                <w:rFonts w:eastAsia="Calibri"/>
                <w:i/>
                <w:iCs/>
                <w:sz w:val="20"/>
                <w:lang w:val="fr-CA"/>
              </w:rPr>
            </w:pPr>
            <w:r w:rsidRPr="00723BA8">
              <w:rPr>
                <w:rFonts w:eastAsia="Calibri"/>
                <w:sz w:val="20"/>
                <w:lang w:val="fr-CA"/>
              </w:rPr>
              <w:t>Propriété intellectuelle — Brevets — Médicaments — Avis de conformité —</w:t>
            </w:r>
            <w:r w:rsidRPr="00723BA8">
              <w:rPr>
                <w:rFonts w:eastAsia="Calibri"/>
                <w:i/>
                <w:iCs/>
                <w:sz w:val="20"/>
                <w:lang w:val="fr-CA"/>
              </w:rPr>
              <w:t xml:space="preserve"> Règlement sur les médicaments brevetés (avis de conformité)</w:t>
            </w:r>
            <w:r w:rsidRPr="00723BA8">
              <w:rPr>
                <w:rFonts w:eastAsia="Calibri"/>
                <w:sz w:val="20"/>
                <w:lang w:val="fr-CA"/>
              </w:rPr>
              <w:t>, DORS/93</w:t>
            </w:r>
            <w:r w:rsidRPr="00723BA8">
              <w:rPr>
                <w:rFonts w:eastAsia="Calibri"/>
                <w:sz w:val="20"/>
                <w:lang w:val="fr-CA"/>
              </w:rPr>
              <w:noBreakHyphen/>
              <w:t>133 — La partie qui interdit à une autre de faire quelque chose en vertu du règlement peut</w:t>
            </w:r>
            <w:r w:rsidRPr="00723BA8">
              <w:rPr>
                <w:rFonts w:eastAsia="Calibri"/>
                <w:sz w:val="20"/>
                <w:lang w:val="fr-CA"/>
              </w:rPr>
              <w:noBreakHyphen/>
              <w:t>elle éviter le paiement de dommages</w:t>
            </w:r>
            <w:r w:rsidRPr="00723BA8">
              <w:rPr>
                <w:rFonts w:eastAsia="Calibri"/>
                <w:sz w:val="20"/>
                <w:lang w:val="fr-CA"/>
              </w:rPr>
              <w:noBreakHyphen/>
              <w:t>intérêts pour le préjudice causé par l'injonction simplement parce qu'elle a réussi à obtenir l'injonction dans l'exécution d'un brevet qui a fini par être déclaré invalide? — Interprétation de l'art. 8 du règlement</w:t>
            </w:r>
            <w:r w:rsidRPr="00723BA8">
              <w:rPr>
                <w:rFonts w:eastAsia="Calibri"/>
                <w:i/>
                <w:iCs/>
                <w:sz w:val="20"/>
                <w:lang w:val="fr-CA"/>
              </w:rPr>
              <w:t>.</w:t>
            </w:r>
          </w:p>
          <w:p w:rsidR="0055174B" w:rsidRPr="00723BA8" w:rsidRDefault="0055174B" w:rsidP="002B7BFF">
            <w:pPr>
              <w:jc w:val="both"/>
              <w:rPr>
                <w:rFonts w:eastAsia="Calibri"/>
                <w:sz w:val="20"/>
                <w:lang w:val="fr-CA"/>
              </w:rPr>
            </w:pPr>
          </w:p>
        </w:tc>
      </w:tr>
      <w:tr w:rsidR="0055174B" w:rsidRPr="00E62A55" w:rsidTr="002B7BFF">
        <w:tc>
          <w:tcPr>
            <w:tcW w:w="5000" w:type="pct"/>
            <w:gridSpan w:val="3"/>
          </w:tcPr>
          <w:p w:rsidR="0055174B" w:rsidRPr="00723BA8" w:rsidRDefault="0055174B" w:rsidP="0055174B">
            <w:pPr>
              <w:ind w:right="-11"/>
              <w:jc w:val="both"/>
              <w:rPr>
                <w:color w:val="000000"/>
                <w:sz w:val="20"/>
                <w:lang w:val="fr-CA"/>
              </w:rPr>
            </w:pPr>
            <w:r w:rsidRPr="00723BA8">
              <w:rPr>
                <w:color w:val="000000"/>
                <w:sz w:val="20"/>
                <w:lang w:val="fr-CA"/>
              </w:rPr>
              <w:t>En 1996, Hoffmann</w:t>
            </w:r>
            <w:r w:rsidRPr="00723BA8">
              <w:rPr>
                <w:color w:val="000000"/>
                <w:sz w:val="20"/>
                <w:lang w:val="fr-CA"/>
              </w:rPr>
              <w:noBreakHyphen/>
              <w:t>LaRoche Limitée (« Roche ») a obtenu une ordonnance de la Cour fédérale dans une instance fondée sur le</w:t>
            </w:r>
            <w:r w:rsidRPr="00723BA8">
              <w:rPr>
                <w:i/>
                <w:iCs/>
                <w:color w:val="000000"/>
                <w:sz w:val="20"/>
                <w:lang w:val="fr-CA"/>
              </w:rPr>
              <w:t xml:space="preserve"> Règlement sur les médicaments brevetés (avis de conformité)</w:t>
            </w:r>
            <w:r w:rsidRPr="00723BA8">
              <w:rPr>
                <w:color w:val="000000"/>
                <w:sz w:val="20"/>
                <w:lang w:val="fr-CA"/>
              </w:rPr>
              <w:t xml:space="preserve"> interdisant au ministre de la Santé de délivrer un avis de conformité (AC) à Apotex pour sa version générique de comprimés de naproxène à libération lente avant l'expiration du brevet 671 en cause.  La Cour a conclu que l'allégation de non</w:t>
            </w:r>
            <w:r w:rsidRPr="00723BA8">
              <w:rPr>
                <w:color w:val="000000"/>
                <w:sz w:val="20"/>
                <w:lang w:val="fr-CA"/>
              </w:rPr>
              <w:noBreakHyphen/>
              <w:t>contrefaçon soulevée par Apotex n'était pas justifiée.  Il n'y avait aucune allégation d'invalidité. L'appel et l'appel incident ont été rejetés. Apotex a ensuite intenté une action fondée sur la</w:t>
            </w:r>
            <w:r w:rsidRPr="00723BA8">
              <w:rPr>
                <w:i/>
                <w:iCs/>
                <w:color w:val="000000"/>
                <w:sz w:val="20"/>
                <w:lang w:val="fr-CA"/>
              </w:rPr>
              <w:t xml:space="preserve"> Loi sur les brevets</w:t>
            </w:r>
            <w:r w:rsidRPr="00723BA8">
              <w:rPr>
                <w:color w:val="000000"/>
                <w:sz w:val="20"/>
                <w:lang w:val="fr-CA"/>
              </w:rPr>
              <w:t>, sollicitant un jugement déclarant que le brevet 671 était invalide.  La Cour a statué que la formulation d’Apotex des comprimés de naproxène n'était pas une contrefaçon et le brevet 671 a été jugé invalide en 1999. Le ministre a refusé d'accorder un AC à Apotex au motif que l'ordonnance d'interdiction antérieure était toujours en vigueur. Apotex a obtenu une ordonnance annulant l'ordonnance d'interdiction et rejetant la demande sous</w:t>
            </w:r>
            <w:r w:rsidRPr="00723BA8">
              <w:rPr>
                <w:color w:val="000000"/>
                <w:sz w:val="20"/>
                <w:lang w:val="fr-CA"/>
              </w:rPr>
              <w:noBreakHyphen/>
              <w:t>jacente de Roche et le ministre a délivré un AC à Apotex.  Apotex a alors intenté une action en dommages</w:t>
            </w:r>
            <w:r w:rsidRPr="00723BA8">
              <w:rPr>
                <w:color w:val="000000"/>
                <w:sz w:val="20"/>
                <w:lang w:val="fr-CA"/>
              </w:rPr>
              <w:noBreakHyphen/>
              <w:t>intérêts fondée sur l’art. 8 du</w:t>
            </w:r>
            <w:r w:rsidRPr="00723BA8">
              <w:rPr>
                <w:i/>
                <w:iCs/>
                <w:color w:val="000000"/>
                <w:sz w:val="20"/>
                <w:lang w:val="fr-CA"/>
              </w:rPr>
              <w:t xml:space="preserve"> </w:t>
            </w:r>
            <w:r w:rsidRPr="00723BA8">
              <w:rPr>
                <w:color w:val="000000"/>
                <w:sz w:val="20"/>
                <w:lang w:val="fr-CA"/>
              </w:rPr>
              <w:t>règlement, alléguant que sa mise en marché avait été retardée de quatre ans par l'ordonnance d'interdiction.</w:t>
            </w:r>
          </w:p>
          <w:p w:rsidR="0055174B" w:rsidRPr="00723BA8" w:rsidRDefault="0055174B" w:rsidP="002B7BFF">
            <w:pPr>
              <w:ind w:right="144"/>
              <w:jc w:val="both"/>
              <w:rPr>
                <w:sz w:val="20"/>
                <w:lang w:val="fr-CA"/>
              </w:rPr>
            </w:pPr>
          </w:p>
        </w:tc>
      </w:tr>
      <w:tr w:rsidR="0055174B" w:rsidRPr="00E62A55" w:rsidTr="002B7BFF">
        <w:tc>
          <w:tcPr>
            <w:tcW w:w="2427" w:type="pct"/>
          </w:tcPr>
          <w:p w:rsidR="0055174B" w:rsidRPr="00723BA8" w:rsidRDefault="0055174B" w:rsidP="002B7BFF">
            <w:pPr>
              <w:jc w:val="both"/>
              <w:rPr>
                <w:rFonts w:eastAsia="Calibri"/>
                <w:sz w:val="20"/>
                <w:lang w:val="fr-CA"/>
              </w:rPr>
            </w:pPr>
            <w:r w:rsidRPr="00723BA8">
              <w:rPr>
                <w:rFonts w:eastAsia="Calibri"/>
                <w:sz w:val="20"/>
                <w:lang w:val="fr-CA"/>
              </w:rPr>
              <w:t>12 mai 2009</w:t>
            </w:r>
          </w:p>
          <w:p w:rsidR="0055174B" w:rsidRPr="00723BA8" w:rsidRDefault="0055174B" w:rsidP="002B7BFF">
            <w:pPr>
              <w:jc w:val="both"/>
              <w:rPr>
                <w:rFonts w:eastAsia="Calibri"/>
                <w:sz w:val="20"/>
                <w:lang w:val="fr-CA"/>
              </w:rPr>
            </w:pPr>
            <w:r w:rsidRPr="00723BA8">
              <w:rPr>
                <w:rFonts w:eastAsia="Calibri"/>
                <w:sz w:val="20"/>
                <w:lang w:val="fr-CA"/>
              </w:rPr>
              <w:t xml:space="preserve">Cour fédérale </w:t>
            </w:r>
          </w:p>
          <w:p w:rsidR="0055174B" w:rsidRPr="00723BA8" w:rsidRDefault="0055174B" w:rsidP="002B7BFF">
            <w:pPr>
              <w:jc w:val="both"/>
              <w:rPr>
                <w:rFonts w:eastAsia="Calibri"/>
                <w:sz w:val="20"/>
                <w:lang w:val="fr-CA"/>
              </w:rPr>
            </w:pPr>
            <w:r w:rsidRPr="00723BA8">
              <w:rPr>
                <w:rFonts w:eastAsia="Calibri"/>
                <w:sz w:val="20"/>
                <w:lang w:val="fr-CA"/>
              </w:rPr>
              <w:t>(Juge Hughes)</w:t>
            </w:r>
          </w:p>
          <w:p w:rsidR="0055174B" w:rsidRPr="00723BA8" w:rsidRDefault="0055174B" w:rsidP="002B7BFF">
            <w:pPr>
              <w:jc w:val="both"/>
              <w:rPr>
                <w:rFonts w:eastAsia="Calibri"/>
                <w:sz w:val="20"/>
                <w:lang w:val="fr-CA"/>
              </w:rPr>
            </w:pPr>
            <w:r w:rsidRPr="00723BA8">
              <w:rPr>
                <w:rFonts w:eastAsia="Calibri"/>
                <w:sz w:val="20"/>
                <w:lang w:val="fr-CA"/>
              </w:rPr>
              <w:t xml:space="preserve">2009 CF 494 </w:t>
            </w:r>
          </w:p>
          <w:p w:rsidR="0055174B" w:rsidRPr="00723BA8" w:rsidRDefault="0055174B" w:rsidP="002B7BFF">
            <w:pPr>
              <w:jc w:val="both"/>
              <w:rPr>
                <w:rFonts w:eastAsia="Calibri"/>
                <w:sz w:val="20"/>
                <w:lang w:val="fr-CA"/>
              </w:rPr>
            </w:pPr>
            <w:r w:rsidRPr="00723BA8">
              <w:rPr>
                <w:rFonts w:eastAsia="Calibri"/>
                <w:sz w:val="20"/>
                <w:lang w:val="fr-CA"/>
              </w:rPr>
              <w:t>2010 CAF 155</w:t>
            </w:r>
          </w:p>
          <w:p w:rsidR="0055174B" w:rsidRPr="00723BA8" w:rsidRDefault="0055174B" w:rsidP="002B7BFF">
            <w:pPr>
              <w:jc w:val="both"/>
              <w:rPr>
                <w:rFonts w:eastAsia="Calibri"/>
                <w:sz w:val="20"/>
                <w:lang w:val="fr-CA"/>
              </w:rPr>
            </w:pPr>
          </w:p>
        </w:tc>
        <w:tc>
          <w:tcPr>
            <w:tcW w:w="243" w:type="pct"/>
          </w:tcPr>
          <w:p w:rsidR="0055174B" w:rsidRPr="00723BA8" w:rsidRDefault="0055174B" w:rsidP="002B7BFF">
            <w:pPr>
              <w:jc w:val="both"/>
              <w:rPr>
                <w:rFonts w:eastAsia="Calibri"/>
                <w:sz w:val="20"/>
                <w:lang w:val="fr-CA"/>
              </w:rPr>
            </w:pPr>
          </w:p>
        </w:tc>
        <w:tc>
          <w:tcPr>
            <w:tcW w:w="2330" w:type="pct"/>
          </w:tcPr>
          <w:p w:rsidR="0055174B" w:rsidRPr="00723BA8" w:rsidRDefault="0055174B" w:rsidP="002B7BFF">
            <w:pPr>
              <w:jc w:val="both"/>
              <w:rPr>
                <w:rFonts w:eastAsia="Calibri"/>
                <w:sz w:val="20"/>
                <w:lang w:val="fr-CA"/>
              </w:rPr>
            </w:pPr>
            <w:r w:rsidRPr="00723BA8">
              <w:rPr>
                <w:rFonts w:eastAsia="Calibri"/>
                <w:sz w:val="20"/>
                <w:lang w:val="fr-CA"/>
              </w:rPr>
              <w:t>Action d’Apotex en dommages</w:t>
            </w:r>
            <w:r w:rsidRPr="00723BA8">
              <w:rPr>
                <w:rFonts w:eastAsia="Calibri"/>
                <w:sz w:val="20"/>
                <w:lang w:val="fr-CA"/>
              </w:rPr>
              <w:noBreakHyphen/>
              <w:t>intérêts fondée sur l'article 8, rejetée</w:t>
            </w:r>
          </w:p>
          <w:p w:rsidR="0055174B" w:rsidRPr="00723BA8" w:rsidRDefault="0055174B" w:rsidP="002B7BFF">
            <w:pPr>
              <w:jc w:val="both"/>
              <w:rPr>
                <w:rFonts w:eastAsia="Calibri"/>
                <w:sz w:val="20"/>
                <w:lang w:val="fr-CA"/>
              </w:rPr>
            </w:pPr>
          </w:p>
          <w:p w:rsidR="0055174B" w:rsidRPr="00723BA8" w:rsidRDefault="0055174B" w:rsidP="002B7BFF">
            <w:pPr>
              <w:jc w:val="both"/>
              <w:rPr>
                <w:rFonts w:eastAsia="Calibri"/>
                <w:sz w:val="20"/>
                <w:lang w:val="fr-CA"/>
              </w:rPr>
            </w:pPr>
          </w:p>
        </w:tc>
      </w:tr>
      <w:tr w:rsidR="0055174B" w:rsidRPr="00723BA8" w:rsidTr="002B7BFF">
        <w:tc>
          <w:tcPr>
            <w:tcW w:w="2427" w:type="pct"/>
          </w:tcPr>
          <w:p w:rsidR="0055174B" w:rsidRPr="00723BA8" w:rsidRDefault="0055174B" w:rsidP="002B7BFF">
            <w:pPr>
              <w:jc w:val="both"/>
              <w:rPr>
                <w:rFonts w:eastAsia="Calibri"/>
                <w:sz w:val="20"/>
                <w:lang w:val="fr-CA"/>
              </w:rPr>
            </w:pPr>
            <w:r w:rsidRPr="00723BA8">
              <w:rPr>
                <w:rFonts w:eastAsia="Calibri"/>
                <w:sz w:val="20"/>
                <w:lang w:val="fr-CA"/>
              </w:rPr>
              <w:t>10 juin 2010</w:t>
            </w:r>
          </w:p>
          <w:p w:rsidR="0055174B" w:rsidRPr="00723BA8" w:rsidRDefault="0055174B" w:rsidP="002B7BFF">
            <w:pPr>
              <w:jc w:val="both"/>
              <w:rPr>
                <w:rFonts w:eastAsia="Calibri"/>
                <w:sz w:val="20"/>
                <w:lang w:val="fr-CA"/>
              </w:rPr>
            </w:pPr>
            <w:r w:rsidRPr="00723BA8">
              <w:rPr>
                <w:rFonts w:eastAsia="Calibri"/>
                <w:sz w:val="20"/>
                <w:lang w:val="fr-CA"/>
              </w:rPr>
              <w:t xml:space="preserve">Cour d'appel fédérale </w:t>
            </w:r>
          </w:p>
          <w:p w:rsidR="0055174B" w:rsidRPr="00723BA8" w:rsidRDefault="0055174B" w:rsidP="002B7BFF">
            <w:pPr>
              <w:jc w:val="both"/>
              <w:rPr>
                <w:rFonts w:eastAsia="Calibri"/>
                <w:sz w:val="20"/>
                <w:lang w:val="fr-CA"/>
              </w:rPr>
            </w:pPr>
            <w:r w:rsidRPr="00723BA8">
              <w:rPr>
                <w:rFonts w:eastAsia="Calibri"/>
                <w:sz w:val="20"/>
                <w:lang w:val="fr-CA"/>
              </w:rPr>
              <w:t>(Juges Evans, Dawson et Stratas)</w:t>
            </w:r>
          </w:p>
          <w:p w:rsidR="0055174B" w:rsidRPr="00723BA8" w:rsidRDefault="0055174B" w:rsidP="002B7BFF">
            <w:pPr>
              <w:jc w:val="both"/>
              <w:rPr>
                <w:rFonts w:eastAsia="Calibri"/>
                <w:sz w:val="20"/>
                <w:lang w:val="fr-CA"/>
              </w:rPr>
            </w:pPr>
            <w:r w:rsidRPr="00723BA8">
              <w:rPr>
                <w:rFonts w:eastAsia="Calibri"/>
                <w:sz w:val="20"/>
                <w:lang w:val="fr-CA"/>
              </w:rPr>
              <w:t>2010 CAF 155</w:t>
            </w:r>
          </w:p>
          <w:p w:rsidR="0055174B" w:rsidRPr="00723BA8" w:rsidRDefault="0055174B" w:rsidP="002B7BFF">
            <w:pPr>
              <w:jc w:val="both"/>
              <w:rPr>
                <w:rFonts w:eastAsia="Calibri"/>
                <w:sz w:val="20"/>
                <w:lang w:val="fr-CA"/>
              </w:rPr>
            </w:pPr>
          </w:p>
        </w:tc>
        <w:tc>
          <w:tcPr>
            <w:tcW w:w="243" w:type="pct"/>
          </w:tcPr>
          <w:p w:rsidR="0055174B" w:rsidRPr="00723BA8" w:rsidRDefault="0055174B" w:rsidP="002B7BFF">
            <w:pPr>
              <w:jc w:val="both"/>
              <w:rPr>
                <w:rFonts w:eastAsia="Calibri"/>
                <w:sz w:val="20"/>
                <w:lang w:val="fr-CA"/>
              </w:rPr>
            </w:pPr>
          </w:p>
        </w:tc>
        <w:tc>
          <w:tcPr>
            <w:tcW w:w="2330" w:type="pct"/>
          </w:tcPr>
          <w:p w:rsidR="0055174B" w:rsidRPr="00723BA8" w:rsidRDefault="0055174B" w:rsidP="002B7BFF">
            <w:pPr>
              <w:jc w:val="both"/>
              <w:rPr>
                <w:rFonts w:eastAsia="Calibri"/>
                <w:sz w:val="20"/>
                <w:lang w:val="fr-CA"/>
              </w:rPr>
            </w:pPr>
            <w:r w:rsidRPr="00723BA8">
              <w:rPr>
                <w:rFonts w:eastAsia="Calibri"/>
                <w:sz w:val="20"/>
                <w:lang w:val="fr-CA"/>
              </w:rPr>
              <w:t>Appel rejeté</w:t>
            </w:r>
          </w:p>
          <w:p w:rsidR="0055174B" w:rsidRPr="00723BA8" w:rsidRDefault="0055174B" w:rsidP="002B7BFF">
            <w:pPr>
              <w:jc w:val="both"/>
              <w:rPr>
                <w:rFonts w:eastAsia="Calibri"/>
                <w:sz w:val="20"/>
                <w:lang w:val="fr-CA"/>
              </w:rPr>
            </w:pPr>
          </w:p>
        </w:tc>
      </w:tr>
      <w:tr w:rsidR="0055174B" w:rsidRPr="00723BA8" w:rsidTr="002B7BFF">
        <w:tc>
          <w:tcPr>
            <w:tcW w:w="2427" w:type="pct"/>
          </w:tcPr>
          <w:p w:rsidR="0055174B" w:rsidRPr="00723BA8" w:rsidRDefault="0055174B" w:rsidP="002B7BFF">
            <w:pPr>
              <w:jc w:val="both"/>
              <w:rPr>
                <w:rFonts w:eastAsia="Calibri"/>
                <w:sz w:val="20"/>
                <w:lang w:val="fr-CA"/>
              </w:rPr>
            </w:pPr>
            <w:r w:rsidRPr="00723BA8">
              <w:rPr>
                <w:rFonts w:eastAsia="Calibri"/>
                <w:sz w:val="20"/>
                <w:lang w:val="fr-CA"/>
              </w:rPr>
              <w:t>9 septembre 2010</w:t>
            </w:r>
          </w:p>
          <w:p w:rsidR="0055174B" w:rsidRPr="00723BA8" w:rsidRDefault="0055174B" w:rsidP="002B7BFF">
            <w:pPr>
              <w:jc w:val="both"/>
              <w:rPr>
                <w:rFonts w:eastAsia="Calibri"/>
                <w:sz w:val="20"/>
                <w:lang w:val="fr-CA"/>
              </w:rPr>
            </w:pPr>
            <w:r w:rsidRPr="00723BA8">
              <w:rPr>
                <w:rFonts w:eastAsia="Calibri"/>
                <w:sz w:val="20"/>
                <w:lang w:val="fr-CA"/>
              </w:rPr>
              <w:t>Cour suprême du Canada</w:t>
            </w:r>
          </w:p>
          <w:p w:rsidR="0055174B" w:rsidRPr="00723BA8" w:rsidRDefault="0055174B" w:rsidP="002B7BFF">
            <w:pPr>
              <w:jc w:val="both"/>
              <w:rPr>
                <w:rFonts w:eastAsia="Calibri"/>
                <w:sz w:val="20"/>
                <w:lang w:val="fr-CA"/>
              </w:rPr>
            </w:pPr>
          </w:p>
        </w:tc>
        <w:tc>
          <w:tcPr>
            <w:tcW w:w="243" w:type="pct"/>
          </w:tcPr>
          <w:p w:rsidR="0055174B" w:rsidRPr="00723BA8" w:rsidRDefault="0055174B" w:rsidP="002B7BFF">
            <w:pPr>
              <w:jc w:val="both"/>
              <w:rPr>
                <w:rFonts w:eastAsia="Calibri"/>
                <w:sz w:val="20"/>
                <w:lang w:val="fr-CA"/>
              </w:rPr>
            </w:pPr>
          </w:p>
        </w:tc>
        <w:tc>
          <w:tcPr>
            <w:tcW w:w="2330" w:type="pct"/>
          </w:tcPr>
          <w:p w:rsidR="0055174B" w:rsidRPr="00723BA8" w:rsidRDefault="0055174B" w:rsidP="002B7BFF">
            <w:pPr>
              <w:jc w:val="both"/>
              <w:rPr>
                <w:rFonts w:eastAsia="Calibri"/>
                <w:sz w:val="20"/>
                <w:lang w:val="fr-CA"/>
              </w:rPr>
            </w:pPr>
            <w:r w:rsidRPr="00723BA8">
              <w:rPr>
                <w:rFonts w:eastAsia="Calibri"/>
                <w:sz w:val="20"/>
                <w:lang w:val="fr-CA"/>
              </w:rPr>
              <w:t>Demande d'autorisation d'appel, déposée</w:t>
            </w:r>
          </w:p>
          <w:p w:rsidR="0055174B" w:rsidRPr="00723BA8" w:rsidRDefault="0055174B" w:rsidP="002B7BFF">
            <w:pPr>
              <w:jc w:val="both"/>
              <w:rPr>
                <w:rFonts w:eastAsia="Calibri"/>
                <w:sz w:val="20"/>
                <w:lang w:val="fr-CA"/>
              </w:rPr>
            </w:pPr>
          </w:p>
          <w:p w:rsidR="0055174B" w:rsidRPr="00723BA8" w:rsidRDefault="0055174B" w:rsidP="002B7BFF">
            <w:pPr>
              <w:jc w:val="both"/>
              <w:rPr>
                <w:rFonts w:eastAsia="Calibri"/>
                <w:sz w:val="20"/>
                <w:lang w:val="fr-CA"/>
              </w:rPr>
            </w:pPr>
          </w:p>
        </w:tc>
      </w:tr>
    </w:tbl>
    <w:p w:rsidR="003354BE" w:rsidRDefault="003354BE">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55174B" w:rsidRPr="00E62A55" w:rsidTr="003354BE">
        <w:trPr>
          <w:cantSplit/>
        </w:trPr>
        <w:tc>
          <w:tcPr>
            <w:tcW w:w="2427" w:type="pct"/>
          </w:tcPr>
          <w:p w:rsidR="0055174B" w:rsidRPr="00723BA8" w:rsidRDefault="0055174B" w:rsidP="002B7BFF">
            <w:pPr>
              <w:jc w:val="both"/>
              <w:rPr>
                <w:rFonts w:eastAsia="Calibri"/>
                <w:sz w:val="20"/>
                <w:lang w:val="fr-CA"/>
              </w:rPr>
            </w:pPr>
            <w:r w:rsidRPr="00723BA8">
              <w:rPr>
                <w:rFonts w:eastAsia="Calibri"/>
                <w:sz w:val="20"/>
                <w:lang w:val="fr-CA"/>
              </w:rPr>
              <w:lastRenderedPageBreak/>
              <w:t>7 octobre 2011</w:t>
            </w:r>
          </w:p>
          <w:p w:rsidR="0055174B" w:rsidRPr="00723BA8" w:rsidRDefault="0055174B" w:rsidP="002B7BFF">
            <w:pPr>
              <w:jc w:val="both"/>
              <w:rPr>
                <w:rFonts w:eastAsia="Calibri"/>
                <w:sz w:val="20"/>
                <w:lang w:val="fr-CA"/>
              </w:rPr>
            </w:pPr>
            <w:r w:rsidRPr="00723BA8">
              <w:rPr>
                <w:rFonts w:eastAsia="Calibri"/>
                <w:sz w:val="20"/>
                <w:lang w:val="fr-CA"/>
              </w:rPr>
              <w:t>Cour suprême du Canada</w:t>
            </w:r>
          </w:p>
        </w:tc>
        <w:tc>
          <w:tcPr>
            <w:tcW w:w="243" w:type="pct"/>
          </w:tcPr>
          <w:p w:rsidR="0055174B" w:rsidRPr="00723BA8" w:rsidRDefault="0055174B" w:rsidP="002B7BFF">
            <w:pPr>
              <w:jc w:val="both"/>
              <w:rPr>
                <w:rFonts w:eastAsia="Calibri"/>
                <w:sz w:val="20"/>
                <w:lang w:val="fr-CA"/>
              </w:rPr>
            </w:pPr>
          </w:p>
        </w:tc>
        <w:tc>
          <w:tcPr>
            <w:tcW w:w="2330" w:type="pct"/>
          </w:tcPr>
          <w:p w:rsidR="0055174B" w:rsidRPr="00723BA8" w:rsidRDefault="0055174B" w:rsidP="002B7BFF">
            <w:pPr>
              <w:jc w:val="both"/>
              <w:rPr>
                <w:rFonts w:eastAsia="Calibri"/>
                <w:sz w:val="20"/>
                <w:lang w:val="fr-CA"/>
              </w:rPr>
            </w:pPr>
            <w:r w:rsidRPr="00723BA8">
              <w:rPr>
                <w:rFonts w:eastAsia="Calibri"/>
                <w:sz w:val="20"/>
                <w:lang w:val="fr-CA"/>
              </w:rPr>
              <w:t>Requête en autorisation d’intervenir déposée par l'Association canadienne du médicament générique</w:t>
            </w:r>
          </w:p>
        </w:tc>
      </w:tr>
    </w:tbl>
    <w:p w:rsidR="004E6FA2" w:rsidRPr="0055174B" w:rsidRDefault="004E6FA2" w:rsidP="004E6FA2">
      <w:pPr>
        <w:rPr>
          <w:sz w:val="20"/>
          <w:szCs w:val="20"/>
          <w:lang w:val="fr-CA"/>
        </w:rPr>
      </w:pPr>
    </w:p>
    <w:p w:rsidR="004E6FA2" w:rsidRDefault="00CF05D4" w:rsidP="004E6FA2">
      <w:pPr>
        <w:rPr>
          <w:sz w:val="20"/>
          <w:szCs w:val="20"/>
        </w:rPr>
      </w:pPr>
      <w:r w:rsidRPr="00CF05D4">
        <w:rPr>
          <w:sz w:val="20"/>
          <w:szCs w:val="20"/>
          <w:lang w:val="fr-CA"/>
        </w:rPr>
        <w:pict>
          <v:rect id="_x0000_i1043"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46292" w:rsidRPr="00746292" w:rsidTr="00746292">
        <w:tc>
          <w:tcPr>
            <w:tcW w:w="1458" w:type="dxa"/>
          </w:tcPr>
          <w:p w:rsidR="00746292" w:rsidRPr="00746292" w:rsidRDefault="00746292" w:rsidP="00746292">
            <w:pPr>
              <w:rPr>
                <w:sz w:val="20"/>
                <w:szCs w:val="20"/>
              </w:rPr>
            </w:pPr>
            <w:r w:rsidRPr="00746292">
              <w:rPr>
                <w:rStyle w:val="SCCFileNumberChar"/>
                <w:sz w:val="20"/>
                <w:szCs w:val="20"/>
              </w:rPr>
              <w:t>33888</w:t>
            </w:r>
          </w:p>
          <w:p w:rsidR="00746292" w:rsidRPr="00746292" w:rsidRDefault="00746292" w:rsidP="00746292">
            <w:pPr>
              <w:rPr>
                <w:b/>
                <w:sz w:val="20"/>
                <w:szCs w:val="20"/>
                <w:lang w:val="fr-CA"/>
              </w:rPr>
            </w:pPr>
          </w:p>
        </w:tc>
        <w:tc>
          <w:tcPr>
            <w:tcW w:w="8118" w:type="dxa"/>
          </w:tcPr>
          <w:p w:rsidR="00746292" w:rsidRPr="00746292" w:rsidRDefault="00746292" w:rsidP="00746292">
            <w:pPr>
              <w:jc w:val="both"/>
              <w:rPr>
                <w:sz w:val="20"/>
                <w:szCs w:val="20"/>
              </w:rPr>
            </w:pPr>
            <w:r w:rsidRPr="00746292">
              <w:rPr>
                <w:rStyle w:val="SCCLsocChar"/>
                <w:sz w:val="20"/>
                <w:szCs w:val="20"/>
                <w:lang w:val="en-CA"/>
              </w:rPr>
              <w:t xml:space="preserve">Province of Alberta as represented by the Minister of Education; Province of British Columbia as represented by the Minister of Education; Province of Manitoba as represented by the Minister of Education, Citizenship and Youth; Province of New Brunswick as represented by the Minister of Education; Province of Newfoundland and Labrador as represented by the Minister of Education; Northwest Territories as represented by the Minister of Education, Culture and Employment; Province of Nova Scotia as represented by the Minister of Education; Territory of Nunavut as represented by the Minister of Education; Province of Ontario as represented by the Minister of Education; Province of Prince Edward Island as represented by the Minister of Education; Province of Saskatchewan as represented by the Minister of Education; Yukon Territory as represented by the Minister of Education; Airy and Sabine District School Area Board; Algoma District School Board;, Algonquin and Lakeshore Catholic District School Board; Asquith-Garvey District School Board; Atikokan Roman Catholic Separate School Board; Avon Maitland District School Board; Bloorview MacMillan School Authority; Bluewater District School Board; Brant Haldimand Norfolk Catholic District School Board; Bruce-Grey Catholic District School Board; Campbell Children's School Authority; Caramat District School Area Board; Catholic District School Board of Eastern Ontario; Collins District School Area Board; Connell and Ponsford District School Area Board; Conseil des écoles catholiques du Centre-Est de l'Ontario; Conseil des écoles publiques de l'Est de l'Ontario; Conseil des écoles séparées catholiques de Dubreuilville; Conseil des écoles séparées catholiques de Foleyet; Conseil scolaire de district catholique Centre-Sud; Conseil scolaire de district catholique de l'Est Ontarien; Conseil scolaire de district catholique des Aurores Boréales; Conseil scolaire de district catholique des Grandes Rivières; Conseil scolaire de district catholique du Nouvel-Ontario; Conseil scolaire de district catholique Franco-Nord; Conseil scolaire de district des écoles catholiques de Sud-Ouest; Conseil scolaire de district du Centre Sud-Ouest; Conseil scolaire de district du Grand Nord de l'Ontario; Conseil scolaire de district du Nord-Est de l'Ontario; District School Board of Niagara; District School Board Ontario North East; Dufferin-Peel Catholic District School Board; Durham Catholic District School Board; Durham District School Board; Foleyet District School Area Board; Gogama District School Area Board; Gogama Roman Catholic Separate School Board; Grand Erie District School Board; Greater Essex County District School Board; Halton Catholic District School Board; Halton District School Board;  Hamilton-Wentworth Catholic District School Board; Hamilton-Wentworth District School Board; Hastings &amp; Prince Edward District School Board;, Hornepayne Roman Catholic Separate School Board; Huron Perth Catholic District School Board; Huron-Superior Catholic District School Board; James Bay Lowlands Secondary School Board; Kawartha Pine Ridge District School Board; Keewatin-Patricia District School Board; Kenora Catholic District School Board; Lakehead District School Board; Lambton Kent District School Board; Limestone District School Board; Missarenda District School Area Board; Moose Factory Island District School Area Board; Moosonee District School Area Board; Moosonee Roman Catholic Separate School Board; Murchison and Lyell District School Area Board; Nakina District School Area Board; Near North District School Board; Niagara Catholic District School Board; Niagara Peninsula Children's Centre School Authority; Nipissing-Parry Sound Catholic District School Board; Northeastern Catholic District School Board; Northern District School Area Board; Northwest Catholic District School Board; Ottawa Children's Treatment Centre School Authority; Ottawa-Carleton Catholic District School Board; Ottawa-Carleton District School Board; Parry Sound Roman Catholic Separate School Board; Peel District School Board; Peterborough Victoria Northumberland and Clarington Catholic District School Board; Rainbow District School Board; Rainy River </w:t>
            </w:r>
            <w:r w:rsidRPr="00746292">
              <w:rPr>
                <w:rStyle w:val="SCCLsocChar"/>
                <w:sz w:val="20"/>
                <w:szCs w:val="20"/>
                <w:lang w:val="en-CA"/>
              </w:rPr>
              <w:lastRenderedPageBreak/>
              <w:t>District School Board; Red Lake Area Combined Roman Catholic Separate School Board; Renfrew County Catholic District School Board; Renfrew County District School Board; Simcoe County District School Board; Simcoe Muskoka Catholic District School Board; St Clair Catholic District School Board; Sudbury Catholic District School Board; Superior North Catholic District School Board; Superior-Greenstone District School Board; Thames Valley District School Board; Thunder Bay Catholic District School Board; Toronto Catholic District School Board; Toronto District School Board; Trillium Lakelands District School Board; Upper Canada District School Board; Upper Grand District School Board; Upsala District School Area Board; Waterloo Catholic District School Board; Waterloo Region District School Board; Wellington Catholic District School Board; Windsor-Essex Catholic District School Board; York Catholic District School Board and York Region District School Board v. Canadian Copyright Licensing Agency Operating as "Access Copyright"</w:t>
            </w:r>
            <w:r w:rsidRPr="00746292">
              <w:rPr>
                <w:sz w:val="20"/>
                <w:szCs w:val="20"/>
              </w:rPr>
              <w:t xml:space="preserve"> (F</w:t>
            </w:r>
            <w:r w:rsidR="00262621">
              <w:rPr>
                <w:sz w:val="20"/>
                <w:szCs w:val="20"/>
              </w:rPr>
              <w:t>.</w:t>
            </w:r>
            <w:r w:rsidRPr="00746292">
              <w:rPr>
                <w:sz w:val="20"/>
                <w:szCs w:val="20"/>
              </w:rPr>
              <w:t>C</w:t>
            </w:r>
            <w:r w:rsidR="00262621">
              <w:rPr>
                <w:sz w:val="20"/>
                <w:szCs w:val="20"/>
              </w:rPr>
              <w:t>.</w:t>
            </w:r>
            <w:r w:rsidRPr="00746292">
              <w:rPr>
                <w:sz w:val="20"/>
                <w:szCs w:val="20"/>
              </w:rPr>
              <w:t>) (Civil) (By Leave)</w:t>
            </w:r>
          </w:p>
          <w:p w:rsidR="00746292" w:rsidRPr="00746292" w:rsidRDefault="00746292" w:rsidP="00746292">
            <w:pPr>
              <w:rPr>
                <w:sz w:val="20"/>
                <w:szCs w:val="20"/>
              </w:rPr>
            </w:pPr>
          </w:p>
        </w:tc>
      </w:tr>
      <w:tr w:rsidR="00746292" w:rsidRPr="00746292" w:rsidTr="00746292">
        <w:tc>
          <w:tcPr>
            <w:tcW w:w="1458" w:type="dxa"/>
          </w:tcPr>
          <w:p w:rsidR="00746292" w:rsidRPr="00746292" w:rsidRDefault="00746292" w:rsidP="00746292">
            <w:pPr>
              <w:rPr>
                <w:sz w:val="20"/>
                <w:szCs w:val="20"/>
              </w:rPr>
            </w:pPr>
            <w:r w:rsidRPr="00746292">
              <w:rPr>
                <w:sz w:val="20"/>
                <w:szCs w:val="20"/>
              </w:rPr>
              <w:lastRenderedPageBreak/>
              <w:t>Coram :</w:t>
            </w:r>
          </w:p>
        </w:tc>
        <w:tc>
          <w:tcPr>
            <w:tcW w:w="8118" w:type="dxa"/>
          </w:tcPr>
          <w:p w:rsidR="00746292" w:rsidRPr="00746292" w:rsidRDefault="00746292" w:rsidP="00746292">
            <w:pPr>
              <w:rPr>
                <w:sz w:val="20"/>
                <w:szCs w:val="20"/>
              </w:rPr>
            </w:pPr>
            <w:r w:rsidRPr="00746292">
              <w:rPr>
                <w:rStyle w:val="SCCCoramChar"/>
                <w:sz w:val="20"/>
                <w:szCs w:val="20"/>
                <w:lang w:val="en-CA"/>
              </w:rPr>
              <w:t>McLachlin C.J. and Abella and Cromwell JJ.</w:t>
            </w:r>
          </w:p>
          <w:p w:rsidR="00746292" w:rsidRPr="00746292" w:rsidRDefault="00746292" w:rsidP="00746292">
            <w:pPr>
              <w:rPr>
                <w:sz w:val="20"/>
                <w:szCs w:val="20"/>
                <w:u w:val="single"/>
              </w:rPr>
            </w:pPr>
          </w:p>
        </w:tc>
      </w:tr>
      <w:tr w:rsidR="00746292" w:rsidRPr="00E62A55" w:rsidTr="00746292">
        <w:tc>
          <w:tcPr>
            <w:tcW w:w="9576" w:type="dxa"/>
            <w:gridSpan w:val="2"/>
          </w:tcPr>
          <w:p w:rsidR="00746292" w:rsidRPr="00746292" w:rsidRDefault="00746292" w:rsidP="00746292">
            <w:pPr>
              <w:pStyle w:val="SCCShortJudgment"/>
              <w:rPr>
                <w:szCs w:val="20"/>
              </w:rPr>
            </w:pPr>
            <w:r w:rsidRPr="00746292">
              <w:rPr>
                <w:szCs w:val="20"/>
              </w:rPr>
              <w:t>The application for leave to appeal from the judgment of the Federal Court of Appeal, Number A-302-09, 2010 FCA 198, dated July 23, 2010, is granted with costs in the cause.</w:t>
            </w:r>
          </w:p>
          <w:p w:rsidR="00746292" w:rsidRPr="00746292" w:rsidRDefault="00746292" w:rsidP="00746292">
            <w:pPr>
              <w:pStyle w:val="SCCShortJudgment"/>
              <w:ind w:firstLine="0"/>
              <w:rPr>
                <w:szCs w:val="20"/>
              </w:rPr>
            </w:pPr>
          </w:p>
          <w:p w:rsidR="00746292" w:rsidRPr="0068140C" w:rsidRDefault="00746292" w:rsidP="00746292">
            <w:pPr>
              <w:pStyle w:val="SCCShortJudgment"/>
              <w:rPr>
                <w:szCs w:val="20"/>
                <w:lang w:val="fr-CA"/>
              </w:rPr>
            </w:pPr>
            <w:r w:rsidRPr="0068140C">
              <w:rPr>
                <w:szCs w:val="20"/>
                <w:lang w:val="fr-CA"/>
              </w:rPr>
              <w:t>La demande d’autorisation d’appel de l’arrêt de la Cour d’appel fédérale, numéro A-302-09, 2010 CAF 198, daté du 23 juillet 2010, est accordée avec dépens suivant l’issue de la cause.</w:t>
            </w:r>
          </w:p>
        </w:tc>
      </w:tr>
    </w:tbl>
    <w:p w:rsidR="00D03C96" w:rsidRPr="0068140C" w:rsidRDefault="00D03C96"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03C96" w:rsidRPr="00723BA8" w:rsidTr="002B7BFF">
        <w:tc>
          <w:tcPr>
            <w:tcW w:w="5000" w:type="pct"/>
            <w:gridSpan w:val="3"/>
          </w:tcPr>
          <w:p w:rsidR="00D03C96" w:rsidRPr="00723BA8" w:rsidRDefault="00D03C96" w:rsidP="002B7BFF">
            <w:pPr>
              <w:jc w:val="both"/>
              <w:rPr>
                <w:rFonts w:eastAsia="Calibri"/>
                <w:sz w:val="20"/>
              </w:rPr>
            </w:pPr>
            <w:r w:rsidRPr="00723BA8">
              <w:rPr>
                <w:rFonts w:eastAsia="Calibri"/>
                <w:sz w:val="20"/>
              </w:rPr>
              <w:t xml:space="preserve">Intellectual property — Copyright — Fair dealing — Copyright Board approving tariff that included as remunerable use the photocopying of excerpts primarily from textbooks for use in classroom instruction for students in kindergarten to grade 12 — Whether such copying constitutes fair dealing — Whether the Federal Court of Appeal erred in upholding the Board’s finding that it is the copier’s purpose, and not the user’s purpose, that is the relevant consideration for fair dealing — Whether the Federal Court of Appeal erred in upholding the Board’s decision to look at copying in aggregate, and not individually, in determining fairness — Whether the Federal Court of Appeal erred by not applying the “not restrictive” interpretation that fair dealing warrants under the decision of this Court in </w:t>
            </w:r>
            <w:r w:rsidRPr="00723BA8">
              <w:rPr>
                <w:rFonts w:eastAsia="Calibri"/>
                <w:i/>
                <w:sz w:val="20"/>
              </w:rPr>
              <w:t>CCH v. Law Society of Upper Canada</w:t>
            </w:r>
            <w:r w:rsidRPr="00723BA8">
              <w:rPr>
                <w:rFonts w:eastAsia="Calibri"/>
                <w:sz w:val="20"/>
              </w:rPr>
              <w:t xml:space="preserve">, [2004] 1 S.C.R. 339 — Whether the Federal Court of Appeal erred in applying the standard of reasonableness, and not correctness, in its judicial review — Is there an inconsistency between the Federal Court of Appeal decision in the present case and in </w:t>
            </w:r>
            <w:r w:rsidRPr="00723BA8">
              <w:rPr>
                <w:rFonts w:eastAsia="Calibri"/>
                <w:i/>
                <w:sz w:val="20"/>
              </w:rPr>
              <w:t>Society of Composers, Authors and Music Publishers of Canada v. Bell Canada</w:t>
            </w:r>
            <w:r w:rsidRPr="00723BA8">
              <w:rPr>
                <w:rFonts w:eastAsia="Calibri"/>
                <w:sz w:val="20"/>
              </w:rPr>
              <w:t xml:space="preserve">, 2010 FCA 123, [2010] F.C.J. No. 570 — Sections 29, 29.1 and 29.4 of the </w:t>
            </w:r>
            <w:r w:rsidRPr="00723BA8">
              <w:rPr>
                <w:rFonts w:eastAsia="Calibri"/>
                <w:i/>
                <w:sz w:val="20"/>
              </w:rPr>
              <w:t>Copyright Act</w:t>
            </w:r>
            <w:r w:rsidRPr="00723BA8">
              <w:rPr>
                <w:rFonts w:eastAsia="Calibri"/>
                <w:sz w:val="20"/>
              </w:rPr>
              <w:t>, R.S.C. 1985, c. C</w:t>
            </w:r>
            <w:r w:rsidRPr="00723BA8">
              <w:rPr>
                <w:rFonts w:eastAsia="Calibri"/>
                <w:sz w:val="20"/>
              </w:rPr>
              <w:noBreakHyphen/>
              <w:t>42 (the “</w:t>
            </w:r>
            <w:r w:rsidRPr="00723BA8">
              <w:rPr>
                <w:rFonts w:eastAsia="Calibri"/>
                <w:i/>
                <w:sz w:val="20"/>
              </w:rPr>
              <w:t>Act</w:t>
            </w:r>
            <w:r w:rsidRPr="00723BA8">
              <w:rPr>
                <w:rFonts w:eastAsia="Calibri"/>
                <w:sz w:val="20"/>
              </w:rPr>
              <w:t>”).</w:t>
            </w:r>
          </w:p>
          <w:p w:rsidR="00D03C96" w:rsidRPr="00723BA8" w:rsidRDefault="00D03C96" w:rsidP="002B7BFF">
            <w:pPr>
              <w:jc w:val="both"/>
              <w:rPr>
                <w:rFonts w:eastAsia="Calibri"/>
                <w:sz w:val="20"/>
              </w:rPr>
            </w:pPr>
          </w:p>
        </w:tc>
      </w:tr>
      <w:tr w:rsidR="00D03C96" w:rsidRPr="00723BA8" w:rsidTr="002B7BFF">
        <w:tc>
          <w:tcPr>
            <w:tcW w:w="5000" w:type="pct"/>
            <w:gridSpan w:val="3"/>
          </w:tcPr>
          <w:p w:rsidR="00D03C96" w:rsidRPr="00723BA8" w:rsidRDefault="00D03C96" w:rsidP="002B7BFF">
            <w:pPr>
              <w:jc w:val="both"/>
              <w:rPr>
                <w:rFonts w:eastAsia="Calibri"/>
                <w:sz w:val="20"/>
              </w:rPr>
            </w:pPr>
            <w:r w:rsidRPr="00723BA8">
              <w:rPr>
                <w:rFonts w:eastAsia="Calibri"/>
                <w:sz w:val="20"/>
              </w:rPr>
              <w:t xml:space="preserve">At the respondent’s request, the Copyright Board of Canada certified a tariff that applied to the reproduction of literary, dramatic and artistic works included in books, newspapers and magazines for use in primary and secondary level educational institutions in Canada, outside Quebec.  The Board determined that royalties were payable with respect to some of the photocopies made in schools because they did not constitute fair dealing or come under the exception under s. 29.4 of the </w:t>
            </w:r>
            <w:r w:rsidRPr="00723BA8">
              <w:rPr>
                <w:rFonts w:eastAsia="Calibri"/>
                <w:i/>
                <w:sz w:val="20"/>
              </w:rPr>
              <w:t>Act</w:t>
            </w:r>
            <w:r w:rsidRPr="00723BA8">
              <w:rPr>
                <w:rFonts w:eastAsia="Calibri"/>
                <w:sz w:val="20"/>
              </w:rPr>
              <w:t xml:space="preserve">.  The applicants applied for judicial review of the Board’s decision.  The main issues became whether: i) “multiple copies made for the use of the person making the copies and single or multiple copies made for third parties without their request for the purpose of private study and/or research and/or criticism and/or review” (“category 4 copies”) constituted fair dealing under sections 29 and 29.1 of the </w:t>
            </w:r>
            <w:r w:rsidRPr="00723BA8">
              <w:rPr>
                <w:rFonts w:eastAsia="Calibri"/>
                <w:i/>
                <w:sz w:val="20"/>
              </w:rPr>
              <w:t xml:space="preserve"> Act</w:t>
            </w:r>
            <w:r w:rsidRPr="00723BA8">
              <w:rPr>
                <w:rFonts w:eastAsia="Calibri"/>
                <w:sz w:val="20"/>
              </w:rPr>
              <w:t xml:space="preserve">; and ii) whether the copying was exempt under s. 29.4 of the </w:t>
            </w:r>
            <w:r w:rsidRPr="00723BA8">
              <w:rPr>
                <w:rFonts w:eastAsia="Calibri"/>
                <w:i/>
                <w:sz w:val="20"/>
              </w:rPr>
              <w:t>A</w:t>
            </w:r>
            <w:r w:rsidRPr="00723BA8">
              <w:rPr>
                <w:rFonts w:eastAsia="Calibri"/>
                <w:sz w:val="20"/>
              </w:rPr>
              <w:t>ct as a “work or other subject</w:t>
            </w:r>
            <w:r w:rsidRPr="00723BA8">
              <w:rPr>
                <w:rFonts w:eastAsia="Calibri"/>
                <w:sz w:val="20"/>
              </w:rPr>
              <w:noBreakHyphen/>
              <w:t>matter as required for a test or examination” where the work is not “commercially available in a medium that is appropriate for the purpose”.</w:t>
            </w:r>
          </w:p>
          <w:p w:rsidR="00D03C96" w:rsidRPr="00723BA8" w:rsidRDefault="00D03C96" w:rsidP="002B7BFF">
            <w:pPr>
              <w:jc w:val="both"/>
              <w:rPr>
                <w:rFonts w:eastAsia="Calibri"/>
                <w:sz w:val="20"/>
              </w:rPr>
            </w:pPr>
          </w:p>
          <w:p w:rsidR="00D03C96" w:rsidRPr="00723BA8" w:rsidRDefault="00D03C96" w:rsidP="0068140C">
            <w:pPr>
              <w:jc w:val="both"/>
              <w:rPr>
                <w:rFonts w:eastAsia="Calibri"/>
                <w:sz w:val="20"/>
              </w:rPr>
            </w:pPr>
            <w:r w:rsidRPr="00723BA8">
              <w:rPr>
                <w:rFonts w:eastAsia="Calibri"/>
                <w:sz w:val="20"/>
              </w:rPr>
              <w:t xml:space="preserve">The Federal Court of Appeal upheld the Board’s ruling that the category 4 copies were unfair dealing. This was a question of fact for which there had been no reviewable error.  However, the appellate court allowed the application for judicial review on the basis that the Board had failed to address an important part of the test under s. 29.4 of the </w:t>
            </w:r>
            <w:r w:rsidRPr="00723BA8">
              <w:rPr>
                <w:rFonts w:eastAsia="Calibri"/>
                <w:i/>
                <w:sz w:val="20"/>
              </w:rPr>
              <w:t>Act</w:t>
            </w:r>
            <w:r w:rsidRPr="00723BA8">
              <w:rPr>
                <w:rFonts w:eastAsia="Calibri"/>
                <w:sz w:val="20"/>
              </w:rPr>
              <w:t>.</w:t>
            </w:r>
            <w:r w:rsidR="0068140C" w:rsidRPr="00723BA8">
              <w:rPr>
                <w:rFonts w:eastAsia="Calibri"/>
                <w:sz w:val="20"/>
              </w:rPr>
              <w:t xml:space="preserve"> </w:t>
            </w:r>
          </w:p>
        </w:tc>
      </w:tr>
      <w:tr w:rsidR="00D03C96" w:rsidRPr="00723BA8" w:rsidTr="002B7BFF">
        <w:tc>
          <w:tcPr>
            <w:tcW w:w="2427" w:type="pct"/>
          </w:tcPr>
          <w:p w:rsidR="00D03C96" w:rsidRPr="00723BA8" w:rsidRDefault="00D03C96" w:rsidP="002B7BFF">
            <w:pPr>
              <w:jc w:val="both"/>
              <w:rPr>
                <w:rFonts w:eastAsia="Calibri"/>
                <w:sz w:val="20"/>
              </w:rPr>
            </w:pPr>
            <w:r w:rsidRPr="00723BA8">
              <w:rPr>
                <w:rFonts w:eastAsia="Calibri"/>
                <w:sz w:val="20"/>
              </w:rPr>
              <w:lastRenderedPageBreak/>
              <w:t>June 26, 2009 and July 17, 2009</w:t>
            </w:r>
          </w:p>
          <w:p w:rsidR="00D03C96" w:rsidRPr="00723BA8" w:rsidRDefault="00D03C96" w:rsidP="002B7BFF">
            <w:pPr>
              <w:jc w:val="both"/>
              <w:rPr>
                <w:rFonts w:eastAsia="Calibri"/>
                <w:sz w:val="20"/>
              </w:rPr>
            </w:pPr>
            <w:r w:rsidRPr="00723BA8">
              <w:rPr>
                <w:rFonts w:eastAsia="Calibri"/>
                <w:sz w:val="20"/>
              </w:rPr>
              <w:t>Copyright Board Canada</w:t>
            </w:r>
          </w:p>
          <w:p w:rsidR="00D03C96" w:rsidRPr="00723BA8" w:rsidRDefault="00D03C96" w:rsidP="002B7BFF">
            <w:pPr>
              <w:jc w:val="both"/>
              <w:rPr>
                <w:rFonts w:eastAsia="Calibri"/>
                <w:sz w:val="20"/>
              </w:rPr>
            </w:pPr>
            <w:r w:rsidRPr="00723BA8">
              <w:rPr>
                <w:rFonts w:eastAsia="Calibri"/>
                <w:sz w:val="20"/>
              </w:rPr>
              <w:t>(Vancise J., Bertrand</w:t>
            </w:r>
            <w:r w:rsidRPr="00723BA8">
              <w:rPr>
                <w:rFonts w:eastAsia="Calibri"/>
                <w:sz w:val="20"/>
              </w:rPr>
              <w:noBreakHyphen/>
              <w:t>Venne and Charron, Members)</w:t>
            </w:r>
          </w:p>
          <w:p w:rsidR="00D03C96" w:rsidRDefault="00D03C96" w:rsidP="002B7BFF">
            <w:pPr>
              <w:jc w:val="both"/>
              <w:rPr>
                <w:rFonts w:eastAsia="Calibri"/>
                <w:sz w:val="20"/>
              </w:rPr>
            </w:pPr>
            <w:r w:rsidRPr="00723BA8">
              <w:rPr>
                <w:rFonts w:eastAsia="Calibri"/>
                <w:sz w:val="20"/>
              </w:rPr>
              <w:t>[2009] C.B.C. No. 6</w:t>
            </w:r>
          </w:p>
          <w:p w:rsidR="0068140C" w:rsidRPr="00723BA8" w:rsidRDefault="0068140C" w:rsidP="002B7BFF">
            <w:pPr>
              <w:jc w:val="both"/>
              <w:rPr>
                <w:rFonts w:eastAsia="Calibri"/>
                <w:sz w:val="20"/>
              </w:rPr>
            </w:pPr>
          </w:p>
        </w:tc>
        <w:tc>
          <w:tcPr>
            <w:tcW w:w="243" w:type="pct"/>
          </w:tcPr>
          <w:p w:rsidR="00D03C96" w:rsidRPr="00723BA8" w:rsidRDefault="00D03C96" w:rsidP="002B7BFF">
            <w:pPr>
              <w:jc w:val="both"/>
              <w:rPr>
                <w:rFonts w:eastAsia="Calibri"/>
                <w:sz w:val="20"/>
              </w:rPr>
            </w:pPr>
          </w:p>
        </w:tc>
        <w:tc>
          <w:tcPr>
            <w:tcW w:w="2330" w:type="pct"/>
          </w:tcPr>
          <w:p w:rsidR="00D03C96" w:rsidRPr="00723BA8" w:rsidRDefault="00D03C96" w:rsidP="002B7BFF">
            <w:pPr>
              <w:jc w:val="both"/>
              <w:rPr>
                <w:rFonts w:eastAsia="Calibri"/>
                <w:sz w:val="20"/>
              </w:rPr>
            </w:pPr>
            <w:r w:rsidRPr="00723BA8">
              <w:rPr>
                <w:rFonts w:eastAsia="Calibri"/>
                <w:sz w:val="20"/>
              </w:rPr>
              <w:t xml:space="preserve">Tariff approved; Board found that category 4 copies were not  fair dealing and were not exempt under s. 29.4 of the </w:t>
            </w:r>
            <w:r w:rsidRPr="00723BA8">
              <w:rPr>
                <w:rFonts w:eastAsia="Calibri"/>
                <w:i/>
                <w:sz w:val="20"/>
              </w:rPr>
              <w:t>Act</w:t>
            </w:r>
          </w:p>
          <w:p w:rsidR="00D03C96" w:rsidRPr="00723BA8" w:rsidRDefault="00D03C96" w:rsidP="002B7BFF">
            <w:pPr>
              <w:jc w:val="both"/>
              <w:rPr>
                <w:rFonts w:eastAsia="Calibri"/>
                <w:sz w:val="20"/>
              </w:rPr>
            </w:pPr>
          </w:p>
        </w:tc>
      </w:tr>
      <w:tr w:rsidR="00D03C96" w:rsidRPr="00723BA8" w:rsidTr="002B7BFF">
        <w:tc>
          <w:tcPr>
            <w:tcW w:w="2427" w:type="pct"/>
          </w:tcPr>
          <w:p w:rsidR="00D03C96" w:rsidRPr="00723BA8" w:rsidRDefault="00D03C96" w:rsidP="002B7BFF">
            <w:pPr>
              <w:jc w:val="both"/>
              <w:rPr>
                <w:rFonts w:eastAsia="Calibri"/>
                <w:sz w:val="20"/>
              </w:rPr>
            </w:pPr>
            <w:r w:rsidRPr="00723BA8">
              <w:rPr>
                <w:rFonts w:eastAsia="Calibri"/>
                <w:sz w:val="20"/>
              </w:rPr>
              <w:t>July 23, 2010</w:t>
            </w:r>
          </w:p>
          <w:p w:rsidR="00D03C96" w:rsidRPr="00723BA8" w:rsidRDefault="00D03C96" w:rsidP="002B7BFF">
            <w:pPr>
              <w:jc w:val="both"/>
              <w:rPr>
                <w:rFonts w:eastAsia="Calibri"/>
                <w:sz w:val="20"/>
              </w:rPr>
            </w:pPr>
            <w:r w:rsidRPr="00723BA8">
              <w:rPr>
                <w:rFonts w:eastAsia="Calibri"/>
                <w:sz w:val="20"/>
              </w:rPr>
              <w:t>Federal Court of Appeal</w:t>
            </w:r>
          </w:p>
          <w:p w:rsidR="00D03C96" w:rsidRPr="00723BA8" w:rsidRDefault="00D03C96" w:rsidP="002B7BFF">
            <w:pPr>
              <w:jc w:val="both"/>
              <w:rPr>
                <w:rFonts w:eastAsia="Calibri"/>
                <w:sz w:val="20"/>
              </w:rPr>
            </w:pPr>
            <w:r w:rsidRPr="00723BA8">
              <w:rPr>
                <w:rFonts w:eastAsia="Calibri"/>
                <w:sz w:val="20"/>
              </w:rPr>
              <w:t>(Blais C.J., Noël and Trudel JJ.A.)</w:t>
            </w:r>
          </w:p>
          <w:p w:rsidR="00D03C96" w:rsidRPr="00723BA8" w:rsidRDefault="00D03C96" w:rsidP="002B7BFF">
            <w:pPr>
              <w:jc w:val="both"/>
              <w:rPr>
                <w:rFonts w:eastAsia="Calibri"/>
                <w:sz w:val="20"/>
              </w:rPr>
            </w:pPr>
            <w:r w:rsidRPr="00723BA8">
              <w:rPr>
                <w:rFonts w:eastAsia="Calibri"/>
                <w:sz w:val="20"/>
              </w:rPr>
              <w:t>2010 FCA 198; A</w:t>
            </w:r>
            <w:r w:rsidRPr="00723BA8">
              <w:rPr>
                <w:rFonts w:eastAsia="Calibri"/>
                <w:sz w:val="20"/>
              </w:rPr>
              <w:noBreakHyphen/>
              <w:t>302</w:t>
            </w:r>
            <w:r w:rsidRPr="00723BA8">
              <w:rPr>
                <w:rFonts w:eastAsia="Calibri"/>
                <w:sz w:val="20"/>
              </w:rPr>
              <w:noBreakHyphen/>
              <w:t>09</w:t>
            </w:r>
          </w:p>
        </w:tc>
        <w:tc>
          <w:tcPr>
            <w:tcW w:w="243" w:type="pct"/>
          </w:tcPr>
          <w:p w:rsidR="00D03C96" w:rsidRPr="00723BA8" w:rsidRDefault="00D03C96" w:rsidP="002B7BFF">
            <w:pPr>
              <w:jc w:val="both"/>
              <w:rPr>
                <w:rFonts w:eastAsia="Calibri"/>
                <w:sz w:val="20"/>
              </w:rPr>
            </w:pPr>
          </w:p>
        </w:tc>
        <w:tc>
          <w:tcPr>
            <w:tcW w:w="2330" w:type="pct"/>
          </w:tcPr>
          <w:p w:rsidR="00D03C96" w:rsidRPr="00723BA8" w:rsidRDefault="00D03C96" w:rsidP="002B7BFF">
            <w:pPr>
              <w:jc w:val="both"/>
              <w:rPr>
                <w:rFonts w:eastAsia="Calibri"/>
                <w:sz w:val="20"/>
              </w:rPr>
            </w:pPr>
            <w:r w:rsidRPr="00723BA8">
              <w:rPr>
                <w:rFonts w:eastAsia="Calibri"/>
                <w:sz w:val="20"/>
              </w:rPr>
              <w:t xml:space="preserve">Application for judicial review allowed; matter remitted to Board to determine: i) the meaning of words “in a medium appropriate for the purpose” in s. 29.4(3) of the </w:t>
            </w:r>
            <w:r w:rsidRPr="00723BA8">
              <w:rPr>
                <w:rFonts w:eastAsia="Calibri"/>
                <w:i/>
                <w:sz w:val="20"/>
              </w:rPr>
              <w:t>Act</w:t>
            </w:r>
            <w:r w:rsidRPr="00723BA8">
              <w:rPr>
                <w:rFonts w:eastAsia="Calibri"/>
                <w:sz w:val="20"/>
              </w:rPr>
              <w:t>; and ii) whether category 4 copies came within that meaning</w:t>
            </w:r>
          </w:p>
          <w:p w:rsidR="00D03C96" w:rsidRPr="00723BA8" w:rsidRDefault="00D03C96" w:rsidP="002B7BFF">
            <w:pPr>
              <w:jc w:val="both"/>
              <w:rPr>
                <w:rFonts w:eastAsia="Calibri"/>
                <w:sz w:val="20"/>
              </w:rPr>
            </w:pPr>
          </w:p>
        </w:tc>
      </w:tr>
      <w:tr w:rsidR="00D03C96" w:rsidRPr="00723BA8" w:rsidTr="002B7BFF">
        <w:tc>
          <w:tcPr>
            <w:tcW w:w="2427" w:type="pct"/>
          </w:tcPr>
          <w:p w:rsidR="00D03C96" w:rsidRPr="00723BA8" w:rsidRDefault="00D03C96" w:rsidP="002B7BFF">
            <w:pPr>
              <w:jc w:val="both"/>
              <w:rPr>
                <w:rFonts w:eastAsia="Calibri"/>
                <w:sz w:val="20"/>
              </w:rPr>
            </w:pPr>
            <w:r w:rsidRPr="00723BA8">
              <w:rPr>
                <w:rFonts w:eastAsia="Calibri"/>
                <w:sz w:val="20"/>
              </w:rPr>
              <w:t>September 29, 2010</w:t>
            </w:r>
          </w:p>
          <w:p w:rsidR="00D03C96" w:rsidRPr="00723BA8" w:rsidRDefault="00D03C96" w:rsidP="002B7BFF">
            <w:pPr>
              <w:jc w:val="both"/>
              <w:rPr>
                <w:rFonts w:eastAsia="Calibri"/>
                <w:sz w:val="20"/>
              </w:rPr>
            </w:pPr>
            <w:r w:rsidRPr="00723BA8">
              <w:rPr>
                <w:rFonts w:eastAsia="Calibri"/>
                <w:sz w:val="20"/>
              </w:rPr>
              <w:t>Supreme Court of Canada</w:t>
            </w:r>
          </w:p>
        </w:tc>
        <w:tc>
          <w:tcPr>
            <w:tcW w:w="243" w:type="pct"/>
          </w:tcPr>
          <w:p w:rsidR="00D03C96" w:rsidRPr="00723BA8" w:rsidRDefault="00D03C96" w:rsidP="002B7BFF">
            <w:pPr>
              <w:jc w:val="both"/>
              <w:rPr>
                <w:rFonts w:eastAsia="Calibri"/>
                <w:sz w:val="20"/>
              </w:rPr>
            </w:pPr>
          </w:p>
        </w:tc>
        <w:tc>
          <w:tcPr>
            <w:tcW w:w="2330" w:type="pct"/>
          </w:tcPr>
          <w:p w:rsidR="00D03C96" w:rsidRPr="00723BA8" w:rsidRDefault="00D03C96" w:rsidP="002B7BFF">
            <w:pPr>
              <w:jc w:val="both"/>
              <w:rPr>
                <w:rFonts w:eastAsia="Calibri"/>
                <w:sz w:val="20"/>
              </w:rPr>
            </w:pPr>
            <w:r w:rsidRPr="00723BA8">
              <w:rPr>
                <w:rFonts w:eastAsia="Calibri"/>
                <w:sz w:val="20"/>
              </w:rPr>
              <w:t>Application for leave to appeal filed</w:t>
            </w:r>
          </w:p>
          <w:p w:rsidR="00D03C96" w:rsidRPr="00723BA8" w:rsidRDefault="00D03C96"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4"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D03C96" w:rsidRPr="00723BA8" w:rsidTr="002B7BFF">
        <w:tc>
          <w:tcPr>
            <w:tcW w:w="5000" w:type="pct"/>
            <w:gridSpan w:val="3"/>
          </w:tcPr>
          <w:p w:rsidR="00D03C96" w:rsidRPr="00723BA8" w:rsidRDefault="00D03C96" w:rsidP="002B7BFF">
            <w:pPr>
              <w:jc w:val="both"/>
              <w:rPr>
                <w:rFonts w:eastAsia="Calibri"/>
                <w:sz w:val="20"/>
                <w:lang w:val="fr-CA"/>
              </w:rPr>
            </w:pPr>
            <w:r w:rsidRPr="00723BA8">
              <w:rPr>
                <w:rFonts w:eastAsia="Calibri"/>
                <w:sz w:val="20"/>
                <w:lang w:val="fr-CA"/>
              </w:rPr>
              <w:t xml:space="preserve">Propriété intellectuelle — Droit d’auteur — Utilisation équitable — </w:t>
            </w:r>
            <w:r w:rsidRPr="00723BA8">
              <w:rPr>
                <w:rFonts w:eastAsia="Calibri"/>
                <w:sz w:val="20"/>
                <w:lang w:val="fr-FR"/>
              </w:rPr>
              <w:t>Tarif homologué par la Commission du droit d’auteur, qui comprend parmi les utilisations ouvrant droit à rémunération la photocopie d’extraits de manuels scolaires destinés aux élèves de la maternelle à la 12</w:t>
            </w:r>
            <w:r w:rsidRPr="00723BA8">
              <w:rPr>
                <w:rFonts w:eastAsia="Calibri"/>
                <w:sz w:val="20"/>
                <w:vertAlign w:val="superscript"/>
                <w:lang w:val="fr-FR"/>
              </w:rPr>
              <w:t>e</w:t>
            </w:r>
            <w:r w:rsidRPr="00723BA8">
              <w:rPr>
                <w:rFonts w:eastAsia="Calibri"/>
                <w:sz w:val="20"/>
                <w:lang w:val="fr-FR"/>
              </w:rPr>
              <w:t> année</w:t>
            </w:r>
            <w:r w:rsidRPr="00723BA8">
              <w:rPr>
                <w:rFonts w:eastAsia="Calibri"/>
                <w:sz w:val="20"/>
                <w:lang w:val="fr-CA"/>
              </w:rPr>
              <w:t xml:space="preserve"> — Ces photocopies constituent</w:t>
            </w:r>
            <w:r w:rsidRPr="00723BA8">
              <w:rPr>
                <w:rFonts w:eastAsia="Calibri"/>
                <w:sz w:val="20"/>
                <w:lang w:val="fr-CA"/>
              </w:rPr>
              <w:noBreakHyphen/>
              <w:t>elles une utilisation équitable? — La Cour d’appel fédérale a</w:t>
            </w:r>
            <w:r w:rsidRPr="00723BA8">
              <w:rPr>
                <w:rFonts w:eastAsia="Calibri"/>
                <w:sz w:val="20"/>
                <w:lang w:val="fr-CA"/>
              </w:rPr>
              <w:noBreakHyphen/>
              <w:t>t</w:t>
            </w:r>
            <w:r w:rsidRPr="00723BA8">
              <w:rPr>
                <w:rFonts w:eastAsia="Calibri"/>
                <w:sz w:val="20"/>
                <w:lang w:val="fr-CA"/>
              </w:rPr>
              <w:noBreakHyphen/>
              <w:t>elle commis une erreur en confirmant la conclusion de la Commission selon laquelle c’est la fin poursuivie par la personne qui fait la photocopie et non pas la fin poursuivie par l’usager qui est la considération pertinente en matière d’utilisation équitable? — La Cour d’appel fédérale a</w:t>
            </w:r>
            <w:r w:rsidRPr="00723BA8">
              <w:rPr>
                <w:rFonts w:eastAsia="Calibri"/>
                <w:sz w:val="20"/>
                <w:lang w:val="fr-CA"/>
              </w:rPr>
              <w:noBreakHyphen/>
              <w:t>t</w:t>
            </w:r>
            <w:r w:rsidRPr="00723BA8">
              <w:rPr>
                <w:rFonts w:eastAsia="Calibri"/>
                <w:sz w:val="20"/>
                <w:lang w:val="fr-CA"/>
              </w:rPr>
              <w:noBreakHyphen/>
              <w:t>elle commis une erreur, en traitant la question de l’équité, en confirmant la décision de la Commission d’examiner la reproduction dans son ensemble et non pas séparément? — La Cour d’appel fédérale a</w:t>
            </w:r>
            <w:r w:rsidRPr="00723BA8">
              <w:rPr>
                <w:rFonts w:eastAsia="Calibri"/>
                <w:sz w:val="20"/>
                <w:lang w:val="fr-CA"/>
              </w:rPr>
              <w:noBreakHyphen/>
              <w:t>t</w:t>
            </w:r>
            <w:r w:rsidRPr="00723BA8">
              <w:rPr>
                <w:rFonts w:eastAsia="Calibri"/>
                <w:sz w:val="20"/>
                <w:lang w:val="fr-CA"/>
              </w:rPr>
              <w:noBreakHyphen/>
              <w:t xml:space="preserve">elle commis une erreur en n’appliquant pas l’interprétation « large et libérale » qui, selon la décision rendue par la Cour dans l’arrêt </w:t>
            </w:r>
            <w:r w:rsidRPr="00723BA8">
              <w:rPr>
                <w:rFonts w:eastAsia="Calibri"/>
                <w:i/>
                <w:sz w:val="20"/>
                <w:lang w:val="fr-CA"/>
              </w:rPr>
              <w:t>CCH c. Barreau du Haut</w:t>
            </w:r>
            <w:r w:rsidRPr="00723BA8">
              <w:rPr>
                <w:rFonts w:eastAsia="Calibri"/>
                <w:i/>
                <w:sz w:val="20"/>
                <w:lang w:val="fr-CA"/>
              </w:rPr>
              <w:noBreakHyphen/>
              <w:t>Canada</w:t>
            </w:r>
            <w:r w:rsidRPr="00723BA8">
              <w:rPr>
                <w:rFonts w:eastAsia="Calibri"/>
                <w:sz w:val="20"/>
                <w:lang w:val="fr-CA"/>
              </w:rPr>
              <w:t>, [2004] 1 R.C.S. 339, doit être appliquée en matière d’utilisation équitable?— La Cour d’appel fédérale a</w:t>
            </w:r>
            <w:r w:rsidRPr="00723BA8">
              <w:rPr>
                <w:rFonts w:eastAsia="Calibri"/>
                <w:sz w:val="20"/>
                <w:lang w:val="fr-CA"/>
              </w:rPr>
              <w:noBreakHyphen/>
              <w:t>t</w:t>
            </w:r>
            <w:r w:rsidRPr="00723BA8">
              <w:rPr>
                <w:rFonts w:eastAsia="Calibri"/>
                <w:sz w:val="20"/>
                <w:lang w:val="fr-CA"/>
              </w:rPr>
              <w:noBreakHyphen/>
              <w:t>elle commis une erreur en appliquant, dans le cadre de son contrôle judiciaire, la norme de la décision raisonnable et non pas celle de la décision correcte? — Existe</w:t>
            </w:r>
            <w:r w:rsidRPr="00723BA8">
              <w:rPr>
                <w:rFonts w:eastAsia="Calibri"/>
                <w:sz w:val="20"/>
                <w:lang w:val="fr-CA"/>
              </w:rPr>
              <w:noBreakHyphen/>
              <w:t>t</w:t>
            </w:r>
            <w:r w:rsidRPr="00723BA8">
              <w:rPr>
                <w:rFonts w:eastAsia="Calibri"/>
                <w:sz w:val="20"/>
                <w:lang w:val="fr-CA"/>
              </w:rPr>
              <w:noBreakHyphen/>
              <w:t xml:space="preserve">il une incohérence entre la décision de la Cour d’appel fédérale en l’espèce et l’arrêt </w:t>
            </w:r>
            <w:r w:rsidRPr="00723BA8">
              <w:rPr>
                <w:rFonts w:eastAsia="Calibri"/>
                <w:i/>
                <w:sz w:val="20"/>
                <w:lang w:val="fr-CA"/>
              </w:rPr>
              <w:t>Society of Composers, Authors and Music Publishers of Canada c. Bell Canada</w:t>
            </w:r>
            <w:r w:rsidRPr="00723BA8">
              <w:rPr>
                <w:rFonts w:eastAsia="Calibri"/>
                <w:sz w:val="20"/>
                <w:lang w:val="fr-CA"/>
              </w:rPr>
              <w:t>, 2010 CAF 123, [2010] A.C.F. n</w:t>
            </w:r>
            <w:r w:rsidRPr="00723BA8">
              <w:rPr>
                <w:rFonts w:eastAsia="Calibri"/>
                <w:sz w:val="20"/>
                <w:vertAlign w:val="superscript"/>
                <w:lang w:val="fr-CA"/>
              </w:rPr>
              <w:t>o</w:t>
            </w:r>
            <w:r w:rsidRPr="00723BA8">
              <w:rPr>
                <w:rFonts w:eastAsia="Calibri"/>
                <w:sz w:val="20"/>
                <w:lang w:val="fr-CA"/>
              </w:rPr>
              <w:t xml:space="preserve"> 570? — Articles 29, 29.1 et 29.4 de la </w:t>
            </w:r>
            <w:r w:rsidRPr="00723BA8">
              <w:rPr>
                <w:rFonts w:eastAsia="Calibri"/>
                <w:i/>
                <w:sz w:val="20"/>
                <w:lang w:val="fr-CA"/>
              </w:rPr>
              <w:t>Loi sur le droit d’auteur</w:t>
            </w:r>
            <w:r w:rsidRPr="00723BA8">
              <w:rPr>
                <w:rFonts w:eastAsia="Calibri"/>
                <w:sz w:val="20"/>
                <w:lang w:val="fr-CA"/>
              </w:rPr>
              <w:t>, L.R.C. 1985, ch. C</w:t>
            </w:r>
            <w:r w:rsidRPr="00723BA8">
              <w:rPr>
                <w:rFonts w:eastAsia="Calibri"/>
                <w:sz w:val="20"/>
                <w:lang w:val="fr-CA"/>
              </w:rPr>
              <w:noBreakHyphen/>
              <w:t>42 (la Loi).</w:t>
            </w:r>
          </w:p>
          <w:p w:rsidR="00D03C96" w:rsidRPr="00723BA8" w:rsidRDefault="00D03C96" w:rsidP="002B7BFF">
            <w:pPr>
              <w:jc w:val="both"/>
              <w:rPr>
                <w:rFonts w:eastAsia="Calibri"/>
                <w:sz w:val="20"/>
                <w:lang w:val="fr-CA"/>
              </w:rPr>
            </w:pPr>
          </w:p>
        </w:tc>
      </w:tr>
      <w:tr w:rsidR="00D03C96" w:rsidRPr="00E62A55" w:rsidTr="002B7BFF">
        <w:tc>
          <w:tcPr>
            <w:tcW w:w="5000" w:type="pct"/>
            <w:gridSpan w:val="3"/>
          </w:tcPr>
          <w:p w:rsidR="00D03C96" w:rsidRPr="00723BA8" w:rsidRDefault="00D03C96" w:rsidP="002B7BFF">
            <w:pPr>
              <w:jc w:val="both"/>
              <w:rPr>
                <w:sz w:val="20"/>
                <w:lang w:val="fr-FR" w:eastAsia="fr-CA"/>
              </w:rPr>
            </w:pPr>
            <w:r w:rsidRPr="00723BA8">
              <w:rPr>
                <w:rFonts w:eastAsia="Calibri"/>
                <w:sz w:val="20"/>
                <w:lang w:val="fr-CA"/>
              </w:rPr>
              <w:t xml:space="preserve">À la demande des requérants, la </w:t>
            </w:r>
            <w:r w:rsidRPr="00723BA8">
              <w:rPr>
                <w:rFonts w:eastAsia="Calibri"/>
                <w:color w:val="000000"/>
                <w:sz w:val="20"/>
                <w:lang w:val="fr-CA"/>
              </w:rPr>
              <w:t>Commission du droit d'auteur du Canada</w:t>
            </w:r>
            <w:r w:rsidRPr="00723BA8">
              <w:rPr>
                <w:rFonts w:eastAsia="Calibri"/>
                <w:sz w:val="20"/>
                <w:lang w:val="fr-CA"/>
              </w:rPr>
              <w:t xml:space="preserve"> a homologué un tarif de redevance qui s’appliquait à la reproduction d’œuvres littéraires et artistiques comprises dans des livres, des journaux et des revues destinés à être utilisées dans des institutions d’enseignement primaires et secondaires au Canada, sauf au Québec.  La Commission a conclu que des tarifs étaient payables relativement à certaines photocopies faites dans les écoles parce qu’elles ne constituaient pas une utilisation équitable et qu’elles n’étaient pas visées par l’exception prévue à l’article 29.4 de la Loi.  Les requérants ont demandé le contrôle judiciaire de la décision de la Commission.  Les questions en litige étaient les suivantes : i) Des « </w:t>
            </w:r>
            <w:r w:rsidRPr="00723BA8">
              <w:rPr>
                <w:rFonts w:eastAsia="Calibri"/>
                <w:sz w:val="20"/>
                <w:lang w:val="fr-FR"/>
              </w:rPr>
              <w:t>copies multiples faites pour l’usage du copiste et copies uniques ou multiples faites pour un tiers sans sa demande aux fins d’étude privée et/ou de recherche et/ou de critique et/ou de compte rendu »</w:t>
            </w:r>
            <w:r w:rsidRPr="00723BA8">
              <w:rPr>
                <w:rFonts w:eastAsia="Calibri"/>
                <w:sz w:val="20"/>
                <w:lang w:val="fr-CA"/>
              </w:rPr>
              <w:t xml:space="preserve"> (« photocopies appartenant à la catégorie 4 ») constituaient</w:t>
            </w:r>
            <w:r w:rsidRPr="00723BA8">
              <w:rPr>
                <w:rFonts w:eastAsia="Calibri"/>
                <w:sz w:val="20"/>
                <w:lang w:val="fr-CA"/>
              </w:rPr>
              <w:noBreakHyphen/>
              <w:t>elles une utilisation équitable au sens des articles 29 et 29.1 de la Loi; ii) Les copies étaient</w:t>
            </w:r>
            <w:r w:rsidRPr="00723BA8">
              <w:rPr>
                <w:rFonts w:eastAsia="Calibri"/>
                <w:sz w:val="20"/>
                <w:lang w:val="fr-CA"/>
              </w:rPr>
              <w:noBreakHyphen/>
              <w:t>elles visées par l’exemption prévue à l’article 29.4 de la Loi à titre «</w:t>
            </w:r>
            <w:r w:rsidRPr="00723BA8">
              <w:rPr>
                <w:sz w:val="20"/>
                <w:lang w:val="fr-FR" w:eastAsia="fr-CA"/>
              </w:rPr>
              <w:t xml:space="preserve"> d’une œuvre ou de tout autre objet du droit d’auteur </w:t>
            </w:r>
            <w:r w:rsidRPr="00723BA8">
              <w:rPr>
                <w:color w:val="000000"/>
                <w:sz w:val="20"/>
                <w:lang w:val="fr-FR" w:eastAsia="fr-CA"/>
              </w:rPr>
              <w:t>dans le cadre d’un examen ou d’un contrôle »</w:t>
            </w:r>
            <w:r w:rsidRPr="00723BA8">
              <w:rPr>
                <w:sz w:val="20"/>
                <w:lang w:val="fr-FR" w:eastAsia="fr-CA"/>
              </w:rPr>
              <w:t xml:space="preserve"> lorsque l’œuvre </w:t>
            </w:r>
            <w:r w:rsidRPr="00723BA8">
              <w:rPr>
                <w:color w:val="000000"/>
                <w:sz w:val="20"/>
                <w:lang w:val="fr-FR" w:eastAsia="fr-CA"/>
              </w:rPr>
              <w:t>ou l’autre objet du droit d’auteur ne sont pas « accessibles sur le marché et sont sur un support approprié aux fins visées ».</w:t>
            </w:r>
          </w:p>
          <w:p w:rsidR="00D03C96" w:rsidRPr="00723BA8" w:rsidRDefault="00D03C96" w:rsidP="002B7BFF">
            <w:pPr>
              <w:jc w:val="both"/>
              <w:rPr>
                <w:rFonts w:eastAsia="Calibri"/>
                <w:sz w:val="20"/>
                <w:lang w:val="fr-CA"/>
              </w:rPr>
            </w:pPr>
          </w:p>
          <w:p w:rsidR="00D03C96" w:rsidRPr="00723BA8" w:rsidRDefault="00D03C96" w:rsidP="0068140C">
            <w:pPr>
              <w:jc w:val="both"/>
              <w:rPr>
                <w:rFonts w:eastAsia="Calibri"/>
                <w:sz w:val="20"/>
                <w:lang w:val="fr-CA"/>
              </w:rPr>
            </w:pPr>
            <w:r w:rsidRPr="00723BA8">
              <w:rPr>
                <w:rFonts w:eastAsia="Calibri"/>
                <w:sz w:val="20"/>
                <w:lang w:val="fr-CA"/>
              </w:rPr>
              <w:t>La Cour d’appel fédérale a confirmé la décision de la Commission que les photocopies appartenant à la catégorie 4 ne constituaient pas une utilisation équitable.  Il s’agissait d’une question de fait à l’égard de laquelle il n’y a eu aucune erreur susceptible de contrôle.  Toutefois, la Cour d’appel a accueilli la demande de contrôle judiciaire au motif que la Commission n’avait pas appliqué une partie importante du critère prévu à l’article 29.4 de la Loi.</w:t>
            </w:r>
          </w:p>
        </w:tc>
      </w:tr>
      <w:tr w:rsidR="00D03C96" w:rsidRPr="00E62A55" w:rsidTr="0068140C">
        <w:trPr>
          <w:cantSplit/>
        </w:trPr>
        <w:tc>
          <w:tcPr>
            <w:tcW w:w="2427" w:type="pct"/>
          </w:tcPr>
          <w:p w:rsidR="00D03C96" w:rsidRPr="00723BA8" w:rsidRDefault="00D03C96" w:rsidP="002B7BFF">
            <w:pPr>
              <w:jc w:val="both"/>
              <w:rPr>
                <w:rFonts w:eastAsia="Calibri"/>
                <w:sz w:val="20"/>
                <w:lang w:val="fr-CA"/>
              </w:rPr>
            </w:pPr>
            <w:r w:rsidRPr="00723BA8">
              <w:rPr>
                <w:rFonts w:eastAsia="Calibri"/>
                <w:sz w:val="20"/>
                <w:lang w:val="fr-CA"/>
              </w:rPr>
              <w:lastRenderedPageBreak/>
              <w:t>26 juillet 2009 et 17 juillet 2009</w:t>
            </w:r>
          </w:p>
          <w:p w:rsidR="00D03C96" w:rsidRPr="00723BA8" w:rsidRDefault="00D03C96" w:rsidP="002B7BFF">
            <w:pPr>
              <w:jc w:val="both"/>
              <w:rPr>
                <w:rFonts w:eastAsia="Calibri"/>
                <w:sz w:val="20"/>
                <w:lang w:val="fr-CA"/>
              </w:rPr>
            </w:pPr>
            <w:r w:rsidRPr="00723BA8">
              <w:rPr>
                <w:rFonts w:eastAsia="Calibri"/>
                <w:sz w:val="20"/>
                <w:lang w:val="fr-CA"/>
              </w:rPr>
              <w:t>Commission du droit d’auteur du Canada</w:t>
            </w:r>
          </w:p>
          <w:p w:rsidR="00D03C96" w:rsidRPr="00723BA8" w:rsidRDefault="00D03C96" w:rsidP="002B7BFF">
            <w:pPr>
              <w:jc w:val="both"/>
              <w:rPr>
                <w:rFonts w:eastAsia="Calibri"/>
                <w:sz w:val="20"/>
                <w:lang w:val="fr-CA"/>
              </w:rPr>
            </w:pPr>
            <w:r w:rsidRPr="00723BA8">
              <w:rPr>
                <w:rFonts w:eastAsia="Calibri"/>
                <w:sz w:val="20"/>
                <w:lang w:val="fr-CA"/>
              </w:rPr>
              <w:t>(Commissaires Vancise, Bertrand</w:t>
            </w:r>
            <w:r w:rsidRPr="00723BA8">
              <w:rPr>
                <w:rFonts w:eastAsia="Calibri"/>
                <w:sz w:val="20"/>
                <w:lang w:val="fr-CA"/>
              </w:rPr>
              <w:noBreakHyphen/>
              <w:t>Venne et Charron)</w:t>
            </w:r>
          </w:p>
          <w:p w:rsidR="00D03C96" w:rsidRPr="00723BA8" w:rsidRDefault="00D03C96" w:rsidP="002B7BFF">
            <w:pPr>
              <w:jc w:val="both"/>
              <w:rPr>
                <w:rFonts w:eastAsia="Calibri"/>
                <w:sz w:val="20"/>
                <w:lang w:val="fr-CA"/>
              </w:rPr>
            </w:pPr>
            <w:r w:rsidRPr="00723BA8">
              <w:rPr>
                <w:rFonts w:eastAsia="Calibri"/>
                <w:sz w:val="20"/>
                <w:lang w:val="fr-CA"/>
              </w:rPr>
              <w:t>[2009] D.C.D.A. n</w:t>
            </w:r>
            <w:r w:rsidRPr="00723BA8">
              <w:rPr>
                <w:rFonts w:eastAsia="Calibri"/>
                <w:sz w:val="20"/>
                <w:vertAlign w:val="superscript"/>
                <w:lang w:val="fr-CA"/>
              </w:rPr>
              <w:t>o</w:t>
            </w:r>
            <w:r w:rsidRPr="00723BA8">
              <w:rPr>
                <w:rFonts w:eastAsia="Calibri"/>
                <w:sz w:val="20"/>
                <w:lang w:val="fr-CA"/>
              </w:rPr>
              <w:t xml:space="preserve"> 6</w:t>
            </w:r>
          </w:p>
        </w:tc>
        <w:tc>
          <w:tcPr>
            <w:tcW w:w="243" w:type="pct"/>
          </w:tcPr>
          <w:p w:rsidR="00D03C96" w:rsidRPr="00723BA8" w:rsidRDefault="00D03C96" w:rsidP="002B7BFF">
            <w:pPr>
              <w:jc w:val="both"/>
              <w:rPr>
                <w:rFonts w:eastAsia="Calibri"/>
                <w:sz w:val="20"/>
                <w:lang w:val="fr-CA"/>
              </w:rPr>
            </w:pPr>
          </w:p>
        </w:tc>
        <w:tc>
          <w:tcPr>
            <w:tcW w:w="2330" w:type="pct"/>
          </w:tcPr>
          <w:p w:rsidR="00D03C96" w:rsidRPr="00723BA8" w:rsidRDefault="00D03C96" w:rsidP="002B7BFF">
            <w:pPr>
              <w:jc w:val="both"/>
              <w:rPr>
                <w:rFonts w:eastAsia="Calibri"/>
                <w:sz w:val="20"/>
                <w:lang w:val="fr-CA"/>
              </w:rPr>
            </w:pPr>
            <w:r w:rsidRPr="00723BA8">
              <w:rPr>
                <w:rFonts w:eastAsia="Calibri"/>
                <w:sz w:val="20"/>
                <w:lang w:val="fr-CA"/>
              </w:rPr>
              <w:t>Tarif approuvé; la Commission a conclu que les photocopies appartenant à la catégorie 4 ne constituaient pas une utilisation équitable et n’étaient pas visées par l’exception prévue à l’article  29.4 de la Loi</w:t>
            </w:r>
          </w:p>
          <w:p w:rsidR="00D03C96" w:rsidRPr="00723BA8" w:rsidRDefault="00D03C96" w:rsidP="002B7BFF">
            <w:pPr>
              <w:jc w:val="both"/>
              <w:rPr>
                <w:rFonts w:eastAsia="Calibri"/>
                <w:sz w:val="20"/>
                <w:lang w:val="fr-CA"/>
              </w:rPr>
            </w:pPr>
          </w:p>
        </w:tc>
      </w:tr>
      <w:tr w:rsidR="00D03C96" w:rsidRPr="00155C13" w:rsidTr="0068140C">
        <w:trPr>
          <w:cantSplit/>
        </w:trPr>
        <w:tc>
          <w:tcPr>
            <w:tcW w:w="2427" w:type="pct"/>
          </w:tcPr>
          <w:p w:rsidR="00D03C96" w:rsidRPr="00723BA8" w:rsidRDefault="00D03C96" w:rsidP="002B7BFF">
            <w:pPr>
              <w:jc w:val="both"/>
              <w:rPr>
                <w:rFonts w:eastAsia="Calibri"/>
                <w:sz w:val="20"/>
                <w:lang w:val="fr-CA"/>
              </w:rPr>
            </w:pPr>
            <w:r w:rsidRPr="00723BA8">
              <w:rPr>
                <w:rFonts w:eastAsia="Calibri"/>
                <w:sz w:val="20"/>
                <w:lang w:val="fr-CA"/>
              </w:rPr>
              <w:t>23 juillet 2010</w:t>
            </w:r>
          </w:p>
          <w:p w:rsidR="00D03C96" w:rsidRPr="00723BA8" w:rsidRDefault="00D03C96" w:rsidP="002B7BFF">
            <w:pPr>
              <w:jc w:val="both"/>
              <w:rPr>
                <w:rFonts w:eastAsia="Calibri"/>
                <w:sz w:val="20"/>
                <w:lang w:val="fr-CA"/>
              </w:rPr>
            </w:pPr>
            <w:r w:rsidRPr="00723BA8">
              <w:rPr>
                <w:rFonts w:eastAsia="Calibri"/>
                <w:sz w:val="20"/>
                <w:lang w:val="fr-CA"/>
              </w:rPr>
              <w:t>Cour d’appel fédérale</w:t>
            </w:r>
          </w:p>
          <w:p w:rsidR="00D03C96" w:rsidRPr="00723BA8" w:rsidRDefault="00D03C96" w:rsidP="002B7BFF">
            <w:pPr>
              <w:jc w:val="both"/>
              <w:rPr>
                <w:rFonts w:eastAsia="Calibri"/>
                <w:sz w:val="20"/>
                <w:lang w:val="fr-CA"/>
              </w:rPr>
            </w:pPr>
            <w:r w:rsidRPr="00723BA8">
              <w:rPr>
                <w:rFonts w:eastAsia="Calibri"/>
                <w:sz w:val="20"/>
                <w:lang w:val="fr-CA"/>
              </w:rPr>
              <w:t>(Juges Blais, Noël et Trudel.)</w:t>
            </w:r>
          </w:p>
          <w:p w:rsidR="00D03C96" w:rsidRPr="00723BA8" w:rsidRDefault="00D03C96" w:rsidP="002B7BFF">
            <w:pPr>
              <w:jc w:val="both"/>
              <w:rPr>
                <w:rFonts w:eastAsia="Calibri"/>
                <w:sz w:val="20"/>
                <w:lang w:val="fr-CA"/>
              </w:rPr>
            </w:pPr>
            <w:r w:rsidRPr="00723BA8">
              <w:rPr>
                <w:rFonts w:eastAsia="Calibri"/>
                <w:sz w:val="20"/>
                <w:lang w:val="fr-CA"/>
              </w:rPr>
              <w:t>2010 CAF 198; A</w:t>
            </w:r>
            <w:r w:rsidRPr="00723BA8">
              <w:rPr>
                <w:rFonts w:eastAsia="Calibri"/>
                <w:sz w:val="20"/>
                <w:lang w:val="fr-CA"/>
              </w:rPr>
              <w:noBreakHyphen/>
              <w:t>302</w:t>
            </w:r>
            <w:r w:rsidRPr="00723BA8">
              <w:rPr>
                <w:rFonts w:eastAsia="Calibri"/>
                <w:sz w:val="20"/>
                <w:lang w:val="fr-CA"/>
              </w:rPr>
              <w:noBreakHyphen/>
              <w:t>09</w:t>
            </w:r>
          </w:p>
        </w:tc>
        <w:tc>
          <w:tcPr>
            <w:tcW w:w="243" w:type="pct"/>
          </w:tcPr>
          <w:p w:rsidR="00D03C96" w:rsidRPr="00723BA8" w:rsidRDefault="00D03C96" w:rsidP="002B7BFF">
            <w:pPr>
              <w:jc w:val="both"/>
              <w:rPr>
                <w:rFonts w:eastAsia="Calibri"/>
                <w:sz w:val="20"/>
                <w:lang w:val="fr-CA"/>
              </w:rPr>
            </w:pPr>
          </w:p>
        </w:tc>
        <w:tc>
          <w:tcPr>
            <w:tcW w:w="2330" w:type="pct"/>
          </w:tcPr>
          <w:p w:rsidR="00D03C96" w:rsidRPr="00723BA8" w:rsidRDefault="00D03C96" w:rsidP="002B7BFF">
            <w:pPr>
              <w:jc w:val="both"/>
              <w:rPr>
                <w:rFonts w:eastAsia="Calibri"/>
                <w:sz w:val="20"/>
                <w:lang w:val="fr-CA"/>
              </w:rPr>
            </w:pPr>
            <w:r w:rsidRPr="00723BA8">
              <w:rPr>
                <w:rFonts w:eastAsia="Calibri"/>
                <w:sz w:val="20"/>
                <w:lang w:val="fr-CA"/>
              </w:rPr>
              <w:t>Demande de contrôle judiciaire accueillie; affaire renvoyée à la Commission pour nouvelle décision sur les questions suivantes : i) Quelle est la signification des mots « </w:t>
            </w:r>
            <w:r w:rsidRPr="00723BA8">
              <w:rPr>
                <w:rFonts w:eastAsia="Calibri"/>
                <w:color w:val="000000"/>
                <w:sz w:val="20"/>
                <w:lang w:val="fr-FR"/>
              </w:rPr>
              <w:t>sur un support approprié aux fins visées »</w:t>
            </w:r>
            <w:r w:rsidRPr="00723BA8">
              <w:rPr>
                <w:rFonts w:eastAsia="Calibri"/>
                <w:sz w:val="20"/>
                <w:lang w:val="fr-CA"/>
              </w:rPr>
              <w:t xml:space="preserve"> figurant au paragraphe 29.4(3) de la Loi</w:t>
            </w:r>
            <w:proofErr w:type="gramStart"/>
            <w:r w:rsidRPr="00723BA8">
              <w:rPr>
                <w:rFonts w:eastAsia="Calibri"/>
                <w:sz w:val="20"/>
                <w:lang w:val="fr-CA"/>
              </w:rPr>
              <w:t>?;</w:t>
            </w:r>
            <w:proofErr w:type="gramEnd"/>
            <w:r w:rsidRPr="00723BA8">
              <w:rPr>
                <w:rFonts w:eastAsia="Calibri"/>
                <w:sz w:val="20"/>
                <w:lang w:val="fr-CA"/>
              </w:rPr>
              <w:t xml:space="preserve"> et ii) Les photocopies appartenant à la catégorie 4 sont</w:t>
            </w:r>
            <w:r w:rsidRPr="00723BA8">
              <w:rPr>
                <w:rFonts w:eastAsia="Calibri"/>
                <w:sz w:val="20"/>
                <w:lang w:val="fr-CA"/>
              </w:rPr>
              <w:noBreakHyphen/>
              <w:t>elles visées par cette définition?</w:t>
            </w:r>
          </w:p>
          <w:p w:rsidR="00D03C96" w:rsidRPr="00723BA8" w:rsidRDefault="00D03C96" w:rsidP="002B7BFF">
            <w:pPr>
              <w:jc w:val="both"/>
              <w:rPr>
                <w:rFonts w:eastAsia="Calibri"/>
                <w:sz w:val="20"/>
                <w:lang w:val="fr-CA"/>
              </w:rPr>
            </w:pPr>
          </w:p>
        </w:tc>
      </w:tr>
      <w:tr w:rsidR="00D03C96" w:rsidRPr="00723BA8" w:rsidTr="0068140C">
        <w:trPr>
          <w:cantSplit/>
        </w:trPr>
        <w:tc>
          <w:tcPr>
            <w:tcW w:w="2427" w:type="pct"/>
          </w:tcPr>
          <w:p w:rsidR="00D03C96" w:rsidRPr="00723BA8" w:rsidRDefault="00D03C96" w:rsidP="002B7BFF">
            <w:pPr>
              <w:jc w:val="both"/>
              <w:rPr>
                <w:rFonts w:eastAsia="Calibri"/>
                <w:sz w:val="20"/>
                <w:lang w:val="fr-CA"/>
              </w:rPr>
            </w:pPr>
            <w:r w:rsidRPr="00723BA8">
              <w:rPr>
                <w:rFonts w:eastAsia="Calibri"/>
                <w:sz w:val="20"/>
                <w:lang w:val="fr-CA"/>
              </w:rPr>
              <w:t>29 septembre 2010</w:t>
            </w:r>
          </w:p>
          <w:p w:rsidR="00D03C96" w:rsidRPr="00723BA8" w:rsidRDefault="00D03C96" w:rsidP="002B7BFF">
            <w:pPr>
              <w:jc w:val="both"/>
              <w:rPr>
                <w:rFonts w:eastAsia="Calibri"/>
                <w:sz w:val="20"/>
                <w:lang w:val="fr-CA"/>
              </w:rPr>
            </w:pPr>
            <w:r w:rsidRPr="00723BA8">
              <w:rPr>
                <w:rFonts w:eastAsia="Calibri"/>
                <w:sz w:val="20"/>
                <w:lang w:val="fr-CA"/>
              </w:rPr>
              <w:t>Cour suprême du Canada</w:t>
            </w:r>
          </w:p>
        </w:tc>
        <w:tc>
          <w:tcPr>
            <w:tcW w:w="243" w:type="pct"/>
          </w:tcPr>
          <w:p w:rsidR="00D03C96" w:rsidRPr="00723BA8" w:rsidRDefault="00D03C96" w:rsidP="002B7BFF">
            <w:pPr>
              <w:jc w:val="both"/>
              <w:rPr>
                <w:rFonts w:eastAsia="Calibri"/>
                <w:sz w:val="20"/>
                <w:lang w:val="fr-CA"/>
              </w:rPr>
            </w:pPr>
          </w:p>
        </w:tc>
        <w:tc>
          <w:tcPr>
            <w:tcW w:w="2330" w:type="pct"/>
          </w:tcPr>
          <w:p w:rsidR="00D03C96" w:rsidRPr="00723BA8" w:rsidRDefault="00D03C96" w:rsidP="002B7BFF">
            <w:pPr>
              <w:jc w:val="both"/>
              <w:rPr>
                <w:rFonts w:eastAsia="Calibri"/>
                <w:sz w:val="20"/>
                <w:lang w:val="fr-CA"/>
              </w:rPr>
            </w:pPr>
            <w:r w:rsidRPr="00723BA8">
              <w:rPr>
                <w:rFonts w:eastAsia="Calibri"/>
                <w:sz w:val="20"/>
                <w:lang w:val="fr-CA"/>
              </w:rPr>
              <w:t>Demande d’autorisation d’appel déposée</w:t>
            </w:r>
          </w:p>
          <w:p w:rsidR="00D03C96" w:rsidRPr="00723BA8" w:rsidRDefault="00D03C96"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5"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3354BE" w:rsidRPr="003354BE" w:rsidTr="00DD30CB">
        <w:trPr>
          <w:cantSplit/>
        </w:trPr>
        <w:tc>
          <w:tcPr>
            <w:tcW w:w="1458" w:type="dxa"/>
          </w:tcPr>
          <w:p w:rsidR="003354BE" w:rsidRPr="003354BE" w:rsidRDefault="003354BE" w:rsidP="00DD30CB">
            <w:pPr>
              <w:rPr>
                <w:sz w:val="20"/>
                <w:szCs w:val="20"/>
              </w:rPr>
            </w:pPr>
            <w:r w:rsidRPr="003354BE">
              <w:rPr>
                <w:rStyle w:val="SCCFileNumberChar"/>
                <w:sz w:val="20"/>
                <w:szCs w:val="20"/>
              </w:rPr>
              <w:t>33893</w:t>
            </w:r>
          </w:p>
          <w:p w:rsidR="003354BE" w:rsidRPr="003354BE" w:rsidRDefault="003354BE" w:rsidP="00DD30CB">
            <w:pPr>
              <w:rPr>
                <w:b/>
                <w:sz w:val="20"/>
                <w:szCs w:val="20"/>
              </w:rPr>
            </w:pPr>
          </w:p>
        </w:tc>
        <w:tc>
          <w:tcPr>
            <w:tcW w:w="8118" w:type="dxa"/>
          </w:tcPr>
          <w:p w:rsidR="003354BE" w:rsidRPr="003354BE" w:rsidRDefault="003354BE" w:rsidP="00DD30CB">
            <w:pPr>
              <w:jc w:val="both"/>
              <w:rPr>
                <w:sz w:val="20"/>
                <w:szCs w:val="20"/>
              </w:rPr>
            </w:pPr>
            <w:r w:rsidRPr="003354BE">
              <w:rPr>
                <w:rStyle w:val="SCCLsocChar"/>
                <w:sz w:val="20"/>
                <w:szCs w:val="20"/>
                <w:lang w:val="en-CA"/>
              </w:rPr>
              <w:t>Sasha Safai, a minor under the age of 18 years by his Litigation Guardian, Leslie Anne Wilkes, Joebeen Safai, Parissa Safai, Hormoz Safai and Gity Safai personally v. Bruce N. Huntley Contracting Limited AND BETWEEN Sasha Safai, a minor under the age of 18 years by his Litigation Guardian, Leslie Anne Wilkes, Joebeen Safai, Parissa Safai, Hormoz Safai and Gity Safai personally v. Markham Property Services Ltd.</w:t>
            </w:r>
            <w:r w:rsidRPr="003354BE">
              <w:rPr>
                <w:sz w:val="20"/>
                <w:szCs w:val="20"/>
              </w:rPr>
              <w:t xml:space="preserve"> (Ont.) (Civil) (By Leave)</w:t>
            </w:r>
          </w:p>
          <w:p w:rsidR="003354BE" w:rsidRPr="003354BE" w:rsidRDefault="003354BE" w:rsidP="00DD30CB">
            <w:pPr>
              <w:jc w:val="both"/>
              <w:rPr>
                <w:sz w:val="20"/>
                <w:szCs w:val="20"/>
              </w:rPr>
            </w:pPr>
          </w:p>
        </w:tc>
      </w:tr>
      <w:tr w:rsidR="003354BE" w:rsidRPr="003354BE" w:rsidTr="00DD30CB">
        <w:trPr>
          <w:cantSplit/>
        </w:trPr>
        <w:tc>
          <w:tcPr>
            <w:tcW w:w="1458" w:type="dxa"/>
          </w:tcPr>
          <w:p w:rsidR="003354BE" w:rsidRPr="003354BE" w:rsidRDefault="003354BE" w:rsidP="00DD30CB">
            <w:pPr>
              <w:rPr>
                <w:sz w:val="20"/>
                <w:szCs w:val="20"/>
              </w:rPr>
            </w:pPr>
            <w:r w:rsidRPr="003354BE">
              <w:rPr>
                <w:sz w:val="20"/>
                <w:szCs w:val="20"/>
              </w:rPr>
              <w:t>Coram :</w:t>
            </w:r>
          </w:p>
        </w:tc>
        <w:tc>
          <w:tcPr>
            <w:tcW w:w="8118" w:type="dxa"/>
          </w:tcPr>
          <w:p w:rsidR="003354BE" w:rsidRPr="003354BE" w:rsidRDefault="003354BE" w:rsidP="00DD30CB">
            <w:pPr>
              <w:rPr>
                <w:sz w:val="20"/>
                <w:szCs w:val="20"/>
              </w:rPr>
            </w:pPr>
            <w:r w:rsidRPr="003354BE">
              <w:rPr>
                <w:rStyle w:val="SCCCoramChar"/>
                <w:sz w:val="20"/>
                <w:szCs w:val="20"/>
                <w:lang w:val="en-CA"/>
              </w:rPr>
              <w:t>Binnie, Fish and Rothstein JJ.</w:t>
            </w:r>
          </w:p>
          <w:p w:rsidR="003354BE" w:rsidRPr="003354BE" w:rsidRDefault="003354BE" w:rsidP="00DD30CB">
            <w:pPr>
              <w:rPr>
                <w:sz w:val="20"/>
                <w:szCs w:val="20"/>
                <w:u w:val="single"/>
              </w:rPr>
            </w:pPr>
          </w:p>
        </w:tc>
      </w:tr>
      <w:tr w:rsidR="003354BE" w:rsidRPr="00E62A55" w:rsidTr="00DD30CB">
        <w:trPr>
          <w:cantSplit/>
        </w:trPr>
        <w:tc>
          <w:tcPr>
            <w:tcW w:w="9576" w:type="dxa"/>
            <w:gridSpan w:val="2"/>
          </w:tcPr>
          <w:p w:rsidR="003354BE" w:rsidRPr="003354BE" w:rsidRDefault="003354BE" w:rsidP="00DD30CB">
            <w:pPr>
              <w:pStyle w:val="SCCShortJudgment"/>
              <w:rPr>
                <w:szCs w:val="20"/>
              </w:rPr>
            </w:pPr>
            <w:r w:rsidRPr="003354BE">
              <w:rPr>
                <w:szCs w:val="20"/>
              </w:rPr>
              <w:t>The application for leave to appeal from the judgment of the Court of Appeal for Ontario, Number C51024, 2010 ONCA 545, dated August 6, 2010, is dismissed with costs to the respondents and the application for leave to cross-appeal is dismissed without costs as being moot.</w:t>
            </w:r>
          </w:p>
          <w:p w:rsidR="003354BE" w:rsidRPr="003354BE" w:rsidRDefault="003354BE" w:rsidP="00DD30CB">
            <w:pPr>
              <w:pStyle w:val="SCCShortJudgment"/>
              <w:ind w:firstLine="0"/>
              <w:rPr>
                <w:szCs w:val="20"/>
              </w:rPr>
            </w:pPr>
          </w:p>
          <w:p w:rsidR="003354BE" w:rsidRPr="003354BE" w:rsidRDefault="003354BE" w:rsidP="00DD30CB">
            <w:pPr>
              <w:pStyle w:val="SCCShortJudgment"/>
              <w:rPr>
                <w:szCs w:val="20"/>
                <w:lang w:val="fr-CA"/>
              </w:rPr>
            </w:pPr>
            <w:r w:rsidRPr="003354BE">
              <w:rPr>
                <w:szCs w:val="20"/>
                <w:lang w:val="fr-CA"/>
              </w:rPr>
              <w:t>La demande d’autorisation d’appel de l’arrêt de la Cour d’appel de l’Ontario, numéro C51024, 2010 ONCA 545, daté du 6 août 2010, est rejetée avec dépens en faveur des intimées et la demande d’autorisation d’appel incident est rejetée sans dépens comme étant sans objet.</w:t>
            </w:r>
          </w:p>
        </w:tc>
      </w:tr>
    </w:tbl>
    <w:p w:rsidR="005836A6" w:rsidRPr="003354BE" w:rsidRDefault="005836A6"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Limitation of actions — Discoverability — Applicant falling on  patch of ice in parking lot and suffering broken ankle — Applicant and members of family commencing action against respondent owner of parking lot and separate action against respondent company responsible for winter maintenance of parking lot — Respondents moving for summary judgment based on expiry of six</w:t>
            </w:r>
            <w:r w:rsidRPr="00723BA8">
              <w:rPr>
                <w:rFonts w:eastAsia="Calibri"/>
                <w:sz w:val="20"/>
              </w:rPr>
              <w:noBreakHyphen/>
              <w:t xml:space="preserve">year limitation period — Whether courts below erred by holding that discoverability rule is an “interpretative tool” which they can “refuse” to apply in a given case — </w:t>
            </w:r>
            <w:r w:rsidRPr="00723BA8">
              <w:rPr>
                <w:rFonts w:eastAsia="Calibri"/>
                <w:i/>
                <w:sz w:val="20"/>
              </w:rPr>
              <w:t>Limitations Act</w:t>
            </w:r>
            <w:r w:rsidRPr="00723BA8">
              <w:rPr>
                <w:rFonts w:eastAsia="Calibri"/>
                <w:sz w:val="20"/>
              </w:rPr>
              <w:t>, R.S.O. 1990, c. L.15, s. 45(1)(g).</w:t>
            </w:r>
          </w:p>
          <w:p w:rsidR="005836A6" w:rsidRPr="00723BA8" w:rsidRDefault="005836A6" w:rsidP="002B7BFF">
            <w:pPr>
              <w:jc w:val="both"/>
              <w:rPr>
                <w:rFonts w:eastAsia="Calibri"/>
                <w:sz w:val="20"/>
              </w:rPr>
            </w:pPr>
          </w:p>
        </w:tc>
      </w:tr>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The applicant Gity Safai slipped and fell on a patch of ice in a parking lot on February 17, 2000 and suffered a broken ankle.  On February 23, 2006, she and members of her family commenced an action against the owner of the parking lot, the respondent Huntley, and on September 27, 2006, they commenced a separate action against the company responsible for winter maintenance of the parking lot, the respondent Markham.  The respondents moved for summary judgment based on the expiry of the six</w:t>
            </w:r>
            <w:r w:rsidRPr="00723BA8">
              <w:rPr>
                <w:rFonts w:eastAsia="Calibri"/>
                <w:sz w:val="20"/>
              </w:rPr>
              <w:noBreakHyphen/>
              <w:t>year limitation period.  Ms. Safai and the other applicants raised the discoverability rule in response to the motions for summary judgment.</w:t>
            </w:r>
          </w:p>
          <w:p w:rsidR="005836A6" w:rsidRPr="00723BA8" w:rsidRDefault="005836A6" w:rsidP="002B7BFF">
            <w:pPr>
              <w:jc w:val="both"/>
              <w:rPr>
                <w:rFonts w:eastAsia="Calibri"/>
                <w:sz w:val="20"/>
              </w:rPr>
            </w:pPr>
          </w:p>
          <w:p w:rsidR="005836A6" w:rsidRPr="00723BA8" w:rsidRDefault="005836A6" w:rsidP="002B7BFF">
            <w:pPr>
              <w:jc w:val="both"/>
              <w:rPr>
                <w:rFonts w:eastAsia="Calibri"/>
                <w:sz w:val="20"/>
              </w:rPr>
            </w:pPr>
            <w:r w:rsidRPr="00723BA8">
              <w:rPr>
                <w:rFonts w:eastAsia="Calibri"/>
                <w:sz w:val="20"/>
              </w:rPr>
              <w:lastRenderedPageBreak/>
              <w:t>The motion judge held that the discoverability rule had no application to either case and dismissed both actions.  The Court of Appeal dismissed the appeal from the order dismissing the action against Huntley and allowed the appeal in respect of the action against Markham.</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lastRenderedPageBreak/>
              <w:t>August 26, 2009</w:t>
            </w:r>
          </w:p>
          <w:p w:rsidR="005836A6" w:rsidRPr="00723BA8" w:rsidRDefault="005836A6" w:rsidP="002B7BFF">
            <w:pPr>
              <w:jc w:val="both"/>
              <w:rPr>
                <w:rFonts w:eastAsia="Calibri"/>
                <w:sz w:val="20"/>
              </w:rPr>
            </w:pPr>
            <w:r w:rsidRPr="00723BA8">
              <w:rPr>
                <w:rFonts w:eastAsia="Calibri"/>
                <w:sz w:val="20"/>
              </w:rPr>
              <w:t>Ontario Superior Court of Justice</w:t>
            </w:r>
          </w:p>
          <w:p w:rsidR="005836A6" w:rsidRPr="00723BA8" w:rsidRDefault="005836A6" w:rsidP="002B7BFF">
            <w:pPr>
              <w:jc w:val="both"/>
              <w:rPr>
                <w:rFonts w:eastAsia="Calibri"/>
                <w:sz w:val="20"/>
              </w:rPr>
            </w:pPr>
            <w:r w:rsidRPr="00723BA8">
              <w:rPr>
                <w:rFonts w:eastAsia="Calibri"/>
                <w:sz w:val="20"/>
              </w:rPr>
              <w:t>(Mullins J.)</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Motions for summary judgment dismissing actions granted</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t>August 6, 2010</w:t>
            </w:r>
          </w:p>
          <w:p w:rsidR="005836A6" w:rsidRPr="00723BA8" w:rsidRDefault="005836A6" w:rsidP="002B7BFF">
            <w:pPr>
              <w:jc w:val="both"/>
              <w:rPr>
                <w:rFonts w:eastAsia="Calibri"/>
                <w:sz w:val="20"/>
              </w:rPr>
            </w:pPr>
            <w:r w:rsidRPr="00723BA8">
              <w:rPr>
                <w:rFonts w:eastAsia="Calibri"/>
                <w:sz w:val="20"/>
              </w:rPr>
              <w:t>Court of Appeal for Ontario</w:t>
            </w:r>
          </w:p>
          <w:p w:rsidR="005836A6" w:rsidRPr="00723BA8" w:rsidRDefault="005836A6" w:rsidP="002B7BFF">
            <w:pPr>
              <w:jc w:val="both"/>
              <w:rPr>
                <w:rFonts w:eastAsia="Calibri"/>
                <w:sz w:val="20"/>
              </w:rPr>
            </w:pPr>
            <w:r w:rsidRPr="00723BA8">
              <w:rPr>
                <w:rFonts w:eastAsia="Calibri"/>
                <w:sz w:val="20"/>
              </w:rPr>
              <w:t>(Moldaver, Goudge and Armstrong JJ.A.)</w:t>
            </w:r>
          </w:p>
          <w:p w:rsidR="005836A6" w:rsidRPr="00723BA8" w:rsidRDefault="005836A6" w:rsidP="002B7BFF">
            <w:pPr>
              <w:jc w:val="both"/>
              <w:rPr>
                <w:rFonts w:eastAsia="Calibri"/>
                <w:sz w:val="20"/>
              </w:rPr>
            </w:pPr>
            <w:r w:rsidRPr="00723BA8">
              <w:rPr>
                <w:rFonts w:eastAsia="Calibri"/>
                <w:sz w:val="20"/>
              </w:rPr>
              <w:t>2010 ONCA 545</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Appeal from order dismissing action against Huntley dismissed; appeal in respect of action against Markhan allowed and order dismissing action set aside</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t>October 4, 2010</w:t>
            </w:r>
          </w:p>
          <w:p w:rsidR="005836A6" w:rsidRPr="00723BA8" w:rsidRDefault="005836A6" w:rsidP="002B7BFF">
            <w:pPr>
              <w:jc w:val="both"/>
              <w:rPr>
                <w:rFonts w:eastAsia="Calibri"/>
                <w:sz w:val="20"/>
              </w:rPr>
            </w:pPr>
            <w:r w:rsidRPr="00723BA8">
              <w:rPr>
                <w:rFonts w:eastAsia="Calibri"/>
                <w:sz w:val="20"/>
              </w:rPr>
              <w:t>Supreme Court of Canada</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Application for leave to appeal filed</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t>November 4, 2010</w:t>
            </w:r>
          </w:p>
          <w:p w:rsidR="005836A6" w:rsidRPr="00723BA8" w:rsidRDefault="005836A6" w:rsidP="002B7BFF">
            <w:pPr>
              <w:jc w:val="both"/>
              <w:rPr>
                <w:rFonts w:eastAsia="Calibri"/>
                <w:sz w:val="20"/>
              </w:rPr>
            </w:pPr>
            <w:r w:rsidRPr="00723BA8">
              <w:rPr>
                <w:rFonts w:eastAsia="Calibri"/>
                <w:sz w:val="20"/>
              </w:rPr>
              <w:t>Supreme Court of Canada</w:t>
            </w: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Conditional application for leave to cross</w:t>
            </w:r>
            <w:r w:rsidRPr="00723BA8">
              <w:rPr>
                <w:rFonts w:eastAsia="Calibri"/>
                <w:sz w:val="20"/>
              </w:rPr>
              <w:noBreakHyphen/>
              <w:t>appeal filed</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6"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36A6" w:rsidRPr="005276CB"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Prescription des actions — Possibilité de découvrir le préjudice subi — La demanderesse est tombée sur la glace dans un stationnement et s’est cassée une cheville — La demanderesse et des membres de sa famille ont intenté une action contre la propriétaire intimée du stationnement et une action distincte contre la société chargée de l’entretien du stationnement pendant l’hiver — Les intimées demandent qu’un jugement sommaire soit prononcé en raison de l’expiration du délai de prescription de six ans — Les juridictions inférieures ont</w:t>
            </w:r>
            <w:r w:rsidRPr="00723BA8">
              <w:rPr>
                <w:rFonts w:eastAsia="Calibri"/>
                <w:sz w:val="20"/>
                <w:lang w:val="fr-CA"/>
              </w:rPr>
              <w:noBreakHyphen/>
              <w:t xml:space="preserve">elles commis une erreur en concluant que la règle de la possibilité de découvrir le dommage est un « outil d’interprétation » qu’elles peuvent « refuser » d’appliquer dans un cas donné? — </w:t>
            </w:r>
            <w:r w:rsidRPr="00723BA8">
              <w:rPr>
                <w:rFonts w:eastAsia="Calibri"/>
                <w:i/>
                <w:sz w:val="20"/>
                <w:lang w:val="fr-CA"/>
              </w:rPr>
              <w:t>Loi sur la prescription</w:t>
            </w:r>
            <w:r w:rsidRPr="00723BA8">
              <w:rPr>
                <w:rFonts w:eastAsia="Calibri"/>
                <w:sz w:val="20"/>
                <w:lang w:val="fr-CA"/>
              </w:rPr>
              <w:t>, L.R.O. 1990, ch. L.15, al. 45(1)</w:t>
            </w:r>
            <w:r w:rsidRPr="00723BA8">
              <w:rPr>
                <w:rFonts w:eastAsia="Calibri"/>
                <w:i/>
                <w:sz w:val="20"/>
                <w:lang w:val="fr-CA"/>
              </w:rPr>
              <w:t>g</w:t>
            </w:r>
            <w:r w:rsidRPr="00723BA8">
              <w:rPr>
                <w:rFonts w:eastAsia="Calibri"/>
                <w:sz w:val="20"/>
                <w:lang w:val="fr-CA"/>
              </w:rPr>
              <w:t>).</w:t>
            </w:r>
          </w:p>
          <w:p w:rsidR="005836A6" w:rsidRPr="00723BA8" w:rsidRDefault="005836A6" w:rsidP="002B7BFF">
            <w:pPr>
              <w:jc w:val="both"/>
              <w:rPr>
                <w:rFonts w:eastAsia="Calibri"/>
                <w:sz w:val="20"/>
                <w:lang w:val="fr-CA"/>
              </w:rPr>
            </w:pPr>
          </w:p>
        </w:tc>
      </w:tr>
      <w:tr w:rsidR="005836A6" w:rsidRPr="00E62A55"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Le 17 février 2000, la demanderesse Gity Safai a glissé et est tombée sur la glace dans un stationnement et elle s’est cassée une cheville.  Le 23 février 2006, la demanderesse et des membres de sa famille ont intenté une action contre la propriétaire du stationnement, l’intimée Huntley, et, le 27 septembre 2006, ils ont intenté une action distincte contre la société chargée de l’entretien du stationnement pendant l’hiver, l’intimée Markham.  Les intimées ont demandé qu’un jugement sommaire soit prononcé en raison de l’expiration du délai de prescription de six ans.  Mme Safai et les autres demandeurs ont soulevé la règle de la possibilité de découvrir le dommage en réponse aux requêtes en jugement sommaire.</w:t>
            </w:r>
          </w:p>
          <w:p w:rsidR="005836A6" w:rsidRPr="00723BA8" w:rsidRDefault="005836A6" w:rsidP="002B7BFF">
            <w:pPr>
              <w:jc w:val="both"/>
              <w:rPr>
                <w:rFonts w:eastAsia="Calibri"/>
                <w:sz w:val="20"/>
                <w:lang w:val="fr-CA"/>
              </w:rPr>
            </w:pPr>
          </w:p>
          <w:p w:rsidR="005836A6" w:rsidRPr="00723BA8" w:rsidRDefault="005836A6" w:rsidP="002B7BFF">
            <w:pPr>
              <w:jc w:val="both"/>
              <w:rPr>
                <w:rFonts w:eastAsia="Calibri"/>
                <w:sz w:val="20"/>
                <w:lang w:val="fr-CA"/>
              </w:rPr>
            </w:pPr>
            <w:r w:rsidRPr="00723BA8">
              <w:rPr>
                <w:rFonts w:eastAsia="Calibri"/>
                <w:sz w:val="20"/>
                <w:lang w:val="fr-CA"/>
              </w:rPr>
              <w:t>Le juge saisi des requêtes a conclu que la règle de la possibilité de découvrir le dommage ne s’appliquait à aucune des actions et a rejeté les deux actions.  La Cour d’appel a rejeté l’appel interjeté à l’encontre de l’ordonnance rejetant l’action intentée contre Huntley et a accueilli l’appel relatif à l’action intentée contre Markham.</w:t>
            </w:r>
          </w:p>
          <w:p w:rsidR="005836A6" w:rsidRPr="00723BA8" w:rsidRDefault="005836A6" w:rsidP="002B7BFF">
            <w:pPr>
              <w:jc w:val="both"/>
              <w:rPr>
                <w:rFonts w:eastAsia="Calibri"/>
                <w:sz w:val="20"/>
                <w:lang w:val="fr-CA"/>
              </w:rPr>
            </w:pPr>
          </w:p>
        </w:tc>
      </w:tr>
      <w:tr w:rsidR="005836A6" w:rsidRPr="00E62A55"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26 août 2009</w:t>
            </w:r>
          </w:p>
          <w:p w:rsidR="005836A6" w:rsidRPr="00723BA8" w:rsidRDefault="005836A6" w:rsidP="002B7BFF">
            <w:pPr>
              <w:jc w:val="both"/>
              <w:rPr>
                <w:rFonts w:eastAsia="Calibri"/>
                <w:sz w:val="20"/>
                <w:lang w:val="fr-CA"/>
              </w:rPr>
            </w:pPr>
            <w:r w:rsidRPr="00723BA8">
              <w:rPr>
                <w:rFonts w:eastAsia="Calibri"/>
                <w:sz w:val="20"/>
                <w:lang w:val="fr-CA"/>
              </w:rPr>
              <w:t>Cour supérieure de justice de l’Ontario</w:t>
            </w:r>
          </w:p>
          <w:p w:rsidR="005836A6" w:rsidRPr="00723BA8" w:rsidRDefault="005836A6" w:rsidP="002B7BFF">
            <w:pPr>
              <w:jc w:val="both"/>
              <w:rPr>
                <w:rFonts w:eastAsia="Calibri"/>
                <w:sz w:val="20"/>
                <w:lang w:val="fr-CA"/>
              </w:rPr>
            </w:pPr>
            <w:r w:rsidRPr="00723BA8">
              <w:rPr>
                <w:rFonts w:eastAsia="Calibri"/>
                <w:sz w:val="20"/>
                <w:lang w:val="fr-CA"/>
              </w:rPr>
              <w:t>(Juge Mullins)</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Requêtes en vue d’obtenir un jugement sommaire rejetant les actions accueillies</w:t>
            </w:r>
          </w:p>
          <w:p w:rsidR="005836A6" w:rsidRPr="00723BA8" w:rsidRDefault="005836A6" w:rsidP="002B7BFF">
            <w:pPr>
              <w:jc w:val="both"/>
              <w:rPr>
                <w:rFonts w:eastAsia="Calibri"/>
                <w:sz w:val="20"/>
                <w:lang w:val="fr-CA"/>
              </w:rPr>
            </w:pPr>
          </w:p>
        </w:tc>
      </w:tr>
      <w:tr w:rsidR="005836A6" w:rsidRPr="00E62A55" w:rsidTr="00DD30CB">
        <w:trPr>
          <w:cantSplit/>
        </w:trPr>
        <w:tc>
          <w:tcPr>
            <w:tcW w:w="2427" w:type="pct"/>
          </w:tcPr>
          <w:p w:rsidR="005836A6" w:rsidRPr="00723BA8" w:rsidRDefault="005836A6" w:rsidP="002B7BFF">
            <w:pPr>
              <w:jc w:val="both"/>
              <w:rPr>
                <w:rFonts w:eastAsia="Calibri"/>
                <w:sz w:val="20"/>
                <w:lang w:val="fr-CA"/>
              </w:rPr>
            </w:pPr>
            <w:r w:rsidRPr="00723BA8">
              <w:rPr>
                <w:rFonts w:eastAsia="Calibri"/>
                <w:sz w:val="20"/>
                <w:lang w:val="fr-CA"/>
              </w:rPr>
              <w:lastRenderedPageBreak/>
              <w:t>6 août 2010</w:t>
            </w:r>
          </w:p>
          <w:p w:rsidR="005836A6" w:rsidRPr="00723BA8" w:rsidRDefault="005836A6" w:rsidP="002B7BFF">
            <w:pPr>
              <w:jc w:val="both"/>
              <w:rPr>
                <w:rFonts w:eastAsia="Calibri"/>
                <w:sz w:val="20"/>
                <w:lang w:val="fr-CA"/>
              </w:rPr>
            </w:pPr>
            <w:r w:rsidRPr="00723BA8">
              <w:rPr>
                <w:rFonts w:eastAsia="Calibri"/>
                <w:sz w:val="20"/>
                <w:lang w:val="fr-CA"/>
              </w:rPr>
              <w:t>Cour d’appel de l’Ontario</w:t>
            </w:r>
          </w:p>
          <w:p w:rsidR="005836A6" w:rsidRPr="00723BA8" w:rsidRDefault="005836A6" w:rsidP="002B7BFF">
            <w:pPr>
              <w:jc w:val="both"/>
              <w:rPr>
                <w:rFonts w:eastAsia="Calibri"/>
                <w:sz w:val="20"/>
                <w:lang w:val="fr-CA"/>
              </w:rPr>
            </w:pPr>
            <w:r w:rsidRPr="00723BA8">
              <w:rPr>
                <w:rFonts w:eastAsia="Calibri"/>
                <w:sz w:val="20"/>
                <w:lang w:val="fr-CA"/>
              </w:rPr>
              <w:t>(Juges Moldaver, Goudge et Armstrong)</w:t>
            </w:r>
          </w:p>
          <w:p w:rsidR="005836A6" w:rsidRPr="00723BA8" w:rsidRDefault="005836A6" w:rsidP="002B7BFF">
            <w:pPr>
              <w:jc w:val="both"/>
              <w:rPr>
                <w:rFonts w:eastAsia="Calibri"/>
                <w:sz w:val="20"/>
                <w:lang w:val="fr-CA"/>
              </w:rPr>
            </w:pPr>
            <w:r w:rsidRPr="00723BA8">
              <w:rPr>
                <w:rFonts w:eastAsia="Calibri"/>
                <w:sz w:val="20"/>
                <w:lang w:val="fr-CA"/>
              </w:rPr>
              <w:t>2010 ONCA 545</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Appel interjeté à l’encontre de l’ordonnance rejetant l’action intentée contre Huntley rejetée; appel relatif à l’action intentée contre Markhan accueilli et ordonnance rejetant l’action annulée</w:t>
            </w:r>
          </w:p>
          <w:p w:rsidR="005836A6" w:rsidRPr="00723BA8" w:rsidRDefault="005836A6" w:rsidP="002B7BFF">
            <w:pPr>
              <w:jc w:val="both"/>
              <w:rPr>
                <w:rFonts w:eastAsia="Calibri"/>
                <w:sz w:val="20"/>
                <w:lang w:val="fr-CA"/>
              </w:rPr>
            </w:pPr>
          </w:p>
        </w:tc>
      </w:tr>
      <w:tr w:rsidR="005836A6" w:rsidRPr="00723BA8" w:rsidTr="00DD30CB">
        <w:trPr>
          <w:cantSplit/>
        </w:trPr>
        <w:tc>
          <w:tcPr>
            <w:tcW w:w="2427" w:type="pct"/>
          </w:tcPr>
          <w:p w:rsidR="005836A6" w:rsidRPr="00723BA8" w:rsidRDefault="005836A6" w:rsidP="002B7BFF">
            <w:pPr>
              <w:jc w:val="both"/>
              <w:rPr>
                <w:rFonts w:eastAsia="Calibri"/>
                <w:sz w:val="20"/>
                <w:lang w:val="fr-CA"/>
              </w:rPr>
            </w:pPr>
            <w:r w:rsidRPr="00723BA8">
              <w:rPr>
                <w:rFonts w:eastAsia="Calibri"/>
                <w:sz w:val="20"/>
                <w:lang w:val="fr-CA"/>
              </w:rPr>
              <w:t>4 octobre 2010</w:t>
            </w:r>
          </w:p>
          <w:p w:rsidR="005836A6" w:rsidRPr="00723BA8" w:rsidRDefault="005836A6" w:rsidP="002B7BFF">
            <w:pPr>
              <w:jc w:val="both"/>
              <w:rPr>
                <w:rFonts w:eastAsia="Calibri"/>
                <w:sz w:val="20"/>
                <w:lang w:val="fr-CA"/>
              </w:rPr>
            </w:pPr>
            <w:r w:rsidRPr="00723BA8">
              <w:rPr>
                <w:rFonts w:eastAsia="Calibri"/>
                <w:sz w:val="20"/>
                <w:lang w:val="fr-CA"/>
              </w:rPr>
              <w:t>Cour suprême du Canada</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d’autorisation d’appel déposée</w:t>
            </w:r>
          </w:p>
          <w:p w:rsidR="005836A6" w:rsidRPr="00723BA8" w:rsidRDefault="005836A6" w:rsidP="002B7BFF">
            <w:pPr>
              <w:jc w:val="both"/>
              <w:rPr>
                <w:rFonts w:eastAsia="Calibri"/>
                <w:sz w:val="20"/>
                <w:lang w:val="fr-CA"/>
              </w:rPr>
            </w:pPr>
          </w:p>
        </w:tc>
      </w:tr>
      <w:tr w:rsidR="005836A6" w:rsidRPr="00E62A55" w:rsidTr="00DD30CB">
        <w:trPr>
          <w:cantSplit/>
        </w:trPr>
        <w:tc>
          <w:tcPr>
            <w:tcW w:w="2427" w:type="pct"/>
          </w:tcPr>
          <w:p w:rsidR="005836A6" w:rsidRPr="00723BA8" w:rsidRDefault="005836A6" w:rsidP="002B7BFF">
            <w:pPr>
              <w:jc w:val="both"/>
              <w:rPr>
                <w:rFonts w:eastAsia="Calibri"/>
                <w:sz w:val="20"/>
                <w:lang w:val="fr-CA"/>
              </w:rPr>
            </w:pPr>
            <w:r w:rsidRPr="00723BA8">
              <w:rPr>
                <w:rFonts w:eastAsia="Calibri"/>
                <w:sz w:val="20"/>
                <w:lang w:val="fr-CA"/>
              </w:rPr>
              <w:t>4 novembre 2010</w:t>
            </w:r>
          </w:p>
          <w:p w:rsidR="005836A6" w:rsidRPr="00723BA8" w:rsidRDefault="005836A6" w:rsidP="002B7BFF">
            <w:pPr>
              <w:jc w:val="both"/>
              <w:rPr>
                <w:rFonts w:eastAsia="Calibri"/>
                <w:sz w:val="20"/>
                <w:lang w:val="fr-CA"/>
              </w:rPr>
            </w:pPr>
            <w:r w:rsidRPr="00723BA8">
              <w:rPr>
                <w:rFonts w:eastAsia="Calibri"/>
                <w:sz w:val="20"/>
                <w:lang w:val="fr-CA"/>
              </w:rPr>
              <w:t>Cour suprême du Canada</w:t>
            </w: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conditionnelle d’autorisation d’appel incident déposée</w:t>
            </w:r>
          </w:p>
        </w:tc>
      </w:tr>
    </w:tbl>
    <w:p w:rsidR="004E6FA2" w:rsidRPr="005836A6" w:rsidRDefault="004E6FA2" w:rsidP="004E6FA2">
      <w:pPr>
        <w:rPr>
          <w:sz w:val="20"/>
          <w:szCs w:val="20"/>
          <w:lang w:val="fr-CA"/>
        </w:rPr>
      </w:pPr>
    </w:p>
    <w:p w:rsidR="004E6FA2" w:rsidRDefault="00CF05D4" w:rsidP="004E6FA2">
      <w:pPr>
        <w:rPr>
          <w:sz w:val="20"/>
          <w:szCs w:val="20"/>
        </w:rPr>
      </w:pPr>
      <w:r w:rsidRPr="00CF05D4">
        <w:rPr>
          <w:sz w:val="20"/>
          <w:szCs w:val="20"/>
          <w:lang w:val="fr-CA"/>
        </w:rPr>
        <w:pict>
          <v:rect id="_x0000_i1047"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DD30CB" w:rsidRPr="00DD30CB" w:rsidTr="00DD30CB">
        <w:trPr>
          <w:cantSplit/>
        </w:trPr>
        <w:tc>
          <w:tcPr>
            <w:tcW w:w="1458" w:type="dxa"/>
          </w:tcPr>
          <w:p w:rsidR="00DD30CB" w:rsidRPr="00DD30CB" w:rsidRDefault="00DD30CB" w:rsidP="00DD30CB">
            <w:pPr>
              <w:rPr>
                <w:sz w:val="20"/>
                <w:szCs w:val="20"/>
              </w:rPr>
            </w:pPr>
            <w:r w:rsidRPr="00DD30CB">
              <w:rPr>
                <w:rStyle w:val="SCCFileNumberChar"/>
                <w:sz w:val="20"/>
                <w:szCs w:val="20"/>
              </w:rPr>
              <w:t>33946</w:t>
            </w:r>
          </w:p>
          <w:p w:rsidR="00DD30CB" w:rsidRPr="00DD30CB" w:rsidRDefault="00DD30CB" w:rsidP="00DD30CB">
            <w:pPr>
              <w:rPr>
                <w:b/>
                <w:sz w:val="20"/>
                <w:szCs w:val="20"/>
                <w:lang w:val="fr-CA"/>
              </w:rPr>
            </w:pPr>
          </w:p>
        </w:tc>
        <w:tc>
          <w:tcPr>
            <w:tcW w:w="8118" w:type="dxa"/>
          </w:tcPr>
          <w:p w:rsidR="00DD30CB" w:rsidRPr="00DD30CB" w:rsidRDefault="00DD30CB" w:rsidP="00DD30CB">
            <w:pPr>
              <w:rPr>
                <w:sz w:val="20"/>
                <w:szCs w:val="20"/>
              </w:rPr>
            </w:pPr>
            <w:r w:rsidRPr="00DD30CB">
              <w:rPr>
                <w:rStyle w:val="SCCLsocChar"/>
                <w:sz w:val="20"/>
                <w:szCs w:val="20"/>
                <w:lang w:val="en-CA"/>
              </w:rPr>
              <w:t>Apotex Inc. v. Eli Lilly and Company and Eli Lilly Canada Inc.</w:t>
            </w:r>
            <w:r w:rsidRPr="00DD30CB">
              <w:rPr>
                <w:sz w:val="20"/>
                <w:szCs w:val="20"/>
              </w:rPr>
              <w:t xml:space="preserve"> (F.C.) (Civil) (By Leave)</w:t>
            </w:r>
          </w:p>
          <w:p w:rsidR="00DD30CB" w:rsidRPr="00DD30CB" w:rsidRDefault="00DD30CB" w:rsidP="00DD30CB">
            <w:pPr>
              <w:rPr>
                <w:sz w:val="20"/>
                <w:szCs w:val="20"/>
              </w:rPr>
            </w:pPr>
          </w:p>
        </w:tc>
      </w:tr>
      <w:tr w:rsidR="00DD30CB" w:rsidRPr="00DD30CB" w:rsidTr="00DD30CB">
        <w:trPr>
          <w:cantSplit/>
        </w:trPr>
        <w:tc>
          <w:tcPr>
            <w:tcW w:w="1458" w:type="dxa"/>
          </w:tcPr>
          <w:p w:rsidR="00DD30CB" w:rsidRPr="00DD30CB" w:rsidRDefault="00DD30CB" w:rsidP="00DD30CB">
            <w:pPr>
              <w:rPr>
                <w:sz w:val="20"/>
                <w:szCs w:val="20"/>
              </w:rPr>
            </w:pPr>
            <w:r w:rsidRPr="00DD30CB">
              <w:rPr>
                <w:sz w:val="20"/>
                <w:szCs w:val="20"/>
              </w:rPr>
              <w:t>Coram :</w:t>
            </w:r>
          </w:p>
        </w:tc>
        <w:tc>
          <w:tcPr>
            <w:tcW w:w="8118" w:type="dxa"/>
          </w:tcPr>
          <w:p w:rsidR="00DD30CB" w:rsidRPr="00DD30CB" w:rsidRDefault="00DD30CB" w:rsidP="00DD30CB">
            <w:pPr>
              <w:rPr>
                <w:sz w:val="20"/>
                <w:szCs w:val="20"/>
              </w:rPr>
            </w:pPr>
            <w:r w:rsidRPr="00DD30CB">
              <w:rPr>
                <w:rStyle w:val="SCCCoramChar"/>
                <w:sz w:val="20"/>
                <w:szCs w:val="20"/>
                <w:lang w:val="en-CA"/>
              </w:rPr>
              <w:t>Binnie, Fish and Rothstein JJ.</w:t>
            </w:r>
          </w:p>
          <w:p w:rsidR="00DD30CB" w:rsidRPr="00DD30CB" w:rsidRDefault="00DD30CB" w:rsidP="00DD30CB">
            <w:pPr>
              <w:rPr>
                <w:sz w:val="20"/>
                <w:szCs w:val="20"/>
                <w:u w:val="single"/>
              </w:rPr>
            </w:pPr>
          </w:p>
        </w:tc>
      </w:tr>
      <w:tr w:rsidR="00DD30CB" w:rsidRPr="00E62A55" w:rsidTr="00DD30CB">
        <w:trPr>
          <w:cantSplit/>
        </w:trPr>
        <w:tc>
          <w:tcPr>
            <w:tcW w:w="9576" w:type="dxa"/>
            <w:gridSpan w:val="2"/>
          </w:tcPr>
          <w:p w:rsidR="00DD30CB" w:rsidRPr="00DD30CB" w:rsidRDefault="00DD30CB" w:rsidP="00DD30CB">
            <w:pPr>
              <w:pStyle w:val="SCCShortJudgment"/>
              <w:rPr>
                <w:szCs w:val="20"/>
              </w:rPr>
            </w:pPr>
            <w:r w:rsidRPr="00DD30CB">
              <w:rPr>
                <w:szCs w:val="20"/>
              </w:rPr>
              <w:t>The application for leave to appeal and the application for leave to cross-appeal from the judgment of the Federal Court of Appeal, Number A-451-09, 2010 FCA 240, dated September 22, 2010, are dismissed with costs in accordance with the Tariff in Schedule B.</w:t>
            </w:r>
          </w:p>
          <w:p w:rsidR="00DD30CB" w:rsidRPr="00DD30CB" w:rsidRDefault="00DD30CB" w:rsidP="00DD30CB">
            <w:pPr>
              <w:pStyle w:val="SCCShortJudgment"/>
              <w:ind w:firstLine="0"/>
              <w:rPr>
                <w:szCs w:val="20"/>
              </w:rPr>
            </w:pPr>
          </w:p>
          <w:p w:rsidR="00DD30CB" w:rsidRPr="00DD30CB" w:rsidRDefault="00DD30CB" w:rsidP="00DD30CB">
            <w:pPr>
              <w:pStyle w:val="SCCShortJudgment"/>
              <w:rPr>
                <w:szCs w:val="20"/>
                <w:lang w:val="fr-CA"/>
              </w:rPr>
            </w:pPr>
            <w:r w:rsidRPr="00DD30CB">
              <w:rPr>
                <w:szCs w:val="20"/>
                <w:lang w:val="fr-CA"/>
              </w:rPr>
              <w:t>La demande d’autorisation d’appel et la demande d’autorisation d’appel incident de l’arrêt de la Cour d’appel fédérale, numéro A-451-09, 2010 CAF 240, daté du 22 septembre 2010, sont rejetées avec dépens selon le montant qui sera établi conformément au Tariff à l’annexe B.</w:t>
            </w:r>
          </w:p>
        </w:tc>
      </w:tr>
    </w:tbl>
    <w:p w:rsidR="005836A6" w:rsidRPr="00DD30CB" w:rsidRDefault="005836A6"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 xml:space="preserve">Intellectual property — Patents - Medicines — Infringement by importation and sale - Whether the </w:t>
            </w:r>
            <w:r w:rsidRPr="00723BA8">
              <w:rPr>
                <w:rFonts w:eastAsia="Calibri"/>
                <w:i/>
                <w:sz w:val="20"/>
              </w:rPr>
              <w:t xml:space="preserve">Saccharin </w:t>
            </w:r>
            <w:r w:rsidRPr="00723BA8">
              <w:rPr>
                <w:rFonts w:eastAsia="Calibri"/>
                <w:sz w:val="20"/>
              </w:rPr>
              <w:t xml:space="preserve">doctrine is inconsistent with the principle that the rights of a patent holder are wholly defined by the </w:t>
            </w:r>
            <w:r w:rsidRPr="00723BA8">
              <w:rPr>
                <w:rFonts w:eastAsia="Calibri"/>
                <w:i/>
                <w:sz w:val="20"/>
              </w:rPr>
              <w:t>Patent Act</w:t>
            </w:r>
            <w:r w:rsidRPr="00723BA8">
              <w:rPr>
                <w:rFonts w:eastAsia="Calibri"/>
                <w:sz w:val="20"/>
              </w:rPr>
              <w:t xml:space="preserve"> and the claims of the patent in issue — Whether the </w:t>
            </w:r>
            <w:r w:rsidRPr="00723BA8">
              <w:rPr>
                <w:rFonts w:eastAsia="Calibri"/>
                <w:i/>
                <w:sz w:val="20"/>
              </w:rPr>
              <w:t>Saccharin</w:t>
            </w:r>
            <w:r w:rsidRPr="00723BA8">
              <w:rPr>
                <w:rFonts w:eastAsia="Calibri"/>
                <w:sz w:val="20"/>
              </w:rPr>
              <w:t xml:space="preserve"> doctrine is inconsistent with the principle that Canadian patent rights are territorially limited in scope — Whether this Court should take the approach of foreign courts and renounce or limit the </w:t>
            </w:r>
            <w:r w:rsidRPr="00723BA8">
              <w:rPr>
                <w:rFonts w:eastAsia="Calibri"/>
                <w:i/>
                <w:sz w:val="20"/>
              </w:rPr>
              <w:t>Saccharin</w:t>
            </w:r>
            <w:r w:rsidRPr="00723BA8">
              <w:rPr>
                <w:rFonts w:eastAsia="Calibri"/>
                <w:sz w:val="20"/>
              </w:rPr>
              <w:t xml:space="preserve"> doctrine — Whether this Court endorsed the </w:t>
            </w:r>
            <w:r w:rsidRPr="00723BA8">
              <w:rPr>
                <w:rFonts w:eastAsia="Calibri"/>
                <w:i/>
                <w:sz w:val="20"/>
              </w:rPr>
              <w:t>Saccharin</w:t>
            </w:r>
            <w:r w:rsidRPr="00723BA8">
              <w:rPr>
                <w:rFonts w:eastAsia="Calibri"/>
                <w:sz w:val="20"/>
              </w:rPr>
              <w:t xml:space="preserve"> doctrine in </w:t>
            </w:r>
            <w:r w:rsidRPr="00723BA8">
              <w:rPr>
                <w:rFonts w:eastAsia="Calibri"/>
                <w:i/>
                <w:sz w:val="20"/>
              </w:rPr>
              <w:t>Monsanto</w:t>
            </w:r>
            <w:r w:rsidRPr="00723BA8">
              <w:rPr>
                <w:rFonts w:eastAsia="Calibri"/>
                <w:sz w:val="20"/>
              </w:rPr>
              <w:t xml:space="preserve"> </w:t>
            </w:r>
            <w:r w:rsidRPr="00723BA8">
              <w:rPr>
                <w:rFonts w:eastAsia="Calibri"/>
                <w:i/>
                <w:iCs/>
                <w:color w:val="000000"/>
                <w:sz w:val="20"/>
              </w:rPr>
              <w:t>Canada Inc.</w:t>
            </w:r>
            <w:r w:rsidRPr="00723BA8">
              <w:rPr>
                <w:rFonts w:eastAsia="Calibri"/>
                <w:color w:val="000000"/>
                <w:sz w:val="20"/>
              </w:rPr>
              <w:t xml:space="preserve"> v. </w:t>
            </w:r>
            <w:r w:rsidRPr="00723BA8">
              <w:rPr>
                <w:rFonts w:eastAsia="Calibri"/>
                <w:i/>
                <w:color w:val="000000"/>
                <w:sz w:val="20"/>
              </w:rPr>
              <w:t>Schmieser</w:t>
            </w:r>
            <w:r w:rsidRPr="00723BA8">
              <w:rPr>
                <w:rFonts w:eastAsia="Calibri"/>
                <w:color w:val="000000"/>
                <w:sz w:val="20"/>
              </w:rPr>
              <w:t>,</w:t>
            </w:r>
            <w:r w:rsidRPr="00723BA8">
              <w:rPr>
                <w:rFonts w:eastAsia="Calibri"/>
                <w:i/>
                <w:color w:val="000000"/>
                <w:sz w:val="20"/>
              </w:rPr>
              <w:t xml:space="preserve"> </w:t>
            </w:r>
            <w:r w:rsidRPr="00723BA8">
              <w:rPr>
                <w:rFonts w:eastAsia="Calibri"/>
                <w:color w:val="000000"/>
                <w:sz w:val="20"/>
              </w:rPr>
              <w:t>[2004] 1 S.C.R. 902</w:t>
            </w:r>
          </w:p>
          <w:p w:rsidR="005836A6" w:rsidRPr="00723BA8" w:rsidRDefault="005836A6" w:rsidP="002B7BFF">
            <w:pPr>
              <w:jc w:val="both"/>
              <w:rPr>
                <w:rFonts w:eastAsia="Calibri"/>
                <w:sz w:val="20"/>
              </w:rPr>
            </w:pPr>
          </w:p>
        </w:tc>
      </w:tr>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 xml:space="preserve">The Respondents (collectively, “Lilly”) owned eight Canadian patents relating to an intermediate compound used for producing the antibiotic, cefaclor.  These patents also protected the processes used to produce the intermediate.  In 1997, Apotex Inc. (“Apotex”), a generic manufacturer, obtained a notice of compliance under the </w:t>
            </w:r>
            <w:r w:rsidRPr="00723BA8">
              <w:rPr>
                <w:rFonts w:eastAsia="Calibri"/>
                <w:i/>
                <w:sz w:val="20"/>
              </w:rPr>
              <w:t>Patented Medicines (Notice of Compliance) Regulations</w:t>
            </w:r>
            <w:r w:rsidRPr="00723BA8">
              <w:rPr>
                <w:rFonts w:eastAsia="Calibri"/>
                <w:sz w:val="20"/>
              </w:rPr>
              <w:t xml:space="preserve">, SOR/93-133, to market its generic version of cefaclor.  Apotex imported into Canada the intermediate for producing cefaclor from foreign suppliers.  It was used by Apotex to manufacture finished dosage forms of the drug to be sold in Canada.  After Apotex obtained its notice of compliance, Lilly commenced an infringement action with respect to Apotex’s activities.  The primary question was whether the process used by the foreign suppliers in the manufacture of the bulk cefaclor infringed the eight patents in issue.  Apotex raised issues relating to the validity of the patents.  Production of documents relating to those suppliers’ processes was ordered but until trial, Apotex maintained that it did not have that information.  At trial, over Lilly’s objections, Apotex called witnesses to testify about those manufacturing processes. </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t>October 1, 2009</w:t>
            </w:r>
          </w:p>
          <w:p w:rsidR="005836A6" w:rsidRPr="00723BA8" w:rsidRDefault="005836A6" w:rsidP="002B7BFF">
            <w:pPr>
              <w:jc w:val="both"/>
              <w:rPr>
                <w:rFonts w:eastAsia="Calibri"/>
                <w:sz w:val="20"/>
              </w:rPr>
            </w:pPr>
            <w:r w:rsidRPr="00723BA8">
              <w:rPr>
                <w:rFonts w:eastAsia="Calibri"/>
                <w:sz w:val="20"/>
              </w:rPr>
              <w:t>Federal Court</w:t>
            </w:r>
          </w:p>
          <w:p w:rsidR="005836A6" w:rsidRPr="00723BA8" w:rsidRDefault="005836A6" w:rsidP="002B7BFF">
            <w:pPr>
              <w:jc w:val="both"/>
              <w:rPr>
                <w:rFonts w:eastAsia="Calibri"/>
                <w:sz w:val="20"/>
              </w:rPr>
            </w:pPr>
            <w:r w:rsidRPr="00723BA8">
              <w:rPr>
                <w:rFonts w:eastAsia="Calibri"/>
                <w:sz w:val="20"/>
              </w:rPr>
              <w:t>(Gauthier J.)</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Trial judge admitting disputed evidence; Respondents’ patents held to be valid and infringed with respect to certain lots imported into Canada prior to June 4, 1998</w:t>
            </w:r>
          </w:p>
          <w:p w:rsidR="005836A6" w:rsidRPr="00723BA8" w:rsidRDefault="005836A6" w:rsidP="002B7BFF">
            <w:pPr>
              <w:jc w:val="both"/>
              <w:rPr>
                <w:rFonts w:eastAsia="Calibri"/>
                <w:sz w:val="20"/>
              </w:rPr>
            </w:pPr>
          </w:p>
        </w:tc>
      </w:tr>
      <w:tr w:rsidR="005836A6" w:rsidRPr="00723BA8" w:rsidTr="00DD30CB">
        <w:trPr>
          <w:cantSplit/>
        </w:trPr>
        <w:tc>
          <w:tcPr>
            <w:tcW w:w="2427" w:type="pct"/>
          </w:tcPr>
          <w:p w:rsidR="005836A6" w:rsidRPr="00723BA8" w:rsidRDefault="005836A6" w:rsidP="002B7BFF">
            <w:pPr>
              <w:jc w:val="both"/>
              <w:rPr>
                <w:rFonts w:eastAsia="Calibri"/>
                <w:sz w:val="20"/>
              </w:rPr>
            </w:pPr>
            <w:r w:rsidRPr="00723BA8">
              <w:rPr>
                <w:rFonts w:eastAsia="Calibri"/>
                <w:sz w:val="20"/>
              </w:rPr>
              <w:lastRenderedPageBreak/>
              <w:t>September 22, 2010</w:t>
            </w:r>
          </w:p>
          <w:p w:rsidR="005836A6" w:rsidRPr="00723BA8" w:rsidRDefault="005836A6" w:rsidP="002B7BFF">
            <w:pPr>
              <w:jc w:val="both"/>
              <w:rPr>
                <w:rFonts w:eastAsia="Calibri"/>
                <w:sz w:val="20"/>
              </w:rPr>
            </w:pPr>
            <w:r w:rsidRPr="00723BA8">
              <w:rPr>
                <w:rFonts w:eastAsia="Calibri"/>
                <w:sz w:val="20"/>
              </w:rPr>
              <w:t>Federal Court of Appeal</w:t>
            </w:r>
          </w:p>
          <w:p w:rsidR="005836A6" w:rsidRPr="00723BA8" w:rsidRDefault="005836A6" w:rsidP="002B7BFF">
            <w:pPr>
              <w:jc w:val="both"/>
              <w:rPr>
                <w:rFonts w:eastAsia="Calibri"/>
                <w:sz w:val="20"/>
              </w:rPr>
            </w:pPr>
            <w:r w:rsidRPr="00723BA8">
              <w:rPr>
                <w:rFonts w:eastAsia="Calibri"/>
                <w:sz w:val="20"/>
              </w:rPr>
              <w:t>(Sexton, Evans and Sharlow JJ.A.)</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 xml:space="preserve">Appeal and cross-appeal dismissed </w:t>
            </w:r>
          </w:p>
          <w:p w:rsidR="005836A6" w:rsidRPr="00723BA8" w:rsidRDefault="005836A6" w:rsidP="002B7BFF">
            <w:pPr>
              <w:jc w:val="both"/>
              <w:rPr>
                <w:rFonts w:eastAsia="Calibri"/>
                <w:sz w:val="20"/>
              </w:rPr>
            </w:pPr>
          </w:p>
        </w:tc>
      </w:tr>
      <w:tr w:rsidR="005836A6" w:rsidRPr="00723BA8" w:rsidTr="00DD30CB">
        <w:trPr>
          <w:cantSplit/>
        </w:trPr>
        <w:tc>
          <w:tcPr>
            <w:tcW w:w="2427" w:type="pct"/>
          </w:tcPr>
          <w:p w:rsidR="005836A6" w:rsidRPr="00723BA8" w:rsidRDefault="005836A6" w:rsidP="002B7BFF">
            <w:pPr>
              <w:jc w:val="both"/>
              <w:rPr>
                <w:rFonts w:eastAsia="Calibri"/>
                <w:sz w:val="20"/>
              </w:rPr>
            </w:pPr>
            <w:r w:rsidRPr="00723BA8">
              <w:rPr>
                <w:rFonts w:eastAsia="Calibri"/>
                <w:sz w:val="20"/>
              </w:rPr>
              <w:t>November 22, 2010</w:t>
            </w:r>
          </w:p>
          <w:p w:rsidR="005836A6" w:rsidRPr="00723BA8" w:rsidRDefault="005836A6" w:rsidP="002B7BFF">
            <w:pPr>
              <w:jc w:val="both"/>
              <w:rPr>
                <w:rFonts w:eastAsia="Calibri"/>
                <w:sz w:val="20"/>
              </w:rPr>
            </w:pPr>
            <w:r w:rsidRPr="00723BA8">
              <w:rPr>
                <w:rFonts w:eastAsia="Calibri"/>
                <w:sz w:val="20"/>
              </w:rPr>
              <w:t>Supreme Court of Canada</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Application for leave to appeal filed</w:t>
            </w:r>
          </w:p>
          <w:p w:rsidR="005836A6" w:rsidRPr="00723BA8" w:rsidRDefault="005836A6" w:rsidP="002B7BFF">
            <w:pPr>
              <w:jc w:val="both"/>
              <w:rPr>
                <w:rFonts w:eastAsia="Calibri"/>
                <w:sz w:val="20"/>
              </w:rPr>
            </w:pPr>
          </w:p>
        </w:tc>
      </w:tr>
      <w:tr w:rsidR="005836A6" w:rsidRPr="00723BA8" w:rsidTr="00DD30CB">
        <w:trPr>
          <w:cantSplit/>
        </w:trPr>
        <w:tc>
          <w:tcPr>
            <w:tcW w:w="2427" w:type="pct"/>
          </w:tcPr>
          <w:p w:rsidR="005836A6" w:rsidRPr="00723BA8" w:rsidRDefault="005836A6" w:rsidP="002B7BFF">
            <w:pPr>
              <w:jc w:val="both"/>
              <w:rPr>
                <w:rFonts w:eastAsia="Calibri"/>
                <w:sz w:val="20"/>
              </w:rPr>
            </w:pPr>
            <w:r w:rsidRPr="00723BA8">
              <w:rPr>
                <w:rFonts w:eastAsia="Calibri"/>
                <w:sz w:val="20"/>
              </w:rPr>
              <w:t>January 10, 2011</w:t>
            </w:r>
          </w:p>
          <w:p w:rsidR="005836A6" w:rsidRPr="00723BA8" w:rsidRDefault="005836A6" w:rsidP="002B7BFF">
            <w:pPr>
              <w:jc w:val="both"/>
              <w:rPr>
                <w:rFonts w:eastAsia="Calibri"/>
                <w:sz w:val="20"/>
              </w:rPr>
            </w:pPr>
            <w:r w:rsidRPr="00723BA8">
              <w:rPr>
                <w:rFonts w:eastAsia="Calibri"/>
                <w:sz w:val="20"/>
              </w:rPr>
              <w:t>Supreme Court of Canada</w:t>
            </w: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Application for leave to cross-appeal filed</w:t>
            </w:r>
          </w:p>
          <w:p w:rsidR="005836A6" w:rsidRPr="00723BA8" w:rsidRDefault="005836A6"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8"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836A6" w:rsidRPr="00E62A55"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 xml:space="preserve">Propriété intellectuelle — Brevets </w:t>
            </w:r>
            <w:r w:rsidRPr="00723BA8">
              <w:rPr>
                <w:rFonts w:eastAsia="Calibri"/>
                <w:sz w:val="20"/>
                <w:lang w:val="fr-CA"/>
              </w:rPr>
              <w:noBreakHyphen/>
              <w:t xml:space="preserve"> Médicaments — Contrefaçon par importation et vente — La doctrine </w:t>
            </w:r>
            <w:r w:rsidRPr="00723BA8">
              <w:rPr>
                <w:rFonts w:eastAsia="Calibri"/>
                <w:i/>
                <w:iCs/>
                <w:sz w:val="20"/>
                <w:lang w:val="fr-CA"/>
              </w:rPr>
              <w:t>Saccharin</w:t>
            </w:r>
            <w:r w:rsidRPr="00723BA8">
              <w:rPr>
                <w:rFonts w:eastAsia="Calibri"/>
                <w:sz w:val="20"/>
                <w:lang w:val="fr-CA"/>
              </w:rPr>
              <w:t xml:space="preserve"> est</w:t>
            </w:r>
            <w:r w:rsidRPr="00723BA8">
              <w:rPr>
                <w:rFonts w:eastAsia="Calibri"/>
                <w:sz w:val="20"/>
                <w:lang w:val="fr-CA"/>
              </w:rPr>
              <w:noBreakHyphen/>
              <w:t>elle incompatible avec le principe selon lequel les droits d'un titulaire de brevet sont entièrement définis par la</w:t>
            </w:r>
            <w:r w:rsidRPr="00723BA8">
              <w:rPr>
                <w:rFonts w:eastAsia="Calibri"/>
                <w:i/>
                <w:iCs/>
                <w:sz w:val="20"/>
                <w:lang w:val="fr-CA"/>
              </w:rPr>
              <w:t xml:space="preserve"> Loi sur les brevets</w:t>
            </w:r>
            <w:r w:rsidRPr="00723BA8">
              <w:rPr>
                <w:rFonts w:eastAsia="Calibri"/>
                <w:sz w:val="20"/>
                <w:lang w:val="fr-CA"/>
              </w:rPr>
              <w:t xml:space="preserve"> et les revendications du brevet en cause? — La doctrine </w:t>
            </w:r>
            <w:r w:rsidRPr="00723BA8">
              <w:rPr>
                <w:rFonts w:eastAsia="Calibri"/>
                <w:i/>
                <w:iCs/>
                <w:sz w:val="20"/>
                <w:lang w:val="fr-CA"/>
              </w:rPr>
              <w:t>Saccharin</w:t>
            </w:r>
            <w:r w:rsidRPr="00723BA8">
              <w:rPr>
                <w:rFonts w:eastAsia="Calibri"/>
                <w:sz w:val="20"/>
                <w:lang w:val="fr-CA"/>
              </w:rPr>
              <w:t xml:space="preserve"> est</w:t>
            </w:r>
            <w:r w:rsidRPr="00723BA8">
              <w:rPr>
                <w:rFonts w:eastAsia="Calibri"/>
                <w:sz w:val="20"/>
                <w:lang w:val="fr-CA"/>
              </w:rPr>
              <w:noBreakHyphen/>
              <w:t>elle incompatible avec le principe selon lequel les droits de brevet canadiens sont limités territorialement quant à leur portée? — Cette Cour devrait</w:t>
            </w:r>
            <w:r w:rsidRPr="00723BA8">
              <w:rPr>
                <w:rFonts w:eastAsia="Calibri"/>
                <w:sz w:val="20"/>
                <w:lang w:val="fr-CA"/>
              </w:rPr>
              <w:noBreakHyphen/>
              <w:t xml:space="preserve">elle adopter l'approche suivie par les tribunaux étrangers et renoncer à la doctrine </w:t>
            </w:r>
            <w:r w:rsidRPr="00723BA8">
              <w:rPr>
                <w:rFonts w:eastAsia="Calibri"/>
                <w:i/>
                <w:iCs/>
                <w:sz w:val="20"/>
                <w:lang w:val="fr-CA"/>
              </w:rPr>
              <w:t>Saccharin</w:t>
            </w:r>
            <w:r w:rsidRPr="00723BA8">
              <w:rPr>
                <w:rFonts w:eastAsia="Calibri"/>
                <w:sz w:val="20"/>
                <w:lang w:val="fr-CA"/>
              </w:rPr>
              <w:t xml:space="preserve"> ou en limiter la portée? — Cette Cour a</w:t>
            </w:r>
            <w:r w:rsidRPr="00723BA8">
              <w:rPr>
                <w:rFonts w:eastAsia="Calibri"/>
                <w:sz w:val="20"/>
                <w:lang w:val="fr-CA"/>
              </w:rPr>
              <w:noBreakHyphen/>
              <w:t>t</w:t>
            </w:r>
            <w:r w:rsidRPr="00723BA8">
              <w:rPr>
                <w:rFonts w:eastAsia="Calibri"/>
                <w:sz w:val="20"/>
                <w:lang w:val="fr-CA"/>
              </w:rPr>
              <w:noBreakHyphen/>
              <w:t xml:space="preserve">elle entériné la doctrine </w:t>
            </w:r>
            <w:r w:rsidRPr="00723BA8">
              <w:rPr>
                <w:rFonts w:eastAsia="Calibri"/>
                <w:i/>
                <w:iCs/>
                <w:sz w:val="20"/>
                <w:lang w:val="fr-CA"/>
              </w:rPr>
              <w:t>Saccharin</w:t>
            </w:r>
            <w:r w:rsidRPr="00723BA8">
              <w:rPr>
                <w:rFonts w:eastAsia="Calibri"/>
                <w:sz w:val="20"/>
                <w:lang w:val="fr-CA"/>
              </w:rPr>
              <w:t xml:space="preserve"> dans l'arrêt </w:t>
            </w:r>
            <w:r w:rsidRPr="00723BA8">
              <w:rPr>
                <w:rFonts w:eastAsia="Calibri"/>
                <w:i/>
                <w:iCs/>
                <w:sz w:val="20"/>
                <w:lang w:val="fr-CA"/>
              </w:rPr>
              <w:t>Monsanto</w:t>
            </w:r>
            <w:r w:rsidRPr="00723BA8">
              <w:rPr>
                <w:rFonts w:eastAsia="Calibri"/>
                <w:sz w:val="20"/>
                <w:lang w:val="fr-CA"/>
              </w:rPr>
              <w:t xml:space="preserve"> </w:t>
            </w:r>
            <w:r w:rsidRPr="00723BA8">
              <w:rPr>
                <w:rFonts w:eastAsia="Calibri"/>
                <w:i/>
                <w:iCs/>
                <w:color w:val="000000"/>
                <w:sz w:val="20"/>
                <w:lang w:val="fr-CA"/>
              </w:rPr>
              <w:t>Canada Inc.</w:t>
            </w:r>
            <w:r w:rsidRPr="00723BA8">
              <w:rPr>
                <w:rFonts w:eastAsia="Calibri"/>
                <w:color w:val="000000"/>
                <w:sz w:val="20"/>
                <w:lang w:val="fr-CA"/>
              </w:rPr>
              <w:t xml:space="preserve"> c. </w:t>
            </w:r>
            <w:r w:rsidRPr="00723BA8">
              <w:rPr>
                <w:rFonts w:eastAsia="Calibri"/>
                <w:i/>
                <w:iCs/>
                <w:color w:val="000000"/>
                <w:sz w:val="20"/>
                <w:lang w:val="fr-CA"/>
              </w:rPr>
              <w:t xml:space="preserve">Schmieser, </w:t>
            </w:r>
            <w:r w:rsidRPr="00723BA8">
              <w:rPr>
                <w:rFonts w:eastAsia="Calibri"/>
                <w:color w:val="000000"/>
                <w:sz w:val="20"/>
                <w:lang w:val="fr-CA"/>
              </w:rPr>
              <w:t>[2004] 1 R.C.S. 902?</w:t>
            </w:r>
          </w:p>
          <w:p w:rsidR="005836A6" w:rsidRPr="00723BA8" w:rsidRDefault="005836A6" w:rsidP="002B7BFF">
            <w:pPr>
              <w:jc w:val="both"/>
              <w:rPr>
                <w:rFonts w:eastAsia="Calibri"/>
                <w:sz w:val="20"/>
                <w:lang w:val="fr-CA"/>
              </w:rPr>
            </w:pPr>
          </w:p>
        </w:tc>
      </w:tr>
      <w:tr w:rsidR="005836A6" w:rsidRPr="00E62A55"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Les intimées (collectivement, « Lilly ») étaient titulaires de huit brevets canadiens relatifs à un composé intermédiaire utilisé dans la production d'un antibiotique, le céfaclor. Ces brevets protégeaient également les procédés utilisés pour produire l'intermédiaire. En 1997, Apotex Inc. (« Apotex »), un fabricant de médicaments génériques, a obtenu un avis de conformité en vertu du</w:t>
            </w:r>
            <w:r w:rsidRPr="00723BA8">
              <w:rPr>
                <w:rFonts w:eastAsia="Calibri"/>
                <w:i/>
                <w:iCs/>
                <w:sz w:val="20"/>
                <w:lang w:val="fr-CA"/>
              </w:rPr>
              <w:t xml:space="preserve"> Règlement sur les médicaments brevetés (avis de conformité)</w:t>
            </w:r>
            <w:r w:rsidRPr="00723BA8">
              <w:rPr>
                <w:rFonts w:eastAsia="Calibri"/>
                <w:sz w:val="20"/>
                <w:lang w:val="fr-CA"/>
              </w:rPr>
              <w:t>, DORS/93</w:t>
            </w:r>
            <w:r w:rsidRPr="00723BA8">
              <w:rPr>
                <w:rFonts w:eastAsia="Calibri"/>
                <w:sz w:val="20"/>
                <w:lang w:val="fr-CA"/>
              </w:rPr>
              <w:noBreakHyphen/>
              <w:t xml:space="preserve">133, pour commercialiser sa version générique du céfaclor. Apotex a importé au Canada l'intermédiaire pour produire le céfaclor de fournisseurs étrangers. Apotex a utilisé l’intermédiaire pour fabriquer le médicament sous sa forme posologique définitive pour la vente au Canada. Après qu’Apotex a obtenu son avis de conformité, Lilly a intenté une action en contrefaçon relativement aux activités d’Apotex. La principale question était de savoir si les procédés utilisés par les fournisseurs étrangers dans la fabrication du céflacor en vrac violaient les huit brevets en cause.  Apotex a soulevé des questions relatives à la validité des brevets. La Cour a ordonné la production de documents relatifs aux procédés de ces fournisseurs, mais jusqu'au procès, Apotex a soutenu qu'elle n'avait pas ces renseignements. Au procès, malgré les objections de Lilly, Apotex a assigné des témoins relativement à ces procédés de fabrication. </w:t>
            </w:r>
          </w:p>
          <w:p w:rsidR="005836A6" w:rsidRPr="00723BA8" w:rsidRDefault="005836A6" w:rsidP="002B7BFF">
            <w:pPr>
              <w:jc w:val="both"/>
              <w:rPr>
                <w:rFonts w:eastAsia="Calibri"/>
                <w:sz w:val="20"/>
                <w:lang w:val="fr-CA"/>
              </w:rPr>
            </w:pPr>
          </w:p>
        </w:tc>
      </w:tr>
      <w:tr w:rsidR="005836A6" w:rsidRPr="00E62A55"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1</w:t>
            </w:r>
            <w:r w:rsidRPr="00723BA8">
              <w:rPr>
                <w:rFonts w:eastAsia="Calibri"/>
                <w:sz w:val="20"/>
                <w:vertAlign w:val="superscript"/>
                <w:lang w:val="fr-CA"/>
              </w:rPr>
              <w:t>er</w:t>
            </w:r>
            <w:r w:rsidRPr="00723BA8">
              <w:rPr>
                <w:rFonts w:eastAsia="Calibri"/>
                <w:sz w:val="20"/>
                <w:lang w:val="fr-CA"/>
              </w:rPr>
              <w:t xml:space="preserve"> octobre 2009</w:t>
            </w:r>
          </w:p>
          <w:p w:rsidR="005836A6" w:rsidRPr="00723BA8" w:rsidRDefault="005836A6" w:rsidP="002B7BFF">
            <w:pPr>
              <w:jc w:val="both"/>
              <w:rPr>
                <w:rFonts w:eastAsia="Calibri"/>
                <w:sz w:val="20"/>
                <w:lang w:val="fr-CA"/>
              </w:rPr>
            </w:pPr>
            <w:r w:rsidRPr="00723BA8">
              <w:rPr>
                <w:rFonts w:eastAsia="Calibri"/>
                <w:sz w:val="20"/>
                <w:lang w:val="fr-CA"/>
              </w:rPr>
              <w:t xml:space="preserve">Cour fédérale </w:t>
            </w:r>
          </w:p>
          <w:p w:rsidR="005836A6" w:rsidRPr="00723BA8" w:rsidRDefault="005836A6" w:rsidP="002B7BFF">
            <w:pPr>
              <w:jc w:val="both"/>
              <w:rPr>
                <w:rFonts w:eastAsia="Calibri"/>
                <w:sz w:val="20"/>
                <w:lang w:val="fr-CA"/>
              </w:rPr>
            </w:pPr>
            <w:r w:rsidRPr="00723BA8">
              <w:rPr>
                <w:rFonts w:eastAsia="Calibri"/>
                <w:sz w:val="20"/>
                <w:lang w:val="fr-CA"/>
              </w:rPr>
              <w:t>(Juge Gauthier)</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La juge du procès admet la preuve contestée; elle statue que les brevets des intimées étaient valides et ont été violés relativement à certains lots importés au Canada avant le 4 juin 1998</w:t>
            </w:r>
          </w:p>
          <w:p w:rsidR="005836A6" w:rsidRPr="00723BA8" w:rsidRDefault="005836A6" w:rsidP="002B7BFF">
            <w:pPr>
              <w:jc w:val="both"/>
              <w:rPr>
                <w:rFonts w:eastAsia="Calibri"/>
                <w:sz w:val="20"/>
                <w:lang w:val="fr-CA"/>
              </w:rPr>
            </w:pPr>
          </w:p>
        </w:tc>
      </w:tr>
      <w:tr w:rsidR="005836A6" w:rsidRPr="00723BA8"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22 septembre 2010</w:t>
            </w:r>
          </w:p>
          <w:p w:rsidR="005836A6" w:rsidRPr="00723BA8" w:rsidRDefault="005836A6" w:rsidP="002B7BFF">
            <w:pPr>
              <w:jc w:val="both"/>
              <w:rPr>
                <w:rFonts w:eastAsia="Calibri"/>
                <w:sz w:val="20"/>
                <w:lang w:val="fr-CA"/>
              </w:rPr>
            </w:pPr>
            <w:r w:rsidRPr="00723BA8">
              <w:rPr>
                <w:rFonts w:eastAsia="Calibri"/>
                <w:sz w:val="20"/>
                <w:lang w:val="fr-CA"/>
              </w:rPr>
              <w:t xml:space="preserve">Cour d'appel fédérale </w:t>
            </w:r>
          </w:p>
          <w:p w:rsidR="005836A6" w:rsidRPr="00723BA8" w:rsidRDefault="005836A6" w:rsidP="002B7BFF">
            <w:pPr>
              <w:jc w:val="both"/>
              <w:rPr>
                <w:rFonts w:eastAsia="Calibri"/>
                <w:sz w:val="20"/>
                <w:lang w:val="fr-CA"/>
              </w:rPr>
            </w:pPr>
            <w:r w:rsidRPr="00723BA8">
              <w:rPr>
                <w:rFonts w:eastAsia="Calibri"/>
                <w:sz w:val="20"/>
                <w:lang w:val="fr-CA"/>
              </w:rPr>
              <w:t>(Juges Sexton, Evans et Sharlow)</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Appel et appel incident rejetés</w:t>
            </w:r>
          </w:p>
          <w:p w:rsidR="005836A6" w:rsidRPr="00723BA8" w:rsidRDefault="005836A6" w:rsidP="002B7BFF">
            <w:pPr>
              <w:jc w:val="both"/>
              <w:rPr>
                <w:rFonts w:eastAsia="Calibri"/>
                <w:sz w:val="20"/>
                <w:lang w:val="fr-CA"/>
              </w:rPr>
            </w:pPr>
          </w:p>
        </w:tc>
      </w:tr>
      <w:tr w:rsidR="005836A6" w:rsidRPr="00723BA8"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22 novembre 2010</w:t>
            </w:r>
          </w:p>
          <w:p w:rsidR="005836A6" w:rsidRPr="00723BA8" w:rsidRDefault="005836A6" w:rsidP="002B7BFF">
            <w:pPr>
              <w:jc w:val="both"/>
              <w:rPr>
                <w:rFonts w:eastAsia="Calibri"/>
                <w:sz w:val="20"/>
                <w:lang w:val="fr-CA"/>
              </w:rPr>
            </w:pPr>
            <w:r w:rsidRPr="00723BA8">
              <w:rPr>
                <w:rFonts w:eastAsia="Calibri"/>
                <w:sz w:val="20"/>
                <w:lang w:val="fr-CA"/>
              </w:rPr>
              <w:t>Cour suprême du Canada</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d'autorisation d'appel, déposée</w:t>
            </w:r>
          </w:p>
          <w:p w:rsidR="005836A6" w:rsidRPr="00723BA8" w:rsidRDefault="005836A6" w:rsidP="002B7BFF">
            <w:pPr>
              <w:jc w:val="both"/>
              <w:rPr>
                <w:rFonts w:eastAsia="Calibri"/>
                <w:sz w:val="20"/>
                <w:lang w:val="fr-CA"/>
              </w:rPr>
            </w:pPr>
          </w:p>
        </w:tc>
      </w:tr>
    </w:tbl>
    <w:p w:rsidR="00DD30CB" w:rsidRDefault="00DD30CB">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5836A6" w:rsidRPr="00723BA8" w:rsidTr="00DD30CB">
        <w:trPr>
          <w:cantSplit/>
        </w:trPr>
        <w:tc>
          <w:tcPr>
            <w:tcW w:w="2427" w:type="pct"/>
          </w:tcPr>
          <w:p w:rsidR="005836A6" w:rsidRPr="00723BA8" w:rsidRDefault="005836A6" w:rsidP="002B7BFF">
            <w:pPr>
              <w:jc w:val="both"/>
              <w:rPr>
                <w:rFonts w:eastAsia="Calibri"/>
                <w:sz w:val="20"/>
                <w:lang w:val="fr-CA"/>
              </w:rPr>
            </w:pPr>
            <w:r w:rsidRPr="00723BA8">
              <w:rPr>
                <w:rFonts w:eastAsia="Calibri"/>
                <w:sz w:val="20"/>
                <w:lang w:val="fr-CA"/>
              </w:rPr>
              <w:lastRenderedPageBreak/>
              <w:t>10 janvier 2011</w:t>
            </w:r>
          </w:p>
          <w:p w:rsidR="005836A6" w:rsidRPr="00723BA8" w:rsidRDefault="005836A6" w:rsidP="002B7BFF">
            <w:pPr>
              <w:jc w:val="both"/>
              <w:rPr>
                <w:rFonts w:eastAsia="Calibri"/>
                <w:sz w:val="20"/>
                <w:lang w:val="fr-CA"/>
              </w:rPr>
            </w:pPr>
            <w:r w:rsidRPr="00723BA8">
              <w:rPr>
                <w:rFonts w:eastAsia="Calibri"/>
                <w:sz w:val="20"/>
                <w:lang w:val="fr-CA"/>
              </w:rPr>
              <w:t>Cour suprême du Canada</w:t>
            </w: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d'autorisation d'appel incident, déposée</w:t>
            </w:r>
          </w:p>
          <w:p w:rsidR="005836A6" w:rsidRPr="00723BA8" w:rsidRDefault="005836A6"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49"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7ED0" w:rsidRPr="00967ED0" w:rsidTr="00E816E1">
        <w:trPr>
          <w:cantSplit/>
        </w:trPr>
        <w:tc>
          <w:tcPr>
            <w:tcW w:w="1458" w:type="dxa"/>
          </w:tcPr>
          <w:p w:rsidR="00967ED0" w:rsidRPr="00967ED0" w:rsidRDefault="00967ED0" w:rsidP="00E816E1">
            <w:pPr>
              <w:rPr>
                <w:sz w:val="20"/>
                <w:szCs w:val="20"/>
              </w:rPr>
            </w:pPr>
            <w:r w:rsidRPr="00967ED0">
              <w:rPr>
                <w:rStyle w:val="SCCFileNumberChar"/>
                <w:sz w:val="20"/>
                <w:szCs w:val="20"/>
              </w:rPr>
              <w:t>33951</w:t>
            </w:r>
          </w:p>
          <w:p w:rsidR="00967ED0" w:rsidRPr="00967ED0" w:rsidRDefault="00967ED0" w:rsidP="00E816E1">
            <w:pPr>
              <w:rPr>
                <w:b/>
                <w:sz w:val="20"/>
                <w:szCs w:val="20"/>
                <w:lang w:val="fr-CA"/>
              </w:rPr>
            </w:pPr>
          </w:p>
        </w:tc>
        <w:tc>
          <w:tcPr>
            <w:tcW w:w="8118" w:type="dxa"/>
          </w:tcPr>
          <w:p w:rsidR="00967ED0" w:rsidRPr="00967ED0" w:rsidRDefault="00967ED0" w:rsidP="00E816E1">
            <w:pPr>
              <w:jc w:val="both"/>
              <w:rPr>
                <w:sz w:val="20"/>
                <w:szCs w:val="20"/>
              </w:rPr>
            </w:pPr>
            <w:r w:rsidRPr="00967ED0">
              <w:rPr>
                <w:rStyle w:val="SCCLsocChar"/>
                <w:sz w:val="20"/>
                <w:szCs w:val="20"/>
                <w:lang w:val="en-CA"/>
              </w:rPr>
              <w:t>Teva Canada Limited v. Pfizer Canada Inc., Pfizer Inc., Pfizer Ireland Pharmaceuticals, Pfizer Research and Development Company N.V./S.A. and Minister of Health</w:t>
            </w:r>
            <w:r w:rsidRPr="00967ED0">
              <w:rPr>
                <w:sz w:val="20"/>
                <w:szCs w:val="20"/>
              </w:rPr>
              <w:t xml:space="preserve"> (F.C.) (Civil) (By Leave)</w:t>
            </w:r>
          </w:p>
          <w:p w:rsidR="00967ED0" w:rsidRPr="00967ED0" w:rsidRDefault="00967ED0" w:rsidP="00E816E1">
            <w:pPr>
              <w:rPr>
                <w:sz w:val="20"/>
                <w:szCs w:val="20"/>
              </w:rPr>
            </w:pPr>
          </w:p>
        </w:tc>
      </w:tr>
      <w:tr w:rsidR="00967ED0" w:rsidRPr="00967ED0" w:rsidTr="00E816E1">
        <w:trPr>
          <w:cantSplit/>
        </w:trPr>
        <w:tc>
          <w:tcPr>
            <w:tcW w:w="1458" w:type="dxa"/>
          </w:tcPr>
          <w:p w:rsidR="00967ED0" w:rsidRPr="00967ED0" w:rsidRDefault="00967ED0" w:rsidP="00E816E1">
            <w:pPr>
              <w:rPr>
                <w:sz w:val="20"/>
                <w:szCs w:val="20"/>
              </w:rPr>
            </w:pPr>
            <w:r w:rsidRPr="00967ED0">
              <w:rPr>
                <w:sz w:val="20"/>
                <w:szCs w:val="20"/>
              </w:rPr>
              <w:t>Coram :</w:t>
            </w:r>
          </w:p>
        </w:tc>
        <w:tc>
          <w:tcPr>
            <w:tcW w:w="8118" w:type="dxa"/>
          </w:tcPr>
          <w:p w:rsidR="00967ED0" w:rsidRPr="00967ED0" w:rsidRDefault="00967ED0" w:rsidP="00E816E1">
            <w:pPr>
              <w:rPr>
                <w:sz w:val="20"/>
                <w:szCs w:val="20"/>
              </w:rPr>
            </w:pPr>
            <w:r w:rsidRPr="00967ED0">
              <w:rPr>
                <w:rStyle w:val="SCCCoramChar"/>
                <w:sz w:val="20"/>
                <w:szCs w:val="20"/>
                <w:lang w:val="en-CA"/>
              </w:rPr>
              <w:t>Binnie, Rothstein and Cromwell JJ.</w:t>
            </w:r>
          </w:p>
          <w:p w:rsidR="00967ED0" w:rsidRPr="00967ED0" w:rsidRDefault="00967ED0" w:rsidP="00E816E1">
            <w:pPr>
              <w:rPr>
                <w:sz w:val="20"/>
                <w:szCs w:val="20"/>
                <w:u w:val="single"/>
              </w:rPr>
            </w:pPr>
          </w:p>
        </w:tc>
      </w:tr>
      <w:tr w:rsidR="00967ED0" w:rsidRPr="00E62A55" w:rsidTr="00E816E1">
        <w:trPr>
          <w:cantSplit/>
        </w:trPr>
        <w:tc>
          <w:tcPr>
            <w:tcW w:w="9576" w:type="dxa"/>
            <w:gridSpan w:val="2"/>
          </w:tcPr>
          <w:p w:rsidR="00967ED0" w:rsidRPr="00967ED0" w:rsidRDefault="00967ED0" w:rsidP="00E816E1">
            <w:pPr>
              <w:pStyle w:val="SCCShortJudgment"/>
              <w:rPr>
                <w:szCs w:val="20"/>
              </w:rPr>
            </w:pPr>
            <w:r w:rsidRPr="00967ED0">
              <w:rPr>
                <w:szCs w:val="20"/>
              </w:rPr>
              <w:t>The application for leave to appeal from the judgment of the Federal Court of Appeal, Number A-292-09, 2010 FCA 242, dated September 24, 2010, is granted with costs in the cause.</w:t>
            </w:r>
          </w:p>
          <w:p w:rsidR="00967ED0" w:rsidRPr="00967ED0" w:rsidRDefault="00967ED0" w:rsidP="00E816E1">
            <w:pPr>
              <w:pStyle w:val="SCCShortJudgment"/>
              <w:ind w:firstLine="0"/>
              <w:rPr>
                <w:szCs w:val="20"/>
              </w:rPr>
            </w:pPr>
          </w:p>
          <w:p w:rsidR="00967ED0" w:rsidRPr="00967ED0" w:rsidRDefault="00967ED0" w:rsidP="00E816E1">
            <w:pPr>
              <w:pStyle w:val="SCCShortJudgment"/>
              <w:rPr>
                <w:szCs w:val="20"/>
                <w:lang w:val="fr-CA"/>
              </w:rPr>
            </w:pPr>
            <w:r w:rsidRPr="00967ED0">
              <w:rPr>
                <w:szCs w:val="20"/>
                <w:lang w:val="fr-CA"/>
              </w:rPr>
              <w:t xml:space="preserve">La demande d’autorisation d’appel de l’arrêt de la Cour d’appel fédérale, numéro A-292-09, 2010 CAF 242, daté du 24 septembre 2010, est accordée avec dépens suivant l’issue de la cause. </w:t>
            </w:r>
          </w:p>
        </w:tc>
      </w:tr>
    </w:tbl>
    <w:p w:rsidR="005836A6" w:rsidRPr="00967ED0" w:rsidRDefault="005836A6"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 xml:space="preserve">Patents — Medicines — Construction of patents — Disclosure — Sufficiency of disclosure — Whether guidance is needed on the law of sufficiency of disclosure — Whether an allegation of insufficiency is at the “heart of the patent system” or a “technical attack” — Whether the Federal Court of Appeal has confused the </w:t>
            </w:r>
            <w:r w:rsidRPr="00723BA8">
              <w:rPr>
                <w:rFonts w:eastAsia="Calibri"/>
                <w:i/>
                <w:sz w:val="20"/>
              </w:rPr>
              <w:t>Consolboard</w:t>
            </w:r>
            <w:r w:rsidRPr="00723BA8">
              <w:rPr>
                <w:rFonts w:eastAsia="Calibri"/>
                <w:sz w:val="20"/>
              </w:rPr>
              <w:t xml:space="preserve"> questions — Whether the Federal Court of Appeal condones the imposition of a research project — Whether the Federal Court of Appeal’s “claim based” approach rewrites the law of sufficiency of disclosure — Whether the Federal Court of Appeal confuses disclosure of invention with “best mode” — Whether the Federal Court of Appeal imposes a crippling “wait and see” regime on generic manufacturers.</w:t>
            </w:r>
          </w:p>
          <w:p w:rsidR="005836A6" w:rsidRPr="00723BA8" w:rsidRDefault="005836A6" w:rsidP="002B7BFF">
            <w:pPr>
              <w:jc w:val="both"/>
              <w:rPr>
                <w:rFonts w:eastAsia="Calibri"/>
                <w:sz w:val="20"/>
              </w:rPr>
            </w:pPr>
          </w:p>
        </w:tc>
      </w:tr>
      <w:tr w:rsidR="005836A6" w:rsidRPr="00723BA8" w:rsidTr="002B7BFF">
        <w:tc>
          <w:tcPr>
            <w:tcW w:w="5000" w:type="pct"/>
            <w:gridSpan w:val="3"/>
          </w:tcPr>
          <w:p w:rsidR="005836A6" w:rsidRPr="00723BA8" w:rsidRDefault="005836A6" w:rsidP="002B7BFF">
            <w:pPr>
              <w:jc w:val="both"/>
              <w:rPr>
                <w:rFonts w:eastAsia="Calibri"/>
                <w:sz w:val="20"/>
              </w:rPr>
            </w:pPr>
            <w:r w:rsidRPr="00723BA8">
              <w:rPr>
                <w:rFonts w:eastAsia="Calibri"/>
                <w:sz w:val="20"/>
              </w:rPr>
              <w:t>In 1994, Pfizer applied for a patent for a range of compounds, of which it claimed that one compound was effective for the oral treatment of erectile dysfunction. It received Patent 2,163,446 on July 7, 1998. Patent ’446 expires in 2014.</w:t>
            </w:r>
          </w:p>
          <w:p w:rsidR="005836A6" w:rsidRPr="00723BA8" w:rsidRDefault="005836A6" w:rsidP="002B7BFF">
            <w:pPr>
              <w:jc w:val="both"/>
              <w:rPr>
                <w:rFonts w:eastAsia="Calibri"/>
                <w:sz w:val="20"/>
              </w:rPr>
            </w:pPr>
          </w:p>
          <w:p w:rsidR="005836A6" w:rsidRPr="00723BA8" w:rsidRDefault="005836A6" w:rsidP="002B7BFF">
            <w:pPr>
              <w:jc w:val="both"/>
              <w:rPr>
                <w:rFonts w:eastAsia="Calibri"/>
                <w:sz w:val="20"/>
              </w:rPr>
            </w:pPr>
            <w:r w:rsidRPr="00723BA8">
              <w:rPr>
                <w:rFonts w:eastAsia="Calibri"/>
                <w:sz w:val="20"/>
              </w:rPr>
              <w:t xml:space="preserve">The disclosure explains that the invention concerns the use of a compound of formula (I) or a salt thereof as a medicament for the treatment of erectile dysfunction. Claim 1 </w:t>
            </w:r>
            <w:proofErr w:type="gramStart"/>
            <w:r w:rsidRPr="00723BA8">
              <w:rPr>
                <w:rFonts w:eastAsia="Calibri"/>
                <w:sz w:val="20"/>
              </w:rPr>
              <w:t>sets</w:t>
            </w:r>
            <w:proofErr w:type="gramEnd"/>
            <w:r w:rsidRPr="00723BA8">
              <w:rPr>
                <w:rFonts w:eastAsia="Calibri"/>
                <w:sz w:val="20"/>
              </w:rPr>
              <w:t xml:space="preserve"> out formula (I), which produces 260 quintillion possible compounds. Claims 2</w:t>
            </w:r>
            <w:r w:rsidRPr="00723BA8">
              <w:rPr>
                <w:rFonts w:eastAsia="Calibri"/>
                <w:sz w:val="20"/>
              </w:rPr>
              <w:noBreakHyphen/>
              <w:t xml:space="preserve">5 are for successively smaller ranges of compounds of formula (I), with Claim 5 being narrowed to a range of nine compounds. Claims 6 and 7 refer to one compound each. Neither the disclosure nor the claims disclose that Claim 7 contains the effective </w:t>
            </w:r>
            <w:proofErr w:type="gramStart"/>
            <w:r w:rsidRPr="00723BA8">
              <w:rPr>
                <w:rFonts w:eastAsia="Calibri"/>
                <w:sz w:val="20"/>
              </w:rPr>
              <w:t>compound, that</w:t>
            </w:r>
            <w:proofErr w:type="gramEnd"/>
            <w:r w:rsidRPr="00723BA8">
              <w:rPr>
                <w:rFonts w:eastAsia="Calibri"/>
                <w:sz w:val="20"/>
              </w:rPr>
              <w:t xml:space="preserve"> sildenafil is that compound, or that it is the only active compound sold commercially under the trade name Viagra. Nor does it disclose that the remaining compounds in the patent had not been found to treat erectile dysfunction.</w:t>
            </w:r>
          </w:p>
          <w:p w:rsidR="005836A6" w:rsidRPr="00723BA8" w:rsidRDefault="005836A6" w:rsidP="002B7BFF">
            <w:pPr>
              <w:jc w:val="both"/>
              <w:rPr>
                <w:rFonts w:eastAsia="Calibri"/>
                <w:sz w:val="20"/>
              </w:rPr>
            </w:pPr>
          </w:p>
          <w:p w:rsidR="005836A6" w:rsidRPr="00723BA8" w:rsidRDefault="005836A6" w:rsidP="002B7BFF">
            <w:pPr>
              <w:jc w:val="both"/>
              <w:rPr>
                <w:rFonts w:eastAsia="Calibri"/>
                <w:sz w:val="20"/>
              </w:rPr>
            </w:pPr>
            <w:r w:rsidRPr="00723BA8">
              <w:rPr>
                <w:rFonts w:eastAsia="Calibri"/>
                <w:sz w:val="20"/>
              </w:rPr>
              <w:t xml:space="preserve">Novopharm, now Teva, applied for a Notice of Compliance to produce a generic version of Viagra, alleging that the patent was invalid for obviousness, lack of </w:t>
            </w:r>
            <w:proofErr w:type="gramStart"/>
            <w:r w:rsidRPr="00723BA8">
              <w:rPr>
                <w:rFonts w:eastAsia="Calibri"/>
                <w:sz w:val="20"/>
              </w:rPr>
              <w:t>utility,</w:t>
            </w:r>
            <w:proofErr w:type="gramEnd"/>
            <w:r w:rsidRPr="00723BA8">
              <w:rPr>
                <w:rFonts w:eastAsia="Calibri"/>
                <w:sz w:val="20"/>
              </w:rPr>
              <w:t xml:space="preserve"> and insufficient disclosure. The Federal Court judge found that the patent was not obvious, had utility, and did not fail to adequately disclose the invention. He prohibited the Minister from issuing the requested Notice of Compliance. The Federal Court of Appeal dismissed an appeal.</w:t>
            </w:r>
          </w:p>
          <w:p w:rsidR="005836A6" w:rsidRPr="00723BA8" w:rsidRDefault="005836A6" w:rsidP="002B7BFF">
            <w:pPr>
              <w:jc w:val="both"/>
              <w:rPr>
                <w:rFonts w:eastAsia="Calibri"/>
                <w:sz w:val="20"/>
              </w:rPr>
            </w:pPr>
          </w:p>
        </w:tc>
      </w:tr>
      <w:tr w:rsidR="005836A6" w:rsidRPr="00723BA8" w:rsidTr="002B7BFF">
        <w:tc>
          <w:tcPr>
            <w:tcW w:w="2427" w:type="pct"/>
          </w:tcPr>
          <w:p w:rsidR="005836A6" w:rsidRPr="00723BA8" w:rsidRDefault="005836A6" w:rsidP="002B7BFF">
            <w:pPr>
              <w:jc w:val="both"/>
              <w:rPr>
                <w:rFonts w:eastAsia="Calibri"/>
                <w:sz w:val="20"/>
              </w:rPr>
            </w:pPr>
            <w:r w:rsidRPr="00723BA8">
              <w:rPr>
                <w:rFonts w:eastAsia="Calibri"/>
                <w:sz w:val="20"/>
              </w:rPr>
              <w:t>June 18, 2009</w:t>
            </w:r>
          </w:p>
          <w:p w:rsidR="005836A6" w:rsidRPr="00723BA8" w:rsidRDefault="005836A6" w:rsidP="002B7BFF">
            <w:pPr>
              <w:jc w:val="both"/>
              <w:rPr>
                <w:rFonts w:eastAsia="Calibri"/>
                <w:sz w:val="20"/>
              </w:rPr>
            </w:pPr>
            <w:r w:rsidRPr="00723BA8">
              <w:rPr>
                <w:rFonts w:eastAsia="Calibri"/>
                <w:sz w:val="20"/>
              </w:rPr>
              <w:t>Federal Court</w:t>
            </w:r>
          </w:p>
          <w:p w:rsidR="005836A6" w:rsidRPr="00723BA8" w:rsidRDefault="005836A6" w:rsidP="002B7BFF">
            <w:pPr>
              <w:jc w:val="both"/>
              <w:rPr>
                <w:rFonts w:eastAsia="Calibri"/>
                <w:sz w:val="20"/>
              </w:rPr>
            </w:pPr>
            <w:r w:rsidRPr="00723BA8">
              <w:rPr>
                <w:rFonts w:eastAsia="Calibri"/>
                <w:sz w:val="20"/>
              </w:rPr>
              <w:t>(Kelen J.)</w:t>
            </w:r>
          </w:p>
          <w:p w:rsidR="005836A6" w:rsidRPr="00723BA8" w:rsidRDefault="005836A6" w:rsidP="002B7BFF">
            <w:pPr>
              <w:jc w:val="both"/>
              <w:rPr>
                <w:rFonts w:eastAsia="Calibri"/>
                <w:sz w:val="20"/>
              </w:rPr>
            </w:pPr>
            <w:r w:rsidRPr="00723BA8">
              <w:rPr>
                <w:rFonts w:eastAsia="Calibri"/>
                <w:sz w:val="20"/>
              </w:rPr>
              <w:t>Neutral citation: 2009 FC 638</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Application allowed; Minister of Health prohibited from issuing Notice of Compliance  for a generic version of Viagra until Patent 2,163,446 expires</w:t>
            </w:r>
          </w:p>
          <w:p w:rsidR="005836A6" w:rsidRPr="00723BA8" w:rsidRDefault="005836A6" w:rsidP="002B7BFF">
            <w:pPr>
              <w:jc w:val="both"/>
              <w:rPr>
                <w:rFonts w:eastAsia="Calibri"/>
                <w:sz w:val="20"/>
              </w:rPr>
            </w:pPr>
          </w:p>
        </w:tc>
      </w:tr>
      <w:tr w:rsidR="005836A6" w:rsidRPr="00723BA8" w:rsidTr="008112F7">
        <w:trPr>
          <w:cantSplit/>
        </w:trPr>
        <w:tc>
          <w:tcPr>
            <w:tcW w:w="2427" w:type="pct"/>
          </w:tcPr>
          <w:p w:rsidR="005836A6" w:rsidRPr="00723BA8" w:rsidRDefault="005836A6" w:rsidP="002B7BFF">
            <w:pPr>
              <w:jc w:val="both"/>
              <w:rPr>
                <w:rFonts w:eastAsia="Calibri"/>
                <w:sz w:val="20"/>
              </w:rPr>
            </w:pPr>
            <w:r w:rsidRPr="00723BA8">
              <w:rPr>
                <w:rFonts w:eastAsia="Calibri"/>
                <w:sz w:val="20"/>
              </w:rPr>
              <w:lastRenderedPageBreak/>
              <w:t>September 24, 2010</w:t>
            </w:r>
          </w:p>
          <w:p w:rsidR="005836A6" w:rsidRPr="00723BA8" w:rsidRDefault="005836A6" w:rsidP="002B7BFF">
            <w:pPr>
              <w:jc w:val="both"/>
              <w:rPr>
                <w:rFonts w:eastAsia="Calibri"/>
                <w:sz w:val="20"/>
              </w:rPr>
            </w:pPr>
            <w:r w:rsidRPr="00723BA8">
              <w:rPr>
                <w:rFonts w:eastAsia="Calibri"/>
                <w:sz w:val="20"/>
              </w:rPr>
              <w:t>Federal Court of Appeal</w:t>
            </w:r>
          </w:p>
          <w:p w:rsidR="005836A6" w:rsidRPr="00723BA8" w:rsidRDefault="005836A6" w:rsidP="002B7BFF">
            <w:pPr>
              <w:jc w:val="both"/>
              <w:rPr>
                <w:rFonts w:eastAsia="Calibri"/>
                <w:sz w:val="20"/>
              </w:rPr>
            </w:pPr>
            <w:r w:rsidRPr="00723BA8">
              <w:rPr>
                <w:rFonts w:eastAsia="Calibri"/>
                <w:sz w:val="20"/>
              </w:rPr>
              <w:t>(Blais C.J., Nadon and Trudel JJ.A.)</w:t>
            </w:r>
          </w:p>
          <w:p w:rsidR="005836A6" w:rsidRPr="00723BA8" w:rsidRDefault="005836A6" w:rsidP="002B7BFF">
            <w:pPr>
              <w:jc w:val="both"/>
              <w:rPr>
                <w:rFonts w:eastAsia="Calibri"/>
                <w:sz w:val="20"/>
              </w:rPr>
            </w:pPr>
            <w:r w:rsidRPr="00723BA8">
              <w:rPr>
                <w:rFonts w:eastAsia="Calibri"/>
                <w:sz w:val="20"/>
              </w:rPr>
              <w:t>Neutral citation: 2010 FCA 242</w:t>
            </w:r>
          </w:p>
          <w:p w:rsidR="005836A6" w:rsidRPr="00723BA8" w:rsidRDefault="005836A6" w:rsidP="002B7BFF">
            <w:pPr>
              <w:jc w:val="both"/>
              <w:rPr>
                <w:rFonts w:eastAsia="Calibri"/>
                <w:sz w:val="20"/>
              </w:rPr>
            </w:pP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Appeal dismissed with costs</w:t>
            </w:r>
          </w:p>
          <w:p w:rsidR="005836A6" w:rsidRPr="00723BA8" w:rsidRDefault="005836A6" w:rsidP="002B7BFF">
            <w:pPr>
              <w:jc w:val="both"/>
              <w:rPr>
                <w:rFonts w:eastAsia="Calibri"/>
                <w:sz w:val="20"/>
              </w:rPr>
            </w:pPr>
          </w:p>
        </w:tc>
      </w:tr>
      <w:tr w:rsidR="005836A6" w:rsidRPr="00723BA8" w:rsidTr="008112F7">
        <w:trPr>
          <w:cantSplit/>
        </w:trPr>
        <w:tc>
          <w:tcPr>
            <w:tcW w:w="2427" w:type="pct"/>
          </w:tcPr>
          <w:p w:rsidR="005836A6" w:rsidRPr="00723BA8" w:rsidRDefault="005836A6" w:rsidP="002B7BFF">
            <w:pPr>
              <w:jc w:val="both"/>
              <w:rPr>
                <w:rFonts w:eastAsia="Calibri"/>
                <w:sz w:val="20"/>
              </w:rPr>
            </w:pPr>
            <w:r w:rsidRPr="00723BA8">
              <w:rPr>
                <w:rFonts w:eastAsia="Calibri"/>
                <w:sz w:val="20"/>
              </w:rPr>
              <w:t>November 23, 2010</w:t>
            </w:r>
          </w:p>
          <w:p w:rsidR="005836A6" w:rsidRPr="00723BA8" w:rsidRDefault="005836A6" w:rsidP="002B7BFF">
            <w:pPr>
              <w:jc w:val="both"/>
              <w:rPr>
                <w:rFonts w:eastAsia="Calibri"/>
                <w:sz w:val="20"/>
              </w:rPr>
            </w:pPr>
            <w:r w:rsidRPr="00723BA8">
              <w:rPr>
                <w:rFonts w:eastAsia="Calibri"/>
                <w:sz w:val="20"/>
              </w:rPr>
              <w:t>Supreme Court of Canada</w:t>
            </w:r>
          </w:p>
        </w:tc>
        <w:tc>
          <w:tcPr>
            <w:tcW w:w="243" w:type="pct"/>
          </w:tcPr>
          <w:p w:rsidR="005836A6" w:rsidRPr="00723BA8" w:rsidRDefault="005836A6" w:rsidP="002B7BFF">
            <w:pPr>
              <w:jc w:val="both"/>
              <w:rPr>
                <w:rFonts w:eastAsia="Calibri"/>
                <w:sz w:val="20"/>
              </w:rPr>
            </w:pPr>
          </w:p>
        </w:tc>
        <w:tc>
          <w:tcPr>
            <w:tcW w:w="2330" w:type="pct"/>
          </w:tcPr>
          <w:p w:rsidR="005836A6" w:rsidRPr="00723BA8" w:rsidRDefault="005836A6" w:rsidP="002B7BFF">
            <w:pPr>
              <w:jc w:val="both"/>
              <w:rPr>
                <w:rFonts w:eastAsia="Calibri"/>
                <w:sz w:val="20"/>
              </w:rPr>
            </w:pPr>
            <w:r w:rsidRPr="00723BA8">
              <w:rPr>
                <w:rFonts w:eastAsia="Calibri"/>
                <w:sz w:val="20"/>
              </w:rPr>
              <w:t>Application for leave to appeal filed</w:t>
            </w:r>
          </w:p>
          <w:p w:rsidR="005836A6" w:rsidRPr="00723BA8" w:rsidRDefault="005836A6"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0"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836A6" w:rsidRPr="00E62A55"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Brevets — Médicaments — Interprétation des brevets — Divulgation — Caractère suffisant de la divulgation — Y a</w:t>
            </w:r>
            <w:r w:rsidRPr="00723BA8">
              <w:rPr>
                <w:rFonts w:eastAsia="Calibri"/>
                <w:sz w:val="20"/>
                <w:lang w:val="fr-CA"/>
              </w:rPr>
              <w:noBreakHyphen/>
              <w:t>t</w:t>
            </w:r>
            <w:r w:rsidRPr="00723BA8">
              <w:rPr>
                <w:rFonts w:eastAsia="Calibri"/>
                <w:sz w:val="20"/>
                <w:lang w:val="fr-CA"/>
              </w:rPr>
              <w:noBreakHyphen/>
              <w:t>il lieu de préciser le droit relatif au caractère suffisant de la divulgation? — Une allégation d'insuffisance de la divulgation est</w:t>
            </w:r>
            <w:r w:rsidRPr="00723BA8">
              <w:rPr>
                <w:rFonts w:eastAsia="Calibri"/>
                <w:sz w:val="20"/>
                <w:lang w:val="fr-CA"/>
              </w:rPr>
              <w:noBreakHyphen/>
              <w:t>elle « au coeur du système de brevets » ou une « attaque technique »</w:t>
            </w:r>
            <w:proofErr w:type="gramStart"/>
            <w:r w:rsidRPr="00723BA8">
              <w:rPr>
                <w:rFonts w:eastAsia="Calibri"/>
                <w:sz w:val="20"/>
                <w:lang w:val="fr-CA"/>
              </w:rPr>
              <w:t>?—</w:t>
            </w:r>
            <w:proofErr w:type="gramEnd"/>
            <w:r w:rsidRPr="00723BA8">
              <w:rPr>
                <w:rFonts w:eastAsia="Calibri"/>
                <w:sz w:val="20"/>
                <w:lang w:val="fr-CA"/>
              </w:rPr>
              <w:t xml:space="preserve"> La Cour d'appel fédérale a</w:t>
            </w:r>
            <w:r w:rsidRPr="00723BA8">
              <w:rPr>
                <w:rFonts w:eastAsia="Calibri"/>
                <w:sz w:val="20"/>
                <w:lang w:val="fr-CA"/>
              </w:rPr>
              <w:noBreakHyphen/>
              <w:t>t</w:t>
            </w:r>
            <w:r w:rsidRPr="00723BA8">
              <w:rPr>
                <w:rFonts w:eastAsia="Calibri"/>
                <w:sz w:val="20"/>
                <w:lang w:val="fr-CA"/>
              </w:rPr>
              <w:noBreakHyphen/>
              <w:t xml:space="preserve">elle confondu les questions soulevées dans l'arrêt </w:t>
            </w:r>
            <w:r w:rsidRPr="00723BA8">
              <w:rPr>
                <w:rFonts w:eastAsia="Calibri"/>
                <w:i/>
                <w:iCs/>
                <w:sz w:val="20"/>
                <w:lang w:val="fr-CA"/>
              </w:rPr>
              <w:t>Consolboard</w:t>
            </w:r>
            <w:r w:rsidRPr="00723BA8">
              <w:rPr>
                <w:rFonts w:eastAsia="Calibri"/>
                <w:sz w:val="20"/>
                <w:lang w:val="fr-CA"/>
              </w:rPr>
              <w:t>? — La Cour d'appel fédérale admet</w:t>
            </w:r>
            <w:r w:rsidRPr="00723BA8">
              <w:rPr>
                <w:rFonts w:eastAsia="Calibri"/>
                <w:sz w:val="20"/>
                <w:lang w:val="fr-CA"/>
              </w:rPr>
              <w:noBreakHyphen/>
              <w:t>elle l'imposition d'un projet de recherche? — La méthode « fondée sur les revendications » employée par la Cour d'appel fédérale a</w:t>
            </w:r>
            <w:r w:rsidRPr="00723BA8">
              <w:rPr>
                <w:rFonts w:eastAsia="Calibri"/>
                <w:sz w:val="20"/>
                <w:lang w:val="fr-CA"/>
              </w:rPr>
              <w:noBreakHyphen/>
              <w:t>t</w:t>
            </w:r>
            <w:r w:rsidRPr="00723BA8">
              <w:rPr>
                <w:rFonts w:eastAsia="Calibri"/>
                <w:sz w:val="20"/>
                <w:lang w:val="fr-CA"/>
              </w:rPr>
              <w:noBreakHyphen/>
              <w:t>elle pour effet de modifier le droit relatif au caractère suffisant de la divulgation? — La Cour d'appel fédérale confond</w:t>
            </w:r>
            <w:r w:rsidRPr="00723BA8">
              <w:rPr>
                <w:rFonts w:eastAsia="Calibri"/>
                <w:sz w:val="20"/>
                <w:lang w:val="fr-CA"/>
              </w:rPr>
              <w:noBreakHyphen/>
              <w:t>elle la divulgation de l'invention avec la « meilleure manière »? — La Cour d'appel fédérale impose</w:t>
            </w:r>
            <w:r w:rsidRPr="00723BA8">
              <w:rPr>
                <w:rFonts w:eastAsia="Calibri"/>
                <w:sz w:val="20"/>
                <w:lang w:val="fr-CA"/>
              </w:rPr>
              <w:noBreakHyphen/>
              <w:t>t</w:t>
            </w:r>
            <w:r w:rsidRPr="00723BA8">
              <w:rPr>
                <w:rFonts w:eastAsia="Calibri"/>
                <w:sz w:val="20"/>
                <w:lang w:val="fr-CA"/>
              </w:rPr>
              <w:noBreakHyphen/>
              <w:t>elle aux fabricants de médicaments génériques un régime « attentiste » paralysant?</w:t>
            </w:r>
          </w:p>
          <w:p w:rsidR="005836A6" w:rsidRPr="00723BA8" w:rsidRDefault="005836A6" w:rsidP="002B7BFF">
            <w:pPr>
              <w:jc w:val="both"/>
              <w:rPr>
                <w:rFonts w:eastAsia="Calibri"/>
                <w:sz w:val="20"/>
                <w:lang w:val="fr-CA"/>
              </w:rPr>
            </w:pPr>
          </w:p>
        </w:tc>
      </w:tr>
      <w:tr w:rsidR="005836A6" w:rsidRPr="00723BA8" w:rsidTr="002B7BFF">
        <w:tc>
          <w:tcPr>
            <w:tcW w:w="5000" w:type="pct"/>
            <w:gridSpan w:val="3"/>
          </w:tcPr>
          <w:p w:rsidR="005836A6" w:rsidRPr="00723BA8" w:rsidRDefault="005836A6" w:rsidP="002B7BFF">
            <w:pPr>
              <w:jc w:val="both"/>
              <w:rPr>
                <w:rFonts w:eastAsia="Calibri"/>
                <w:sz w:val="20"/>
                <w:lang w:val="fr-CA"/>
              </w:rPr>
            </w:pPr>
            <w:r w:rsidRPr="00723BA8">
              <w:rPr>
                <w:rFonts w:eastAsia="Calibri"/>
                <w:sz w:val="20"/>
                <w:lang w:val="fr-CA"/>
              </w:rPr>
              <w:t>En 1994, Pfizer a demandé un brevet pour un groupe de composés, revendiquant l’efficacité de l'un dans le traitement oral de la dysfonction érectile. Elle a reçu le brevet 2 163 446 le 7 juillet 1998.  Le brevet 446 expire en 2014.</w:t>
            </w:r>
          </w:p>
          <w:p w:rsidR="005836A6" w:rsidRPr="00723BA8" w:rsidRDefault="005836A6" w:rsidP="002B7BFF">
            <w:pPr>
              <w:jc w:val="both"/>
              <w:rPr>
                <w:rFonts w:eastAsia="Calibri"/>
                <w:sz w:val="20"/>
                <w:lang w:val="fr-CA"/>
              </w:rPr>
            </w:pPr>
          </w:p>
          <w:p w:rsidR="005836A6" w:rsidRPr="00723BA8" w:rsidRDefault="005836A6" w:rsidP="002B7BFF">
            <w:pPr>
              <w:jc w:val="both"/>
              <w:rPr>
                <w:rFonts w:eastAsia="Calibri"/>
                <w:sz w:val="20"/>
                <w:lang w:val="fr-CA"/>
              </w:rPr>
            </w:pPr>
            <w:r w:rsidRPr="00723BA8">
              <w:rPr>
                <w:rFonts w:eastAsia="Calibri"/>
                <w:sz w:val="20"/>
                <w:lang w:val="fr-CA"/>
              </w:rPr>
              <w:t>Dans la revendication, il est dit que l'invention porte sur l'utilisation d'un composé de la formule (I) ou d’un sel de celui</w:t>
            </w:r>
            <w:r w:rsidRPr="00723BA8">
              <w:rPr>
                <w:rFonts w:eastAsia="Calibri"/>
                <w:sz w:val="20"/>
                <w:lang w:val="fr-CA"/>
              </w:rPr>
              <w:noBreakHyphen/>
              <w:t>ci comme médicament pour le traitement de la dysfonction érectile.  La revendication 1 énonce de la formule (I), qui produit 260 quintillions de composés possibles.  Les revendications 2 à 5 portent sur des groupes plus restreints de la formule (I), la revendication 5 étant restreinte à un groupe de neuf composés.  Les revendications 6 et 7 portent sur un composé chacune.  Ni l’exposé de l’invention ni les revendications ne divulgue le fait que la revendication 7 renferme le composé efficace, que le sildénafil est ce composé ou s'il s'agit du seul le composé actif vendu commercialement sous le nom commercial de Viagra.  Ils ne divulguent pas non plus que les autres composés du brevet pouvaient traiter la dysfonction érectile.</w:t>
            </w:r>
          </w:p>
          <w:p w:rsidR="005836A6" w:rsidRPr="00723BA8" w:rsidRDefault="005836A6" w:rsidP="002B7BFF">
            <w:pPr>
              <w:jc w:val="both"/>
              <w:rPr>
                <w:rFonts w:eastAsia="Calibri"/>
                <w:sz w:val="20"/>
                <w:lang w:val="fr-CA"/>
              </w:rPr>
            </w:pPr>
          </w:p>
          <w:p w:rsidR="005836A6" w:rsidRPr="00723BA8" w:rsidRDefault="005836A6" w:rsidP="002B7BFF">
            <w:pPr>
              <w:jc w:val="both"/>
              <w:rPr>
                <w:rFonts w:eastAsia="Calibri"/>
                <w:sz w:val="20"/>
                <w:lang w:val="fr-CA"/>
              </w:rPr>
            </w:pPr>
            <w:r w:rsidRPr="00723BA8">
              <w:rPr>
                <w:rFonts w:eastAsia="Calibri"/>
                <w:sz w:val="20"/>
                <w:lang w:val="fr-CA"/>
              </w:rPr>
              <w:t>Novopharm, maintenant Teva, a demandé un avis de conformité pour produire une version générique du Viagra, alléguant que le brevet était invalide pour cause d’évidence, d’absence d’utilité et d’insuffisance de la divulgation.  Le juge de la Cour fédérale a conclu que le brevet n'était pas évident, qu'il était utile et qu'il divulguait adéquatement l'invention.  Il a interdit au ministre de délivrer l'avis de conformité demandé.  La Cour d'appel fédérale a rejeté l'appel.</w:t>
            </w:r>
          </w:p>
          <w:p w:rsidR="005836A6" w:rsidRPr="00723BA8" w:rsidRDefault="005836A6" w:rsidP="002B7BFF">
            <w:pPr>
              <w:jc w:val="both"/>
              <w:rPr>
                <w:rFonts w:eastAsia="Calibri"/>
                <w:sz w:val="20"/>
                <w:lang w:val="fr-CA"/>
              </w:rPr>
            </w:pPr>
          </w:p>
        </w:tc>
      </w:tr>
      <w:tr w:rsidR="005836A6" w:rsidRPr="00E62A55"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18 juin 2009</w:t>
            </w:r>
          </w:p>
          <w:p w:rsidR="005836A6" w:rsidRPr="00723BA8" w:rsidRDefault="005836A6" w:rsidP="002B7BFF">
            <w:pPr>
              <w:jc w:val="both"/>
              <w:rPr>
                <w:rFonts w:eastAsia="Calibri"/>
                <w:sz w:val="20"/>
                <w:lang w:val="fr-CA"/>
              </w:rPr>
            </w:pPr>
            <w:r w:rsidRPr="00723BA8">
              <w:rPr>
                <w:rFonts w:eastAsia="Calibri"/>
                <w:sz w:val="20"/>
                <w:lang w:val="fr-CA"/>
              </w:rPr>
              <w:t xml:space="preserve">Cour fédérale </w:t>
            </w:r>
          </w:p>
          <w:p w:rsidR="005836A6" w:rsidRPr="00723BA8" w:rsidRDefault="005836A6" w:rsidP="002B7BFF">
            <w:pPr>
              <w:jc w:val="both"/>
              <w:rPr>
                <w:rFonts w:eastAsia="Calibri"/>
                <w:sz w:val="20"/>
                <w:lang w:val="fr-CA"/>
              </w:rPr>
            </w:pPr>
            <w:r w:rsidRPr="00723BA8">
              <w:rPr>
                <w:rFonts w:eastAsia="Calibri"/>
                <w:sz w:val="20"/>
                <w:lang w:val="fr-CA"/>
              </w:rPr>
              <w:t>(Juge Kelen)</w:t>
            </w:r>
          </w:p>
          <w:p w:rsidR="005836A6" w:rsidRPr="00723BA8" w:rsidRDefault="005836A6" w:rsidP="002B7BFF">
            <w:pPr>
              <w:jc w:val="both"/>
              <w:rPr>
                <w:rFonts w:eastAsia="Calibri"/>
                <w:sz w:val="20"/>
                <w:lang w:val="fr-CA"/>
              </w:rPr>
            </w:pPr>
            <w:r w:rsidRPr="00723BA8">
              <w:rPr>
                <w:rFonts w:eastAsia="Calibri"/>
                <w:sz w:val="20"/>
                <w:lang w:val="fr-CA"/>
              </w:rPr>
              <w:t>Référence neutre : 2009 CF 638</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accueillie; il est interdit au ministre de la Santé de délivrer un avis de conformité pour une version générique du Viagra avant l'expiration du brevet 2 163 446</w:t>
            </w:r>
          </w:p>
          <w:p w:rsidR="005836A6" w:rsidRPr="00723BA8" w:rsidRDefault="005836A6" w:rsidP="002B7BFF">
            <w:pPr>
              <w:jc w:val="both"/>
              <w:rPr>
                <w:rFonts w:eastAsia="Calibri"/>
                <w:sz w:val="20"/>
                <w:lang w:val="fr-CA"/>
              </w:rPr>
            </w:pPr>
          </w:p>
        </w:tc>
      </w:tr>
      <w:tr w:rsidR="005836A6" w:rsidRPr="00723BA8" w:rsidTr="002B7BFF">
        <w:tc>
          <w:tcPr>
            <w:tcW w:w="2427" w:type="pct"/>
          </w:tcPr>
          <w:p w:rsidR="005836A6" w:rsidRPr="00723BA8" w:rsidRDefault="005836A6" w:rsidP="002B7BFF">
            <w:pPr>
              <w:jc w:val="both"/>
              <w:rPr>
                <w:rFonts w:eastAsia="Calibri"/>
                <w:sz w:val="20"/>
                <w:lang w:val="fr-CA"/>
              </w:rPr>
            </w:pPr>
            <w:r w:rsidRPr="00723BA8">
              <w:rPr>
                <w:rFonts w:eastAsia="Calibri"/>
                <w:sz w:val="20"/>
                <w:lang w:val="fr-CA"/>
              </w:rPr>
              <w:t>24 septembre 2010</w:t>
            </w:r>
          </w:p>
          <w:p w:rsidR="005836A6" w:rsidRPr="00723BA8" w:rsidRDefault="005836A6" w:rsidP="002B7BFF">
            <w:pPr>
              <w:jc w:val="both"/>
              <w:rPr>
                <w:rFonts w:eastAsia="Calibri"/>
                <w:sz w:val="20"/>
                <w:lang w:val="fr-CA"/>
              </w:rPr>
            </w:pPr>
            <w:r w:rsidRPr="00723BA8">
              <w:rPr>
                <w:rFonts w:eastAsia="Calibri"/>
                <w:sz w:val="20"/>
                <w:lang w:val="fr-CA"/>
              </w:rPr>
              <w:t xml:space="preserve">Cour d'appel fédérale </w:t>
            </w:r>
          </w:p>
          <w:p w:rsidR="005836A6" w:rsidRPr="00723BA8" w:rsidRDefault="005836A6" w:rsidP="002B7BFF">
            <w:pPr>
              <w:jc w:val="both"/>
              <w:rPr>
                <w:rFonts w:eastAsia="Calibri"/>
                <w:sz w:val="20"/>
                <w:lang w:val="fr-CA"/>
              </w:rPr>
            </w:pPr>
            <w:r w:rsidRPr="00723BA8">
              <w:rPr>
                <w:rFonts w:eastAsia="Calibri"/>
                <w:sz w:val="20"/>
                <w:lang w:val="fr-CA"/>
              </w:rPr>
              <w:t>(Juge en chef Blais, juges Nadon et Trudel)</w:t>
            </w:r>
          </w:p>
          <w:p w:rsidR="005836A6" w:rsidRPr="00723BA8" w:rsidRDefault="005836A6" w:rsidP="002B7BFF">
            <w:pPr>
              <w:jc w:val="both"/>
              <w:rPr>
                <w:rFonts w:eastAsia="Calibri"/>
                <w:sz w:val="20"/>
                <w:lang w:val="fr-CA"/>
              </w:rPr>
            </w:pPr>
            <w:r w:rsidRPr="00723BA8">
              <w:rPr>
                <w:rFonts w:eastAsia="Calibri"/>
                <w:sz w:val="20"/>
                <w:lang w:val="fr-CA"/>
              </w:rPr>
              <w:t>Référence neutre : 2010 FCA 242</w:t>
            </w:r>
          </w:p>
          <w:p w:rsidR="005836A6" w:rsidRPr="00723BA8" w:rsidRDefault="005836A6" w:rsidP="002B7BFF">
            <w:pPr>
              <w:jc w:val="both"/>
              <w:rPr>
                <w:rFonts w:eastAsia="Calibri"/>
                <w:sz w:val="20"/>
                <w:lang w:val="fr-CA"/>
              </w:rPr>
            </w:pP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Appel rejeté avec dépens</w:t>
            </w:r>
          </w:p>
          <w:p w:rsidR="005836A6" w:rsidRPr="00723BA8" w:rsidRDefault="005836A6" w:rsidP="002B7BFF">
            <w:pPr>
              <w:jc w:val="both"/>
              <w:rPr>
                <w:rFonts w:eastAsia="Calibri"/>
                <w:sz w:val="20"/>
                <w:lang w:val="fr-CA"/>
              </w:rPr>
            </w:pPr>
          </w:p>
        </w:tc>
      </w:tr>
    </w:tbl>
    <w:p w:rsidR="008112F7" w:rsidRDefault="008112F7">
      <w:r>
        <w:br w:type="page"/>
      </w:r>
    </w:p>
    <w:tbl>
      <w:tblPr>
        <w:tblW w:w="4952" w:type="pct"/>
        <w:tblInd w:w="2" w:type="dxa"/>
        <w:tblLayout w:type="fixed"/>
        <w:tblCellMar>
          <w:left w:w="0" w:type="dxa"/>
          <w:bottom w:w="99" w:type="dxa"/>
          <w:right w:w="0" w:type="dxa"/>
        </w:tblCellMar>
        <w:tblLook w:val="00A0"/>
      </w:tblPr>
      <w:tblGrid>
        <w:gridCol w:w="4624"/>
        <w:gridCol w:w="463"/>
        <w:gridCol w:w="4440"/>
      </w:tblGrid>
      <w:tr w:rsidR="005836A6" w:rsidRPr="00723BA8" w:rsidTr="008112F7">
        <w:trPr>
          <w:cantSplit/>
        </w:trPr>
        <w:tc>
          <w:tcPr>
            <w:tcW w:w="2427" w:type="pct"/>
          </w:tcPr>
          <w:p w:rsidR="005836A6" w:rsidRPr="00723BA8" w:rsidRDefault="005836A6" w:rsidP="002B7BFF">
            <w:pPr>
              <w:jc w:val="both"/>
              <w:rPr>
                <w:rFonts w:eastAsia="Calibri"/>
                <w:sz w:val="20"/>
                <w:lang w:val="fr-CA"/>
              </w:rPr>
            </w:pPr>
            <w:r w:rsidRPr="00723BA8">
              <w:rPr>
                <w:rFonts w:eastAsia="Calibri"/>
                <w:sz w:val="20"/>
                <w:lang w:val="fr-CA"/>
              </w:rPr>
              <w:lastRenderedPageBreak/>
              <w:t>23 novembre 2010</w:t>
            </w:r>
          </w:p>
          <w:p w:rsidR="005836A6" w:rsidRPr="00723BA8" w:rsidRDefault="005836A6" w:rsidP="002B7BFF">
            <w:pPr>
              <w:jc w:val="both"/>
              <w:rPr>
                <w:rFonts w:eastAsia="Calibri"/>
                <w:sz w:val="20"/>
                <w:lang w:val="fr-CA"/>
              </w:rPr>
            </w:pPr>
            <w:r w:rsidRPr="00723BA8">
              <w:rPr>
                <w:rFonts w:eastAsia="Calibri"/>
                <w:sz w:val="20"/>
                <w:lang w:val="fr-CA"/>
              </w:rPr>
              <w:t>Cour suprême du Canada</w:t>
            </w:r>
          </w:p>
        </w:tc>
        <w:tc>
          <w:tcPr>
            <w:tcW w:w="243" w:type="pct"/>
          </w:tcPr>
          <w:p w:rsidR="005836A6" w:rsidRPr="00723BA8" w:rsidRDefault="005836A6" w:rsidP="002B7BFF">
            <w:pPr>
              <w:jc w:val="both"/>
              <w:rPr>
                <w:rFonts w:eastAsia="Calibri"/>
                <w:sz w:val="20"/>
                <w:lang w:val="fr-CA"/>
              </w:rPr>
            </w:pPr>
          </w:p>
        </w:tc>
        <w:tc>
          <w:tcPr>
            <w:tcW w:w="2330" w:type="pct"/>
          </w:tcPr>
          <w:p w:rsidR="005836A6" w:rsidRPr="00723BA8" w:rsidRDefault="005836A6" w:rsidP="002B7BFF">
            <w:pPr>
              <w:jc w:val="both"/>
              <w:rPr>
                <w:rFonts w:eastAsia="Calibri"/>
                <w:sz w:val="20"/>
                <w:lang w:val="fr-CA"/>
              </w:rPr>
            </w:pPr>
            <w:r w:rsidRPr="00723BA8">
              <w:rPr>
                <w:rFonts w:eastAsia="Calibri"/>
                <w:sz w:val="20"/>
                <w:lang w:val="fr-CA"/>
              </w:rPr>
              <w:t>Demande d'autorisation d'appel, déposée</w:t>
            </w:r>
          </w:p>
          <w:p w:rsidR="005836A6" w:rsidRPr="00723BA8" w:rsidRDefault="005836A6"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1"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967ED0" w:rsidRPr="00E678E3" w:rsidTr="00E816E1">
        <w:trPr>
          <w:cantSplit/>
        </w:trPr>
        <w:tc>
          <w:tcPr>
            <w:tcW w:w="1458" w:type="dxa"/>
          </w:tcPr>
          <w:p w:rsidR="00967ED0" w:rsidRPr="00E678E3" w:rsidRDefault="00967ED0" w:rsidP="00E816E1">
            <w:pPr>
              <w:rPr>
                <w:sz w:val="20"/>
                <w:szCs w:val="20"/>
              </w:rPr>
            </w:pPr>
            <w:r w:rsidRPr="00E678E3">
              <w:rPr>
                <w:rStyle w:val="SCCFileNumberChar"/>
                <w:sz w:val="20"/>
                <w:szCs w:val="20"/>
              </w:rPr>
              <w:t>33968</w:t>
            </w:r>
          </w:p>
          <w:p w:rsidR="00967ED0" w:rsidRPr="00E678E3" w:rsidRDefault="00967ED0" w:rsidP="00E816E1">
            <w:pPr>
              <w:rPr>
                <w:b/>
                <w:sz w:val="20"/>
                <w:szCs w:val="20"/>
                <w:lang w:val="fr-CA"/>
              </w:rPr>
            </w:pPr>
          </w:p>
        </w:tc>
        <w:tc>
          <w:tcPr>
            <w:tcW w:w="8118" w:type="dxa"/>
          </w:tcPr>
          <w:p w:rsidR="00967ED0" w:rsidRPr="00E678E3" w:rsidRDefault="00967ED0" w:rsidP="00E816E1">
            <w:pPr>
              <w:jc w:val="both"/>
              <w:rPr>
                <w:sz w:val="20"/>
                <w:szCs w:val="20"/>
              </w:rPr>
            </w:pPr>
            <w:r w:rsidRPr="00967ED0">
              <w:rPr>
                <w:rStyle w:val="SCCLsocChar"/>
                <w:sz w:val="20"/>
                <w:szCs w:val="20"/>
                <w:lang w:val="en-CA"/>
              </w:rPr>
              <w:t>Professional Institute of the Public Service of Canada, Canadian Merchant Service Guild, Federal Government Dockyard Trades and Labour Council (East), International Brotherhood of Electrical Workers, Federal Government Dockyard Chargehands Association, Research Council Employees' Association, Association of Public Service Financial Administrators, Professional Association of Foreign Service Officers, Federal Government Dockyard Trades and Labour Council (West), Canadian Association of Professional Radio Operators, Canadian Air Traffic Control Association, Canadian Military Colleges Faculty Association and Federal Superannuates National Association v. Attorney General of Canada AND BETWEEN Public Service Alliance of Canada v. Attorney General of Canada AND BETWEEN Armed Forces Pensioners' / Annuitants' Association of Canada, Association des membres de la police Montée du Québec, British Columbia Mounted Police Professional Association, Mounted Police Association of Ontario and Canadian Association of Professional Employees v. Attorney General of Canada</w:t>
            </w:r>
            <w:r w:rsidRPr="00E678E3">
              <w:rPr>
                <w:sz w:val="20"/>
                <w:szCs w:val="20"/>
              </w:rPr>
              <w:t xml:space="preserve"> (Ont.) (Civil) (By Leave)</w:t>
            </w:r>
          </w:p>
          <w:p w:rsidR="00967ED0" w:rsidRPr="00E678E3" w:rsidRDefault="00967ED0" w:rsidP="00E816E1">
            <w:pPr>
              <w:rPr>
                <w:sz w:val="20"/>
                <w:szCs w:val="20"/>
              </w:rPr>
            </w:pPr>
          </w:p>
        </w:tc>
      </w:tr>
      <w:tr w:rsidR="00967ED0" w:rsidRPr="00E678E3" w:rsidTr="00E816E1">
        <w:trPr>
          <w:cantSplit/>
        </w:trPr>
        <w:tc>
          <w:tcPr>
            <w:tcW w:w="1458" w:type="dxa"/>
          </w:tcPr>
          <w:p w:rsidR="00967ED0" w:rsidRPr="00E678E3" w:rsidRDefault="00967ED0" w:rsidP="00E816E1">
            <w:pPr>
              <w:rPr>
                <w:sz w:val="20"/>
                <w:szCs w:val="20"/>
              </w:rPr>
            </w:pPr>
            <w:r w:rsidRPr="00E678E3">
              <w:rPr>
                <w:sz w:val="20"/>
                <w:szCs w:val="20"/>
              </w:rPr>
              <w:t>Coram :</w:t>
            </w:r>
          </w:p>
        </w:tc>
        <w:tc>
          <w:tcPr>
            <w:tcW w:w="8118" w:type="dxa"/>
          </w:tcPr>
          <w:p w:rsidR="00967ED0" w:rsidRPr="00E678E3" w:rsidRDefault="00967ED0" w:rsidP="00E816E1">
            <w:pPr>
              <w:rPr>
                <w:sz w:val="20"/>
                <w:szCs w:val="20"/>
              </w:rPr>
            </w:pPr>
            <w:r w:rsidRPr="00967ED0">
              <w:rPr>
                <w:rStyle w:val="SCCCoramChar"/>
                <w:sz w:val="20"/>
                <w:szCs w:val="20"/>
                <w:lang w:val="en-CA"/>
              </w:rPr>
              <w:t>Binnie, Fish and Rothstein JJ.</w:t>
            </w:r>
          </w:p>
          <w:p w:rsidR="00967ED0" w:rsidRPr="00E678E3" w:rsidRDefault="00967ED0" w:rsidP="00E816E1">
            <w:pPr>
              <w:rPr>
                <w:sz w:val="20"/>
                <w:szCs w:val="20"/>
                <w:u w:val="single"/>
              </w:rPr>
            </w:pPr>
          </w:p>
        </w:tc>
      </w:tr>
      <w:tr w:rsidR="00967ED0" w:rsidRPr="00E678E3" w:rsidTr="00E816E1">
        <w:trPr>
          <w:cantSplit/>
        </w:trPr>
        <w:tc>
          <w:tcPr>
            <w:tcW w:w="9576" w:type="dxa"/>
            <w:gridSpan w:val="2"/>
          </w:tcPr>
          <w:p w:rsidR="00967ED0" w:rsidRPr="00E678E3" w:rsidRDefault="00967ED0" w:rsidP="00E816E1">
            <w:pPr>
              <w:pStyle w:val="SCCShortJudgment"/>
              <w:rPr>
                <w:szCs w:val="20"/>
                <w:lang w:val="fr-CA"/>
              </w:rPr>
            </w:pPr>
            <w:r w:rsidRPr="00E678E3">
              <w:rPr>
                <w:szCs w:val="20"/>
              </w:rPr>
              <w:t xml:space="preserve">The applications for leave to appeal from the judgment of the Court of Appeal for Ontario, Numbers C48157, C48161 and C48158, 2010 ONCA 657, dated October 8, 2010, are granted with costs in the cause.  </w:t>
            </w:r>
            <w:r w:rsidRPr="00E678E3">
              <w:rPr>
                <w:szCs w:val="20"/>
                <w:lang w:val="fr-CA"/>
              </w:rPr>
              <w:t>The motion for special costs is dismissed.</w:t>
            </w:r>
          </w:p>
          <w:p w:rsidR="00967ED0" w:rsidRPr="00E678E3" w:rsidRDefault="00967ED0" w:rsidP="00E816E1">
            <w:pPr>
              <w:pStyle w:val="SCCShortJudgment"/>
              <w:ind w:firstLine="0"/>
              <w:rPr>
                <w:szCs w:val="20"/>
                <w:lang w:val="fr-CA"/>
              </w:rPr>
            </w:pPr>
          </w:p>
          <w:p w:rsidR="00967ED0" w:rsidRPr="00E678E3" w:rsidRDefault="00967ED0" w:rsidP="00E816E1">
            <w:pPr>
              <w:pStyle w:val="SCCShortJudgment"/>
              <w:rPr>
                <w:szCs w:val="20"/>
              </w:rPr>
            </w:pPr>
            <w:r w:rsidRPr="00E678E3">
              <w:rPr>
                <w:szCs w:val="20"/>
                <w:lang w:val="fr-CA"/>
              </w:rPr>
              <w:t xml:space="preserve">Les demandes d’autorisation d’appel de l’arrêt de la Cour d’appel de l’Ontario, numéros C48157, C48161 et C48158, 2010 ONCA 657, daté du 8 octobre 2010, sont accordées avec dépens suivant l’issue de la cause.  </w:t>
            </w:r>
            <w:r w:rsidRPr="00E678E3">
              <w:rPr>
                <w:szCs w:val="20"/>
              </w:rPr>
              <w:t>La requête en adjudication de dépens spéciaux est rejetée.</w:t>
            </w:r>
          </w:p>
        </w:tc>
      </w:tr>
    </w:tbl>
    <w:p w:rsidR="00C32CF2" w:rsidRDefault="00C32CF2" w:rsidP="004E6FA2">
      <w:pPr>
        <w:rPr>
          <w:sz w:val="20"/>
          <w:szCs w:val="20"/>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9527"/>
      </w:tblGrid>
      <w:tr w:rsidR="00C32CF2" w:rsidRPr="00723BA8" w:rsidTr="002B7BFF">
        <w:tc>
          <w:tcPr>
            <w:tcW w:w="5000" w:type="pct"/>
          </w:tcPr>
          <w:p w:rsidR="00C32CF2" w:rsidRPr="00723BA8" w:rsidRDefault="00C32CF2" w:rsidP="002B7BFF">
            <w:pPr>
              <w:rPr>
                <w:rFonts w:eastAsia="Calibri"/>
                <w:sz w:val="20"/>
                <w:u w:val="single"/>
              </w:rPr>
            </w:pPr>
            <w:r w:rsidRPr="00723BA8">
              <w:rPr>
                <w:rFonts w:eastAsia="Calibri"/>
                <w:sz w:val="20"/>
                <w:u w:val="single"/>
              </w:rPr>
              <w:t xml:space="preserve">First Application </w:t>
            </w:r>
          </w:p>
          <w:p w:rsidR="00C32CF2" w:rsidRPr="00723BA8" w:rsidRDefault="00C32CF2" w:rsidP="002B7BFF">
            <w:pPr>
              <w:ind w:left="720"/>
              <w:jc w:val="both"/>
              <w:rPr>
                <w:rFonts w:eastAsia="Calibri"/>
                <w:sz w:val="20"/>
              </w:rPr>
            </w:pPr>
          </w:p>
          <w:p w:rsidR="00C32CF2" w:rsidRPr="00723BA8" w:rsidRDefault="00C32CF2" w:rsidP="002B7BFF">
            <w:pPr>
              <w:jc w:val="both"/>
              <w:rPr>
                <w:rFonts w:eastAsia="Calibri"/>
                <w:sz w:val="20"/>
              </w:rPr>
            </w:pPr>
            <w:r w:rsidRPr="00723BA8">
              <w:rPr>
                <w:rFonts w:eastAsia="Calibri"/>
                <w:sz w:val="20"/>
              </w:rPr>
              <w:t xml:space="preserve">Pensions — Surplus — Public service pensions — Government employer either declaring contribution holiday or directing surplus funds to Consolidated Revenue Fund — Are all funds in the Consolidated Revenue Fund, despite their source or purpose, public monies — Are there assets in the Superannuation Account (the “SA”) established by the </w:t>
            </w:r>
            <w:r w:rsidRPr="00723BA8">
              <w:rPr>
                <w:rFonts w:eastAsia="Calibri"/>
                <w:i/>
                <w:sz w:val="20"/>
              </w:rPr>
              <w:t>Public Service Superannuation Act</w:t>
            </w:r>
            <w:r w:rsidRPr="00723BA8">
              <w:rPr>
                <w:rFonts w:eastAsia="Calibri"/>
                <w:sz w:val="20"/>
              </w:rPr>
              <w:t xml:space="preserve"> (the “</w:t>
            </w:r>
            <w:r w:rsidRPr="00723BA8">
              <w:rPr>
                <w:rFonts w:eastAsia="Calibri"/>
                <w:i/>
                <w:sz w:val="20"/>
              </w:rPr>
              <w:t>PSSA</w:t>
            </w:r>
            <w:r w:rsidRPr="00723BA8">
              <w:rPr>
                <w:rFonts w:eastAsia="Calibri"/>
                <w:sz w:val="20"/>
              </w:rPr>
              <w:t>”) — Does a Government employer owe a fiduciary duty to plan members in respect of the contributions they are statutorily required to make for pension purposes in circumstances where:  (i) the government is not subject to pension oversight legislation; (ii) the matter of pensions is not subject to collective bargaining; and, (iii) the use of surplus causes the employees’ contribution rates to significantly increase — Should a constructive trust be ordered where a Government employer enriches itself (in paying down its debt) by using surplus to the detriment of its employee (in causing their contribution rates to substantially increase) whose contributions are responsible for a significant portion of the surplus — Can legislation retroactively authorize a Government employer to extinguish or expropriate its employees’ legal or equitable interest when at the time of its enactment the government was of the view that no such interest existed.</w:t>
            </w:r>
          </w:p>
          <w:p w:rsidR="00C32CF2" w:rsidRPr="00723BA8" w:rsidRDefault="00C32CF2" w:rsidP="002B7BFF">
            <w:pPr>
              <w:ind w:left="720"/>
              <w:jc w:val="both"/>
              <w:rPr>
                <w:rFonts w:eastAsia="Calibri"/>
                <w:sz w:val="20"/>
              </w:rPr>
            </w:pPr>
          </w:p>
          <w:p w:rsidR="00C32CF2" w:rsidRPr="00723BA8" w:rsidRDefault="00C32CF2" w:rsidP="002B7BFF">
            <w:pPr>
              <w:jc w:val="both"/>
              <w:rPr>
                <w:rFonts w:eastAsia="Calibri"/>
                <w:sz w:val="20"/>
                <w:u w:val="single"/>
              </w:rPr>
            </w:pPr>
            <w:r w:rsidRPr="00723BA8">
              <w:rPr>
                <w:rFonts w:eastAsia="Calibri"/>
                <w:sz w:val="20"/>
                <w:u w:val="single"/>
              </w:rPr>
              <w:t>Second Application</w:t>
            </w:r>
          </w:p>
          <w:p w:rsidR="00C32CF2" w:rsidRPr="00723BA8" w:rsidRDefault="00C32CF2" w:rsidP="002B7BFF">
            <w:pPr>
              <w:ind w:hanging="720"/>
              <w:jc w:val="both"/>
              <w:rPr>
                <w:rFonts w:eastAsia="Calibri"/>
                <w:sz w:val="20"/>
              </w:rPr>
            </w:pPr>
          </w:p>
          <w:p w:rsidR="00C32CF2" w:rsidRPr="00723BA8" w:rsidRDefault="00C32CF2" w:rsidP="002B7BFF">
            <w:pPr>
              <w:ind w:hanging="25"/>
              <w:jc w:val="both"/>
              <w:rPr>
                <w:rFonts w:eastAsia="Calibri"/>
                <w:sz w:val="20"/>
              </w:rPr>
            </w:pPr>
            <w:r w:rsidRPr="00723BA8">
              <w:rPr>
                <w:rFonts w:eastAsia="Calibri"/>
                <w:sz w:val="20"/>
              </w:rPr>
              <w:t xml:space="preserve">Pensions — Surplus — Public service pensions — Government employer either declaring contribution holiday or directing surplus funds to Consolidated Revenue Fund — Whether the removal of the surplus and subsequent deficits in the newly created pension funds which were followed by significant increases in plan member contributions warrants this Court’s attention — Whether statutory pension plan obligations are altered by the fact that the </w:t>
            </w:r>
            <w:r w:rsidRPr="00723BA8">
              <w:rPr>
                <w:rFonts w:eastAsia="Calibri"/>
                <w:sz w:val="20"/>
              </w:rPr>
              <w:lastRenderedPageBreak/>
              <w:t>Government is required to maintain its funds in the Consolidated Revenue Fund (“CRF”) — Whether the Government is insulated from its equitable obligations based on its duties to the public at large — Whether a public employer can take a contribution holiday, or withdraw surplus amounts from an ongoing pension fund, and the rights of plan members to these amounts — Whether Parliament intended to expropriate property without compensation where it proceeds on the understanding that the property at issue already belongs to the Government.</w:t>
            </w:r>
          </w:p>
          <w:p w:rsidR="00C32CF2" w:rsidRPr="00723BA8" w:rsidRDefault="00C32CF2" w:rsidP="002B7BFF">
            <w:pPr>
              <w:ind w:left="720" w:hanging="25"/>
              <w:jc w:val="both"/>
              <w:rPr>
                <w:rFonts w:eastAsia="Calibri"/>
                <w:sz w:val="20"/>
              </w:rPr>
            </w:pPr>
          </w:p>
          <w:p w:rsidR="00C32CF2" w:rsidRPr="00723BA8" w:rsidRDefault="00C32CF2" w:rsidP="002B7BFF">
            <w:pPr>
              <w:ind w:left="29" w:hanging="29"/>
              <w:jc w:val="both"/>
              <w:rPr>
                <w:rFonts w:eastAsia="Calibri"/>
                <w:sz w:val="20"/>
              </w:rPr>
            </w:pPr>
            <w:r w:rsidRPr="00723BA8">
              <w:rPr>
                <w:rFonts w:eastAsia="Calibri"/>
                <w:sz w:val="20"/>
              </w:rPr>
              <w:t xml:space="preserve">The applicant unions and associations representing federal government employees, the RCMP and armed forces personnel brought actions against the government seeking an order requiring the government to return over $28 billion to their pension plans.  They alleged that the money had been improperly taken by way of contribution holidays and/or withdrawal of surplus.  The plans are mandatory, contributory, defined benefit pension plans and the same in all aspects relevant to the proceedings.  Their terms are not subject to collective bargaining or to the </w:t>
            </w:r>
            <w:r w:rsidRPr="00723BA8">
              <w:rPr>
                <w:rFonts w:eastAsia="Calibri"/>
                <w:i/>
                <w:sz w:val="20"/>
              </w:rPr>
              <w:t>Pension Benefits Standards Act, 1985</w:t>
            </w:r>
            <w:r w:rsidRPr="00723BA8">
              <w:rPr>
                <w:rFonts w:eastAsia="Calibri"/>
                <w:sz w:val="20"/>
              </w:rPr>
              <w:t>, R.S.C. 1985, c. 32 (2</w:t>
            </w:r>
            <w:r w:rsidRPr="00723BA8">
              <w:rPr>
                <w:rFonts w:eastAsia="Calibri"/>
                <w:sz w:val="20"/>
                <w:vertAlign w:val="superscript"/>
              </w:rPr>
              <w:t>nd</w:t>
            </w:r>
            <w:r w:rsidRPr="00723BA8">
              <w:rPr>
                <w:rFonts w:eastAsia="Calibri"/>
                <w:sz w:val="20"/>
              </w:rPr>
              <w:t xml:space="preserve"> Supp.).  Two relevant dates exist:  (1) the period up to and including March 31, 2000 which precedes the coming into force of Bill C</w:t>
            </w:r>
            <w:r w:rsidRPr="00723BA8">
              <w:rPr>
                <w:rFonts w:eastAsia="Calibri"/>
                <w:sz w:val="20"/>
              </w:rPr>
              <w:noBreakHyphen/>
              <w:t xml:space="preserve">78 (the legislation amending the </w:t>
            </w:r>
            <w:r w:rsidRPr="00723BA8">
              <w:rPr>
                <w:rFonts w:eastAsia="Calibri"/>
                <w:i/>
                <w:sz w:val="20"/>
              </w:rPr>
              <w:t>Superannuation Acts</w:t>
            </w:r>
            <w:r w:rsidRPr="00723BA8">
              <w:rPr>
                <w:rFonts w:eastAsia="Calibri"/>
                <w:sz w:val="20"/>
              </w:rPr>
              <w:t xml:space="preserve"> and thus the plans); and, (2) the period after April 1, 2000 when Bill C</w:t>
            </w:r>
            <w:r w:rsidRPr="00723BA8">
              <w:rPr>
                <w:rFonts w:eastAsia="Calibri"/>
                <w:sz w:val="20"/>
              </w:rPr>
              <w:noBreakHyphen/>
              <w:t>78 came into effect.</w:t>
            </w:r>
          </w:p>
          <w:p w:rsidR="00C32CF2" w:rsidRPr="00723BA8" w:rsidRDefault="00C32CF2" w:rsidP="002B7BFF">
            <w:pPr>
              <w:jc w:val="both"/>
              <w:rPr>
                <w:rFonts w:eastAsia="Calibri"/>
                <w:sz w:val="20"/>
              </w:rPr>
            </w:pPr>
          </w:p>
        </w:tc>
      </w:tr>
      <w:tr w:rsidR="00C32CF2" w:rsidRPr="00723BA8" w:rsidTr="002B7BFF">
        <w:tc>
          <w:tcPr>
            <w:tcW w:w="5000" w:type="pct"/>
          </w:tcPr>
          <w:tbl>
            <w:tblPr>
              <w:tblW w:w="5000" w:type="pct"/>
              <w:tblLayout w:type="fixed"/>
              <w:tblCellMar>
                <w:left w:w="0" w:type="dxa"/>
                <w:right w:w="0" w:type="dxa"/>
              </w:tblCellMar>
              <w:tblLook w:val="04A0"/>
            </w:tblPr>
            <w:tblGrid>
              <w:gridCol w:w="4510"/>
              <w:gridCol w:w="509"/>
              <w:gridCol w:w="4508"/>
            </w:tblGrid>
            <w:tr w:rsidR="00C32CF2" w:rsidRPr="00723BA8" w:rsidTr="002B7BFF">
              <w:tc>
                <w:tcPr>
                  <w:tcW w:w="2367" w:type="pct"/>
                </w:tcPr>
                <w:p w:rsidR="00C32CF2" w:rsidRPr="00723BA8" w:rsidRDefault="00C32CF2" w:rsidP="002B7BFF">
                  <w:pPr>
                    <w:jc w:val="both"/>
                    <w:rPr>
                      <w:rFonts w:eastAsia="Calibri"/>
                      <w:sz w:val="20"/>
                    </w:rPr>
                  </w:pPr>
                  <w:r w:rsidRPr="00723BA8">
                    <w:rPr>
                      <w:rFonts w:eastAsia="Calibri"/>
                      <w:sz w:val="20"/>
                    </w:rPr>
                    <w:lastRenderedPageBreak/>
                    <w:t>November 20, 2007</w:t>
                  </w:r>
                </w:p>
                <w:p w:rsidR="00C32CF2" w:rsidRPr="00723BA8" w:rsidRDefault="00C32CF2" w:rsidP="002B7BFF">
                  <w:pPr>
                    <w:jc w:val="both"/>
                    <w:rPr>
                      <w:rFonts w:eastAsia="Calibri"/>
                      <w:sz w:val="20"/>
                    </w:rPr>
                  </w:pPr>
                  <w:r w:rsidRPr="00723BA8">
                    <w:rPr>
                      <w:rFonts w:eastAsia="Calibri"/>
                      <w:sz w:val="20"/>
                    </w:rPr>
                    <w:t>Ontario Superior Court of Justice</w:t>
                  </w:r>
                </w:p>
                <w:p w:rsidR="00C32CF2" w:rsidRPr="00723BA8" w:rsidRDefault="00C32CF2" w:rsidP="002B7BFF">
                  <w:pPr>
                    <w:jc w:val="both"/>
                    <w:rPr>
                      <w:rFonts w:eastAsia="Calibri"/>
                      <w:sz w:val="20"/>
                      <w:lang w:val="fr-CA"/>
                    </w:rPr>
                  </w:pPr>
                  <w:r w:rsidRPr="00723BA8">
                    <w:rPr>
                      <w:rFonts w:eastAsia="Calibri"/>
                      <w:sz w:val="20"/>
                      <w:lang w:val="fr-CA"/>
                    </w:rPr>
                    <w:t>(Panet J.)</w:t>
                  </w:r>
                </w:p>
                <w:p w:rsidR="00C32CF2" w:rsidRPr="00723BA8" w:rsidRDefault="00C32CF2" w:rsidP="002B7BFF">
                  <w:pPr>
                    <w:jc w:val="both"/>
                    <w:rPr>
                      <w:rFonts w:eastAsia="Calibri"/>
                      <w:sz w:val="20"/>
                      <w:lang w:val="fr-CA"/>
                    </w:rPr>
                  </w:pPr>
                </w:p>
                <w:p w:rsidR="00C32CF2" w:rsidRPr="00723BA8" w:rsidRDefault="00C32CF2" w:rsidP="002B7BFF">
                  <w:pPr>
                    <w:jc w:val="both"/>
                    <w:rPr>
                      <w:rFonts w:eastAsia="Calibri"/>
                      <w:sz w:val="20"/>
                      <w:lang w:val="fr-CA"/>
                    </w:rPr>
                  </w:pPr>
                </w:p>
              </w:tc>
              <w:tc>
                <w:tcPr>
                  <w:tcW w:w="267" w:type="pct"/>
                </w:tcPr>
                <w:p w:rsidR="00C32CF2" w:rsidRPr="00723BA8" w:rsidRDefault="00C32CF2" w:rsidP="002B7BFF">
                  <w:pPr>
                    <w:jc w:val="both"/>
                    <w:rPr>
                      <w:rFonts w:eastAsia="Calibri"/>
                      <w:sz w:val="20"/>
                      <w:lang w:val="fr-CA"/>
                    </w:rPr>
                  </w:pPr>
                </w:p>
              </w:tc>
              <w:tc>
                <w:tcPr>
                  <w:tcW w:w="2366" w:type="pct"/>
                </w:tcPr>
                <w:p w:rsidR="00C32CF2" w:rsidRPr="00723BA8" w:rsidRDefault="00C32CF2" w:rsidP="002B7BFF">
                  <w:pPr>
                    <w:jc w:val="both"/>
                    <w:rPr>
                      <w:rFonts w:eastAsia="Calibri"/>
                      <w:sz w:val="20"/>
                    </w:rPr>
                  </w:pPr>
                  <w:r w:rsidRPr="00723BA8">
                    <w:rPr>
                      <w:rFonts w:eastAsia="Calibri"/>
                      <w:sz w:val="20"/>
                    </w:rPr>
                    <w:t>Declarations not granted and findings that:</w:t>
                  </w:r>
                </w:p>
                <w:p w:rsidR="00C32CF2" w:rsidRPr="00723BA8" w:rsidRDefault="00C32CF2" w:rsidP="00C32CF2">
                  <w:pPr>
                    <w:numPr>
                      <w:ilvl w:val="0"/>
                      <w:numId w:val="2"/>
                    </w:numPr>
                    <w:contextualSpacing/>
                    <w:jc w:val="both"/>
                    <w:rPr>
                      <w:sz w:val="20"/>
                      <w:lang w:eastAsia="en-CA"/>
                    </w:rPr>
                  </w:pPr>
                  <w:r w:rsidRPr="00723BA8">
                    <w:rPr>
                      <w:sz w:val="20"/>
                      <w:lang w:eastAsia="en-CA"/>
                    </w:rPr>
                    <w:t>Members of three superannuation plans have no equitable interest in Superannuation Accounts;</w:t>
                  </w:r>
                </w:p>
                <w:p w:rsidR="00C32CF2" w:rsidRPr="00723BA8" w:rsidRDefault="00C32CF2" w:rsidP="00C32CF2">
                  <w:pPr>
                    <w:numPr>
                      <w:ilvl w:val="0"/>
                      <w:numId w:val="2"/>
                    </w:numPr>
                    <w:contextualSpacing/>
                    <w:jc w:val="both"/>
                    <w:rPr>
                      <w:sz w:val="20"/>
                      <w:lang w:eastAsia="en-CA"/>
                    </w:rPr>
                  </w:pPr>
                  <w:r w:rsidRPr="00723BA8">
                    <w:rPr>
                      <w:sz w:val="20"/>
                      <w:lang w:eastAsia="en-CA"/>
                    </w:rPr>
                    <w:t>Amending legislation authorizes government to remove surplus from Superannuation Accounts;</w:t>
                  </w:r>
                </w:p>
                <w:p w:rsidR="00C32CF2" w:rsidRPr="00723BA8" w:rsidRDefault="00C32CF2" w:rsidP="00C32CF2">
                  <w:pPr>
                    <w:numPr>
                      <w:ilvl w:val="0"/>
                      <w:numId w:val="2"/>
                    </w:numPr>
                    <w:contextualSpacing/>
                    <w:jc w:val="both"/>
                    <w:rPr>
                      <w:sz w:val="20"/>
                      <w:lang w:eastAsia="en-CA"/>
                    </w:rPr>
                  </w:pPr>
                  <w:r w:rsidRPr="00723BA8">
                    <w:rPr>
                      <w:sz w:val="20"/>
                      <w:lang w:eastAsia="en-CA"/>
                    </w:rPr>
                    <w:t xml:space="preserve">Plaintiffs lack standing to seek declaration that amendments to legislation contrary to s. 15 of the </w:t>
                  </w:r>
                  <w:r w:rsidRPr="00723BA8">
                    <w:rPr>
                      <w:i/>
                      <w:sz w:val="20"/>
                      <w:lang w:eastAsia="en-CA"/>
                    </w:rPr>
                    <w:t>Charter</w:t>
                  </w:r>
                  <w:r w:rsidRPr="00723BA8">
                    <w:rPr>
                      <w:sz w:val="20"/>
                      <w:lang w:eastAsia="en-CA"/>
                    </w:rPr>
                    <w:t>.</w:t>
                  </w:r>
                </w:p>
                <w:p w:rsidR="00C32CF2" w:rsidRPr="00723BA8" w:rsidRDefault="00C32CF2" w:rsidP="002B7BFF">
                  <w:pPr>
                    <w:jc w:val="both"/>
                    <w:rPr>
                      <w:rFonts w:eastAsia="Calibri"/>
                      <w:sz w:val="20"/>
                    </w:rPr>
                  </w:pPr>
                </w:p>
              </w:tc>
            </w:tr>
            <w:tr w:rsidR="00C32CF2" w:rsidRPr="00723BA8" w:rsidTr="002B7BFF">
              <w:tc>
                <w:tcPr>
                  <w:tcW w:w="2367" w:type="pct"/>
                </w:tcPr>
                <w:p w:rsidR="00C32CF2" w:rsidRPr="00723BA8" w:rsidRDefault="00C32CF2" w:rsidP="002B7BFF">
                  <w:pPr>
                    <w:jc w:val="both"/>
                    <w:rPr>
                      <w:rFonts w:eastAsia="Calibri"/>
                      <w:sz w:val="20"/>
                    </w:rPr>
                  </w:pPr>
                  <w:r w:rsidRPr="00723BA8">
                    <w:rPr>
                      <w:rFonts w:eastAsia="Calibri"/>
                      <w:sz w:val="20"/>
                    </w:rPr>
                    <w:t>October 8, 2010</w:t>
                  </w:r>
                </w:p>
                <w:p w:rsidR="00C32CF2" w:rsidRPr="00723BA8" w:rsidRDefault="00C32CF2" w:rsidP="002B7BFF">
                  <w:pPr>
                    <w:jc w:val="both"/>
                    <w:rPr>
                      <w:rFonts w:eastAsia="Calibri"/>
                      <w:sz w:val="20"/>
                    </w:rPr>
                  </w:pPr>
                  <w:r w:rsidRPr="00723BA8">
                    <w:rPr>
                      <w:rFonts w:eastAsia="Calibri"/>
                      <w:sz w:val="20"/>
                    </w:rPr>
                    <w:t>Court of Appeal for Ontario</w:t>
                  </w:r>
                </w:p>
                <w:p w:rsidR="00C32CF2" w:rsidRPr="00723BA8" w:rsidRDefault="00C32CF2" w:rsidP="002B7BFF">
                  <w:pPr>
                    <w:jc w:val="both"/>
                    <w:rPr>
                      <w:rFonts w:eastAsia="Calibri"/>
                      <w:sz w:val="20"/>
                    </w:rPr>
                  </w:pPr>
                  <w:r w:rsidRPr="00723BA8">
                    <w:rPr>
                      <w:rFonts w:eastAsia="Calibri"/>
                      <w:sz w:val="20"/>
                    </w:rPr>
                    <w:t>(Laskin, Gillese and Juriansz JJ.A.)</w:t>
                  </w:r>
                </w:p>
                <w:p w:rsidR="00C32CF2" w:rsidRPr="00723BA8" w:rsidRDefault="00C32CF2" w:rsidP="002B7BFF">
                  <w:pPr>
                    <w:jc w:val="both"/>
                    <w:rPr>
                      <w:rFonts w:eastAsia="Calibri"/>
                      <w:sz w:val="20"/>
                    </w:rPr>
                  </w:pPr>
                  <w:r w:rsidRPr="00723BA8">
                    <w:rPr>
                      <w:rFonts w:eastAsia="Calibri"/>
                      <w:sz w:val="20"/>
                    </w:rPr>
                    <w:t>Neutral citation: 2010 ONCA 657</w:t>
                  </w:r>
                </w:p>
                <w:p w:rsidR="00C32CF2" w:rsidRPr="00723BA8" w:rsidRDefault="00C32CF2" w:rsidP="002B7BFF">
                  <w:pPr>
                    <w:jc w:val="both"/>
                    <w:rPr>
                      <w:rFonts w:eastAsia="Calibri"/>
                      <w:sz w:val="20"/>
                    </w:rPr>
                  </w:pPr>
                </w:p>
              </w:tc>
              <w:tc>
                <w:tcPr>
                  <w:tcW w:w="267" w:type="pct"/>
                </w:tcPr>
                <w:p w:rsidR="00C32CF2" w:rsidRPr="00723BA8" w:rsidRDefault="00C32CF2" w:rsidP="002B7BFF">
                  <w:pPr>
                    <w:jc w:val="both"/>
                    <w:rPr>
                      <w:rFonts w:eastAsia="Calibri"/>
                      <w:sz w:val="20"/>
                    </w:rPr>
                  </w:pPr>
                </w:p>
              </w:tc>
              <w:tc>
                <w:tcPr>
                  <w:tcW w:w="2366" w:type="pct"/>
                </w:tcPr>
                <w:p w:rsidR="00C32CF2" w:rsidRPr="00723BA8" w:rsidRDefault="00C32CF2" w:rsidP="002B7BFF">
                  <w:pPr>
                    <w:jc w:val="both"/>
                    <w:rPr>
                      <w:rFonts w:eastAsia="Calibri"/>
                      <w:sz w:val="20"/>
                    </w:rPr>
                  </w:pPr>
                  <w:r w:rsidRPr="00723BA8">
                    <w:rPr>
                      <w:rFonts w:eastAsia="Calibri"/>
                      <w:sz w:val="20"/>
                    </w:rPr>
                    <w:t>Appeals dismissed</w:t>
                  </w:r>
                </w:p>
                <w:p w:rsidR="00C32CF2" w:rsidRPr="00723BA8" w:rsidRDefault="00C32CF2" w:rsidP="002B7BFF">
                  <w:pPr>
                    <w:jc w:val="both"/>
                    <w:rPr>
                      <w:rFonts w:eastAsia="Calibri"/>
                      <w:sz w:val="20"/>
                    </w:rPr>
                  </w:pPr>
                </w:p>
              </w:tc>
            </w:tr>
            <w:tr w:rsidR="00C32CF2" w:rsidRPr="00723BA8" w:rsidTr="002B7BFF">
              <w:tc>
                <w:tcPr>
                  <w:tcW w:w="2367" w:type="pct"/>
                </w:tcPr>
                <w:p w:rsidR="00C32CF2" w:rsidRPr="00723BA8" w:rsidRDefault="00C32CF2" w:rsidP="002B7BFF">
                  <w:pPr>
                    <w:jc w:val="both"/>
                    <w:rPr>
                      <w:rFonts w:eastAsia="Calibri"/>
                      <w:sz w:val="20"/>
                    </w:rPr>
                  </w:pPr>
                  <w:r w:rsidRPr="00723BA8">
                    <w:rPr>
                      <w:rFonts w:eastAsia="Calibri"/>
                      <w:sz w:val="20"/>
                    </w:rPr>
                    <w:t>December 6, 2010</w:t>
                  </w:r>
                </w:p>
                <w:p w:rsidR="00C32CF2" w:rsidRPr="00723BA8" w:rsidRDefault="00C32CF2" w:rsidP="002B7BFF">
                  <w:pPr>
                    <w:jc w:val="both"/>
                    <w:rPr>
                      <w:rFonts w:eastAsia="Calibri"/>
                      <w:sz w:val="20"/>
                    </w:rPr>
                  </w:pPr>
                  <w:r w:rsidRPr="00723BA8">
                    <w:rPr>
                      <w:rFonts w:eastAsia="Calibri"/>
                      <w:sz w:val="20"/>
                    </w:rPr>
                    <w:t>Supreme Court of Canada</w:t>
                  </w:r>
                </w:p>
                <w:p w:rsidR="00C32CF2" w:rsidRPr="00723BA8" w:rsidRDefault="00C32CF2" w:rsidP="002B7BFF">
                  <w:pPr>
                    <w:jc w:val="both"/>
                    <w:rPr>
                      <w:rFonts w:eastAsia="Calibri"/>
                      <w:sz w:val="20"/>
                    </w:rPr>
                  </w:pPr>
                </w:p>
              </w:tc>
              <w:tc>
                <w:tcPr>
                  <w:tcW w:w="267" w:type="pct"/>
                </w:tcPr>
                <w:p w:rsidR="00C32CF2" w:rsidRPr="00723BA8" w:rsidRDefault="00C32CF2" w:rsidP="002B7BFF">
                  <w:pPr>
                    <w:jc w:val="both"/>
                    <w:rPr>
                      <w:rFonts w:eastAsia="Calibri"/>
                      <w:sz w:val="20"/>
                    </w:rPr>
                  </w:pPr>
                </w:p>
              </w:tc>
              <w:tc>
                <w:tcPr>
                  <w:tcW w:w="2366" w:type="pct"/>
                </w:tcPr>
                <w:p w:rsidR="00C32CF2" w:rsidRPr="00723BA8" w:rsidRDefault="00C32CF2" w:rsidP="002B7BFF">
                  <w:pPr>
                    <w:jc w:val="both"/>
                    <w:rPr>
                      <w:rFonts w:eastAsia="Calibri"/>
                      <w:sz w:val="20"/>
                    </w:rPr>
                  </w:pPr>
                  <w:r w:rsidRPr="00723BA8">
                    <w:rPr>
                      <w:rFonts w:eastAsia="Calibri"/>
                      <w:sz w:val="20"/>
                    </w:rPr>
                    <w:t>First application for leave to appeal filed</w:t>
                  </w:r>
                </w:p>
                <w:p w:rsidR="00C32CF2" w:rsidRPr="00723BA8" w:rsidRDefault="00C32CF2" w:rsidP="002B7BFF">
                  <w:pPr>
                    <w:jc w:val="both"/>
                    <w:rPr>
                      <w:rFonts w:eastAsia="Calibri"/>
                      <w:sz w:val="20"/>
                    </w:rPr>
                  </w:pPr>
                </w:p>
              </w:tc>
            </w:tr>
            <w:tr w:rsidR="00C32CF2" w:rsidRPr="00723BA8" w:rsidTr="002B7BFF">
              <w:tc>
                <w:tcPr>
                  <w:tcW w:w="2367" w:type="pct"/>
                </w:tcPr>
                <w:p w:rsidR="00C32CF2" w:rsidRPr="00723BA8" w:rsidRDefault="00C32CF2" w:rsidP="002B7BFF">
                  <w:pPr>
                    <w:jc w:val="both"/>
                    <w:rPr>
                      <w:rFonts w:eastAsia="Calibri"/>
                      <w:sz w:val="20"/>
                    </w:rPr>
                  </w:pPr>
                  <w:r w:rsidRPr="00723BA8">
                    <w:rPr>
                      <w:rFonts w:eastAsia="Calibri"/>
                      <w:sz w:val="20"/>
                    </w:rPr>
                    <w:t>December 7, 2010</w:t>
                  </w:r>
                </w:p>
                <w:p w:rsidR="00C32CF2" w:rsidRPr="00723BA8" w:rsidRDefault="00C32CF2" w:rsidP="002B7BFF">
                  <w:pPr>
                    <w:jc w:val="both"/>
                    <w:rPr>
                      <w:rFonts w:eastAsia="Calibri"/>
                      <w:sz w:val="20"/>
                    </w:rPr>
                  </w:pPr>
                  <w:r w:rsidRPr="00723BA8">
                    <w:rPr>
                      <w:rFonts w:eastAsia="Calibri"/>
                      <w:sz w:val="20"/>
                    </w:rPr>
                    <w:t>Supreme Court of Canada</w:t>
                  </w:r>
                </w:p>
              </w:tc>
              <w:tc>
                <w:tcPr>
                  <w:tcW w:w="267" w:type="pct"/>
                </w:tcPr>
                <w:p w:rsidR="00C32CF2" w:rsidRPr="00723BA8" w:rsidRDefault="00C32CF2" w:rsidP="002B7BFF">
                  <w:pPr>
                    <w:jc w:val="both"/>
                    <w:rPr>
                      <w:rFonts w:eastAsia="Calibri"/>
                      <w:sz w:val="20"/>
                    </w:rPr>
                  </w:pPr>
                </w:p>
              </w:tc>
              <w:tc>
                <w:tcPr>
                  <w:tcW w:w="2366" w:type="pct"/>
                </w:tcPr>
                <w:p w:rsidR="00C32CF2" w:rsidRPr="00723BA8" w:rsidRDefault="00C32CF2" w:rsidP="002B7BFF">
                  <w:pPr>
                    <w:jc w:val="both"/>
                    <w:rPr>
                      <w:rFonts w:eastAsia="Calibri"/>
                      <w:sz w:val="20"/>
                    </w:rPr>
                  </w:pPr>
                  <w:r w:rsidRPr="00723BA8">
                    <w:rPr>
                      <w:rFonts w:eastAsia="Calibri"/>
                      <w:sz w:val="20"/>
                    </w:rPr>
                    <w:t>Second application for leave to appeal filed</w:t>
                  </w:r>
                </w:p>
                <w:p w:rsidR="00C32CF2" w:rsidRPr="00723BA8" w:rsidRDefault="00C32CF2" w:rsidP="002B7BFF">
                  <w:pPr>
                    <w:jc w:val="both"/>
                    <w:rPr>
                      <w:rFonts w:eastAsia="Calibri"/>
                      <w:sz w:val="20"/>
                    </w:rPr>
                  </w:pPr>
                </w:p>
              </w:tc>
            </w:tr>
          </w:tbl>
          <w:p w:rsidR="00C32CF2" w:rsidRPr="00723BA8" w:rsidRDefault="00C32CF2"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2"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9527"/>
      </w:tblGrid>
      <w:tr w:rsidR="00C32CF2" w:rsidRPr="00E62A55" w:rsidTr="002B7BFF">
        <w:tc>
          <w:tcPr>
            <w:tcW w:w="5000" w:type="pct"/>
          </w:tcPr>
          <w:p w:rsidR="00C32CF2" w:rsidRPr="00723BA8" w:rsidRDefault="00C32CF2" w:rsidP="002B7BFF">
            <w:pPr>
              <w:rPr>
                <w:sz w:val="20"/>
                <w:u w:val="single"/>
                <w:lang w:val="fr-FR"/>
              </w:rPr>
            </w:pPr>
            <w:r w:rsidRPr="00723BA8">
              <w:rPr>
                <w:sz w:val="20"/>
                <w:u w:val="single"/>
                <w:lang w:val="fr-FR"/>
              </w:rPr>
              <w:t xml:space="preserve">Première demande </w:t>
            </w:r>
          </w:p>
          <w:p w:rsidR="00C32CF2" w:rsidRPr="00723BA8" w:rsidRDefault="00C32CF2" w:rsidP="002B7BFF">
            <w:pPr>
              <w:rPr>
                <w:sz w:val="20"/>
                <w:lang w:val="fr-FR"/>
              </w:rPr>
            </w:pPr>
          </w:p>
          <w:p w:rsidR="00C32CF2" w:rsidRPr="00723BA8" w:rsidRDefault="00C32CF2" w:rsidP="005E3C63">
            <w:pPr>
              <w:jc w:val="both"/>
              <w:rPr>
                <w:sz w:val="20"/>
                <w:lang w:val="fr-FR"/>
              </w:rPr>
            </w:pPr>
            <w:r w:rsidRPr="00723BA8">
              <w:rPr>
                <w:sz w:val="20"/>
                <w:lang w:val="fr-FR"/>
              </w:rPr>
              <w:t>Pensions — Surplus — Pensions de la fonction publique — Gouvernement employeur s’accordant des périodes d’exonération de cotisations ou versant les surplus au Trésor —  Les fonds du Trésor sont</w:t>
            </w:r>
            <w:r w:rsidRPr="00723BA8">
              <w:rPr>
                <w:sz w:val="20"/>
                <w:lang w:val="fr-FR"/>
              </w:rPr>
              <w:noBreakHyphen/>
              <w:t>ils tous des fonds publics malgré leur source ou leur objet? — Y a</w:t>
            </w:r>
            <w:r w:rsidRPr="00723BA8">
              <w:rPr>
                <w:sz w:val="20"/>
                <w:lang w:val="fr-FR"/>
              </w:rPr>
              <w:noBreakHyphen/>
              <w:t>t</w:t>
            </w:r>
            <w:r w:rsidRPr="00723BA8">
              <w:rPr>
                <w:sz w:val="20"/>
                <w:lang w:val="fr-FR"/>
              </w:rPr>
              <w:noBreakHyphen/>
              <w:t xml:space="preserve">il des actifs dans le compte de pension de retraite (le « cpr ») établi par la </w:t>
            </w:r>
            <w:r w:rsidRPr="00723BA8">
              <w:rPr>
                <w:i/>
                <w:sz w:val="20"/>
                <w:lang w:val="fr-FR"/>
              </w:rPr>
              <w:t>Loi sur la pension de la fonction publique</w:t>
            </w:r>
            <w:r w:rsidRPr="00723BA8">
              <w:rPr>
                <w:sz w:val="20"/>
                <w:lang w:val="fr-FR"/>
              </w:rPr>
              <w:t xml:space="preserve"> (la « </w:t>
            </w:r>
            <w:r w:rsidRPr="00723BA8">
              <w:rPr>
                <w:i/>
                <w:sz w:val="20"/>
                <w:lang w:val="fr-FR"/>
              </w:rPr>
              <w:t>LPFP</w:t>
            </w:r>
            <w:r w:rsidRPr="00723BA8">
              <w:rPr>
                <w:sz w:val="20"/>
                <w:lang w:val="fr-FR"/>
              </w:rPr>
              <w:t xml:space="preserve"> »)? — Un gouvernement employeur a</w:t>
            </w:r>
            <w:r w:rsidRPr="00723BA8">
              <w:rPr>
                <w:sz w:val="20"/>
                <w:lang w:val="fr-FR"/>
              </w:rPr>
              <w:noBreakHyphen/>
              <w:t>t</w:t>
            </w:r>
            <w:r w:rsidRPr="00723BA8">
              <w:rPr>
                <w:sz w:val="20"/>
                <w:lang w:val="fr-FR"/>
              </w:rPr>
              <w:noBreakHyphen/>
              <w:t>il une obligation fiduciale envers les participants au régime à l’égard des cotisations qu’ils sont légalement tenus de verser à des fins de retraite lorsque : i) le gouvernement n’est pas assujetti à une loi sur la supervision des régimes de retraite; ii) la question des pensions ne relève pas de la négociation collective; et iii) l’usage des surplus entraîne une augmentation considérable des taux de cotisation des employés — Doit</w:t>
            </w:r>
            <w:r w:rsidRPr="00723BA8">
              <w:rPr>
                <w:sz w:val="20"/>
                <w:lang w:val="fr-FR"/>
              </w:rPr>
              <w:noBreakHyphen/>
              <w:t xml:space="preserve">on conclure à l’existence d’une fiducie par interprétation lorsqu’un gouvernement employeur s’enrichit (en remboursant sa dette) au moyen de surplus aux dépens de ses employés (en faisant augmenter substantiellement leurs taux de cotisation) dont les cotisations représentent une part </w:t>
            </w:r>
            <w:r w:rsidRPr="00723BA8">
              <w:rPr>
                <w:sz w:val="20"/>
                <w:lang w:val="fr-FR"/>
              </w:rPr>
              <w:lastRenderedPageBreak/>
              <w:t>importante des surplus — Une loi peut</w:t>
            </w:r>
            <w:r w:rsidRPr="00723BA8">
              <w:rPr>
                <w:sz w:val="20"/>
                <w:lang w:val="fr-FR"/>
              </w:rPr>
              <w:noBreakHyphen/>
              <w:t xml:space="preserve">elle autoriser rétroactivement un gouvernement employeur à éteindre ou à s’approprier l’intérêt de ses employés en common law ou en equity si le gouvernement croyait qu’il n’existait aucun intérêt de ce genre au moment de l’édiction de cette loi? </w:t>
            </w:r>
          </w:p>
          <w:p w:rsidR="00C32CF2" w:rsidRPr="00723BA8" w:rsidRDefault="00C32CF2" w:rsidP="005E3C63">
            <w:pPr>
              <w:jc w:val="both"/>
              <w:rPr>
                <w:sz w:val="20"/>
                <w:lang w:val="fr-FR"/>
              </w:rPr>
            </w:pPr>
          </w:p>
          <w:p w:rsidR="00C32CF2" w:rsidRPr="00723BA8" w:rsidRDefault="00C32CF2" w:rsidP="005E3C63">
            <w:pPr>
              <w:jc w:val="both"/>
              <w:rPr>
                <w:sz w:val="20"/>
                <w:u w:val="single"/>
                <w:lang w:val="fr-FR"/>
              </w:rPr>
            </w:pPr>
            <w:r w:rsidRPr="00723BA8">
              <w:rPr>
                <w:sz w:val="20"/>
                <w:u w:val="single"/>
                <w:lang w:val="fr-FR"/>
              </w:rPr>
              <w:t>Deuxième demande</w:t>
            </w:r>
          </w:p>
          <w:p w:rsidR="00C32CF2" w:rsidRPr="00723BA8" w:rsidRDefault="00C32CF2" w:rsidP="005E3C63">
            <w:pPr>
              <w:ind w:hanging="720"/>
              <w:jc w:val="both"/>
              <w:rPr>
                <w:sz w:val="20"/>
                <w:lang w:val="fr-FR"/>
              </w:rPr>
            </w:pPr>
          </w:p>
          <w:p w:rsidR="00C32CF2" w:rsidRPr="00723BA8" w:rsidRDefault="00C32CF2" w:rsidP="005E3C63">
            <w:pPr>
              <w:ind w:hanging="25"/>
              <w:jc w:val="both"/>
              <w:rPr>
                <w:sz w:val="20"/>
                <w:lang w:val="fr-FR"/>
              </w:rPr>
            </w:pPr>
            <w:r w:rsidRPr="00723BA8">
              <w:rPr>
                <w:sz w:val="20"/>
                <w:lang w:val="fr-FR"/>
              </w:rPr>
              <w:t>Pensions — Surplus — Pensions de la fonction publique — Gouvernement employeur s’accordant des périodes d’exonération de cotisations ou versant les surplus au Trésor — Le retrait des surplus et les déficits subséquents des nouvelles caisses de retraite, lesquels ont été suivis d’augmentations considérables des cotisations des participants à un régime, justifient</w:t>
            </w:r>
            <w:r w:rsidRPr="00723BA8">
              <w:rPr>
                <w:sz w:val="20"/>
                <w:lang w:val="fr-FR"/>
              </w:rPr>
              <w:noBreakHyphen/>
              <w:t>ils l’intervention de la Cour? — L’obligation du gouvernement de conserver ses fonds dans les Trésor a</w:t>
            </w:r>
            <w:r w:rsidRPr="00723BA8">
              <w:rPr>
                <w:sz w:val="20"/>
                <w:lang w:val="fr-FR"/>
              </w:rPr>
              <w:noBreakHyphen/>
              <w:t>t</w:t>
            </w:r>
            <w:r w:rsidRPr="00723BA8">
              <w:rPr>
                <w:sz w:val="20"/>
                <w:lang w:val="fr-FR"/>
              </w:rPr>
              <w:noBreakHyphen/>
              <w:t>elle une incidence sur les obligations imposées par la loi relativement aux régimes de retraite? — Le gouvernement est</w:t>
            </w:r>
            <w:r w:rsidRPr="00723BA8">
              <w:rPr>
                <w:sz w:val="20"/>
                <w:lang w:val="fr-FR"/>
              </w:rPr>
              <w:noBreakHyphen/>
              <w:t>il à l’abri de ses obligations en equity compte tenu de celles qu’il a envers le public en général? — Un gouvernement employeur peut</w:t>
            </w:r>
            <w:r w:rsidRPr="00723BA8">
              <w:rPr>
                <w:sz w:val="20"/>
                <w:lang w:val="fr-FR"/>
              </w:rPr>
              <w:noBreakHyphen/>
              <w:t>il s’accorder une période d’exonération de cotisations,  retirer des surplus d’une caisse de retraite existante ou éteindre les droits des participants à un régime aux sommes en question — Le législateur comptait</w:t>
            </w:r>
            <w:r w:rsidRPr="00723BA8">
              <w:rPr>
                <w:sz w:val="20"/>
                <w:lang w:val="fr-FR"/>
              </w:rPr>
              <w:noBreakHyphen/>
              <w:t xml:space="preserve">il exproprier des biens sans compensation lorsqu’il a agi en se fondant sur la prémisse que les biens en cause appartiennent déjà au gouvernement. </w:t>
            </w:r>
          </w:p>
          <w:p w:rsidR="00C32CF2" w:rsidRPr="00723BA8" w:rsidRDefault="00C32CF2" w:rsidP="005E3C63">
            <w:pPr>
              <w:ind w:hanging="25"/>
              <w:jc w:val="both"/>
              <w:rPr>
                <w:sz w:val="20"/>
                <w:lang w:val="fr-FR"/>
              </w:rPr>
            </w:pPr>
          </w:p>
          <w:p w:rsidR="00C32CF2" w:rsidRPr="00723BA8" w:rsidRDefault="00C32CF2" w:rsidP="005E3C63">
            <w:pPr>
              <w:ind w:hanging="25"/>
              <w:jc w:val="both"/>
              <w:rPr>
                <w:sz w:val="20"/>
                <w:lang w:val="fr-FR"/>
              </w:rPr>
            </w:pPr>
            <w:r w:rsidRPr="00723BA8">
              <w:rPr>
                <w:sz w:val="20"/>
                <w:lang w:val="fr-FR"/>
              </w:rPr>
              <w:t xml:space="preserve">Les syndicats et associations demandeurs, qui représentent des fonctionnaires fédéraux ainsi que le personnel de la GRC et des forces armées, ont intenté contre le gouvernement des actions dans lesquelles ils sollicitent une ordonnance enjoignant au gouvernement de rembourser plus de 28 milliards de dollars à leurs régimes de pension.  Ils ont soutenu que les sommes avaient été recueillies irrégulièrement au moyen de périodes d’exonération de cotisations ou du retrait des surplus.  Les régimes en l’espèce constituent des régimes contributifs obligatoires à prestations déterminées qui sont identiques à tous égards pertinents en l’espèce.  Leurs modalités sont exclues de la négociation collective et de la </w:t>
            </w:r>
            <w:r w:rsidRPr="00723BA8">
              <w:rPr>
                <w:i/>
                <w:sz w:val="20"/>
                <w:lang w:val="fr-FR"/>
              </w:rPr>
              <w:t>Loi de 1985 sur les normes de prestation de pension</w:t>
            </w:r>
            <w:r w:rsidRPr="00723BA8">
              <w:rPr>
                <w:sz w:val="20"/>
                <w:lang w:val="fr-FR"/>
              </w:rPr>
              <w:t>, L.R.C. 1985, ch. 32 (2e suppl.).  Deux périodes revêtent de l’importance : 1) la période se terminant le 31 mars 2000, la veille de l’entrée en vigueur du projet de loi C</w:t>
            </w:r>
            <w:r w:rsidRPr="00723BA8">
              <w:rPr>
                <w:sz w:val="20"/>
                <w:lang w:val="fr-FR"/>
              </w:rPr>
              <w:noBreakHyphen/>
              <w:t>78 (la loi modifiant les lois sur les pensions et, partant, les régimes); et 2) la période postérieure au 1</w:t>
            </w:r>
            <w:r w:rsidRPr="00723BA8">
              <w:rPr>
                <w:sz w:val="20"/>
                <w:vertAlign w:val="superscript"/>
                <w:lang w:val="fr-FR"/>
              </w:rPr>
              <w:t>er</w:t>
            </w:r>
            <w:r w:rsidRPr="00723BA8">
              <w:rPr>
                <w:sz w:val="20"/>
                <w:lang w:val="fr-FR"/>
              </w:rPr>
              <w:t> avril 2000, la date d’entrée en vigueur du projet de loi C</w:t>
            </w:r>
            <w:r w:rsidRPr="00723BA8">
              <w:rPr>
                <w:sz w:val="20"/>
                <w:lang w:val="fr-FR"/>
              </w:rPr>
              <w:noBreakHyphen/>
              <w:t>78.</w:t>
            </w:r>
          </w:p>
          <w:p w:rsidR="00C32CF2" w:rsidRPr="00723BA8" w:rsidRDefault="00C32CF2" w:rsidP="002B7BFF">
            <w:pPr>
              <w:rPr>
                <w:sz w:val="20"/>
                <w:lang w:val="fr-FR"/>
              </w:rPr>
            </w:pPr>
          </w:p>
        </w:tc>
      </w:tr>
      <w:tr w:rsidR="00C32CF2" w:rsidRPr="00723BA8" w:rsidTr="002B7BFF">
        <w:tc>
          <w:tcPr>
            <w:tcW w:w="5000" w:type="pct"/>
          </w:tcPr>
          <w:tbl>
            <w:tblPr>
              <w:tblW w:w="5000" w:type="pct"/>
              <w:tblLayout w:type="fixed"/>
              <w:tblCellMar>
                <w:left w:w="0" w:type="dxa"/>
                <w:right w:w="0" w:type="dxa"/>
              </w:tblCellMar>
              <w:tblLook w:val="04A0"/>
            </w:tblPr>
            <w:tblGrid>
              <w:gridCol w:w="4510"/>
              <w:gridCol w:w="509"/>
              <w:gridCol w:w="4508"/>
            </w:tblGrid>
            <w:tr w:rsidR="00C32CF2" w:rsidRPr="00E62A55" w:rsidTr="002B7BFF">
              <w:tc>
                <w:tcPr>
                  <w:tcW w:w="2367" w:type="pct"/>
                </w:tcPr>
                <w:p w:rsidR="00C32CF2" w:rsidRPr="00723BA8" w:rsidRDefault="00C32CF2" w:rsidP="002B7BFF">
                  <w:pPr>
                    <w:rPr>
                      <w:sz w:val="20"/>
                      <w:lang w:val="fr-FR"/>
                    </w:rPr>
                  </w:pPr>
                  <w:r w:rsidRPr="00723BA8">
                    <w:rPr>
                      <w:sz w:val="20"/>
                      <w:lang w:val="fr-FR"/>
                    </w:rPr>
                    <w:lastRenderedPageBreak/>
                    <w:t>20 novembre 2007</w:t>
                  </w:r>
                </w:p>
                <w:p w:rsidR="00C32CF2" w:rsidRPr="00723BA8" w:rsidRDefault="00C32CF2" w:rsidP="002B7BFF">
                  <w:pPr>
                    <w:rPr>
                      <w:sz w:val="20"/>
                      <w:lang w:val="fr-FR"/>
                    </w:rPr>
                  </w:pPr>
                  <w:r w:rsidRPr="00723BA8">
                    <w:rPr>
                      <w:sz w:val="20"/>
                      <w:lang w:val="fr-FR"/>
                    </w:rPr>
                    <w:t xml:space="preserve">Cour supérieure de justice de l’Ontario </w:t>
                  </w:r>
                </w:p>
                <w:p w:rsidR="00C32CF2" w:rsidRPr="00723BA8" w:rsidRDefault="00C32CF2" w:rsidP="002B7BFF">
                  <w:pPr>
                    <w:rPr>
                      <w:sz w:val="20"/>
                      <w:lang w:val="fr-CA"/>
                    </w:rPr>
                  </w:pPr>
                  <w:r w:rsidRPr="00723BA8">
                    <w:rPr>
                      <w:sz w:val="20"/>
                      <w:lang w:val="fr-CA"/>
                    </w:rPr>
                    <w:t>(Juge Panet)</w:t>
                  </w:r>
                </w:p>
                <w:p w:rsidR="00C32CF2" w:rsidRPr="00723BA8" w:rsidRDefault="00C32CF2" w:rsidP="002B7BFF">
                  <w:pPr>
                    <w:rPr>
                      <w:sz w:val="20"/>
                      <w:lang w:val="fr-CA"/>
                    </w:rPr>
                  </w:pPr>
                </w:p>
                <w:p w:rsidR="00C32CF2" w:rsidRPr="00723BA8" w:rsidRDefault="00C32CF2" w:rsidP="002B7BFF">
                  <w:pPr>
                    <w:rPr>
                      <w:sz w:val="20"/>
                      <w:lang w:val="fr-CA"/>
                    </w:rPr>
                  </w:pPr>
                </w:p>
              </w:tc>
              <w:tc>
                <w:tcPr>
                  <w:tcW w:w="267" w:type="pct"/>
                </w:tcPr>
                <w:p w:rsidR="00C32CF2" w:rsidRPr="00723BA8" w:rsidRDefault="00C32CF2" w:rsidP="002B7BFF">
                  <w:pPr>
                    <w:rPr>
                      <w:sz w:val="20"/>
                      <w:lang w:val="fr-CA"/>
                    </w:rPr>
                  </w:pPr>
                </w:p>
              </w:tc>
              <w:tc>
                <w:tcPr>
                  <w:tcW w:w="2366" w:type="pct"/>
                </w:tcPr>
                <w:p w:rsidR="00C32CF2" w:rsidRPr="00723BA8" w:rsidRDefault="00C32CF2" w:rsidP="002B7BFF">
                  <w:pPr>
                    <w:rPr>
                      <w:sz w:val="20"/>
                      <w:lang w:val="fr-FR"/>
                    </w:rPr>
                  </w:pPr>
                  <w:r w:rsidRPr="00723BA8">
                    <w:rPr>
                      <w:sz w:val="20"/>
                      <w:lang w:val="fr-FR"/>
                    </w:rPr>
                    <w:t xml:space="preserve">Jugements déclaratoires refusés et conclusions que : </w:t>
                  </w:r>
                </w:p>
                <w:p w:rsidR="00C32CF2" w:rsidRPr="00723BA8" w:rsidRDefault="00C32CF2" w:rsidP="00C32CF2">
                  <w:pPr>
                    <w:pStyle w:val="ListParagraph"/>
                    <w:numPr>
                      <w:ilvl w:val="0"/>
                      <w:numId w:val="3"/>
                    </w:numPr>
                    <w:jc w:val="both"/>
                    <w:rPr>
                      <w:sz w:val="20"/>
                      <w:szCs w:val="20"/>
                      <w:lang w:val="fr-FR"/>
                    </w:rPr>
                  </w:pPr>
                  <w:r w:rsidRPr="00723BA8">
                    <w:rPr>
                      <w:sz w:val="20"/>
                      <w:szCs w:val="20"/>
                      <w:lang w:val="fr-FR"/>
                    </w:rPr>
                    <w:t>Les participants aux trois régimes de retraite n’ont aucun intérêt en equity dans les comptes de pension de retraite;</w:t>
                  </w:r>
                </w:p>
                <w:p w:rsidR="00C32CF2" w:rsidRPr="00723BA8" w:rsidRDefault="00C32CF2" w:rsidP="00C32CF2">
                  <w:pPr>
                    <w:pStyle w:val="ListParagraph"/>
                    <w:numPr>
                      <w:ilvl w:val="0"/>
                      <w:numId w:val="3"/>
                    </w:numPr>
                    <w:jc w:val="both"/>
                    <w:rPr>
                      <w:sz w:val="20"/>
                      <w:szCs w:val="20"/>
                      <w:lang w:val="fr-FR"/>
                    </w:rPr>
                  </w:pPr>
                  <w:r w:rsidRPr="00723BA8">
                    <w:rPr>
                      <w:sz w:val="20"/>
                      <w:szCs w:val="20"/>
                      <w:lang w:val="fr-FR"/>
                    </w:rPr>
                    <w:t xml:space="preserve">La loi modificative autorise le gouvernement à retirer les surplus des comptes de pension de retraite; </w:t>
                  </w:r>
                </w:p>
                <w:p w:rsidR="00C32CF2" w:rsidRPr="00723BA8" w:rsidRDefault="00C32CF2" w:rsidP="00C32CF2">
                  <w:pPr>
                    <w:pStyle w:val="ListParagraph"/>
                    <w:numPr>
                      <w:ilvl w:val="0"/>
                      <w:numId w:val="3"/>
                    </w:numPr>
                    <w:jc w:val="both"/>
                    <w:rPr>
                      <w:sz w:val="20"/>
                      <w:szCs w:val="20"/>
                      <w:lang w:val="fr-FR"/>
                    </w:rPr>
                  </w:pPr>
                  <w:r w:rsidRPr="00723BA8">
                    <w:rPr>
                      <w:sz w:val="20"/>
                      <w:szCs w:val="20"/>
                      <w:lang w:val="fr-FR"/>
                    </w:rPr>
                    <w:t xml:space="preserve">Les demandeurs n’ont pas qualité pour solliciter un jugement déclarant que les modifications à la législation sont contraires à l’art. 15 de la </w:t>
                  </w:r>
                  <w:r w:rsidRPr="00723BA8">
                    <w:rPr>
                      <w:i/>
                      <w:sz w:val="20"/>
                      <w:szCs w:val="20"/>
                      <w:lang w:val="fr-FR"/>
                    </w:rPr>
                    <w:t>Charte</w:t>
                  </w:r>
                  <w:r w:rsidRPr="00723BA8">
                    <w:rPr>
                      <w:sz w:val="20"/>
                      <w:szCs w:val="20"/>
                      <w:lang w:val="fr-FR"/>
                    </w:rPr>
                    <w:t xml:space="preserve">. </w:t>
                  </w:r>
                </w:p>
                <w:p w:rsidR="00C32CF2" w:rsidRPr="00723BA8" w:rsidRDefault="00C32CF2" w:rsidP="002B7BFF">
                  <w:pPr>
                    <w:rPr>
                      <w:sz w:val="20"/>
                      <w:lang w:val="fr-FR"/>
                    </w:rPr>
                  </w:pPr>
                </w:p>
              </w:tc>
            </w:tr>
            <w:tr w:rsidR="00C32CF2" w:rsidRPr="00723BA8" w:rsidTr="002B7BFF">
              <w:tc>
                <w:tcPr>
                  <w:tcW w:w="2367" w:type="pct"/>
                </w:tcPr>
                <w:p w:rsidR="00C32CF2" w:rsidRPr="00723BA8" w:rsidRDefault="00C32CF2" w:rsidP="002B7BFF">
                  <w:pPr>
                    <w:rPr>
                      <w:sz w:val="20"/>
                      <w:lang w:val="fr-CA"/>
                    </w:rPr>
                  </w:pPr>
                  <w:r w:rsidRPr="00723BA8">
                    <w:rPr>
                      <w:sz w:val="20"/>
                      <w:lang w:val="fr-CA"/>
                    </w:rPr>
                    <w:t>8 octobre 2010</w:t>
                  </w:r>
                </w:p>
                <w:p w:rsidR="00C32CF2" w:rsidRPr="00723BA8" w:rsidRDefault="00C32CF2" w:rsidP="002B7BFF">
                  <w:pPr>
                    <w:rPr>
                      <w:sz w:val="20"/>
                      <w:lang w:val="fr-FR"/>
                    </w:rPr>
                  </w:pPr>
                  <w:r w:rsidRPr="00723BA8">
                    <w:rPr>
                      <w:sz w:val="20"/>
                      <w:lang w:val="fr-FR"/>
                    </w:rPr>
                    <w:t>Cour d’appel de l’Ontario</w:t>
                  </w:r>
                </w:p>
                <w:p w:rsidR="00C32CF2" w:rsidRPr="00723BA8" w:rsidRDefault="00C32CF2" w:rsidP="002B7BFF">
                  <w:pPr>
                    <w:rPr>
                      <w:sz w:val="20"/>
                      <w:lang w:val="fr-FR"/>
                    </w:rPr>
                  </w:pPr>
                  <w:r w:rsidRPr="00723BA8">
                    <w:rPr>
                      <w:sz w:val="20"/>
                      <w:lang w:val="fr-FR"/>
                    </w:rPr>
                    <w:t>(Juges Laskin, Gillese et Juriansz)</w:t>
                  </w:r>
                </w:p>
                <w:p w:rsidR="00C32CF2" w:rsidRPr="00723BA8" w:rsidRDefault="00C32CF2" w:rsidP="002B7BFF">
                  <w:pPr>
                    <w:rPr>
                      <w:sz w:val="20"/>
                      <w:lang w:val="fr-CA"/>
                    </w:rPr>
                  </w:pPr>
                  <w:r w:rsidRPr="00723BA8">
                    <w:rPr>
                      <w:sz w:val="20"/>
                      <w:lang w:val="fr-FR"/>
                    </w:rPr>
                    <w:t>Référence neutre :</w:t>
                  </w:r>
                  <w:r w:rsidRPr="00723BA8">
                    <w:rPr>
                      <w:sz w:val="20"/>
                      <w:lang w:val="fr-CA"/>
                    </w:rPr>
                    <w:t xml:space="preserve"> 2010 ONCA 657</w:t>
                  </w:r>
                </w:p>
                <w:p w:rsidR="00C32CF2" w:rsidRPr="00723BA8" w:rsidRDefault="00C32CF2" w:rsidP="002B7BFF">
                  <w:pPr>
                    <w:rPr>
                      <w:sz w:val="20"/>
                      <w:lang w:val="fr-CA"/>
                    </w:rPr>
                  </w:pPr>
                </w:p>
              </w:tc>
              <w:tc>
                <w:tcPr>
                  <w:tcW w:w="267" w:type="pct"/>
                </w:tcPr>
                <w:p w:rsidR="00C32CF2" w:rsidRPr="00723BA8" w:rsidRDefault="00C32CF2" w:rsidP="002B7BFF">
                  <w:pPr>
                    <w:rPr>
                      <w:sz w:val="20"/>
                      <w:lang w:val="fr-CA"/>
                    </w:rPr>
                  </w:pPr>
                </w:p>
              </w:tc>
              <w:tc>
                <w:tcPr>
                  <w:tcW w:w="2366" w:type="pct"/>
                </w:tcPr>
                <w:p w:rsidR="00C32CF2" w:rsidRPr="00723BA8" w:rsidRDefault="00C32CF2" w:rsidP="002B7BFF">
                  <w:pPr>
                    <w:rPr>
                      <w:sz w:val="20"/>
                      <w:lang w:val="fr-CA"/>
                    </w:rPr>
                  </w:pPr>
                  <w:r w:rsidRPr="00723BA8">
                    <w:rPr>
                      <w:sz w:val="20"/>
                      <w:lang w:val="fr-CA"/>
                    </w:rPr>
                    <w:t>Appels rejetés</w:t>
                  </w:r>
                </w:p>
                <w:p w:rsidR="00C32CF2" w:rsidRPr="00723BA8" w:rsidRDefault="00C32CF2" w:rsidP="002B7BFF">
                  <w:pPr>
                    <w:rPr>
                      <w:sz w:val="20"/>
                      <w:lang w:val="fr-CA"/>
                    </w:rPr>
                  </w:pPr>
                </w:p>
              </w:tc>
            </w:tr>
            <w:tr w:rsidR="00C32CF2" w:rsidRPr="00723BA8" w:rsidTr="002B7BFF">
              <w:tc>
                <w:tcPr>
                  <w:tcW w:w="2367" w:type="pct"/>
                </w:tcPr>
                <w:p w:rsidR="00C32CF2" w:rsidRPr="00723BA8" w:rsidRDefault="00C32CF2" w:rsidP="002B7BFF">
                  <w:pPr>
                    <w:rPr>
                      <w:sz w:val="20"/>
                    </w:rPr>
                  </w:pPr>
                  <w:r w:rsidRPr="00723BA8">
                    <w:rPr>
                      <w:sz w:val="20"/>
                    </w:rPr>
                    <w:t>6 décembre 2010</w:t>
                  </w:r>
                </w:p>
                <w:p w:rsidR="00C32CF2" w:rsidRPr="00723BA8" w:rsidRDefault="00C32CF2" w:rsidP="002B7BFF">
                  <w:pPr>
                    <w:rPr>
                      <w:sz w:val="20"/>
                    </w:rPr>
                  </w:pPr>
                  <w:r w:rsidRPr="00723BA8">
                    <w:rPr>
                      <w:sz w:val="20"/>
                    </w:rPr>
                    <w:t>Cour suprême du Canada</w:t>
                  </w:r>
                </w:p>
                <w:p w:rsidR="00C32CF2" w:rsidRPr="00723BA8" w:rsidRDefault="00C32CF2" w:rsidP="002B7BFF">
                  <w:pPr>
                    <w:rPr>
                      <w:sz w:val="20"/>
                    </w:rPr>
                  </w:pPr>
                </w:p>
              </w:tc>
              <w:tc>
                <w:tcPr>
                  <w:tcW w:w="267" w:type="pct"/>
                </w:tcPr>
                <w:p w:rsidR="00C32CF2" w:rsidRPr="00723BA8" w:rsidRDefault="00C32CF2" w:rsidP="002B7BFF">
                  <w:pPr>
                    <w:rPr>
                      <w:sz w:val="20"/>
                    </w:rPr>
                  </w:pPr>
                </w:p>
              </w:tc>
              <w:tc>
                <w:tcPr>
                  <w:tcW w:w="2366" w:type="pct"/>
                </w:tcPr>
                <w:p w:rsidR="00C32CF2" w:rsidRPr="00723BA8" w:rsidRDefault="00C32CF2" w:rsidP="002B7BFF">
                  <w:pPr>
                    <w:rPr>
                      <w:sz w:val="20"/>
                    </w:rPr>
                  </w:pPr>
                  <w:r w:rsidRPr="00723BA8">
                    <w:rPr>
                      <w:sz w:val="20"/>
                    </w:rPr>
                    <w:t xml:space="preserve">Première demande d’autorisation d’appel déposée </w:t>
                  </w:r>
                </w:p>
                <w:p w:rsidR="00C32CF2" w:rsidRPr="00723BA8" w:rsidRDefault="00C32CF2" w:rsidP="002B7BFF">
                  <w:pPr>
                    <w:rPr>
                      <w:sz w:val="20"/>
                    </w:rPr>
                  </w:pPr>
                </w:p>
              </w:tc>
            </w:tr>
            <w:tr w:rsidR="00C32CF2" w:rsidRPr="00723BA8" w:rsidTr="002B7BFF">
              <w:tc>
                <w:tcPr>
                  <w:tcW w:w="2367" w:type="pct"/>
                </w:tcPr>
                <w:p w:rsidR="00C32CF2" w:rsidRPr="003B3EB0" w:rsidRDefault="00C32CF2" w:rsidP="002B7BFF">
                  <w:pPr>
                    <w:rPr>
                      <w:sz w:val="20"/>
                      <w:lang w:val="fr-CA"/>
                    </w:rPr>
                  </w:pPr>
                  <w:r w:rsidRPr="003B3EB0">
                    <w:rPr>
                      <w:sz w:val="20"/>
                      <w:lang w:val="fr-CA"/>
                    </w:rPr>
                    <w:t>7 décembre 2010</w:t>
                  </w:r>
                </w:p>
                <w:p w:rsidR="00C32CF2" w:rsidRPr="003B3EB0" w:rsidRDefault="00C32CF2" w:rsidP="002B7BFF">
                  <w:pPr>
                    <w:rPr>
                      <w:sz w:val="20"/>
                      <w:lang w:val="fr-CA"/>
                    </w:rPr>
                  </w:pPr>
                  <w:r w:rsidRPr="003B3EB0">
                    <w:rPr>
                      <w:sz w:val="20"/>
                      <w:lang w:val="fr-CA"/>
                    </w:rPr>
                    <w:t>Cour suprême du Canada</w:t>
                  </w:r>
                </w:p>
              </w:tc>
              <w:tc>
                <w:tcPr>
                  <w:tcW w:w="267" w:type="pct"/>
                </w:tcPr>
                <w:p w:rsidR="00C32CF2" w:rsidRPr="003B3EB0" w:rsidRDefault="00C32CF2" w:rsidP="002B7BFF">
                  <w:pPr>
                    <w:rPr>
                      <w:sz w:val="20"/>
                      <w:lang w:val="fr-CA"/>
                    </w:rPr>
                  </w:pPr>
                </w:p>
              </w:tc>
              <w:tc>
                <w:tcPr>
                  <w:tcW w:w="2366" w:type="pct"/>
                </w:tcPr>
                <w:p w:rsidR="00C32CF2" w:rsidRPr="00723BA8" w:rsidRDefault="00C32CF2" w:rsidP="002B7BFF">
                  <w:pPr>
                    <w:rPr>
                      <w:sz w:val="20"/>
                    </w:rPr>
                  </w:pPr>
                  <w:r w:rsidRPr="00723BA8">
                    <w:rPr>
                      <w:sz w:val="20"/>
                    </w:rPr>
                    <w:t>Deuxième demande d’autorisation d’appel déposée</w:t>
                  </w:r>
                </w:p>
                <w:p w:rsidR="00C32CF2" w:rsidRPr="00723BA8" w:rsidRDefault="00C32CF2" w:rsidP="002B7BFF">
                  <w:pPr>
                    <w:rPr>
                      <w:sz w:val="20"/>
                    </w:rPr>
                  </w:pPr>
                </w:p>
              </w:tc>
            </w:tr>
          </w:tbl>
          <w:p w:rsidR="00C32CF2" w:rsidRPr="00723BA8" w:rsidRDefault="00C32CF2" w:rsidP="002B7BFF">
            <w:pPr>
              <w:rPr>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3"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5239F" w:rsidRPr="00E678E3" w:rsidTr="00E816E1">
        <w:trPr>
          <w:cantSplit/>
        </w:trPr>
        <w:tc>
          <w:tcPr>
            <w:tcW w:w="1458" w:type="dxa"/>
          </w:tcPr>
          <w:p w:rsidR="0015239F" w:rsidRPr="00E678E3" w:rsidRDefault="0015239F" w:rsidP="00E816E1">
            <w:pPr>
              <w:rPr>
                <w:sz w:val="20"/>
                <w:szCs w:val="20"/>
              </w:rPr>
            </w:pPr>
            <w:r w:rsidRPr="00E678E3">
              <w:rPr>
                <w:rStyle w:val="SCCFileNumberChar"/>
                <w:sz w:val="20"/>
                <w:szCs w:val="20"/>
              </w:rPr>
              <w:lastRenderedPageBreak/>
              <w:t>33971</w:t>
            </w:r>
          </w:p>
          <w:p w:rsidR="0015239F" w:rsidRPr="00E678E3" w:rsidRDefault="0015239F" w:rsidP="00E816E1">
            <w:pPr>
              <w:rPr>
                <w:b/>
                <w:sz w:val="20"/>
                <w:szCs w:val="20"/>
                <w:lang w:val="fr-CA"/>
              </w:rPr>
            </w:pPr>
          </w:p>
        </w:tc>
        <w:tc>
          <w:tcPr>
            <w:tcW w:w="8118" w:type="dxa"/>
          </w:tcPr>
          <w:p w:rsidR="0015239F" w:rsidRPr="00E678E3" w:rsidRDefault="0015239F" w:rsidP="00E816E1">
            <w:pPr>
              <w:rPr>
                <w:sz w:val="20"/>
                <w:szCs w:val="20"/>
              </w:rPr>
            </w:pPr>
            <w:r w:rsidRPr="0015239F">
              <w:rPr>
                <w:rStyle w:val="SCCLsocChar"/>
                <w:sz w:val="20"/>
                <w:szCs w:val="20"/>
                <w:lang w:val="en-CA"/>
              </w:rPr>
              <w:t>Michael Roy v. Her Majesty the Queen</w:t>
            </w:r>
            <w:r w:rsidRPr="00E678E3">
              <w:rPr>
                <w:sz w:val="20"/>
                <w:szCs w:val="20"/>
              </w:rPr>
              <w:t xml:space="preserve"> (B.C.) (Criminal) (By Leave)</w:t>
            </w:r>
          </w:p>
          <w:p w:rsidR="0015239F" w:rsidRPr="00E678E3" w:rsidRDefault="0015239F" w:rsidP="00E816E1">
            <w:pPr>
              <w:rPr>
                <w:sz w:val="20"/>
                <w:szCs w:val="20"/>
              </w:rPr>
            </w:pPr>
          </w:p>
        </w:tc>
      </w:tr>
      <w:tr w:rsidR="0015239F" w:rsidRPr="00E678E3" w:rsidTr="00E816E1">
        <w:trPr>
          <w:cantSplit/>
        </w:trPr>
        <w:tc>
          <w:tcPr>
            <w:tcW w:w="1458" w:type="dxa"/>
          </w:tcPr>
          <w:p w:rsidR="0015239F" w:rsidRPr="00E678E3" w:rsidRDefault="0015239F" w:rsidP="00E816E1">
            <w:pPr>
              <w:rPr>
                <w:sz w:val="20"/>
                <w:szCs w:val="20"/>
              </w:rPr>
            </w:pPr>
            <w:r w:rsidRPr="00E678E3">
              <w:rPr>
                <w:sz w:val="20"/>
                <w:szCs w:val="20"/>
              </w:rPr>
              <w:t>Coram :</w:t>
            </w:r>
          </w:p>
        </w:tc>
        <w:tc>
          <w:tcPr>
            <w:tcW w:w="8118" w:type="dxa"/>
          </w:tcPr>
          <w:p w:rsidR="0015239F" w:rsidRPr="00E678E3" w:rsidRDefault="0015239F" w:rsidP="00E816E1">
            <w:pPr>
              <w:rPr>
                <w:sz w:val="20"/>
                <w:szCs w:val="20"/>
              </w:rPr>
            </w:pPr>
            <w:r w:rsidRPr="0015239F">
              <w:rPr>
                <w:rStyle w:val="SCCCoramChar"/>
                <w:sz w:val="20"/>
                <w:szCs w:val="20"/>
                <w:lang w:val="en-CA"/>
              </w:rPr>
              <w:t>LeBel, Deschamps and Charron JJ.</w:t>
            </w:r>
          </w:p>
          <w:p w:rsidR="0015239F" w:rsidRPr="00E678E3" w:rsidRDefault="0015239F" w:rsidP="00E816E1">
            <w:pPr>
              <w:rPr>
                <w:sz w:val="20"/>
                <w:szCs w:val="20"/>
                <w:u w:val="single"/>
              </w:rPr>
            </w:pPr>
          </w:p>
        </w:tc>
      </w:tr>
      <w:tr w:rsidR="0015239F" w:rsidRPr="00E62A55" w:rsidTr="00E816E1">
        <w:trPr>
          <w:cantSplit/>
        </w:trPr>
        <w:tc>
          <w:tcPr>
            <w:tcW w:w="9576" w:type="dxa"/>
            <w:gridSpan w:val="2"/>
          </w:tcPr>
          <w:p w:rsidR="0015239F" w:rsidRPr="00E678E3" w:rsidRDefault="0015239F" w:rsidP="00E816E1">
            <w:pPr>
              <w:pStyle w:val="SCCShortJudgment"/>
              <w:rPr>
                <w:szCs w:val="20"/>
              </w:rPr>
            </w:pPr>
            <w:r w:rsidRPr="00E678E3">
              <w:rPr>
                <w:szCs w:val="20"/>
              </w:rPr>
              <w:t>The application for leave to appeal from the judgment of the Court of Appeal for British Columbia (Vancouver), Number CA037014, 2010 BCCA 448, dated October 15, 2010, is dismissed without costs.</w:t>
            </w:r>
          </w:p>
          <w:p w:rsidR="0015239F" w:rsidRPr="00E678E3" w:rsidRDefault="0015239F" w:rsidP="00E816E1">
            <w:pPr>
              <w:pStyle w:val="SCCShortJudgment"/>
              <w:ind w:firstLine="0"/>
              <w:rPr>
                <w:szCs w:val="20"/>
              </w:rPr>
            </w:pPr>
          </w:p>
          <w:p w:rsidR="0015239F" w:rsidRPr="00E678E3" w:rsidRDefault="0015239F" w:rsidP="00E816E1">
            <w:pPr>
              <w:pStyle w:val="SCCShortJudgment"/>
              <w:rPr>
                <w:szCs w:val="20"/>
                <w:lang w:val="fr-CA"/>
              </w:rPr>
            </w:pPr>
            <w:r w:rsidRPr="00E678E3">
              <w:rPr>
                <w:szCs w:val="20"/>
                <w:lang w:val="fr-CA"/>
              </w:rPr>
              <w:t>La demande d’autorisation d’appel de l’arrêt de la Cour d’appel de la Colombie-Britannique (Vancouver), numéro CA037014, 2010 BCCA 448, daté du 15 octobre 2010, est rejetée sans dépens.</w:t>
            </w:r>
          </w:p>
        </w:tc>
      </w:tr>
    </w:tbl>
    <w:p w:rsidR="00C32CF2" w:rsidRPr="0015239F" w:rsidRDefault="00C32CF2"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3E74" w:rsidRPr="00723BA8" w:rsidTr="002B7BFF">
        <w:tc>
          <w:tcPr>
            <w:tcW w:w="5000" w:type="pct"/>
            <w:gridSpan w:val="3"/>
          </w:tcPr>
          <w:p w:rsidR="00783E74" w:rsidRPr="00723BA8" w:rsidRDefault="00783E74" w:rsidP="002B7BFF">
            <w:pPr>
              <w:jc w:val="both"/>
              <w:rPr>
                <w:rFonts w:eastAsia="Calibri"/>
                <w:smallCaps/>
                <w:sz w:val="20"/>
              </w:rPr>
            </w:pPr>
            <w:r w:rsidRPr="00723BA8">
              <w:rPr>
                <w:rFonts w:eastAsia="Calibri"/>
                <w:smallCaps/>
                <w:sz w:val="20"/>
              </w:rPr>
              <w:t>(Publication ban in case)</w:t>
            </w:r>
          </w:p>
          <w:p w:rsidR="00783E74" w:rsidRPr="00723BA8" w:rsidRDefault="00783E74" w:rsidP="002B7BFF">
            <w:pPr>
              <w:jc w:val="both"/>
              <w:rPr>
                <w:rFonts w:eastAsia="Calibri"/>
                <w:sz w:val="20"/>
              </w:rPr>
            </w:pPr>
          </w:p>
          <w:p w:rsidR="00783E74" w:rsidRPr="00723BA8" w:rsidRDefault="00783E74" w:rsidP="002B7BFF">
            <w:pPr>
              <w:jc w:val="both"/>
              <w:rPr>
                <w:rFonts w:eastAsia="Calibri"/>
                <w:sz w:val="20"/>
              </w:rPr>
            </w:pPr>
            <w:r w:rsidRPr="00723BA8">
              <w:rPr>
                <w:rFonts w:eastAsia="Calibri"/>
                <w:sz w:val="20"/>
              </w:rPr>
              <w:t>Charter — Criminal law — Courts — Jurisdiction — Trial — Provincial court judge wrongly recording accused’s election for trial — Whether superior court was without jurisdiction to try him — Undercover police posing as drug dealers deceiving accused to gain entry into his home — Whether evidence was the product of a search and seizure that violated s. 8 Charter— Whether Court of Appeal erred in finding exigent circumstances as defined by s. 11(7) of the Controlled Drugs and Substances Act.</w:t>
            </w:r>
          </w:p>
          <w:p w:rsidR="00783E74" w:rsidRPr="00723BA8" w:rsidRDefault="00783E74" w:rsidP="002B7BFF">
            <w:pPr>
              <w:jc w:val="both"/>
              <w:rPr>
                <w:rFonts w:eastAsia="Calibri"/>
                <w:sz w:val="20"/>
              </w:rPr>
            </w:pPr>
          </w:p>
        </w:tc>
      </w:tr>
      <w:tr w:rsidR="00783E74" w:rsidRPr="00723BA8" w:rsidTr="002B7BFF">
        <w:tc>
          <w:tcPr>
            <w:tcW w:w="5000" w:type="pct"/>
            <w:gridSpan w:val="3"/>
          </w:tcPr>
          <w:p w:rsidR="00783E74" w:rsidRPr="00723BA8" w:rsidRDefault="00783E74" w:rsidP="002B7BFF">
            <w:pPr>
              <w:jc w:val="both"/>
              <w:rPr>
                <w:rFonts w:eastAsia="Calibri"/>
                <w:sz w:val="20"/>
              </w:rPr>
            </w:pPr>
            <w:r w:rsidRPr="00723BA8">
              <w:rPr>
                <w:rFonts w:eastAsia="Calibri"/>
                <w:sz w:val="20"/>
              </w:rPr>
              <w:t>The applicant invited undercover police agents into his home; he believed they were interested in selling him a large quantity of marihuana. Once inside, the officers gathered incriminating evidence.  The premises were secured, a search warrant was obtained, and the applicant was charged with conspiracy to traffic in marihuana and possession of marihuana for the purpose of trafficking.  The applicant and his co</w:t>
            </w:r>
            <w:r w:rsidRPr="00723BA8">
              <w:rPr>
                <w:rFonts w:eastAsia="Calibri"/>
                <w:sz w:val="20"/>
              </w:rPr>
              <w:noBreakHyphen/>
              <w:t xml:space="preserve">accused elected different trial mechanisms.  According to the provisions of the Criminal Code, this would mean a trial before a judge and jury.  The judge incorrectly noted the applicant’s election and the applicant </w:t>
            </w:r>
            <w:proofErr w:type="gramStart"/>
            <w:r w:rsidRPr="00723BA8">
              <w:rPr>
                <w:rFonts w:eastAsia="Calibri"/>
                <w:sz w:val="20"/>
              </w:rPr>
              <w:t>was</w:t>
            </w:r>
            <w:proofErr w:type="gramEnd"/>
            <w:r w:rsidRPr="00723BA8">
              <w:rPr>
                <w:rFonts w:eastAsia="Calibri"/>
                <w:sz w:val="20"/>
              </w:rPr>
              <w:t xml:space="preserve"> tried before a judge alone.</w:t>
            </w:r>
          </w:p>
          <w:p w:rsidR="00783E74" w:rsidRPr="00723BA8" w:rsidRDefault="00783E74" w:rsidP="002B7BFF">
            <w:pPr>
              <w:jc w:val="both"/>
              <w:rPr>
                <w:rFonts w:eastAsia="Calibri"/>
                <w:sz w:val="20"/>
              </w:rPr>
            </w:pPr>
          </w:p>
          <w:p w:rsidR="00783E74" w:rsidRPr="00723BA8" w:rsidRDefault="00783E74" w:rsidP="002B7BFF">
            <w:pPr>
              <w:jc w:val="both"/>
              <w:rPr>
                <w:rFonts w:eastAsia="Calibri"/>
                <w:sz w:val="20"/>
              </w:rPr>
            </w:pPr>
            <w:r w:rsidRPr="00723BA8">
              <w:rPr>
                <w:rFonts w:eastAsia="Calibri"/>
                <w:sz w:val="20"/>
              </w:rPr>
              <w:t>Following a voir dire, the trial judge rejected the applicant’s argument that the evidence seized should be excluded on the basis that the invitation to the undercover operatives was vitiated because it was given under false pretences.  The evidence was admitted and the applicant was convicted.  His conviction was upheld by the British Columbia Court of Appeal.  The jurisdictional issue was cured by the application of the proviso in s. 686 of the Criminal Code.</w:t>
            </w:r>
          </w:p>
          <w:p w:rsidR="00783E74" w:rsidRPr="00723BA8" w:rsidRDefault="00783E74" w:rsidP="002B7BFF">
            <w:pPr>
              <w:jc w:val="both"/>
              <w:rPr>
                <w:rFonts w:eastAsia="Calibri"/>
                <w:sz w:val="20"/>
              </w:rPr>
            </w:pPr>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t>November 28, 2008</w:t>
            </w:r>
          </w:p>
          <w:p w:rsidR="00783E74" w:rsidRPr="00723BA8" w:rsidRDefault="00783E74" w:rsidP="002B7BFF">
            <w:pPr>
              <w:jc w:val="both"/>
              <w:rPr>
                <w:rFonts w:eastAsia="Calibri"/>
                <w:sz w:val="20"/>
              </w:rPr>
            </w:pPr>
            <w:r w:rsidRPr="00723BA8">
              <w:rPr>
                <w:rFonts w:eastAsia="Calibri"/>
                <w:sz w:val="20"/>
              </w:rPr>
              <w:t>Supreme Court of British Columbia</w:t>
            </w:r>
          </w:p>
          <w:p w:rsidR="00783E74" w:rsidRPr="00723BA8" w:rsidRDefault="00783E74" w:rsidP="002B7BFF">
            <w:pPr>
              <w:jc w:val="both"/>
              <w:rPr>
                <w:rFonts w:eastAsia="Calibri"/>
                <w:sz w:val="20"/>
              </w:rPr>
            </w:pPr>
            <w:r w:rsidRPr="00723BA8">
              <w:rPr>
                <w:rFonts w:eastAsia="Calibri"/>
                <w:sz w:val="20"/>
              </w:rPr>
              <w:t>(Rogers J.)</w:t>
            </w:r>
          </w:p>
          <w:p w:rsidR="00783E74" w:rsidRPr="00723BA8" w:rsidRDefault="00783E74" w:rsidP="002B7BFF">
            <w:pPr>
              <w:jc w:val="both"/>
              <w:rPr>
                <w:rFonts w:eastAsia="Calibri"/>
                <w:sz w:val="20"/>
              </w:rPr>
            </w:pP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 xml:space="preserve">Convictions:  </w:t>
            </w:r>
            <w:bookmarkStart w:id="1" w:name="OLE_LINK1"/>
            <w:r w:rsidRPr="00723BA8">
              <w:rPr>
                <w:rFonts w:eastAsia="Calibri"/>
                <w:sz w:val="20"/>
              </w:rPr>
              <w:t xml:space="preserve">conspiracy to traffic in marihuana and possession of marihuana for the purpose of trafficking </w:t>
            </w:r>
            <w:bookmarkEnd w:id="1"/>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t>October 15, 2010</w:t>
            </w:r>
          </w:p>
          <w:p w:rsidR="00783E74" w:rsidRPr="00723BA8" w:rsidRDefault="00783E74" w:rsidP="002B7BFF">
            <w:pPr>
              <w:jc w:val="both"/>
              <w:rPr>
                <w:rFonts w:eastAsia="Calibri"/>
                <w:sz w:val="20"/>
              </w:rPr>
            </w:pPr>
            <w:r w:rsidRPr="00723BA8">
              <w:rPr>
                <w:rFonts w:eastAsia="Calibri"/>
                <w:sz w:val="20"/>
              </w:rPr>
              <w:t>Court of Appeal for British Columbia (Vancouver)</w:t>
            </w:r>
          </w:p>
          <w:p w:rsidR="00783E74" w:rsidRPr="00723BA8" w:rsidRDefault="00783E74" w:rsidP="002B7BFF">
            <w:pPr>
              <w:jc w:val="both"/>
              <w:rPr>
                <w:rFonts w:eastAsia="Calibri"/>
                <w:sz w:val="20"/>
              </w:rPr>
            </w:pPr>
            <w:r w:rsidRPr="00723BA8">
              <w:rPr>
                <w:rFonts w:eastAsia="Calibri"/>
                <w:sz w:val="20"/>
              </w:rPr>
              <w:t>(Newbury, Lowry and Garson JJ.A.)</w:t>
            </w:r>
          </w:p>
          <w:p w:rsidR="00783E74" w:rsidRPr="00723BA8" w:rsidRDefault="00783E74" w:rsidP="002B7BFF">
            <w:pPr>
              <w:jc w:val="both"/>
              <w:rPr>
                <w:rFonts w:eastAsia="Calibri"/>
                <w:sz w:val="20"/>
              </w:rPr>
            </w:pPr>
            <w:r w:rsidRPr="00723BA8">
              <w:rPr>
                <w:rFonts w:eastAsia="Calibri"/>
                <w:sz w:val="20"/>
              </w:rPr>
              <w:t>Neutral citation: 2010 BCCA 448</w:t>
            </w:r>
          </w:p>
          <w:p w:rsidR="00783E74" w:rsidRPr="00723BA8" w:rsidRDefault="00783E74" w:rsidP="002B7BFF">
            <w:pPr>
              <w:jc w:val="both"/>
              <w:rPr>
                <w:rFonts w:eastAsia="Calibri"/>
                <w:sz w:val="20"/>
              </w:rPr>
            </w:pP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Appeal dismissed</w:t>
            </w:r>
          </w:p>
          <w:p w:rsidR="00783E74" w:rsidRPr="00723BA8" w:rsidRDefault="00783E74" w:rsidP="002B7BFF">
            <w:pPr>
              <w:jc w:val="both"/>
              <w:rPr>
                <w:rFonts w:eastAsia="Calibri"/>
                <w:sz w:val="20"/>
              </w:rPr>
            </w:pPr>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t>December 9, 2010</w:t>
            </w:r>
          </w:p>
          <w:p w:rsidR="00783E74" w:rsidRPr="00723BA8" w:rsidRDefault="00783E74" w:rsidP="002B7BFF">
            <w:pPr>
              <w:jc w:val="both"/>
              <w:rPr>
                <w:rFonts w:eastAsia="Calibri"/>
                <w:sz w:val="20"/>
              </w:rPr>
            </w:pPr>
            <w:r w:rsidRPr="00723BA8">
              <w:rPr>
                <w:rFonts w:eastAsia="Calibri"/>
                <w:sz w:val="20"/>
              </w:rPr>
              <w:t>Supreme Court of Canada</w:t>
            </w: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Application for leave to appeal filed</w:t>
            </w:r>
          </w:p>
          <w:p w:rsidR="00783E74" w:rsidRPr="00723BA8" w:rsidRDefault="00783E74"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4" style="width:2in;height:1pt" o:hrpct="0" o:hralign="center" o:hrstd="t" o:hrnoshade="t" o:hr="t" fillcolor="black [3213]" stroked="f"/>
        </w:pict>
      </w:r>
    </w:p>
    <w:p w:rsidR="006525D0" w:rsidRDefault="006525D0">
      <w:pPr>
        <w:rPr>
          <w:sz w:val="20"/>
          <w:szCs w:val="20"/>
        </w:rPr>
      </w:pPr>
      <w:r>
        <w:rPr>
          <w:sz w:val="20"/>
          <w:szCs w:val="20"/>
        </w:rPr>
        <w:br w:type="page"/>
      </w:r>
    </w:p>
    <w:p w:rsidR="004E6FA2" w:rsidRDefault="004E6FA2" w:rsidP="004E6FA2">
      <w:pPr>
        <w:rPr>
          <w:sz w:val="20"/>
          <w:szCs w:val="20"/>
        </w:rPr>
      </w:pPr>
      <w:r>
        <w:rPr>
          <w:sz w:val="20"/>
          <w:szCs w:val="20"/>
          <w:u w:val="single"/>
        </w:rPr>
        <w:lastRenderedPageBreak/>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3E74" w:rsidRPr="00E62A55" w:rsidTr="002B7BFF">
        <w:tc>
          <w:tcPr>
            <w:tcW w:w="5000" w:type="pct"/>
            <w:gridSpan w:val="3"/>
          </w:tcPr>
          <w:p w:rsidR="00783E74" w:rsidRPr="00723BA8" w:rsidRDefault="00783E74" w:rsidP="002B7BFF">
            <w:pPr>
              <w:jc w:val="both"/>
              <w:rPr>
                <w:rFonts w:eastAsia="Calibri"/>
                <w:smallCaps/>
                <w:sz w:val="20"/>
                <w:lang w:val="fr-CA"/>
              </w:rPr>
            </w:pPr>
            <w:r w:rsidRPr="00723BA8">
              <w:rPr>
                <w:rFonts w:eastAsia="Calibri"/>
                <w:smallCaps/>
                <w:sz w:val="20"/>
                <w:lang w:val="fr-CA"/>
              </w:rPr>
              <w:t>(Ordonnance de non</w:t>
            </w:r>
            <w:r w:rsidRPr="00723BA8">
              <w:rPr>
                <w:rFonts w:eastAsia="Calibri"/>
                <w:smallCaps/>
                <w:sz w:val="20"/>
                <w:lang w:val="fr-CA"/>
              </w:rPr>
              <w:noBreakHyphen/>
              <w:t>publication visant une partie)</w:t>
            </w:r>
          </w:p>
          <w:p w:rsidR="00783E74" w:rsidRPr="00723BA8" w:rsidRDefault="00783E74" w:rsidP="002B7BFF">
            <w:pPr>
              <w:jc w:val="both"/>
              <w:rPr>
                <w:rFonts w:eastAsia="Calibri"/>
                <w:sz w:val="20"/>
                <w:lang w:val="fr-CA"/>
              </w:rPr>
            </w:pPr>
          </w:p>
          <w:p w:rsidR="00783E74" w:rsidRPr="00723BA8" w:rsidRDefault="00783E74" w:rsidP="002B7BFF">
            <w:pPr>
              <w:jc w:val="both"/>
              <w:rPr>
                <w:rFonts w:eastAsia="Calibri"/>
                <w:sz w:val="20"/>
                <w:lang w:val="fr-CA"/>
              </w:rPr>
            </w:pPr>
            <w:r w:rsidRPr="00723BA8">
              <w:rPr>
                <w:rFonts w:eastAsia="Calibri"/>
                <w:sz w:val="20"/>
                <w:lang w:val="fr-CA"/>
              </w:rPr>
              <w:t>Charte — Droit criminel — Tribunaux — Compétence — Procès — Juge d’une cour provinciale a noté incorrectement le choix du mode de procès fait par l’accusé — La cour de juridiction supérieure avait</w:t>
            </w:r>
            <w:r w:rsidRPr="00723BA8">
              <w:rPr>
                <w:rFonts w:eastAsia="Calibri"/>
                <w:sz w:val="20"/>
                <w:lang w:val="fr-CA"/>
              </w:rPr>
              <w:noBreakHyphen/>
              <w:t>elle compétence pour le juger? — Des policiers en civil se faisant passer pour des trafiquants de drogue ont trompé l’accusé afin d’entrer chez lui — La preuve a</w:t>
            </w:r>
            <w:r w:rsidRPr="00723BA8">
              <w:rPr>
                <w:rFonts w:eastAsia="Calibri"/>
                <w:sz w:val="20"/>
                <w:lang w:val="fr-CA"/>
              </w:rPr>
              <w:noBreakHyphen/>
              <w:t>t</w:t>
            </w:r>
            <w:r w:rsidRPr="00723BA8">
              <w:rPr>
                <w:rFonts w:eastAsia="Calibri"/>
                <w:sz w:val="20"/>
                <w:lang w:val="fr-CA"/>
              </w:rPr>
              <w:noBreakHyphen/>
              <w:t xml:space="preserve">elle été recueillie à la suite d’une fouille, perquisition et saisie qui violait l’article 8 de la </w:t>
            </w:r>
            <w:r w:rsidRPr="00723BA8">
              <w:rPr>
                <w:rFonts w:eastAsia="Calibri"/>
                <w:i/>
                <w:sz w:val="20"/>
                <w:lang w:val="fr-CA"/>
              </w:rPr>
              <w:t>Charte</w:t>
            </w:r>
            <w:r w:rsidRPr="00723BA8">
              <w:rPr>
                <w:rFonts w:eastAsia="Calibri"/>
                <w:sz w:val="20"/>
                <w:lang w:val="fr-CA"/>
              </w:rPr>
              <w:t>? — La Cour d’appel a</w:t>
            </w:r>
            <w:r w:rsidRPr="00723BA8">
              <w:rPr>
                <w:rFonts w:eastAsia="Calibri"/>
                <w:sz w:val="20"/>
                <w:lang w:val="fr-CA"/>
              </w:rPr>
              <w:noBreakHyphen/>
              <w:t>t</w:t>
            </w:r>
            <w:r w:rsidRPr="00723BA8">
              <w:rPr>
                <w:rFonts w:eastAsia="Calibri"/>
                <w:sz w:val="20"/>
                <w:lang w:val="fr-CA"/>
              </w:rPr>
              <w:noBreakHyphen/>
              <w:t xml:space="preserve">elle commis une erreur en concluant que la situation était urgente au sens du paragraphe 11(7) de la </w:t>
            </w:r>
            <w:r w:rsidRPr="00723BA8">
              <w:rPr>
                <w:rFonts w:eastAsia="Calibri"/>
                <w:i/>
                <w:sz w:val="20"/>
                <w:lang w:val="fr-CA"/>
              </w:rPr>
              <w:t>Loi réglementant certaines drogues et autres substances</w:t>
            </w:r>
            <w:r w:rsidRPr="00723BA8">
              <w:rPr>
                <w:rFonts w:eastAsia="Calibri"/>
                <w:sz w:val="20"/>
                <w:lang w:val="fr-CA"/>
              </w:rPr>
              <w:t>.</w:t>
            </w:r>
          </w:p>
          <w:p w:rsidR="00783E74" w:rsidRPr="00723BA8" w:rsidRDefault="00783E74" w:rsidP="002B7BFF">
            <w:pPr>
              <w:jc w:val="both"/>
              <w:rPr>
                <w:rFonts w:eastAsia="Calibri"/>
                <w:sz w:val="20"/>
                <w:lang w:val="fr-CA"/>
              </w:rPr>
            </w:pPr>
          </w:p>
        </w:tc>
      </w:tr>
      <w:tr w:rsidR="00783E74" w:rsidRPr="00E62A55" w:rsidTr="002B7BFF">
        <w:tc>
          <w:tcPr>
            <w:tcW w:w="5000" w:type="pct"/>
            <w:gridSpan w:val="3"/>
          </w:tcPr>
          <w:p w:rsidR="00783E74" w:rsidRPr="00723BA8" w:rsidRDefault="00783E74" w:rsidP="002B7BFF">
            <w:pPr>
              <w:jc w:val="both"/>
              <w:rPr>
                <w:rFonts w:eastAsia="Calibri"/>
                <w:sz w:val="20"/>
                <w:lang w:val="fr-CA"/>
              </w:rPr>
            </w:pPr>
            <w:r w:rsidRPr="00723BA8">
              <w:rPr>
                <w:rFonts w:eastAsia="Calibri"/>
                <w:sz w:val="20"/>
                <w:lang w:val="fr-CA"/>
              </w:rPr>
              <w:t xml:space="preserve">Le demandeur a fait entrer chez lui des policiers en civil; il croyait qu’ils voulaient lui vendre une grande quantité de marihuana.  Une fois à l’intérieur, les policiers ont récolté des éléments de preuve incriminants.  La police a pris le contrôle des lieux, un mandat de perquisition a été obtenu et le demandeur a été accusé de complot en vue de faire le trafic de marihuana et de possession de marihuana en vue d’en faire le trafic.  Le demandeur et son coaccusé ont choisi des modes de procès différents et, donc, selon le </w:t>
            </w:r>
            <w:r w:rsidRPr="00723BA8">
              <w:rPr>
                <w:rFonts w:eastAsia="Calibri"/>
                <w:i/>
                <w:sz w:val="20"/>
                <w:lang w:val="fr-CA"/>
              </w:rPr>
              <w:t>Code criminel</w:t>
            </w:r>
            <w:r w:rsidRPr="00723BA8">
              <w:rPr>
                <w:rFonts w:eastAsia="Calibri"/>
                <w:sz w:val="20"/>
                <w:lang w:val="fr-CA"/>
              </w:rPr>
              <w:t xml:space="preserve">, le demandeur est réputé </w:t>
            </w:r>
            <w:r w:rsidRPr="00723BA8">
              <w:rPr>
                <w:rFonts w:eastAsia="Calibri"/>
                <w:color w:val="000000"/>
                <w:sz w:val="20"/>
                <w:lang w:val="fr-FR"/>
              </w:rPr>
              <w:t>avoir choisi d’être jugé par un tribunal composé d’un juge et d’un jury</w:t>
            </w:r>
            <w:r w:rsidRPr="00723BA8">
              <w:rPr>
                <w:rFonts w:eastAsia="Calibri"/>
                <w:sz w:val="20"/>
                <w:lang w:val="fr-CA"/>
              </w:rPr>
              <w:t>.  Le juge a noté incorrectement le choix du demandeur et celui</w:t>
            </w:r>
            <w:r w:rsidRPr="00723BA8">
              <w:rPr>
                <w:rFonts w:eastAsia="Calibri"/>
                <w:sz w:val="20"/>
                <w:lang w:val="fr-CA"/>
              </w:rPr>
              <w:noBreakHyphen/>
              <w:t>ci a subi son procès devant un juge seul.</w:t>
            </w:r>
          </w:p>
          <w:p w:rsidR="00783E74" w:rsidRPr="00723BA8" w:rsidRDefault="00783E74" w:rsidP="002B7BFF">
            <w:pPr>
              <w:jc w:val="both"/>
              <w:rPr>
                <w:rFonts w:eastAsia="Calibri"/>
                <w:sz w:val="20"/>
                <w:lang w:val="fr-CA"/>
              </w:rPr>
            </w:pPr>
          </w:p>
          <w:p w:rsidR="00783E74" w:rsidRPr="00723BA8" w:rsidRDefault="00783E74" w:rsidP="002B7BFF">
            <w:pPr>
              <w:jc w:val="both"/>
              <w:rPr>
                <w:rFonts w:eastAsia="Calibri"/>
                <w:sz w:val="20"/>
                <w:lang w:val="fr-CA"/>
              </w:rPr>
            </w:pPr>
            <w:r w:rsidRPr="00723BA8">
              <w:rPr>
                <w:rFonts w:eastAsia="Calibri"/>
                <w:sz w:val="20"/>
                <w:lang w:val="fr-CA"/>
              </w:rPr>
              <w:t>À la suite d’un voir dire, le juge de première instance a rejeté l’argument du demandeur selon lequel les éléments de preuve saisis devaient être exclus au motif que l’invitation à entrer faite aux agents d’infiltration était viciée parce qu’elle avait été faite à la suite de faux prétextes.  Les éléments de preuve ont été acceptés et le demandeur a été déclaré coupable.  Sa déclaration de culpabilité a été confirmée par la Cour d’appel de la Colombie</w:t>
            </w:r>
            <w:r w:rsidRPr="00723BA8">
              <w:rPr>
                <w:rFonts w:eastAsia="Calibri"/>
                <w:sz w:val="20"/>
                <w:lang w:val="fr-CA"/>
              </w:rPr>
              <w:noBreakHyphen/>
              <w:t xml:space="preserve">Britannique.  La question de la compétence a été réglée par l’application de la disposition de l’article 686 du </w:t>
            </w:r>
            <w:r w:rsidRPr="00723BA8">
              <w:rPr>
                <w:rFonts w:eastAsia="Calibri"/>
                <w:i/>
                <w:sz w:val="20"/>
                <w:lang w:val="fr-CA"/>
              </w:rPr>
              <w:t>Code criminel</w:t>
            </w:r>
            <w:r w:rsidRPr="00723BA8">
              <w:rPr>
                <w:rFonts w:eastAsia="Calibri"/>
                <w:sz w:val="20"/>
                <w:lang w:val="fr-CA"/>
              </w:rPr>
              <w:t>.</w:t>
            </w:r>
          </w:p>
          <w:p w:rsidR="00783E74" w:rsidRPr="00723BA8" w:rsidRDefault="00783E74" w:rsidP="002B7BFF">
            <w:pPr>
              <w:jc w:val="both"/>
              <w:rPr>
                <w:rFonts w:eastAsia="Calibri"/>
                <w:sz w:val="20"/>
                <w:lang w:val="fr-CA"/>
              </w:rPr>
            </w:pPr>
          </w:p>
        </w:tc>
      </w:tr>
      <w:tr w:rsidR="00783E74" w:rsidRPr="00E62A55" w:rsidTr="002B7BFF">
        <w:tc>
          <w:tcPr>
            <w:tcW w:w="2427" w:type="pct"/>
          </w:tcPr>
          <w:p w:rsidR="00783E74" w:rsidRPr="00723BA8" w:rsidRDefault="00783E74" w:rsidP="002B7BFF">
            <w:pPr>
              <w:jc w:val="both"/>
              <w:rPr>
                <w:rFonts w:eastAsia="Calibri"/>
                <w:sz w:val="20"/>
                <w:lang w:val="fr-CA"/>
              </w:rPr>
            </w:pPr>
            <w:r w:rsidRPr="00723BA8">
              <w:rPr>
                <w:rFonts w:eastAsia="Calibri"/>
                <w:sz w:val="20"/>
                <w:lang w:val="fr-CA"/>
              </w:rPr>
              <w:t>28 novembre 2008</w:t>
            </w:r>
          </w:p>
          <w:p w:rsidR="00783E74" w:rsidRPr="00723BA8" w:rsidRDefault="00783E74" w:rsidP="002B7BFF">
            <w:pPr>
              <w:jc w:val="both"/>
              <w:rPr>
                <w:rFonts w:eastAsia="Calibri"/>
                <w:sz w:val="20"/>
                <w:lang w:val="fr-CA"/>
              </w:rPr>
            </w:pPr>
            <w:r w:rsidRPr="00723BA8">
              <w:rPr>
                <w:rFonts w:eastAsia="Calibri"/>
                <w:sz w:val="20"/>
                <w:lang w:val="fr-CA"/>
              </w:rPr>
              <w:t>Cour suprême de la Colombie</w:t>
            </w:r>
            <w:r w:rsidRPr="00723BA8">
              <w:rPr>
                <w:rFonts w:eastAsia="Calibri"/>
                <w:sz w:val="20"/>
                <w:lang w:val="fr-CA"/>
              </w:rPr>
              <w:noBreakHyphen/>
              <w:t>Britannique</w:t>
            </w:r>
          </w:p>
          <w:p w:rsidR="00783E74" w:rsidRPr="00723BA8" w:rsidRDefault="00783E74" w:rsidP="002B7BFF">
            <w:pPr>
              <w:jc w:val="both"/>
              <w:rPr>
                <w:rFonts w:eastAsia="Calibri"/>
                <w:sz w:val="20"/>
                <w:lang w:val="fr-CA"/>
              </w:rPr>
            </w:pPr>
            <w:r w:rsidRPr="00723BA8">
              <w:rPr>
                <w:rFonts w:eastAsia="Calibri"/>
                <w:sz w:val="20"/>
                <w:lang w:val="fr-CA"/>
              </w:rPr>
              <w:t>(Juge Rogers)</w:t>
            </w:r>
          </w:p>
          <w:p w:rsidR="00783E74" w:rsidRPr="00723BA8" w:rsidRDefault="00783E74" w:rsidP="002B7BFF">
            <w:pPr>
              <w:jc w:val="both"/>
              <w:rPr>
                <w:rFonts w:eastAsia="Calibri"/>
                <w:sz w:val="20"/>
                <w:lang w:val="fr-CA"/>
              </w:rPr>
            </w:pPr>
          </w:p>
        </w:tc>
        <w:tc>
          <w:tcPr>
            <w:tcW w:w="243" w:type="pct"/>
          </w:tcPr>
          <w:p w:rsidR="00783E74" w:rsidRPr="00723BA8" w:rsidRDefault="00783E74" w:rsidP="002B7BFF">
            <w:pPr>
              <w:jc w:val="both"/>
              <w:rPr>
                <w:rFonts w:eastAsia="Calibri"/>
                <w:sz w:val="20"/>
                <w:lang w:val="fr-CA"/>
              </w:rPr>
            </w:pPr>
          </w:p>
        </w:tc>
        <w:tc>
          <w:tcPr>
            <w:tcW w:w="2330" w:type="pct"/>
          </w:tcPr>
          <w:p w:rsidR="00783E74" w:rsidRPr="00723BA8" w:rsidRDefault="00783E74" w:rsidP="002B7BFF">
            <w:pPr>
              <w:jc w:val="both"/>
              <w:rPr>
                <w:rFonts w:eastAsia="Calibri"/>
                <w:sz w:val="20"/>
                <w:lang w:val="fr-CA"/>
              </w:rPr>
            </w:pPr>
            <w:r w:rsidRPr="00723BA8">
              <w:rPr>
                <w:rFonts w:eastAsia="Calibri"/>
                <w:sz w:val="20"/>
                <w:lang w:val="fr-CA"/>
              </w:rPr>
              <w:t xml:space="preserve">Déclarations de culpabilité : complot en vue de faire le trafic de marihuana et possession de marihuana en vue d’en faire le trafic </w:t>
            </w:r>
          </w:p>
        </w:tc>
      </w:tr>
      <w:tr w:rsidR="00783E74" w:rsidRPr="00723BA8" w:rsidTr="002B7BFF">
        <w:tc>
          <w:tcPr>
            <w:tcW w:w="2427" w:type="pct"/>
          </w:tcPr>
          <w:p w:rsidR="00783E74" w:rsidRPr="00723BA8" w:rsidRDefault="00783E74" w:rsidP="002B7BFF">
            <w:pPr>
              <w:jc w:val="both"/>
              <w:rPr>
                <w:rFonts w:eastAsia="Calibri"/>
                <w:sz w:val="20"/>
                <w:lang w:val="fr-CA"/>
              </w:rPr>
            </w:pPr>
            <w:r w:rsidRPr="00723BA8">
              <w:rPr>
                <w:rFonts w:eastAsia="Calibri"/>
                <w:sz w:val="20"/>
                <w:lang w:val="fr-CA"/>
              </w:rPr>
              <w:t>15 octobre 2010</w:t>
            </w:r>
          </w:p>
          <w:p w:rsidR="00783E74" w:rsidRPr="00723BA8" w:rsidRDefault="00783E74" w:rsidP="002B7BFF">
            <w:pPr>
              <w:jc w:val="both"/>
              <w:rPr>
                <w:rFonts w:eastAsia="Calibri"/>
                <w:sz w:val="20"/>
                <w:lang w:val="fr-CA"/>
              </w:rPr>
            </w:pPr>
            <w:r w:rsidRPr="00723BA8">
              <w:rPr>
                <w:rFonts w:eastAsia="Calibri"/>
                <w:sz w:val="20"/>
                <w:lang w:val="fr-CA"/>
              </w:rPr>
              <w:t>Cour d’appel de la Colombie</w:t>
            </w:r>
            <w:r w:rsidRPr="00723BA8">
              <w:rPr>
                <w:rFonts w:eastAsia="Calibri"/>
                <w:sz w:val="20"/>
                <w:lang w:val="fr-CA"/>
              </w:rPr>
              <w:noBreakHyphen/>
              <w:t>Britannique (Vancouver)</w:t>
            </w:r>
          </w:p>
          <w:p w:rsidR="00783E74" w:rsidRPr="00723BA8" w:rsidRDefault="00783E74" w:rsidP="002B7BFF">
            <w:pPr>
              <w:jc w:val="both"/>
              <w:rPr>
                <w:rFonts w:eastAsia="Calibri"/>
                <w:sz w:val="20"/>
                <w:lang w:val="fr-CA"/>
              </w:rPr>
            </w:pPr>
            <w:r w:rsidRPr="00723BA8">
              <w:rPr>
                <w:rFonts w:eastAsia="Calibri"/>
                <w:sz w:val="20"/>
                <w:lang w:val="fr-CA"/>
              </w:rPr>
              <w:t>(Juges Newbury, Lowry et Garson)</w:t>
            </w:r>
          </w:p>
          <w:p w:rsidR="00783E74" w:rsidRPr="00723BA8" w:rsidRDefault="00783E74" w:rsidP="002B7BFF">
            <w:pPr>
              <w:jc w:val="both"/>
              <w:rPr>
                <w:rFonts w:eastAsia="Calibri"/>
                <w:sz w:val="20"/>
                <w:lang w:val="fr-CA"/>
              </w:rPr>
            </w:pPr>
            <w:r w:rsidRPr="00723BA8">
              <w:rPr>
                <w:rFonts w:eastAsia="Calibri"/>
                <w:sz w:val="20"/>
                <w:lang w:val="fr-CA"/>
              </w:rPr>
              <w:t>Référence neutre : 2010 BCCA 448</w:t>
            </w:r>
          </w:p>
          <w:p w:rsidR="00783E74" w:rsidRPr="00723BA8" w:rsidRDefault="00783E74" w:rsidP="002B7BFF">
            <w:pPr>
              <w:jc w:val="both"/>
              <w:rPr>
                <w:rFonts w:eastAsia="Calibri"/>
                <w:sz w:val="20"/>
                <w:lang w:val="fr-CA"/>
              </w:rPr>
            </w:pPr>
          </w:p>
        </w:tc>
        <w:tc>
          <w:tcPr>
            <w:tcW w:w="243" w:type="pct"/>
          </w:tcPr>
          <w:p w:rsidR="00783E74" w:rsidRPr="00723BA8" w:rsidRDefault="00783E74" w:rsidP="002B7BFF">
            <w:pPr>
              <w:jc w:val="both"/>
              <w:rPr>
                <w:rFonts w:eastAsia="Calibri"/>
                <w:sz w:val="20"/>
                <w:lang w:val="fr-CA"/>
              </w:rPr>
            </w:pPr>
          </w:p>
        </w:tc>
        <w:tc>
          <w:tcPr>
            <w:tcW w:w="2330" w:type="pct"/>
          </w:tcPr>
          <w:p w:rsidR="00783E74" w:rsidRPr="00723BA8" w:rsidRDefault="00783E74" w:rsidP="002B7BFF">
            <w:pPr>
              <w:jc w:val="both"/>
              <w:rPr>
                <w:rFonts w:eastAsia="Calibri"/>
                <w:sz w:val="20"/>
                <w:lang w:val="fr-CA"/>
              </w:rPr>
            </w:pPr>
            <w:r w:rsidRPr="00723BA8">
              <w:rPr>
                <w:rFonts w:eastAsia="Calibri"/>
                <w:sz w:val="20"/>
                <w:lang w:val="fr-CA"/>
              </w:rPr>
              <w:t>Appel rejeté</w:t>
            </w:r>
          </w:p>
          <w:p w:rsidR="00783E74" w:rsidRPr="00723BA8" w:rsidRDefault="00783E74" w:rsidP="002B7BFF">
            <w:pPr>
              <w:jc w:val="both"/>
              <w:rPr>
                <w:rFonts w:eastAsia="Calibri"/>
                <w:sz w:val="20"/>
                <w:lang w:val="fr-CA"/>
              </w:rPr>
            </w:pPr>
          </w:p>
        </w:tc>
      </w:tr>
      <w:tr w:rsidR="00783E74" w:rsidRPr="00723BA8" w:rsidTr="002B7BFF">
        <w:tc>
          <w:tcPr>
            <w:tcW w:w="2427" w:type="pct"/>
          </w:tcPr>
          <w:p w:rsidR="00783E74" w:rsidRPr="00723BA8" w:rsidRDefault="00783E74" w:rsidP="002B7BFF">
            <w:pPr>
              <w:jc w:val="both"/>
              <w:rPr>
                <w:rFonts w:eastAsia="Calibri"/>
                <w:sz w:val="20"/>
                <w:lang w:val="fr-CA"/>
              </w:rPr>
            </w:pPr>
            <w:r w:rsidRPr="00723BA8">
              <w:rPr>
                <w:rFonts w:eastAsia="Calibri"/>
                <w:sz w:val="20"/>
                <w:lang w:val="fr-CA"/>
              </w:rPr>
              <w:t>9 décembre 2010</w:t>
            </w:r>
          </w:p>
          <w:p w:rsidR="00783E74" w:rsidRPr="00723BA8" w:rsidRDefault="00783E74" w:rsidP="002B7BFF">
            <w:pPr>
              <w:jc w:val="both"/>
              <w:rPr>
                <w:rFonts w:eastAsia="Calibri"/>
                <w:sz w:val="20"/>
                <w:lang w:val="fr-CA"/>
              </w:rPr>
            </w:pPr>
            <w:r w:rsidRPr="00723BA8">
              <w:rPr>
                <w:rFonts w:eastAsia="Calibri"/>
                <w:sz w:val="20"/>
                <w:lang w:val="fr-CA"/>
              </w:rPr>
              <w:t>Cour suprême du Canada</w:t>
            </w:r>
          </w:p>
        </w:tc>
        <w:tc>
          <w:tcPr>
            <w:tcW w:w="243" w:type="pct"/>
          </w:tcPr>
          <w:p w:rsidR="00783E74" w:rsidRPr="00723BA8" w:rsidRDefault="00783E74" w:rsidP="002B7BFF">
            <w:pPr>
              <w:jc w:val="both"/>
              <w:rPr>
                <w:rFonts w:eastAsia="Calibri"/>
                <w:sz w:val="20"/>
                <w:lang w:val="fr-CA"/>
              </w:rPr>
            </w:pPr>
          </w:p>
        </w:tc>
        <w:tc>
          <w:tcPr>
            <w:tcW w:w="2330" w:type="pct"/>
          </w:tcPr>
          <w:p w:rsidR="00783E74" w:rsidRPr="00723BA8" w:rsidRDefault="00783E74" w:rsidP="002B7BFF">
            <w:pPr>
              <w:jc w:val="both"/>
              <w:rPr>
                <w:rFonts w:eastAsia="Calibri"/>
                <w:sz w:val="20"/>
                <w:lang w:val="fr-CA"/>
              </w:rPr>
            </w:pPr>
            <w:r w:rsidRPr="00723BA8">
              <w:rPr>
                <w:rFonts w:eastAsia="Calibri"/>
                <w:sz w:val="20"/>
                <w:lang w:val="fr-CA"/>
              </w:rPr>
              <w:t>Demande d’autorisation d’appel déposée</w:t>
            </w:r>
          </w:p>
          <w:p w:rsidR="00783E74" w:rsidRPr="00723BA8" w:rsidRDefault="00783E74"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5" style="width:2in;height:1pt" o:hrpct="0" o:hralign="center" o:hrstd="t" o:hrnoshade="t" o:hr="t" fillcolor="black [3213]" stroked="f"/>
        </w:pict>
      </w:r>
    </w:p>
    <w:p w:rsidR="004E6FA2"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6525D0" w:rsidRPr="006525D0" w:rsidTr="00E816E1">
        <w:trPr>
          <w:cantSplit/>
        </w:trPr>
        <w:tc>
          <w:tcPr>
            <w:tcW w:w="1458" w:type="dxa"/>
          </w:tcPr>
          <w:p w:rsidR="006525D0" w:rsidRPr="006525D0" w:rsidRDefault="006525D0" w:rsidP="00E816E1">
            <w:pPr>
              <w:rPr>
                <w:sz w:val="20"/>
                <w:szCs w:val="20"/>
              </w:rPr>
            </w:pPr>
            <w:r w:rsidRPr="006525D0">
              <w:rPr>
                <w:rStyle w:val="SCCFileNumberChar"/>
                <w:sz w:val="20"/>
                <w:szCs w:val="20"/>
              </w:rPr>
              <w:t>33976</w:t>
            </w:r>
          </w:p>
          <w:p w:rsidR="006525D0" w:rsidRPr="006525D0" w:rsidRDefault="006525D0" w:rsidP="00E816E1">
            <w:pPr>
              <w:rPr>
                <w:b/>
                <w:sz w:val="20"/>
                <w:szCs w:val="20"/>
                <w:lang w:val="fr-CA"/>
              </w:rPr>
            </w:pPr>
          </w:p>
        </w:tc>
        <w:tc>
          <w:tcPr>
            <w:tcW w:w="8118" w:type="dxa"/>
          </w:tcPr>
          <w:p w:rsidR="006525D0" w:rsidRPr="006525D0" w:rsidRDefault="006525D0" w:rsidP="00E816E1">
            <w:pPr>
              <w:rPr>
                <w:sz w:val="20"/>
                <w:szCs w:val="20"/>
              </w:rPr>
            </w:pPr>
            <w:r w:rsidRPr="006525D0">
              <w:rPr>
                <w:rStyle w:val="SCCLsocChar"/>
                <w:sz w:val="20"/>
                <w:szCs w:val="20"/>
                <w:lang w:val="en-CA"/>
              </w:rPr>
              <w:t>Her Majesty the Queen v. Clato Lual Mabior</w:t>
            </w:r>
            <w:r w:rsidRPr="006525D0">
              <w:rPr>
                <w:sz w:val="20"/>
                <w:szCs w:val="20"/>
              </w:rPr>
              <w:t xml:space="preserve"> (Man.) (Criminal) (By Leave)</w:t>
            </w:r>
          </w:p>
          <w:p w:rsidR="006525D0" w:rsidRPr="006525D0" w:rsidRDefault="006525D0" w:rsidP="00E816E1">
            <w:pPr>
              <w:rPr>
                <w:sz w:val="20"/>
                <w:szCs w:val="20"/>
              </w:rPr>
            </w:pPr>
          </w:p>
        </w:tc>
      </w:tr>
      <w:tr w:rsidR="006525D0" w:rsidRPr="006525D0" w:rsidTr="00E816E1">
        <w:trPr>
          <w:cantSplit/>
        </w:trPr>
        <w:tc>
          <w:tcPr>
            <w:tcW w:w="1458" w:type="dxa"/>
          </w:tcPr>
          <w:p w:rsidR="006525D0" w:rsidRPr="006525D0" w:rsidRDefault="006525D0" w:rsidP="00E816E1">
            <w:pPr>
              <w:rPr>
                <w:sz w:val="20"/>
                <w:szCs w:val="20"/>
              </w:rPr>
            </w:pPr>
            <w:r w:rsidRPr="006525D0">
              <w:rPr>
                <w:sz w:val="20"/>
                <w:szCs w:val="20"/>
              </w:rPr>
              <w:t>Coram :</w:t>
            </w:r>
          </w:p>
        </w:tc>
        <w:tc>
          <w:tcPr>
            <w:tcW w:w="8118" w:type="dxa"/>
          </w:tcPr>
          <w:p w:rsidR="006525D0" w:rsidRPr="006525D0" w:rsidRDefault="006525D0" w:rsidP="00E816E1">
            <w:pPr>
              <w:rPr>
                <w:sz w:val="20"/>
                <w:szCs w:val="20"/>
              </w:rPr>
            </w:pPr>
            <w:r w:rsidRPr="006525D0">
              <w:rPr>
                <w:rStyle w:val="SCCCoramChar"/>
                <w:sz w:val="20"/>
                <w:szCs w:val="20"/>
                <w:lang w:val="en-CA"/>
              </w:rPr>
              <w:t>McLachlin C.J. and Abella and Cromwell JJ.</w:t>
            </w:r>
          </w:p>
          <w:p w:rsidR="006525D0" w:rsidRPr="006525D0" w:rsidRDefault="006525D0" w:rsidP="00E816E1">
            <w:pPr>
              <w:rPr>
                <w:sz w:val="20"/>
                <w:szCs w:val="20"/>
                <w:u w:val="single"/>
              </w:rPr>
            </w:pPr>
          </w:p>
        </w:tc>
      </w:tr>
      <w:tr w:rsidR="006525D0" w:rsidRPr="00E62A55" w:rsidTr="00E816E1">
        <w:trPr>
          <w:cantSplit/>
        </w:trPr>
        <w:tc>
          <w:tcPr>
            <w:tcW w:w="9576" w:type="dxa"/>
            <w:gridSpan w:val="2"/>
          </w:tcPr>
          <w:p w:rsidR="006525D0" w:rsidRPr="006525D0" w:rsidRDefault="006525D0" w:rsidP="00E816E1">
            <w:pPr>
              <w:pStyle w:val="SCCShortJudgment"/>
              <w:rPr>
                <w:szCs w:val="20"/>
              </w:rPr>
            </w:pPr>
            <w:r w:rsidRPr="006525D0">
              <w:rPr>
                <w:szCs w:val="20"/>
              </w:rPr>
              <w:t>The application for leave to appeal from the judgment of the Court of Appeal of Manitoba, Number AR 08-30-07036, 2010 MBCA 93, dated October 13, 2010, is granted without costs.</w:t>
            </w:r>
          </w:p>
          <w:p w:rsidR="006525D0" w:rsidRPr="006525D0" w:rsidRDefault="006525D0" w:rsidP="00E816E1">
            <w:pPr>
              <w:pStyle w:val="SCCShortJudgment"/>
              <w:ind w:firstLine="0"/>
              <w:rPr>
                <w:szCs w:val="20"/>
              </w:rPr>
            </w:pPr>
          </w:p>
          <w:p w:rsidR="006525D0" w:rsidRPr="006525D0" w:rsidRDefault="006525D0" w:rsidP="00E816E1">
            <w:pPr>
              <w:pStyle w:val="SCCShortJudgment"/>
              <w:rPr>
                <w:szCs w:val="20"/>
                <w:lang w:val="fr-CA"/>
              </w:rPr>
            </w:pPr>
            <w:r w:rsidRPr="006525D0">
              <w:rPr>
                <w:szCs w:val="20"/>
                <w:lang w:val="fr-CA"/>
              </w:rPr>
              <w:t>La demande d’autorisation d’appel de l’arrêt de la Cour d’appel du Manitoba, numéro AR 08-30-07036, 2010 MBCA 93, daté du 13 octobre 2010, est accordée sans dépens.</w:t>
            </w:r>
          </w:p>
        </w:tc>
      </w:tr>
    </w:tbl>
    <w:p w:rsidR="00C82EBC" w:rsidRDefault="00C82EBC">
      <w:pPr>
        <w:rPr>
          <w:lang w:val="fr-CA"/>
        </w:rPr>
      </w:pPr>
    </w:p>
    <w:p w:rsidR="00C82EBC" w:rsidRDefault="00C82EBC">
      <w:pPr>
        <w:rPr>
          <w:lang w:val="fr-CA"/>
        </w:rPr>
      </w:pPr>
      <w:r>
        <w:rPr>
          <w:lang w:val="fr-CA"/>
        </w:rPr>
        <w:br w:type="page"/>
      </w:r>
    </w:p>
    <w:p w:rsidR="00783E74" w:rsidRDefault="00783E74" w:rsidP="00783E74">
      <w:pPr>
        <w:rPr>
          <w:sz w:val="20"/>
          <w:szCs w:val="20"/>
        </w:rPr>
      </w:pPr>
      <w:r>
        <w:rPr>
          <w:sz w:val="20"/>
          <w:szCs w:val="20"/>
          <w:u w:val="single"/>
        </w:rPr>
        <w:lastRenderedPageBreak/>
        <w:t>CASE SUMMARY</w:t>
      </w:r>
    </w:p>
    <w:p w:rsidR="00783E74" w:rsidRDefault="00783E74" w:rsidP="00783E74">
      <w:pPr>
        <w:rPr>
          <w:sz w:val="20"/>
          <w:szCs w:val="20"/>
        </w:rPr>
      </w:pPr>
    </w:p>
    <w:tbl>
      <w:tblPr>
        <w:tblW w:w="4959" w:type="pct"/>
        <w:tblLayout w:type="fixed"/>
        <w:tblCellMar>
          <w:left w:w="0" w:type="dxa"/>
          <w:bottom w:w="99" w:type="dxa"/>
          <w:right w:w="0" w:type="dxa"/>
        </w:tblCellMar>
        <w:tblLook w:val="04A0"/>
      </w:tblPr>
      <w:tblGrid>
        <w:gridCol w:w="4497"/>
        <w:gridCol w:w="452"/>
        <w:gridCol w:w="4591"/>
      </w:tblGrid>
      <w:tr w:rsidR="00783E74" w:rsidRPr="00723BA8" w:rsidTr="005E3C63">
        <w:tc>
          <w:tcPr>
            <w:tcW w:w="5000" w:type="pct"/>
            <w:gridSpan w:val="3"/>
          </w:tcPr>
          <w:p w:rsidR="00783E74" w:rsidRPr="00723BA8" w:rsidRDefault="00783E74" w:rsidP="002B7BFF">
            <w:pPr>
              <w:jc w:val="both"/>
              <w:rPr>
                <w:rFonts w:eastAsia="Calibri"/>
                <w:smallCaps/>
                <w:sz w:val="20"/>
              </w:rPr>
            </w:pPr>
            <w:r w:rsidRPr="00723BA8">
              <w:rPr>
                <w:rFonts w:eastAsia="Calibri"/>
                <w:smallCaps/>
                <w:sz w:val="20"/>
              </w:rPr>
              <w:t xml:space="preserve">(Publication ban in case) </w:t>
            </w:r>
          </w:p>
          <w:p w:rsidR="00783E74" w:rsidRPr="00723BA8" w:rsidRDefault="00783E74" w:rsidP="002B7BFF">
            <w:pPr>
              <w:jc w:val="both"/>
              <w:rPr>
                <w:rFonts w:eastAsia="Calibri"/>
                <w:sz w:val="20"/>
              </w:rPr>
            </w:pPr>
          </w:p>
          <w:p w:rsidR="00783E74" w:rsidRPr="00723BA8" w:rsidRDefault="00783E74" w:rsidP="002B7BFF">
            <w:pPr>
              <w:jc w:val="both"/>
              <w:rPr>
                <w:rFonts w:eastAsia="Calibri"/>
                <w:sz w:val="20"/>
              </w:rPr>
            </w:pPr>
            <w:r w:rsidRPr="00723BA8">
              <w:rPr>
                <w:rFonts w:eastAsia="Calibri"/>
                <w:sz w:val="20"/>
              </w:rPr>
              <w:t>Criminal Law — Offences — Elements of offence — Sexual assault — Whether failures to disclose HIV</w:t>
            </w:r>
            <w:r w:rsidRPr="00723BA8">
              <w:rPr>
                <w:rFonts w:eastAsia="Calibri"/>
                <w:sz w:val="20"/>
              </w:rPr>
              <w:noBreakHyphen/>
              <w:t>positive status before sexual intercourse with different sexual partners did not place those partners at a significant risk of serious bodily harm because the accused’s viral counts were lowered by antiretroviral therapy or because the accused used condoms.</w:t>
            </w:r>
          </w:p>
          <w:p w:rsidR="00783E74" w:rsidRPr="00723BA8" w:rsidRDefault="00783E74" w:rsidP="002B7BFF">
            <w:pPr>
              <w:jc w:val="both"/>
              <w:rPr>
                <w:rFonts w:eastAsia="Calibri"/>
                <w:sz w:val="20"/>
              </w:rPr>
            </w:pPr>
          </w:p>
        </w:tc>
      </w:tr>
      <w:tr w:rsidR="00783E74" w:rsidRPr="00723BA8" w:rsidTr="005E3C63">
        <w:tc>
          <w:tcPr>
            <w:tcW w:w="5000" w:type="pct"/>
            <w:gridSpan w:val="3"/>
          </w:tcPr>
          <w:p w:rsidR="00783E74" w:rsidRPr="00723BA8" w:rsidRDefault="00783E74" w:rsidP="002B7BFF">
            <w:pPr>
              <w:jc w:val="both"/>
              <w:rPr>
                <w:rFonts w:eastAsia="Calibri"/>
                <w:sz w:val="20"/>
              </w:rPr>
            </w:pPr>
            <w:r w:rsidRPr="00723BA8">
              <w:rPr>
                <w:rFonts w:eastAsia="Calibri"/>
                <w:sz w:val="20"/>
              </w:rPr>
              <w:t>The respondent was charged with ten counts of aggravated sexual assault (and other charges) because he had sex with different complainants without disclosing that he was HIV</w:t>
            </w:r>
            <w:r w:rsidRPr="00723BA8">
              <w:rPr>
                <w:rFonts w:eastAsia="Calibri"/>
                <w:sz w:val="20"/>
              </w:rPr>
              <w:noBreakHyphen/>
              <w:t xml:space="preserve">positive.    An expert opined that antiretroviral therapy during the relevant time period reduced the respondent’s viral load such that the risk of transmission of HIV was </w:t>
            </w:r>
            <w:r w:rsidRPr="00723BA8">
              <w:rPr>
                <w:rFonts w:eastAsia="Calibri"/>
                <w:color w:val="000000"/>
                <w:sz w:val="20"/>
              </w:rPr>
              <w:t>probably low but possible during part of the relevant time period and that there was a very high probability that the respondent was not infectious during the remainder of the relevant time</w:t>
            </w:r>
            <w:r w:rsidRPr="00723BA8">
              <w:rPr>
                <w:rFonts w:eastAsia="Calibri"/>
                <w:sz w:val="20"/>
              </w:rPr>
              <w:t xml:space="preserve">. The respondent also used condoms in some incidents.  None of the complainants have contracted HIV.  </w:t>
            </w:r>
            <w:r w:rsidRPr="00723BA8">
              <w:rPr>
                <w:rFonts w:eastAsia="Calibri"/>
                <w:color w:val="000000"/>
                <w:sz w:val="20"/>
              </w:rPr>
              <w:t xml:space="preserve">The trial judge convicted the respondent of aggravated sexual assault on six charges because no condom was used, without considering the respondent’s viral loads.  The trial judge acquitted the respondent of aggravated sexual assault if a condom was used and viral loads were undetectable at the time of the assaults.  </w:t>
            </w:r>
            <w:r w:rsidRPr="00723BA8">
              <w:rPr>
                <w:rFonts w:eastAsia="Calibri"/>
                <w:sz w:val="20"/>
              </w:rPr>
              <w:t xml:space="preserve">The Court of Appeal set aside four of the six convictions and entered acquittals on the basis that sexual intercourse either using a condom or when viral loads are very low does not place a sexual partner at significant risk of serious bodily harm. </w:t>
            </w:r>
            <w:r w:rsidRPr="00723BA8">
              <w:rPr>
                <w:rFonts w:eastAsia="Calibri"/>
                <w:color w:val="000000"/>
                <w:sz w:val="20"/>
              </w:rPr>
              <w:t xml:space="preserve"> </w:t>
            </w:r>
          </w:p>
          <w:p w:rsidR="00783E74" w:rsidRPr="00723BA8" w:rsidRDefault="00783E74" w:rsidP="002B7BFF">
            <w:pPr>
              <w:jc w:val="both"/>
              <w:rPr>
                <w:rFonts w:eastAsia="Calibri"/>
                <w:sz w:val="20"/>
              </w:rPr>
            </w:pPr>
          </w:p>
        </w:tc>
      </w:tr>
      <w:tr w:rsidR="00783E74" w:rsidRPr="00723BA8" w:rsidTr="005E3C63">
        <w:tc>
          <w:tcPr>
            <w:tcW w:w="2357" w:type="pct"/>
          </w:tcPr>
          <w:p w:rsidR="00783E74" w:rsidRPr="00723BA8" w:rsidRDefault="00783E74" w:rsidP="002B7BFF">
            <w:pPr>
              <w:jc w:val="both"/>
              <w:rPr>
                <w:rFonts w:eastAsia="Calibri"/>
                <w:sz w:val="20"/>
              </w:rPr>
            </w:pPr>
            <w:r w:rsidRPr="00723BA8">
              <w:rPr>
                <w:rFonts w:eastAsia="Calibri"/>
                <w:sz w:val="20"/>
              </w:rPr>
              <w:t>July 15, 2008</w:t>
            </w:r>
          </w:p>
          <w:p w:rsidR="00783E74" w:rsidRPr="00723BA8" w:rsidRDefault="00783E74" w:rsidP="002B7BFF">
            <w:pPr>
              <w:jc w:val="both"/>
              <w:rPr>
                <w:rFonts w:eastAsia="Calibri"/>
                <w:sz w:val="20"/>
              </w:rPr>
            </w:pPr>
            <w:r w:rsidRPr="00723BA8">
              <w:rPr>
                <w:rFonts w:eastAsia="Calibri"/>
                <w:sz w:val="20"/>
              </w:rPr>
              <w:t>Court of Queen’s Bench of Manitoba</w:t>
            </w:r>
          </w:p>
          <w:p w:rsidR="00783E74" w:rsidRPr="00723BA8" w:rsidRDefault="00783E74" w:rsidP="002B7BFF">
            <w:pPr>
              <w:jc w:val="both"/>
              <w:rPr>
                <w:rFonts w:eastAsia="Calibri"/>
                <w:sz w:val="20"/>
              </w:rPr>
            </w:pPr>
            <w:r w:rsidRPr="00723BA8">
              <w:rPr>
                <w:rFonts w:eastAsia="Calibri"/>
                <w:sz w:val="20"/>
              </w:rPr>
              <w:t>(McKelvey J.)</w:t>
            </w:r>
          </w:p>
          <w:p w:rsidR="00783E74" w:rsidRPr="00723BA8" w:rsidRDefault="00783E74" w:rsidP="002B7BFF">
            <w:pPr>
              <w:jc w:val="both"/>
              <w:rPr>
                <w:rFonts w:eastAsia="Calibri"/>
                <w:sz w:val="20"/>
              </w:rPr>
            </w:pPr>
            <w:r w:rsidRPr="00723BA8">
              <w:rPr>
                <w:rFonts w:eastAsia="Calibri"/>
                <w:sz w:val="20"/>
              </w:rPr>
              <w:t>2008 MBQB 201</w:t>
            </w:r>
          </w:p>
          <w:p w:rsidR="00783E74" w:rsidRPr="00723BA8" w:rsidRDefault="00783E74" w:rsidP="002B7BFF">
            <w:pPr>
              <w:jc w:val="both"/>
              <w:rPr>
                <w:rFonts w:eastAsia="Calibri"/>
                <w:sz w:val="20"/>
              </w:rPr>
            </w:pPr>
          </w:p>
        </w:tc>
        <w:tc>
          <w:tcPr>
            <w:tcW w:w="237" w:type="pct"/>
          </w:tcPr>
          <w:p w:rsidR="00783E74" w:rsidRPr="00723BA8" w:rsidRDefault="00783E74" w:rsidP="002B7BFF">
            <w:pPr>
              <w:jc w:val="both"/>
              <w:rPr>
                <w:rFonts w:eastAsia="Calibri"/>
                <w:sz w:val="20"/>
              </w:rPr>
            </w:pPr>
          </w:p>
        </w:tc>
        <w:tc>
          <w:tcPr>
            <w:tcW w:w="2406" w:type="pct"/>
          </w:tcPr>
          <w:p w:rsidR="00783E74" w:rsidRPr="00723BA8" w:rsidRDefault="00783E74" w:rsidP="002B7BFF">
            <w:pPr>
              <w:jc w:val="both"/>
              <w:rPr>
                <w:rFonts w:eastAsia="Calibri"/>
                <w:sz w:val="20"/>
              </w:rPr>
            </w:pPr>
            <w:r w:rsidRPr="00723BA8">
              <w:rPr>
                <w:rFonts w:eastAsia="Calibri"/>
                <w:color w:val="000000"/>
                <w:sz w:val="20"/>
              </w:rPr>
              <w:t xml:space="preserve">Respondent convicted of six counts of aggravated sexual assault, one count of </w:t>
            </w:r>
            <w:r w:rsidRPr="00723BA8">
              <w:rPr>
                <w:rFonts w:eastAsia="Calibri"/>
                <w:sz w:val="20"/>
              </w:rPr>
              <w:t xml:space="preserve">sexual touching and one count of inviting sexual touching; Respondent acquitted on </w:t>
            </w:r>
            <w:r w:rsidRPr="00723BA8">
              <w:rPr>
                <w:rFonts w:eastAsia="Calibri"/>
                <w:color w:val="000000"/>
                <w:sz w:val="20"/>
              </w:rPr>
              <w:t xml:space="preserve">four counts of aggravated sexual assault and one count of </w:t>
            </w:r>
            <w:r w:rsidRPr="00723BA8">
              <w:rPr>
                <w:rFonts w:eastAsia="Calibri"/>
                <w:sz w:val="20"/>
              </w:rPr>
              <w:t>forcible confinement</w:t>
            </w:r>
          </w:p>
          <w:p w:rsidR="00783E74" w:rsidRPr="00723BA8" w:rsidRDefault="00783E74" w:rsidP="002B7BFF">
            <w:pPr>
              <w:jc w:val="both"/>
              <w:rPr>
                <w:rFonts w:eastAsia="Calibri"/>
                <w:sz w:val="20"/>
              </w:rPr>
            </w:pPr>
          </w:p>
        </w:tc>
      </w:tr>
      <w:tr w:rsidR="00783E74" w:rsidRPr="00723BA8" w:rsidTr="005E3C63">
        <w:tc>
          <w:tcPr>
            <w:tcW w:w="2357" w:type="pct"/>
          </w:tcPr>
          <w:p w:rsidR="00783E74" w:rsidRPr="00723BA8" w:rsidRDefault="00783E74" w:rsidP="002B7BFF">
            <w:pPr>
              <w:jc w:val="both"/>
              <w:rPr>
                <w:rFonts w:eastAsia="Calibri"/>
                <w:sz w:val="20"/>
              </w:rPr>
            </w:pPr>
            <w:r w:rsidRPr="00723BA8">
              <w:rPr>
                <w:rFonts w:eastAsia="Calibri"/>
                <w:sz w:val="20"/>
              </w:rPr>
              <w:t>October 13, 2010</w:t>
            </w:r>
          </w:p>
          <w:p w:rsidR="00783E74" w:rsidRPr="00723BA8" w:rsidRDefault="00783E74" w:rsidP="002B7BFF">
            <w:pPr>
              <w:jc w:val="both"/>
              <w:rPr>
                <w:rFonts w:eastAsia="Calibri"/>
                <w:sz w:val="20"/>
              </w:rPr>
            </w:pPr>
            <w:r w:rsidRPr="00723BA8">
              <w:rPr>
                <w:rFonts w:eastAsia="Calibri"/>
                <w:sz w:val="20"/>
              </w:rPr>
              <w:t>Court of Appeal of Manitoba</w:t>
            </w:r>
          </w:p>
          <w:p w:rsidR="00783E74" w:rsidRPr="00723BA8" w:rsidRDefault="00783E74" w:rsidP="002B7BFF">
            <w:pPr>
              <w:jc w:val="both"/>
              <w:rPr>
                <w:rFonts w:eastAsia="Calibri"/>
                <w:sz w:val="20"/>
              </w:rPr>
            </w:pPr>
            <w:r w:rsidRPr="00723BA8">
              <w:rPr>
                <w:rFonts w:eastAsia="Calibri"/>
                <w:sz w:val="20"/>
              </w:rPr>
              <w:t>(Steel, MacInnes, Beard JJ.A.)</w:t>
            </w:r>
          </w:p>
          <w:p w:rsidR="00783E74" w:rsidRPr="00723BA8" w:rsidRDefault="00783E74" w:rsidP="002B7BFF">
            <w:pPr>
              <w:jc w:val="both"/>
              <w:rPr>
                <w:rFonts w:eastAsia="Calibri"/>
                <w:sz w:val="20"/>
              </w:rPr>
            </w:pPr>
            <w:r w:rsidRPr="00723BA8">
              <w:rPr>
                <w:rFonts w:eastAsia="Calibri"/>
                <w:sz w:val="20"/>
              </w:rPr>
              <w:t>2010 MBCA 93</w:t>
            </w:r>
          </w:p>
          <w:p w:rsidR="00783E74" w:rsidRPr="00723BA8" w:rsidRDefault="00783E74" w:rsidP="002B7BFF">
            <w:pPr>
              <w:jc w:val="both"/>
              <w:rPr>
                <w:rFonts w:eastAsia="Calibri"/>
                <w:sz w:val="20"/>
              </w:rPr>
            </w:pPr>
            <w:r w:rsidRPr="00723BA8">
              <w:rPr>
                <w:rFonts w:eastAsia="Calibri"/>
                <w:sz w:val="20"/>
              </w:rPr>
              <w:t>AR 08</w:t>
            </w:r>
            <w:r w:rsidRPr="00723BA8">
              <w:rPr>
                <w:rFonts w:eastAsia="Calibri"/>
                <w:sz w:val="20"/>
              </w:rPr>
              <w:noBreakHyphen/>
              <w:t>30</w:t>
            </w:r>
            <w:r w:rsidRPr="00723BA8">
              <w:rPr>
                <w:rFonts w:eastAsia="Calibri"/>
                <w:sz w:val="20"/>
              </w:rPr>
              <w:noBreakHyphen/>
              <w:t>07036</w:t>
            </w:r>
          </w:p>
          <w:p w:rsidR="00783E74" w:rsidRPr="00723BA8" w:rsidRDefault="00783E74" w:rsidP="002B7BFF">
            <w:pPr>
              <w:jc w:val="both"/>
              <w:rPr>
                <w:rFonts w:eastAsia="Calibri"/>
                <w:sz w:val="20"/>
              </w:rPr>
            </w:pPr>
          </w:p>
        </w:tc>
        <w:tc>
          <w:tcPr>
            <w:tcW w:w="237" w:type="pct"/>
          </w:tcPr>
          <w:p w:rsidR="00783E74" w:rsidRPr="00723BA8" w:rsidRDefault="00783E74" w:rsidP="002B7BFF">
            <w:pPr>
              <w:jc w:val="both"/>
              <w:rPr>
                <w:rFonts w:eastAsia="Calibri"/>
                <w:sz w:val="20"/>
              </w:rPr>
            </w:pPr>
          </w:p>
        </w:tc>
        <w:tc>
          <w:tcPr>
            <w:tcW w:w="2406" w:type="pct"/>
          </w:tcPr>
          <w:p w:rsidR="00783E74" w:rsidRPr="00723BA8" w:rsidRDefault="00783E74" w:rsidP="002B7BFF">
            <w:pPr>
              <w:jc w:val="both"/>
              <w:rPr>
                <w:rFonts w:eastAsia="Calibri"/>
                <w:sz w:val="20"/>
              </w:rPr>
            </w:pPr>
            <w:r w:rsidRPr="00723BA8">
              <w:rPr>
                <w:rFonts w:eastAsia="Calibri"/>
                <w:sz w:val="20"/>
              </w:rPr>
              <w:t xml:space="preserve">Appeal allowed in part.  Four convictions of aggravated sexual assault set aside and acquittals entered </w:t>
            </w:r>
          </w:p>
          <w:p w:rsidR="00783E74" w:rsidRPr="00723BA8" w:rsidRDefault="00783E74" w:rsidP="002B7BFF">
            <w:pPr>
              <w:jc w:val="both"/>
              <w:rPr>
                <w:rFonts w:eastAsia="Calibri"/>
                <w:sz w:val="20"/>
              </w:rPr>
            </w:pPr>
          </w:p>
        </w:tc>
      </w:tr>
      <w:tr w:rsidR="00783E74" w:rsidRPr="00723BA8" w:rsidTr="005E3C63">
        <w:tc>
          <w:tcPr>
            <w:tcW w:w="2357" w:type="pct"/>
          </w:tcPr>
          <w:p w:rsidR="00783E74" w:rsidRPr="00723BA8" w:rsidRDefault="00783E74" w:rsidP="002B7BFF">
            <w:pPr>
              <w:jc w:val="both"/>
              <w:rPr>
                <w:rFonts w:eastAsia="Calibri"/>
                <w:sz w:val="20"/>
              </w:rPr>
            </w:pPr>
            <w:r w:rsidRPr="00723BA8">
              <w:rPr>
                <w:rFonts w:eastAsia="Calibri"/>
                <w:sz w:val="20"/>
              </w:rPr>
              <w:t>December 10, 2010</w:t>
            </w:r>
          </w:p>
          <w:p w:rsidR="00783E74" w:rsidRPr="00723BA8" w:rsidRDefault="00783E74" w:rsidP="002B7BFF">
            <w:pPr>
              <w:jc w:val="both"/>
              <w:rPr>
                <w:rFonts w:eastAsia="Calibri"/>
                <w:sz w:val="20"/>
              </w:rPr>
            </w:pPr>
            <w:r w:rsidRPr="00723BA8">
              <w:rPr>
                <w:rFonts w:eastAsia="Calibri"/>
                <w:sz w:val="20"/>
              </w:rPr>
              <w:t>Supreme Court of Canada</w:t>
            </w:r>
          </w:p>
        </w:tc>
        <w:tc>
          <w:tcPr>
            <w:tcW w:w="237" w:type="pct"/>
          </w:tcPr>
          <w:p w:rsidR="00783E74" w:rsidRPr="00723BA8" w:rsidRDefault="00783E74" w:rsidP="002B7BFF">
            <w:pPr>
              <w:jc w:val="both"/>
              <w:rPr>
                <w:rFonts w:eastAsia="Calibri"/>
                <w:sz w:val="20"/>
              </w:rPr>
            </w:pPr>
          </w:p>
        </w:tc>
        <w:tc>
          <w:tcPr>
            <w:tcW w:w="2406" w:type="pct"/>
          </w:tcPr>
          <w:p w:rsidR="00783E74" w:rsidRPr="00723BA8" w:rsidRDefault="00783E74" w:rsidP="002B7BFF">
            <w:pPr>
              <w:jc w:val="both"/>
              <w:rPr>
                <w:rFonts w:eastAsia="Calibri"/>
                <w:sz w:val="20"/>
              </w:rPr>
            </w:pPr>
            <w:r w:rsidRPr="00723BA8">
              <w:rPr>
                <w:rFonts w:eastAsia="Calibri"/>
                <w:sz w:val="20"/>
              </w:rPr>
              <w:t>Application for leave to appeal filed</w:t>
            </w:r>
          </w:p>
          <w:p w:rsidR="00783E74" w:rsidRPr="00723BA8" w:rsidRDefault="00783E74"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6"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3E74" w:rsidRPr="00E62A55" w:rsidTr="002B7BFF">
        <w:tc>
          <w:tcPr>
            <w:tcW w:w="5000" w:type="pct"/>
            <w:gridSpan w:val="3"/>
          </w:tcPr>
          <w:p w:rsidR="00783E74" w:rsidRPr="00723BA8" w:rsidRDefault="00783E74" w:rsidP="00783E74">
            <w:pPr>
              <w:pStyle w:val="SCCBanSummary"/>
              <w:rPr>
                <w:sz w:val="20"/>
                <w:szCs w:val="20"/>
                <w:lang w:val="fr-CA"/>
              </w:rPr>
            </w:pPr>
            <w:r w:rsidRPr="00723BA8">
              <w:rPr>
                <w:sz w:val="20"/>
                <w:szCs w:val="20"/>
                <w:lang w:val="fr-CA"/>
              </w:rPr>
              <w:t>(Ordonnance de non</w:t>
            </w:r>
            <w:r w:rsidRPr="00723BA8">
              <w:rPr>
                <w:sz w:val="20"/>
                <w:szCs w:val="20"/>
                <w:lang w:val="fr-CA"/>
              </w:rPr>
              <w:noBreakHyphen/>
              <w:t xml:space="preserve">publication visant une partie) </w:t>
            </w:r>
          </w:p>
          <w:p w:rsidR="00783E74" w:rsidRPr="00723BA8" w:rsidRDefault="00783E74" w:rsidP="00783E74">
            <w:pPr>
              <w:jc w:val="both"/>
              <w:rPr>
                <w:sz w:val="20"/>
                <w:lang w:val="fr-CA"/>
              </w:rPr>
            </w:pPr>
          </w:p>
          <w:p w:rsidR="00783E74" w:rsidRPr="00723BA8" w:rsidRDefault="00783E74" w:rsidP="00783E74">
            <w:pPr>
              <w:jc w:val="both"/>
              <w:rPr>
                <w:sz w:val="20"/>
                <w:lang w:val="fr-CA"/>
              </w:rPr>
            </w:pPr>
            <w:r w:rsidRPr="00723BA8">
              <w:rPr>
                <w:sz w:val="20"/>
                <w:lang w:val="fr-CA"/>
              </w:rPr>
              <w:t>Droit criminel — Infractions — Éléments de l’infraction — Agression sexuelle — Est</w:t>
            </w:r>
            <w:r w:rsidRPr="00723BA8">
              <w:rPr>
                <w:sz w:val="20"/>
                <w:lang w:val="fr-CA"/>
              </w:rPr>
              <w:noBreakHyphen/>
              <w:t xml:space="preserve">il juste que l’omission de la part de l’intimé de déclarer qu’il était séropositif pour le HIV avant d’avoir des rapports sexuels avec différentes partenaires sexuelles n’a pas eu comme conséquence d’exposer ces dernières à un risque élevé de préjudice corporel grave parce que les charges virales de l’intimé avaient été diminuées par une </w:t>
            </w:r>
            <w:r w:rsidRPr="00723BA8">
              <w:rPr>
                <w:color w:val="000000"/>
                <w:sz w:val="20"/>
                <w:lang w:val="fr-CA"/>
              </w:rPr>
              <w:t>thérapie antirétrovirale</w:t>
            </w:r>
            <w:r w:rsidRPr="00723BA8">
              <w:rPr>
                <w:sz w:val="20"/>
                <w:lang w:val="fr-CA"/>
              </w:rPr>
              <w:t xml:space="preserve"> ou parce qu’il avait utilisé des condoms?</w:t>
            </w:r>
          </w:p>
          <w:p w:rsidR="00783E74" w:rsidRPr="00723BA8" w:rsidRDefault="00783E74" w:rsidP="002B7BFF">
            <w:pPr>
              <w:rPr>
                <w:sz w:val="20"/>
                <w:lang w:val="fr-CA"/>
              </w:rPr>
            </w:pPr>
          </w:p>
        </w:tc>
      </w:tr>
      <w:tr w:rsidR="00783E74" w:rsidRPr="00E62A55" w:rsidTr="002B7BFF">
        <w:tc>
          <w:tcPr>
            <w:tcW w:w="5000" w:type="pct"/>
            <w:gridSpan w:val="3"/>
          </w:tcPr>
          <w:p w:rsidR="00783E74" w:rsidRPr="00723BA8" w:rsidRDefault="00783E74" w:rsidP="00783E74">
            <w:pPr>
              <w:jc w:val="both"/>
              <w:rPr>
                <w:sz w:val="20"/>
                <w:lang w:val="fr-CA"/>
              </w:rPr>
            </w:pPr>
            <w:r w:rsidRPr="00723BA8">
              <w:rPr>
                <w:sz w:val="20"/>
                <w:lang w:val="fr-CA"/>
              </w:rPr>
              <w:t xml:space="preserve">L’intimé a été accusé de dix chefs d’accusation d’agression sexuelle grave (ainsi que d’autres chefs d’accusation) parce qu’il a eu des rapports sexuels avec différentes plaignantes sans leur dire qu’il était séropositif pour le VIH.  Un expert a affirmé qu’une </w:t>
            </w:r>
            <w:r w:rsidRPr="00723BA8">
              <w:rPr>
                <w:color w:val="000000"/>
                <w:sz w:val="20"/>
                <w:lang w:val="fr-CA"/>
              </w:rPr>
              <w:t xml:space="preserve">thérapie antirétrovirale administrée au cours de la période de temps pertinente avait diminué la </w:t>
            </w:r>
            <w:r w:rsidRPr="00723BA8">
              <w:rPr>
                <w:color w:val="000000"/>
                <w:sz w:val="20"/>
                <w:lang w:val="fr-CA"/>
              </w:rPr>
              <w:lastRenderedPageBreak/>
              <w:t xml:space="preserve">charge virale de l’intimé de sorte que le risque de </w:t>
            </w:r>
            <w:r w:rsidRPr="00723BA8">
              <w:rPr>
                <w:sz w:val="20"/>
                <w:lang w:val="fr-CA"/>
              </w:rPr>
              <w:t xml:space="preserve">transmission du VIH, bien qu’étant probablement faible, était </w:t>
            </w:r>
            <w:r w:rsidRPr="00723BA8">
              <w:rPr>
                <w:color w:val="000000"/>
                <w:sz w:val="20"/>
                <w:lang w:val="fr-CA"/>
              </w:rPr>
              <w:t>possible au cours d’une partie de la période de temps pertinente et qu’il y avait une forte probabilité que l’intimé n’était pas contagieux au cours du reste de la période pertinente</w:t>
            </w:r>
            <w:r w:rsidRPr="00723BA8">
              <w:rPr>
                <w:sz w:val="20"/>
                <w:lang w:val="fr-CA"/>
              </w:rPr>
              <w:t>.  L’intimé a utilisé des condoms dans certains cas.  Aucune des plaignantes n’a contracté le VIH.  La juge de première instance a déclaré l’intimé coupable de six chefs d’accusation d’agression sexuelle grave parce qu’il n’avait utilisé aucun condom</w:t>
            </w:r>
            <w:r w:rsidRPr="00723BA8">
              <w:rPr>
                <w:color w:val="000000"/>
                <w:sz w:val="20"/>
                <w:lang w:val="fr-CA"/>
              </w:rPr>
              <w:t>, et ce, sans tenir compte de ses charges virales.  La juge de première instance a acquitté l’intimé de l’accusation d’agression sexuelle grave dans les cas où  celui</w:t>
            </w:r>
            <w:r w:rsidRPr="00723BA8">
              <w:rPr>
                <w:color w:val="000000"/>
                <w:sz w:val="20"/>
                <w:lang w:val="fr-CA"/>
              </w:rPr>
              <w:noBreakHyphen/>
              <w:t>ci avait utilisé un condom et qu’aucune charge virale n’avait été détectée au moment des agressions.  La Cour d’appel a annulé quatre des six déclarations de culpabilité et a inscrit des verdicts d’acquittement au motif qu’une personne qui a des rapports sexuels en utilisant un condom ou lorsque ses charges virales sont faibles n’expose pas un partenaire sexuel à un risque de préjudice corporel grave</w:t>
            </w:r>
            <w:r w:rsidRPr="00723BA8">
              <w:rPr>
                <w:sz w:val="20"/>
                <w:lang w:val="fr-CA"/>
              </w:rPr>
              <w:t xml:space="preserve">. </w:t>
            </w:r>
            <w:r w:rsidRPr="00723BA8">
              <w:rPr>
                <w:color w:val="000000"/>
                <w:sz w:val="20"/>
                <w:lang w:val="fr-CA"/>
              </w:rPr>
              <w:t xml:space="preserve"> </w:t>
            </w:r>
          </w:p>
          <w:p w:rsidR="00783E74" w:rsidRPr="00723BA8" w:rsidRDefault="00783E74" w:rsidP="002B7BFF">
            <w:pPr>
              <w:rPr>
                <w:sz w:val="20"/>
                <w:lang w:val="fr-CA"/>
              </w:rPr>
            </w:pPr>
          </w:p>
        </w:tc>
      </w:tr>
      <w:tr w:rsidR="00783E74" w:rsidRPr="00E62A55" w:rsidTr="002B7BFF">
        <w:tc>
          <w:tcPr>
            <w:tcW w:w="2427" w:type="pct"/>
          </w:tcPr>
          <w:p w:rsidR="00783E74" w:rsidRPr="00723BA8" w:rsidRDefault="00783E74" w:rsidP="002B7BFF">
            <w:pPr>
              <w:rPr>
                <w:sz w:val="20"/>
                <w:lang w:val="fr-CA"/>
              </w:rPr>
            </w:pPr>
            <w:r w:rsidRPr="00723BA8">
              <w:rPr>
                <w:sz w:val="20"/>
                <w:lang w:val="fr-CA"/>
              </w:rPr>
              <w:lastRenderedPageBreak/>
              <w:t>15 juillet 2008</w:t>
            </w:r>
          </w:p>
          <w:p w:rsidR="00783E74" w:rsidRPr="00723BA8" w:rsidRDefault="00783E74" w:rsidP="002B7BFF">
            <w:pPr>
              <w:rPr>
                <w:sz w:val="20"/>
                <w:lang w:val="fr-CA"/>
              </w:rPr>
            </w:pPr>
            <w:r w:rsidRPr="00723BA8">
              <w:rPr>
                <w:sz w:val="20"/>
                <w:lang w:val="fr-CA"/>
              </w:rPr>
              <w:t>Cour du Banc de la Reine du Manitoba</w:t>
            </w:r>
          </w:p>
          <w:p w:rsidR="00783E74" w:rsidRPr="00723BA8" w:rsidRDefault="00783E74" w:rsidP="002B7BFF">
            <w:pPr>
              <w:rPr>
                <w:sz w:val="20"/>
                <w:lang w:val="fr-CA"/>
              </w:rPr>
            </w:pPr>
            <w:r w:rsidRPr="00723BA8">
              <w:rPr>
                <w:sz w:val="20"/>
                <w:lang w:val="fr-CA"/>
              </w:rPr>
              <w:t>(Juge McKelvey)</w:t>
            </w:r>
          </w:p>
          <w:p w:rsidR="00783E74" w:rsidRPr="00723BA8" w:rsidRDefault="00783E74" w:rsidP="002B7BFF">
            <w:pPr>
              <w:rPr>
                <w:sz w:val="20"/>
                <w:lang w:val="fr-CA"/>
              </w:rPr>
            </w:pPr>
            <w:r w:rsidRPr="00723BA8">
              <w:rPr>
                <w:sz w:val="20"/>
                <w:lang w:val="fr-CA"/>
              </w:rPr>
              <w:t>2008 MBQB 201</w:t>
            </w:r>
          </w:p>
          <w:p w:rsidR="00783E74" w:rsidRPr="00723BA8" w:rsidRDefault="00783E74" w:rsidP="002B7BFF">
            <w:pPr>
              <w:rPr>
                <w:sz w:val="20"/>
                <w:lang w:val="fr-CA"/>
              </w:rPr>
            </w:pPr>
          </w:p>
        </w:tc>
        <w:tc>
          <w:tcPr>
            <w:tcW w:w="243" w:type="pct"/>
          </w:tcPr>
          <w:p w:rsidR="00783E74" w:rsidRPr="00723BA8" w:rsidRDefault="00783E74" w:rsidP="002B7BFF">
            <w:pPr>
              <w:rPr>
                <w:sz w:val="20"/>
                <w:lang w:val="fr-CA"/>
              </w:rPr>
            </w:pPr>
          </w:p>
        </w:tc>
        <w:tc>
          <w:tcPr>
            <w:tcW w:w="2330" w:type="pct"/>
          </w:tcPr>
          <w:p w:rsidR="00783E74" w:rsidRPr="00723BA8" w:rsidRDefault="00783E74" w:rsidP="00783E74">
            <w:pPr>
              <w:jc w:val="both"/>
              <w:rPr>
                <w:sz w:val="20"/>
                <w:lang w:val="fr-CA"/>
              </w:rPr>
            </w:pPr>
            <w:r w:rsidRPr="00723BA8">
              <w:rPr>
                <w:color w:val="000000"/>
                <w:sz w:val="20"/>
                <w:lang w:val="fr-CA"/>
              </w:rPr>
              <w:t>Intimé déclaré coupable de six chefs d’accusation d’agression sexuelle grave, d’un chef d’accusation de contacts sexuels et d’un chef d’accusation d’incitation à des contacts sexuels</w:t>
            </w:r>
            <w:r w:rsidRPr="00723BA8">
              <w:rPr>
                <w:sz w:val="20"/>
                <w:lang w:val="fr-CA"/>
              </w:rPr>
              <w:t>; intimé acquitté relativement à quatre chefs d’accusation d’agression sexuelle grave et à un chef d’accusation de séquestration</w:t>
            </w:r>
          </w:p>
          <w:p w:rsidR="00783E74" w:rsidRPr="00723BA8" w:rsidRDefault="00783E74" w:rsidP="002B7BFF">
            <w:pPr>
              <w:rPr>
                <w:sz w:val="20"/>
                <w:lang w:val="fr-CA"/>
              </w:rPr>
            </w:pPr>
          </w:p>
        </w:tc>
      </w:tr>
      <w:tr w:rsidR="00783E74" w:rsidRPr="00E62A55" w:rsidTr="002B7BFF">
        <w:tc>
          <w:tcPr>
            <w:tcW w:w="2427" w:type="pct"/>
          </w:tcPr>
          <w:p w:rsidR="00783E74" w:rsidRPr="00723BA8" w:rsidRDefault="00783E74" w:rsidP="002B7BFF">
            <w:pPr>
              <w:rPr>
                <w:sz w:val="20"/>
                <w:lang w:val="fr-CA"/>
              </w:rPr>
            </w:pPr>
            <w:r w:rsidRPr="00723BA8">
              <w:rPr>
                <w:sz w:val="20"/>
                <w:lang w:val="fr-CA"/>
              </w:rPr>
              <w:t>13 octobre 2010</w:t>
            </w:r>
          </w:p>
          <w:p w:rsidR="00783E74" w:rsidRPr="00723BA8" w:rsidRDefault="00783E74" w:rsidP="002B7BFF">
            <w:pPr>
              <w:rPr>
                <w:sz w:val="20"/>
                <w:lang w:val="fr-CA"/>
              </w:rPr>
            </w:pPr>
            <w:r w:rsidRPr="00723BA8">
              <w:rPr>
                <w:sz w:val="20"/>
                <w:lang w:val="fr-CA"/>
              </w:rPr>
              <w:t>Cour d’appel du Manitoba</w:t>
            </w:r>
          </w:p>
          <w:p w:rsidR="00783E74" w:rsidRPr="00723BA8" w:rsidRDefault="00783E74" w:rsidP="002B7BFF">
            <w:pPr>
              <w:rPr>
                <w:sz w:val="20"/>
                <w:lang w:val="fr-CA"/>
              </w:rPr>
            </w:pPr>
            <w:r w:rsidRPr="00723BA8">
              <w:rPr>
                <w:sz w:val="20"/>
                <w:lang w:val="fr-CA"/>
              </w:rPr>
              <w:t>(Juges Steel, MacInnes et Beard.)</w:t>
            </w:r>
          </w:p>
          <w:p w:rsidR="00783E74" w:rsidRPr="00723BA8" w:rsidRDefault="00783E74" w:rsidP="002B7BFF">
            <w:pPr>
              <w:rPr>
                <w:sz w:val="20"/>
                <w:lang w:val="fr-CA"/>
              </w:rPr>
            </w:pPr>
            <w:r w:rsidRPr="00723BA8">
              <w:rPr>
                <w:sz w:val="20"/>
                <w:lang w:val="fr-CA"/>
              </w:rPr>
              <w:t>2010 MBCA 93</w:t>
            </w:r>
          </w:p>
          <w:p w:rsidR="00783E74" w:rsidRPr="00723BA8" w:rsidRDefault="00783E74" w:rsidP="002B7BFF">
            <w:pPr>
              <w:rPr>
                <w:sz w:val="20"/>
                <w:lang w:val="fr-CA"/>
              </w:rPr>
            </w:pPr>
            <w:r w:rsidRPr="00723BA8">
              <w:rPr>
                <w:sz w:val="20"/>
                <w:lang w:val="fr-CA"/>
              </w:rPr>
              <w:t>AR 08</w:t>
            </w:r>
            <w:r w:rsidRPr="00723BA8">
              <w:rPr>
                <w:sz w:val="20"/>
                <w:lang w:val="fr-CA"/>
              </w:rPr>
              <w:noBreakHyphen/>
              <w:t>30</w:t>
            </w:r>
            <w:r w:rsidRPr="00723BA8">
              <w:rPr>
                <w:sz w:val="20"/>
                <w:lang w:val="fr-CA"/>
              </w:rPr>
              <w:noBreakHyphen/>
              <w:t>07036</w:t>
            </w:r>
          </w:p>
          <w:p w:rsidR="00783E74" w:rsidRPr="00723BA8" w:rsidRDefault="00783E74" w:rsidP="002B7BFF">
            <w:pPr>
              <w:rPr>
                <w:sz w:val="20"/>
                <w:lang w:val="fr-CA"/>
              </w:rPr>
            </w:pPr>
          </w:p>
        </w:tc>
        <w:tc>
          <w:tcPr>
            <w:tcW w:w="243" w:type="pct"/>
          </w:tcPr>
          <w:p w:rsidR="00783E74" w:rsidRPr="00723BA8" w:rsidRDefault="00783E74" w:rsidP="002B7BFF">
            <w:pPr>
              <w:rPr>
                <w:sz w:val="20"/>
                <w:lang w:val="fr-CA"/>
              </w:rPr>
            </w:pPr>
          </w:p>
        </w:tc>
        <w:tc>
          <w:tcPr>
            <w:tcW w:w="2330" w:type="pct"/>
          </w:tcPr>
          <w:p w:rsidR="00783E74" w:rsidRPr="00723BA8" w:rsidRDefault="00783E74" w:rsidP="00783E74">
            <w:pPr>
              <w:jc w:val="both"/>
              <w:rPr>
                <w:sz w:val="20"/>
                <w:lang w:val="fr-CA"/>
              </w:rPr>
            </w:pPr>
            <w:r w:rsidRPr="00723BA8">
              <w:rPr>
                <w:sz w:val="20"/>
                <w:lang w:val="fr-CA"/>
              </w:rPr>
              <w:t>Appel accueilli en partie. Quatre déclarations de culpabilité d’agression sexuelle grave annulées, inscription de verdicts d’acquittement</w:t>
            </w:r>
          </w:p>
          <w:p w:rsidR="00783E74" w:rsidRPr="00723BA8" w:rsidRDefault="00783E74" w:rsidP="002B7BFF">
            <w:pPr>
              <w:rPr>
                <w:sz w:val="20"/>
                <w:lang w:val="fr-CA"/>
              </w:rPr>
            </w:pPr>
          </w:p>
        </w:tc>
      </w:tr>
      <w:tr w:rsidR="00783E74" w:rsidRPr="00723BA8" w:rsidTr="002B7BFF">
        <w:tc>
          <w:tcPr>
            <w:tcW w:w="2427" w:type="pct"/>
          </w:tcPr>
          <w:p w:rsidR="00783E74" w:rsidRPr="00723BA8" w:rsidRDefault="00783E74" w:rsidP="002B7BFF">
            <w:pPr>
              <w:rPr>
                <w:sz w:val="20"/>
                <w:lang w:val="fr-CA"/>
              </w:rPr>
            </w:pPr>
            <w:r w:rsidRPr="00723BA8">
              <w:rPr>
                <w:sz w:val="20"/>
                <w:lang w:val="fr-CA"/>
              </w:rPr>
              <w:t>10 décembre 2010</w:t>
            </w:r>
          </w:p>
          <w:p w:rsidR="00783E74" w:rsidRPr="00723BA8" w:rsidRDefault="00783E74" w:rsidP="002B7BFF">
            <w:pPr>
              <w:rPr>
                <w:sz w:val="20"/>
                <w:lang w:val="fr-CA"/>
              </w:rPr>
            </w:pPr>
            <w:r w:rsidRPr="00723BA8">
              <w:rPr>
                <w:sz w:val="20"/>
                <w:lang w:val="fr-CA"/>
              </w:rPr>
              <w:t>Cour suprême du Canada</w:t>
            </w:r>
          </w:p>
        </w:tc>
        <w:tc>
          <w:tcPr>
            <w:tcW w:w="243" w:type="pct"/>
          </w:tcPr>
          <w:p w:rsidR="00783E74" w:rsidRPr="00723BA8" w:rsidRDefault="00783E74" w:rsidP="002B7BFF">
            <w:pPr>
              <w:rPr>
                <w:sz w:val="20"/>
                <w:lang w:val="fr-CA"/>
              </w:rPr>
            </w:pPr>
          </w:p>
        </w:tc>
        <w:tc>
          <w:tcPr>
            <w:tcW w:w="2330" w:type="pct"/>
          </w:tcPr>
          <w:p w:rsidR="00783E74" w:rsidRPr="00723BA8" w:rsidRDefault="00783E74" w:rsidP="002B7BFF">
            <w:pPr>
              <w:rPr>
                <w:sz w:val="20"/>
                <w:lang w:val="fr-CA"/>
              </w:rPr>
            </w:pPr>
            <w:r w:rsidRPr="00723BA8">
              <w:rPr>
                <w:sz w:val="20"/>
                <w:lang w:val="fr-CA"/>
              </w:rPr>
              <w:t>Demande d’autorisation d’appel déposée</w:t>
            </w:r>
          </w:p>
          <w:p w:rsidR="00783E74" w:rsidRPr="00723BA8" w:rsidRDefault="00783E74" w:rsidP="002B7BFF">
            <w:pPr>
              <w:rPr>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7"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Style w:val="SCCFileNumberChar"/>
                <w:sz w:val="20"/>
                <w:szCs w:val="20"/>
              </w:rPr>
              <w:t>33980</w:t>
            </w:r>
          </w:p>
          <w:p w:rsidR="00C82EBC" w:rsidRPr="00FF441F" w:rsidRDefault="00C82EBC" w:rsidP="00E816E1">
            <w:pPr>
              <w:rPr>
                <w:rFonts w:cs="Times New Roman"/>
                <w:b/>
                <w:sz w:val="20"/>
                <w:szCs w:val="20"/>
                <w:lang w:val="fr-CA"/>
              </w:rPr>
            </w:pPr>
          </w:p>
        </w:tc>
        <w:tc>
          <w:tcPr>
            <w:tcW w:w="8118" w:type="dxa"/>
          </w:tcPr>
          <w:p w:rsidR="00C82EBC" w:rsidRPr="00FF441F" w:rsidRDefault="00C82EBC" w:rsidP="00E816E1">
            <w:pPr>
              <w:rPr>
                <w:rFonts w:cs="Times New Roman"/>
                <w:sz w:val="20"/>
                <w:szCs w:val="20"/>
                <w:lang w:val="fr-CA"/>
              </w:rPr>
            </w:pPr>
            <w:r w:rsidRPr="00FF441F">
              <w:rPr>
                <w:rStyle w:val="SCCLsocChar"/>
                <w:rFonts w:cs="Times New Roman"/>
                <w:sz w:val="20"/>
                <w:szCs w:val="20"/>
              </w:rPr>
              <w:t>Paul E. Richard c. Procureur général du Canada</w:t>
            </w:r>
            <w:r w:rsidRPr="00FF441F">
              <w:rPr>
                <w:rFonts w:cs="Times New Roman"/>
                <w:sz w:val="20"/>
                <w:szCs w:val="20"/>
                <w:lang w:val="fr-CA"/>
              </w:rPr>
              <w:t xml:space="preserve"> (C.F.) (Civile) (Autorisation)</w:t>
            </w:r>
          </w:p>
          <w:p w:rsidR="00C82EBC" w:rsidRPr="00FF441F" w:rsidRDefault="00C82EBC" w:rsidP="00E816E1">
            <w:pPr>
              <w:rPr>
                <w:rFonts w:cs="Times New Roman"/>
                <w:sz w:val="20"/>
                <w:szCs w:val="20"/>
                <w:lang w:val="fr-CA"/>
              </w:rPr>
            </w:pPr>
          </w:p>
        </w:tc>
      </w:tr>
      <w:tr w:rsidR="00C82EBC" w:rsidRPr="00E62A55" w:rsidTr="00E816E1">
        <w:trPr>
          <w:cantSplit/>
        </w:trPr>
        <w:tc>
          <w:tcPr>
            <w:tcW w:w="1458" w:type="dxa"/>
          </w:tcPr>
          <w:p w:rsidR="00C82EBC" w:rsidRPr="00FF441F" w:rsidRDefault="00C82EBC" w:rsidP="00E816E1">
            <w:pPr>
              <w:rPr>
                <w:rFonts w:cs="Times New Roman"/>
                <w:sz w:val="20"/>
                <w:szCs w:val="20"/>
                <w:lang w:val="fr-CA"/>
              </w:rPr>
            </w:pPr>
            <w:r w:rsidRPr="00FF441F">
              <w:rPr>
                <w:rFonts w:cs="Times New Roman"/>
                <w:sz w:val="20"/>
                <w:szCs w:val="20"/>
                <w:lang w:val="fr-CA"/>
              </w:rPr>
              <w:t>Coram :</w:t>
            </w:r>
          </w:p>
        </w:tc>
        <w:tc>
          <w:tcPr>
            <w:tcW w:w="8118" w:type="dxa"/>
          </w:tcPr>
          <w:p w:rsidR="00C82EBC" w:rsidRPr="00FF441F" w:rsidRDefault="00C82EBC" w:rsidP="00E816E1">
            <w:pPr>
              <w:rPr>
                <w:rFonts w:cs="Times New Roman"/>
                <w:sz w:val="20"/>
                <w:szCs w:val="20"/>
                <w:lang w:val="fr-CA"/>
              </w:rPr>
            </w:pPr>
            <w:r w:rsidRPr="00FF441F">
              <w:rPr>
                <w:rStyle w:val="SCCCoramChar"/>
                <w:rFonts w:cs="Times New Roman"/>
                <w:sz w:val="20"/>
                <w:szCs w:val="20"/>
              </w:rPr>
              <w:t>Les juges LeBel, Deschamps et Charron</w:t>
            </w:r>
          </w:p>
          <w:p w:rsidR="00C82EBC" w:rsidRPr="00FF441F" w:rsidRDefault="00C82EBC" w:rsidP="00E816E1">
            <w:pPr>
              <w:rPr>
                <w:rFonts w:cs="Times New Roman"/>
                <w:sz w:val="20"/>
                <w:szCs w:val="20"/>
                <w:u w:val="single"/>
                <w:lang w:val="fr-CA"/>
              </w:rPr>
            </w:pPr>
          </w:p>
        </w:tc>
      </w:tr>
      <w:tr w:rsidR="00C82EBC" w:rsidRPr="00FF441F" w:rsidTr="00E816E1">
        <w:trPr>
          <w:cantSplit/>
        </w:trPr>
        <w:tc>
          <w:tcPr>
            <w:tcW w:w="9576" w:type="dxa"/>
            <w:gridSpan w:val="2"/>
          </w:tcPr>
          <w:p w:rsidR="00C82EBC" w:rsidRPr="00FF441F" w:rsidRDefault="00C82EBC" w:rsidP="00E816E1">
            <w:pPr>
              <w:pStyle w:val="SCCShortJudgment"/>
              <w:rPr>
                <w:rFonts w:cs="Times New Roman"/>
                <w:szCs w:val="20"/>
                <w:lang w:val="fr-CA"/>
              </w:rPr>
            </w:pPr>
            <w:r w:rsidRPr="00FF441F">
              <w:rPr>
                <w:rFonts w:cs="Times New Roman"/>
                <w:szCs w:val="20"/>
                <w:lang w:val="fr-CA"/>
              </w:rPr>
              <w:t>La requête de la Commission canadienne des droits de la personne pour retirer son nom de l’intitulé est accordée. La demande d’autorisation d’appel de l’arrêt de la Cour d’appel fédérale, numéro A-171-10, 2010 CAF 292, daté du 4 novembre 2010, est rejetée avec dépens en faveur de l’intimé.</w:t>
            </w:r>
          </w:p>
          <w:p w:rsidR="00C82EBC" w:rsidRPr="00FF441F" w:rsidRDefault="00C82EBC" w:rsidP="00E816E1">
            <w:pPr>
              <w:pStyle w:val="SCCShortJudgment"/>
              <w:ind w:firstLine="0"/>
              <w:rPr>
                <w:rFonts w:cs="Times New Roman"/>
                <w:szCs w:val="20"/>
                <w:lang w:val="fr-CA"/>
              </w:rPr>
            </w:pPr>
          </w:p>
          <w:p w:rsidR="00C82EBC" w:rsidRPr="00FF441F" w:rsidRDefault="00C82EBC" w:rsidP="00E816E1">
            <w:pPr>
              <w:pStyle w:val="SCCShortJudgment"/>
              <w:rPr>
                <w:rFonts w:cs="Times New Roman"/>
                <w:szCs w:val="20"/>
              </w:rPr>
            </w:pPr>
            <w:r w:rsidRPr="00FF441F">
              <w:rPr>
                <w:rFonts w:cs="Times New Roman"/>
                <w:szCs w:val="20"/>
              </w:rPr>
              <w:t>The motion of the Canadian Human Rights Commission to withdraw its name from the style of cause is granted. The application for leave to appeal from the judgment of the Federal Court of Appeal, Number A-171-10, 2010 FCA 292, dated November 4, 2010, is dismissed with costs to the respondent.</w:t>
            </w:r>
          </w:p>
        </w:tc>
      </w:tr>
    </w:tbl>
    <w:p w:rsidR="00783E74" w:rsidRDefault="00783E74" w:rsidP="004E6FA2">
      <w:pPr>
        <w:rPr>
          <w:sz w:val="20"/>
          <w:szCs w:val="20"/>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3E74" w:rsidRPr="00723BA8" w:rsidTr="002B7BFF">
        <w:tc>
          <w:tcPr>
            <w:tcW w:w="5000" w:type="pct"/>
            <w:gridSpan w:val="3"/>
          </w:tcPr>
          <w:p w:rsidR="00783E74" w:rsidRPr="00723BA8" w:rsidRDefault="00783E74" w:rsidP="002B7BFF">
            <w:pPr>
              <w:jc w:val="both"/>
              <w:rPr>
                <w:rFonts w:eastAsia="Calibri"/>
                <w:sz w:val="20"/>
              </w:rPr>
            </w:pPr>
            <w:r w:rsidRPr="00723BA8">
              <w:rPr>
                <w:rFonts w:eastAsia="Calibri"/>
                <w:sz w:val="20"/>
              </w:rPr>
              <w:t>Civil procedure — Time — Discretion to extend limitation period — Complaint filed against federal government more than 20 years after events — Statute providing for one</w:t>
            </w:r>
            <w:r w:rsidRPr="00723BA8">
              <w:rPr>
                <w:rFonts w:eastAsia="Calibri"/>
                <w:sz w:val="20"/>
              </w:rPr>
              <w:noBreakHyphen/>
              <w:t xml:space="preserve">year limitation period — Defence that relevant documents destroyed — Whether Federal Court of Appeal erred in law in affirming decision based on presumption and not on actual evidence of prejudice resulting from extension of time — </w:t>
            </w:r>
            <w:r w:rsidRPr="00723BA8">
              <w:rPr>
                <w:rFonts w:eastAsia="Calibri"/>
                <w:i/>
                <w:sz w:val="20"/>
              </w:rPr>
              <w:t>Canadian Human Rights Act</w:t>
            </w:r>
            <w:r w:rsidRPr="00723BA8">
              <w:rPr>
                <w:rFonts w:eastAsia="Calibri"/>
                <w:sz w:val="20"/>
              </w:rPr>
              <w:t>, R.S.C. 1985, c. H</w:t>
            </w:r>
            <w:r w:rsidRPr="00723BA8">
              <w:rPr>
                <w:rFonts w:eastAsia="Calibri"/>
                <w:sz w:val="20"/>
              </w:rPr>
              <w:noBreakHyphen/>
              <w:t>6, s. 41(1)(</w:t>
            </w:r>
            <w:r w:rsidRPr="00723BA8">
              <w:rPr>
                <w:rFonts w:eastAsia="Calibri"/>
                <w:i/>
                <w:sz w:val="20"/>
              </w:rPr>
              <w:t>e</w:t>
            </w:r>
            <w:r w:rsidRPr="00723BA8">
              <w:rPr>
                <w:rFonts w:eastAsia="Calibri"/>
                <w:sz w:val="20"/>
              </w:rPr>
              <w:t xml:space="preserve">) — Applicability of </w:t>
            </w:r>
            <w:r w:rsidRPr="00723BA8">
              <w:rPr>
                <w:rFonts w:eastAsia="Calibri"/>
                <w:i/>
                <w:sz w:val="20"/>
              </w:rPr>
              <w:t>Christensen</w:t>
            </w:r>
            <w:r w:rsidRPr="00723BA8">
              <w:rPr>
                <w:rFonts w:eastAsia="Calibri"/>
                <w:sz w:val="20"/>
              </w:rPr>
              <w:t xml:space="preserve"> v. </w:t>
            </w:r>
            <w:r w:rsidRPr="00723BA8">
              <w:rPr>
                <w:rFonts w:eastAsia="Calibri"/>
                <w:i/>
                <w:sz w:val="20"/>
              </w:rPr>
              <w:t>Roman Catholic Archbishop of Québec</w:t>
            </w:r>
            <w:r w:rsidRPr="00723BA8">
              <w:rPr>
                <w:rFonts w:eastAsia="Calibri"/>
                <w:sz w:val="20"/>
              </w:rPr>
              <w:t>, [2010] 2 S.C.R. 694.</w:t>
            </w:r>
          </w:p>
          <w:p w:rsidR="00783E74" w:rsidRPr="00723BA8" w:rsidRDefault="00783E74" w:rsidP="002B7BFF">
            <w:pPr>
              <w:jc w:val="both"/>
              <w:rPr>
                <w:rFonts w:eastAsia="Calibri"/>
                <w:sz w:val="20"/>
              </w:rPr>
            </w:pPr>
          </w:p>
        </w:tc>
      </w:tr>
      <w:tr w:rsidR="00783E74" w:rsidRPr="00723BA8" w:rsidTr="002B7BFF">
        <w:tc>
          <w:tcPr>
            <w:tcW w:w="5000" w:type="pct"/>
            <w:gridSpan w:val="3"/>
          </w:tcPr>
          <w:p w:rsidR="00783E74" w:rsidRPr="00723BA8" w:rsidRDefault="00783E74" w:rsidP="002B7BFF">
            <w:pPr>
              <w:jc w:val="both"/>
              <w:rPr>
                <w:rFonts w:eastAsia="Calibri"/>
                <w:sz w:val="20"/>
              </w:rPr>
            </w:pPr>
            <w:r w:rsidRPr="00723BA8">
              <w:rPr>
                <w:rFonts w:eastAsia="Calibri"/>
                <w:sz w:val="20"/>
              </w:rPr>
              <w:t xml:space="preserve">In 2007, the applicant Mr. Richard filed a complaint with the Canadian Human Rights Commission concerning events </w:t>
            </w:r>
            <w:r w:rsidRPr="00723BA8">
              <w:rPr>
                <w:rFonts w:eastAsia="Calibri"/>
                <w:sz w:val="20"/>
              </w:rPr>
              <w:lastRenderedPageBreak/>
              <w:t>that had occurred between 1978 and 1985.  He alleged that he had been discriminated against during that time on the ground of sexual orientation.  The Commission informed him that it would not hear his complaint because it fell outside the one</w:t>
            </w:r>
            <w:r w:rsidRPr="00723BA8">
              <w:rPr>
                <w:rFonts w:eastAsia="Calibri"/>
                <w:sz w:val="20"/>
              </w:rPr>
              <w:noBreakHyphen/>
              <w:t>year statutory limitation period.  The Federal Court reviewed that decision on the basis of insufficiency of reasons.  The applicant and his former employer therefore made submissions to the Commission concerning its power to extend the one</w:t>
            </w:r>
            <w:r w:rsidRPr="00723BA8">
              <w:rPr>
                <w:rFonts w:eastAsia="Calibri"/>
                <w:sz w:val="20"/>
              </w:rPr>
              <w:noBreakHyphen/>
              <w:t>year limitation period.  In August 2009, the Commission decided not to deal with the complaint because the employer had proved that it was unable to respond adequately to the complaint after such a long time.  The applicant filed a new application for judicial review.</w:t>
            </w:r>
          </w:p>
          <w:p w:rsidR="00783E74" w:rsidRPr="00723BA8" w:rsidRDefault="00783E74" w:rsidP="002B7BFF">
            <w:pPr>
              <w:jc w:val="both"/>
              <w:rPr>
                <w:rFonts w:eastAsia="Calibri"/>
                <w:sz w:val="20"/>
              </w:rPr>
            </w:pPr>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lastRenderedPageBreak/>
              <w:t>April 22, 2010</w:t>
            </w:r>
          </w:p>
          <w:p w:rsidR="00783E74" w:rsidRPr="00723BA8" w:rsidRDefault="00783E74" w:rsidP="002B7BFF">
            <w:pPr>
              <w:jc w:val="both"/>
              <w:rPr>
                <w:rFonts w:eastAsia="Calibri"/>
                <w:sz w:val="20"/>
              </w:rPr>
            </w:pPr>
            <w:r w:rsidRPr="00723BA8">
              <w:rPr>
                <w:rFonts w:eastAsia="Calibri"/>
                <w:sz w:val="20"/>
              </w:rPr>
              <w:t>Federal Court (Beaudry J.)</w:t>
            </w:r>
          </w:p>
          <w:p w:rsidR="00783E74" w:rsidRPr="00723BA8" w:rsidRDefault="00783E74" w:rsidP="002B7BFF">
            <w:pPr>
              <w:jc w:val="both"/>
              <w:rPr>
                <w:rFonts w:eastAsia="Calibri"/>
                <w:sz w:val="20"/>
              </w:rPr>
            </w:pPr>
            <w:r w:rsidRPr="00723BA8">
              <w:rPr>
                <w:rFonts w:eastAsia="Calibri"/>
                <w:sz w:val="20"/>
              </w:rPr>
              <w:t>2010 FC 436</w:t>
            </w:r>
          </w:p>
          <w:p w:rsidR="00783E74" w:rsidRPr="00723BA8" w:rsidRDefault="00783E74" w:rsidP="002B7BFF">
            <w:pPr>
              <w:jc w:val="both"/>
              <w:rPr>
                <w:rFonts w:eastAsia="Calibri"/>
                <w:sz w:val="20"/>
              </w:rPr>
            </w:pP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Application for judicial review dismissed</w:t>
            </w:r>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t>November 4, 2010</w:t>
            </w:r>
          </w:p>
          <w:p w:rsidR="00783E74" w:rsidRPr="00723BA8" w:rsidRDefault="00783E74" w:rsidP="002B7BFF">
            <w:pPr>
              <w:jc w:val="both"/>
              <w:rPr>
                <w:rFonts w:eastAsia="Calibri"/>
                <w:sz w:val="20"/>
              </w:rPr>
            </w:pPr>
            <w:r w:rsidRPr="00723BA8">
              <w:rPr>
                <w:rFonts w:eastAsia="Calibri"/>
                <w:sz w:val="20"/>
              </w:rPr>
              <w:t>Federal Court of Appeal</w:t>
            </w:r>
          </w:p>
          <w:p w:rsidR="00783E74" w:rsidRPr="00723BA8" w:rsidRDefault="00783E74" w:rsidP="002B7BFF">
            <w:pPr>
              <w:jc w:val="both"/>
              <w:rPr>
                <w:rFonts w:eastAsia="Calibri"/>
                <w:sz w:val="20"/>
              </w:rPr>
            </w:pPr>
            <w:r w:rsidRPr="00723BA8">
              <w:rPr>
                <w:rFonts w:eastAsia="Calibri"/>
                <w:sz w:val="20"/>
              </w:rPr>
              <w:t>(Blais, Noël and Pelletier JJ.A.)</w:t>
            </w:r>
          </w:p>
          <w:p w:rsidR="00783E74" w:rsidRPr="00723BA8" w:rsidRDefault="00783E74" w:rsidP="002B7BFF">
            <w:pPr>
              <w:jc w:val="both"/>
              <w:rPr>
                <w:rFonts w:eastAsia="Calibri"/>
                <w:sz w:val="20"/>
              </w:rPr>
            </w:pPr>
            <w:r w:rsidRPr="00723BA8">
              <w:rPr>
                <w:rFonts w:eastAsia="Calibri"/>
                <w:sz w:val="20"/>
              </w:rPr>
              <w:t>2010 FCA 292</w:t>
            </w:r>
          </w:p>
          <w:p w:rsidR="00783E74" w:rsidRPr="00723BA8" w:rsidRDefault="00783E74" w:rsidP="002B7BFF">
            <w:pPr>
              <w:jc w:val="both"/>
              <w:rPr>
                <w:rFonts w:eastAsia="Calibri"/>
                <w:sz w:val="20"/>
              </w:rPr>
            </w:pP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Appeal dismissed</w:t>
            </w:r>
          </w:p>
          <w:p w:rsidR="00783E74" w:rsidRPr="00723BA8" w:rsidRDefault="00783E74" w:rsidP="002B7BFF">
            <w:pPr>
              <w:jc w:val="both"/>
              <w:rPr>
                <w:rFonts w:eastAsia="Calibri"/>
                <w:sz w:val="20"/>
              </w:rPr>
            </w:pPr>
          </w:p>
          <w:p w:rsidR="00783E74" w:rsidRPr="00723BA8" w:rsidRDefault="00783E74" w:rsidP="002B7BFF">
            <w:pPr>
              <w:jc w:val="both"/>
              <w:rPr>
                <w:rFonts w:eastAsia="Calibri"/>
                <w:sz w:val="20"/>
              </w:rPr>
            </w:pPr>
          </w:p>
        </w:tc>
      </w:tr>
      <w:tr w:rsidR="00783E74" w:rsidRPr="00723BA8" w:rsidTr="002B7BFF">
        <w:tc>
          <w:tcPr>
            <w:tcW w:w="2427" w:type="pct"/>
          </w:tcPr>
          <w:p w:rsidR="00783E74" w:rsidRPr="00723BA8" w:rsidRDefault="00783E74" w:rsidP="002B7BFF">
            <w:pPr>
              <w:jc w:val="both"/>
              <w:rPr>
                <w:rFonts w:eastAsia="Calibri"/>
                <w:sz w:val="20"/>
              </w:rPr>
            </w:pPr>
            <w:r w:rsidRPr="00723BA8">
              <w:rPr>
                <w:rFonts w:eastAsia="Calibri"/>
                <w:sz w:val="20"/>
              </w:rPr>
              <w:t>December 15, 2010</w:t>
            </w:r>
          </w:p>
          <w:p w:rsidR="00783E74" w:rsidRPr="00723BA8" w:rsidRDefault="00783E74" w:rsidP="002B7BFF">
            <w:pPr>
              <w:jc w:val="both"/>
              <w:rPr>
                <w:rFonts w:eastAsia="Calibri"/>
                <w:sz w:val="20"/>
              </w:rPr>
            </w:pPr>
            <w:r w:rsidRPr="00723BA8">
              <w:rPr>
                <w:rFonts w:eastAsia="Calibri"/>
                <w:sz w:val="20"/>
              </w:rPr>
              <w:t>Supreme Court of Canada</w:t>
            </w:r>
          </w:p>
        </w:tc>
        <w:tc>
          <w:tcPr>
            <w:tcW w:w="243" w:type="pct"/>
          </w:tcPr>
          <w:p w:rsidR="00783E74" w:rsidRPr="00723BA8" w:rsidRDefault="00783E74" w:rsidP="002B7BFF">
            <w:pPr>
              <w:jc w:val="both"/>
              <w:rPr>
                <w:rFonts w:eastAsia="Calibri"/>
                <w:sz w:val="20"/>
              </w:rPr>
            </w:pPr>
          </w:p>
        </w:tc>
        <w:tc>
          <w:tcPr>
            <w:tcW w:w="2330" w:type="pct"/>
          </w:tcPr>
          <w:p w:rsidR="00783E74" w:rsidRPr="00723BA8" w:rsidRDefault="00783E74" w:rsidP="002B7BFF">
            <w:pPr>
              <w:jc w:val="both"/>
              <w:rPr>
                <w:rFonts w:eastAsia="Calibri"/>
                <w:sz w:val="20"/>
              </w:rPr>
            </w:pPr>
            <w:r w:rsidRPr="00723BA8">
              <w:rPr>
                <w:rFonts w:eastAsia="Calibri"/>
                <w:sz w:val="20"/>
              </w:rPr>
              <w:t>Application for leave to appeal filed</w:t>
            </w:r>
          </w:p>
          <w:p w:rsidR="00783E74" w:rsidRPr="00723BA8" w:rsidRDefault="00783E74"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58"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783E74" w:rsidRPr="00E62A55" w:rsidTr="002B7BFF">
        <w:tc>
          <w:tcPr>
            <w:tcW w:w="5000" w:type="pct"/>
            <w:gridSpan w:val="3"/>
          </w:tcPr>
          <w:p w:rsidR="00783E74" w:rsidRPr="00723BA8" w:rsidRDefault="00783E74" w:rsidP="002B7BFF">
            <w:pPr>
              <w:jc w:val="both"/>
              <w:rPr>
                <w:rFonts w:eastAsia="Calibri"/>
                <w:sz w:val="20"/>
                <w:lang w:val="fr-CA"/>
              </w:rPr>
            </w:pPr>
            <w:r w:rsidRPr="00723BA8">
              <w:rPr>
                <w:rFonts w:eastAsia="Calibri"/>
                <w:sz w:val="20"/>
                <w:lang w:val="fr-CA"/>
              </w:rPr>
              <w:t xml:space="preserve">Procédure civile — Délais — Pouvoir discrétionnaire de proroger un délai de prescription — Plainte déposée contre le gouvernement fédéral plus de vingt ans après les faits — Délai d’un an prévu par la loi — Défense de destruction des documents pertinents — La Cour d’appel fédérale a-t-elle commis une erreur de droit en confirmant une décision basée sur une présomption et non sur une preuve réelle de préjudice résultant d’une prorogation de délai? — </w:t>
            </w:r>
            <w:r w:rsidRPr="00723BA8">
              <w:rPr>
                <w:rFonts w:eastAsia="Calibri"/>
                <w:i/>
                <w:sz w:val="20"/>
                <w:lang w:val="fr-CA"/>
              </w:rPr>
              <w:t>Loi canadienne sur les droits de la personne</w:t>
            </w:r>
            <w:r w:rsidRPr="00723BA8">
              <w:rPr>
                <w:rFonts w:eastAsia="Calibri"/>
                <w:sz w:val="20"/>
                <w:lang w:val="fr-CA"/>
              </w:rPr>
              <w:t xml:space="preserve">, L.R.C. 1985 ch. H-6, al. 41(1)e) — Application ou non de </w:t>
            </w:r>
            <w:r w:rsidRPr="00723BA8">
              <w:rPr>
                <w:rFonts w:eastAsia="Calibri"/>
                <w:i/>
                <w:sz w:val="20"/>
                <w:lang w:val="fr-CA"/>
              </w:rPr>
              <w:t>Christensen</w:t>
            </w:r>
            <w:r w:rsidRPr="00723BA8">
              <w:rPr>
                <w:rFonts w:eastAsia="Calibri"/>
                <w:sz w:val="20"/>
                <w:lang w:val="fr-CA"/>
              </w:rPr>
              <w:t xml:space="preserve"> c. </w:t>
            </w:r>
            <w:r w:rsidRPr="00723BA8">
              <w:rPr>
                <w:rFonts w:eastAsia="Calibri"/>
                <w:i/>
                <w:sz w:val="20"/>
                <w:lang w:val="fr-CA"/>
              </w:rPr>
              <w:t>Archevêque catholique romain de Québec</w:t>
            </w:r>
            <w:r w:rsidRPr="00723BA8">
              <w:rPr>
                <w:rFonts w:eastAsia="Calibri"/>
                <w:sz w:val="20"/>
                <w:lang w:val="fr-CA"/>
              </w:rPr>
              <w:t>, [2010] 2 R.C.S. 694.</w:t>
            </w:r>
          </w:p>
          <w:p w:rsidR="00783E74" w:rsidRPr="00723BA8" w:rsidRDefault="00783E74" w:rsidP="002B7BFF">
            <w:pPr>
              <w:jc w:val="both"/>
              <w:rPr>
                <w:rFonts w:eastAsia="Calibri"/>
                <w:sz w:val="20"/>
                <w:lang w:val="fr-FR"/>
              </w:rPr>
            </w:pPr>
          </w:p>
        </w:tc>
      </w:tr>
      <w:tr w:rsidR="00783E74" w:rsidRPr="00723BA8" w:rsidTr="002B7BFF">
        <w:tc>
          <w:tcPr>
            <w:tcW w:w="5000" w:type="pct"/>
            <w:gridSpan w:val="3"/>
          </w:tcPr>
          <w:p w:rsidR="00783E74" w:rsidRPr="00723BA8" w:rsidRDefault="00783E74" w:rsidP="002B7BFF">
            <w:pPr>
              <w:jc w:val="both"/>
              <w:rPr>
                <w:rFonts w:eastAsia="Calibri"/>
                <w:sz w:val="20"/>
                <w:lang w:val="fr-CA"/>
              </w:rPr>
            </w:pPr>
            <w:r w:rsidRPr="00723BA8">
              <w:rPr>
                <w:rFonts w:eastAsia="Calibri"/>
                <w:sz w:val="20"/>
                <w:lang w:val="fr-CA"/>
              </w:rPr>
              <w:t>En 2007, le demandeur M. Richard dépose une plainte à la Commission canadienne des droits de la personne au sujet de faits survenus entre 1978 et 1985.  Il estime avoir fait l’objet, à cette époque, de discrimination basée sur l’orientation sexuelle.  La Commission informe le demandeur que sa plainte ne serait pas entendue car elle se situe hors du délai d’un an prescrit par la loi.  La Cour fédérale contrôle cette décision pour insuffisance de motifs. Le demandeur et son ancien employeur présentent donc leurs observations à la Commission quant au pouvoir de celle-ci de proroger le délai d’un an.  La Commission décide en août 2009 de ne pas examiner la plainte car l’employeur a démontré son incapacité d’y répondre adéquatement après un aussi long délai.  Le demandeur dépose une nouvelle demande de contrôle judiciaire.</w:t>
            </w:r>
          </w:p>
          <w:p w:rsidR="00783E74" w:rsidRPr="00723BA8" w:rsidRDefault="00783E74" w:rsidP="002B7BFF">
            <w:pPr>
              <w:jc w:val="both"/>
              <w:rPr>
                <w:rFonts w:eastAsia="Calibri"/>
                <w:sz w:val="20"/>
                <w:lang w:val="fr-CA"/>
              </w:rPr>
            </w:pPr>
          </w:p>
        </w:tc>
      </w:tr>
      <w:tr w:rsidR="00783E74" w:rsidRPr="00E62A55" w:rsidTr="002B7BFF">
        <w:tc>
          <w:tcPr>
            <w:tcW w:w="2427" w:type="pct"/>
          </w:tcPr>
          <w:p w:rsidR="00783E74" w:rsidRPr="00723BA8" w:rsidRDefault="00783E74" w:rsidP="002B7BFF">
            <w:pPr>
              <w:jc w:val="both"/>
              <w:rPr>
                <w:rFonts w:eastAsia="Calibri"/>
                <w:sz w:val="20"/>
                <w:lang w:val="fr-CA"/>
              </w:rPr>
            </w:pPr>
            <w:r w:rsidRPr="00723BA8">
              <w:rPr>
                <w:rFonts w:eastAsia="Calibri"/>
                <w:sz w:val="20"/>
                <w:lang w:val="fr-CA"/>
              </w:rPr>
              <w:t>Le 22 avril 2010</w:t>
            </w:r>
          </w:p>
          <w:p w:rsidR="00783E74" w:rsidRPr="00723BA8" w:rsidRDefault="00783E74" w:rsidP="002B7BFF">
            <w:pPr>
              <w:jc w:val="both"/>
              <w:rPr>
                <w:rFonts w:eastAsia="Calibri"/>
                <w:sz w:val="20"/>
                <w:lang w:val="fr-CA"/>
              </w:rPr>
            </w:pPr>
            <w:r w:rsidRPr="00723BA8">
              <w:rPr>
                <w:rFonts w:eastAsia="Calibri"/>
                <w:sz w:val="20"/>
                <w:lang w:val="fr-CA"/>
              </w:rPr>
              <w:t>Cour fédérale (Le juge Beaudry)</w:t>
            </w:r>
          </w:p>
          <w:p w:rsidR="00783E74" w:rsidRPr="00723BA8" w:rsidRDefault="00783E74" w:rsidP="002B7BFF">
            <w:pPr>
              <w:jc w:val="both"/>
              <w:rPr>
                <w:rFonts w:eastAsia="Calibri"/>
                <w:sz w:val="20"/>
                <w:lang w:val="fr-CA"/>
              </w:rPr>
            </w:pPr>
            <w:r w:rsidRPr="00723BA8">
              <w:rPr>
                <w:rFonts w:eastAsia="Calibri"/>
                <w:sz w:val="20"/>
                <w:lang w:val="fr-CA"/>
              </w:rPr>
              <w:t>2010 CF 436</w:t>
            </w:r>
          </w:p>
          <w:p w:rsidR="00783E74" w:rsidRPr="00723BA8" w:rsidRDefault="00783E74" w:rsidP="002B7BFF">
            <w:pPr>
              <w:jc w:val="both"/>
              <w:rPr>
                <w:rFonts w:eastAsia="Calibri"/>
                <w:sz w:val="20"/>
                <w:lang w:val="fr-FR"/>
              </w:rPr>
            </w:pPr>
          </w:p>
        </w:tc>
        <w:tc>
          <w:tcPr>
            <w:tcW w:w="243" w:type="pct"/>
          </w:tcPr>
          <w:p w:rsidR="00783E74" w:rsidRPr="00723BA8" w:rsidRDefault="00783E74" w:rsidP="002B7BFF">
            <w:pPr>
              <w:jc w:val="both"/>
              <w:rPr>
                <w:rFonts w:eastAsia="Calibri"/>
                <w:sz w:val="20"/>
                <w:lang w:val="fr-FR"/>
              </w:rPr>
            </w:pPr>
          </w:p>
        </w:tc>
        <w:tc>
          <w:tcPr>
            <w:tcW w:w="2330" w:type="pct"/>
          </w:tcPr>
          <w:p w:rsidR="00783E74" w:rsidRPr="00723BA8" w:rsidRDefault="00783E74" w:rsidP="00525E26">
            <w:pPr>
              <w:jc w:val="both"/>
              <w:rPr>
                <w:rFonts w:eastAsia="Calibri"/>
                <w:sz w:val="20"/>
                <w:lang w:val="fr-CA"/>
              </w:rPr>
            </w:pPr>
            <w:r w:rsidRPr="00723BA8">
              <w:rPr>
                <w:rFonts w:eastAsia="Calibri"/>
                <w:sz w:val="20"/>
                <w:lang w:val="fr-CA"/>
              </w:rPr>
              <w:t>Rejet de la demande de contrôle judiciaire</w:t>
            </w:r>
          </w:p>
        </w:tc>
      </w:tr>
      <w:tr w:rsidR="00783E74" w:rsidRPr="00723BA8" w:rsidTr="002B7BFF">
        <w:tc>
          <w:tcPr>
            <w:tcW w:w="2427" w:type="pct"/>
          </w:tcPr>
          <w:p w:rsidR="00783E74" w:rsidRPr="00723BA8" w:rsidRDefault="00783E74" w:rsidP="002B7BFF">
            <w:pPr>
              <w:jc w:val="both"/>
              <w:rPr>
                <w:rFonts w:eastAsia="Calibri"/>
                <w:sz w:val="20"/>
                <w:lang w:val="fr-CA"/>
              </w:rPr>
            </w:pPr>
            <w:r w:rsidRPr="00723BA8">
              <w:rPr>
                <w:rFonts w:eastAsia="Calibri"/>
                <w:sz w:val="20"/>
                <w:lang w:val="fr-CA"/>
              </w:rPr>
              <w:t>Le 4 novembre 2010</w:t>
            </w:r>
          </w:p>
          <w:p w:rsidR="00783E74" w:rsidRPr="00723BA8" w:rsidRDefault="00783E74" w:rsidP="002B7BFF">
            <w:pPr>
              <w:jc w:val="both"/>
              <w:rPr>
                <w:rFonts w:eastAsia="Calibri"/>
                <w:sz w:val="20"/>
                <w:lang w:val="fr-CA"/>
              </w:rPr>
            </w:pPr>
            <w:r w:rsidRPr="00723BA8">
              <w:rPr>
                <w:rFonts w:eastAsia="Calibri"/>
                <w:sz w:val="20"/>
                <w:lang w:val="fr-CA"/>
              </w:rPr>
              <w:t>Cour d’appel fédérale</w:t>
            </w:r>
          </w:p>
          <w:p w:rsidR="00783E74" w:rsidRPr="00723BA8" w:rsidRDefault="00783E74" w:rsidP="002B7BFF">
            <w:pPr>
              <w:jc w:val="both"/>
              <w:rPr>
                <w:rFonts w:eastAsia="Calibri"/>
                <w:sz w:val="20"/>
                <w:lang w:val="fr-CA"/>
              </w:rPr>
            </w:pPr>
            <w:r w:rsidRPr="00723BA8">
              <w:rPr>
                <w:rFonts w:eastAsia="Calibri"/>
                <w:sz w:val="20"/>
                <w:lang w:val="fr-CA"/>
              </w:rPr>
              <w:t>(Les juges Blais, Noël et Pelletier)</w:t>
            </w:r>
          </w:p>
          <w:p w:rsidR="00783E74" w:rsidRPr="00723BA8" w:rsidRDefault="00783E74" w:rsidP="002B7BFF">
            <w:pPr>
              <w:jc w:val="both"/>
              <w:rPr>
                <w:rFonts w:eastAsia="Calibri"/>
                <w:sz w:val="20"/>
                <w:lang w:val="fr-CA"/>
              </w:rPr>
            </w:pPr>
            <w:r w:rsidRPr="00723BA8">
              <w:rPr>
                <w:rFonts w:eastAsia="Calibri"/>
                <w:sz w:val="20"/>
                <w:lang w:val="fr-CA"/>
              </w:rPr>
              <w:t>2010 FCA 292</w:t>
            </w:r>
          </w:p>
          <w:p w:rsidR="00783E74" w:rsidRPr="00723BA8" w:rsidRDefault="00783E74" w:rsidP="002B7BFF">
            <w:pPr>
              <w:jc w:val="both"/>
              <w:rPr>
                <w:rFonts w:eastAsia="Calibri"/>
                <w:sz w:val="20"/>
                <w:lang w:val="fr-FR"/>
              </w:rPr>
            </w:pPr>
          </w:p>
        </w:tc>
        <w:tc>
          <w:tcPr>
            <w:tcW w:w="243" w:type="pct"/>
          </w:tcPr>
          <w:p w:rsidR="00783E74" w:rsidRPr="00723BA8" w:rsidRDefault="00783E74" w:rsidP="002B7BFF">
            <w:pPr>
              <w:jc w:val="both"/>
              <w:rPr>
                <w:rFonts w:eastAsia="Calibri"/>
                <w:sz w:val="20"/>
                <w:lang w:val="fr-FR"/>
              </w:rPr>
            </w:pPr>
          </w:p>
        </w:tc>
        <w:tc>
          <w:tcPr>
            <w:tcW w:w="2330" w:type="pct"/>
          </w:tcPr>
          <w:p w:rsidR="00783E74" w:rsidRPr="00723BA8" w:rsidRDefault="00783E74" w:rsidP="002B7BFF">
            <w:pPr>
              <w:jc w:val="both"/>
              <w:rPr>
                <w:rFonts w:eastAsia="Calibri"/>
                <w:sz w:val="20"/>
              </w:rPr>
            </w:pPr>
            <w:r w:rsidRPr="00723BA8">
              <w:rPr>
                <w:rFonts w:eastAsia="Calibri"/>
                <w:sz w:val="20"/>
              </w:rPr>
              <w:t>Rejet de l’appel</w:t>
            </w:r>
          </w:p>
          <w:p w:rsidR="00783E74" w:rsidRPr="00723BA8" w:rsidRDefault="00783E74" w:rsidP="002B7BFF">
            <w:pPr>
              <w:jc w:val="both"/>
              <w:rPr>
                <w:rFonts w:eastAsia="Calibri"/>
                <w:sz w:val="20"/>
              </w:rPr>
            </w:pPr>
          </w:p>
          <w:p w:rsidR="00783E74" w:rsidRPr="00723BA8" w:rsidRDefault="00783E74" w:rsidP="002B7BFF">
            <w:pPr>
              <w:jc w:val="both"/>
              <w:rPr>
                <w:rFonts w:eastAsia="Calibri"/>
                <w:sz w:val="20"/>
              </w:rPr>
            </w:pPr>
          </w:p>
        </w:tc>
      </w:tr>
      <w:tr w:rsidR="00783E74" w:rsidRPr="00E62A55" w:rsidTr="00C82EBC">
        <w:trPr>
          <w:cantSplit/>
        </w:trPr>
        <w:tc>
          <w:tcPr>
            <w:tcW w:w="2427" w:type="pct"/>
          </w:tcPr>
          <w:p w:rsidR="00783E74" w:rsidRPr="00723BA8" w:rsidRDefault="00783E74" w:rsidP="002B7BFF">
            <w:pPr>
              <w:jc w:val="both"/>
              <w:rPr>
                <w:rFonts w:eastAsia="Calibri"/>
                <w:sz w:val="20"/>
                <w:lang w:val="fr-CA"/>
              </w:rPr>
            </w:pPr>
            <w:r w:rsidRPr="00723BA8">
              <w:rPr>
                <w:rFonts w:eastAsia="Calibri"/>
                <w:sz w:val="20"/>
                <w:lang w:val="fr-CA"/>
              </w:rPr>
              <w:lastRenderedPageBreak/>
              <w:t>Le 15 décembre 2010</w:t>
            </w:r>
          </w:p>
          <w:p w:rsidR="00783E74" w:rsidRPr="00723BA8" w:rsidRDefault="00783E74" w:rsidP="002B7BFF">
            <w:pPr>
              <w:jc w:val="both"/>
              <w:rPr>
                <w:rFonts w:eastAsia="Calibri"/>
                <w:sz w:val="20"/>
                <w:lang w:val="fr-FR"/>
              </w:rPr>
            </w:pPr>
            <w:r w:rsidRPr="00723BA8">
              <w:rPr>
                <w:rFonts w:eastAsia="Calibri"/>
                <w:sz w:val="20"/>
                <w:lang w:val="fr-CA"/>
              </w:rPr>
              <w:t>Cour suprême du Canada</w:t>
            </w:r>
          </w:p>
        </w:tc>
        <w:tc>
          <w:tcPr>
            <w:tcW w:w="243" w:type="pct"/>
          </w:tcPr>
          <w:p w:rsidR="00783E74" w:rsidRPr="00723BA8" w:rsidRDefault="00783E74" w:rsidP="002B7BFF">
            <w:pPr>
              <w:jc w:val="both"/>
              <w:rPr>
                <w:rFonts w:eastAsia="Calibri"/>
                <w:sz w:val="20"/>
                <w:lang w:val="fr-FR"/>
              </w:rPr>
            </w:pPr>
          </w:p>
        </w:tc>
        <w:tc>
          <w:tcPr>
            <w:tcW w:w="2330" w:type="pct"/>
          </w:tcPr>
          <w:p w:rsidR="00783E74" w:rsidRPr="00723BA8" w:rsidRDefault="00783E74" w:rsidP="002B7BFF">
            <w:pPr>
              <w:jc w:val="both"/>
              <w:rPr>
                <w:rFonts w:eastAsia="Calibri"/>
                <w:sz w:val="20"/>
                <w:lang w:val="fr-CA"/>
              </w:rPr>
            </w:pPr>
            <w:r w:rsidRPr="00723BA8">
              <w:rPr>
                <w:rFonts w:eastAsia="Calibri"/>
                <w:sz w:val="20"/>
                <w:lang w:val="fr-CA"/>
              </w:rPr>
              <w:t>Dépôt de la demande d'autorisation d'appel</w:t>
            </w:r>
          </w:p>
          <w:p w:rsidR="00783E74" w:rsidRPr="00723BA8" w:rsidRDefault="00783E74" w:rsidP="002B7BFF">
            <w:pPr>
              <w:jc w:val="both"/>
              <w:rPr>
                <w:rFonts w:eastAsia="Calibri"/>
                <w:sz w:val="20"/>
                <w:lang w:val="fr-CA"/>
              </w:rPr>
            </w:pPr>
          </w:p>
        </w:tc>
      </w:tr>
    </w:tbl>
    <w:p w:rsidR="004E6FA2" w:rsidRPr="00783E74" w:rsidRDefault="004E6FA2" w:rsidP="004E6FA2">
      <w:pPr>
        <w:rPr>
          <w:sz w:val="20"/>
          <w:szCs w:val="20"/>
          <w:lang w:val="fr-CA"/>
        </w:rPr>
      </w:pPr>
    </w:p>
    <w:p w:rsidR="004E6FA2" w:rsidRDefault="00CF05D4" w:rsidP="004E6FA2">
      <w:pPr>
        <w:rPr>
          <w:sz w:val="20"/>
          <w:szCs w:val="20"/>
        </w:rPr>
      </w:pPr>
      <w:r w:rsidRPr="00CF05D4">
        <w:rPr>
          <w:sz w:val="20"/>
          <w:szCs w:val="20"/>
          <w:lang w:val="fr-CA"/>
        </w:rPr>
        <w:pict>
          <v:rect id="_x0000_i1059"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Style w:val="SCCFileNumberChar"/>
                <w:sz w:val="20"/>
                <w:szCs w:val="20"/>
              </w:rPr>
              <w:t>33983</w:t>
            </w:r>
          </w:p>
          <w:p w:rsidR="00C82EBC" w:rsidRPr="00FF441F" w:rsidRDefault="00C82EBC" w:rsidP="00E816E1">
            <w:pPr>
              <w:rPr>
                <w:rFonts w:cs="Times New Roman"/>
                <w:b/>
                <w:sz w:val="20"/>
                <w:szCs w:val="20"/>
                <w:lang w:val="fr-CA"/>
              </w:rPr>
            </w:pPr>
          </w:p>
        </w:tc>
        <w:tc>
          <w:tcPr>
            <w:tcW w:w="8118" w:type="dxa"/>
          </w:tcPr>
          <w:p w:rsidR="00C82EBC" w:rsidRPr="00FF441F" w:rsidRDefault="00C82EBC" w:rsidP="00E816E1">
            <w:pPr>
              <w:rPr>
                <w:rFonts w:cs="Times New Roman"/>
                <w:sz w:val="20"/>
                <w:szCs w:val="20"/>
              </w:rPr>
            </w:pPr>
            <w:r w:rsidRPr="00C82EBC">
              <w:rPr>
                <w:rStyle w:val="SCCLsocChar"/>
                <w:rFonts w:cs="Times New Roman"/>
                <w:sz w:val="20"/>
                <w:szCs w:val="20"/>
                <w:lang w:val="en-CA"/>
              </w:rPr>
              <w:t>Allister Derrick Simon v. Her Majesty the Queen</w:t>
            </w:r>
            <w:r w:rsidRPr="00FF441F">
              <w:rPr>
                <w:rFonts w:cs="Times New Roman"/>
                <w:sz w:val="20"/>
                <w:szCs w:val="20"/>
              </w:rPr>
              <w:t xml:space="preserve"> (Ont.) (Criminal) (By Leave)</w:t>
            </w:r>
          </w:p>
          <w:p w:rsidR="00C82EBC" w:rsidRPr="00FF441F" w:rsidRDefault="00C82EBC" w:rsidP="00E816E1">
            <w:pPr>
              <w:rPr>
                <w:rFonts w:cs="Times New Roman"/>
                <w:sz w:val="20"/>
                <w:szCs w:val="20"/>
              </w:rPr>
            </w:pPr>
          </w:p>
        </w:tc>
      </w:tr>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Fonts w:cs="Times New Roman"/>
                <w:sz w:val="20"/>
                <w:szCs w:val="20"/>
              </w:rPr>
              <w:t>Coram :</w:t>
            </w:r>
          </w:p>
        </w:tc>
        <w:tc>
          <w:tcPr>
            <w:tcW w:w="8118" w:type="dxa"/>
          </w:tcPr>
          <w:p w:rsidR="00C82EBC" w:rsidRPr="00FF441F" w:rsidRDefault="00C82EBC" w:rsidP="00E816E1">
            <w:pPr>
              <w:rPr>
                <w:rFonts w:cs="Times New Roman"/>
                <w:sz w:val="20"/>
                <w:szCs w:val="20"/>
              </w:rPr>
            </w:pPr>
            <w:r w:rsidRPr="00C82EBC">
              <w:rPr>
                <w:rStyle w:val="SCCCoramChar"/>
                <w:rFonts w:cs="Times New Roman"/>
                <w:sz w:val="20"/>
                <w:szCs w:val="20"/>
                <w:lang w:val="en-CA"/>
              </w:rPr>
              <w:t>LeBel, Deschamps and Charron JJ.</w:t>
            </w:r>
          </w:p>
          <w:p w:rsidR="00C82EBC" w:rsidRPr="00FF441F" w:rsidRDefault="00C82EBC" w:rsidP="00E816E1">
            <w:pPr>
              <w:rPr>
                <w:rFonts w:cs="Times New Roman"/>
                <w:sz w:val="20"/>
                <w:szCs w:val="20"/>
                <w:u w:val="single"/>
              </w:rPr>
            </w:pPr>
          </w:p>
        </w:tc>
      </w:tr>
      <w:tr w:rsidR="00C82EBC" w:rsidRPr="00E62A55" w:rsidTr="00E816E1">
        <w:trPr>
          <w:cantSplit/>
        </w:trPr>
        <w:tc>
          <w:tcPr>
            <w:tcW w:w="9576" w:type="dxa"/>
            <w:gridSpan w:val="2"/>
          </w:tcPr>
          <w:p w:rsidR="00C82EBC" w:rsidRPr="00FF441F" w:rsidRDefault="00C82EBC" w:rsidP="00E816E1">
            <w:pPr>
              <w:pStyle w:val="SCCShortJudgment"/>
              <w:rPr>
                <w:rFonts w:cs="Times New Roman"/>
                <w:szCs w:val="20"/>
              </w:rPr>
            </w:pPr>
            <w:r w:rsidRPr="00FF441F">
              <w:rPr>
                <w:rFonts w:cs="Times New Roman"/>
                <w:szCs w:val="20"/>
              </w:rPr>
              <w:t>The application for leave to appeal from the judgment of the Court of Appeal for Ontario, Number C45935, 2010 ONCA 754, dated November 9, 2010, is dismissed without costs.</w:t>
            </w:r>
          </w:p>
          <w:p w:rsidR="00C82EBC" w:rsidRPr="00FF441F" w:rsidRDefault="00C82EBC" w:rsidP="00E816E1">
            <w:pPr>
              <w:pStyle w:val="SCCShortJudgment"/>
              <w:ind w:firstLine="0"/>
              <w:rPr>
                <w:rFonts w:cs="Times New Roman"/>
                <w:szCs w:val="20"/>
              </w:rPr>
            </w:pPr>
          </w:p>
          <w:p w:rsidR="00C82EBC" w:rsidRPr="00FF441F" w:rsidRDefault="00C82EBC" w:rsidP="00E816E1">
            <w:pPr>
              <w:pStyle w:val="SCCShortJudgment"/>
              <w:rPr>
                <w:rFonts w:cs="Times New Roman"/>
                <w:szCs w:val="20"/>
                <w:lang w:val="fr-CA"/>
              </w:rPr>
            </w:pPr>
            <w:r w:rsidRPr="00FF441F">
              <w:rPr>
                <w:rFonts w:cs="Times New Roman"/>
                <w:szCs w:val="20"/>
                <w:lang w:val="fr-CA"/>
              </w:rPr>
              <w:t>La demande d’autorisation d’appel de l’arrêt de la Cour d’appel de l’Ontario, numéro C45935, 2010 ONCA 754, daté du 9 novembre 2010, est rejetée sans dépens.</w:t>
            </w:r>
          </w:p>
        </w:tc>
      </w:tr>
    </w:tbl>
    <w:p w:rsidR="008A3101" w:rsidRPr="00C82EBC" w:rsidRDefault="008A3101"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3101" w:rsidRPr="00723BA8" w:rsidTr="002B7BFF">
        <w:tc>
          <w:tcPr>
            <w:tcW w:w="5000" w:type="pct"/>
            <w:gridSpan w:val="3"/>
          </w:tcPr>
          <w:p w:rsidR="008A3101" w:rsidRPr="00723BA8" w:rsidRDefault="008A3101" w:rsidP="002B7BFF">
            <w:pPr>
              <w:jc w:val="both"/>
              <w:rPr>
                <w:rFonts w:eastAsia="Calibri"/>
                <w:sz w:val="20"/>
              </w:rPr>
            </w:pPr>
            <w:r w:rsidRPr="00723BA8">
              <w:rPr>
                <w:rFonts w:eastAsia="Calibri"/>
                <w:sz w:val="20"/>
              </w:rPr>
              <w:t xml:space="preserve">Charter of Rights </w:t>
            </w:r>
            <w:r w:rsidRPr="00723BA8">
              <w:rPr>
                <w:rFonts w:eastAsia="Calibri"/>
                <w:sz w:val="20"/>
              </w:rPr>
              <w:noBreakHyphen/>
              <w:t xml:space="preserve"> Criminal law — Application of s. 686(1)(</w:t>
            </w:r>
            <w:r w:rsidRPr="00723BA8">
              <w:rPr>
                <w:rFonts w:eastAsia="Calibri"/>
                <w:i/>
                <w:sz w:val="20"/>
              </w:rPr>
              <w:t>b</w:t>
            </w:r>
            <w:r w:rsidRPr="00723BA8">
              <w:rPr>
                <w:rFonts w:eastAsia="Calibri"/>
                <w:sz w:val="20"/>
              </w:rPr>
              <w:t xml:space="preserve">)(iv) of the </w:t>
            </w:r>
            <w:r w:rsidRPr="00723BA8">
              <w:rPr>
                <w:rFonts w:eastAsia="Calibri"/>
                <w:i/>
                <w:sz w:val="20"/>
              </w:rPr>
              <w:t>Criminal Code</w:t>
            </w:r>
            <w:r w:rsidRPr="00723BA8">
              <w:rPr>
                <w:rFonts w:eastAsia="Calibri"/>
                <w:sz w:val="20"/>
              </w:rPr>
              <w:t xml:space="preserve"> to cure a possible breach of s. 650(1) of the </w:t>
            </w:r>
            <w:r w:rsidRPr="00723BA8">
              <w:rPr>
                <w:rFonts w:eastAsia="Calibri"/>
                <w:i/>
                <w:sz w:val="20"/>
              </w:rPr>
              <w:t>Criminal Code</w:t>
            </w:r>
            <w:r w:rsidRPr="00723BA8">
              <w:rPr>
                <w:rFonts w:eastAsia="Calibri"/>
                <w:sz w:val="20"/>
              </w:rPr>
              <w:t xml:space="preserve"> — Pre</w:t>
            </w:r>
            <w:r w:rsidRPr="00723BA8">
              <w:rPr>
                <w:rFonts w:eastAsia="Calibri"/>
                <w:sz w:val="20"/>
              </w:rPr>
              <w:noBreakHyphen/>
              <w:t>charge conference held in chambers — Accused excluded from pre</w:t>
            </w:r>
            <w:r w:rsidRPr="00723BA8">
              <w:rPr>
                <w:rFonts w:eastAsia="Calibri"/>
                <w:sz w:val="20"/>
              </w:rPr>
              <w:noBreakHyphen/>
              <w:t xml:space="preserve">charge conference — Whether “preliminary” discussions about the content of the charge to the jury are part of an accused’s trial for the purpose of s. 650(1) of the </w:t>
            </w:r>
            <w:r w:rsidRPr="00723BA8">
              <w:rPr>
                <w:rFonts w:eastAsia="Calibri"/>
                <w:i/>
                <w:sz w:val="20"/>
              </w:rPr>
              <w:t>Criminal Code</w:t>
            </w:r>
            <w:r w:rsidRPr="00723BA8">
              <w:rPr>
                <w:rFonts w:eastAsia="Calibri"/>
                <w:sz w:val="20"/>
              </w:rPr>
              <w:t xml:space="preserve"> and s. 7 of the </w:t>
            </w:r>
            <w:r w:rsidRPr="00723BA8">
              <w:rPr>
                <w:rFonts w:eastAsia="Calibri"/>
                <w:i/>
                <w:sz w:val="20"/>
              </w:rPr>
              <w:t>Charter</w:t>
            </w:r>
            <w:r w:rsidRPr="00723BA8">
              <w:rPr>
                <w:rFonts w:eastAsia="Calibri"/>
                <w:sz w:val="20"/>
              </w:rPr>
              <w:t xml:space="preserve"> — Whether the Court of Appeal erred in law in applying s. 686(1)(</w:t>
            </w:r>
            <w:r w:rsidRPr="00723BA8">
              <w:rPr>
                <w:rFonts w:eastAsia="Calibri"/>
                <w:i/>
                <w:sz w:val="20"/>
              </w:rPr>
              <w:t>b</w:t>
            </w:r>
            <w:r w:rsidRPr="00723BA8">
              <w:rPr>
                <w:rFonts w:eastAsia="Calibri"/>
                <w:sz w:val="20"/>
              </w:rPr>
              <w:t xml:space="preserve">)(iv) of the </w:t>
            </w:r>
            <w:r w:rsidRPr="00723BA8">
              <w:rPr>
                <w:rFonts w:eastAsia="Calibri"/>
                <w:i/>
                <w:sz w:val="20"/>
              </w:rPr>
              <w:t>Criminal Code</w:t>
            </w:r>
            <w:r w:rsidRPr="00723BA8">
              <w:rPr>
                <w:rFonts w:eastAsia="Calibri"/>
                <w:sz w:val="20"/>
              </w:rPr>
              <w:t xml:space="preserve"> — Whether the procedural irregularity proviso in s. 686(1)(</w:t>
            </w:r>
            <w:r w:rsidRPr="00723BA8">
              <w:rPr>
                <w:rFonts w:eastAsia="Calibri"/>
                <w:i/>
                <w:sz w:val="20"/>
              </w:rPr>
              <w:t>b</w:t>
            </w:r>
            <w:r w:rsidRPr="00723BA8">
              <w:rPr>
                <w:rFonts w:eastAsia="Calibri"/>
                <w:sz w:val="20"/>
              </w:rPr>
              <w:t xml:space="preserve">)(iv) can cure a violation of the right to be present as guaranteed by s. 7 of the </w:t>
            </w:r>
            <w:r w:rsidRPr="00723BA8">
              <w:rPr>
                <w:rFonts w:eastAsia="Calibri"/>
                <w:i/>
                <w:sz w:val="20"/>
              </w:rPr>
              <w:t>Charter</w:t>
            </w:r>
            <w:r w:rsidRPr="00723BA8">
              <w:rPr>
                <w:rFonts w:eastAsia="Calibri"/>
                <w:sz w:val="20"/>
              </w:rPr>
              <w:t>.</w:t>
            </w:r>
          </w:p>
          <w:p w:rsidR="008A3101" w:rsidRPr="00723BA8" w:rsidRDefault="008A3101" w:rsidP="002B7BFF">
            <w:pPr>
              <w:jc w:val="both"/>
              <w:rPr>
                <w:rFonts w:eastAsia="Calibri"/>
                <w:sz w:val="20"/>
              </w:rPr>
            </w:pPr>
          </w:p>
        </w:tc>
      </w:tr>
      <w:tr w:rsidR="008A3101" w:rsidRPr="00723BA8" w:rsidTr="002B7BFF">
        <w:tc>
          <w:tcPr>
            <w:tcW w:w="5000" w:type="pct"/>
            <w:gridSpan w:val="3"/>
          </w:tcPr>
          <w:p w:rsidR="008A3101" w:rsidRPr="00723BA8" w:rsidRDefault="008A3101" w:rsidP="002B7BFF">
            <w:pPr>
              <w:jc w:val="both"/>
              <w:rPr>
                <w:rFonts w:eastAsia="Calibri"/>
                <w:sz w:val="20"/>
              </w:rPr>
            </w:pPr>
            <w:r w:rsidRPr="00723BA8">
              <w:rPr>
                <w:rFonts w:eastAsia="Calibri"/>
                <w:sz w:val="20"/>
              </w:rPr>
              <w:t>During the presentation of the Crown’s case at trial, the trial judge took advantage of the unexpected break to discuss the matters to be covered in the charge to the jury.  The pre</w:t>
            </w:r>
            <w:r w:rsidRPr="00723BA8">
              <w:rPr>
                <w:rFonts w:eastAsia="Calibri"/>
                <w:sz w:val="20"/>
              </w:rPr>
              <w:noBreakHyphen/>
              <w:t>charge conference commenced in open court, but was soon adjourned to chambers with defence counsel’s implicit consent due to concerns that the pre</w:t>
            </w:r>
            <w:r w:rsidRPr="00723BA8">
              <w:rPr>
                <w:rFonts w:eastAsia="Calibri"/>
                <w:sz w:val="20"/>
              </w:rPr>
              <w:noBreakHyphen/>
              <w:t xml:space="preserve">charge conference would amount to giving Mr. Simon “a full and complete summary of the law prior to his testifying” </w:t>
            </w:r>
            <w:proofErr w:type="gramStart"/>
            <w:r w:rsidRPr="00723BA8">
              <w:rPr>
                <w:rFonts w:eastAsia="Calibri"/>
                <w:sz w:val="20"/>
              </w:rPr>
              <w:t>and ,</w:t>
            </w:r>
            <w:proofErr w:type="gramEnd"/>
            <w:r w:rsidRPr="00723BA8">
              <w:rPr>
                <w:rFonts w:eastAsia="Calibri"/>
                <w:sz w:val="20"/>
              </w:rPr>
              <w:t xml:space="preserve"> “[b]efore counsel has elected whether or not to call [him]”.  Mr. Simon was not invited to join the discussion in chambers.</w:t>
            </w:r>
          </w:p>
          <w:p w:rsidR="008A3101" w:rsidRPr="00723BA8" w:rsidRDefault="008A3101" w:rsidP="002B7BFF">
            <w:pPr>
              <w:jc w:val="both"/>
              <w:rPr>
                <w:rFonts w:eastAsia="Calibri"/>
                <w:sz w:val="20"/>
              </w:rPr>
            </w:pPr>
          </w:p>
          <w:p w:rsidR="008A3101" w:rsidRPr="00723BA8" w:rsidRDefault="008A3101" w:rsidP="002B7BFF">
            <w:pPr>
              <w:jc w:val="both"/>
              <w:rPr>
                <w:rFonts w:eastAsia="Calibri"/>
                <w:sz w:val="20"/>
              </w:rPr>
            </w:pPr>
            <w:r w:rsidRPr="00723BA8">
              <w:rPr>
                <w:rFonts w:eastAsia="Calibri"/>
                <w:sz w:val="20"/>
              </w:rPr>
              <w:t>When the Crown’s case closed, Mr. Simon elected not to call a defence. Further pre</w:t>
            </w:r>
            <w:r w:rsidRPr="00723BA8">
              <w:rPr>
                <w:rFonts w:eastAsia="Calibri"/>
                <w:sz w:val="20"/>
              </w:rPr>
              <w:noBreakHyphen/>
              <w:t>charge conferences occurred in open court in Mr. Simon’s presence.  The discussions included the basis of liability to be left with the jury.  The jury found Mr. Simon guilty of second</w:t>
            </w:r>
            <w:r w:rsidRPr="00723BA8">
              <w:rPr>
                <w:rFonts w:eastAsia="Calibri"/>
                <w:sz w:val="20"/>
              </w:rPr>
              <w:noBreakHyphen/>
              <w:t>degree murder.  Mr. Simon’s appeal was dismissed.</w:t>
            </w:r>
          </w:p>
          <w:p w:rsidR="008A3101" w:rsidRPr="00723BA8" w:rsidRDefault="008A3101" w:rsidP="002B7BFF">
            <w:pPr>
              <w:jc w:val="both"/>
              <w:rPr>
                <w:rFonts w:eastAsia="Calibri"/>
                <w:sz w:val="20"/>
              </w:rPr>
            </w:pPr>
          </w:p>
        </w:tc>
      </w:tr>
      <w:tr w:rsidR="008A3101" w:rsidRPr="00723BA8" w:rsidTr="002B7BFF">
        <w:tc>
          <w:tcPr>
            <w:tcW w:w="2427" w:type="pct"/>
          </w:tcPr>
          <w:p w:rsidR="008A3101" w:rsidRPr="00723BA8" w:rsidRDefault="008A3101" w:rsidP="002B7BFF">
            <w:pPr>
              <w:jc w:val="both"/>
              <w:rPr>
                <w:rFonts w:eastAsia="Calibri"/>
                <w:sz w:val="20"/>
              </w:rPr>
            </w:pPr>
            <w:r w:rsidRPr="00723BA8">
              <w:rPr>
                <w:rFonts w:eastAsia="Calibri"/>
                <w:sz w:val="20"/>
              </w:rPr>
              <w:t>December 13, 2005</w:t>
            </w:r>
          </w:p>
          <w:p w:rsidR="008A3101" w:rsidRPr="00723BA8" w:rsidRDefault="008A3101" w:rsidP="002B7BFF">
            <w:pPr>
              <w:jc w:val="both"/>
              <w:rPr>
                <w:rFonts w:eastAsia="Calibri"/>
                <w:sz w:val="20"/>
              </w:rPr>
            </w:pPr>
            <w:r w:rsidRPr="00723BA8">
              <w:rPr>
                <w:rFonts w:eastAsia="Calibri"/>
                <w:sz w:val="20"/>
              </w:rPr>
              <w:t>Ontario Superior Court of Justice</w:t>
            </w:r>
          </w:p>
          <w:p w:rsidR="008A3101" w:rsidRPr="00723BA8" w:rsidRDefault="008A3101" w:rsidP="002B7BFF">
            <w:pPr>
              <w:jc w:val="both"/>
              <w:rPr>
                <w:rFonts w:eastAsia="Calibri"/>
                <w:sz w:val="20"/>
              </w:rPr>
            </w:pPr>
            <w:r w:rsidRPr="00723BA8">
              <w:rPr>
                <w:rFonts w:eastAsia="Calibri"/>
                <w:sz w:val="20"/>
              </w:rPr>
              <w:t>(Whitten J.)</w:t>
            </w:r>
          </w:p>
          <w:p w:rsidR="008A3101" w:rsidRPr="00723BA8" w:rsidRDefault="008A3101" w:rsidP="002B7BFF">
            <w:pPr>
              <w:jc w:val="both"/>
              <w:rPr>
                <w:rFonts w:eastAsia="Calibri"/>
                <w:sz w:val="20"/>
              </w:rPr>
            </w:pPr>
            <w:r w:rsidRPr="00723BA8">
              <w:rPr>
                <w:rFonts w:eastAsia="Calibri"/>
                <w:sz w:val="20"/>
              </w:rPr>
              <w:t>Neutral citation: N/A</w:t>
            </w:r>
          </w:p>
          <w:p w:rsidR="008A3101" w:rsidRPr="00723BA8" w:rsidRDefault="008A3101" w:rsidP="002B7BFF">
            <w:pPr>
              <w:jc w:val="both"/>
              <w:rPr>
                <w:rFonts w:eastAsia="Calibri"/>
                <w:sz w:val="20"/>
              </w:rPr>
            </w:pPr>
          </w:p>
        </w:tc>
        <w:tc>
          <w:tcPr>
            <w:tcW w:w="243" w:type="pct"/>
          </w:tcPr>
          <w:p w:rsidR="008A3101" w:rsidRPr="00723BA8" w:rsidRDefault="008A3101" w:rsidP="002B7BFF">
            <w:pPr>
              <w:jc w:val="both"/>
              <w:rPr>
                <w:rFonts w:eastAsia="Calibri"/>
                <w:sz w:val="20"/>
              </w:rPr>
            </w:pPr>
          </w:p>
        </w:tc>
        <w:tc>
          <w:tcPr>
            <w:tcW w:w="2330" w:type="pct"/>
          </w:tcPr>
          <w:p w:rsidR="008A3101" w:rsidRPr="00723BA8" w:rsidRDefault="008A3101" w:rsidP="002B7BFF">
            <w:pPr>
              <w:jc w:val="both"/>
              <w:rPr>
                <w:rFonts w:eastAsia="Calibri"/>
                <w:i/>
                <w:sz w:val="20"/>
              </w:rPr>
            </w:pPr>
            <w:r w:rsidRPr="00723BA8">
              <w:rPr>
                <w:rFonts w:eastAsia="Calibri"/>
                <w:sz w:val="20"/>
              </w:rPr>
              <w:t xml:space="preserve">Applicant convicted of second degree murder pursuant to s. 235 of the </w:t>
            </w:r>
            <w:r w:rsidRPr="00723BA8">
              <w:rPr>
                <w:rFonts w:eastAsia="Calibri"/>
                <w:i/>
                <w:sz w:val="20"/>
              </w:rPr>
              <w:t>Criminal Code</w:t>
            </w:r>
          </w:p>
          <w:p w:rsidR="008A3101" w:rsidRPr="00723BA8" w:rsidRDefault="008A3101" w:rsidP="002B7BFF">
            <w:pPr>
              <w:jc w:val="both"/>
              <w:rPr>
                <w:rFonts w:eastAsia="Calibri"/>
                <w:sz w:val="20"/>
              </w:rPr>
            </w:pPr>
          </w:p>
        </w:tc>
      </w:tr>
      <w:tr w:rsidR="008A3101" w:rsidRPr="00723BA8" w:rsidTr="002B7BFF">
        <w:tc>
          <w:tcPr>
            <w:tcW w:w="2427" w:type="pct"/>
          </w:tcPr>
          <w:p w:rsidR="008A3101" w:rsidRPr="00723BA8" w:rsidRDefault="008A3101" w:rsidP="002B7BFF">
            <w:pPr>
              <w:jc w:val="both"/>
              <w:rPr>
                <w:rFonts w:eastAsia="Calibri"/>
                <w:sz w:val="20"/>
              </w:rPr>
            </w:pPr>
            <w:r w:rsidRPr="00723BA8">
              <w:rPr>
                <w:rFonts w:eastAsia="Calibri"/>
                <w:sz w:val="20"/>
              </w:rPr>
              <w:t>November 9, 2010</w:t>
            </w:r>
          </w:p>
          <w:p w:rsidR="008A3101" w:rsidRPr="00723BA8" w:rsidRDefault="008A3101" w:rsidP="002B7BFF">
            <w:pPr>
              <w:jc w:val="both"/>
              <w:rPr>
                <w:rFonts w:eastAsia="Calibri"/>
                <w:sz w:val="20"/>
              </w:rPr>
            </w:pPr>
            <w:r w:rsidRPr="00723BA8">
              <w:rPr>
                <w:rFonts w:eastAsia="Calibri"/>
                <w:sz w:val="20"/>
              </w:rPr>
              <w:t>Court of Appeal for Ontario</w:t>
            </w:r>
          </w:p>
          <w:p w:rsidR="008A3101" w:rsidRPr="00723BA8" w:rsidRDefault="008A3101" w:rsidP="002B7BFF">
            <w:pPr>
              <w:jc w:val="both"/>
              <w:rPr>
                <w:rFonts w:eastAsia="Calibri"/>
                <w:sz w:val="20"/>
                <w:lang w:val="fr-CA"/>
              </w:rPr>
            </w:pPr>
            <w:r w:rsidRPr="00723BA8">
              <w:rPr>
                <w:rFonts w:eastAsia="Calibri"/>
                <w:sz w:val="20"/>
                <w:lang w:val="fr-CA"/>
              </w:rPr>
              <w:t>(Watt, Juriansz, Rouleau JJ.A.)</w:t>
            </w:r>
          </w:p>
          <w:p w:rsidR="008A3101" w:rsidRPr="00723BA8" w:rsidRDefault="008A3101" w:rsidP="002B7BFF">
            <w:pPr>
              <w:jc w:val="both"/>
              <w:rPr>
                <w:rFonts w:eastAsia="Calibri"/>
                <w:sz w:val="20"/>
              </w:rPr>
            </w:pPr>
            <w:r w:rsidRPr="00723BA8">
              <w:rPr>
                <w:rFonts w:eastAsia="Calibri"/>
                <w:sz w:val="20"/>
              </w:rPr>
              <w:t>Neutral citation: 2010 ONCA 754</w:t>
            </w:r>
          </w:p>
          <w:p w:rsidR="008A3101" w:rsidRPr="00723BA8" w:rsidRDefault="008A3101" w:rsidP="002B7BFF">
            <w:pPr>
              <w:jc w:val="both"/>
              <w:rPr>
                <w:rFonts w:eastAsia="Calibri"/>
                <w:sz w:val="20"/>
              </w:rPr>
            </w:pPr>
          </w:p>
        </w:tc>
        <w:tc>
          <w:tcPr>
            <w:tcW w:w="243" w:type="pct"/>
          </w:tcPr>
          <w:p w:rsidR="008A3101" w:rsidRPr="00723BA8" w:rsidRDefault="008A3101" w:rsidP="002B7BFF">
            <w:pPr>
              <w:jc w:val="both"/>
              <w:rPr>
                <w:rFonts w:eastAsia="Calibri"/>
                <w:sz w:val="20"/>
              </w:rPr>
            </w:pPr>
          </w:p>
        </w:tc>
        <w:tc>
          <w:tcPr>
            <w:tcW w:w="2330" w:type="pct"/>
          </w:tcPr>
          <w:p w:rsidR="008A3101" w:rsidRPr="00723BA8" w:rsidRDefault="008A3101" w:rsidP="002B7BFF">
            <w:pPr>
              <w:jc w:val="both"/>
              <w:rPr>
                <w:rFonts w:eastAsia="Calibri"/>
                <w:sz w:val="20"/>
              </w:rPr>
            </w:pPr>
            <w:r w:rsidRPr="00723BA8">
              <w:rPr>
                <w:rFonts w:eastAsia="Calibri"/>
                <w:sz w:val="20"/>
              </w:rPr>
              <w:t>Appeal dismissed</w:t>
            </w:r>
          </w:p>
          <w:p w:rsidR="008A3101" w:rsidRPr="00723BA8" w:rsidRDefault="008A3101" w:rsidP="002B7BFF">
            <w:pPr>
              <w:jc w:val="both"/>
              <w:rPr>
                <w:rFonts w:eastAsia="Calibri"/>
                <w:sz w:val="20"/>
              </w:rPr>
            </w:pPr>
          </w:p>
        </w:tc>
      </w:tr>
      <w:tr w:rsidR="008A3101" w:rsidRPr="00723BA8" w:rsidTr="002B7BFF">
        <w:tc>
          <w:tcPr>
            <w:tcW w:w="2427" w:type="pct"/>
          </w:tcPr>
          <w:p w:rsidR="008A3101" w:rsidRPr="00723BA8" w:rsidRDefault="008A3101" w:rsidP="002B7BFF">
            <w:pPr>
              <w:jc w:val="both"/>
              <w:rPr>
                <w:rFonts w:eastAsia="Calibri"/>
                <w:sz w:val="20"/>
              </w:rPr>
            </w:pPr>
            <w:r w:rsidRPr="00723BA8">
              <w:rPr>
                <w:rFonts w:eastAsia="Calibri"/>
                <w:sz w:val="20"/>
              </w:rPr>
              <w:t>December 14, 2010</w:t>
            </w:r>
          </w:p>
          <w:p w:rsidR="008A3101" w:rsidRPr="00723BA8" w:rsidRDefault="008A3101" w:rsidP="002B7BFF">
            <w:pPr>
              <w:jc w:val="both"/>
              <w:rPr>
                <w:rFonts w:eastAsia="Calibri"/>
                <w:sz w:val="20"/>
              </w:rPr>
            </w:pPr>
            <w:r w:rsidRPr="00723BA8">
              <w:rPr>
                <w:rFonts w:eastAsia="Calibri"/>
                <w:sz w:val="20"/>
              </w:rPr>
              <w:t>Supreme Court of Canada</w:t>
            </w:r>
          </w:p>
        </w:tc>
        <w:tc>
          <w:tcPr>
            <w:tcW w:w="243" w:type="pct"/>
          </w:tcPr>
          <w:p w:rsidR="008A3101" w:rsidRPr="00723BA8" w:rsidRDefault="008A3101" w:rsidP="002B7BFF">
            <w:pPr>
              <w:jc w:val="both"/>
              <w:rPr>
                <w:rFonts w:eastAsia="Calibri"/>
                <w:sz w:val="20"/>
              </w:rPr>
            </w:pPr>
          </w:p>
        </w:tc>
        <w:tc>
          <w:tcPr>
            <w:tcW w:w="2330" w:type="pct"/>
          </w:tcPr>
          <w:p w:rsidR="008A3101" w:rsidRPr="00723BA8" w:rsidRDefault="008A3101" w:rsidP="002B7BFF">
            <w:pPr>
              <w:jc w:val="both"/>
              <w:rPr>
                <w:rFonts w:eastAsia="Calibri"/>
                <w:sz w:val="20"/>
              </w:rPr>
            </w:pPr>
            <w:r w:rsidRPr="00723BA8">
              <w:rPr>
                <w:rFonts w:eastAsia="Calibri"/>
                <w:sz w:val="20"/>
              </w:rPr>
              <w:t>Application for leave to appeal filed</w:t>
            </w:r>
          </w:p>
          <w:p w:rsidR="008A3101" w:rsidRPr="00723BA8" w:rsidRDefault="008A3101" w:rsidP="002B7BFF">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0" style="width:2in;height:1pt" o:hrpct="0" o:hralign="center" o:hrstd="t" o:hrnoshade="t" o:hr="t" fillcolor="black [3213]" stroked="f"/>
        </w:pict>
      </w:r>
    </w:p>
    <w:p w:rsidR="00C82EBC" w:rsidRDefault="00C82EBC">
      <w:pPr>
        <w:rPr>
          <w:sz w:val="20"/>
          <w:szCs w:val="20"/>
        </w:rPr>
      </w:pPr>
      <w:r>
        <w:rPr>
          <w:sz w:val="20"/>
          <w:szCs w:val="20"/>
        </w:rPr>
        <w:br w:type="page"/>
      </w:r>
    </w:p>
    <w:p w:rsidR="004E6FA2" w:rsidRDefault="004E6FA2" w:rsidP="004E6FA2">
      <w:pPr>
        <w:rPr>
          <w:sz w:val="20"/>
          <w:szCs w:val="20"/>
        </w:rPr>
      </w:pPr>
      <w:r>
        <w:rPr>
          <w:sz w:val="20"/>
          <w:szCs w:val="20"/>
          <w:u w:val="single"/>
        </w:rPr>
        <w:lastRenderedPageBreak/>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3101" w:rsidRPr="00155C13" w:rsidTr="002B7BFF">
        <w:tc>
          <w:tcPr>
            <w:tcW w:w="5000" w:type="pct"/>
            <w:gridSpan w:val="3"/>
          </w:tcPr>
          <w:p w:rsidR="008A3101" w:rsidRPr="00723BA8" w:rsidRDefault="008A3101" w:rsidP="002B7BFF">
            <w:pPr>
              <w:jc w:val="both"/>
              <w:rPr>
                <w:rFonts w:eastAsia="Calibri"/>
                <w:sz w:val="20"/>
                <w:lang w:val="fr-CA"/>
              </w:rPr>
            </w:pPr>
            <w:r w:rsidRPr="00723BA8">
              <w:rPr>
                <w:rFonts w:eastAsia="Calibri"/>
                <w:sz w:val="20"/>
                <w:lang w:val="fr-CA"/>
              </w:rPr>
              <w:t>Charte des droits —</w:t>
            </w:r>
            <w:r w:rsidRPr="00723BA8">
              <w:rPr>
                <w:rFonts w:eastAsia="Calibri"/>
                <w:i/>
                <w:sz w:val="20"/>
                <w:lang w:val="fr-CA"/>
              </w:rPr>
              <w:t xml:space="preserve"> </w:t>
            </w:r>
            <w:r w:rsidRPr="00723BA8">
              <w:rPr>
                <w:rFonts w:eastAsia="Calibri"/>
                <w:sz w:val="20"/>
                <w:lang w:val="fr-CA"/>
              </w:rPr>
              <w:t>Droit criminel — Application du sous</w:t>
            </w:r>
            <w:r w:rsidRPr="00723BA8">
              <w:rPr>
                <w:rFonts w:eastAsia="Calibri"/>
                <w:sz w:val="20"/>
                <w:lang w:val="fr-CA"/>
              </w:rPr>
              <w:noBreakHyphen/>
              <w:t>alinéa 686(1)</w:t>
            </w:r>
            <w:r w:rsidRPr="00723BA8">
              <w:rPr>
                <w:rFonts w:eastAsia="Calibri"/>
                <w:i/>
                <w:sz w:val="20"/>
                <w:lang w:val="fr-CA"/>
              </w:rPr>
              <w:t>b</w:t>
            </w:r>
            <w:r w:rsidRPr="00723BA8">
              <w:rPr>
                <w:rFonts w:eastAsia="Calibri"/>
                <w:sz w:val="20"/>
                <w:lang w:val="fr-CA"/>
              </w:rPr>
              <w:t xml:space="preserve">)(iv) du </w:t>
            </w:r>
            <w:r w:rsidRPr="00723BA8">
              <w:rPr>
                <w:rFonts w:eastAsia="Calibri"/>
                <w:i/>
                <w:sz w:val="20"/>
                <w:lang w:val="fr-CA"/>
              </w:rPr>
              <w:t>Code criminel</w:t>
            </w:r>
            <w:r w:rsidRPr="00723BA8">
              <w:rPr>
                <w:rFonts w:eastAsia="Calibri"/>
                <w:sz w:val="20"/>
                <w:lang w:val="fr-CA"/>
              </w:rPr>
              <w:t xml:space="preserve"> afin de corriger une possible violation du paragraphe 650(1) du </w:t>
            </w:r>
            <w:r w:rsidRPr="00723BA8">
              <w:rPr>
                <w:rFonts w:eastAsia="Calibri"/>
                <w:i/>
                <w:sz w:val="20"/>
                <w:lang w:val="fr-CA"/>
              </w:rPr>
              <w:t>Code criminel</w:t>
            </w:r>
            <w:r w:rsidRPr="00723BA8">
              <w:rPr>
                <w:rFonts w:eastAsia="Calibri"/>
                <w:sz w:val="20"/>
                <w:lang w:val="fr-CA"/>
              </w:rPr>
              <w:t xml:space="preserve"> — La conférence préalable à l’exposé au jury a eu lieu dans le cabinet du juge — L’accusé a été exclu de la conférence préalable à l’exposé au jury — Les discussions préliminaires portant sur le contenu de l’exposé au jury font</w:t>
            </w:r>
            <w:r w:rsidRPr="00723BA8">
              <w:rPr>
                <w:rFonts w:eastAsia="Calibri"/>
                <w:sz w:val="20"/>
                <w:lang w:val="fr-CA"/>
              </w:rPr>
              <w:noBreakHyphen/>
              <w:t xml:space="preserve">elles partie du procès d’un accusé pour l’application du paragraphe 650(1) du </w:t>
            </w:r>
            <w:r w:rsidRPr="00723BA8">
              <w:rPr>
                <w:rFonts w:eastAsia="Calibri"/>
                <w:i/>
                <w:sz w:val="20"/>
                <w:lang w:val="fr-CA"/>
              </w:rPr>
              <w:t>Code criminel</w:t>
            </w:r>
            <w:r w:rsidRPr="00723BA8">
              <w:rPr>
                <w:rFonts w:eastAsia="Calibri"/>
                <w:sz w:val="20"/>
                <w:lang w:val="fr-CA"/>
              </w:rPr>
              <w:t xml:space="preserve"> et de l’article 7 de la </w:t>
            </w:r>
            <w:r w:rsidRPr="00723BA8">
              <w:rPr>
                <w:rFonts w:eastAsia="Calibri"/>
                <w:i/>
                <w:sz w:val="20"/>
                <w:lang w:val="fr-CA"/>
              </w:rPr>
              <w:t>Charte</w:t>
            </w:r>
            <w:r w:rsidRPr="00723BA8">
              <w:rPr>
                <w:rFonts w:eastAsia="Calibri"/>
                <w:sz w:val="20"/>
                <w:lang w:val="fr-CA"/>
              </w:rPr>
              <w:t>? — La Cour d’appel a</w:t>
            </w:r>
            <w:r w:rsidRPr="00723BA8">
              <w:rPr>
                <w:rFonts w:eastAsia="Calibri"/>
                <w:sz w:val="20"/>
                <w:lang w:val="fr-CA"/>
              </w:rPr>
              <w:noBreakHyphen/>
              <w:t>t</w:t>
            </w:r>
            <w:r w:rsidRPr="00723BA8">
              <w:rPr>
                <w:rFonts w:eastAsia="Calibri"/>
                <w:sz w:val="20"/>
                <w:lang w:val="fr-CA"/>
              </w:rPr>
              <w:noBreakHyphen/>
              <w:t>elle commis une erreur de droit en appliquant le sous</w:t>
            </w:r>
            <w:r w:rsidRPr="00723BA8">
              <w:rPr>
                <w:rFonts w:eastAsia="Calibri"/>
                <w:sz w:val="20"/>
                <w:lang w:val="fr-CA"/>
              </w:rPr>
              <w:noBreakHyphen/>
              <w:t>alinéa 686(1)</w:t>
            </w:r>
            <w:r w:rsidRPr="00723BA8">
              <w:rPr>
                <w:rFonts w:eastAsia="Calibri"/>
                <w:i/>
                <w:sz w:val="20"/>
                <w:lang w:val="fr-CA"/>
              </w:rPr>
              <w:t>b</w:t>
            </w:r>
            <w:proofErr w:type="gramStart"/>
            <w:r w:rsidRPr="00723BA8">
              <w:rPr>
                <w:rFonts w:eastAsia="Calibri"/>
                <w:sz w:val="20"/>
                <w:lang w:val="fr-CA"/>
              </w:rPr>
              <w:t>)(</w:t>
            </w:r>
            <w:proofErr w:type="gramEnd"/>
            <w:r w:rsidRPr="00723BA8">
              <w:rPr>
                <w:rFonts w:eastAsia="Calibri"/>
                <w:sz w:val="20"/>
                <w:lang w:val="fr-CA"/>
              </w:rPr>
              <w:t xml:space="preserve">iv) du </w:t>
            </w:r>
            <w:r w:rsidRPr="00723BA8">
              <w:rPr>
                <w:rFonts w:eastAsia="Calibri"/>
                <w:i/>
                <w:sz w:val="20"/>
                <w:lang w:val="fr-CA"/>
              </w:rPr>
              <w:t>Code criminel</w:t>
            </w:r>
            <w:r w:rsidRPr="00723BA8">
              <w:rPr>
                <w:rFonts w:eastAsia="Calibri"/>
                <w:sz w:val="20"/>
                <w:lang w:val="fr-CA"/>
              </w:rPr>
              <w:t>? — La disposition relative à l’irrégularité de procédure figurant au sous</w:t>
            </w:r>
            <w:r w:rsidRPr="00723BA8">
              <w:rPr>
                <w:rFonts w:eastAsia="Calibri"/>
                <w:sz w:val="20"/>
                <w:lang w:val="fr-CA"/>
              </w:rPr>
              <w:noBreakHyphen/>
              <w:t>alinéa  686(1)</w:t>
            </w:r>
            <w:r w:rsidRPr="00723BA8">
              <w:rPr>
                <w:rFonts w:eastAsia="Calibri"/>
                <w:i/>
                <w:sz w:val="20"/>
                <w:lang w:val="fr-CA"/>
              </w:rPr>
              <w:t>b</w:t>
            </w:r>
            <w:r w:rsidRPr="00723BA8">
              <w:rPr>
                <w:rFonts w:eastAsia="Calibri"/>
                <w:sz w:val="20"/>
                <w:lang w:val="fr-CA"/>
              </w:rPr>
              <w:t>)(iv) peut</w:t>
            </w:r>
            <w:r w:rsidRPr="00723BA8">
              <w:rPr>
                <w:rFonts w:eastAsia="Calibri"/>
                <w:sz w:val="20"/>
                <w:lang w:val="fr-CA"/>
              </w:rPr>
              <w:noBreakHyphen/>
              <w:t xml:space="preserve">elle corriger une violation du droit d’être présent garanti par l’article 7 de la </w:t>
            </w:r>
            <w:r w:rsidRPr="00723BA8">
              <w:rPr>
                <w:rFonts w:eastAsia="Calibri"/>
                <w:i/>
                <w:sz w:val="20"/>
                <w:lang w:val="fr-CA"/>
              </w:rPr>
              <w:t>Charte</w:t>
            </w:r>
            <w:r w:rsidRPr="00723BA8">
              <w:rPr>
                <w:rFonts w:eastAsia="Calibri"/>
                <w:sz w:val="20"/>
                <w:lang w:val="fr-CA"/>
              </w:rPr>
              <w:t>?</w:t>
            </w:r>
          </w:p>
          <w:p w:rsidR="008A3101" w:rsidRPr="00723BA8" w:rsidRDefault="008A3101" w:rsidP="002B7BFF">
            <w:pPr>
              <w:jc w:val="both"/>
              <w:rPr>
                <w:rFonts w:eastAsia="Calibri"/>
                <w:sz w:val="20"/>
                <w:lang w:val="fr-CA"/>
              </w:rPr>
            </w:pPr>
          </w:p>
        </w:tc>
      </w:tr>
      <w:tr w:rsidR="008A3101" w:rsidRPr="00723BA8" w:rsidTr="002B7BFF">
        <w:tc>
          <w:tcPr>
            <w:tcW w:w="5000" w:type="pct"/>
            <w:gridSpan w:val="3"/>
          </w:tcPr>
          <w:p w:rsidR="008A3101" w:rsidRPr="00723BA8" w:rsidRDefault="008A3101" w:rsidP="002B7BFF">
            <w:pPr>
              <w:jc w:val="both"/>
              <w:rPr>
                <w:rFonts w:eastAsia="Calibri"/>
                <w:sz w:val="20"/>
                <w:lang w:val="fr-CA"/>
              </w:rPr>
            </w:pPr>
            <w:r w:rsidRPr="00723BA8">
              <w:rPr>
                <w:rFonts w:eastAsia="Calibri"/>
                <w:sz w:val="20"/>
                <w:lang w:val="fr-CA"/>
              </w:rPr>
              <w:t xml:space="preserve">Au cours de la présentation de la preuve de la Couronne, le juge de première instance a profité d’un arrêt inattendu pour discuter des sujets qui feraient l’objet de l’exposé au jury.  La conférence préalable à l’exposé au jury a commencé en audience publique, mais, avec l’assentiment de l’avocat de la défense, elle a rapidement été ajournée pour continuer dans le cabinet du juge parce qu’on craignait que la conférence préalable à l’exposé équivaudrait à donner à Monsieur Simon </w:t>
            </w:r>
            <w:r w:rsidRPr="00723BA8">
              <w:rPr>
                <w:rFonts w:eastAsia="Calibri"/>
                <w:smallCaps/>
                <w:sz w:val="20"/>
                <w:lang w:val="fr-CA"/>
              </w:rPr>
              <w:t>[traduction]</w:t>
            </w:r>
            <w:r w:rsidRPr="00723BA8">
              <w:rPr>
                <w:rFonts w:eastAsia="Calibri"/>
                <w:sz w:val="20"/>
                <w:lang w:val="fr-CA"/>
              </w:rPr>
              <w:t xml:space="preserve"> « un résumé complet du droit applicable avant qu’il ne témoigne » et </w:t>
            </w:r>
            <w:r w:rsidRPr="00723BA8">
              <w:rPr>
                <w:rFonts w:eastAsia="Calibri"/>
                <w:smallCaps/>
                <w:sz w:val="20"/>
                <w:lang w:val="fr-CA"/>
              </w:rPr>
              <w:t>[traduction]</w:t>
            </w:r>
            <w:r w:rsidRPr="00723BA8">
              <w:rPr>
                <w:rFonts w:eastAsia="Calibri"/>
                <w:sz w:val="20"/>
                <w:lang w:val="fr-CA"/>
              </w:rPr>
              <w:t xml:space="preserve"> « avant que son avocat ait décidé de l’appeler à témoigner ou non ».  M. Simon n’a pas été invité à participer à la discussion en cabinet.</w:t>
            </w:r>
          </w:p>
          <w:p w:rsidR="008A3101" w:rsidRPr="00723BA8" w:rsidRDefault="008A3101" w:rsidP="002B7BFF">
            <w:pPr>
              <w:jc w:val="both"/>
              <w:rPr>
                <w:rFonts w:eastAsia="Calibri"/>
                <w:sz w:val="20"/>
                <w:lang w:val="fr-CA"/>
              </w:rPr>
            </w:pPr>
          </w:p>
          <w:p w:rsidR="008A3101" w:rsidRPr="00723BA8" w:rsidRDefault="008A3101" w:rsidP="002B7BFF">
            <w:pPr>
              <w:jc w:val="both"/>
              <w:rPr>
                <w:rFonts w:eastAsia="Calibri"/>
                <w:sz w:val="20"/>
                <w:lang w:val="fr-CA"/>
              </w:rPr>
            </w:pPr>
            <w:r w:rsidRPr="00723BA8">
              <w:rPr>
                <w:rFonts w:eastAsia="Calibri"/>
                <w:sz w:val="20"/>
                <w:lang w:val="fr-CA"/>
              </w:rPr>
              <w:t>Après que la Couronne eut présenté sa preuve, M. Simon a choisi de ne présenter aucune défense.  D’autres conférences préalables à l’exposé ont eu lieu en audience publique en présence de M. Simon.  Les discussions ont notamment porté sur la question du fondement de la responsabilité qui serait soumise à l’appréciation du jury.  Le jury a déclaré M. Simon coupable de meurtre au deuxième degré.  L’appel interjeté par M. Simon a été rejeté.</w:t>
            </w:r>
          </w:p>
          <w:p w:rsidR="008A3101" w:rsidRPr="00723BA8" w:rsidRDefault="008A3101" w:rsidP="002B7BFF">
            <w:pPr>
              <w:jc w:val="both"/>
              <w:rPr>
                <w:rFonts w:eastAsia="Calibri"/>
                <w:sz w:val="20"/>
                <w:lang w:val="fr-CA"/>
              </w:rPr>
            </w:pPr>
          </w:p>
        </w:tc>
      </w:tr>
      <w:tr w:rsidR="008A3101" w:rsidRPr="00E62A55"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t>13 décembre 2005</w:t>
            </w:r>
          </w:p>
          <w:p w:rsidR="008A3101" w:rsidRPr="00723BA8" w:rsidRDefault="008A3101" w:rsidP="002B7BFF">
            <w:pPr>
              <w:jc w:val="both"/>
              <w:rPr>
                <w:rFonts w:eastAsia="Calibri"/>
                <w:sz w:val="20"/>
                <w:lang w:val="fr-CA"/>
              </w:rPr>
            </w:pPr>
            <w:r w:rsidRPr="00723BA8">
              <w:rPr>
                <w:rFonts w:eastAsia="Calibri"/>
                <w:sz w:val="20"/>
                <w:lang w:val="fr-CA"/>
              </w:rPr>
              <w:t>Cour supérieure de justice de l’Ontario</w:t>
            </w:r>
          </w:p>
          <w:p w:rsidR="008A3101" w:rsidRPr="00723BA8" w:rsidRDefault="008A3101" w:rsidP="002B7BFF">
            <w:pPr>
              <w:jc w:val="both"/>
              <w:rPr>
                <w:rFonts w:eastAsia="Calibri"/>
                <w:sz w:val="20"/>
                <w:lang w:val="fr-CA"/>
              </w:rPr>
            </w:pPr>
            <w:r w:rsidRPr="00723BA8">
              <w:rPr>
                <w:rFonts w:eastAsia="Calibri"/>
                <w:sz w:val="20"/>
                <w:lang w:val="fr-CA"/>
              </w:rPr>
              <w:t>(Juge Whitten)</w:t>
            </w:r>
          </w:p>
          <w:p w:rsidR="008A3101" w:rsidRPr="00723BA8" w:rsidRDefault="008A3101" w:rsidP="002B7BFF">
            <w:pPr>
              <w:jc w:val="both"/>
              <w:rPr>
                <w:rFonts w:eastAsia="Calibri"/>
                <w:sz w:val="20"/>
                <w:lang w:val="fr-CA"/>
              </w:rPr>
            </w:pPr>
            <w:r w:rsidRPr="00723BA8">
              <w:rPr>
                <w:rFonts w:eastAsia="Calibri"/>
                <w:sz w:val="20"/>
                <w:lang w:val="fr-CA"/>
              </w:rPr>
              <w:t>Référence neutre : S/O</w:t>
            </w:r>
          </w:p>
          <w:p w:rsidR="008A3101" w:rsidRPr="00723BA8" w:rsidRDefault="008A3101" w:rsidP="002B7BFF">
            <w:pPr>
              <w:jc w:val="both"/>
              <w:rPr>
                <w:rFonts w:eastAsia="Calibri"/>
                <w:sz w:val="20"/>
                <w:lang w:val="fr-CA"/>
              </w:rPr>
            </w:pPr>
          </w:p>
        </w:tc>
        <w:tc>
          <w:tcPr>
            <w:tcW w:w="243" w:type="pct"/>
          </w:tcPr>
          <w:p w:rsidR="008A3101" w:rsidRPr="00723BA8" w:rsidRDefault="008A3101" w:rsidP="002B7BFF">
            <w:pPr>
              <w:jc w:val="both"/>
              <w:rPr>
                <w:rFonts w:eastAsia="Calibri"/>
                <w:sz w:val="20"/>
                <w:lang w:val="fr-CA"/>
              </w:rPr>
            </w:pPr>
          </w:p>
        </w:tc>
        <w:tc>
          <w:tcPr>
            <w:tcW w:w="2330" w:type="pct"/>
          </w:tcPr>
          <w:p w:rsidR="008A3101" w:rsidRPr="00723BA8" w:rsidRDefault="008A3101" w:rsidP="002B7BFF">
            <w:pPr>
              <w:jc w:val="both"/>
              <w:rPr>
                <w:rFonts w:eastAsia="Calibri"/>
                <w:i/>
                <w:sz w:val="20"/>
                <w:lang w:val="fr-CA"/>
              </w:rPr>
            </w:pPr>
            <w:r w:rsidRPr="00723BA8">
              <w:rPr>
                <w:rFonts w:eastAsia="Calibri"/>
                <w:sz w:val="20"/>
                <w:lang w:val="fr-CA"/>
              </w:rPr>
              <w:t xml:space="preserve">Requérant déclaré coupable de meurtre au deuxième degré en application de l’article 235 du </w:t>
            </w:r>
            <w:r w:rsidRPr="00723BA8">
              <w:rPr>
                <w:rFonts w:eastAsia="Calibri"/>
                <w:i/>
                <w:sz w:val="20"/>
                <w:lang w:val="fr-CA"/>
              </w:rPr>
              <w:t>Code criminel</w:t>
            </w:r>
          </w:p>
          <w:p w:rsidR="008A3101" w:rsidRPr="00723BA8" w:rsidRDefault="008A3101" w:rsidP="002B7BFF">
            <w:pPr>
              <w:jc w:val="both"/>
              <w:rPr>
                <w:rFonts w:eastAsia="Calibri"/>
                <w:sz w:val="20"/>
                <w:lang w:val="fr-CA"/>
              </w:rPr>
            </w:pPr>
          </w:p>
        </w:tc>
      </w:tr>
      <w:tr w:rsidR="008A3101" w:rsidRPr="00723BA8"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t>9 novembre 2010</w:t>
            </w:r>
          </w:p>
          <w:p w:rsidR="008A3101" w:rsidRPr="00723BA8" w:rsidRDefault="008A3101" w:rsidP="002B7BFF">
            <w:pPr>
              <w:jc w:val="both"/>
              <w:rPr>
                <w:rFonts w:eastAsia="Calibri"/>
                <w:sz w:val="20"/>
                <w:lang w:val="fr-CA"/>
              </w:rPr>
            </w:pPr>
            <w:r w:rsidRPr="00723BA8">
              <w:rPr>
                <w:rFonts w:eastAsia="Calibri"/>
                <w:sz w:val="20"/>
                <w:lang w:val="fr-CA"/>
              </w:rPr>
              <w:t>Cour d’appel de l’Ontario</w:t>
            </w:r>
          </w:p>
          <w:p w:rsidR="008A3101" w:rsidRPr="00723BA8" w:rsidRDefault="008A3101" w:rsidP="002B7BFF">
            <w:pPr>
              <w:jc w:val="both"/>
              <w:rPr>
                <w:rFonts w:eastAsia="Calibri"/>
                <w:sz w:val="20"/>
                <w:lang w:val="fr-CA"/>
              </w:rPr>
            </w:pPr>
            <w:r w:rsidRPr="00723BA8">
              <w:rPr>
                <w:rFonts w:eastAsia="Calibri"/>
                <w:sz w:val="20"/>
                <w:lang w:val="fr-CA"/>
              </w:rPr>
              <w:t>(Juges Watt, Juriansz et Rouleau)</w:t>
            </w:r>
          </w:p>
          <w:p w:rsidR="008A3101" w:rsidRPr="00723BA8" w:rsidRDefault="008A3101" w:rsidP="002B7BFF">
            <w:pPr>
              <w:jc w:val="both"/>
              <w:rPr>
                <w:rFonts w:eastAsia="Calibri"/>
                <w:sz w:val="20"/>
                <w:lang w:val="fr-CA"/>
              </w:rPr>
            </w:pPr>
            <w:r w:rsidRPr="00723BA8">
              <w:rPr>
                <w:rFonts w:eastAsia="Calibri"/>
                <w:sz w:val="20"/>
                <w:lang w:val="fr-CA"/>
              </w:rPr>
              <w:t>Référence neutre : 2010 ONCA 754</w:t>
            </w:r>
          </w:p>
          <w:p w:rsidR="008A3101" w:rsidRPr="00723BA8" w:rsidRDefault="008A3101" w:rsidP="002B7BFF">
            <w:pPr>
              <w:jc w:val="both"/>
              <w:rPr>
                <w:rFonts w:eastAsia="Calibri"/>
                <w:sz w:val="20"/>
                <w:lang w:val="fr-CA"/>
              </w:rPr>
            </w:pPr>
          </w:p>
        </w:tc>
        <w:tc>
          <w:tcPr>
            <w:tcW w:w="243" w:type="pct"/>
          </w:tcPr>
          <w:p w:rsidR="008A3101" w:rsidRPr="00723BA8" w:rsidRDefault="008A3101" w:rsidP="002B7BFF">
            <w:pPr>
              <w:jc w:val="both"/>
              <w:rPr>
                <w:rFonts w:eastAsia="Calibri"/>
                <w:sz w:val="20"/>
                <w:lang w:val="fr-CA"/>
              </w:rPr>
            </w:pPr>
          </w:p>
        </w:tc>
        <w:tc>
          <w:tcPr>
            <w:tcW w:w="2330" w:type="pct"/>
          </w:tcPr>
          <w:p w:rsidR="008A3101" w:rsidRPr="00723BA8" w:rsidRDefault="008A3101" w:rsidP="002B7BFF">
            <w:pPr>
              <w:jc w:val="both"/>
              <w:rPr>
                <w:rFonts w:eastAsia="Calibri"/>
                <w:sz w:val="20"/>
                <w:lang w:val="fr-CA"/>
              </w:rPr>
            </w:pPr>
            <w:r w:rsidRPr="00723BA8">
              <w:rPr>
                <w:rFonts w:eastAsia="Calibri"/>
                <w:sz w:val="20"/>
                <w:lang w:val="fr-CA"/>
              </w:rPr>
              <w:t>Appel rejeté</w:t>
            </w:r>
          </w:p>
          <w:p w:rsidR="008A3101" w:rsidRPr="00723BA8" w:rsidRDefault="008A3101" w:rsidP="002B7BFF">
            <w:pPr>
              <w:jc w:val="both"/>
              <w:rPr>
                <w:rFonts w:eastAsia="Calibri"/>
                <w:sz w:val="20"/>
                <w:lang w:val="fr-CA"/>
              </w:rPr>
            </w:pPr>
          </w:p>
        </w:tc>
      </w:tr>
      <w:tr w:rsidR="008A3101" w:rsidRPr="00723BA8"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t>14 décembre 2010</w:t>
            </w:r>
          </w:p>
          <w:p w:rsidR="008A3101" w:rsidRPr="00723BA8" w:rsidRDefault="008A3101" w:rsidP="002B7BFF">
            <w:pPr>
              <w:jc w:val="both"/>
              <w:rPr>
                <w:rFonts w:eastAsia="Calibri"/>
                <w:sz w:val="20"/>
                <w:lang w:val="fr-CA"/>
              </w:rPr>
            </w:pPr>
            <w:r w:rsidRPr="00723BA8">
              <w:rPr>
                <w:rFonts w:eastAsia="Calibri"/>
                <w:sz w:val="20"/>
                <w:lang w:val="fr-CA"/>
              </w:rPr>
              <w:t>Cour suprême du Canada</w:t>
            </w:r>
          </w:p>
        </w:tc>
        <w:tc>
          <w:tcPr>
            <w:tcW w:w="243" w:type="pct"/>
          </w:tcPr>
          <w:p w:rsidR="008A3101" w:rsidRPr="00723BA8" w:rsidRDefault="008A3101" w:rsidP="002B7BFF">
            <w:pPr>
              <w:jc w:val="both"/>
              <w:rPr>
                <w:rFonts w:eastAsia="Calibri"/>
                <w:sz w:val="20"/>
                <w:lang w:val="fr-CA"/>
              </w:rPr>
            </w:pPr>
          </w:p>
        </w:tc>
        <w:tc>
          <w:tcPr>
            <w:tcW w:w="2330" w:type="pct"/>
          </w:tcPr>
          <w:p w:rsidR="008A3101" w:rsidRPr="00723BA8" w:rsidRDefault="008A3101" w:rsidP="002B7BFF">
            <w:pPr>
              <w:jc w:val="both"/>
              <w:rPr>
                <w:rFonts w:eastAsia="Calibri"/>
                <w:sz w:val="20"/>
                <w:lang w:val="fr-CA"/>
              </w:rPr>
            </w:pPr>
            <w:r w:rsidRPr="00723BA8">
              <w:rPr>
                <w:rFonts w:eastAsia="Calibri"/>
                <w:sz w:val="20"/>
                <w:lang w:val="fr-CA"/>
              </w:rPr>
              <w:t>Demande d’autorisation d’appel déposée</w:t>
            </w:r>
          </w:p>
          <w:p w:rsidR="008A3101" w:rsidRPr="00723BA8" w:rsidRDefault="008A3101"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1"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2EBC" w:rsidRPr="00E62A55" w:rsidTr="00E816E1">
        <w:trPr>
          <w:cantSplit/>
        </w:trPr>
        <w:tc>
          <w:tcPr>
            <w:tcW w:w="1458" w:type="dxa"/>
          </w:tcPr>
          <w:p w:rsidR="00C82EBC" w:rsidRPr="00FF441F" w:rsidRDefault="00C82EBC" w:rsidP="00E816E1">
            <w:pPr>
              <w:rPr>
                <w:rFonts w:cs="Times New Roman"/>
                <w:sz w:val="20"/>
                <w:szCs w:val="20"/>
              </w:rPr>
            </w:pPr>
            <w:r w:rsidRPr="00FF441F">
              <w:rPr>
                <w:rStyle w:val="SCCFileNumberChar"/>
                <w:sz w:val="20"/>
                <w:szCs w:val="20"/>
              </w:rPr>
              <w:t>34003</w:t>
            </w:r>
          </w:p>
          <w:p w:rsidR="00C82EBC" w:rsidRPr="00FF441F" w:rsidRDefault="00C82EBC" w:rsidP="00E816E1">
            <w:pPr>
              <w:rPr>
                <w:rFonts w:cs="Times New Roman"/>
                <w:b/>
                <w:sz w:val="20"/>
                <w:szCs w:val="20"/>
                <w:lang w:val="fr-CA"/>
              </w:rPr>
            </w:pPr>
          </w:p>
        </w:tc>
        <w:tc>
          <w:tcPr>
            <w:tcW w:w="8118" w:type="dxa"/>
          </w:tcPr>
          <w:p w:rsidR="00C82EBC" w:rsidRPr="00FF441F" w:rsidRDefault="00C82EBC" w:rsidP="00E816E1">
            <w:pPr>
              <w:rPr>
                <w:rFonts w:cs="Times New Roman"/>
                <w:sz w:val="20"/>
                <w:szCs w:val="20"/>
                <w:lang w:val="fr-CA"/>
              </w:rPr>
            </w:pPr>
            <w:r w:rsidRPr="00FF441F">
              <w:rPr>
                <w:rStyle w:val="SCCLsocChar"/>
                <w:rFonts w:cs="Times New Roman"/>
                <w:sz w:val="20"/>
                <w:szCs w:val="20"/>
              </w:rPr>
              <w:t>Service Sanitaire Morin inc. c. Ville de Terrebonne</w:t>
            </w:r>
            <w:r w:rsidRPr="00FF441F">
              <w:rPr>
                <w:rFonts w:cs="Times New Roman"/>
                <w:sz w:val="20"/>
                <w:szCs w:val="20"/>
                <w:lang w:val="fr-CA"/>
              </w:rPr>
              <w:t xml:space="preserve"> (Qc) (Civile) (Autorisation)</w:t>
            </w:r>
          </w:p>
          <w:p w:rsidR="00C82EBC" w:rsidRPr="00FF441F" w:rsidRDefault="00C82EBC" w:rsidP="00E816E1">
            <w:pPr>
              <w:rPr>
                <w:rFonts w:cs="Times New Roman"/>
                <w:sz w:val="20"/>
                <w:szCs w:val="20"/>
                <w:lang w:val="fr-CA"/>
              </w:rPr>
            </w:pPr>
          </w:p>
        </w:tc>
      </w:tr>
      <w:tr w:rsidR="00C82EBC" w:rsidRPr="00E62A55" w:rsidTr="00E816E1">
        <w:trPr>
          <w:cantSplit/>
        </w:trPr>
        <w:tc>
          <w:tcPr>
            <w:tcW w:w="1458" w:type="dxa"/>
          </w:tcPr>
          <w:p w:rsidR="00C82EBC" w:rsidRPr="00FF441F" w:rsidRDefault="00C82EBC" w:rsidP="00E816E1">
            <w:pPr>
              <w:rPr>
                <w:rFonts w:cs="Times New Roman"/>
                <w:sz w:val="20"/>
                <w:szCs w:val="20"/>
              </w:rPr>
            </w:pPr>
            <w:r w:rsidRPr="00FF441F">
              <w:rPr>
                <w:rFonts w:cs="Times New Roman"/>
                <w:sz w:val="20"/>
                <w:szCs w:val="20"/>
              </w:rPr>
              <w:t>Coram :</w:t>
            </w:r>
          </w:p>
        </w:tc>
        <w:tc>
          <w:tcPr>
            <w:tcW w:w="8118" w:type="dxa"/>
          </w:tcPr>
          <w:p w:rsidR="00C82EBC" w:rsidRPr="00FF441F" w:rsidRDefault="00C82EBC" w:rsidP="00E816E1">
            <w:pPr>
              <w:rPr>
                <w:rFonts w:cs="Times New Roman"/>
                <w:sz w:val="20"/>
                <w:szCs w:val="20"/>
                <w:lang w:val="fr-CA"/>
              </w:rPr>
            </w:pPr>
            <w:r w:rsidRPr="00FF441F">
              <w:rPr>
                <w:rStyle w:val="SCCCoramChar"/>
                <w:rFonts w:cs="Times New Roman"/>
                <w:sz w:val="20"/>
                <w:szCs w:val="20"/>
              </w:rPr>
              <w:t>Les juges LeBel, Deschamps et Charron</w:t>
            </w:r>
          </w:p>
          <w:p w:rsidR="00C82EBC" w:rsidRPr="00FF441F" w:rsidRDefault="00C82EBC" w:rsidP="00E816E1">
            <w:pPr>
              <w:rPr>
                <w:rFonts w:cs="Times New Roman"/>
                <w:sz w:val="20"/>
                <w:szCs w:val="20"/>
                <w:u w:val="single"/>
                <w:lang w:val="fr-CA"/>
              </w:rPr>
            </w:pPr>
          </w:p>
        </w:tc>
      </w:tr>
      <w:tr w:rsidR="00C82EBC" w:rsidRPr="00FF441F" w:rsidTr="00E816E1">
        <w:trPr>
          <w:cantSplit/>
        </w:trPr>
        <w:tc>
          <w:tcPr>
            <w:tcW w:w="9576" w:type="dxa"/>
            <w:gridSpan w:val="2"/>
          </w:tcPr>
          <w:p w:rsidR="00C82EBC" w:rsidRPr="00FF441F" w:rsidRDefault="00C82EBC" w:rsidP="00E816E1">
            <w:pPr>
              <w:pStyle w:val="SCCShortJudgment"/>
              <w:rPr>
                <w:rFonts w:cs="Times New Roman"/>
                <w:szCs w:val="20"/>
                <w:lang w:val="fr-CA"/>
              </w:rPr>
            </w:pPr>
            <w:r w:rsidRPr="00FF441F">
              <w:rPr>
                <w:rFonts w:cs="Times New Roman"/>
                <w:szCs w:val="20"/>
                <w:lang w:val="fr-CA"/>
              </w:rPr>
              <w:t>La demande d’autorisation d’appel de l’arrêt de la Cour d’appel du Québec (Montréal), numéro 500-09-020887-105, 2010 QCCA 1965, daté du 25 octobre 2010, est rejetée avec dépens.</w:t>
            </w:r>
          </w:p>
          <w:p w:rsidR="00C82EBC" w:rsidRPr="00FF441F" w:rsidRDefault="00C82EBC" w:rsidP="00E816E1">
            <w:pPr>
              <w:pStyle w:val="SCCShortJudgment"/>
              <w:ind w:firstLine="0"/>
              <w:rPr>
                <w:rFonts w:cs="Times New Roman"/>
                <w:szCs w:val="20"/>
                <w:lang w:val="fr-CA"/>
              </w:rPr>
            </w:pPr>
          </w:p>
          <w:p w:rsidR="00C82EBC" w:rsidRPr="00FF441F" w:rsidRDefault="00C82EBC" w:rsidP="00E816E1">
            <w:pPr>
              <w:pStyle w:val="SCCShortJudgment"/>
              <w:rPr>
                <w:rFonts w:cs="Times New Roman"/>
                <w:szCs w:val="20"/>
              </w:rPr>
            </w:pPr>
            <w:r w:rsidRPr="00FF441F">
              <w:rPr>
                <w:rFonts w:cs="Times New Roman"/>
                <w:szCs w:val="20"/>
              </w:rPr>
              <w:t>The application for leave to appeal from the judgment of the Court of Appeal of Quebec (Montréal), Number 500-09-020887-105, 2010 QCCA 1965, dated October 25, 2010, is dismissed with costs.</w:t>
            </w:r>
          </w:p>
        </w:tc>
      </w:tr>
    </w:tbl>
    <w:p w:rsidR="00C82EBC" w:rsidRDefault="00C82EBC" w:rsidP="004E6FA2">
      <w:pPr>
        <w:rPr>
          <w:sz w:val="20"/>
          <w:szCs w:val="20"/>
        </w:rPr>
      </w:pPr>
    </w:p>
    <w:p w:rsidR="00C82EBC" w:rsidRDefault="00C82EBC">
      <w:pPr>
        <w:rPr>
          <w:sz w:val="20"/>
          <w:szCs w:val="20"/>
        </w:rPr>
      </w:pPr>
      <w:r>
        <w:rPr>
          <w:sz w:val="20"/>
          <w:szCs w:val="20"/>
        </w:rPr>
        <w:br w:type="page"/>
      </w:r>
    </w:p>
    <w:p w:rsidR="004E6FA2" w:rsidRDefault="004E6FA2" w:rsidP="004E6FA2">
      <w:pPr>
        <w:rPr>
          <w:sz w:val="20"/>
          <w:szCs w:val="20"/>
        </w:rPr>
      </w:pPr>
      <w:r>
        <w:rPr>
          <w:sz w:val="20"/>
          <w:szCs w:val="20"/>
          <w:u w:val="single"/>
        </w:rPr>
        <w:lastRenderedPageBreak/>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3101" w:rsidRPr="00723BA8" w:rsidTr="002B7BFF">
        <w:tc>
          <w:tcPr>
            <w:tcW w:w="5000" w:type="pct"/>
            <w:gridSpan w:val="3"/>
          </w:tcPr>
          <w:p w:rsidR="008A3101" w:rsidRPr="00723BA8" w:rsidRDefault="008A3101" w:rsidP="005E3C63">
            <w:pPr>
              <w:jc w:val="both"/>
              <w:rPr>
                <w:sz w:val="20"/>
              </w:rPr>
            </w:pPr>
            <w:r w:rsidRPr="00723BA8">
              <w:rPr>
                <w:sz w:val="20"/>
              </w:rPr>
              <w:t xml:space="preserve">Municipal law — Contracts — Calls for tenders — Remedies — Prescription — </w:t>
            </w:r>
            <w:r w:rsidRPr="00723BA8">
              <w:rPr>
                <w:i/>
                <w:sz w:val="20"/>
              </w:rPr>
              <w:t>Cities and Towns Act</w:t>
            </w:r>
            <w:r w:rsidRPr="00723BA8">
              <w:rPr>
                <w:sz w:val="20"/>
              </w:rPr>
              <w:t>, R.S.Q., c. C</w:t>
            </w:r>
            <w:r w:rsidRPr="00723BA8">
              <w:rPr>
                <w:sz w:val="20"/>
              </w:rPr>
              <w:noBreakHyphen/>
              <w:t xml:space="preserve">19, s. 586 — Nature of applicant’s action — Whether applicant’s action based on “fault” or “illegality” within meaning of s. 586 of </w:t>
            </w:r>
            <w:r w:rsidRPr="00723BA8">
              <w:rPr>
                <w:i/>
                <w:sz w:val="20"/>
              </w:rPr>
              <w:t>Cities and Towns Act</w:t>
            </w:r>
            <w:r w:rsidRPr="00723BA8">
              <w:rPr>
                <w:sz w:val="20"/>
              </w:rPr>
              <w:t xml:space="preserve"> — Whether applicant’s action prescribed.</w:t>
            </w:r>
          </w:p>
          <w:p w:rsidR="008A3101" w:rsidRPr="00723BA8" w:rsidRDefault="008A3101" w:rsidP="005E3C63">
            <w:pPr>
              <w:jc w:val="both"/>
              <w:rPr>
                <w:sz w:val="20"/>
              </w:rPr>
            </w:pPr>
          </w:p>
        </w:tc>
      </w:tr>
      <w:tr w:rsidR="008A3101" w:rsidRPr="00723BA8" w:rsidTr="002B7BFF">
        <w:tc>
          <w:tcPr>
            <w:tcW w:w="5000" w:type="pct"/>
            <w:gridSpan w:val="3"/>
          </w:tcPr>
          <w:p w:rsidR="008A3101" w:rsidRPr="00723BA8" w:rsidRDefault="008A3101" w:rsidP="005E3C63">
            <w:pPr>
              <w:jc w:val="both"/>
              <w:rPr>
                <w:sz w:val="20"/>
              </w:rPr>
            </w:pPr>
            <w:r w:rsidRPr="00723BA8">
              <w:rPr>
                <w:sz w:val="20"/>
              </w:rPr>
              <w:t xml:space="preserve">The applicant Service Sanitaire Morin Inc. (“SSM”), a company that specialized in the recovery of household garbage and recyclable and compostable materials, brought an action in damages against the respondent City of Terrebonne (“City”) based on a call for tenders issued for the collection of residual materials in certain sectors of the City.  According to SSM, the call for tenders was directed because it favoured multinationals only and unduly limited free competition by imposing several excessive conditions in the specifications, including the requirement of having a large number of automated trucks at the time of tendering.  The Superior Court dismissed SSM’s action on the ground that it was prescribed under s. 586 of the </w:t>
            </w:r>
            <w:r w:rsidRPr="00723BA8">
              <w:rPr>
                <w:i/>
                <w:sz w:val="20"/>
              </w:rPr>
              <w:t>Cities and Towns Act</w:t>
            </w:r>
            <w:r w:rsidRPr="00723BA8">
              <w:rPr>
                <w:sz w:val="20"/>
              </w:rPr>
              <w:t>.  The Court of Appeal summarily dismissed the appeal.</w:t>
            </w:r>
          </w:p>
          <w:p w:rsidR="008A3101" w:rsidRPr="00723BA8" w:rsidRDefault="008A3101" w:rsidP="005E3C63">
            <w:pPr>
              <w:jc w:val="both"/>
              <w:rPr>
                <w:sz w:val="20"/>
              </w:rPr>
            </w:pPr>
          </w:p>
        </w:tc>
      </w:tr>
      <w:tr w:rsidR="008A3101" w:rsidRPr="00723BA8" w:rsidTr="002B7BFF">
        <w:tc>
          <w:tcPr>
            <w:tcW w:w="2427" w:type="pct"/>
          </w:tcPr>
          <w:p w:rsidR="008A3101" w:rsidRPr="00723BA8" w:rsidRDefault="008A3101" w:rsidP="002B7BFF">
            <w:pPr>
              <w:rPr>
                <w:sz w:val="20"/>
              </w:rPr>
            </w:pPr>
            <w:r w:rsidRPr="00723BA8">
              <w:rPr>
                <w:sz w:val="20"/>
              </w:rPr>
              <w:t>June 28, 2010</w:t>
            </w:r>
          </w:p>
          <w:p w:rsidR="008A3101" w:rsidRPr="00723BA8" w:rsidRDefault="008A3101" w:rsidP="002B7BFF">
            <w:pPr>
              <w:rPr>
                <w:sz w:val="20"/>
              </w:rPr>
            </w:pPr>
            <w:r w:rsidRPr="00723BA8">
              <w:rPr>
                <w:sz w:val="20"/>
              </w:rPr>
              <w:t>Quebec Superior Court</w:t>
            </w:r>
          </w:p>
          <w:p w:rsidR="008A3101" w:rsidRPr="00723BA8" w:rsidRDefault="008A3101" w:rsidP="002B7BFF">
            <w:pPr>
              <w:rPr>
                <w:sz w:val="20"/>
              </w:rPr>
            </w:pPr>
            <w:r w:rsidRPr="00723BA8">
              <w:rPr>
                <w:sz w:val="20"/>
              </w:rPr>
              <w:t>(Marcotte J.)</w:t>
            </w:r>
          </w:p>
          <w:p w:rsidR="008A3101" w:rsidRPr="00723BA8" w:rsidRDefault="008A3101" w:rsidP="002B7BFF">
            <w:pPr>
              <w:rPr>
                <w:sz w:val="20"/>
              </w:rPr>
            </w:pPr>
            <w:r w:rsidRPr="00723BA8">
              <w:rPr>
                <w:sz w:val="20"/>
              </w:rPr>
              <w:t>2010 QCCS 2822</w:t>
            </w:r>
          </w:p>
          <w:p w:rsidR="008A3101" w:rsidRPr="00723BA8" w:rsidRDefault="008A3101" w:rsidP="002B7BFF">
            <w:pPr>
              <w:rPr>
                <w:sz w:val="20"/>
              </w:rPr>
            </w:pPr>
          </w:p>
        </w:tc>
        <w:tc>
          <w:tcPr>
            <w:tcW w:w="243" w:type="pct"/>
          </w:tcPr>
          <w:p w:rsidR="008A3101" w:rsidRPr="00723BA8" w:rsidRDefault="008A3101" w:rsidP="002B7BFF">
            <w:pPr>
              <w:rPr>
                <w:sz w:val="20"/>
              </w:rPr>
            </w:pPr>
          </w:p>
        </w:tc>
        <w:tc>
          <w:tcPr>
            <w:tcW w:w="2330" w:type="pct"/>
          </w:tcPr>
          <w:p w:rsidR="008A3101" w:rsidRPr="00723BA8" w:rsidRDefault="008A3101" w:rsidP="002B7BFF">
            <w:pPr>
              <w:rPr>
                <w:sz w:val="20"/>
              </w:rPr>
            </w:pPr>
            <w:r w:rsidRPr="00723BA8">
              <w:rPr>
                <w:sz w:val="20"/>
              </w:rPr>
              <w:t xml:space="preserve">Applicant’s action dismissed </w:t>
            </w:r>
          </w:p>
        </w:tc>
      </w:tr>
      <w:tr w:rsidR="008A3101" w:rsidRPr="00723BA8" w:rsidTr="002B7BFF">
        <w:tc>
          <w:tcPr>
            <w:tcW w:w="2427" w:type="pct"/>
          </w:tcPr>
          <w:p w:rsidR="008A3101" w:rsidRPr="00723BA8" w:rsidRDefault="008A3101" w:rsidP="002B7BFF">
            <w:pPr>
              <w:rPr>
                <w:sz w:val="20"/>
              </w:rPr>
            </w:pPr>
            <w:r w:rsidRPr="00723BA8">
              <w:rPr>
                <w:sz w:val="20"/>
              </w:rPr>
              <w:t>October 25, 2010</w:t>
            </w:r>
          </w:p>
          <w:p w:rsidR="008A3101" w:rsidRPr="00723BA8" w:rsidRDefault="008A3101" w:rsidP="002B7BFF">
            <w:pPr>
              <w:rPr>
                <w:sz w:val="20"/>
              </w:rPr>
            </w:pPr>
            <w:r w:rsidRPr="00723BA8">
              <w:rPr>
                <w:sz w:val="20"/>
              </w:rPr>
              <w:t>Quebec Court of Appeal (Montréal)</w:t>
            </w:r>
          </w:p>
          <w:p w:rsidR="008A3101" w:rsidRPr="00723BA8" w:rsidRDefault="008A3101" w:rsidP="002B7BFF">
            <w:pPr>
              <w:rPr>
                <w:sz w:val="20"/>
              </w:rPr>
            </w:pPr>
            <w:r w:rsidRPr="00723BA8">
              <w:rPr>
                <w:sz w:val="20"/>
              </w:rPr>
              <w:t>(Dalphond, Kasirer and Cournoyer JJ.A.)</w:t>
            </w:r>
          </w:p>
          <w:p w:rsidR="008A3101" w:rsidRPr="00723BA8" w:rsidRDefault="008A3101" w:rsidP="002B7BFF">
            <w:pPr>
              <w:rPr>
                <w:sz w:val="20"/>
              </w:rPr>
            </w:pPr>
            <w:r w:rsidRPr="00723BA8">
              <w:rPr>
                <w:sz w:val="20"/>
              </w:rPr>
              <w:t>2010 QCCA 1965</w:t>
            </w:r>
          </w:p>
          <w:p w:rsidR="008A3101" w:rsidRPr="00723BA8" w:rsidRDefault="008A3101" w:rsidP="002B7BFF">
            <w:pPr>
              <w:rPr>
                <w:sz w:val="20"/>
              </w:rPr>
            </w:pPr>
          </w:p>
        </w:tc>
        <w:tc>
          <w:tcPr>
            <w:tcW w:w="243" w:type="pct"/>
          </w:tcPr>
          <w:p w:rsidR="008A3101" w:rsidRPr="00723BA8" w:rsidRDefault="008A3101" w:rsidP="002B7BFF">
            <w:pPr>
              <w:rPr>
                <w:sz w:val="20"/>
              </w:rPr>
            </w:pPr>
          </w:p>
        </w:tc>
        <w:tc>
          <w:tcPr>
            <w:tcW w:w="2330" w:type="pct"/>
          </w:tcPr>
          <w:p w:rsidR="008A3101" w:rsidRPr="00723BA8" w:rsidRDefault="008A3101" w:rsidP="002B7BFF">
            <w:pPr>
              <w:rPr>
                <w:sz w:val="20"/>
              </w:rPr>
            </w:pPr>
            <w:r w:rsidRPr="00723BA8">
              <w:rPr>
                <w:sz w:val="20"/>
              </w:rPr>
              <w:t xml:space="preserve">Motion to dismiss appeal allowed; appeal dismissed </w:t>
            </w:r>
          </w:p>
        </w:tc>
      </w:tr>
      <w:tr w:rsidR="008A3101" w:rsidRPr="00723BA8" w:rsidTr="002B7BFF">
        <w:tc>
          <w:tcPr>
            <w:tcW w:w="2427" w:type="pct"/>
          </w:tcPr>
          <w:p w:rsidR="008A3101" w:rsidRPr="00723BA8" w:rsidRDefault="008A3101" w:rsidP="002B7BFF">
            <w:pPr>
              <w:rPr>
                <w:sz w:val="20"/>
              </w:rPr>
            </w:pPr>
            <w:r w:rsidRPr="00723BA8">
              <w:rPr>
                <w:sz w:val="20"/>
              </w:rPr>
              <w:t>December 23, 2010</w:t>
            </w:r>
          </w:p>
          <w:p w:rsidR="008A3101" w:rsidRPr="00723BA8" w:rsidRDefault="008A3101" w:rsidP="002B7BFF">
            <w:pPr>
              <w:rPr>
                <w:sz w:val="20"/>
              </w:rPr>
            </w:pPr>
            <w:r w:rsidRPr="00723BA8">
              <w:rPr>
                <w:sz w:val="20"/>
              </w:rPr>
              <w:t>Supreme Court of Canada</w:t>
            </w:r>
          </w:p>
        </w:tc>
        <w:tc>
          <w:tcPr>
            <w:tcW w:w="243" w:type="pct"/>
          </w:tcPr>
          <w:p w:rsidR="008A3101" w:rsidRPr="00723BA8" w:rsidRDefault="008A3101" w:rsidP="002B7BFF">
            <w:pPr>
              <w:rPr>
                <w:sz w:val="20"/>
              </w:rPr>
            </w:pPr>
          </w:p>
        </w:tc>
        <w:tc>
          <w:tcPr>
            <w:tcW w:w="2330" w:type="pct"/>
          </w:tcPr>
          <w:p w:rsidR="008A3101" w:rsidRPr="00723BA8" w:rsidRDefault="008A3101" w:rsidP="002B7BFF">
            <w:pPr>
              <w:rPr>
                <w:sz w:val="20"/>
              </w:rPr>
            </w:pPr>
            <w:r w:rsidRPr="00723BA8">
              <w:rPr>
                <w:sz w:val="20"/>
              </w:rPr>
              <w:t>Application for leave to appeal filed</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2"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3101" w:rsidRPr="00E62A55" w:rsidTr="002B7BFF">
        <w:tc>
          <w:tcPr>
            <w:tcW w:w="5000" w:type="pct"/>
            <w:gridSpan w:val="3"/>
          </w:tcPr>
          <w:p w:rsidR="008A3101" w:rsidRPr="00723BA8" w:rsidRDefault="008A3101" w:rsidP="002B7BFF">
            <w:pPr>
              <w:jc w:val="both"/>
              <w:rPr>
                <w:rFonts w:eastAsia="Calibri"/>
                <w:sz w:val="20"/>
                <w:lang w:val="fr-CA"/>
              </w:rPr>
            </w:pPr>
            <w:r w:rsidRPr="00723BA8">
              <w:rPr>
                <w:rFonts w:eastAsia="Calibri"/>
                <w:sz w:val="20"/>
                <w:lang w:val="fr-CA"/>
              </w:rPr>
              <w:t xml:space="preserve">Droit municipal — Contrats — Appels d’offres — Recours — Prescription — </w:t>
            </w:r>
            <w:r w:rsidRPr="00723BA8">
              <w:rPr>
                <w:rFonts w:eastAsia="Calibri"/>
                <w:i/>
                <w:sz w:val="20"/>
                <w:lang w:val="fr-CA"/>
              </w:rPr>
              <w:t>Loi sur les cités et villes</w:t>
            </w:r>
            <w:r w:rsidRPr="00723BA8">
              <w:rPr>
                <w:rFonts w:eastAsia="Calibri"/>
                <w:sz w:val="20"/>
                <w:lang w:val="fr-CA"/>
              </w:rPr>
              <w:t>, L.R.Q., ch. C</w:t>
            </w:r>
            <w:r w:rsidRPr="00723BA8">
              <w:rPr>
                <w:rFonts w:eastAsia="Calibri"/>
                <w:sz w:val="20"/>
                <w:lang w:val="fr-CA"/>
              </w:rPr>
              <w:noBreakHyphen/>
              <w:t>19, art. 586 — Quelle est la nature du recours de la demanderesse? — Le recours de la demanderesse est</w:t>
            </w:r>
            <w:r w:rsidRPr="00723BA8">
              <w:rPr>
                <w:rFonts w:eastAsia="Calibri"/>
                <w:sz w:val="20"/>
                <w:lang w:val="fr-CA"/>
              </w:rPr>
              <w:noBreakHyphen/>
              <w:t xml:space="preserve">il fondé sur une « faute » ou « illégalité » au sens de l’art. 586 de la </w:t>
            </w:r>
            <w:r w:rsidRPr="00723BA8">
              <w:rPr>
                <w:rFonts w:eastAsia="Calibri"/>
                <w:i/>
                <w:sz w:val="20"/>
                <w:lang w:val="fr-CA"/>
              </w:rPr>
              <w:t>Loi sur les cités et villes</w:t>
            </w:r>
            <w:r w:rsidRPr="00723BA8">
              <w:rPr>
                <w:rFonts w:eastAsia="Calibri"/>
                <w:sz w:val="20"/>
                <w:lang w:val="fr-CA"/>
              </w:rPr>
              <w:t>? — Le recours de la demanderesse est</w:t>
            </w:r>
            <w:r w:rsidRPr="00723BA8">
              <w:rPr>
                <w:rFonts w:eastAsia="Calibri"/>
                <w:sz w:val="20"/>
                <w:lang w:val="fr-CA"/>
              </w:rPr>
              <w:noBreakHyphen/>
              <w:t>il prescrit?</w:t>
            </w:r>
          </w:p>
          <w:p w:rsidR="008A3101" w:rsidRPr="00723BA8" w:rsidRDefault="008A3101" w:rsidP="002B7BFF">
            <w:pPr>
              <w:jc w:val="both"/>
              <w:rPr>
                <w:rFonts w:eastAsia="Calibri"/>
                <w:sz w:val="20"/>
                <w:lang w:val="fr-CA"/>
              </w:rPr>
            </w:pPr>
          </w:p>
        </w:tc>
      </w:tr>
      <w:tr w:rsidR="008A3101" w:rsidRPr="00723BA8" w:rsidTr="002B7BFF">
        <w:tc>
          <w:tcPr>
            <w:tcW w:w="5000" w:type="pct"/>
            <w:gridSpan w:val="3"/>
          </w:tcPr>
          <w:p w:rsidR="008A3101" w:rsidRPr="00723BA8" w:rsidRDefault="008A3101" w:rsidP="002B7BFF">
            <w:pPr>
              <w:jc w:val="both"/>
              <w:rPr>
                <w:rFonts w:eastAsia="Calibri"/>
                <w:sz w:val="20"/>
                <w:lang w:val="fr-CA"/>
              </w:rPr>
            </w:pPr>
            <w:r w:rsidRPr="00723BA8">
              <w:rPr>
                <w:rFonts w:eastAsia="Calibri"/>
                <w:sz w:val="20"/>
                <w:lang w:val="fr-CA"/>
              </w:rPr>
              <w:t xml:space="preserve">La demanderesse, Service Sanitaire Morin Inc. (« S.S.M. »), entreprise spécialisée dans la récupération d’ordures ménagères, de matières recyclables et compostables, poursuit l’intimée, la Ville de Terrebonne (« Ville »), pour des dommages.  La poursuite intentée découle d’un appel d’offres lancé pour la cueillette de matière résiduelle dans certains secteurs de la Ville. Selon S.S.M., l’appel d’offres était dirigé puisqu’il favorisait uniquement les multinationales et limitait indûment la libre concurrence par l’imposition de plusieurs conditions excessives au cahier des charges spécifiques, dont notamment l’exigence de détenir un nombre important de camions robotisés au moment de soumissionner.  La Cour supérieure rejette l’action de S.S.M. au motif que son recours est prescrit en vertu de l’art. 586 de la </w:t>
            </w:r>
            <w:r w:rsidRPr="00723BA8">
              <w:rPr>
                <w:rFonts w:eastAsia="Calibri"/>
                <w:i/>
                <w:sz w:val="20"/>
                <w:lang w:val="fr-CA"/>
              </w:rPr>
              <w:t>Loi sur les cités et villes</w:t>
            </w:r>
            <w:r w:rsidRPr="00723BA8">
              <w:rPr>
                <w:rFonts w:eastAsia="Calibri"/>
                <w:sz w:val="20"/>
                <w:lang w:val="fr-CA"/>
              </w:rPr>
              <w:t>.  La Cour d’appel rejette sommairement l’appel.</w:t>
            </w:r>
          </w:p>
          <w:p w:rsidR="008A3101" w:rsidRPr="00723BA8" w:rsidRDefault="008A3101" w:rsidP="002B7BFF">
            <w:pPr>
              <w:jc w:val="both"/>
              <w:rPr>
                <w:rFonts w:eastAsia="Calibri"/>
                <w:sz w:val="20"/>
                <w:lang w:val="fr-CA"/>
              </w:rPr>
            </w:pPr>
          </w:p>
        </w:tc>
      </w:tr>
      <w:tr w:rsidR="008A3101" w:rsidRPr="00E62A55"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t>Le 28 juin 2010</w:t>
            </w:r>
          </w:p>
          <w:p w:rsidR="008A3101" w:rsidRPr="00723BA8" w:rsidRDefault="008A3101" w:rsidP="002B7BFF">
            <w:pPr>
              <w:jc w:val="both"/>
              <w:rPr>
                <w:rFonts w:eastAsia="Calibri"/>
                <w:sz w:val="20"/>
                <w:lang w:val="fr-CA"/>
              </w:rPr>
            </w:pPr>
            <w:r w:rsidRPr="00723BA8">
              <w:rPr>
                <w:rFonts w:eastAsia="Calibri"/>
                <w:sz w:val="20"/>
                <w:lang w:val="fr-CA"/>
              </w:rPr>
              <w:t>Cour supérieure du Québec</w:t>
            </w:r>
          </w:p>
          <w:p w:rsidR="008A3101" w:rsidRPr="00723BA8" w:rsidRDefault="008A3101" w:rsidP="002B7BFF">
            <w:pPr>
              <w:jc w:val="both"/>
              <w:rPr>
                <w:rFonts w:eastAsia="Calibri"/>
                <w:sz w:val="20"/>
                <w:lang w:val="fr-CA"/>
              </w:rPr>
            </w:pPr>
            <w:r w:rsidRPr="00723BA8">
              <w:rPr>
                <w:rFonts w:eastAsia="Calibri"/>
                <w:sz w:val="20"/>
                <w:lang w:val="fr-CA"/>
              </w:rPr>
              <w:t>(La juge Marcotte)</w:t>
            </w:r>
          </w:p>
          <w:p w:rsidR="008A3101" w:rsidRPr="00723BA8" w:rsidRDefault="008A3101" w:rsidP="002B7BFF">
            <w:pPr>
              <w:jc w:val="both"/>
              <w:rPr>
                <w:rFonts w:eastAsia="Calibri"/>
                <w:sz w:val="20"/>
                <w:lang w:val="fr-CA"/>
              </w:rPr>
            </w:pPr>
            <w:r w:rsidRPr="00723BA8">
              <w:rPr>
                <w:rFonts w:eastAsia="Calibri"/>
                <w:sz w:val="20"/>
                <w:lang w:val="fr-CA"/>
              </w:rPr>
              <w:t>2010 QCCS 2822</w:t>
            </w:r>
          </w:p>
          <w:p w:rsidR="008A3101" w:rsidRPr="00723BA8" w:rsidRDefault="008A3101" w:rsidP="002B7BFF">
            <w:pPr>
              <w:jc w:val="both"/>
              <w:rPr>
                <w:rFonts w:eastAsia="Calibri"/>
                <w:sz w:val="20"/>
              </w:rPr>
            </w:pPr>
          </w:p>
        </w:tc>
        <w:tc>
          <w:tcPr>
            <w:tcW w:w="243" w:type="pct"/>
          </w:tcPr>
          <w:p w:rsidR="008A3101" w:rsidRPr="00723BA8" w:rsidRDefault="008A3101" w:rsidP="002B7BFF">
            <w:pPr>
              <w:jc w:val="both"/>
              <w:rPr>
                <w:rFonts w:eastAsia="Calibri"/>
                <w:sz w:val="20"/>
              </w:rPr>
            </w:pPr>
          </w:p>
        </w:tc>
        <w:tc>
          <w:tcPr>
            <w:tcW w:w="2330" w:type="pct"/>
          </w:tcPr>
          <w:p w:rsidR="008A3101" w:rsidRPr="00723BA8" w:rsidRDefault="008A3101" w:rsidP="002B7BFF">
            <w:pPr>
              <w:jc w:val="both"/>
              <w:rPr>
                <w:rFonts w:eastAsia="Calibri"/>
                <w:sz w:val="20"/>
                <w:lang w:val="fr-CA"/>
              </w:rPr>
            </w:pPr>
            <w:r w:rsidRPr="00723BA8">
              <w:rPr>
                <w:rFonts w:eastAsia="Calibri"/>
                <w:sz w:val="20"/>
                <w:lang w:val="fr-CA"/>
              </w:rPr>
              <w:t xml:space="preserve">Action de la demanderesse rejetée </w:t>
            </w:r>
          </w:p>
        </w:tc>
      </w:tr>
      <w:tr w:rsidR="008A3101" w:rsidRPr="00E62A55"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lastRenderedPageBreak/>
              <w:t>Le 25 octobre 2010</w:t>
            </w:r>
          </w:p>
          <w:p w:rsidR="008A3101" w:rsidRPr="00723BA8" w:rsidRDefault="008A3101" w:rsidP="002B7BFF">
            <w:pPr>
              <w:jc w:val="both"/>
              <w:rPr>
                <w:rFonts w:eastAsia="Calibri"/>
                <w:sz w:val="20"/>
                <w:lang w:val="fr-CA"/>
              </w:rPr>
            </w:pPr>
            <w:r w:rsidRPr="00723BA8">
              <w:rPr>
                <w:rFonts w:eastAsia="Calibri"/>
                <w:sz w:val="20"/>
                <w:lang w:val="fr-CA"/>
              </w:rPr>
              <w:t>Cour d’appel du Québec (Montréal)</w:t>
            </w:r>
          </w:p>
          <w:p w:rsidR="008A3101" w:rsidRPr="00723BA8" w:rsidRDefault="008A3101" w:rsidP="002B7BFF">
            <w:pPr>
              <w:jc w:val="both"/>
              <w:rPr>
                <w:rFonts w:eastAsia="Calibri"/>
                <w:sz w:val="20"/>
                <w:lang w:val="fr-CA"/>
              </w:rPr>
            </w:pPr>
            <w:r w:rsidRPr="00723BA8">
              <w:rPr>
                <w:rFonts w:eastAsia="Calibri"/>
                <w:sz w:val="20"/>
                <w:lang w:val="fr-CA"/>
              </w:rPr>
              <w:t>(Les juges Dalphond, Kasirer et Cournoyer)</w:t>
            </w:r>
          </w:p>
          <w:p w:rsidR="008A3101" w:rsidRPr="00723BA8" w:rsidRDefault="008A3101" w:rsidP="002B7BFF">
            <w:pPr>
              <w:jc w:val="both"/>
              <w:rPr>
                <w:rFonts w:eastAsia="Calibri"/>
                <w:sz w:val="20"/>
                <w:lang w:val="fr-CA"/>
              </w:rPr>
            </w:pPr>
            <w:r w:rsidRPr="00723BA8">
              <w:rPr>
                <w:rFonts w:eastAsia="Calibri"/>
                <w:sz w:val="20"/>
                <w:lang w:val="fr-CA"/>
              </w:rPr>
              <w:t>2010 QCCA 1965</w:t>
            </w:r>
          </w:p>
          <w:p w:rsidR="008A3101" w:rsidRPr="00723BA8" w:rsidRDefault="008A3101" w:rsidP="002B7BFF">
            <w:pPr>
              <w:jc w:val="both"/>
              <w:rPr>
                <w:rFonts w:eastAsia="Calibri"/>
                <w:sz w:val="20"/>
                <w:lang w:val="fr-CA"/>
              </w:rPr>
            </w:pPr>
          </w:p>
        </w:tc>
        <w:tc>
          <w:tcPr>
            <w:tcW w:w="243" w:type="pct"/>
          </w:tcPr>
          <w:p w:rsidR="008A3101" w:rsidRPr="00723BA8" w:rsidRDefault="008A3101" w:rsidP="002B7BFF">
            <w:pPr>
              <w:jc w:val="both"/>
              <w:rPr>
                <w:rFonts w:eastAsia="Calibri"/>
                <w:sz w:val="20"/>
                <w:lang w:val="fr-CA"/>
              </w:rPr>
            </w:pPr>
          </w:p>
        </w:tc>
        <w:tc>
          <w:tcPr>
            <w:tcW w:w="2330" w:type="pct"/>
          </w:tcPr>
          <w:p w:rsidR="008A3101" w:rsidRPr="00723BA8" w:rsidRDefault="008A3101" w:rsidP="002B7BFF">
            <w:pPr>
              <w:jc w:val="both"/>
              <w:rPr>
                <w:rFonts w:eastAsia="Calibri"/>
                <w:sz w:val="20"/>
                <w:lang w:val="fr-CA"/>
              </w:rPr>
            </w:pPr>
            <w:r w:rsidRPr="00723BA8">
              <w:rPr>
                <w:rFonts w:eastAsia="Calibri"/>
                <w:sz w:val="20"/>
                <w:lang w:val="fr-CA"/>
              </w:rPr>
              <w:t xml:space="preserve">Requête en rejet d’appel accueillie; appel rejeté </w:t>
            </w:r>
          </w:p>
        </w:tc>
      </w:tr>
      <w:tr w:rsidR="008A3101" w:rsidRPr="00723BA8" w:rsidTr="002B7BFF">
        <w:tc>
          <w:tcPr>
            <w:tcW w:w="2427" w:type="pct"/>
          </w:tcPr>
          <w:p w:rsidR="008A3101" w:rsidRPr="00723BA8" w:rsidRDefault="008A3101" w:rsidP="002B7BFF">
            <w:pPr>
              <w:jc w:val="both"/>
              <w:rPr>
                <w:rFonts w:eastAsia="Calibri"/>
                <w:sz w:val="20"/>
                <w:lang w:val="fr-CA"/>
              </w:rPr>
            </w:pPr>
            <w:r w:rsidRPr="00723BA8">
              <w:rPr>
                <w:rFonts w:eastAsia="Calibri"/>
                <w:sz w:val="20"/>
                <w:lang w:val="fr-CA"/>
              </w:rPr>
              <w:t>Le 23 décembre 2010</w:t>
            </w:r>
          </w:p>
          <w:p w:rsidR="008A3101" w:rsidRPr="00723BA8" w:rsidRDefault="008A3101" w:rsidP="002B7BFF">
            <w:pPr>
              <w:jc w:val="both"/>
              <w:rPr>
                <w:rFonts w:eastAsia="Calibri"/>
                <w:sz w:val="20"/>
                <w:lang w:val="fr-CA"/>
              </w:rPr>
            </w:pPr>
            <w:r w:rsidRPr="00723BA8">
              <w:rPr>
                <w:rFonts w:eastAsia="Calibri"/>
                <w:sz w:val="20"/>
                <w:lang w:val="fr-CA"/>
              </w:rPr>
              <w:t>Cour suprême du Canada</w:t>
            </w:r>
          </w:p>
        </w:tc>
        <w:tc>
          <w:tcPr>
            <w:tcW w:w="243" w:type="pct"/>
          </w:tcPr>
          <w:p w:rsidR="008A3101" w:rsidRPr="00723BA8" w:rsidRDefault="008A3101" w:rsidP="002B7BFF">
            <w:pPr>
              <w:jc w:val="both"/>
              <w:rPr>
                <w:rFonts w:eastAsia="Calibri"/>
                <w:sz w:val="20"/>
                <w:lang w:val="fr-CA"/>
              </w:rPr>
            </w:pPr>
          </w:p>
        </w:tc>
        <w:tc>
          <w:tcPr>
            <w:tcW w:w="2330" w:type="pct"/>
          </w:tcPr>
          <w:p w:rsidR="008A3101" w:rsidRPr="00723BA8" w:rsidRDefault="008A3101" w:rsidP="002B7BFF">
            <w:pPr>
              <w:jc w:val="both"/>
              <w:rPr>
                <w:rFonts w:eastAsia="Calibri"/>
                <w:sz w:val="20"/>
                <w:lang w:val="fr-CA"/>
              </w:rPr>
            </w:pPr>
            <w:r w:rsidRPr="00723BA8">
              <w:rPr>
                <w:rFonts w:eastAsia="Calibri"/>
                <w:sz w:val="20"/>
                <w:lang w:val="fr-CA"/>
              </w:rPr>
              <w:t>Demande d'autorisation d'appel déposée</w:t>
            </w:r>
          </w:p>
          <w:p w:rsidR="008A3101" w:rsidRPr="00723BA8" w:rsidRDefault="008A3101"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3"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Style w:val="SCCFileNumberChar"/>
                <w:sz w:val="20"/>
                <w:szCs w:val="20"/>
              </w:rPr>
              <w:t>34017</w:t>
            </w:r>
          </w:p>
          <w:p w:rsidR="00C82EBC" w:rsidRPr="00FF441F" w:rsidRDefault="00C82EBC" w:rsidP="00E816E1">
            <w:pPr>
              <w:rPr>
                <w:rFonts w:cs="Times New Roman"/>
                <w:b/>
                <w:sz w:val="20"/>
                <w:szCs w:val="20"/>
                <w:lang w:val="fr-CA"/>
              </w:rPr>
            </w:pPr>
          </w:p>
        </w:tc>
        <w:tc>
          <w:tcPr>
            <w:tcW w:w="8118" w:type="dxa"/>
          </w:tcPr>
          <w:p w:rsidR="00C82EBC" w:rsidRPr="00FF441F" w:rsidRDefault="00C82EBC" w:rsidP="00E816E1">
            <w:pPr>
              <w:jc w:val="both"/>
              <w:rPr>
                <w:rFonts w:cs="Times New Roman"/>
                <w:sz w:val="20"/>
                <w:szCs w:val="20"/>
              </w:rPr>
            </w:pPr>
            <w:r w:rsidRPr="00C82EBC">
              <w:rPr>
                <w:rStyle w:val="SCCLsocChar"/>
                <w:rFonts w:cs="Times New Roman"/>
                <w:sz w:val="20"/>
                <w:szCs w:val="20"/>
                <w:lang w:val="en-CA"/>
              </w:rPr>
              <w:t>Nazarinia Holdings Inc.</w:t>
            </w:r>
            <w:r w:rsidRPr="00C82EBC">
              <w:rPr>
                <w:rStyle w:val="SCCLsocChar"/>
                <w:rFonts w:cs="Times New Roman"/>
                <w:szCs w:val="20"/>
                <w:lang w:val="en-CA"/>
              </w:rPr>
              <w:t xml:space="preserve"> and</w:t>
            </w:r>
            <w:r w:rsidRPr="00C82EBC">
              <w:rPr>
                <w:rStyle w:val="SCCLsocChar"/>
                <w:rFonts w:cs="Times New Roman"/>
                <w:sz w:val="20"/>
                <w:szCs w:val="20"/>
                <w:lang w:val="en-CA"/>
              </w:rPr>
              <w:t xml:space="preserve"> Reza Nazarinia v. 2049080 Ontario Inc., (d.b.a. J.W. Car Care), Joseph Wilson and Moira Wright</w:t>
            </w:r>
            <w:r w:rsidRPr="00FF441F">
              <w:rPr>
                <w:rFonts w:cs="Times New Roman"/>
                <w:sz w:val="20"/>
                <w:szCs w:val="20"/>
              </w:rPr>
              <w:t xml:space="preserve"> (Ont.) (Civil) (By Leave)</w:t>
            </w:r>
          </w:p>
          <w:p w:rsidR="00C82EBC" w:rsidRPr="00FF441F" w:rsidRDefault="00C82EBC" w:rsidP="00E816E1">
            <w:pPr>
              <w:jc w:val="both"/>
              <w:rPr>
                <w:rFonts w:cs="Times New Roman"/>
                <w:sz w:val="20"/>
                <w:szCs w:val="20"/>
              </w:rPr>
            </w:pPr>
          </w:p>
        </w:tc>
      </w:tr>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Fonts w:cs="Times New Roman"/>
                <w:sz w:val="20"/>
                <w:szCs w:val="20"/>
              </w:rPr>
              <w:t>Coram :</w:t>
            </w:r>
          </w:p>
        </w:tc>
        <w:tc>
          <w:tcPr>
            <w:tcW w:w="8118" w:type="dxa"/>
          </w:tcPr>
          <w:p w:rsidR="00C82EBC" w:rsidRPr="00FF441F" w:rsidRDefault="00C82EBC" w:rsidP="00E816E1">
            <w:pPr>
              <w:rPr>
                <w:rFonts w:cs="Times New Roman"/>
                <w:sz w:val="20"/>
                <w:szCs w:val="20"/>
              </w:rPr>
            </w:pPr>
            <w:r w:rsidRPr="00C82EBC">
              <w:rPr>
                <w:rStyle w:val="SCCCoramChar"/>
                <w:rFonts w:cs="Times New Roman"/>
                <w:sz w:val="20"/>
                <w:szCs w:val="20"/>
                <w:lang w:val="en-CA"/>
              </w:rPr>
              <w:t>Binnie, Fish and Rothstein JJ.</w:t>
            </w:r>
          </w:p>
          <w:p w:rsidR="00C82EBC" w:rsidRPr="00FF441F" w:rsidRDefault="00C82EBC" w:rsidP="00E816E1">
            <w:pPr>
              <w:rPr>
                <w:rFonts w:cs="Times New Roman"/>
                <w:sz w:val="20"/>
                <w:szCs w:val="20"/>
                <w:u w:val="single"/>
              </w:rPr>
            </w:pPr>
          </w:p>
        </w:tc>
      </w:tr>
      <w:tr w:rsidR="00C82EBC" w:rsidRPr="00E62A55" w:rsidTr="00E816E1">
        <w:trPr>
          <w:cantSplit/>
        </w:trPr>
        <w:tc>
          <w:tcPr>
            <w:tcW w:w="9576" w:type="dxa"/>
            <w:gridSpan w:val="2"/>
          </w:tcPr>
          <w:p w:rsidR="00C82EBC" w:rsidRPr="00FF441F" w:rsidRDefault="00C82EBC" w:rsidP="00E816E1">
            <w:pPr>
              <w:pStyle w:val="SCCShortJudgment"/>
              <w:rPr>
                <w:rFonts w:cs="Times New Roman"/>
                <w:szCs w:val="20"/>
              </w:rPr>
            </w:pPr>
            <w:r w:rsidRPr="00FF441F">
              <w:rPr>
                <w:rFonts w:cs="Times New Roman"/>
                <w:szCs w:val="20"/>
              </w:rPr>
              <w:t>The application for leave to appeal from the judgment of the Court of Appeal for Ontario, Number C51969, 2010 ONCA 739, dated November 4, 2010, is dismissed with costs in accordance with the Tariff in Schedule B.</w:t>
            </w:r>
          </w:p>
          <w:p w:rsidR="00C82EBC" w:rsidRPr="00FF441F" w:rsidRDefault="00C82EBC" w:rsidP="00E816E1">
            <w:pPr>
              <w:pStyle w:val="SCCShortJudgment"/>
              <w:ind w:firstLine="0"/>
              <w:rPr>
                <w:rFonts w:cs="Times New Roman"/>
                <w:szCs w:val="20"/>
              </w:rPr>
            </w:pPr>
          </w:p>
          <w:p w:rsidR="00C82EBC" w:rsidRPr="00FF441F" w:rsidRDefault="00C82EBC" w:rsidP="00E816E1">
            <w:pPr>
              <w:pStyle w:val="SCCShortJudgment"/>
              <w:rPr>
                <w:rFonts w:cs="Times New Roman"/>
                <w:szCs w:val="20"/>
                <w:lang w:val="fr-CA"/>
              </w:rPr>
            </w:pPr>
            <w:r w:rsidRPr="00FF441F">
              <w:rPr>
                <w:rFonts w:cs="Times New Roman"/>
                <w:szCs w:val="20"/>
                <w:lang w:val="fr-CA"/>
              </w:rPr>
              <w:t>La demande d’autorisation d’appel de l’arrêt de la Cour d’appel de l’Ontario, numéro C51969, 2010 ONCA 739, daté du 4 novembre 2010, est rejetée avec dépens selon le montant qui sera établi conformément au Tarif à l’annexe B.</w:t>
            </w:r>
          </w:p>
        </w:tc>
      </w:tr>
    </w:tbl>
    <w:p w:rsidR="008A3101" w:rsidRPr="00C82EBC" w:rsidRDefault="008A3101"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2B7BFF" w:rsidRPr="00723BA8" w:rsidTr="002B7BFF">
        <w:tc>
          <w:tcPr>
            <w:tcW w:w="5000" w:type="pct"/>
            <w:gridSpan w:val="3"/>
          </w:tcPr>
          <w:p w:rsidR="002B7BFF" w:rsidRPr="00723BA8" w:rsidRDefault="002B7BFF" w:rsidP="002B7BFF">
            <w:pPr>
              <w:jc w:val="both"/>
              <w:rPr>
                <w:sz w:val="20"/>
              </w:rPr>
            </w:pPr>
            <w:r w:rsidRPr="00723BA8">
              <w:rPr>
                <w:sz w:val="20"/>
              </w:rPr>
              <w:t xml:space="preserve">Commercial law – Franchises </w:t>
            </w:r>
            <w:proofErr w:type="gramStart"/>
            <w:r w:rsidRPr="00723BA8">
              <w:rPr>
                <w:sz w:val="20"/>
              </w:rPr>
              <w:t>–  Franchise</w:t>
            </w:r>
            <w:proofErr w:type="gramEnd"/>
            <w:r w:rsidRPr="00723BA8">
              <w:rPr>
                <w:sz w:val="20"/>
              </w:rPr>
              <w:t xml:space="preserve"> agreements – Arbitration clause -- Whether the franchisors may rely on the arbitration clause in the franchise agreement notwithstanding that allegedly: the franchisees were induced to enter into the franchise agreement by material misrepresentations; there was a mistake going to the root of the contract; and the franchisors failed to comply with statutory disclosure requirements.</w:t>
            </w:r>
          </w:p>
          <w:p w:rsidR="002B7BFF" w:rsidRPr="00723BA8" w:rsidRDefault="002B7BFF" w:rsidP="002B7BFF">
            <w:pPr>
              <w:jc w:val="both"/>
              <w:rPr>
                <w:sz w:val="20"/>
              </w:rPr>
            </w:pPr>
          </w:p>
        </w:tc>
      </w:tr>
      <w:tr w:rsidR="002B7BFF" w:rsidRPr="00723BA8" w:rsidTr="002B7BFF">
        <w:tc>
          <w:tcPr>
            <w:tcW w:w="5000" w:type="pct"/>
            <w:gridSpan w:val="3"/>
          </w:tcPr>
          <w:p w:rsidR="002B7BFF" w:rsidRPr="00723BA8" w:rsidRDefault="002B7BFF" w:rsidP="002B7BFF">
            <w:pPr>
              <w:jc w:val="both"/>
              <w:rPr>
                <w:sz w:val="20"/>
              </w:rPr>
            </w:pPr>
            <w:r w:rsidRPr="00723BA8">
              <w:rPr>
                <w:sz w:val="20"/>
              </w:rPr>
              <w:t>In 2008, the Applicant, Mr. Nazarinia, had discussions with the Respondent, Mr. Wilson, with a view to obtaining a franchise of the car wash business operated by the Respondents.  It was proposed that Mr. Nazarinia would, through his company Nazarinia Holdings Inc., acquire a “master franchise” from 2049080 Ontario Inc. for the province of British Columbia.  The price was to be $495,000 and there was to be an initial payment of $100,000.  On June 25, 2008, a “Master Franchise Agreement for the Province of British Columbia” was executed on behalf of the corporate parties.  In signing the agreement on behalf of the corporate Respondent, Mr. Wilson described himself as “Director” and underneath his signature it was stated “I have the authority to Bind the Corporation”.  Recognizing that the grant of the franchise rights in British Columbia was contingent on resolving issues with the incumbent, the Franchise Agreement stated: “[t]he Master Franchisor may cancel the rights to British Columbia within 150 days of the signing of this contract and replace them for rights to the territory of Alberta, along with a management contract for British Columbia, at its sole discretion.”  The Applicant corporation paid the sum of $100,000 to the franchisor.  The sum of $10,000 was paid in May, 2008 when Mr. Nazarinia signed the letter of intent and the balance was paid when he signed the Franchise Agreement.</w:t>
            </w:r>
          </w:p>
          <w:p w:rsidR="002B7BFF" w:rsidRPr="00723BA8" w:rsidRDefault="002B7BFF" w:rsidP="002B7BFF">
            <w:pPr>
              <w:jc w:val="both"/>
              <w:rPr>
                <w:sz w:val="20"/>
              </w:rPr>
            </w:pPr>
          </w:p>
          <w:p w:rsidR="002B7BFF" w:rsidRPr="00723BA8" w:rsidRDefault="002B7BFF" w:rsidP="002B7BFF">
            <w:pPr>
              <w:jc w:val="both"/>
              <w:rPr>
                <w:sz w:val="20"/>
              </w:rPr>
            </w:pPr>
            <w:r w:rsidRPr="00723BA8">
              <w:rPr>
                <w:sz w:val="20"/>
              </w:rPr>
              <w:t xml:space="preserve">The relationship between the parties deteriorated and the Applicant, Mr. Nazarinia, commenced an action against the Respondents on December 15, 2008.  His statement of claim sought remedies under the </w:t>
            </w:r>
            <w:r w:rsidRPr="00723BA8">
              <w:rPr>
                <w:i/>
                <w:sz w:val="20"/>
              </w:rPr>
              <w:t>Arthur Wishart Act (Franchise Disclosure) 2000</w:t>
            </w:r>
            <w:r w:rsidRPr="00723BA8">
              <w:rPr>
                <w:sz w:val="20"/>
              </w:rPr>
              <w:t>, S.O. 2000, c. 3 (the “</w:t>
            </w:r>
            <w:r w:rsidRPr="00723BA8">
              <w:rPr>
                <w:i/>
                <w:sz w:val="20"/>
              </w:rPr>
              <w:t>AWA</w:t>
            </w:r>
            <w:r w:rsidRPr="00723BA8">
              <w:rPr>
                <w:sz w:val="20"/>
              </w:rPr>
              <w:t xml:space="preserve">”), including rescission and damages for “reckless and/or negligent misrepresentations” and for breach of the duty of fair dealing and the “duty to act in good faith and in a commercially reasonable manner”.  The Applicants plead that the Franchise Agreement was void </w:t>
            </w:r>
            <w:r w:rsidRPr="00723BA8">
              <w:rPr>
                <w:i/>
                <w:sz w:val="20"/>
              </w:rPr>
              <w:t>ab initio</w:t>
            </w:r>
            <w:r w:rsidRPr="00723BA8">
              <w:rPr>
                <w:sz w:val="20"/>
              </w:rPr>
              <w:t xml:space="preserve"> because the respondents failed to make appropriate disclosure and because Mr. Wilson did not have the requisite authority to sign the Franchise Agreement.   The Respondents brought a motion to stay the court action on the basis that the Franchise Agreement contained a mandatory arbitration agreement and the nature of the dispute fell squarely within that arbitration </w:t>
            </w:r>
            <w:r w:rsidRPr="00723BA8">
              <w:rPr>
                <w:sz w:val="20"/>
              </w:rPr>
              <w:lastRenderedPageBreak/>
              <w:t>agreement.</w:t>
            </w:r>
          </w:p>
          <w:p w:rsidR="002B7BFF" w:rsidRPr="00723BA8" w:rsidRDefault="002B7BFF" w:rsidP="002B7BFF">
            <w:pPr>
              <w:jc w:val="both"/>
              <w:rPr>
                <w:sz w:val="20"/>
              </w:rPr>
            </w:pPr>
          </w:p>
          <w:p w:rsidR="002B7BFF" w:rsidRPr="00723BA8" w:rsidRDefault="002B7BFF" w:rsidP="002B7BFF">
            <w:pPr>
              <w:jc w:val="both"/>
              <w:rPr>
                <w:sz w:val="20"/>
              </w:rPr>
            </w:pPr>
            <w:r w:rsidRPr="00723BA8">
              <w:rPr>
                <w:sz w:val="20"/>
              </w:rPr>
              <w:t xml:space="preserve">The motions judge granted the stay of the court proceedings, finding that the arbitration clause was valid within the meaning of the </w:t>
            </w:r>
            <w:r w:rsidRPr="00723BA8">
              <w:rPr>
                <w:i/>
                <w:sz w:val="20"/>
              </w:rPr>
              <w:t>Arbitration Act</w:t>
            </w:r>
            <w:r w:rsidRPr="00723BA8">
              <w:rPr>
                <w:sz w:val="20"/>
              </w:rPr>
              <w:t xml:space="preserve">, </w:t>
            </w:r>
            <w:r w:rsidRPr="00723BA8">
              <w:rPr>
                <w:i/>
                <w:sz w:val="20"/>
              </w:rPr>
              <w:t>1991</w:t>
            </w:r>
            <w:r w:rsidRPr="00723BA8">
              <w:rPr>
                <w:sz w:val="20"/>
              </w:rPr>
              <w:t>, S.O. 1991, c. 17, and the dispute fell within the broad scope of its terms.  The Court of Appeal dismissed the Applicant’s appeal.</w:t>
            </w:r>
          </w:p>
          <w:p w:rsidR="002B7BFF" w:rsidRPr="00723BA8" w:rsidRDefault="002B7BFF" w:rsidP="002B7BFF">
            <w:pPr>
              <w:jc w:val="both"/>
              <w:rPr>
                <w:sz w:val="20"/>
              </w:rPr>
            </w:pPr>
          </w:p>
        </w:tc>
      </w:tr>
      <w:tr w:rsidR="002B7BFF" w:rsidRPr="00723BA8" w:rsidTr="002B7BFF">
        <w:tc>
          <w:tcPr>
            <w:tcW w:w="2427" w:type="pct"/>
          </w:tcPr>
          <w:p w:rsidR="002B7BFF" w:rsidRPr="00723BA8" w:rsidRDefault="002B7BFF" w:rsidP="002B7BFF">
            <w:pPr>
              <w:rPr>
                <w:sz w:val="20"/>
              </w:rPr>
            </w:pPr>
            <w:r w:rsidRPr="00723BA8">
              <w:rPr>
                <w:sz w:val="20"/>
              </w:rPr>
              <w:lastRenderedPageBreak/>
              <w:t>March 25, 2010</w:t>
            </w:r>
          </w:p>
          <w:p w:rsidR="002B7BFF" w:rsidRPr="00723BA8" w:rsidRDefault="002B7BFF" w:rsidP="002B7BFF">
            <w:pPr>
              <w:rPr>
                <w:sz w:val="20"/>
              </w:rPr>
            </w:pPr>
            <w:r w:rsidRPr="00723BA8">
              <w:rPr>
                <w:sz w:val="20"/>
              </w:rPr>
              <w:t>Ontario Superior Court of Justice</w:t>
            </w:r>
          </w:p>
          <w:p w:rsidR="002B7BFF" w:rsidRPr="00723BA8" w:rsidRDefault="002B7BFF" w:rsidP="002B7BFF">
            <w:pPr>
              <w:rPr>
                <w:sz w:val="20"/>
              </w:rPr>
            </w:pPr>
            <w:r w:rsidRPr="00723BA8">
              <w:rPr>
                <w:sz w:val="20"/>
              </w:rPr>
              <w:t>(Strathy J.)</w:t>
            </w:r>
          </w:p>
          <w:p w:rsidR="002B7BFF" w:rsidRPr="00723BA8" w:rsidRDefault="002B7BFF" w:rsidP="002B7BFF">
            <w:pPr>
              <w:rPr>
                <w:sz w:val="20"/>
              </w:rPr>
            </w:pPr>
            <w:r w:rsidRPr="00723BA8">
              <w:rPr>
                <w:sz w:val="20"/>
              </w:rPr>
              <w:t>Neutral citation: 2010 ONSC 1766</w:t>
            </w:r>
          </w:p>
          <w:p w:rsidR="002B7BFF" w:rsidRPr="00723BA8" w:rsidRDefault="002B7BFF" w:rsidP="002B7BFF">
            <w:pPr>
              <w:rPr>
                <w:sz w:val="20"/>
              </w:rPr>
            </w:pPr>
            <w:r w:rsidRPr="00723BA8">
              <w:rPr>
                <w:sz w:val="20"/>
              </w:rPr>
              <w:t>Neutral citation (costs endorsement dated April 30, 2010): 2010 ONSC 2559</w:t>
            </w:r>
          </w:p>
          <w:p w:rsidR="002B7BFF" w:rsidRPr="00723BA8" w:rsidRDefault="002B7BFF" w:rsidP="002B7BFF">
            <w:pPr>
              <w:rPr>
                <w:sz w:val="20"/>
              </w:rPr>
            </w:pPr>
          </w:p>
        </w:tc>
        <w:tc>
          <w:tcPr>
            <w:tcW w:w="243" w:type="pct"/>
          </w:tcPr>
          <w:p w:rsidR="002B7BFF" w:rsidRPr="00723BA8" w:rsidRDefault="002B7BFF" w:rsidP="002B7BFF">
            <w:pPr>
              <w:rPr>
                <w:sz w:val="20"/>
              </w:rPr>
            </w:pPr>
          </w:p>
        </w:tc>
        <w:tc>
          <w:tcPr>
            <w:tcW w:w="2330" w:type="pct"/>
          </w:tcPr>
          <w:p w:rsidR="002B7BFF" w:rsidRPr="00723BA8" w:rsidRDefault="002B7BFF" w:rsidP="002B7BFF">
            <w:pPr>
              <w:jc w:val="both"/>
              <w:rPr>
                <w:sz w:val="20"/>
              </w:rPr>
            </w:pPr>
            <w:r w:rsidRPr="00723BA8">
              <w:rPr>
                <w:sz w:val="20"/>
              </w:rPr>
              <w:t>Respondent’s motion granted; Action stayed.</w:t>
            </w:r>
          </w:p>
          <w:p w:rsidR="002B7BFF" w:rsidRPr="00723BA8" w:rsidRDefault="002B7BFF" w:rsidP="002B7BFF">
            <w:pPr>
              <w:jc w:val="both"/>
              <w:rPr>
                <w:sz w:val="20"/>
              </w:rPr>
            </w:pPr>
            <w:r w:rsidRPr="00723BA8">
              <w:rPr>
                <w:sz w:val="20"/>
              </w:rPr>
              <w:t>Costs awarded to the Respondents on a substantial indemnity basis.</w:t>
            </w:r>
          </w:p>
        </w:tc>
      </w:tr>
      <w:tr w:rsidR="002B7BFF" w:rsidRPr="00723BA8" w:rsidTr="002B7BFF">
        <w:tc>
          <w:tcPr>
            <w:tcW w:w="2427" w:type="pct"/>
          </w:tcPr>
          <w:p w:rsidR="002B7BFF" w:rsidRPr="00723BA8" w:rsidRDefault="002B7BFF" w:rsidP="002B7BFF">
            <w:pPr>
              <w:rPr>
                <w:sz w:val="20"/>
              </w:rPr>
            </w:pPr>
            <w:r w:rsidRPr="00723BA8">
              <w:rPr>
                <w:sz w:val="20"/>
              </w:rPr>
              <w:t>November 4, 2010</w:t>
            </w:r>
          </w:p>
          <w:p w:rsidR="002B7BFF" w:rsidRPr="00723BA8" w:rsidRDefault="002B7BFF" w:rsidP="002B7BFF">
            <w:pPr>
              <w:rPr>
                <w:sz w:val="20"/>
              </w:rPr>
            </w:pPr>
            <w:r w:rsidRPr="00723BA8">
              <w:rPr>
                <w:sz w:val="20"/>
              </w:rPr>
              <w:t>Court of Appeal for Ontario</w:t>
            </w:r>
          </w:p>
          <w:p w:rsidR="002B7BFF" w:rsidRPr="00723BA8" w:rsidRDefault="002B7BFF" w:rsidP="002B7BFF">
            <w:pPr>
              <w:rPr>
                <w:sz w:val="20"/>
              </w:rPr>
            </w:pPr>
            <w:r w:rsidRPr="00723BA8">
              <w:rPr>
                <w:sz w:val="20"/>
              </w:rPr>
              <w:t>(Rosenberg, MacPherson and LaForme JJ.A.)</w:t>
            </w:r>
          </w:p>
          <w:p w:rsidR="002B7BFF" w:rsidRPr="00723BA8" w:rsidRDefault="002B7BFF" w:rsidP="002B7BFF">
            <w:pPr>
              <w:rPr>
                <w:sz w:val="20"/>
              </w:rPr>
            </w:pPr>
            <w:r w:rsidRPr="00723BA8">
              <w:rPr>
                <w:sz w:val="20"/>
              </w:rPr>
              <w:t>Neutral citation: 2010 ONCA 739</w:t>
            </w:r>
          </w:p>
          <w:p w:rsidR="002B7BFF" w:rsidRPr="00723BA8" w:rsidRDefault="002B7BFF" w:rsidP="002B7BFF">
            <w:pPr>
              <w:rPr>
                <w:sz w:val="20"/>
              </w:rPr>
            </w:pPr>
            <w:r w:rsidRPr="00723BA8">
              <w:rPr>
                <w:sz w:val="20"/>
              </w:rPr>
              <w:t>C51969</w:t>
            </w:r>
          </w:p>
          <w:p w:rsidR="002B7BFF" w:rsidRPr="00723BA8" w:rsidRDefault="002B7BFF" w:rsidP="002B7BFF">
            <w:pPr>
              <w:rPr>
                <w:sz w:val="20"/>
              </w:rPr>
            </w:pPr>
          </w:p>
        </w:tc>
        <w:tc>
          <w:tcPr>
            <w:tcW w:w="243" w:type="pct"/>
          </w:tcPr>
          <w:p w:rsidR="002B7BFF" w:rsidRPr="00723BA8" w:rsidRDefault="002B7BFF" w:rsidP="002B7BFF">
            <w:pPr>
              <w:rPr>
                <w:sz w:val="20"/>
              </w:rPr>
            </w:pPr>
          </w:p>
        </w:tc>
        <w:tc>
          <w:tcPr>
            <w:tcW w:w="2330" w:type="pct"/>
          </w:tcPr>
          <w:p w:rsidR="002B7BFF" w:rsidRPr="00723BA8" w:rsidRDefault="002B7BFF" w:rsidP="002B7BFF">
            <w:pPr>
              <w:rPr>
                <w:sz w:val="20"/>
              </w:rPr>
            </w:pPr>
            <w:r w:rsidRPr="00723BA8">
              <w:rPr>
                <w:sz w:val="20"/>
              </w:rPr>
              <w:t>Appeal dismissed</w:t>
            </w:r>
          </w:p>
          <w:p w:rsidR="002B7BFF" w:rsidRPr="00723BA8" w:rsidRDefault="002B7BFF" w:rsidP="002B7BFF">
            <w:pPr>
              <w:rPr>
                <w:sz w:val="20"/>
              </w:rPr>
            </w:pPr>
          </w:p>
        </w:tc>
      </w:tr>
      <w:tr w:rsidR="002B7BFF" w:rsidRPr="00723BA8" w:rsidTr="002B7BFF">
        <w:tc>
          <w:tcPr>
            <w:tcW w:w="2427" w:type="pct"/>
          </w:tcPr>
          <w:p w:rsidR="002B7BFF" w:rsidRPr="00723BA8" w:rsidRDefault="002B7BFF" w:rsidP="002B7BFF">
            <w:pPr>
              <w:rPr>
                <w:sz w:val="20"/>
              </w:rPr>
            </w:pPr>
            <w:r w:rsidRPr="00723BA8">
              <w:rPr>
                <w:sz w:val="20"/>
              </w:rPr>
              <w:t>December 31, 2010</w:t>
            </w:r>
          </w:p>
          <w:p w:rsidR="002B7BFF" w:rsidRPr="00723BA8" w:rsidRDefault="002B7BFF" w:rsidP="002B7BFF">
            <w:pPr>
              <w:rPr>
                <w:sz w:val="20"/>
              </w:rPr>
            </w:pPr>
            <w:r w:rsidRPr="00723BA8">
              <w:rPr>
                <w:sz w:val="20"/>
              </w:rPr>
              <w:t>Supreme Court of Canada</w:t>
            </w:r>
          </w:p>
        </w:tc>
        <w:tc>
          <w:tcPr>
            <w:tcW w:w="243" w:type="pct"/>
          </w:tcPr>
          <w:p w:rsidR="002B7BFF" w:rsidRPr="00723BA8" w:rsidRDefault="002B7BFF" w:rsidP="002B7BFF">
            <w:pPr>
              <w:rPr>
                <w:sz w:val="20"/>
              </w:rPr>
            </w:pPr>
          </w:p>
        </w:tc>
        <w:tc>
          <w:tcPr>
            <w:tcW w:w="2330" w:type="pct"/>
          </w:tcPr>
          <w:p w:rsidR="002B7BFF" w:rsidRPr="00723BA8" w:rsidRDefault="002B7BFF" w:rsidP="002B7BFF">
            <w:pPr>
              <w:rPr>
                <w:sz w:val="20"/>
              </w:rPr>
            </w:pPr>
            <w:r w:rsidRPr="00723BA8">
              <w:rPr>
                <w:sz w:val="20"/>
              </w:rPr>
              <w:t>Application for leave to appeal filed</w:t>
            </w:r>
          </w:p>
          <w:p w:rsidR="002B7BFF" w:rsidRPr="00723BA8" w:rsidRDefault="002B7BFF" w:rsidP="002B7BFF">
            <w:pPr>
              <w:rPr>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4"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2B7BFF" w:rsidRPr="00E62A55" w:rsidTr="002B7BFF">
        <w:tc>
          <w:tcPr>
            <w:tcW w:w="5000" w:type="pct"/>
            <w:gridSpan w:val="3"/>
          </w:tcPr>
          <w:p w:rsidR="002B7BFF" w:rsidRPr="00723BA8" w:rsidRDefault="002B7BFF" w:rsidP="002B7BFF">
            <w:pPr>
              <w:jc w:val="both"/>
              <w:rPr>
                <w:rFonts w:eastAsia="Calibri"/>
                <w:sz w:val="20"/>
                <w:lang w:val="fr-CA"/>
              </w:rPr>
            </w:pPr>
            <w:r w:rsidRPr="00723BA8">
              <w:rPr>
                <w:rFonts w:eastAsia="Calibri"/>
                <w:sz w:val="20"/>
                <w:lang w:val="fr-CA"/>
              </w:rPr>
              <w:t>Droit commercial — Franchises — Contrat de franchisage — Clause d'arbitrage — Les franchiseurs peuvent</w:t>
            </w:r>
            <w:r w:rsidRPr="00723BA8">
              <w:rPr>
                <w:rFonts w:eastAsia="Calibri"/>
                <w:sz w:val="20"/>
                <w:lang w:val="fr-CA"/>
              </w:rPr>
              <w:noBreakHyphen/>
              <w:t>ils s'appuyer sur la clause d'arbitrage dans le contrat de franchisage même s’il est allégué que les franchisés auraient été incités à conclure le contrat de franchisage à la suite d’une présentation inexacte de faits importants, qu’il y aurait eu erreur quant à l'essence du contrat et que les franchiseurs auraient omis de se conformer à des exigences légales en matière de divulgation?</w:t>
            </w:r>
          </w:p>
          <w:p w:rsidR="002B7BFF" w:rsidRPr="00723BA8" w:rsidRDefault="002B7BFF" w:rsidP="002B7BFF">
            <w:pPr>
              <w:jc w:val="both"/>
              <w:rPr>
                <w:rFonts w:eastAsia="Calibri"/>
                <w:sz w:val="20"/>
                <w:lang w:val="fr-CA"/>
              </w:rPr>
            </w:pPr>
          </w:p>
        </w:tc>
      </w:tr>
      <w:tr w:rsidR="002B7BFF" w:rsidRPr="00723BA8" w:rsidTr="002B7BFF">
        <w:tc>
          <w:tcPr>
            <w:tcW w:w="5000" w:type="pct"/>
            <w:gridSpan w:val="3"/>
          </w:tcPr>
          <w:p w:rsidR="002B7BFF" w:rsidRPr="00723BA8" w:rsidRDefault="002B7BFF" w:rsidP="002B7BFF">
            <w:pPr>
              <w:jc w:val="both"/>
              <w:rPr>
                <w:rFonts w:eastAsia="Calibri"/>
                <w:sz w:val="20"/>
                <w:lang w:val="fr-CA"/>
              </w:rPr>
            </w:pPr>
            <w:r w:rsidRPr="00723BA8">
              <w:rPr>
                <w:rFonts w:eastAsia="Calibri"/>
                <w:sz w:val="20"/>
                <w:lang w:val="fr-CA"/>
              </w:rPr>
              <w:t>En 2008, le demandeur, M. Nazarinia, a eu des pourparlers avec l’intimé, M. Wilson, en vue d'obtenir une franchise de l'entreprise de lave</w:t>
            </w:r>
            <w:r w:rsidRPr="00723BA8">
              <w:rPr>
                <w:rFonts w:eastAsia="Calibri"/>
                <w:sz w:val="20"/>
                <w:lang w:val="fr-CA"/>
              </w:rPr>
              <w:noBreakHyphen/>
              <w:t>auto exploitée par les intimés.  Il a été proposé que M. Nazarinia, par sa compagnie Nazarinia Holdings Inc., acquière une « franchise maîtresse » de 2049080 Ontario Inc. pour la province de Colombie</w:t>
            </w:r>
            <w:r w:rsidRPr="00723BA8">
              <w:rPr>
                <w:rFonts w:eastAsia="Calibri"/>
                <w:sz w:val="20"/>
                <w:lang w:val="fr-CA"/>
              </w:rPr>
              <w:noBreakHyphen/>
              <w:t>Britannique.  Le prix devait être de 495 000 $ et il devait y avoir un paiement initial de 100 000 $.  Le 25 juin 2008, un contrat de franchise maîtresse pour la province de Colombie Britannique a été signé au nom des personnes morales parties au contrat.  En signant le contrat au nom de la personne morale intimée, M. Wilson se décrivait comme « administrateur » et sous sa signature se trouvait la mention [</w:t>
            </w:r>
            <w:r w:rsidRPr="00723BA8">
              <w:rPr>
                <w:rFonts w:eastAsia="Calibri"/>
                <w:smallCaps/>
                <w:sz w:val="20"/>
                <w:lang w:val="fr-CA"/>
              </w:rPr>
              <w:t>traduction</w:t>
            </w:r>
            <w:r w:rsidRPr="00723BA8">
              <w:rPr>
                <w:rFonts w:eastAsia="Calibri"/>
                <w:sz w:val="20"/>
                <w:lang w:val="fr-CA"/>
              </w:rPr>
              <w:t>] « Je suis habilité à lier la société par actions ». Reconnaissant que l'octroi des droits de franchise en Colombie</w:t>
            </w:r>
            <w:r w:rsidRPr="00723BA8">
              <w:rPr>
                <w:rFonts w:eastAsia="Calibri"/>
                <w:sz w:val="20"/>
                <w:lang w:val="fr-CA"/>
              </w:rPr>
              <w:noBreakHyphen/>
              <w:t>Britannique dépendait du règlement de questions avec l'exploitant sortant, le contrat de franchisage renfermait la clause suivante : [</w:t>
            </w:r>
            <w:r w:rsidRPr="00723BA8">
              <w:rPr>
                <w:rFonts w:eastAsia="Calibri"/>
                <w:smallCaps/>
                <w:sz w:val="20"/>
                <w:lang w:val="fr-CA"/>
              </w:rPr>
              <w:t>traduction</w:t>
            </w:r>
            <w:r w:rsidRPr="00723BA8">
              <w:rPr>
                <w:rFonts w:eastAsia="Calibri"/>
                <w:sz w:val="20"/>
                <w:lang w:val="fr-CA"/>
              </w:rPr>
              <w:t>] « le franchiseur principal peut annuler les droits à la Colombie</w:t>
            </w:r>
            <w:r w:rsidRPr="00723BA8">
              <w:rPr>
                <w:rFonts w:eastAsia="Calibri"/>
                <w:sz w:val="20"/>
                <w:lang w:val="fr-CA"/>
              </w:rPr>
              <w:noBreakHyphen/>
              <w:t>Britannique dans un délai de 150 jours de la signature du présent contrat et les remplacer par des droits au territoire de l'Alberta, assorti d'un contrat de gestion pour la Colombie</w:t>
            </w:r>
            <w:r w:rsidRPr="00723BA8">
              <w:rPr>
                <w:rFonts w:eastAsia="Calibri"/>
                <w:sz w:val="20"/>
                <w:lang w:val="fr-CA"/>
              </w:rPr>
              <w:noBreakHyphen/>
              <w:t>Britannique, à sa discrétion exclusive. »  La personne morale demanderesse a payé la somme de 100 000 $ au franchiseur.  La somme de 10 000 $ a été payée en mai 2008 lorsque M. Nazarinia a signé la lettre d'intention et le solde a été payé lorsqu'il a signé le contrat de franchisage.</w:t>
            </w:r>
          </w:p>
          <w:p w:rsidR="002B7BFF" w:rsidRPr="00723BA8" w:rsidRDefault="002B7BFF" w:rsidP="002B7BFF">
            <w:pPr>
              <w:jc w:val="both"/>
              <w:rPr>
                <w:rFonts w:eastAsia="Calibri"/>
                <w:sz w:val="20"/>
                <w:lang w:val="fr-CA"/>
              </w:rPr>
            </w:pPr>
          </w:p>
          <w:p w:rsidR="002B7BFF" w:rsidRPr="00723BA8" w:rsidRDefault="002B7BFF" w:rsidP="002B7BFF">
            <w:pPr>
              <w:jc w:val="both"/>
              <w:rPr>
                <w:rFonts w:eastAsia="Calibri"/>
                <w:sz w:val="20"/>
                <w:lang w:val="fr-CA"/>
              </w:rPr>
            </w:pPr>
            <w:r w:rsidRPr="00723BA8">
              <w:rPr>
                <w:rFonts w:eastAsia="Calibri"/>
                <w:sz w:val="20"/>
                <w:lang w:val="fr-CA"/>
              </w:rPr>
              <w:t xml:space="preserve">La relation entre les parties s'est détériorée et le demandeur, M. Nazarinia, a intenté une action contre les intimés le 15 décembre 2008. Dans sa déclaration, il demandait des réparations en vertu de la </w:t>
            </w:r>
            <w:r w:rsidRPr="00723BA8">
              <w:rPr>
                <w:rFonts w:eastAsia="Calibri"/>
                <w:i/>
                <w:iCs/>
                <w:sz w:val="20"/>
                <w:lang w:val="fr-FR"/>
              </w:rPr>
              <w:t>Loi Arthur Wishart de 2000 sur la divulgation relative aux franchises</w:t>
            </w:r>
            <w:r w:rsidRPr="00723BA8">
              <w:rPr>
                <w:rFonts w:eastAsia="Calibri"/>
                <w:sz w:val="20"/>
                <w:lang w:val="fr-CA"/>
              </w:rPr>
              <w:t>, L.O. 2000, ch. 3 (la « </w:t>
            </w:r>
            <w:r w:rsidRPr="00723BA8">
              <w:rPr>
                <w:rFonts w:eastAsia="Calibri"/>
                <w:i/>
                <w:iCs/>
                <w:sz w:val="20"/>
                <w:lang w:val="fr-CA"/>
              </w:rPr>
              <w:t>LAW</w:t>
            </w:r>
            <w:r w:rsidRPr="00723BA8">
              <w:rPr>
                <w:rFonts w:eastAsia="Calibri"/>
                <w:sz w:val="20"/>
                <w:lang w:val="fr-CA"/>
              </w:rPr>
              <w:t> »), y compris la résolution et des dommages</w:t>
            </w:r>
            <w:r w:rsidRPr="00723BA8">
              <w:rPr>
                <w:rFonts w:eastAsia="Calibri"/>
                <w:sz w:val="20"/>
                <w:lang w:val="fr-CA"/>
              </w:rPr>
              <w:noBreakHyphen/>
              <w:t>intérêts pour [</w:t>
            </w:r>
            <w:r w:rsidRPr="00723BA8">
              <w:rPr>
                <w:rFonts w:eastAsia="Calibri"/>
                <w:smallCaps/>
                <w:sz w:val="20"/>
                <w:lang w:val="fr-CA"/>
              </w:rPr>
              <w:t>traduction</w:t>
            </w:r>
            <w:r w:rsidRPr="00723BA8">
              <w:rPr>
                <w:rFonts w:eastAsia="Calibri"/>
                <w:sz w:val="20"/>
                <w:lang w:val="fr-CA"/>
              </w:rPr>
              <w:t>] « une présentation inexacte des faits par insouciance ou négligence » et pour manquement à l'obligation d'agir équitablement et à [</w:t>
            </w:r>
            <w:r w:rsidRPr="00723BA8">
              <w:rPr>
                <w:rFonts w:eastAsia="Calibri"/>
                <w:smallCaps/>
                <w:sz w:val="20"/>
                <w:lang w:val="fr-CA"/>
              </w:rPr>
              <w:t>traduction</w:t>
            </w:r>
            <w:r w:rsidRPr="00723BA8">
              <w:rPr>
                <w:rFonts w:eastAsia="Calibri"/>
                <w:sz w:val="20"/>
                <w:lang w:val="fr-CA"/>
              </w:rPr>
              <w:t xml:space="preserve">] « l'obligation d'agir de bonne foi et de façon commercialement </w:t>
            </w:r>
            <w:r w:rsidRPr="00723BA8">
              <w:rPr>
                <w:rFonts w:eastAsia="Calibri"/>
                <w:sz w:val="20"/>
                <w:lang w:val="fr-CA"/>
              </w:rPr>
              <w:lastRenderedPageBreak/>
              <w:t xml:space="preserve">raisonnable ».  Les demandeurs plaident que le contrat de franchisage était nul </w:t>
            </w:r>
            <w:r w:rsidRPr="00723BA8">
              <w:rPr>
                <w:rFonts w:eastAsia="Calibri"/>
                <w:i/>
                <w:iCs/>
                <w:sz w:val="20"/>
                <w:lang w:val="fr-CA"/>
              </w:rPr>
              <w:t>ab initio</w:t>
            </w:r>
            <w:r w:rsidRPr="00723BA8">
              <w:rPr>
                <w:rFonts w:eastAsia="Calibri"/>
                <w:sz w:val="20"/>
                <w:lang w:val="fr-CA"/>
              </w:rPr>
              <w:t xml:space="preserve"> par ce que les intimés avaient omis de divulguer les renseignements nécessaires et par ce que M. Wilson n'était pas habilité à signer le contrat de franchisage. Les intimés ont présenté une motion en suspension de l'action en justice, au motif que le contrat de franchisage renfermait une clause compromissoire obligatoire et que la nature du différend tombait nettement sous le coup de cette clause.</w:t>
            </w:r>
          </w:p>
          <w:p w:rsidR="002B7BFF" w:rsidRPr="00723BA8" w:rsidRDefault="002B7BFF" w:rsidP="002B7BFF">
            <w:pPr>
              <w:jc w:val="both"/>
              <w:rPr>
                <w:rFonts w:eastAsia="Calibri"/>
                <w:sz w:val="20"/>
                <w:lang w:val="fr-CA"/>
              </w:rPr>
            </w:pPr>
          </w:p>
          <w:p w:rsidR="002B7BFF" w:rsidRPr="00723BA8" w:rsidRDefault="002B7BFF" w:rsidP="002B7BFF">
            <w:pPr>
              <w:jc w:val="both"/>
              <w:rPr>
                <w:rFonts w:eastAsia="Calibri"/>
                <w:sz w:val="20"/>
                <w:lang w:val="fr-CA"/>
              </w:rPr>
            </w:pPr>
            <w:r w:rsidRPr="00723BA8">
              <w:rPr>
                <w:rFonts w:eastAsia="Calibri"/>
                <w:sz w:val="20"/>
                <w:lang w:val="fr-CA"/>
              </w:rPr>
              <w:t>Le juge saisi de la motion a accordé la suspension de l'action en justice, concluant que la clause d'arbitrage était valide au sens de la</w:t>
            </w:r>
            <w:r w:rsidRPr="00723BA8">
              <w:rPr>
                <w:rFonts w:eastAsia="Calibri"/>
                <w:i/>
                <w:iCs/>
                <w:sz w:val="20"/>
                <w:lang w:val="fr-CA"/>
              </w:rPr>
              <w:t xml:space="preserve"> Loi de 1991 sur l'arbitrage</w:t>
            </w:r>
            <w:r w:rsidRPr="00723BA8">
              <w:rPr>
                <w:rFonts w:eastAsia="Calibri"/>
                <w:sz w:val="20"/>
                <w:lang w:val="fr-CA"/>
              </w:rPr>
              <w:t>, L.O. 1991, ch. 17, et que le différend tombait sous le coup de la portée générale de ses dispositions. La Cour d'appel a rejeté l'appel des demandeurs.</w:t>
            </w:r>
          </w:p>
          <w:p w:rsidR="002B7BFF" w:rsidRPr="00723BA8" w:rsidRDefault="002B7BFF" w:rsidP="002B7BFF">
            <w:pPr>
              <w:jc w:val="both"/>
              <w:rPr>
                <w:rFonts w:eastAsia="Calibri"/>
                <w:sz w:val="20"/>
                <w:lang w:val="fr-CA"/>
              </w:rPr>
            </w:pPr>
          </w:p>
        </w:tc>
      </w:tr>
      <w:tr w:rsidR="002B7BFF" w:rsidRPr="00E62A55" w:rsidTr="002B7BFF">
        <w:tc>
          <w:tcPr>
            <w:tcW w:w="2427" w:type="pct"/>
          </w:tcPr>
          <w:p w:rsidR="002B7BFF" w:rsidRPr="00723BA8" w:rsidRDefault="002B7BFF" w:rsidP="002B7BFF">
            <w:pPr>
              <w:jc w:val="both"/>
              <w:rPr>
                <w:rFonts w:eastAsia="Calibri"/>
                <w:sz w:val="20"/>
                <w:lang w:val="fr-CA"/>
              </w:rPr>
            </w:pPr>
            <w:r w:rsidRPr="00723BA8">
              <w:rPr>
                <w:rFonts w:eastAsia="Calibri"/>
                <w:sz w:val="20"/>
                <w:lang w:val="fr-CA"/>
              </w:rPr>
              <w:lastRenderedPageBreak/>
              <w:t>Le 25 mars 2010</w:t>
            </w:r>
          </w:p>
          <w:p w:rsidR="002B7BFF" w:rsidRPr="00723BA8" w:rsidRDefault="002B7BFF" w:rsidP="002B7BFF">
            <w:pPr>
              <w:jc w:val="both"/>
              <w:rPr>
                <w:rFonts w:eastAsia="Calibri"/>
                <w:sz w:val="20"/>
                <w:lang w:val="fr-CA"/>
              </w:rPr>
            </w:pPr>
            <w:r w:rsidRPr="00723BA8">
              <w:rPr>
                <w:rFonts w:eastAsia="Calibri"/>
                <w:sz w:val="20"/>
                <w:lang w:val="fr-CA"/>
              </w:rPr>
              <w:t xml:space="preserve">Cour supérieure de justice de l'Ontario </w:t>
            </w:r>
          </w:p>
          <w:p w:rsidR="002B7BFF" w:rsidRPr="00723BA8" w:rsidRDefault="002B7BFF" w:rsidP="002B7BFF">
            <w:pPr>
              <w:jc w:val="both"/>
              <w:rPr>
                <w:rFonts w:eastAsia="Calibri"/>
                <w:sz w:val="20"/>
                <w:lang w:val="fr-CA"/>
              </w:rPr>
            </w:pPr>
            <w:r w:rsidRPr="00723BA8">
              <w:rPr>
                <w:rFonts w:eastAsia="Calibri"/>
                <w:sz w:val="20"/>
                <w:lang w:val="fr-CA"/>
              </w:rPr>
              <w:t>(Juge Strathy)</w:t>
            </w:r>
          </w:p>
          <w:p w:rsidR="002B7BFF" w:rsidRPr="00723BA8" w:rsidRDefault="002B7BFF" w:rsidP="002B7BFF">
            <w:pPr>
              <w:jc w:val="both"/>
              <w:rPr>
                <w:rFonts w:eastAsia="Calibri"/>
                <w:sz w:val="20"/>
                <w:lang w:val="fr-CA"/>
              </w:rPr>
            </w:pPr>
            <w:r w:rsidRPr="00723BA8">
              <w:rPr>
                <w:rFonts w:eastAsia="Calibri"/>
                <w:sz w:val="20"/>
                <w:lang w:val="fr-CA"/>
              </w:rPr>
              <w:t>Référence neutre : 2010 ONSC 1766</w:t>
            </w:r>
          </w:p>
          <w:p w:rsidR="002B7BFF" w:rsidRPr="00723BA8" w:rsidRDefault="002B7BFF" w:rsidP="002B7BFF">
            <w:pPr>
              <w:jc w:val="both"/>
              <w:rPr>
                <w:rFonts w:eastAsia="Calibri"/>
                <w:sz w:val="20"/>
                <w:lang w:val="fr-CA"/>
              </w:rPr>
            </w:pPr>
            <w:r w:rsidRPr="00723BA8">
              <w:rPr>
                <w:rFonts w:eastAsia="Calibri"/>
                <w:sz w:val="20"/>
                <w:lang w:val="fr-CA"/>
              </w:rPr>
              <w:t>Référence neutre (certificat relatif aux dépens en date du 30 avril 2010) : 2010 ONSC 2559</w:t>
            </w:r>
          </w:p>
          <w:p w:rsidR="002B7BFF" w:rsidRPr="00723BA8" w:rsidRDefault="002B7BFF" w:rsidP="002B7BFF">
            <w:pPr>
              <w:jc w:val="both"/>
              <w:rPr>
                <w:rFonts w:eastAsia="Calibri"/>
                <w:sz w:val="20"/>
                <w:lang w:val="fr-CA"/>
              </w:rPr>
            </w:pPr>
          </w:p>
        </w:tc>
        <w:tc>
          <w:tcPr>
            <w:tcW w:w="243" w:type="pct"/>
          </w:tcPr>
          <w:p w:rsidR="002B7BFF" w:rsidRPr="00723BA8" w:rsidRDefault="002B7BFF" w:rsidP="002B7BFF">
            <w:pPr>
              <w:jc w:val="both"/>
              <w:rPr>
                <w:rFonts w:eastAsia="Calibri"/>
                <w:sz w:val="20"/>
                <w:lang w:val="fr-CA"/>
              </w:rPr>
            </w:pPr>
          </w:p>
        </w:tc>
        <w:tc>
          <w:tcPr>
            <w:tcW w:w="2330" w:type="pct"/>
          </w:tcPr>
          <w:p w:rsidR="002B7BFF" w:rsidRPr="00723BA8" w:rsidRDefault="002B7BFF" w:rsidP="002B7BFF">
            <w:pPr>
              <w:jc w:val="both"/>
              <w:rPr>
                <w:rFonts w:eastAsia="Calibri"/>
                <w:sz w:val="20"/>
                <w:lang w:val="fr-CA"/>
              </w:rPr>
            </w:pPr>
            <w:r w:rsidRPr="00723BA8">
              <w:rPr>
                <w:rFonts w:eastAsia="Calibri"/>
                <w:sz w:val="20"/>
                <w:lang w:val="fr-CA"/>
              </w:rPr>
              <w:t>Motion des intimés, accueillie; action suspendue.</w:t>
            </w:r>
          </w:p>
          <w:p w:rsidR="002B7BFF" w:rsidRPr="00723BA8" w:rsidRDefault="002B7BFF" w:rsidP="007E4FA4">
            <w:pPr>
              <w:jc w:val="both"/>
              <w:rPr>
                <w:rFonts w:eastAsia="Calibri"/>
                <w:sz w:val="20"/>
                <w:lang w:val="fr-CA"/>
              </w:rPr>
            </w:pPr>
            <w:r w:rsidRPr="00723BA8">
              <w:rPr>
                <w:rFonts w:eastAsia="Calibri"/>
                <w:sz w:val="20"/>
                <w:lang w:val="fr-CA"/>
              </w:rPr>
              <w:t>Dépens d'indemnisation substantielle accordés aux intimés</w:t>
            </w:r>
          </w:p>
        </w:tc>
      </w:tr>
      <w:tr w:rsidR="002B7BFF" w:rsidRPr="00723BA8" w:rsidTr="002B7BFF">
        <w:tc>
          <w:tcPr>
            <w:tcW w:w="2427" w:type="pct"/>
          </w:tcPr>
          <w:p w:rsidR="002B7BFF" w:rsidRPr="00723BA8" w:rsidRDefault="002B7BFF" w:rsidP="002B7BFF">
            <w:pPr>
              <w:jc w:val="both"/>
              <w:rPr>
                <w:rFonts w:eastAsia="Calibri"/>
                <w:sz w:val="20"/>
                <w:lang w:val="fr-CA"/>
              </w:rPr>
            </w:pPr>
            <w:r w:rsidRPr="00723BA8">
              <w:rPr>
                <w:rFonts w:eastAsia="Calibri"/>
                <w:sz w:val="20"/>
                <w:lang w:val="fr-CA"/>
              </w:rPr>
              <w:t>4 novembre 2010</w:t>
            </w:r>
          </w:p>
          <w:p w:rsidR="002B7BFF" w:rsidRPr="00723BA8" w:rsidRDefault="002B7BFF" w:rsidP="002B7BFF">
            <w:pPr>
              <w:jc w:val="both"/>
              <w:rPr>
                <w:rFonts w:eastAsia="Calibri"/>
                <w:sz w:val="20"/>
                <w:lang w:val="fr-CA"/>
              </w:rPr>
            </w:pPr>
            <w:r w:rsidRPr="00723BA8">
              <w:rPr>
                <w:rFonts w:eastAsia="Calibri"/>
                <w:sz w:val="20"/>
                <w:lang w:val="fr-CA"/>
              </w:rPr>
              <w:t xml:space="preserve">Cour d'appel de l'Ontario </w:t>
            </w:r>
          </w:p>
          <w:p w:rsidR="002B7BFF" w:rsidRPr="00723BA8" w:rsidRDefault="002B7BFF" w:rsidP="002B7BFF">
            <w:pPr>
              <w:jc w:val="both"/>
              <w:rPr>
                <w:rFonts w:eastAsia="Calibri"/>
                <w:sz w:val="20"/>
                <w:lang w:val="fr-CA"/>
              </w:rPr>
            </w:pPr>
            <w:r w:rsidRPr="00723BA8">
              <w:rPr>
                <w:rFonts w:eastAsia="Calibri"/>
                <w:sz w:val="20"/>
                <w:lang w:val="fr-CA"/>
              </w:rPr>
              <w:t>(Juges Rosenberg, MacPherson et LaForme)</w:t>
            </w:r>
          </w:p>
          <w:p w:rsidR="002B7BFF" w:rsidRPr="00723BA8" w:rsidRDefault="002B7BFF" w:rsidP="002B7BFF">
            <w:pPr>
              <w:jc w:val="both"/>
              <w:rPr>
                <w:rFonts w:eastAsia="Calibri"/>
                <w:sz w:val="20"/>
                <w:lang w:val="fr-CA"/>
              </w:rPr>
            </w:pPr>
            <w:r w:rsidRPr="00723BA8">
              <w:rPr>
                <w:rFonts w:eastAsia="Calibri"/>
                <w:sz w:val="20"/>
                <w:lang w:val="fr-CA"/>
              </w:rPr>
              <w:t>Référence neutre : 2010 ONCA 739</w:t>
            </w:r>
          </w:p>
          <w:p w:rsidR="002B7BFF" w:rsidRPr="00723BA8" w:rsidRDefault="002B7BFF" w:rsidP="002B7BFF">
            <w:pPr>
              <w:jc w:val="both"/>
              <w:rPr>
                <w:rFonts w:eastAsia="Calibri"/>
                <w:sz w:val="20"/>
                <w:lang w:val="fr-CA"/>
              </w:rPr>
            </w:pPr>
            <w:r w:rsidRPr="00723BA8">
              <w:rPr>
                <w:rFonts w:eastAsia="Calibri"/>
                <w:sz w:val="20"/>
                <w:lang w:val="fr-CA"/>
              </w:rPr>
              <w:t>C51969</w:t>
            </w:r>
          </w:p>
          <w:p w:rsidR="002B7BFF" w:rsidRPr="00723BA8" w:rsidRDefault="002B7BFF" w:rsidP="002B7BFF">
            <w:pPr>
              <w:jc w:val="both"/>
              <w:rPr>
                <w:rFonts w:eastAsia="Calibri"/>
                <w:sz w:val="20"/>
                <w:lang w:val="fr-CA"/>
              </w:rPr>
            </w:pPr>
          </w:p>
        </w:tc>
        <w:tc>
          <w:tcPr>
            <w:tcW w:w="243" w:type="pct"/>
          </w:tcPr>
          <w:p w:rsidR="002B7BFF" w:rsidRPr="00723BA8" w:rsidRDefault="002B7BFF" w:rsidP="002B7BFF">
            <w:pPr>
              <w:jc w:val="both"/>
              <w:rPr>
                <w:rFonts w:eastAsia="Calibri"/>
                <w:sz w:val="20"/>
                <w:lang w:val="fr-CA"/>
              </w:rPr>
            </w:pPr>
          </w:p>
        </w:tc>
        <w:tc>
          <w:tcPr>
            <w:tcW w:w="2330" w:type="pct"/>
          </w:tcPr>
          <w:p w:rsidR="002B7BFF" w:rsidRPr="00723BA8" w:rsidRDefault="002B7BFF" w:rsidP="002B7BFF">
            <w:pPr>
              <w:jc w:val="both"/>
              <w:rPr>
                <w:rFonts w:eastAsia="Calibri"/>
                <w:sz w:val="20"/>
                <w:lang w:val="fr-CA"/>
              </w:rPr>
            </w:pPr>
            <w:r w:rsidRPr="00723BA8">
              <w:rPr>
                <w:rFonts w:eastAsia="Calibri"/>
                <w:sz w:val="20"/>
                <w:lang w:val="fr-CA"/>
              </w:rPr>
              <w:t>Appel rejeté</w:t>
            </w:r>
          </w:p>
          <w:p w:rsidR="002B7BFF" w:rsidRPr="00723BA8" w:rsidRDefault="002B7BFF" w:rsidP="002B7BFF">
            <w:pPr>
              <w:jc w:val="both"/>
              <w:rPr>
                <w:rFonts w:eastAsia="Calibri"/>
                <w:sz w:val="20"/>
                <w:lang w:val="fr-CA"/>
              </w:rPr>
            </w:pPr>
          </w:p>
        </w:tc>
      </w:tr>
      <w:tr w:rsidR="002B7BFF" w:rsidRPr="00723BA8" w:rsidTr="002B7BFF">
        <w:tc>
          <w:tcPr>
            <w:tcW w:w="2427" w:type="pct"/>
          </w:tcPr>
          <w:p w:rsidR="002B7BFF" w:rsidRPr="00723BA8" w:rsidRDefault="002B7BFF" w:rsidP="002B7BFF">
            <w:pPr>
              <w:jc w:val="both"/>
              <w:rPr>
                <w:rFonts w:eastAsia="Calibri"/>
                <w:sz w:val="20"/>
                <w:lang w:val="fr-CA"/>
              </w:rPr>
            </w:pPr>
            <w:r w:rsidRPr="00723BA8">
              <w:rPr>
                <w:rFonts w:eastAsia="Calibri"/>
                <w:sz w:val="20"/>
                <w:lang w:val="fr-CA"/>
              </w:rPr>
              <w:t>31 décembre 2010</w:t>
            </w:r>
          </w:p>
          <w:p w:rsidR="002B7BFF" w:rsidRPr="00723BA8" w:rsidRDefault="002B7BFF" w:rsidP="002B7BFF">
            <w:pPr>
              <w:jc w:val="both"/>
              <w:rPr>
                <w:rFonts w:eastAsia="Calibri"/>
                <w:sz w:val="20"/>
                <w:lang w:val="fr-CA"/>
              </w:rPr>
            </w:pPr>
            <w:r w:rsidRPr="00723BA8">
              <w:rPr>
                <w:rFonts w:eastAsia="Calibri"/>
                <w:sz w:val="20"/>
                <w:lang w:val="fr-CA"/>
              </w:rPr>
              <w:t>Cour suprême du Canada</w:t>
            </w:r>
          </w:p>
        </w:tc>
        <w:tc>
          <w:tcPr>
            <w:tcW w:w="243" w:type="pct"/>
          </w:tcPr>
          <w:p w:rsidR="002B7BFF" w:rsidRPr="00723BA8" w:rsidRDefault="002B7BFF" w:rsidP="002B7BFF">
            <w:pPr>
              <w:jc w:val="both"/>
              <w:rPr>
                <w:rFonts w:eastAsia="Calibri"/>
                <w:sz w:val="20"/>
                <w:lang w:val="fr-CA"/>
              </w:rPr>
            </w:pPr>
          </w:p>
        </w:tc>
        <w:tc>
          <w:tcPr>
            <w:tcW w:w="2330" w:type="pct"/>
          </w:tcPr>
          <w:p w:rsidR="002B7BFF" w:rsidRPr="00723BA8" w:rsidRDefault="002B7BFF" w:rsidP="002B7BFF">
            <w:pPr>
              <w:jc w:val="both"/>
              <w:rPr>
                <w:rFonts w:eastAsia="Calibri"/>
                <w:sz w:val="20"/>
                <w:lang w:val="fr-CA"/>
              </w:rPr>
            </w:pPr>
            <w:r w:rsidRPr="00723BA8">
              <w:rPr>
                <w:rFonts w:eastAsia="Calibri"/>
                <w:sz w:val="20"/>
                <w:lang w:val="fr-CA"/>
              </w:rPr>
              <w:t>Demande d'autorisation d'appel, déposée</w:t>
            </w:r>
          </w:p>
          <w:p w:rsidR="002B7BFF" w:rsidRPr="00723BA8" w:rsidRDefault="002B7BFF" w:rsidP="002B7BFF">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5"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Style w:val="SCCFileNumberChar"/>
                <w:sz w:val="20"/>
                <w:szCs w:val="20"/>
              </w:rPr>
              <w:t>34039</w:t>
            </w:r>
          </w:p>
          <w:p w:rsidR="00C82EBC" w:rsidRPr="00FF441F" w:rsidRDefault="00C82EBC" w:rsidP="00E816E1">
            <w:pPr>
              <w:rPr>
                <w:rFonts w:cs="Times New Roman"/>
                <w:b/>
                <w:sz w:val="20"/>
                <w:szCs w:val="20"/>
                <w:lang w:val="fr-CA"/>
              </w:rPr>
            </w:pPr>
          </w:p>
        </w:tc>
        <w:tc>
          <w:tcPr>
            <w:tcW w:w="8118" w:type="dxa"/>
          </w:tcPr>
          <w:p w:rsidR="00C82EBC" w:rsidRPr="00FF441F" w:rsidRDefault="00C82EBC" w:rsidP="00E816E1">
            <w:pPr>
              <w:rPr>
                <w:rFonts w:cs="Times New Roman"/>
                <w:sz w:val="20"/>
                <w:szCs w:val="20"/>
              </w:rPr>
            </w:pPr>
            <w:r w:rsidRPr="00C82EBC">
              <w:rPr>
                <w:rStyle w:val="SCCLsocChar"/>
                <w:rFonts w:cs="Times New Roman"/>
                <w:sz w:val="20"/>
                <w:szCs w:val="20"/>
                <w:lang w:val="en-CA"/>
              </w:rPr>
              <w:t>P.Y.A. Importer Ltd. v. More &amp; More AG</w:t>
            </w:r>
            <w:r w:rsidRPr="00FF441F">
              <w:rPr>
                <w:rFonts w:cs="Times New Roman"/>
                <w:sz w:val="20"/>
                <w:szCs w:val="20"/>
              </w:rPr>
              <w:t xml:space="preserve"> (Ont.) (Civil) (By Leave)</w:t>
            </w:r>
          </w:p>
          <w:p w:rsidR="00C82EBC" w:rsidRPr="00FF441F" w:rsidRDefault="00C82EBC" w:rsidP="00E816E1">
            <w:pPr>
              <w:rPr>
                <w:rFonts w:cs="Times New Roman"/>
                <w:sz w:val="20"/>
                <w:szCs w:val="20"/>
              </w:rPr>
            </w:pPr>
          </w:p>
        </w:tc>
      </w:tr>
      <w:tr w:rsidR="00C82EBC" w:rsidRPr="00FF441F" w:rsidTr="00E816E1">
        <w:trPr>
          <w:cantSplit/>
        </w:trPr>
        <w:tc>
          <w:tcPr>
            <w:tcW w:w="1458" w:type="dxa"/>
          </w:tcPr>
          <w:p w:rsidR="00C82EBC" w:rsidRPr="00FF441F" w:rsidRDefault="00C82EBC" w:rsidP="00E816E1">
            <w:pPr>
              <w:rPr>
                <w:rFonts w:cs="Times New Roman"/>
                <w:sz w:val="20"/>
                <w:szCs w:val="20"/>
              </w:rPr>
            </w:pPr>
            <w:r w:rsidRPr="00FF441F">
              <w:rPr>
                <w:rFonts w:cs="Times New Roman"/>
                <w:sz w:val="20"/>
                <w:szCs w:val="20"/>
              </w:rPr>
              <w:t>Coram :</w:t>
            </w:r>
          </w:p>
        </w:tc>
        <w:tc>
          <w:tcPr>
            <w:tcW w:w="8118" w:type="dxa"/>
          </w:tcPr>
          <w:p w:rsidR="00C82EBC" w:rsidRPr="00FF441F" w:rsidRDefault="00C82EBC" w:rsidP="00E816E1">
            <w:pPr>
              <w:rPr>
                <w:rFonts w:cs="Times New Roman"/>
                <w:sz w:val="20"/>
                <w:szCs w:val="20"/>
              </w:rPr>
            </w:pPr>
            <w:r w:rsidRPr="00C82EBC">
              <w:rPr>
                <w:rStyle w:val="SCCCoramChar"/>
                <w:rFonts w:cs="Times New Roman"/>
                <w:sz w:val="20"/>
                <w:szCs w:val="20"/>
                <w:lang w:val="en-CA"/>
              </w:rPr>
              <w:t>LeBel, Deschamps and Charron JJ.</w:t>
            </w:r>
          </w:p>
          <w:p w:rsidR="00C82EBC" w:rsidRPr="00FF441F" w:rsidRDefault="00C82EBC" w:rsidP="00E816E1">
            <w:pPr>
              <w:rPr>
                <w:rFonts w:cs="Times New Roman"/>
                <w:sz w:val="20"/>
                <w:szCs w:val="20"/>
                <w:u w:val="single"/>
              </w:rPr>
            </w:pPr>
          </w:p>
        </w:tc>
      </w:tr>
      <w:tr w:rsidR="00C82EBC" w:rsidRPr="00E62A55" w:rsidTr="00E816E1">
        <w:trPr>
          <w:cantSplit/>
        </w:trPr>
        <w:tc>
          <w:tcPr>
            <w:tcW w:w="9576" w:type="dxa"/>
            <w:gridSpan w:val="2"/>
          </w:tcPr>
          <w:p w:rsidR="00C82EBC" w:rsidRPr="00FF441F" w:rsidRDefault="00C82EBC" w:rsidP="00E816E1">
            <w:pPr>
              <w:pStyle w:val="SCCShortJudgment"/>
              <w:rPr>
                <w:rFonts w:cs="Times New Roman"/>
                <w:szCs w:val="20"/>
              </w:rPr>
            </w:pPr>
            <w:r w:rsidRPr="00FF441F">
              <w:rPr>
                <w:rFonts w:cs="Times New Roman"/>
                <w:szCs w:val="20"/>
              </w:rPr>
              <w:t>The application for leave to appeal from the judgment of the Court of Appeal for Ontario, Number C52126, 2010 ONCA 771, dated November 9, 2010, is dismissed with costs.</w:t>
            </w:r>
          </w:p>
          <w:p w:rsidR="00C82EBC" w:rsidRPr="00FF441F" w:rsidRDefault="00C82EBC" w:rsidP="00E816E1">
            <w:pPr>
              <w:pStyle w:val="SCCShortJudgment"/>
              <w:ind w:firstLine="0"/>
              <w:rPr>
                <w:rFonts w:cs="Times New Roman"/>
                <w:szCs w:val="20"/>
              </w:rPr>
            </w:pPr>
          </w:p>
          <w:p w:rsidR="00C82EBC" w:rsidRPr="00FF441F" w:rsidRDefault="00C82EBC" w:rsidP="00E816E1">
            <w:pPr>
              <w:pStyle w:val="SCCShortJudgment"/>
              <w:rPr>
                <w:rFonts w:cs="Times New Roman"/>
                <w:szCs w:val="20"/>
                <w:lang w:val="fr-CA"/>
              </w:rPr>
            </w:pPr>
            <w:r w:rsidRPr="00FF441F">
              <w:rPr>
                <w:rFonts w:cs="Times New Roman"/>
                <w:szCs w:val="20"/>
                <w:lang w:val="fr-CA"/>
              </w:rPr>
              <w:t>La demande d’autorisation d’appel de l’arrêt de la Cour d’appel de l’Ontario, numéro C52126, 2010 ONCA 771, daté du 9 novembre 2010, est rejetée avec dépens.</w:t>
            </w:r>
          </w:p>
        </w:tc>
      </w:tr>
    </w:tbl>
    <w:p w:rsidR="00615512" w:rsidRPr="00C82EBC" w:rsidRDefault="00615512"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15512" w:rsidRPr="00723BA8" w:rsidTr="003D19F3">
        <w:tc>
          <w:tcPr>
            <w:tcW w:w="5000" w:type="pct"/>
            <w:gridSpan w:val="3"/>
          </w:tcPr>
          <w:p w:rsidR="00615512" w:rsidRPr="00723BA8" w:rsidRDefault="00615512" w:rsidP="003D19F3">
            <w:pPr>
              <w:jc w:val="both"/>
              <w:rPr>
                <w:rFonts w:eastAsia="Calibri"/>
                <w:sz w:val="20"/>
              </w:rPr>
            </w:pPr>
            <w:r w:rsidRPr="00723BA8">
              <w:rPr>
                <w:rFonts w:eastAsia="Calibri"/>
                <w:sz w:val="20"/>
              </w:rPr>
              <w:t>Private international law — Foreign judgments — Enforcement — Action launched in Germany for non</w:t>
            </w:r>
            <w:r w:rsidRPr="00723BA8">
              <w:rPr>
                <w:rFonts w:eastAsia="Calibri"/>
                <w:sz w:val="20"/>
              </w:rPr>
              <w:noBreakHyphen/>
              <w:t xml:space="preserve">payment of received goods — Respondent seeks enforcement of German default judgment against Ontario applicant — Whether service to receptionist at place of business is proper — Whether Canadian courts should enforce foreign judgments based on real and substantial connection test — </w:t>
            </w:r>
            <w:r w:rsidRPr="00723BA8">
              <w:rPr>
                <w:rFonts w:eastAsia="Calibri"/>
                <w:i/>
                <w:sz w:val="20"/>
              </w:rPr>
              <w:t>Rules of Civil Procedure</w:t>
            </w:r>
            <w:r w:rsidRPr="00723BA8">
              <w:rPr>
                <w:rFonts w:eastAsia="Calibri"/>
                <w:sz w:val="20"/>
              </w:rPr>
              <w:t>, R.R.O. 1990, Reg. 194, s. 16.02.</w:t>
            </w:r>
          </w:p>
          <w:p w:rsidR="00615512" w:rsidRPr="00723BA8" w:rsidRDefault="00615512" w:rsidP="003D19F3">
            <w:pPr>
              <w:jc w:val="both"/>
              <w:rPr>
                <w:rFonts w:eastAsia="Calibri"/>
                <w:sz w:val="20"/>
              </w:rPr>
            </w:pPr>
          </w:p>
        </w:tc>
      </w:tr>
      <w:tr w:rsidR="00615512" w:rsidRPr="00723BA8" w:rsidTr="003D19F3">
        <w:tc>
          <w:tcPr>
            <w:tcW w:w="5000" w:type="pct"/>
            <w:gridSpan w:val="3"/>
          </w:tcPr>
          <w:p w:rsidR="00615512" w:rsidRPr="00723BA8" w:rsidRDefault="00615512" w:rsidP="003D19F3">
            <w:pPr>
              <w:jc w:val="both"/>
              <w:rPr>
                <w:rFonts w:eastAsia="Calibri"/>
                <w:sz w:val="20"/>
              </w:rPr>
            </w:pPr>
            <w:r w:rsidRPr="00723BA8">
              <w:rPr>
                <w:rFonts w:eastAsia="Calibri"/>
                <w:sz w:val="20"/>
              </w:rPr>
              <w:t xml:space="preserve">The respondent More &amp; More AG (“MMAG”) is a German fashion designer and producer. MMAG approached the applicants, P.Y.A.  Importer Ltd. (“PYA”), to act as their exclusive distributor in Canada.  As found by the application judge, the parties entered into a contract which included a forum selection clause stipulating that German courts had jurisdiction.  Goods were supplied to PYA, who ultimately failed to pay the full cost of goods received.  MMAG commenced an action against PYA in Germany.  In accordance with the </w:t>
            </w:r>
            <w:r w:rsidRPr="00723BA8">
              <w:rPr>
                <w:rFonts w:eastAsia="Calibri"/>
                <w:bCs/>
                <w:i/>
                <w:sz w:val="20"/>
              </w:rPr>
              <w:t xml:space="preserve">Convention on the Service Abroad of Judicial </w:t>
            </w:r>
            <w:r w:rsidRPr="00723BA8">
              <w:rPr>
                <w:rFonts w:eastAsia="Calibri"/>
                <w:bCs/>
                <w:i/>
                <w:sz w:val="20"/>
              </w:rPr>
              <w:lastRenderedPageBreak/>
              <w:t xml:space="preserve">and Extrajudicial Documents in Civil or Commercial Matters </w:t>
            </w:r>
            <w:r w:rsidRPr="00723BA8">
              <w:rPr>
                <w:rFonts w:eastAsia="Calibri"/>
                <w:bCs/>
                <w:sz w:val="20"/>
              </w:rPr>
              <w:t>(“</w:t>
            </w:r>
            <w:r w:rsidRPr="00723BA8">
              <w:rPr>
                <w:rFonts w:eastAsia="Calibri"/>
                <w:bCs/>
                <w:i/>
                <w:sz w:val="20"/>
              </w:rPr>
              <w:t>Hague Convention</w:t>
            </w:r>
            <w:r w:rsidRPr="00723BA8">
              <w:rPr>
                <w:rFonts w:eastAsia="Calibri"/>
                <w:bCs/>
                <w:sz w:val="20"/>
              </w:rPr>
              <w:t>”)</w:t>
            </w:r>
            <w:r w:rsidRPr="00723BA8">
              <w:rPr>
                <w:rFonts w:eastAsia="Calibri"/>
                <w:sz w:val="20"/>
              </w:rPr>
              <w:t>, MMAG provided notice of the claim to PYA through the designated Central Authority for Service in Ontario.  The Central Authority’s enforcement officer served the claim to a receptionist at PYA’s office.  The German court received a certificate of service produced by Ontario’s Central Authority for Service.</w:t>
            </w:r>
          </w:p>
          <w:p w:rsidR="00615512" w:rsidRPr="00723BA8" w:rsidRDefault="00615512" w:rsidP="003D19F3">
            <w:pPr>
              <w:jc w:val="both"/>
              <w:rPr>
                <w:rFonts w:eastAsia="Calibri"/>
                <w:sz w:val="20"/>
              </w:rPr>
            </w:pPr>
          </w:p>
          <w:p w:rsidR="00615512" w:rsidRPr="00723BA8" w:rsidRDefault="00615512" w:rsidP="003D19F3">
            <w:pPr>
              <w:jc w:val="both"/>
              <w:rPr>
                <w:rFonts w:eastAsia="Calibri"/>
                <w:sz w:val="20"/>
              </w:rPr>
            </w:pPr>
            <w:r w:rsidRPr="00723BA8">
              <w:rPr>
                <w:rFonts w:eastAsia="Calibri"/>
                <w:sz w:val="20"/>
              </w:rPr>
              <w:t>PYA failed to respond to the German action, and in June 2008, MMAG received a default judgment against PYA.  In October 2009, MMAG began an application at the Ontario Superior Court of Justice for enforcement of the German judgment.  The application judge found that PYA had been properly served and that the German court appropriately asserted jurisdiction, as there was a real and substantial connection between Germany and the claim.  The application judge ordered the enforcement of the German judgment.  The Court of Appeal dismissed the appeal.</w:t>
            </w:r>
          </w:p>
          <w:p w:rsidR="00615512" w:rsidRPr="00723BA8" w:rsidRDefault="00615512" w:rsidP="003D19F3">
            <w:pPr>
              <w:jc w:val="both"/>
              <w:rPr>
                <w:rFonts w:eastAsia="Calibri"/>
                <w:sz w:val="20"/>
              </w:rPr>
            </w:pPr>
          </w:p>
        </w:tc>
      </w:tr>
      <w:tr w:rsidR="00615512" w:rsidRPr="00723BA8" w:rsidTr="003D19F3">
        <w:tc>
          <w:tcPr>
            <w:tcW w:w="2427" w:type="pct"/>
          </w:tcPr>
          <w:p w:rsidR="00615512" w:rsidRPr="00723BA8" w:rsidRDefault="00615512" w:rsidP="003D19F3">
            <w:pPr>
              <w:jc w:val="both"/>
              <w:rPr>
                <w:rFonts w:eastAsia="Calibri"/>
                <w:sz w:val="20"/>
              </w:rPr>
            </w:pPr>
            <w:r w:rsidRPr="00723BA8">
              <w:rPr>
                <w:rFonts w:eastAsia="Calibri"/>
                <w:sz w:val="20"/>
              </w:rPr>
              <w:lastRenderedPageBreak/>
              <w:t>April 20, 2010</w:t>
            </w:r>
          </w:p>
          <w:p w:rsidR="00615512" w:rsidRPr="00723BA8" w:rsidRDefault="00615512" w:rsidP="003D19F3">
            <w:pPr>
              <w:jc w:val="both"/>
              <w:rPr>
                <w:rFonts w:eastAsia="Calibri"/>
                <w:sz w:val="20"/>
              </w:rPr>
            </w:pPr>
            <w:r w:rsidRPr="00723BA8">
              <w:rPr>
                <w:rFonts w:eastAsia="Calibri"/>
                <w:sz w:val="20"/>
              </w:rPr>
              <w:t>Ontario Superior Court of Justice</w:t>
            </w:r>
          </w:p>
          <w:p w:rsidR="00615512" w:rsidRPr="00723BA8" w:rsidRDefault="00615512" w:rsidP="003D19F3">
            <w:pPr>
              <w:jc w:val="both"/>
              <w:rPr>
                <w:rFonts w:eastAsia="Calibri"/>
                <w:sz w:val="20"/>
              </w:rPr>
            </w:pPr>
            <w:r w:rsidRPr="00723BA8">
              <w:rPr>
                <w:rFonts w:eastAsia="Calibri"/>
                <w:sz w:val="20"/>
              </w:rPr>
              <w:t>(Quigley J.)</w:t>
            </w:r>
          </w:p>
          <w:p w:rsidR="00615512" w:rsidRPr="00723BA8" w:rsidRDefault="00615512" w:rsidP="003D19F3">
            <w:pPr>
              <w:jc w:val="both"/>
              <w:rPr>
                <w:rFonts w:eastAsia="Calibri"/>
                <w:sz w:val="20"/>
              </w:rPr>
            </w:pPr>
            <w:r w:rsidRPr="00723BA8">
              <w:rPr>
                <w:rFonts w:eastAsia="Calibri"/>
                <w:sz w:val="20"/>
              </w:rPr>
              <w:t>2010 ONSC 2250</w:t>
            </w:r>
          </w:p>
          <w:p w:rsidR="00615512" w:rsidRPr="00723BA8" w:rsidRDefault="00615512" w:rsidP="003D19F3">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3D19F3">
            <w:pPr>
              <w:jc w:val="both"/>
              <w:rPr>
                <w:rFonts w:eastAsia="Calibri"/>
                <w:sz w:val="20"/>
              </w:rPr>
            </w:pPr>
            <w:r w:rsidRPr="00723BA8">
              <w:rPr>
                <w:rFonts w:eastAsia="Calibri"/>
                <w:sz w:val="20"/>
              </w:rPr>
              <w:t>Application for enforcement of German judgment granted</w:t>
            </w:r>
          </w:p>
          <w:p w:rsidR="00615512" w:rsidRPr="00723BA8" w:rsidRDefault="00615512" w:rsidP="003D19F3">
            <w:pPr>
              <w:jc w:val="both"/>
              <w:rPr>
                <w:rFonts w:eastAsia="Calibri"/>
                <w:sz w:val="20"/>
              </w:rPr>
            </w:pPr>
          </w:p>
        </w:tc>
      </w:tr>
      <w:tr w:rsidR="00615512" w:rsidRPr="00723BA8" w:rsidTr="003D19F3">
        <w:tc>
          <w:tcPr>
            <w:tcW w:w="2427" w:type="pct"/>
          </w:tcPr>
          <w:p w:rsidR="00615512" w:rsidRPr="00723BA8" w:rsidRDefault="00615512" w:rsidP="003D19F3">
            <w:pPr>
              <w:jc w:val="both"/>
              <w:rPr>
                <w:rFonts w:eastAsia="Calibri"/>
                <w:sz w:val="20"/>
              </w:rPr>
            </w:pPr>
            <w:r w:rsidRPr="00723BA8">
              <w:rPr>
                <w:rFonts w:eastAsia="Calibri"/>
                <w:sz w:val="20"/>
              </w:rPr>
              <w:t>November 9, 2010</w:t>
            </w:r>
          </w:p>
          <w:p w:rsidR="00615512" w:rsidRPr="00723BA8" w:rsidRDefault="00615512" w:rsidP="003D19F3">
            <w:pPr>
              <w:jc w:val="both"/>
              <w:rPr>
                <w:rFonts w:eastAsia="Calibri"/>
                <w:sz w:val="20"/>
              </w:rPr>
            </w:pPr>
            <w:r w:rsidRPr="00723BA8">
              <w:rPr>
                <w:rFonts w:eastAsia="Calibri"/>
                <w:sz w:val="20"/>
              </w:rPr>
              <w:t>Court of Appeal for Ontario</w:t>
            </w:r>
          </w:p>
          <w:p w:rsidR="00615512" w:rsidRPr="00723BA8" w:rsidRDefault="00615512" w:rsidP="003D19F3">
            <w:pPr>
              <w:jc w:val="both"/>
              <w:rPr>
                <w:rFonts w:eastAsia="Calibri"/>
                <w:sz w:val="20"/>
              </w:rPr>
            </w:pPr>
            <w:r w:rsidRPr="00723BA8">
              <w:rPr>
                <w:rFonts w:eastAsia="Calibri"/>
                <w:sz w:val="20"/>
              </w:rPr>
              <w:t>(Feldman, Juriansz and LaForme JJ.A.)</w:t>
            </w:r>
          </w:p>
          <w:p w:rsidR="00615512" w:rsidRPr="00723BA8" w:rsidRDefault="00615512" w:rsidP="003D19F3">
            <w:pPr>
              <w:jc w:val="both"/>
              <w:rPr>
                <w:rFonts w:eastAsia="Calibri"/>
                <w:sz w:val="20"/>
              </w:rPr>
            </w:pPr>
            <w:r w:rsidRPr="00723BA8">
              <w:rPr>
                <w:rFonts w:eastAsia="Calibri"/>
                <w:sz w:val="20"/>
              </w:rPr>
              <w:t>2010 ONCA 771</w:t>
            </w:r>
          </w:p>
          <w:p w:rsidR="00615512" w:rsidRPr="00723BA8" w:rsidRDefault="00615512" w:rsidP="003D19F3">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3D19F3">
            <w:pPr>
              <w:jc w:val="both"/>
              <w:rPr>
                <w:rFonts w:eastAsia="Calibri"/>
                <w:sz w:val="20"/>
              </w:rPr>
            </w:pPr>
            <w:r w:rsidRPr="00723BA8">
              <w:rPr>
                <w:rFonts w:eastAsia="Calibri"/>
                <w:sz w:val="20"/>
              </w:rPr>
              <w:t>Appeal dismissed</w:t>
            </w:r>
          </w:p>
          <w:p w:rsidR="00615512" w:rsidRPr="00723BA8" w:rsidRDefault="00615512" w:rsidP="003D19F3">
            <w:pPr>
              <w:jc w:val="both"/>
              <w:rPr>
                <w:rFonts w:eastAsia="Calibri"/>
                <w:sz w:val="20"/>
              </w:rPr>
            </w:pPr>
          </w:p>
        </w:tc>
      </w:tr>
      <w:tr w:rsidR="00615512" w:rsidRPr="00723BA8" w:rsidTr="003D19F3">
        <w:tc>
          <w:tcPr>
            <w:tcW w:w="2427" w:type="pct"/>
          </w:tcPr>
          <w:p w:rsidR="00615512" w:rsidRPr="00723BA8" w:rsidRDefault="00615512" w:rsidP="003D19F3">
            <w:pPr>
              <w:jc w:val="both"/>
              <w:rPr>
                <w:rFonts w:eastAsia="Calibri"/>
                <w:sz w:val="20"/>
              </w:rPr>
            </w:pPr>
            <w:r w:rsidRPr="00723BA8">
              <w:rPr>
                <w:rFonts w:eastAsia="Calibri"/>
                <w:sz w:val="20"/>
              </w:rPr>
              <w:t>January 10, 2011</w:t>
            </w:r>
          </w:p>
          <w:p w:rsidR="00615512" w:rsidRPr="00723BA8" w:rsidRDefault="00615512" w:rsidP="003D19F3">
            <w:pPr>
              <w:jc w:val="both"/>
              <w:rPr>
                <w:rFonts w:eastAsia="Calibri"/>
                <w:sz w:val="20"/>
              </w:rPr>
            </w:pPr>
            <w:r w:rsidRPr="00723BA8">
              <w:rPr>
                <w:rFonts w:eastAsia="Calibri"/>
                <w:sz w:val="20"/>
              </w:rPr>
              <w:t>Supreme Court of Canada</w:t>
            </w:r>
          </w:p>
          <w:p w:rsidR="00615512" w:rsidRPr="00723BA8" w:rsidRDefault="00615512" w:rsidP="003D19F3">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3D19F3">
            <w:pPr>
              <w:jc w:val="both"/>
              <w:rPr>
                <w:rFonts w:eastAsia="Calibri"/>
                <w:sz w:val="20"/>
              </w:rPr>
            </w:pPr>
            <w:r w:rsidRPr="00723BA8">
              <w:rPr>
                <w:rFonts w:eastAsia="Calibri"/>
                <w:sz w:val="20"/>
              </w:rPr>
              <w:t>Application for leave to appeal filed</w:t>
            </w:r>
          </w:p>
          <w:p w:rsidR="00615512" w:rsidRPr="00723BA8" w:rsidRDefault="00615512" w:rsidP="003D19F3">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6"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615512" w:rsidRPr="00155C13" w:rsidTr="003D19F3">
        <w:tc>
          <w:tcPr>
            <w:tcW w:w="5000" w:type="pct"/>
            <w:gridSpan w:val="3"/>
          </w:tcPr>
          <w:p w:rsidR="00615512" w:rsidRPr="00723BA8" w:rsidRDefault="00615512" w:rsidP="003D19F3">
            <w:pPr>
              <w:jc w:val="both"/>
              <w:rPr>
                <w:rFonts w:eastAsia="Calibri"/>
                <w:sz w:val="20"/>
                <w:lang w:val="fr-CA"/>
              </w:rPr>
            </w:pPr>
            <w:r w:rsidRPr="00723BA8">
              <w:rPr>
                <w:rFonts w:eastAsia="Calibri"/>
                <w:sz w:val="20"/>
                <w:lang w:val="fr-CA"/>
              </w:rPr>
              <w:t>Droit international privé — Jugements étrangers — Exécution — Action intentée en Allemagne pour non</w:t>
            </w:r>
            <w:r w:rsidRPr="00723BA8">
              <w:rPr>
                <w:rFonts w:eastAsia="Calibri"/>
                <w:sz w:val="20"/>
                <w:lang w:val="fr-CA"/>
              </w:rPr>
              <w:noBreakHyphen/>
              <w:t>paiement de marchandises reçues — L'intimée demande l'exécution du jugement allemand rendu par défaut contre la demanderesse ontarienne — La signification à la réceptionniste à l'établissement commercial est</w:t>
            </w:r>
            <w:r w:rsidRPr="00723BA8">
              <w:rPr>
                <w:rFonts w:eastAsia="Calibri"/>
                <w:sz w:val="20"/>
                <w:lang w:val="fr-CA"/>
              </w:rPr>
              <w:noBreakHyphen/>
              <w:t>elle valable? — Les tribunaux canadiens doivent</w:t>
            </w:r>
            <w:r w:rsidRPr="00723BA8">
              <w:rPr>
                <w:rFonts w:eastAsia="Calibri"/>
                <w:sz w:val="20"/>
                <w:lang w:val="fr-CA"/>
              </w:rPr>
              <w:noBreakHyphen/>
              <w:t xml:space="preserve">ils </w:t>
            </w:r>
            <w:proofErr w:type="gramStart"/>
            <w:r w:rsidRPr="00723BA8">
              <w:rPr>
                <w:rFonts w:eastAsia="Calibri"/>
                <w:sz w:val="20"/>
                <w:lang w:val="fr-CA"/>
              </w:rPr>
              <w:t>exécuter</w:t>
            </w:r>
            <w:proofErr w:type="gramEnd"/>
            <w:r w:rsidRPr="00723BA8">
              <w:rPr>
                <w:rFonts w:eastAsia="Calibri"/>
                <w:sz w:val="20"/>
                <w:lang w:val="fr-CA"/>
              </w:rPr>
              <w:t xml:space="preserve"> les jugements étrangers en s'appuyant sur le critère du lien réel et substantiel? —</w:t>
            </w:r>
            <w:r w:rsidRPr="00723BA8">
              <w:rPr>
                <w:rFonts w:eastAsia="Calibri"/>
                <w:i/>
                <w:iCs/>
                <w:sz w:val="20"/>
                <w:lang w:val="fr-CA"/>
              </w:rPr>
              <w:t xml:space="preserve"> Règles de procédure civile</w:t>
            </w:r>
            <w:r w:rsidRPr="00723BA8">
              <w:rPr>
                <w:rFonts w:eastAsia="Calibri"/>
                <w:sz w:val="20"/>
                <w:lang w:val="fr-CA"/>
              </w:rPr>
              <w:t>, R.R.O. 1990, Règl. 194, art. 16.02.</w:t>
            </w:r>
          </w:p>
          <w:p w:rsidR="00615512" w:rsidRPr="00723BA8" w:rsidRDefault="00615512" w:rsidP="003D19F3">
            <w:pPr>
              <w:jc w:val="both"/>
              <w:rPr>
                <w:rFonts w:eastAsia="Calibri"/>
                <w:sz w:val="20"/>
                <w:lang w:val="fr-CA"/>
              </w:rPr>
            </w:pPr>
          </w:p>
        </w:tc>
      </w:tr>
      <w:tr w:rsidR="00615512" w:rsidRPr="00723BA8" w:rsidTr="003D19F3">
        <w:tc>
          <w:tcPr>
            <w:tcW w:w="5000" w:type="pct"/>
            <w:gridSpan w:val="3"/>
          </w:tcPr>
          <w:p w:rsidR="00615512" w:rsidRPr="00723BA8" w:rsidRDefault="00615512" w:rsidP="003D19F3">
            <w:pPr>
              <w:jc w:val="both"/>
              <w:rPr>
                <w:rFonts w:eastAsia="Calibri"/>
                <w:sz w:val="20"/>
                <w:lang w:val="fr-CA"/>
              </w:rPr>
            </w:pPr>
            <w:r w:rsidRPr="00723BA8">
              <w:rPr>
                <w:rFonts w:eastAsia="Calibri"/>
                <w:sz w:val="20"/>
                <w:lang w:val="fr-CA"/>
              </w:rPr>
              <w:t xml:space="preserve">L'intimée More &amp; More AG (« MMAG ») est un dessinateur de mode et producteur allemand. MMAG a demandé à la demanderesse, P.Y.A. Importer Ltd. (« PYA »), d'être son distributeur exclusif au Canada.  Comme l'a conclu le juge de première instance, les parties ont conclu un contrat qui renfermait une clause d'élection de for stipulant que les tribunaux allemands avaient compétence.  Des marchandises ont été fournies à PYA, qui a finalement omis de payer intégralement le coût des marchandises reçues. MMAG a intenté une action contre PYA en Allemagne.  Conformément à la </w:t>
            </w:r>
            <w:r w:rsidRPr="00723BA8">
              <w:rPr>
                <w:rFonts w:eastAsia="Calibri"/>
                <w:i/>
                <w:iCs/>
                <w:sz w:val="20"/>
                <w:lang w:val="fr-FR"/>
              </w:rPr>
              <w:t>Convention relative à la signification et à la notification à l'étranger des actes judiciaires et extrajudiciaires en matière civile ou commerciale</w:t>
            </w:r>
            <w:r w:rsidRPr="00723BA8">
              <w:rPr>
                <w:rFonts w:eastAsia="Calibri"/>
                <w:b/>
                <w:bCs/>
                <w:i/>
                <w:iCs/>
                <w:sz w:val="20"/>
                <w:lang w:val="fr-FR"/>
              </w:rPr>
              <w:t xml:space="preserve"> </w:t>
            </w:r>
            <w:r w:rsidRPr="00723BA8">
              <w:rPr>
                <w:rFonts w:eastAsia="Calibri"/>
                <w:sz w:val="20"/>
                <w:lang w:val="fr-CA"/>
              </w:rPr>
              <w:t>(« </w:t>
            </w:r>
            <w:r w:rsidRPr="00723BA8">
              <w:rPr>
                <w:rFonts w:eastAsia="Calibri"/>
                <w:i/>
                <w:iCs/>
                <w:sz w:val="20"/>
                <w:lang w:val="fr-CA"/>
              </w:rPr>
              <w:t>Convention de La Haye</w:t>
            </w:r>
            <w:r w:rsidRPr="00723BA8">
              <w:rPr>
                <w:rFonts w:eastAsia="Calibri"/>
                <w:sz w:val="20"/>
                <w:lang w:val="fr-CA"/>
              </w:rPr>
              <w:t> »), MMAG a remis un avis de demande à PYA par l'intermédiaire de l'Autorité centrale des significations en Ontario.  L'agent d'exécution de l'Autorité centrale a signifié la demande à une réceptionniste au bureau de PYA.  Le tribunal allemand a reçu un certificat de signification produit par l'Autorité centrale des significations de l'Ontario.</w:t>
            </w:r>
          </w:p>
          <w:p w:rsidR="00615512" w:rsidRPr="00723BA8" w:rsidRDefault="00615512" w:rsidP="003D19F3">
            <w:pPr>
              <w:jc w:val="both"/>
              <w:rPr>
                <w:rFonts w:eastAsia="Calibri"/>
                <w:sz w:val="20"/>
                <w:lang w:val="fr-CA"/>
              </w:rPr>
            </w:pPr>
          </w:p>
          <w:p w:rsidR="00615512" w:rsidRPr="00723BA8" w:rsidRDefault="00615512" w:rsidP="00C82EBC">
            <w:pPr>
              <w:jc w:val="both"/>
              <w:rPr>
                <w:rFonts w:eastAsia="Calibri"/>
                <w:sz w:val="20"/>
                <w:lang w:val="fr-CA"/>
              </w:rPr>
            </w:pPr>
            <w:r w:rsidRPr="00723BA8">
              <w:rPr>
                <w:rFonts w:eastAsia="Calibri"/>
                <w:sz w:val="20"/>
                <w:lang w:val="fr-CA"/>
              </w:rPr>
              <w:t>PYA n'a pas répondu à l'action allemande et, en juin 2008, MMAG a obtenu un jugement par défaut contre PYA.  En octobre 2009, MMAG a présenté une demande à la Cour supérieure de justice de l'Ontario pour l'exécution du jugement allemand.  Le juge de première instance a conclu que la demande avait été dûment signifiée à PYA et que le tribunal allemand s'était déclaré compétent à bon droit, puisqu'il y avait un lien réel et substantiel entre l'Allemagne et la demande.  Le juge de première instance a ordonné l'exécution du jugement allemand. La Cour d'appel a rejeté l'appel.</w:t>
            </w:r>
          </w:p>
        </w:tc>
      </w:tr>
      <w:tr w:rsidR="00615512" w:rsidRPr="00E62A55" w:rsidTr="00C82EBC">
        <w:trPr>
          <w:cantSplit/>
        </w:trPr>
        <w:tc>
          <w:tcPr>
            <w:tcW w:w="2427" w:type="pct"/>
          </w:tcPr>
          <w:p w:rsidR="00615512" w:rsidRPr="00723BA8" w:rsidRDefault="00615512" w:rsidP="003D19F3">
            <w:pPr>
              <w:jc w:val="both"/>
              <w:rPr>
                <w:rFonts w:eastAsia="Calibri"/>
                <w:sz w:val="20"/>
                <w:lang w:val="fr-CA"/>
              </w:rPr>
            </w:pPr>
            <w:r w:rsidRPr="00723BA8">
              <w:rPr>
                <w:rFonts w:eastAsia="Calibri"/>
                <w:sz w:val="20"/>
                <w:lang w:val="fr-CA"/>
              </w:rPr>
              <w:lastRenderedPageBreak/>
              <w:t>20 avril 2010</w:t>
            </w:r>
          </w:p>
          <w:p w:rsidR="00615512" w:rsidRPr="00723BA8" w:rsidRDefault="00615512" w:rsidP="003D19F3">
            <w:pPr>
              <w:jc w:val="both"/>
              <w:rPr>
                <w:rFonts w:eastAsia="Calibri"/>
                <w:sz w:val="20"/>
                <w:lang w:val="fr-CA"/>
              </w:rPr>
            </w:pPr>
            <w:r w:rsidRPr="00723BA8">
              <w:rPr>
                <w:rFonts w:eastAsia="Calibri"/>
                <w:sz w:val="20"/>
                <w:lang w:val="fr-CA"/>
              </w:rPr>
              <w:t xml:space="preserve">Cour supérieure de justice de l'Ontario </w:t>
            </w:r>
          </w:p>
          <w:p w:rsidR="00615512" w:rsidRPr="00723BA8" w:rsidRDefault="00615512" w:rsidP="003D19F3">
            <w:pPr>
              <w:jc w:val="both"/>
              <w:rPr>
                <w:rFonts w:eastAsia="Calibri"/>
                <w:sz w:val="20"/>
                <w:lang w:val="fr-CA"/>
              </w:rPr>
            </w:pPr>
            <w:r w:rsidRPr="00723BA8">
              <w:rPr>
                <w:rFonts w:eastAsia="Calibri"/>
                <w:sz w:val="20"/>
                <w:lang w:val="fr-CA"/>
              </w:rPr>
              <w:t>(Juge Quigley)</w:t>
            </w:r>
          </w:p>
          <w:p w:rsidR="00615512" w:rsidRPr="00723BA8" w:rsidRDefault="00615512" w:rsidP="003D19F3">
            <w:pPr>
              <w:jc w:val="both"/>
              <w:rPr>
                <w:rFonts w:eastAsia="Calibri"/>
                <w:sz w:val="20"/>
                <w:lang w:val="fr-CA"/>
              </w:rPr>
            </w:pPr>
            <w:r w:rsidRPr="00723BA8">
              <w:rPr>
                <w:rFonts w:eastAsia="Calibri"/>
                <w:sz w:val="20"/>
                <w:lang w:val="fr-CA"/>
              </w:rPr>
              <w:t>2010 ONSC 2250</w:t>
            </w:r>
          </w:p>
          <w:p w:rsidR="00615512" w:rsidRPr="00723BA8" w:rsidRDefault="00615512" w:rsidP="003D19F3">
            <w:pPr>
              <w:jc w:val="both"/>
              <w:rPr>
                <w:rFonts w:eastAsia="Calibri"/>
                <w:sz w:val="20"/>
                <w:lang w:val="fr-CA"/>
              </w:rPr>
            </w:pPr>
          </w:p>
        </w:tc>
        <w:tc>
          <w:tcPr>
            <w:tcW w:w="243" w:type="pct"/>
          </w:tcPr>
          <w:p w:rsidR="00615512" w:rsidRPr="00723BA8" w:rsidRDefault="00615512" w:rsidP="003D19F3">
            <w:pPr>
              <w:jc w:val="both"/>
              <w:rPr>
                <w:rFonts w:eastAsia="Calibri"/>
                <w:sz w:val="20"/>
                <w:lang w:val="fr-CA"/>
              </w:rPr>
            </w:pPr>
          </w:p>
        </w:tc>
        <w:tc>
          <w:tcPr>
            <w:tcW w:w="2330" w:type="pct"/>
          </w:tcPr>
          <w:p w:rsidR="00615512" w:rsidRPr="00723BA8" w:rsidRDefault="00615512" w:rsidP="003D19F3">
            <w:pPr>
              <w:jc w:val="both"/>
              <w:rPr>
                <w:rFonts w:eastAsia="Calibri"/>
                <w:sz w:val="20"/>
                <w:lang w:val="fr-CA"/>
              </w:rPr>
            </w:pPr>
            <w:r w:rsidRPr="00723BA8">
              <w:rPr>
                <w:rFonts w:eastAsia="Calibri"/>
                <w:sz w:val="20"/>
                <w:lang w:val="fr-CA"/>
              </w:rPr>
              <w:t>Demande d'exécution du jugement allemand, accueillie</w:t>
            </w:r>
          </w:p>
          <w:p w:rsidR="00615512" w:rsidRPr="00723BA8" w:rsidRDefault="00615512" w:rsidP="003D19F3">
            <w:pPr>
              <w:jc w:val="both"/>
              <w:rPr>
                <w:rFonts w:eastAsia="Calibri"/>
                <w:sz w:val="20"/>
                <w:lang w:val="fr-CA"/>
              </w:rPr>
            </w:pPr>
          </w:p>
        </w:tc>
      </w:tr>
      <w:tr w:rsidR="00615512" w:rsidRPr="00723BA8" w:rsidTr="00C82EBC">
        <w:trPr>
          <w:cantSplit/>
        </w:trPr>
        <w:tc>
          <w:tcPr>
            <w:tcW w:w="2427" w:type="pct"/>
          </w:tcPr>
          <w:p w:rsidR="00615512" w:rsidRPr="00723BA8" w:rsidRDefault="00615512" w:rsidP="003D19F3">
            <w:pPr>
              <w:jc w:val="both"/>
              <w:rPr>
                <w:rFonts w:eastAsia="Calibri"/>
                <w:sz w:val="20"/>
                <w:lang w:val="fr-CA"/>
              </w:rPr>
            </w:pPr>
            <w:r w:rsidRPr="00723BA8">
              <w:rPr>
                <w:rFonts w:eastAsia="Calibri"/>
                <w:sz w:val="20"/>
                <w:lang w:val="fr-CA"/>
              </w:rPr>
              <w:t>9 novembre 2010</w:t>
            </w:r>
          </w:p>
          <w:p w:rsidR="00615512" w:rsidRPr="00723BA8" w:rsidRDefault="00615512" w:rsidP="003D19F3">
            <w:pPr>
              <w:jc w:val="both"/>
              <w:rPr>
                <w:rFonts w:eastAsia="Calibri"/>
                <w:sz w:val="20"/>
                <w:lang w:val="fr-CA"/>
              </w:rPr>
            </w:pPr>
            <w:r w:rsidRPr="00723BA8">
              <w:rPr>
                <w:rFonts w:eastAsia="Calibri"/>
                <w:sz w:val="20"/>
                <w:lang w:val="fr-CA"/>
              </w:rPr>
              <w:t xml:space="preserve">Cour d'appel de l'Ontario </w:t>
            </w:r>
          </w:p>
          <w:p w:rsidR="00615512" w:rsidRPr="00723BA8" w:rsidRDefault="00615512" w:rsidP="003D19F3">
            <w:pPr>
              <w:jc w:val="both"/>
              <w:rPr>
                <w:rFonts w:eastAsia="Calibri"/>
                <w:sz w:val="20"/>
                <w:lang w:val="fr-CA"/>
              </w:rPr>
            </w:pPr>
            <w:r w:rsidRPr="00723BA8">
              <w:rPr>
                <w:rFonts w:eastAsia="Calibri"/>
                <w:sz w:val="20"/>
                <w:lang w:val="fr-CA"/>
              </w:rPr>
              <w:t>(Juges Feldman, Juriansz et LaForme)</w:t>
            </w:r>
          </w:p>
          <w:p w:rsidR="00615512" w:rsidRPr="00723BA8" w:rsidRDefault="00615512" w:rsidP="003D19F3">
            <w:pPr>
              <w:jc w:val="both"/>
              <w:rPr>
                <w:rFonts w:eastAsia="Calibri"/>
                <w:sz w:val="20"/>
                <w:lang w:val="fr-CA"/>
              </w:rPr>
            </w:pPr>
            <w:r w:rsidRPr="00723BA8">
              <w:rPr>
                <w:rFonts w:eastAsia="Calibri"/>
                <w:sz w:val="20"/>
                <w:lang w:val="fr-CA"/>
              </w:rPr>
              <w:t>2010 ONCA 771</w:t>
            </w:r>
          </w:p>
          <w:p w:rsidR="00615512" w:rsidRPr="00723BA8" w:rsidRDefault="00615512" w:rsidP="003D19F3">
            <w:pPr>
              <w:jc w:val="both"/>
              <w:rPr>
                <w:rFonts w:eastAsia="Calibri"/>
                <w:sz w:val="20"/>
                <w:lang w:val="fr-CA"/>
              </w:rPr>
            </w:pPr>
          </w:p>
        </w:tc>
        <w:tc>
          <w:tcPr>
            <w:tcW w:w="243" w:type="pct"/>
          </w:tcPr>
          <w:p w:rsidR="00615512" w:rsidRPr="00723BA8" w:rsidRDefault="00615512" w:rsidP="003D19F3">
            <w:pPr>
              <w:jc w:val="both"/>
              <w:rPr>
                <w:rFonts w:eastAsia="Calibri"/>
                <w:sz w:val="20"/>
                <w:lang w:val="fr-CA"/>
              </w:rPr>
            </w:pPr>
          </w:p>
        </w:tc>
        <w:tc>
          <w:tcPr>
            <w:tcW w:w="2330" w:type="pct"/>
          </w:tcPr>
          <w:p w:rsidR="00615512" w:rsidRPr="00723BA8" w:rsidRDefault="00615512" w:rsidP="003D19F3">
            <w:pPr>
              <w:jc w:val="both"/>
              <w:rPr>
                <w:rFonts w:eastAsia="Calibri"/>
                <w:sz w:val="20"/>
                <w:lang w:val="fr-CA"/>
              </w:rPr>
            </w:pPr>
            <w:r w:rsidRPr="00723BA8">
              <w:rPr>
                <w:rFonts w:eastAsia="Calibri"/>
                <w:sz w:val="20"/>
                <w:lang w:val="fr-CA"/>
              </w:rPr>
              <w:t>Appel rejeté</w:t>
            </w:r>
          </w:p>
          <w:p w:rsidR="00615512" w:rsidRPr="00723BA8" w:rsidRDefault="00615512" w:rsidP="003D19F3">
            <w:pPr>
              <w:jc w:val="both"/>
              <w:rPr>
                <w:rFonts w:eastAsia="Calibri"/>
                <w:sz w:val="20"/>
                <w:lang w:val="fr-CA"/>
              </w:rPr>
            </w:pPr>
          </w:p>
        </w:tc>
      </w:tr>
      <w:tr w:rsidR="00615512" w:rsidRPr="00723BA8" w:rsidTr="00C82EBC">
        <w:trPr>
          <w:cantSplit/>
        </w:trPr>
        <w:tc>
          <w:tcPr>
            <w:tcW w:w="2427" w:type="pct"/>
          </w:tcPr>
          <w:p w:rsidR="00615512" w:rsidRPr="00723BA8" w:rsidRDefault="00615512" w:rsidP="003D19F3">
            <w:pPr>
              <w:jc w:val="both"/>
              <w:rPr>
                <w:rFonts w:eastAsia="Calibri"/>
                <w:sz w:val="20"/>
                <w:lang w:val="fr-CA"/>
              </w:rPr>
            </w:pPr>
            <w:r w:rsidRPr="00723BA8">
              <w:rPr>
                <w:rFonts w:eastAsia="Calibri"/>
                <w:sz w:val="20"/>
                <w:lang w:val="fr-CA"/>
              </w:rPr>
              <w:t>10 janvier 2011</w:t>
            </w:r>
          </w:p>
          <w:p w:rsidR="00615512" w:rsidRPr="00723BA8" w:rsidRDefault="00615512" w:rsidP="003D19F3">
            <w:pPr>
              <w:jc w:val="both"/>
              <w:rPr>
                <w:rFonts w:eastAsia="Calibri"/>
                <w:sz w:val="20"/>
                <w:lang w:val="fr-CA"/>
              </w:rPr>
            </w:pPr>
            <w:r w:rsidRPr="00723BA8">
              <w:rPr>
                <w:rFonts w:eastAsia="Calibri"/>
                <w:sz w:val="20"/>
                <w:lang w:val="fr-CA"/>
              </w:rPr>
              <w:t>Cour suprême du Canada</w:t>
            </w:r>
          </w:p>
        </w:tc>
        <w:tc>
          <w:tcPr>
            <w:tcW w:w="243" w:type="pct"/>
          </w:tcPr>
          <w:p w:rsidR="00615512" w:rsidRPr="00723BA8" w:rsidRDefault="00615512" w:rsidP="003D19F3">
            <w:pPr>
              <w:jc w:val="both"/>
              <w:rPr>
                <w:rFonts w:eastAsia="Calibri"/>
                <w:sz w:val="20"/>
                <w:lang w:val="fr-CA"/>
              </w:rPr>
            </w:pPr>
          </w:p>
        </w:tc>
        <w:tc>
          <w:tcPr>
            <w:tcW w:w="2330" w:type="pct"/>
          </w:tcPr>
          <w:p w:rsidR="00615512" w:rsidRPr="00723BA8" w:rsidRDefault="00615512" w:rsidP="003D19F3">
            <w:pPr>
              <w:jc w:val="both"/>
              <w:rPr>
                <w:rFonts w:eastAsia="Calibri"/>
                <w:sz w:val="20"/>
                <w:lang w:val="fr-CA"/>
              </w:rPr>
            </w:pPr>
            <w:r w:rsidRPr="00723BA8">
              <w:rPr>
                <w:rFonts w:eastAsia="Calibri"/>
                <w:sz w:val="20"/>
                <w:lang w:val="fr-CA"/>
              </w:rPr>
              <w:t>Demande d'autorisation d'appel, déposée</w:t>
            </w:r>
          </w:p>
          <w:p w:rsidR="00615512" w:rsidRPr="00723BA8" w:rsidRDefault="00615512" w:rsidP="003D19F3">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7"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16E1" w:rsidRPr="00E62A55" w:rsidTr="00E816E1">
        <w:trPr>
          <w:cantSplit/>
        </w:trPr>
        <w:tc>
          <w:tcPr>
            <w:tcW w:w="1458" w:type="dxa"/>
          </w:tcPr>
          <w:p w:rsidR="00E816E1" w:rsidRPr="00FF441F" w:rsidRDefault="00E816E1" w:rsidP="00E816E1">
            <w:pPr>
              <w:rPr>
                <w:rFonts w:cs="Times New Roman"/>
                <w:sz w:val="20"/>
                <w:szCs w:val="20"/>
              </w:rPr>
            </w:pPr>
            <w:r w:rsidRPr="00FF441F">
              <w:rPr>
                <w:rStyle w:val="SCCFileNumberChar"/>
                <w:sz w:val="20"/>
                <w:szCs w:val="20"/>
              </w:rPr>
              <w:t>34042</w:t>
            </w:r>
          </w:p>
          <w:p w:rsidR="00E816E1" w:rsidRPr="00FF441F" w:rsidRDefault="00E816E1" w:rsidP="00E816E1">
            <w:pPr>
              <w:rPr>
                <w:rFonts w:cs="Times New Roman"/>
                <w:b/>
                <w:sz w:val="20"/>
                <w:szCs w:val="20"/>
                <w:lang w:val="fr-CA"/>
              </w:rPr>
            </w:pPr>
          </w:p>
        </w:tc>
        <w:tc>
          <w:tcPr>
            <w:tcW w:w="8118" w:type="dxa"/>
          </w:tcPr>
          <w:p w:rsidR="00E816E1" w:rsidRPr="00FF441F" w:rsidRDefault="00E816E1" w:rsidP="00E816E1">
            <w:pPr>
              <w:jc w:val="both"/>
              <w:rPr>
                <w:rFonts w:cs="Times New Roman"/>
                <w:sz w:val="20"/>
                <w:szCs w:val="20"/>
                <w:lang w:val="fr-CA"/>
              </w:rPr>
            </w:pPr>
            <w:r w:rsidRPr="00FF441F">
              <w:rPr>
                <w:rStyle w:val="SCCLsocChar"/>
                <w:rFonts w:cs="Times New Roman"/>
                <w:sz w:val="20"/>
                <w:szCs w:val="20"/>
              </w:rPr>
              <w:t>Lina Jazra c. Tribunal administratif du Québec, section des affaires sociales</w:t>
            </w:r>
            <w:r w:rsidRPr="00FF441F">
              <w:rPr>
                <w:rFonts w:cs="Times New Roman"/>
                <w:sz w:val="20"/>
                <w:szCs w:val="20"/>
                <w:lang w:val="fr-CA"/>
              </w:rPr>
              <w:t xml:space="preserve"> (Qc) (Civile) (Autorisation)</w:t>
            </w:r>
          </w:p>
          <w:p w:rsidR="00E816E1" w:rsidRPr="00FF441F" w:rsidRDefault="00E816E1" w:rsidP="00E816E1">
            <w:pPr>
              <w:rPr>
                <w:rFonts w:cs="Times New Roman"/>
                <w:sz w:val="20"/>
                <w:szCs w:val="20"/>
                <w:lang w:val="fr-CA"/>
              </w:rPr>
            </w:pPr>
          </w:p>
        </w:tc>
      </w:tr>
      <w:tr w:rsidR="00E816E1" w:rsidRPr="00E62A55" w:rsidTr="00E816E1">
        <w:trPr>
          <w:cantSplit/>
        </w:trPr>
        <w:tc>
          <w:tcPr>
            <w:tcW w:w="1458" w:type="dxa"/>
          </w:tcPr>
          <w:p w:rsidR="00E816E1" w:rsidRPr="00FF441F" w:rsidRDefault="00E816E1" w:rsidP="00E816E1">
            <w:pPr>
              <w:rPr>
                <w:rFonts w:cs="Times New Roman"/>
                <w:sz w:val="20"/>
                <w:szCs w:val="20"/>
              </w:rPr>
            </w:pPr>
            <w:r w:rsidRPr="00FF441F">
              <w:rPr>
                <w:rFonts w:cs="Times New Roman"/>
                <w:sz w:val="20"/>
                <w:szCs w:val="20"/>
              </w:rPr>
              <w:t>Coram :</w:t>
            </w:r>
          </w:p>
        </w:tc>
        <w:tc>
          <w:tcPr>
            <w:tcW w:w="8118" w:type="dxa"/>
          </w:tcPr>
          <w:p w:rsidR="00E816E1" w:rsidRPr="00FF441F" w:rsidRDefault="00E816E1" w:rsidP="00E816E1">
            <w:pPr>
              <w:rPr>
                <w:rFonts w:cs="Times New Roman"/>
                <w:sz w:val="20"/>
                <w:szCs w:val="20"/>
                <w:lang w:val="fr-CA"/>
              </w:rPr>
            </w:pPr>
            <w:r w:rsidRPr="00FF441F">
              <w:rPr>
                <w:rStyle w:val="SCCCoramChar"/>
                <w:rFonts w:cs="Times New Roman"/>
                <w:sz w:val="20"/>
                <w:szCs w:val="20"/>
              </w:rPr>
              <w:t>Les juges LeBel, Deschamps et Charron</w:t>
            </w:r>
          </w:p>
          <w:p w:rsidR="00E816E1" w:rsidRPr="00FF441F" w:rsidRDefault="00E816E1" w:rsidP="00E816E1">
            <w:pPr>
              <w:rPr>
                <w:rFonts w:cs="Times New Roman"/>
                <w:sz w:val="20"/>
                <w:szCs w:val="20"/>
                <w:u w:val="single"/>
                <w:lang w:val="fr-CA"/>
              </w:rPr>
            </w:pPr>
          </w:p>
        </w:tc>
      </w:tr>
      <w:tr w:rsidR="00E816E1" w:rsidRPr="00FF441F" w:rsidTr="00E816E1">
        <w:trPr>
          <w:cantSplit/>
        </w:trPr>
        <w:tc>
          <w:tcPr>
            <w:tcW w:w="9576" w:type="dxa"/>
            <w:gridSpan w:val="2"/>
          </w:tcPr>
          <w:p w:rsidR="00E816E1" w:rsidRPr="00FF441F" w:rsidRDefault="00E816E1" w:rsidP="00E816E1">
            <w:pPr>
              <w:pStyle w:val="SCCShortJudgment"/>
              <w:rPr>
                <w:rFonts w:cs="Times New Roman"/>
                <w:szCs w:val="20"/>
                <w:lang w:val="fr-CA"/>
              </w:rPr>
            </w:pPr>
            <w:r w:rsidRPr="00FF441F">
              <w:rPr>
                <w:rFonts w:cs="Times New Roman"/>
                <w:szCs w:val="20"/>
                <w:lang w:val="fr-CA"/>
              </w:rPr>
              <w:t>La demande d’autorisation d’appel de l’arrêt de la Cour d’appel du Québec (Montréal), numéro 500-09-021091-103, 2010 QCCA 1951, daté du 1</w:t>
            </w:r>
            <w:r w:rsidRPr="00E245CC">
              <w:rPr>
                <w:rFonts w:cs="Times New Roman"/>
                <w:szCs w:val="20"/>
                <w:vertAlign w:val="superscript"/>
                <w:lang w:val="fr-CA"/>
              </w:rPr>
              <w:t>er</w:t>
            </w:r>
            <w:r w:rsidRPr="00FF441F">
              <w:rPr>
                <w:rFonts w:cs="Times New Roman"/>
                <w:szCs w:val="20"/>
                <w:lang w:val="fr-CA"/>
              </w:rPr>
              <w:t xml:space="preserve"> novembre 2010, est rejetée sans dépens.</w:t>
            </w:r>
          </w:p>
          <w:p w:rsidR="00E816E1" w:rsidRPr="00FF441F" w:rsidRDefault="00E816E1" w:rsidP="00E816E1">
            <w:pPr>
              <w:pStyle w:val="SCCShortJudgment"/>
              <w:ind w:firstLine="0"/>
              <w:rPr>
                <w:rFonts w:cs="Times New Roman"/>
                <w:szCs w:val="20"/>
                <w:lang w:val="fr-CA"/>
              </w:rPr>
            </w:pPr>
          </w:p>
          <w:p w:rsidR="00E816E1" w:rsidRPr="00FF441F" w:rsidRDefault="00E816E1" w:rsidP="00E816E1">
            <w:pPr>
              <w:pStyle w:val="SCCShortJudgment"/>
              <w:rPr>
                <w:rFonts w:cs="Times New Roman"/>
                <w:szCs w:val="20"/>
              </w:rPr>
            </w:pPr>
            <w:r w:rsidRPr="00FF441F">
              <w:rPr>
                <w:rFonts w:cs="Times New Roman"/>
                <w:szCs w:val="20"/>
              </w:rPr>
              <w:t xml:space="preserve">The application for leave to appeal from the judgment of the Court of Appeal of Quebec (Montréal), Number 500-09-021091-103, 2010 QCCA 1951, dated November 1, 2010, is dismissed without costs. </w:t>
            </w:r>
          </w:p>
        </w:tc>
      </w:tr>
    </w:tbl>
    <w:p w:rsidR="00615512" w:rsidRDefault="00615512" w:rsidP="004E6FA2">
      <w:pPr>
        <w:rPr>
          <w:sz w:val="20"/>
          <w:szCs w:val="20"/>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15512" w:rsidRPr="00723BA8" w:rsidTr="003D19F3">
        <w:tc>
          <w:tcPr>
            <w:tcW w:w="5000" w:type="pct"/>
            <w:gridSpan w:val="3"/>
          </w:tcPr>
          <w:p w:rsidR="00615512" w:rsidRPr="00723BA8" w:rsidRDefault="00615512" w:rsidP="003D19F3">
            <w:pPr>
              <w:jc w:val="both"/>
              <w:rPr>
                <w:rFonts w:eastAsia="Calibri"/>
                <w:sz w:val="20"/>
              </w:rPr>
            </w:pPr>
            <w:r w:rsidRPr="00723BA8">
              <w:rPr>
                <w:rFonts w:eastAsia="Calibri"/>
                <w:sz w:val="20"/>
              </w:rPr>
              <w:t>Access to information — Personal information — Decisions of Société de l’assurance automobile du Québec — Administrative Tribunal of Québec — Whether Court of Appeal erred in dismissing applicant’s motion for leave to appeal.</w:t>
            </w:r>
          </w:p>
          <w:p w:rsidR="00615512" w:rsidRPr="00723BA8" w:rsidRDefault="00615512" w:rsidP="003D19F3">
            <w:pPr>
              <w:jc w:val="both"/>
              <w:rPr>
                <w:rFonts w:eastAsia="Calibri"/>
                <w:sz w:val="20"/>
              </w:rPr>
            </w:pPr>
          </w:p>
        </w:tc>
      </w:tr>
      <w:tr w:rsidR="00615512" w:rsidRPr="00723BA8" w:rsidTr="003D19F3">
        <w:tc>
          <w:tcPr>
            <w:tcW w:w="5000" w:type="pct"/>
            <w:gridSpan w:val="3"/>
          </w:tcPr>
          <w:p w:rsidR="00615512" w:rsidRPr="00723BA8" w:rsidRDefault="00615512" w:rsidP="003D19F3">
            <w:pPr>
              <w:jc w:val="both"/>
              <w:rPr>
                <w:rFonts w:eastAsia="Calibri"/>
                <w:sz w:val="20"/>
              </w:rPr>
            </w:pPr>
            <w:r w:rsidRPr="00723BA8">
              <w:rPr>
                <w:rFonts w:eastAsia="Calibri"/>
                <w:sz w:val="20"/>
              </w:rPr>
              <w:t>In 2005, Lina Jazra, the applicant, requested that the Administrative Tribunal of Québec (“ATQ”) provide her with nine decisions of the Société de l’assurance automobile du Québec (“SAAQ”) relating to two automobile accidents in which she had been involved in December 1987.  As she allegedly did not receive a response, Ms. Jazra applied to the Commission d’accès à l’information (“Commission”) to review the ATQ’s refusal to comply with her request.  The Commission found that the ATQ had sent Ms. Jazra the nine decisions in question and that it was in possession of no others.  The Commission closed the file.  The Court of Québec, concluding that Ms. Jazra could not obtain any other non</w:t>
            </w:r>
            <w:r w:rsidRPr="00723BA8">
              <w:rPr>
                <w:rFonts w:eastAsia="Calibri"/>
                <w:sz w:val="20"/>
              </w:rPr>
              <w:noBreakHyphen/>
              <w:t>existent decisions from the ATQ, dismissed the motion for leave to appeal.  The Superior Court dismissed Ms. Jazra’s motion for judicial review.  The Court of Appeal dismissed the motion for leave to appeal.</w:t>
            </w:r>
          </w:p>
          <w:p w:rsidR="00615512" w:rsidRPr="00723BA8" w:rsidRDefault="00615512" w:rsidP="003D19F3">
            <w:pPr>
              <w:jc w:val="both"/>
              <w:rPr>
                <w:rFonts w:eastAsia="Calibri"/>
                <w:sz w:val="20"/>
              </w:rPr>
            </w:pPr>
          </w:p>
        </w:tc>
      </w:tr>
      <w:tr w:rsidR="00615512" w:rsidRPr="00723BA8" w:rsidTr="003D19F3">
        <w:tc>
          <w:tcPr>
            <w:tcW w:w="2427" w:type="pct"/>
          </w:tcPr>
          <w:p w:rsidR="00615512" w:rsidRPr="00723BA8" w:rsidRDefault="00615512" w:rsidP="003D19F3">
            <w:pPr>
              <w:jc w:val="both"/>
              <w:rPr>
                <w:rFonts w:eastAsia="Calibri"/>
                <w:sz w:val="20"/>
                <w:lang w:val="fr-CA"/>
              </w:rPr>
            </w:pPr>
            <w:r w:rsidRPr="00723BA8">
              <w:rPr>
                <w:rFonts w:eastAsia="Calibri"/>
                <w:sz w:val="20"/>
                <w:lang w:val="fr-CA"/>
              </w:rPr>
              <w:t>November 24, 2006</w:t>
            </w:r>
          </w:p>
          <w:p w:rsidR="00615512" w:rsidRPr="00723BA8" w:rsidRDefault="00615512" w:rsidP="003D19F3">
            <w:pPr>
              <w:jc w:val="both"/>
              <w:rPr>
                <w:rFonts w:eastAsia="Calibri"/>
                <w:sz w:val="20"/>
                <w:lang w:val="fr-CA"/>
              </w:rPr>
            </w:pPr>
            <w:r w:rsidRPr="00723BA8">
              <w:rPr>
                <w:rFonts w:eastAsia="Calibri"/>
                <w:sz w:val="20"/>
                <w:lang w:val="fr-CA"/>
              </w:rPr>
              <w:t>Commission d’accès à l’information du Québec</w:t>
            </w:r>
          </w:p>
          <w:p w:rsidR="00615512" w:rsidRPr="00723BA8" w:rsidRDefault="00615512" w:rsidP="003D19F3">
            <w:pPr>
              <w:jc w:val="both"/>
              <w:rPr>
                <w:rFonts w:eastAsia="Calibri"/>
                <w:sz w:val="20"/>
              </w:rPr>
            </w:pPr>
            <w:r w:rsidRPr="00723BA8">
              <w:rPr>
                <w:rFonts w:eastAsia="Calibri"/>
                <w:sz w:val="20"/>
              </w:rPr>
              <w:t>(Member Constant)</w:t>
            </w:r>
          </w:p>
          <w:p w:rsidR="00615512" w:rsidRPr="00723BA8" w:rsidRDefault="00615512" w:rsidP="00615512">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3D19F3">
            <w:pPr>
              <w:jc w:val="both"/>
              <w:rPr>
                <w:rFonts w:eastAsia="Calibri"/>
                <w:sz w:val="20"/>
              </w:rPr>
            </w:pPr>
            <w:r w:rsidRPr="00723BA8">
              <w:rPr>
                <w:rFonts w:eastAsia="Calibri"/>
                <w:sz w:val="20"/>
              </w:rPr>
              <w:t>Application for review of decision relating to access to personal information; file closed</w:t>
            </w:r>
          </w:p>
          <w:p w:rsidR="00615512" w:rsidRPr="00723BA8" w:rsidRDefault="00615512" w:rsidP="00615512">
            <w:pPr>
              <w:jc w:val="both"/>
              <w:rPr>
                <w:rFonts w:eastAsia="Calibri"/>
                <w:sz w:val="20"/>
              </w:rPr>
            </w:pPr>
          </w:p>
        </w:tc>
      </w:tr>
      <w:tr w:rsidR="00615512" w:rsidRPr="00723BA8" w:rsidTr="003D19F3">
        <w:tc>
          <w:tcPr>
            <w:tcW w:w="2427" w:type="pct"/>
          </w:tcPr>
          <w:p w:rsidR="00615512" w:rsidRPr="00723BA8" w:rsidRDefault="00615512" w:rsidP="00615512">
            <w:pPr>
              <w:jc w:val="both"/>
              <w:rPr>
                <w:rFonts w:eastAsia="Calibri"/>
                <w:sz w:val="20"/>
              </w:rPr>
            </w:pPr>
            <w:r w:rsidRPr="00723BA8">
              <w:rPr>
                <w:rFonts w:eastAsia="Calibri"/>
                <w:sz w:val="20"/>
              </w:rPr>
              <w:t>February 2, 2009</w:t>
            </w:r>
          </w:p>
          <w:p w:rsidR="00615512" w:rsidRPr="00723BA8" w:rsidRDefault="00615512" w:rsidP="00615512">
            <w:pPr>
              <w:jc w:val="both"/>
              <w:rPr>
                <w:rFonts w:eastAsia="Calibri"/>
                <w:sz w:val="20"/>
              </w:rPr>
            </w:pPr>
            <w:r w:rsidRPr="00723BA8">
              <w:rPr>
                <w:rFonts w:eastAsia="Calibri"/>
                <w:sz w:val="20"/>
              </w:rPr>
              <w:t>Court of Québec</w:t>
            </w:r>
          </w:p>
          <w:p w:rsidR="00615512" w:rsidRPr="00723BA8" w:rsidRDefault="00615512" w:rsidP="00615512">
            <w:pPr>
              <w:jc w:val="both"/>
              <w:rPr>
                <w:rFonts w:eastAsia="Calibri"/>
                <w:sz w:val="20"/>
              </w:rPr>
            </w:pPr>
            <w:r w:rsidRPr="00723BA8">
              <w:rPr>
                <w:rFonts w:eastAsia="Calibri"/>
                <w:sz w:val="20"/>
              </w:rPr>
              <w:t>(Judge Charron)</w:t>
            </w:r>
          </w:p>
          <w:p w:rsidR="00615512" w:rsidRPr="00615512" w:rsidRDefault="00615512" w:rsidP="003D19F3">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615512">
            <w:pPr>
              <w:jc w:val="both"/>
              <w:rPr>
                <w:rFonts w:eastAsia="Calibri"/>
                <w:sz w:val="20"/>
              </w:rPr>
            </w:pPr>
            <w:r w:rsidRPr="00723BA8">
              <w:rPr>
                <w:rFonts w:eastAsia="Calibri"/>
                <w:sz w:val="20"/>
              </w:rPr>
              <w:t>Motion for leave to appeal dismissed</w:t>
            </w:r>
          </w:p>
          <w:p w:rsidR="00615512" w:rsidRPr="00723BA8" w:rsidRDefault="00615512" w:rsidP="003D19F3">
            <w:pPr>
              <w:jc w:val="both"/>
              <w:rPr>
                <w:rFonts w:eastAsia="Calibri"/>
                <w:sz w:val="20"/>
              </w:rPr>
            </w:pPr>
          </w:p>
        </w:tc>
      </w:tr>
      <w:tr w:rsidR="00615512" w:rsidRPr="00723BA8" w:rsidTr="00E816E1">
        <w:trPr>
          <w:cantSplit/>
        </w:trPr>
        <w:tc>
          <w:tcPr>
            <w:tcW w:w="2427" w:type="pct"/>
          </w:tcPr>
          <w:p w:rsidR="00615512" w:rsidRPr="00723BA8" w:rsidRDefault="00615512" w:rsidP="00615512">
            <w:pPr>
              <w:jc w:val="both"/>
              <w:rPr>
                <w:rFonts w:eastAsia="Calibri"/>
                <w:sz w:val="20"/>
              </w:rPr>
            </w:pPr>
            <w:r w:rsidRPr="00723BA8">
              <w:rPr>
                <w:rFonts w:eastAsia="Calibri"/>
                <w:sz w:val="20"/>
              </w:rPr>
              <w:lastRenderedPageBreak/>
              <w:t>September 24, 2010</w:t>
            </w:r>
          </w:p>
          <w:p w:rsidR="00615512" w:rsidRPr="00723BA8" w:rsidRDefault="00615512" w:rsidP="00615512">
            <w:pPr>
              <w:jc w:val="both"/>
              <w:rPr>
                <w:rFonts w:eastAsia="Calibri"/>
                <w:sz w:val="20"/>
              </w:rPr>
            </w:pPr>
            <w:r w:rsidRPr="00723BA8">
              <w:rPr>
                <w:rFonts w:eastAsia="Calibri"/>
                <w:sz w:val="20"/>
              </w:rPr>
              <w:t>Quebec Superior Court</w:t>
            </w:r>
          </w:p>
          <w:p w:rsidR="00615512" w:rsidRPr="00723BA8" w:rsidRDefault="00615512" w:rsidP="00615512">
            <w:pPr>
              <w:jc w:val="both"/>
              <w:rPr>
                <w:rFonts w:eastAsia="Calibri"/>
                <w:sz w:val="20"/>
              </w:rPr>
            </w:pPr>
            <w:r w:rsidRPr="00723BA8">
              <w:rPr>
                <w:rFonts w:eastAsia="Calibri"/>
                <w:sz w:val="20"/>
              </w:rPr>
              <w:t>(Delorme J.)</w:t>
            </w:r>
          </w:p>
          <w:p w:rsidR="00615512" w:rsidRPr="00615512" w:rsidRDefault="00615512" w:rsidP="003D19F3">
            <w:pPr>
              <w:jc w:val="both"/>
              <w:rPr>
                <w:rFonts w:eastAsia="Calibri"/>
                <w:sz w:val="20"/>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615512">
            <w:pPr>
              <w:jc w:val="both"/>
              <w:rPr>
                <w:rFonts w:eastAsia="Calibri"/>
                <w:sz w:val="20"/>
              </w:rPr>
            </w:pPr>
            <w:r w:rsidRPr="00723BA8">
              <w:rPr>
                <w:rFonts w:eastAsia="Calibri"/>
                <w:sz w:val="20"/>
              </w:rPr>
              <w:t>Motion for judicial review dismissed</w:t>
            </w:r>
          </w:p>
          <w:p w:rsidR="00615512" w:rsidRPr="00723BA8" w:rsidRDefault="00615512" w:rsidP="003D19F3">
            <w:pPr>
              <w:jc w:val="both"/>
              <w:rPr>
                <w:rFonts w:eastAsia="Calibri"/>
                <w:sz w:val="20"/>
              </w:rPr>
            </w:pPr>
          </w:p>
        </w:tc>
      </w:tr>
      <w:tr w:rsidR="00615512" w:rsidRPr="00723BA8" w:rsidTr="00E816E1">
        <w:trPr>
          <w:cantSplit/>
        </w:trPr>
        <w:tc>
          <w:tcPr>
            <w:tcW w:w="2427" w:type="pct"/>
          </w:tcPr>
          <w:p w:rsidR="00615512" w:rsidRPr="00723BA8" w:rsidRDefault="00615512" w:rsidP="00615512">
            <w:pPr>
              <w:jc w:val="both"/>
              <w:rPr>
                <w:rFonts w:eastAsia="Calibri"/>
                <w:sz w:val="20"/>
              </w:rPr>
            </w:pPr>
            <w:r w:rsidRPr="00723BA8">
              <w:rPr>
                <w:rFonts w:eastAsia="Calibri"/>
                <w:sz w:val="20"/>
              </w:rPr>
              <w:t>November 1, 2010</w:t>
            </w:r>
          </w:p>
          <w:p w:rsidR="00615512" w:rsidRPr="00723BA8" w:rsidRDefault="00615512" w:rsidP="00615512">
            <w:pPr>
              <w:jc w:val="both"/>
              <w:rPr>
                <w:rFonts w:eastAsia="Calibri"/>
                <w:sz w:val="20"/>
              </w:rPr>
            </w:pPr>
            <w:r w:rsidRPr="00723BA8">
              <w:rPr>
                <w:rFonts w:eastAsia="Calibri"/>
                <w:sz w:val="20"/>
              </w:rPr>
              <w:t>Quebec Court of Appeal (Montréal)</w:t>
            </w:r>
          </w:p>
          <w:p w:rsidR="00615512" w:rsidRPr="00723BA8" w:rsidRDefault="00615512" w:rsidP="00615512">
            <w:pPr>
              <w:jc w:val="both"/>
              <w:rPr>
                <w:rFonts w:eastAsia="Calibri"/>
                <w:sz w:val="20"/>
              </w:rPr>
            </w:pPr>
            <w:r w:rsidRPr="00723BA8">
              <w:rPr>
                <w:rFonts w:eastAsia="Calibri"/>
                <w:sz w:val="20"/>
              </w:rPr>
              <w:t>(Duval Hesler J.A.)</w:t>
            </w:r>
          </w:p>
          <w:p w:rsidR="00615512" w:rsidRPr="00723BA8" w:rsidRDefault="00615512" w:rsidP="003D19F3">
            <w:pPr>
              <w:jc w:val="both"/>
              <w:rPr>
                <w:rFonts w:eastAsia="Calibri"/>
                <w:sz w:val="20"/>
                <w:lang w:val="fr-CA"/>
              </w:rPr>
            </w:pP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615512">
            <w:pPr>
              <w:jc w:val="both"/>
              <w:rPr>
                <w:rFonts w:eastAsia="Calibri"/>
                <w:sz w:val="20"/>
              </w:rPr>
            </w:pPr>
            <w:r w:rsidRPr="00723BA8">
              <w:rPr>
                <w:rFonts w:eastAsia="Calibri"/>
                <w:sz w:val="20"/>
              </w:rPr>
              <w:t>Motion for leave to appeal dismissed</w:t>
            </w:r>
          </w:p>
          <w:p w:rsidR="00615512" w:rsidRPr="00723BA8" w:rsidRDefault="00615512" w:rsidP="003D19F3">
            <w:pPr>
              <w:jc w:val="both"/>
              <w:rPr>
                <w:rFonts w:eastAsia="Calibri"/>
                <w:sz w:val="20"/>
              </w:rPr>
            </w:pPr>
          </w:p>
        </w:tc>
      </w:tr>
      <w:tr w:rsidR="00615512" w:rsidRPr="00723BA8" w:rsidTr="00E816E1">
        <w:trPr>
          <w:cantSplit/>
        </w:trPr>
        <w:tc>
          <w:tcPr>
            <w:tcW w:w="2427" w:type="pct"/>
          </w:tcPr>
          <w:p w:rsidR="00615512" w:rsidRPr="00723BA8" w:rsidRDefault="00615512" w:rsidP="003D19F3">
            <w:pPr>
              <w:jc w:val="both"/>
              <w:rPr>
                <w:rFonts w:eastAsia="Calibri"/>
                <w:sz w:val="20"/>
              </w:rPr>
            </w:pPr>
            <w:r w:rsidRPr="00723BA8">
              <w:rPr>
                <w:rFonts w:eastAsia="Calibri"/>
                <w:sz w:val="20"/>
              </w:rPr>
              <w:t>December 31, 2010</w:t>
            </w:r>
          </w:p>
          <w:p w:rsidR="00615512" w:rsidRPr="00723BA8" w:rsidRDefault="00615512" w:rsidP="003D19F3">
            <w:pPr>
              <w:jc w:val="both"/>
              <w:rPr>
                <w:rFonts w:eastAsia="Calibri"/>
                <w:sz w:val="20"/>
              </w:rPr>
            </w:pPr>
            <w:r w:rsidRPr="00723BA8">
              <w:rPr>
                <w:rFonts w:eastAsia="Calibri"/>
                <w:sz w:val="20"/>
              </w:rPr>
              <w:t>Supreme Court of Canada</w:t>
            </w:r>
          </w:p>
        </w:tc>
        <w:tc>
          <w:tcPr>
            <w:tcW w:w="243" w:type="pct"/>
          </w:tcPr>
          <w:p w:rsidR="00615512" w:rsidRPr="00723BA8" w:rsidRDefault="00615512" w:rsidP="003D19F3">
            <w:pPr>
              <w:jc w:val="both"/>
              <w:rPr>
                <w:rFonts w:eastAsia="Calibri"/>
                <w:sz w:val="20"/>
              </w:rPr>
            </w:pPr>
          </w:p>
        </w:tc>
        <w:tc>
          <w:tcPr>
            <w:tcW w:w="2330" w:type="pct"/>
          </w:tcPr>
          <w:p w:rsidR="00615512" w:rsidRPr="00723BA8" w:rsidRDefault="00615512" w:rsidP="003D19F3">
            <w:pPr>
              <w:jc w:val="both"/>
              <w:rPr>
                <w:rFonts w:eastAsia="Calibri"/>
                <w:sz w:val="20"/>
              </w:rPr>
            </w:pPr>
            <w:r w:rsidRPr="00723BA8">
              <w:rPr>
                <w:rFonts w:eastAsia="Calibri"/>
                <w:sz w:val="20"/>
              </w:rPr>
              <w:t>Application for leave to appeal filed</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8"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D19F3" w:rsidRPr="00E62A55" w:rsidTr="003D19F3">
        <w:tc>
          <w:tcPr>
            <w:tcW w:w="5000" w:type="pct"/>
            <w:gridSpan w:val="3"/>
          </w:tcPr>
          <w:p w:rsidR="003D19F3" w:rsidRPr="00723BA8" w:rsidRDefault="003D19F3" w:rsidP="003D19F3">
            <w:pPr>
              <w:jc w:val="both"/>
              <w:rPr>
                <w:rFonts w:eastAsia="Calibri"/>
                <w:sz w:val="20"/>
                <w:lang w:val="fr-CA"/>
              </w:rPr>
            </w:pPr>
            <w:r w:rsidRPr="00723BA8">
              <w:rPr>
                <w:rFonts w:eastAsia="Calibri"/>
                <w:sz w:val="20"/>
                <w:lang w:val="fr-CA"/>
              </w:rPr>
              <w:t>Accès à l’information – Renseignements personnels – Décisions de la Société de l’assurance automobile du Québec – Tribunal administratif du Québec – La Cour d’appel a-t-elle fait erreur en rejetant la requête de la demanderesse pour permission d’appeler?</w:t>
            </w:r>
          </w:p>
          <w:p w:rsidR="003D19F3" w:rsidRPr="00723BA8" w:rsidRDefault="003D19F3" w:rsidP="003D19F3">
            <w:pPr>
              <w:jc w:val="both"/>
              <w:rPr>
                <w:rFonts w:eastAsia="Calibri"/>
                <w:sz w:val="20"/>
                <w:lang w:val="fr-CA"/>
              </w:rPr>
            </w:pPr>
          </w:p>
        </w:tc>
      </w:tr>
      <w:tr w:rsidR="003D19F3" w:rsidRPr="00723BA8" w:rsidTr="003D19F3">
        <w:tc>
          <w:tcPr>
            <w:tcW w:w="5000" w:type="pct"/>
            <w:gridSpan w:val="3"/>
          </w:tcPr>
          <w:p w:rsidR="003D19F3" w:rsidRPr="00723BA8" w:rsidRDefault="003D19F3" w:rsidP="003D19F3">
            <w:pPr>
              <w:jc w:val="both"/>
              <w:rPr>
                <w:rFonts w:eastAsia="Calibri"/>
                <w:sz w:val="20"/>
                <w:lang w:val="fr-CA"/>
              </w:rPr>
            </w:pPr>
            <w:r w:rsidRPr="00723BA8">
              <w:rPr>
                <w:rFonts w:eastAsia="Calibri"/>
                <w:sz w:val="20"/>
                <w:lang w:val="fr-CA"/>
              </w:rPr>
              <w:t>En 2005, Lina Jazra, demanderesse, s’adresse au Tribunal administratif du Québec (« TAQ ») demandant à ce dernier de lui fournir neuf décisions de la Société de l’assurance automobile du Québec (« SAAQ ») relatives à deux accidents d’automobile dans lesquels elle a été impliquée en décembre 1987. En l’absence de réponse, Mme Jazra sollicite l’intervention de la Commission d’accès à l’information (« Commission ») afin que soit révisée la décision sur le refus présumé du TAQ d’acquiescer à cette demande. La Commission conclut que le TAQ a transmis à Mme Jazra les neuf décisions en question et qu’il n’en détient pas d’autres. Elle ferme de dossier. Ayant conclu que Mme Jazra ne peut tenter d’obtenir du TAQ d’autres décisions qui n’existent pas, la Cour du Québec rejette la requête pour permission d’appeler. La Cour supérieure rejette la requête de Mme Jazra en révision judiciaire. La Cour d’appel rejette la requête pour permission d’appeler.</w:t>
            </w:r>
          </w:p>
          <w:p w:rsidR="003D19F3" w:rsidRPr="00723BA8" w:rsidRDefault="003D19F3" w:rsidP="003D19F3">
            <w:pPr>
              <w:jc w:val="both"/>
              <w:rPr>
                <w:rFonts w:eastAsia="Calibri"/>
                <w:sz w:val="20"/>
                <w:lang w:val="fr-CA"/>
              </w:rPr>
            </w:pPr>
          </w:p>
        </w:tc>
      </w:tr>
      <w:tr w:rsidR="003D19F3" w:rsidRPr="00E62A55" w:rsidTr="003D19F3">
        <w:tc>
          <w:tcPr>
            <w:tcW w:w="2427" w:type="pct"/>
          </w:tcPr>
          <w:p w:rsidR="003D19F3" w:rsidRPr="00723BA8" w:rsidRDefault="003D19F3" w:rsidP="003D19F3">
            <w:pPr>
              <w:jc w:val="both"/>
              <w:rPr>
                <w:rFonts w:eastAsia="Calibri"/>
                <w:sz w:val="20"/>
                <w:lang w:val="fr-CA"/>
              </w:rPr>
            </w:pPr>
            <w:r w:rsidRPr="00723BA8">
              <w:rPr>
                <w:rFonts w:eastAsia="Calibri"/>
                <w:sz w:val="20"/>
                <w:lang w:val="fr-CA"/>
              </w:rPr>
              <w:t>Le 24 novembre 2006</w:t>
            </w:r>
          </w:p>
          <w:p w:rsidR="003D19F3" w:rsidRPr="00723BA8" w:rsidRDefault="003D19F3" w:rsidP="003D19F3">
            <w:pPr>
              <w:jc w:val="both"/>
              <w:rPr>
                <w:rFonts w:eastAsia="Calibri"/>
                <w:sz w:val="20"/>
                <w:lang w:val="fr-CA"/>
              </w:rPr>
            </w:pPr>
            <w:r w:rsidRPr="00723BA8">
              <w:rPr>
                <w:rFonts w:eastAsia="Calibri"/>
                <w:sz w:val="20"/>
                <w:lang w:val="fr-CA"/>
              </w:rPr>
              <w:t>Commission d’accès à l’information du Québec</w:t>
            </w:r>
          </w:p>
          <w:p w:rsidR="003D19F3" w:rsidRPr="00723BA8" w:rsidRDefault="003D19F3" w:rsidP="003D19F3">
            <w:pPr>
              <w:jc w:val="both"/>
              <w:rPr>
                <w:rFonts w:eastAsia="Calibri"/>
                <w:sz w:val="20"/>
                <w:lang w:val="fr-CA"/>
              </w:rPr>
            </w:pPr>
            <w:r w:rsidRPr="00723BA8">
              <w:rPr>
                <w:rFonts w:eastAsia="Calibri"/>
                <w:sz w:val="20"/>
                <w:lang w:val="fr-CA"/>
              </w:rPr>
              <w:t>(La commissaire Constant)</w:t>
            </w:r>
          </w:p>
          <w:p w:rsidR="003D19F3" w:rsidRPr="00723BA8" w:rsidRDefault="003D19F3" w:rsidP="003A63D9">
            <w:pPr>
              <w:jc w:val="both"/>
              <w:rPr>
                <w:rFonts w:eastAsia="Calibri"/>
                <w:sz w:val="20"/>
              </w:rPr>
            </w:pPr>
          </w:p>
        </w:tc>
        <w:tc>
          <w:tcPr>
            <w:tcW w:w="243" w:type="pct"/>
          </w:tcPr>
          <w:p w:rsidR="003D19F3" w:rsidRPr="00723BA8" w:rsidRDefault="003D19F3" w:rsidP="003D19F3">
            <w:pPr>
              <w:jc w:val="both"/>
              <w:rPr>
                <w:rFonts w:eastAsia="Calibri"/>
                <w:sz w:val="20"/>
              </w:rPr>
            </w:pPr>
          </w:p>
        </w:tc>
        <w:tc>
          <w:tcPr>
            <w:tcW w:w="2330" w:type="pct"/>
          </w:tcPr>
          <w:p w:rsidR="003D19F3" w:rsidRPr="00723BA8" w:rsidRDefault="003D19F3" w:rsidP="003D19F3">
            <w:pPr>
              <w:jc w:val="both"/>
              <w:rPr>
                <w:rFonts w:eastAsia="Calibri"/>
                <w:sz w:val="20"/>
                <w:lang w:val="fr-CA"/>
              </w:rPr>
            </w:pPr>
            <w:r w:rsidRPr="00723BA8">
              <w:rPr>
                <w:rFonts w:eastAsia="Calibri"/>
                <w:sz w:val="20"/>
                <w:lang w:val="fr-CA"/>
              </w:rPr>
              <w:t>Demande de révision en matière d’accès à des renseignements personnels; dossier fermé</w:t>
            </w:r>
          </w:p>
          <w:p w:rsidR="003D19F3" w:rsidRPr="00723BA8" w:rsidRDefault="003D19F3" w:rsidP="003D19F3">
            <w:pPr>
              <w:jc w:val="both"/>
              <w:rPr>
                <w:rFonts w:eastAsia="Calibri"/>
                <w:sz w:val="20"/>
                <w:lang w:val="fr-CA"/>
              </w:rPr>
            </w:pPr>
          </w:p>
          <w:p w:rsidR="003D19F3" w:rsidRPr="00723BA8" w:rsidRDefault="003D19F3" w:rsidP="003D19F3">
            <w:pPr>
              <w:jc w:val="both"/>
              <w:rPr>
                <w:rFonts w:eastAsia="Calibri"/>
                <w:sz w:val="20"/>
                <w:lang w:val="fr-CA"/>
              </w:rPr>
            </w:pPr>
          </w:p>
        </w:tc>
      </w:tr>
      <w:tr w:rsidR="003D19F3" w:rsidRPr="003D19F3" w:rsidTr="003D19F3">
        <w:tc>
          <w:tcPr>
            <w:tcW w:w="2427" w:type="pct"/>
          </w:tcPr>
          <w:p w:rsidR="003D19F3" w:rsidRPr="00723BA8" w:rsidRDefault="003D19F3" w:rsidP="003D19F3">
            <w:pPr>
              <w:jc w:val="both"/>
              <w:rPr>
                <w:rFonts w:eastAsia="Calibri"/>
                <w:sz w:val="20"/>
                <w:lang w:val="fr-CA"/>
              </w:rPr>
            </w:pPr>
            <w:r w:rsidRPr="00723BA8">
              <w:rPr>
                <w:rFonts w:eastAsia="Calibri"/>
                <w:sz w:val="20"/>
                <w:lang w:val="fr-CA"/>
              </w:rPr>
              <w:t>Le 2 février 2009</w:t>
            </w:r>
          </w:p>
          <w:p w:rsidR="003D19F3" w:rsidRPr="00723BA8" w:rsidRDefault="003D19F3" w:rsidP="003D19F3">
            <w:pPr>
              <w:jc w:val="both"/>
              <w:rPr>
                <w:rFonts w:eastAsia="Calibri"/>
                <w:sz w:val="20"/>
                <w:lang w:val="fr-CA"/>
              </w:rPr>
            </w:pPr>
            <w:r w:rsidRPr="00723BA8">
              <w:rPr>
                <w:rFonts w:eastAsia="Calibri"/>
                <w:sz w:val="20"/>
                <w:lang w:val="fr-CA"/>
              </w:rPr>
              <w:t>Cour du Québec</w:t>
            </w:r>
          </w:p>
          <w:p w:rsidR="003D19F3" w:rsidRPr="00723BA8" w:rsidRDefault="003D19F3" w:rsidP="003D19F3">
            <w:pPr>
              <w:jc w:val="both"/>
              <w:rPr>
                <w:rFonts w:eastAsia="Calibri"/>
                <w:sz w:val="20"/>
                <w:lang w:val="fr-CA"/>
              </w:rPr>
            </w:pPr>
            <w:r w:rsidRPr="00723BA8">
              <w:rPr>
                <w:rFonts w:eastAsia="Calibri"/>
                <w:sz w:val="20"/>
                <w:lang w:val="fr-CA"/>
              </w:rPr>
              <w:t>(La juge Charron)</w:t>
            </w:r>
          </w:p>
          <w:p w:rsidR="003D19F3" w:rsidRPr="00723BA8" w:rsidRDefault="003D19F3" w:rsidP="003D19F3">
            <w:pPr>
              <w:jc w:val="both"/>
              <w:rPr>
                <w:rFonts w:eastAsia="Calibri"/>
                <w:sz w:val="20"/>
                <w:lang w:val="fr-CA"/>
              </w:rPr>
            </w:pPr>
          </w:p>
        </w:tc>
        <w:tc>
          <w:tcPr>
            <w:tcW w:w="243" w:type="pct"/>
          </w:tcPr>
          <w:p w:rsidR="003D19F3" w:rsidRPr="003D19F3" w:rsidRDefault="003D19F3" w:rsidP="003D19F3">
            <w:pPr>
              <w:jc w:val="both"/>
              <w:rPr>
                <w:rFonts w:eastAsia="Calibri"/>
                <w:sz w:val="20"/>
                <w:lang w:val="fr-CA"/>
              </w:rPr>
            </w:pPr>
          </w:p>
        </w:tc>
        <w:tc>
          <w:tcPr>
            <w:tcW w:w="2330" w:type="pct"/>
          </w:tcPr>
          <w:p w:rsidR="003A63D9" w:rsidRPr="00723BA8" w:rsidRDefault="003A63D9" w:rsidP="003A63D9">
            <w:pPr>
              <w:jc w:val="both"/>
              <w:rPr>
                <w:rFonts w:eastAsia="Calibri"/>
                <w:sz w:val="20"/>
                <w:lang w:val="fr-CA"/>
              </w:rPr>
            </w:pPr>
            <w:r w:rsidRPr="00723BA8">
              <w:rPr>
                <w:rFonts w:eastAsia="Calibri"/>
                <w:sz w:val="20"/>
                <w:lang w:val="fr-CA"/>
              </w:rPr>
              <w:t>Requête pour permission d’appeler rejetée</w:t>
            </w:r>
          </w:p>
          <w:p w:rsidR="003D19F3" w:rsidRPr="00723BA8" w:rsidRDefault="003D19F3" w:rsidP="003D19F3">
            <w:pPr>
              <w:jc w:val="both"/>
              <w:rPr>
                <w:rFonts w:eastAsia="Calibri"/>
                <w:sz w:val="20"/>
                <w:lang w:val="fr-CA"/>
              </w:rPr>
            </w:pPr>
          </w:p>
        </w:tc>
      </w:tr>
      <w:tr w:rsidR="003D19F3" w:rsidRPr="00723BA8" w:rsidTr="003D19F3">
        <w:tc>
          <w:tcPr>
            <w:tcW w:w="2427" w:type="pct"/>
          </w:tcPr>
          <w:p w:rsidR="003D19F3" w:rsidRPr="00723BA8" w:rsidRDefault="003D19F3" w:rsidP="003D19F3">
            <w:pPr>
              <w:jc w:val="both"/>
              <w:rPr>
                <w:rFonts w:eastAsia="Calibri"/>
                <w:sz w:val="20"/>
                <w:lang w:val="fr-CA"/>
              </w:rPr>
            </w:pPr>
            <w:r w:rsidRPr="00723BA8">
              <w:rPr>
                <w:rFonts w:eastAsia="Calibri"/>
                <w:sz w:val="20"/>
                <w:lang w:val="fr-CA"/>
              </w:rPr>
              <w:t>Le 24 septembre 2010</w:t>
            </w:r>
          </w:p>
          <w:p w:rsidR="003D19F3" w:rsidRPr="00723BA8" w:rsidRDefault="003D19F3" w:rsidP="003D19F3">
            <w:pPr>
              <w:jc w:val="both"/>
              <w:rPr>
                <w:rFonts w:eastAsia="Calibri"/>
                <w:sz w:val="20"/>
                <w:lang w:val="fr-CA"/>
              </w:rPr>
            </w:pPr>
            <w:r w:rsidRPr="00723BA8">
              <w:rPr>
                <w:rFonts w:eastAsia="Calibri"/>
                <w:sz w:val="20"/>
                <w:lang w:val="fr-CA"/>
              </w:rPr>
              <w:t>Cour supérieure du Québec</w:t>
            </w:r>
          </w:p>
          <w:p w:rsidR="003D19F3" w:rsidRPr="00723BA8" w:rsidRDefault="003D19F3" w:rsidP="003D19F3">
            <w:pPr>
              <w:jc w:val="both"/>
              <w:rPr>
                <w:rFonts w:eastAsia="Calibri"/>
                <w:sz w:val="20"/>
                <w:lang w:val="fr-CA"/>
              </w:rPr>
            </w:pPr>
            <w:r w:rsidRPr="00723BA8">
              <w:rPr>
                <w:rFonts w:eastAsia="Calibri"/>
                <w:sz w:val="20"/>
                <w:lang w:val="fr-CA"/>
              </w:rPr>
              <w:t>(Le juge Delorme)</w:t>
            </w:r>
          </w:p>
          <w:p w:rsidR="003D19F3" w:rsidRPr="00723BA8" w:rsidRDefault="003D19F3" w:rsidP="003D19F3">
            <w:pPr>
              <w:jc w:val="both"/>
              <w:rPr>
                <w:rFonts w:eastAsia="Calibri"/>
                <w:sz w:val="20"/>
                <w:lang w:val="fr-CA"/>
              </w:rPr>
            </w:pPr>
          </w:p>
        </w:tc>
        <w:tc>
          <w:tcPr>
            <w:tcW w:w="243" w:type="pct"/>
          </w:tcPr>
          <w:p w:rsidR="003D19F3" w:rsidRPr="00723BA8" w:rsidRDefault="003D19F3" w:rsidP="003D19F3">
            <w:pPr>
              <w:jc w:val="both"/>
              <w:rPr>
                <w:rFonts w:eastAsia="Calibri"/>
                <w:sz w:val="20"/>
              </w:rPr>
            </w:pPr>
          </w:p>
        </w:tc>
        <w:tc>
          <w:tcPr>
            <w:tcW w:w="2330" w:type="pct"/>
          </w:tcPr>
          <w:p w:rsidR="003D19F3" w:rsidRPr="00723BA8" w:rsidRDefault="003D19F3" w:rsidP="003D19F3">
            <w:pPr>
              <w:jc w:val="both"/>
              <w:rPr>
                <w:rFonts w:eastAsia="Calibri"/>
                <w:sz w:val="20"/>
                <w:lang w:val="fr-CA"/>
              </w:rPr>
            </w:pPr>
            <w:r w:rsidRPr="00723BA8">
              <w:rPr>
                <w:rFonts w:eastAsia="Calibri"/>
                <w:sz w:val="20"/>
                <w:lang w:val="fr-CA"/>
              </w:rPr>
              <w:t>Requête en révision judiciaire rejetée</w:t>
            </w:r>
          </w:p>
          <w:p w:rsidR="003D19F3" w:rsidRPr="00723BA8" w:rsidRDefault="003D19F3" w:rsidP="003D19F3">
            <w:pPr>
              <w:jc w:val="both"/>
              <w:rPr>
                <w:rFonts w:eastAsia="Calibri"/>
                <w:sz w:val="20"/>
                <w:lang w:val="fr-CA"/>
              </w:rPr>
            </w:pPr>
          </w:p>
          <w:p w:rsidR="003D19F3" w:rsidRPr="00723BA8" w:rsidRDefault="003D19F3" w:rsidP="003D19F3">
            <w:pPr>
              <w:jc w:val="both"/>
              <w:rPr>
                <w:rFonts w:eastAsia="Calibri"/>
                <w:sz w:val="20"/>
                <w:lang w:val="fr-CA"/>
              </w:rPr>
            </w:pPr>
          </w:p>
        </w:tc>
      </w:tr>
      <w:tr w:rsidR="003D19F3" w:rsidRPr="00723BA8" w:rsidTr="003D19F3">
        <w:tc>
          <w:tcPr>
            <w:tcW w:w="2427" w:type="pct"/>
          </w:tcPr>
          <w:p w:rsidR="003D19F3" w:rsidRPr="00723BA8" w:rsidRDefault="003D19F3" w:rsidP="003D19F3">
            <w:pPr>
              <w:jc w:val="both"/>
              <w:rPr>
                <w:rFonts w:eastAsia="Calibri"/>
                <w:sz w:val="20"/>
                <w:lang w:val="fr-CA"/>
              </w:rPr>
            </w:pPr>
            <w:r w:rsidRPr="00723BA8">
              <w:rPr>
                <w:rFonts w:eastAsia="Calibri"/>
                <w:sz w:val="20"/>
                <w:lang w:val="fr-CA"/>
              </w:rPr>
              <w:t>Le 1 novembre 2010</w:t>
            </w:r>
          </w:p>
          <w:p w:rsidR="003D19F3" w:rsidRPr="00723BA8" w:rsidRDefault="003D19F3" w:rsidP="003D19F3">
            <w:pPr>
              <w:jc w:val="both"/>
              <w:rPr>
                <w:rFonts w:eastAsia="Calibri"/>
                <w:sz w:val="20"/>
                <w:lang w:val="fr-CA"/>
              </w:rPr>
            </w:pPr>
            <w:r w:rsidRPr="00723BA8">
              <w:rPr>
                <w:rFonts w:eastAsia="Calibri"/>
                <w:sz w:val="20"/>
                <w:lang w:val="fr-CA"/>
              </w:rPr>
              <w:t>Cour d’appel du Québec (Montréal)</w:t>
            </w:r>
          </w:p>
          <w:p w:rsidR="003D19F3" w:rsidRPr="00723BA8" w:rsidRDefault="003D19F3" w:rsidP="003D19F3">
            <w:pPr>
              <w:jc w:val="both"/>
              <w:rPr>
                <w:rFonts w:eastAsia="Calibri"/>
                <w:sz w:val="20"/>
                <w:lang w:val="fr-CA"/>
              </w:rPr>
            </w:pPr>
            <w:r w:rsidRPr="00723BA8">
              <w:rPr>
                <w:rFonts w:eastAsia="Calibri"/>
                <w:sz w:val="20"/>
                <w:lang w:val="fr-CA"/>
              </w:rPr>
              <w:t>(La juge Duval Hesler)</w:t>
            </w:r>
          </w:p>
          <w:p w:rsidR="003D19F3" w:rsidRPr="00723BA8" w:rsidRDefault="003D19F3" w:rsidP="003D19F3">
            <w:pPr>
              <w:jc w:val="both"/>
              <w:rPr>
                <w:rFonts w:eastAsia="Calibri"/>
                <w:sz w:val="20"/>
                <w:lang w:val="fr-CA"/>
              </w:rPr>
            </w:pPr>
          </w:p>
        </w:tc>
        <w:tc>
          <w:tcPr>
            <w:tcW w:w="243" w:type="pct"/>
          </w:tcPr>
          <w:p w:rsidR="003D19F3" w:rsidRPr="00723BA8" w:rsidRDefault="003D19F3" w:rsidP="003D19F3">
            <w:pPr>
              <w:jc w:val="both"/>
              <w:rPr>
                <w:rFonts w:eastAsia="Calibri"/>
                <w:sz w:val="20"/>
              </w:rPr>
            </w:pPr>
          </w:p>
        </w:tc>
        <w:tc>
          <w:tcPr>
            <w:tcW w:w="2330" w:type="pct"/>
          </w:tcPr>
          <w:p w:rsidR="003D19F3" w:rsidRPr="00723BA8" w:rsidRDefault="003D19F3" w:rsidP="003D19F3">
            <w:pPr>
              <w:jc w:val="both"/>
              <w:rPr>
                <w:rFonts w:eastAsia="Calibri"/>
                <w:sz w:val="20"/>
                <w:lang w:val="fr-CA"/>
              </w:rPr>
            </w:pPr>
            <w:r w:rsidRPr="00723BA8">
              <w:rPr>
                <w:rFonts w:eastAsia="Calibri"/>
                <w:sz w:val="20"/>
                <w:lang w:val="fr-CA"/>
              </w:rPr>
              <w:t>Requête pour permission d’appeler rejetée</w:t>
            </w:r>
          </w:p>
          <w:p w:rsidR="003D19F3" w:rsidRPr="00723BA8" w:rsidRDefault="003D19F3" w:rsidP="003D19F3">
            <w:pPr>
              <w:jc w:val="both"/>
              <w:rPr>
                <w:rFonts w:eastAsia="Calibri"/>
                <w:sz w:val="20"/>
                <w:lang w:val="fr-CA"/>
              </w:rPr>
            </w:pPr>
          </w:p>
        </w:tc>
      </w:tr>
      <w:tr w:rsidR="003D19F3" w:rsidRPr="00723BA8" w:rsidTr="003D19F3">
        <w:tc>
          <w:tcPr>
            <w:tcW w:w="2427" w:type="pct"/>
          </w:tcPr>
          <w:p w:rsidR="003D19F3" w:rsidRPr="00723BA8" w:rsidRDefault="003D19F3" w:rsidP="003D19F3">
            <w:pPr>
              <w:jc w:val="both"/>
              <w:rPr>
                <w:rFonts w:eastAsia="Calibri"/>
                <w:sz w:val="20"/>
                <w:lang w:val="fr-CA"/>
              </w:rPr>
            </w:pPr>
            <w:r w:rsidRPr="00723BA8">
              <w:rPr>
                <w:rFonts w:eastAsia="Calibri"/>
                <w:sz w:val="20"/>
                <w:lang w:val="fr-CA"/>
              </w:rPr>
              <w:t>Le 31 décembre 2010</w:t>
            </w:r>
          </w:p>
          <w:p w:rsidR="003D19F3" w:rsidRPr="00723BA8" w:rsidRDefault="003D19F3" w:rsidP="003D19F3">
            <w:pPr>
              <w:jc w:val="both"/>
              <w:rPr>
                <w:rFonts w:eastAsia="Calibri"/>
                <w:sz w:val="20"/>
                <w:lang w:val="fr-CA"/>
              </w:rPr>
            </w:pPr>
            <w:r w:rsidRPr="00723BA8">
              <w:rPr>
                <w:rFonts w:eastAsia="Calibri"/>
                <w:sz w:val="20"/>
                <w:lang w:val="fr-CA"/>
              </w:rPr>
              <w:t>Cour suprême du Canada</w:t>
            </w:r>
          </w:p>
        </w:tc>
        <w:tc>
          <w:tcPr>
            <w:tcW w:w="243" w:type="pct"/>
          </w:tcPr>
          <w:p w:rsidR="003D19F3" w:rsidRPr="00723BA8" w:rsidRDefault="003D19F3" w:rsidP="003D19F3">
            <w:pPr>
              <w:jc w:val="both"/>
              <w:rPr>
                <w:rFonts w:eastAsia="Calibri"/>
                <w:sz w:val="20"/>
                <w:lang w:val="fr-CA"/>
              </w:rPr>
            </w:pPr>
          </w:p>
        </w:tc>
        <w:tc>
          <w:tcPr>
            <w:tcW w:w="2330" w:type="pct"/>
          </w:tcPr>
          <w:p w:rsidR="003D19F3" w:rsidRPr="00723BA8" w:rsidRDefault="003D19F3" w:rsidP="003D19F3">
            <w:pPr>
              <w:jc w:val="both"/>
              <w:rPr>
                <w:rFonts w:eastAsia="Calibri"/>
                <w:sz w:val="20"/>
                <w:lang w:val="fr-CA"/>
              </w:rPr>
            </w:pPr>
            <w:r w:rsidRPr="00723BA8">
              <w:rPr>
                <w:rFonts w:eastAsia="Calibri"/>
                <w:sz w:val="20"/>
                <w:lang w:val="fr-CA"/>
              </w:rPr>
              <w:t>Demande d'autorisation d'appel déposée</w:t>
            </w:r>
          </w:p>
          <w:p w:rsidR="003D19F3" w:rsidRPr="00723BA8" w:rsidRDefault="003D19F3" w:rsidP="003D19F3">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69"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E816E1" w:rsidRPr="00E62A55" w:rsidTr="00E816E1">
        <w:trPr>
          <w:cantSplit/>
        </w:trPr>
        <w:tc>
          <w:tcPr>
            <w:tcW w:w="1458" w:type="dxa"/>
          </w:tcPr>
          <w:p w:rsidR="00E816E1" w:rsidRPr="00FF441F" w:rsidRDefault="00E816E1" w:rsidP="00E816E1">
            <w:pPr>
              <w:rPr>
                <w:rFonts w:cs="Times New Roman"/>
                <w:sz w:val="20"/>
                <w:szCs w:val="20"/>
              </w:rPr>
            </w:pPr>
            <w:r w:rsidRPr="00FF441F">
              <w:rPr>
                <w:rStyle w:val="SCCFileNumberChar"/>
                <w:sz w:val="20"/>
                <w:szCs w:val="20"/>
              </w:rPr>
              <w:lastRenderedPageBreak/>
              <w:t>34049</w:t>
            </w:r>
          </w:p>
          <w:p w:rsidR="00E816E1" w:rsidRPr="00FF441F" w:rsidRDefault="00E816E1" w:rsidP="00E816E1">
            <w:pPr>
              <w:rPr>
                <w:rFonts w:cs="Times New Roman"/>
                <w:b/>
                <w:sz w:val="20"/>
                <w:szCs w:val="20"/>
                <w:lang w:val="fr-CA"/>
              </w:rPr>
            </w:pPr>
          </w:p>
        </w:tc>
        <w:tc>
          <w:tcPr>
            <w:tcW w:w="8118" w:type="dxa"/>
          </w:tcPr>
          <w:p w:rsidR="00E816E1" w:rsidRPr="00FF441F" w:rsidRDefault="00E816E1" w:rsidP="00E816E1">
            <w:pPr>
              <w:jc w:val="both"/>
              <w:rPr>
                <w:rFonts w:cs="Times New Roman"/>
                <w:sz w:val="20"/>
                <w:szCs w:val="20"/>
                <w:lang w:val="fr-CA"/>
              </w:rPr>
            </w:pPr>
            <w:r w:rsidRPr="00FF441F">
              <w:rPr>
                <w:rStyle w:val="SCCLsocChar"/>
                <w:rFonts w:cs="Times New Roman"/>
                <w:sz w:val="20"/>
                <w:szCs w:val="20"/>
              </w:rPr>
              <w:t>Mary Elizabeth Wilczynski, Ken Massé, Ken Massé ès qualités c. Corporation Minière Osisko</w:t>
            </w:r>
            <w:r w:rsidRPr="00FF441F">
              <w:rPr>
                <w:rFonts w:cs="Times New Roman"/>
                <w:sz w:val="20"/>
                <w:szCs w:val="20"/>
                <w:lang w:val="fr-CA"/>
              </w:rPr>
              <w:t xml:space="preserve"> (Qc) (Civile) (Autorisation)</w:t>
            </w:r>
          </w:p>
          <w:p w:rsidR="00E816E1" w:rsidRPr="00FF441F" w:rsidRDefault="00E816E1" w:rsidP="00E816E1">
            <w:pPr>
              <w:rPr>
                <w:rFonts w:cs="Times New Roman"/>
                <w:sz w:val="20"/>
                <w:szCs w:val="20"/>
                <w:lang w:val="fr-CA"/>
              </w:rPr>
            </w:pPr>
          </w:p>
        </w:tc>
      </w:tr>
      <w:tr w:rsidR="00E816E1" w:rsidRPr="00E62A55" w:rsidTr="00E816E1">
        <w:trPr>
          <w:cantSplit/>
        </w:trPr>
        <w:tc>
          <w:tcPr>
            <w:tcW w:w="1458" w:type="dxa"/>
          </w:tcPr>
          <w:p w:rsidR="00E816E1" w:rsidRPr="00FF441F" w:rsidRDefault="00E816E1" w:rsidP="00E816E1">
            <w:pPr>
              <w:rPr>
                <w:rFonts w:cs="Times New Roman"/>
                <w:sz w:val="20"/>
                <w:szCs w:val="20"/>
              </w:rPr>
            </w:pPr>
            <w:r w:rsidRPr="00FF441F">
              <w:rPr>
                <w:rFonts w:cs="Times New Roman"/>
                <w:sz w:val="20"/>
                <w:szCs w:val="20"/>
              </w:rPr>
              <w:t>Coram :</w:t>
            </w:r>
          </w:p>
        </w:tc>
        <w:tc>
          <w:tcPr>
            <w:tcW w:w="8118" w:type="dxa"/>
          </w:tcPr>
          <w:p w:rsidR="00E816E1" w:rsidRPr="00FF441F" w:rsidRDefault="00E816E1" w:rsidP="00E816E1">
            <w:pPr>
              <w:rPr>
                <w:rFonts w:cs="Times New Roman"/>
                <w:sz w:val="20"/>
                <w:szCs w:val="20"/>
                <w:lang w:val="fr-CA"/>
              </w:rPr>
            </w:pPr>
            <w:r w:rsidRPr="00FF441F">
              <w:rPr>
                <w:rStyle w:val="SCCCoramChar"/>
                <w:rFonts w:cs="Times New Roman"/>
                <w:sz w:val="20"/>
                <w:szCs w:val="20"/>
              </w:rPr>
              <w:t>Les juges LeBel, Deschamps et Charron</w:t>
            </w:r>
          </w:p>
          <w:p w:rsidR="00E816E1" w:rsidRPr="00FF441F" w:rsidRDefault="00E816E1" w:rsidP="00E816E1">
            <w:pPr>
              <w:rPr>
                <w:rFonts w:cs="Times New Roman"/>
                <w:sz w:val="20"/>
                <w:szCs w:val="20"/>
                <w:u w:val="single"/>
                <w:lang w:val="fr-CA"/>
              </w:rPr>
            </w:pPr>
          </w:p>
        </w:tc>
      </w:tr>
      <w:tr w:rsidR="00E816E1" w:rsidRPr="00FF441F" w:rsidTr="00E816E1">
        <w:trPr>
          <w:cantSplit/>
        </w:trPr>
        <w:tc>
          <w:tcPr>
            <w:tcW w:w="9576" w:type="dxa"/>
            <w:gridSpan w:val="2"/>
          </w:tcPr>
          <w:p w:rsidR="00E816E1" w:rsidRPr="00FF441F" w:rsidRDefault="00E816E1" w:rsidP="00E816E1">
            <w:pPr>
              <w:pStyle w:val="SCCShortJudgment"/>
              <w:rPr>
                <w:rFonts w:cs="Times New Roman"/>
                <w:szCs w:val="20"/>
                <w:lang w:val="fr-CA"/>
              </w:rPr>
            </w:pPr>
            <w:r w:rsidRPr="00FF441F">
              <w:rPr>
                <w:rFonts w:cs="Times New Roman"/>
                <w:szCs w:val="20"/>
                <w:lang w:val="fr-CA"/>
              </w:rPr>
              <w:t>La demande d’autorisation d’appel de l’arrêt de la Cour d’appel du Québec (Québec), numéro 200-09-007160-101, 2010 QCCA 2069, daté du 5 novembre 2010, est rejetée sans dépens.</w:t>
            </w:r>
          </w:p>
          <w:p w:rsidR="00E816E1" w:rsidRPr="00FF441F" w:rsidRDefault="00E816E1" w:rsidP="00E816E1">
            <w:pPr>
              <w:pStyle w:val="SCCShortJudgment"/>
              <w:ind w:firstLine="0"/>
              <w:rPr>
                <w:rFonts w:cs="Times New Roman"/>
                <w:szCs w:val="20"/>
                <w:lang w:val="fr-CA"/>
              </w:rPr>
            </w:pPr>
          </w:p>
          <w:p w:rsidR="00E816E1" w:rsidRPr="00FF441F" w:rsidRDefault="00E816E1" w:rsidP="00E816E1">
            <w:pPr>
              <w:pStyle w:val="SCCShortJudgment"/>
              <w:rPr>
                <w:rFonts w:cs="Times New Roman"/>
                <w:szCs w:val="20"/>
              </w:rPr>
            </w:pPr>
            <w:r w:rsidRPr="00FF441F">
              <w:rPr>
                <w:rFonts w:cs="Times New Roman"/>
                <w:szCs w:val="20"/>
              </w:rPr>
              <w:t>The application for leave to appeal from the judgment of the Court of Appeal of Quebec (Québec), Number 200-09-007160-101, 2010 QCCA 2069, dated November 5, 2010, is dismissed without costs.</w:t>
            </w:r>
          </w:p>
        </w:tc>
      </w:tr>
    </w:tbl>
    <w:p w:rsidR="004967AD" w:rsidRDefault="004967AD" w:rsidP="004E6FA2">
      <w:pPr>
        <w:rPr>
          <w:sz w:val="20"/>
          <w:szCs w:val="20"/>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7AD" w:rsidRPr="00723BA8" w:rsidTr="00A5373E">
        <w:tc>
          <w:tcPr>
            <w:tcW w:w="5000" w:type="pct"/>
            <w:gridSpan w:val="3"/>
          </w:tcPr>
          <w:p w:rsidR="004967AD" w:rsidRPr="00723BA8" w:rsidRDefault="004967AD" w:rsidP="00A5373E">
            <w:pPr>
              <w:jc w:val="both"/>
              <w:rPr>
                <w:rFonts w:eastAsia="Calibri"/>
                <w:sz w:val="20"/>
              </w:rPr>
            </w:pPr>
            <w:r w:rsidRPr="00723BA8">
              <w:rPr>
                <w:rFonts w:eastAsia="Calibri"/>
                <w:sz w:val="20"/>
              </w:rPr>
              <w:t>Expropriation — Validity of and conditions for exercising power to expropriate — Agreements entered into for mining operations authorized in urban setting — One owner refusing — Expropriation order applying to that person — Whether expropriation by order in council permitted by traditional public law in force in Quebec.</w:t>
            </w:r>
          </w:p>
          <w:p w:rsidR="004967AD" w:rsidRPr="00723BA8" w:rsidRDefault="004967AD" w:rsidP="00A5373E">
            <w:pPr>
              <w:jc w:val="both"/>
              <w:rPr>
                <w:rFonts w:eastAsia="Calibri"/>
                <w:sz w:val="20"/>
              </w:rPr>
            </w:pPr>
          </w:p>
        </w:tc>
      </w:tr>
      <w:tr w:rsidR="004967AD" w:rsidRPr="00723BA8" w:rsidTr="00A5373E">
        <w:tc>
          <w:tcPr>
            <w:tcW w:w="5000" w:type="pct"/>
            <w:gridSpan w:val="3"/>
          </w:tcPr>
          <w:p w:rsidR="004967AD" w:rsidRPr="00723BA8" w:rsidRDefault="004967AD" w:rsidP="00A5373E">
            <w:pPr>
              <w:jc w:val="both"/>
              <w:rPr>
                <w:rFonts w:eastAsia="Calibri"/>
                <w:sz w:val="20"/>
              </w:rPr>
            </w:pPr>
            <w:r w:rsidRPr="00723BA8">
              <w:rPr>
                <w:rFonts w:eastAsia="Calibri"/>
                <w:sz w:val="20"/>
              </w:rPr>
              <w:t>The provincial and municipal authorities granted Osisko the operating rights for an open</w:t>
            </w:r>
            <w:r w:rsidRPr="00723BA8">
              <w:rPr>
                <w:rFonts w:eastAsia="Calibri"/>
                <w:sz w:val="20"/>
              </w:rPr>
              <w:noBreakHyphen/>
              <w:t>pit gold mining project beneath the southern part of the town of Malartic.  Osisko entered into agreements to purchase 205 immovables.  Since Ms. Wilczynsky, the owner of a lot on which her son lived, refused to agree, the Quebec government issued an order in council authorizing Osisko to expropriate the lot.</w:t>
            </w:r>
          </w:p>
          <w:p w:rsidR="004967AD" w:rsidRPr="00723BA8" w:rsidRDefault="004967AD" w:rsidP="00A5373E">
            <w:pPr>
              <w:jc w:val="both"/>
              <w:rPr>
                <w:rFonts w:eastAsia="Calibri"/>
                <w:sz w:val="20"/>
              </w:rPr>
            </w:pPr>
          </w:p>
        </w:tc>
      </w:tr>
      <w:tr w:rsidR="004967AD" w:rsidRPr="00723BA8" w:rsidTr="00A5373E">
        <w:tc>
          <w:tcPr>
            <w:tcW w:w="2427" w:type="pct"/>
          </w:tcPr>
          <w:p w:rsidR="004967AD" w:rsidRPr="00723BA8" w:rsidRDefault="004967AD" w:rsidP="00A5373E">
            <w:pPr>
              <w:jc w:val="both"/>
              <w:rPr>
                <w:rFonts w:eastAsia="Calibri"/>
                <w:sz w:val="20"/>
              </w:rPr>
            </w:pPr>
            <w:r w:rsidRPr="00723BA8">
              <w:rPr>
                <w:rFonts w:eastAsia="Calibri"/>
                <w:sz w:val="20"/>
              </w:rPr>
              <w:t>August 3, 2010</w:t>
            </w:r>
          </w:p>
          <w:p w:rsidR="004967AD" w:rsidRPr="00723BA8" w:rsidRDefault="004967AD" w:rsidP="00A5373E">
            <w:pPr>
              <w:jc w:val="both"/>
              <w:rPr>
                <w:rFonts w:eastAsia="Calibri"/>
                <w:sz w:val="20"/>
              </w:rPr>
            </w:pPr>
            <w:r w:rsidRPr="00723BA8">
              <w:rPr>
                <w:rFonts w:eastAsia="Calibri"/>
                <w:sz w:val="20"/>
              </w:rPr>
              <w:t>Quebec Superior Court</w:t>
            </w:r>
          </w:p>
          <w:p w:rsidR="004967AD" w:rsidRPr="00723BA8" w:rsidRDefault="004967AD" w:rsidP="00A5373E">
            <w:pPr>
              <w:jc w:val="both"/>
              <w:rPr>
                <w:rFonts w:eastAsia="Calibri"/>
                <w:sz w:val="20"/>
              </w:rPr>
            </w:pPr>
            <w:r w:rsidRPr="00723BA8">
              <w:rPr>
                <w:rFonts w:eastAsia="Calibri"/>
                <w:sz w:val="20"/>
              </w:rPr>
              <w:t>(Dufresne J.)</w:t>
            </w:r>
          </w:p>
          <w:p w:rsidR="004967AD" w:rsidRPr="00723BA8" w:rsidRDefault="004967AD" w:rsidP="00A5373E">
            <w:pPr>
              <w:jc w:val="both"/>
              <w:rPr>
                <w:rFonts w:eastAsia="Calibri"/>
                <w:sz w:val="20"/>
              </w:rPr>
            </w:pPr>
            <w:r w:rsidRPr="00723BA8">
              <w:rPr>
                <w:rFonts w:eastAsia="Calibri"/>
                <w:sz w:val="20"/>
              </w:rPr>
              <w:t>Neutral citation: 2010 QCCS 3426</w:t>
            </w:r>
          </w:p>
          <w:p w:rsidR="004967AD" w:rsidRPr="00723BA8" w:rsidRDefault="004967AD" w:rsidP="00A5373E">
            <w:pPr>
              <w:jc w:val="both"/>
              <w:rPr>
                <w:rFonts w:eastAsia="Calibri"/>
                <w:sz w:val="20"/>
              </w:rPr>
            </w:pP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Applicants’ action contesting expropriation and order to transfer ownership to respondent dismissed</w:t>
            </w:r>
          </w:p>
        </w:tc>
      </w:tr>
      <w:tr w:rsidR="004967AD" w:rsidRPr="00723BA8" w:rsidTr="00A5373E">
        <w:tc>
          <w:tcPr>
            <w:tcW w:w="2427" w:type="pct"/>
          </w:tcPr>
          <w:p w:rsidR="004967AD" w:rsidRPr="00723BA8" w:rsidRDefault="004967AD" w:rsidP="00A5373E">
            <w:pPr>
              <w:jc w:val="both"/>
              <w:rPr>
                <w:rFonts w:eastAsia="Calibri"/>
                <w:sz w:val="20"/>
              </w:rPr>
            </w:pPr>
            <w:r w:rsidRPr="00723BA8">
              <w:rPr>
                <w:rFonts w:eastAsia="Calibri"/>
                <w:sz w:val="20"/>
              </w:rPr>
              <w:t>November 5, 2010</w:t>
            </w:r>
          </w:p>
          <w:p w:rsidR="004967AD" w:rsidRPr="00723BA8" w:rsidRDefault="004967AD" w:rsidP="00A5373E">
            <w:pPr>
              <w:jc w:val="both"/>
              <w:rPr>
                <w:rFonts w:eastAsia="Calibri"/>
                <w:sz w:val="20"/>
              </w:rPr>
            </w:pPr>
            <w:r w:rsidRPr="00723BA8">
              <w:rPr>
                <w:rFonts w:eastAsia="Calibri"/>
                <w:sz w:val="20"/>
              </w:rPr>
              <w:t>Quebec Court of Appeal (Québec)</w:t>
            </w:r>
          </w:p>
          <w:p w:rsidR="004967AD" w:rsidRPr="00723BA8" w:rsidRDefault="004967AD" w:rsidP="00A5373E">
            <w:pPr>
              <w:jc w:val="both"/>
              <w:rPr>
                <w:rFonts w:eastAsia="Calibri"/>
                <w:sz w:val="20"/>
              </w:rPr>
            </w:pPr>
            <w:r w:rsidRPr="00723BA8">
              <w:rPr>
                <w:rFonts w:eastAsia="Calibri"/>
                <w:sz w:val="20"/>
              </w:rPr>
              <w:t>(Robert C.J. and Vézina and Bélanger JJ.A.)</w:t>
            </w:r>
          </w:p>
          <w:p w:rsidR="004967AD" w:rsidRPr="00723BA8" w:rsidRDefault="004967AD" w:rsidP="00A5373E">
            <w:pPr>
              <w:jc w:val="both"/>
              <w:rPr>
                <w:rFonts w:eastAsia="Calibri"/>
                <w:sz w:val="20"/>
              </w:rPr>
            </w:pPr>
            <w:r w:rsidRPr="00723BA8">
              <w:rPr>
                <w:rFonts w:eastAsia="Calibri"/>
                <w:sz w:val="20"/>
              </w:rPr>
              <w:t>Neutral citation: 2010 QCCA 2069</w:t>
            </w:r>
          </w:p>
          <w:p w:rsidR="004967AD" w:rsidRPr="00723BA8" w:rsidRDefault="004967AD" w:rsidP="00A5373E">
            <w:pPr>
              <w:jc w:val="both"/>
              <w:rPr>
                <w:rFonts w:eastAsia="Calibri"/>
                <w:sz w:val="20"/>
              </w:rPr>
            </w:pP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Appeal dismissed</w:t>
            </w:r>
          </w:p>
        </w:tc>
      </w:tr>
      <w:tr w:rsidR="004967AD" w:rsidRPr="00723BA8" w:rsidTr="00A5373E">
        <w:tc>
          <w:tcPr>
            <w:tcW w:w="2427" w:type="pct"/>
          </w:tcPr>
          <w:p w:rsidR="004967AD" w:rsidRPr="00723BA8" w:rsidRDefault="004967AD" w:rsidP="00A5373E">
            <w:pPr>
              <w:jc w:val="both"/>
              <w:rPr>
                <w:rFonts w:eastAsia="Calibri"/>
                <w:sz w:val="20"/>
              </w:rPr>
            </w:pPr>
            <w:r w:rsidRPr="00723BA8">
              <w:rPr>
                <w:rFonts w:eastAsia="Calibri"/>
                <w:sz w:val="20"/>
              </w:rPr>
              <w:t>January 4, 2011</w:t>
            </w:r>
          </w:p>
          <w:p w:rsidR="004967AD" w:rsidRPr="00723BA8" w:rsidRDefault="004967AD" w:rsidP="00A5373E">
            <w:pPr>
              <w:jc w:val="both"/>
              <w:rPr>
                <w:rFonts w:eastAsia="Calibri"/>
                <w:sz w:val="20"/>
              </w:rPr>
            </w:pPr>
            <w:r w:rsidRPr="00723BA8">
              <w:rPr>
                <w:rFonts w:eastAsia="Calibri"/>
                <w:sz w:val="20"/>
              </w:rPr>
              <w:t>Supreme Court of Canada</w:t>
            </w: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Application for leave to appeal filed</w:t>
            </w:r>
          </w:p>
          <w:p w:rsidR="004967AD" w:rsidRPr="00723BA8" w:rsidRDefault="004967AD" w:rsidP="00A5373E">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0"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7AD" w:rsidRPr="00E62A55" w:rsidTr="00A5373E">
        <w:tc>
          <w:tcPr>
            <w:tcW w:w="5000" w:type="pct"/>
            <w:gridSpan w:val="3"/>
          </w:tcPr>
          <w:p w:rsidR="004967AD" w:rsidRPr="00723BA8" w:rsidRDefault="004967AD" w:rsidP="00A5373E">
            <w:pPr>
              <w:jc w:val="both"/>
              <w:rPr>
                <w:rFonts w:eastAsia="Calibri"/>
                <w:sz w:val="20"/>
                <w:lang w:val="fr-FR"/>
              </w:rPr>
            </w:pPr>
            <w:r w:rsidRPr="00723BA8">
              <w:rPr>
                <w:rFonts w:eastAsia="Calibri"/>
                <w:sz w:val="20"/>
                <w:lang w:val="fr-CA"/>
              </w:rPr>
              <w:t>Expropriation — Validité et conditions d’exercice du pouvoir d’exproprier — Ententes de gré à gré conclues en vue d’une exploitation minière autorisée en milieu urbain — Refus d’un propriétaire — Décret d’expropriation visant cette personne — L’expropriation par décret est</w:t>
            </w:r>
            <w:r w:rsidRPr="00723BA8">
              <w:rPr>
                <w:rFonts w:eastAsia="Calibri"/>
                <w:sz w:val="20"/>
                <w:lang w:val="fr-CA"/>
              </w:rPr>
              <w:noBreakHyphen/>
              <w:t>elle permise par le droit public traditionnel en vigueur au Québec?</w:t>
            </w:r>
          </w:p>
          <w:p w:rsidR="004967AD" w:rsidRPr="00723BA8" w:rsidRDefault="004967AD" w:rsidP="00A5373E">
            <w:pPr>
              <w:jc w:val="both"/>
              <w:rPr>
                <w:rFonts w:eastAsia="Calibri"/>
                <w:sz w:val="20"/>
                <w:lang w:val="fr-CA"/>
              </w:rPr>
            </w:pPr>
          </w:p>
        </w:tc>
      </w:tr>
      <w:tr w:rsidR="004967AD" w:rsidRPr="00E62A55" w:rsidTr="00A5373E">
        <w:tc>
          <w:tcPr>
            <w:tcW w:w="5000" w:type="pct"/>
            <w:gridSpan w:val="3"/>
          </w:tcPr>
          <w:p w:rsidR="004967AD" w:rsidRPr="00723BA8" w:rsidRDefault="004967AD" w:rsidP="00A5373E">
            <w:pPr>
              <w:jc w:val="both"/>
              <w:rPr>
                <w:rFonts w:eastAsia="Calibri"/>
                <w:sz w:val="20"/>
                <w:lang w:val="fr-CA"/>
              </w:rPr>
            </w:pPr>
            <w:r w:rsidRPr="00723BA8">
              <w:rPr>
                <w:rFonts w:eastAsia="Calibri"/>
                <w:sz w:val="20"/>
                <w:lang w:val="fr-CA"/>
              </w:rPr>
              <w:t xml:space="preserve">Les autorités provinciale et municipale ont consenti à Osisko les droits d’exploitation d’un projet minier aurifère à ciel ouvert sous le quartier sud de la ville de Malartic.  Osisko acquiert, de gré à gré, 205 immeubles.  Madame Wilczynsky, propriétaire d’un lot habité par son fils, refusant toute entente, le gouvernement du Québec adopte un décret en vertu duquel Osisko est autorisée à exproprier ce lot.  </w:t>
            </w:r>
          </w:p>
          <w:p w:rsidR="004967AD" w:rsidRPr="00723BA8" w:rsidRDefault="004967AD" w:rsidP="00A5373E">
            <w:pPr>
              <w:jc w:val="both"/>
              <w:rPr>
                <w:rFonts w:eastAsia="Calibri"/>
                <w:sz w:val="20"/>
                <w:lang w:val="fr-CA"/>
              </w:rPr>
            </w:pPr>
          </w:p>
        </w:tc>
      </w:tr>
      <w:tr w:rsidR="004967AD" w:rsidRPr="00E62A55" w:rsidTr="00A25BB5">
        <w:trPr>
          <w:cantSplit/>
        </w:trPr>
        <w:tc>
          <w:tcPr>
            <w:tcW w:w="2427" w:type="pct"/>
          </w:tcPr>
          <w:p w:rsidR="004967AD" w:rsidRPr="00723BA8" w:rsidRDefault="004967AD" w:rsidP="00A5373E">
            <w:pPr>
              <w:jc w:val="both"/>
              <w:rPr>
                <w:rFonts w:eastAsia="Calibri"/>
                <w:sz w:val="20"/>
                <w:lang w:val="fr-CA"/>
              </w:rPr>
            </w:pPr>
            <w:r w:rsidRPr="00723BA8">
              <w:rPr>
                <w:rFonts w:eastAsia="Calibri"/>
                <w:sz w:val="20"/>
                <w:lang w:val="fr-CA"/>
              </w:rPr>
              <w:lastRenderedPageBreak/>
              <w:t>Le 3 août 2010</w:t>
            </w:r>
          </w:p>
          <w:p w:rsidR="004967AD" w:rsidRPr="00723BA8" w:rsidRDefault="004967AD" w:rsidP="00A5373E">
            <w:pPr>
              <w:jc w:val="both"/>
              <w:rPr>
                <w:rFonts w:eastAsia="Calibri"/>
                <w:sz w:val="20"/>
                <w:lang w:val="fr-CA"/>
              </w:rPr>
            </w:pPr>
            <w:r w:rsidRPr="00723BA8">
              <w:rPr>
                <w:rFonts w:eastAsia="Calibri"/>
                <w:sz w:val="20"/>
                <w:lang w:val="fr-CA"/>
              </w:rPr>
              <w:t>Cour supérieure du Québec</w:t>
            </w:r>
          </w:p>
          <w:p w:rsidR="004967AD" w:rsidRPr="00723BA8" w:rsidRDefault="004967AD" w:rsidP="00A5373E">
            <w:pPr>
              <w:jc w:val="both"/>
              <w:rPr>
                <w:rFonts w:eastAsia="Calibri"/>
                <w:sz w:val="20"/>
                <w:lang w:val="fr-CA"/>
              </w:rPr>
            </w:pPr>
            <w:r w:rsidRPr="00723BA8">
              <w:rPr>
                <w:rFonts w:eastAsia="Calibri"/>
                <w:sz w:val="20"/>
                <w:lang w:val="fr-CA"/>
              </w:rPr>
              <w:t>(Le juge Dufresne)</w:t>
            </w:r>
          </w:p>
          <w:p w:rsidR="004967AD" w:rsidRPr="00723BA8" w:rsidRDefault="004967AD" w:rsidP="00A5373E">
            <w:pPr>
              <w:jc w:val="both"/>
              <w:rPr>
                <w:rFonts w:eastAsia="Calibri"/>
                <w:sz w:val="20"/>
                <w:lang w:val="fr-CA"/>
              </w:rPr>
            </w:pPr>
            <w:r w:rsidRPr="00723BA8">
              <w:rPr>
                <w:rFonts w:eastAsia="Calibri"/>
                <w:sz w:val="20"/>
                <w:lang w:val="fr-CA"/>
              </w:rPr>
              <w:t>Référence neutre : 2010 QCCS 3426</w:t>
            </w:r>
          </w:p>
          <w:p w:rsidR="004967AD" w:rsidRPr="00723BA8" w:rsidRDefault="004967AD" w:rsidP="00A5373E">
            <w:pPr>
              <w:jc w:val="both"/>
              <w:rPr>
                <w:rFonts w:eastAsia="Calibri"/>
                <w:sz w:val="20"/>
                <w:lang w:val="fr-CA"/>
              </w:rPr>
            </w:pPr>
          </w:p>
        </w:tc>
        <w:tc>
          <w:tcPr>
            <w:tcW w:w="243" w:type="pct"/>
          </w:tcPr>
          <w:p w:rsidR="004967AD" w:rsidRPr="00723BA8" w:rsidRDefault="004967AD" w:rsidP="00A5373E">
            <w:pPr>
              <w:jc w:val="both"/>
              <w:rPr>
                <w:rFonts w:eastAsia="Calibri"/>
                <w:sz w:val="20"/>
                <w:lang w:val="fr-CA"/>
              </w:rPr>
            </w:pPr>
          </w:p>
        </w:tc>
        <w:tc>
          <w:tcPr>
            <w:tcW w:w="2330" w:type="pct"/>
          </w:tcPr>
          <w:p w:rsidR="004967AD" w:rsidRPr="00723BA8" w:rsidRDefault="004967AD" w:rsidP="007E4FA4">
            <w:pPr>
              <w:jc w:val="both"/>
              <w:rPr>
                <w:rFonts w:eastAsia="Calibri"/>
                <w:sz w:val="20"/>
                <w:lang w:val="fr-CA"/>
              </w:rPr>
            </w:pPr>
            <w:r w:rsidRPr="00723BA8">
              <w:rPr>
                <w:rFonts w:eastAsia="Calibri"/>
                <w:sz w:val="20"/>
                <w:lang w:val="fr-CA"/>
              </w:rPr>
              <w:t>Rejet de l’action des demandeurs en contestation d’expropriation et ordonnance de transfert de propriété en faveur de l’intimée</w:t>
            </w:r>
          </w:p>
        </w:tc>
      </w:tr>
      <w:tr w:rsidR="004967AD" w:rsidRPr="00723BA8" w:rsidTr="00A25BB5">
        <w:trPr>
          <w:cantSplit/>
        </w:trPr>
        <w:tc>
          <w:tcPr>
            <w:tcW w:w="2427" w:type="pct"/>
          </w:tcPr>
          <w:p w:rsidR="004967AD" w:rsidRPr="00723BA8" w:rsidRDefault="004967AD" w:rsidP="00A5373E">
            <w:pPr>
              <w:jc w:val="both"/>
              <w:rPr>
                <w:rFonts w:eastAsia="Calibri"/>
                <w:sz w:val="20"/>
                <w:lang w:val="fr-CA"/>
              </w:rPr>
            </w:pPr>
            <w:r w:rsidRPr="00723BA8">
              <w:rPr>
                <w:rFonts w:eastAsia="Calibri"/>
                <w:sz w:val="20"/>
                <w:lang w:val="fr-CA"/>
              </w:rPr>
              <w:t>Le 5 novembre 2010</w:t>
            </w:r>
          </w:p>
          <w:p w:rsidR="004967AD" w:rsidRPr="00723BA8" w:rsidRDefault="004967AD" w:rsidP="00A5373E">
            <w:pPr>
              <w:jc w:val="both"/>
              <w:rPr>
                <w:rFonts w:eastAsia="Calibri"/>
                <w:sz w:val="20"/>
                <w:lang w:val="fr-CA"/>
              </w:rPr>
            </w:pPr>
            <w:r w:rsidRPr="00723BA8">
              <w:rPr>
                <w:rFonts w:eastAsia="Calibri"/>
                <w:sz w:val="20"/>
                <w:lang w:val="fr-CA"/>
              </w:rPr>
              <w:t>Cour d’appel du Québec (Québec)</w:t>
            </w:r>
          </w:p>
          <w:p w:rsidR="004967AD" w:rsidRPr="00723BA8" w:rsidRDefault="004967AD" w:rsidP="00A5373E">
            <w:pPr>
              <w:jc w:val="both"/>
              <w:rPr>
                <w:rFonts w:eastAsia="Calibri"/>
                <w:sz w:val="20"/>
                <w:lang w:val="fr-CA"/>
              </w:rPr>
            </w:pPr>
            <w:r w:rsidRPr="00723BA8">
              <w:rPr>
                <w:rFonts w:eastAsia="Calibri"/>
                <w:sz w:val="20"/>
                <w:lang w:val="fr-CA"/>
              </w:rPr>
              <w:t>(Le juge en chef Robert et les juges Vézina et Bélanger)</w:t>
            </w:r>
          </w:p>
          <w:p w:rsidR="004967AD" w:rsidRPr="00723BA8" w:rsidRDefault="004967AD" w:rsidP="00A5373E">
            <w:pPr>
              <w:jc w:val="both"/>
              <w:rPr>
                <w:rFonts w:eastAsia="Calibri"/>
                <w:sz w:val="20"/>
                <w:lang w:val="fr-CA"/>
              </w:rPr>
            </w:pPr>
            <w:r w:rsidRPr="00723BA8">
              <w:rPr>
                <w:rFonts w:eastAsia="Calibri"/>
                <w:sz w:val="20"/>
                <w:lang w:val="fr-CA"/>
              </w:rPr>
              <w:t>Référence neutre : 2010 QCCA 2069</w:t>
            </w:r>
          </w:p>
          <w:p w:rsidR="004967AD" w:rsidRPr="00723BA8" w:rsidRDefault="004967AD" w:rsidP="00A5373E">
            <w:pPr>
              <w:jc w:val="both"/>
              <w:rPr>
                <w:rFonts w:eastAsia="Calibri"/>
                <w:sz w:val="20"/>
                <w:lang w:val="fr-FR"/>
              </w:rPr>
            </w:pPr>
          </w:p>
        </w:tc>
        <w:tc>
          <w:tcPr>
            <w:tcW w:w="243" w:type="pct"/>
          </w:tcPr>
          <w:p w:rsidR="004967AD" w:rsidRPr="00723BA8" w:rsidRDefault="004967AD" w:rsidP="00A5373E">
            <w:pPr>
              <w:jc w:val="both"/>
              <w:rPr>
                <w:rFonts w:eastAsia="Calibri"/>
                <w:sz w:val="20"/>
                <w:lang w:val="fr-FR"/>
              </w:rPr>
            </w:pPr>
          </w:p>
        </w:tc>
        <w:tc>
          <w:tcPr>
            <w:tcW w:w="2330" w:type="pct"/>
          </w:tcPr>
          <w:p w:rsidR="004967AD" w:rsidRPr="00723BA8" w:rsidRDefault="004967AD" w:rsidP="007E4FA4">
            <w:pPr>
              <w:jc w:val="both"/>
              <w:rPr>
                <w:rFonts w:eastAsia="Calibri"/>
                <w:sz w:val="20"/>
                <w:lang w:val="fr-CA"/>
              </w:rPr>
            </w:pPr>
            <w:r w:rsidRPr="00723BA8">
              <w:rPr>
                <w:rFonts w:eastAsia="Calibri"/>
                <w:sz w:val="20"/>
                <w:lang w:val="fr-CA"/>
              </w:rPr>
              <w:t>Rejet de l’appel</w:t>
            </w:r>
          </w:p>
        </w:tc>
      </w:tr>
      <w:tr w:rsidR="004967AD" w:rsidRPr="00E62A55" w:rsidTr="00A25BB5">
        <w:trPr>
          <w:cantSplit/>
        </w:trPr>
        <w:tc>
          <w:tcPr>
            <w:tcW w:w="2427" w:type="pct"/>
          </w:tcPr>
          <w:p w:rsidR="004967AD" w:rsidRPr="00723BA8" w:rsidRDefault="004967AD" w:rsidP="00A5373E">
            <w:pPr>
              <w:jc w:val="both"/>
              <w:rPr>
                <w:rFonts w:eastAsia="Calibri"/>
                <w:sz w:val="20"/>
                <w:lang w:val="fr-CA"/>
              </w:rPr>
            </w:pPr>
            <w:r w:rsidRPr="00723BA8">
              <w:rPr>
                <w:rFonts w:eastAsia="Calibri"/>
                <w:sz w:val="20"/>
                <w:lang w:val="fr-CA"/>
              </w:rPr>
              <w:t>Le 4 janvier 2011</w:t>
            </w:r>
          </w:p>
          <w:p w:rsidR="004967AD" w:rsidRPr="00723BA8" w:rsidRDefault="004967AD" w:rsidP="00A5373E">
            <w:pPr>
              <w:jc w:val="both"/>
              <w:rPr>
                <w:rFonts w:eastAsia="Calibri"/>
                <w:sz w:val="20"/>
                <w:lang w:val="fr-FR"/>
              </w:rPr>
            </w:pPr>
            <w:r w:rsidRPr="00723BA8">
              <w:rPr>
                <w:rFonts w:eastAsia="Calibri"/>
                <w:sz w:val="20"/>
                <w:lang w:val="fr-CA"/>
              </w:rPr>
              <w:t>Cour suprême du Canada</w:t>
            </w:r>
          </w:p>
        </w:tc>
        <w:tc>
          <w:tcPr>
            <w:tcW w:w="243" w:type="pct"/>
          </w:tcPr>
          <w:p w:rsidR="004967AD" w:rsidRPr="00723BA8" w:rsidRDefault="004967AD" w:rsidP="00A5373E">
            <w:pPr>
              <w:jc w:val="both"/>
              <w:rPr>
                <w:rFonts w:eastAsia="Calibri"/>
                <w:sz w:val="20"/>
                <w:lang w:val="fr-FR"/>
              </w:rPr>
            </w:pPr>
          </w:p>
        </w:tc>
        <w:tc>
          <w:tcPr>
            <w:tcW w:w="2330" w:type="pct"/>
          </w:tcPr>
          <w:p w:rsidR="004967AD" w:rsidRPr="00723BA8" w:rsidRDefault="004967AD" w:rsidP="00A5373E">
            <w:pPr>
              <w:jc w:val="both"/>
              <w:rPr>
                <w:rFonts w:eastAsia="Calibri"/>
                <w:sz w:val="20"/>
                <w:lang w:val="fr-CA"/>
              </w:rPr>
            </w:pPr>
            <w:r w:rsidRPr="00723BA8">
              <w:rPr>
                <w:rFonts w:eastAsia="Calibri"/>
                <w:sz w:val="20"/>
                <w:lang w:val="fr-CA"/>
              </w:rPr>
              <w:t>Dépôt de la demande d'autorisation d'appel</w:t>
            </w:r>
          </w:p>
          <w:p w:rsidR="004967AD" w:rsidRPr="00723BA8" w:rsidRDefault="004967AD" w:rsidP="00A5373E">
            <w:pPr>
              <w:jc w:val="both"/>
              <w:rPr>
                <w:rFonts w:eastAsia="Calibri"/>
                <w:sz w:val="20"/>
                <w:lang w:val="fr-CA"/>
              </w:rPr>
            </w:pPr>
          </w:p>
        </w:tc>
      </w:tr>
    </w:tbl>
    <w:p w:rsidR="004E6FA2" w:rsidRPr="004967AD" w:rsidRDefault="004E6FA2" w:rsidP="004E6FA2">
      <w:pPr>
        <w:rPr>
          <w:sz w:val="20"/>
          <w:szCs w:val="20"/>
          <w:lang w:val="fr-CA"/>
        </w:rPr>
      </w:pPr>
    </w:p>
    <w:p w:rsidR="004E6FA2" w:rsidRDefault="00CF05D4" w:rsidP="004E6FA2">
      <w:pPr>
        <w:rPr>
          <w:sz w:val="20"/>
          <w:szCs w:val="20"/>
        </w:rPr>
      </w:pPr>
      <w:r w:rsidRPr="00CF05D4">
        <w:rPr>
          <w:sz w:val="20"/>
          <w:szCs w:val="20"/>
          <w:lang w:val="fr-CA"/>
        </w:rPr>
        <w:pict>
          <v:rect id="_x0000_i1071"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5BB5" w:rsidRPr="00A25BB5" w:rsidTr="00A25BB5">
        <w:trPr>
          <w:cantSplit/>
        </w:trPr>
        <w:tc>
          <w:tcPr>
            <w:tcW w:w="1458" w:type="dxa"/>
          </w:tcPr>
          <w:p w:rsidR="00A25BB5" w:rsidRPr="00A25BB5" w:rsidRDefault="00A25BB5" w:rsidP="00A25BB5">
            <w:pPr>
              <w:rPr>
                <w:rFonts w:cs="Times New Roman"/>
                <w:sz w:val="20"/>
                <w:szCs w:val="20"/>
              </w:rPr>
            </w:pPr>
            <w:r w:rsidRPr="00A25BB5">
              <w:rPr>
                <w:rStyle w:val="SCCFileNumberChar"/>
                <w:sz w:val="20"/>
                <w:szCs w:val="20"/>
              </w:rPr>
              <w:t>34063</w:t>
            </w:r>
          </w:p>
          <w:p w:rsidR="00A25BB5" w:rsidRPr="00A25BB5" w:rsidRDefault="00A25BB5" w:rsidP="00A25BB5">
            <w:pPr>
              <w:rPr>
                <w:rFonts w:cs="Times New Roman"/>
                <w:b/>
                <w:sz w:val="20"/>
                <w:szCs w:val="20"/>
                <w:lang w:val="fr-CA"/>
              </w:rPr>
            </w:pPr>
          </w:p>
        </w:tc>
        <w:tc>
          <w:tcPr>
            <w:tcW w:w="8118" w:type="dxa"/>
          </w:tcPr>
          <w:p w:rsidR="00A25BB5" w:rsidRPr="00A25BB5" w:rsidRDefault="00A25BB5" w:rsidP="00A25BB5">
            <w:pPr>
              <w:rPr>
                <w:rFonts w:cs="Times New Roman"/>
                <w:sz w:val="20"/>
                <w:szCs w:val="20"/>
              </w:rPr>
            </w:pPr>
            <w:r w:rsidRPr="00A25BB5">
              <w:rPr>
                <w:rStyle w:val="SCCLsocChar"/>
                <w:rFonts w:cs="Times New Roman"/>
                <w:sz w:val="20"/>
                <w:szCs w:val="20"/>
                <w:lang w:val="en-CA"/>
              </w:rPr>
              <w:t>Betty Krawczyk v. Her Majesty the Queen</w:t>
            </w:r>
            <w:r w:rsidRPr="00A25BB5">
              <w:rPr>
                <w:rFonts w:cs="Times New Roman"/>
                <w:sz w:val="20"/>
                <w:szCs w:val="20"/>
              </w:rPr>
              <w:t xml:space="preserve"> (B.C.) (Criminal) (By Leave)</w:t>
            </w:r>
          </w:p>
          <w:p w:rsidR="00A25BB5" w:rsidRPr="00A25BB5" w:rsidRDefault="00A25BB5" w:rsidP="00A25BB5">
            <w:pPr>
              <w:rPr>
                <w:rFonts w:cs="Times New Roman"/>
                <w:sz w:val="20"/>
                <w:szCs w:val="20"/>
              </w:rPr>
            </w:pPr>
          </w:p>
        </w:tc>
      </w:tr>
      <w:tr w:rsidR="00A25BB5" w:rsidRPr="00A25BB5" w:rsidTr="00A25BB5">
        <w:trPr>
          <w:cantSplit/>
        </w:trPr>
        <w:tc>
          <w:tcPr>
            <w:tcW w:w="1458" w:type="dxa"/>
          </w:tcPr>
          <w:p w:rsidR="00A25BB5" w:rsidRPr="00A25BB5" w:rsidRDefault="00A25BB5" w:rsidP="00A25BB5">
            <w:pPr>
              <w:rPr>
                <w:rFonts w:cs="Times New Roman"/>
                <w:sz w:val="20"/>
                <w:szCs w:val="20"/>
              </w:rPr>
            </w:pPr>
            <w:r w:rsidRPr="00A25BB5">
              <w:rPr>
                <w:rFonts w:cs="Times New Roman"/>
                <w:sz w:val="20"/>
                <w:szCs w:val="20"/>
              </w:rPr>
              <w:t>Coram :</w:t>
            </w:r>
          </w:p>
        </w:tc>
        <w:tc>
          <w:tcPr>
            <w:tcW w:w="8118" w:type="dxa"/>
          </w:tcPr>
          <w:p w:rsidR="00A25BB5" w:rsidRPr="00A25BB5" w:rsidRDefault="00A25BB5" w:rsidP="00A25BB5">
            <w:pPr>
              <w:rPr>
                <w:rFonts w:cs="Times New Roman"/>
                <w:sz w:val="20"/>
                <w:szCs w:val="20"/>
              </w:rPr>
            </w:pPr>
            <w:r w:rsidRPr="00A25BB5">
              <w:rPr>
                <w:rStyle w:val="SCCCoramChar"/>
                <w:rFonts w:cs="Times New Roman"/>
                <w:sz w:val="20"/>
                <w:szCs w:val="20"/>
                <w:lang w:val="en-CA"/>
              </w:rPr>
              <w:t>Binnie, Fish and Rothstein JJ.</w:t>
            </w:r>
          </w:p>
          <w:p w:rsidR="00A25BB5" w:rsidRPr="00A25BB5" w:rsidRDefault="00A25BB5" w:rsidP="00A25BB5">
            <w:pPr>
              <w:rPr>
                <w:rFonts w:cs="Times New Roman"/>
                <w:sz w:val="20"/>
                <w:szCs w:val="20"/>
                <w:u w:val="single"/>
              </w:rPr>
            </w:pPr>
          </w:p>
        </w:tc>
      </w:tr>
      <w:tr w:rsidR="00A25BB5" w:rsidRPr="00E62A55" w:rsidTr="00A25BB5">
        <w:trPr>
          <w:cantSplit/>
        </w:trPr>
        <w:tc>
          <w:tcPr>
            <w:tcW w:w="9576" w:type="dxa"/>
            <w:gridSpan w:val="2"/>
          </w:tcPr>
          <w:p w:rsidR="00A25BB5" w:rsidRPr="00A25BB5" w:rsidRDefault="00A25BB5" w:rsidP="00A25BB5">
            <w:pPr>
              <w:pStyle w:val="SCCShortJudgment"/>
              <w:rPr>
                <w:rFonts w:cs="Times New Roman"/>
                <w:szCs w:val="20"/>
              </w:rPr>
            </w:pPr>
            <w:r w:rsidRPr="00A25BB5">
              <w:rPr>
                <w:rFonts w:cs="Times New Roman"/>
                <w:szCs w:val="20"/>
              </w:rPr>
              <w:t>The application for leave to appeal from the judgment of the Court of Appeal for British Columbia (Vancouver), Number CA034884, 2010 BCCA 542, dated December 2, 2010, is dismissed without costs.</w:t>
            </w:r>
          </w:p>
          <w:p w:rsidR="00A25BB5" w:rsidRPr="00A25BB5" w:rsidRDefault="00A25BB5" w:rsidP="00A25BB5">
            <w:pPr>
              <w:pStyle w:val="SCCShortJudgment"/>
              <w:ind w:firstLine="0"/>
              <w:rPr>
                <w:rFonts w:cs="Times New Roman"/>
                <w:szCs w:val="20"/>
              </w:rPr>
            </w:pPr>
          </w:p>
          <w:p w:rsidR="00A25BB5" w:rsidRPr="00A25BB5" w:rsidRDefault="00A25BB5" w:rsidP="00A25BB5">
            <w:pPr>
              <w:pStyle w:val="SCCShortJudgment"/>
              <w:rPr>
                <w:rFonts w:cs="Times New Roman"/>
                <w:szCs w:val="20"/>
                <w:lang w:val="fr-CA"/>
              </w:rPr>
            </w:pPr>
            <w:r w:rsidRPr="00A25BB5">
              <w:rPr>
                <w:rFonts w:cs="Times New Roman"/>
                <w:szCs w:val="20"/>
                <w:lang w:val="fr-CA"/>
              </w:rPr>
              <w:t>La demande d’autorisation d’appel de l’arrêt de la Cour d’appel de la Colombie-Britannique (Vancouver), numéro CA034884, 2010 BCCA 542, daté du 2 décembre 2010, est rejetée sans dépens.</w:t>
            </w:r>
          </w:p>
        </w:tc>
      </w:tr>
    </w:tbl>
    <w:p w:rsidR="004967AD" w:rsidRPr="00A25BB5" w:rsidRDefault="004967AD"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967AD" w:rsidRPr="00723BA8" w:rsidTr="00A5373E">
        <w:tc>
          <w:tcPr>
            <w:tcW w:w="5000" w:type="pct"/>
            <w:gridSpan w:val="3"/>
          </w:tcPr>
          <w:p w:rsidR="004967AD" w:rsidRPr="00723BA8" w:rsidRDefault="004967AD" w:rsidP="00A5373E">
            <w:pPr>
              <w:jc w:val="both"/>
              <w:rPr>
                <w:rFonts w:eastAsia="Calibri"/>
                <w:sz w:val="20"/>
              </w:rPr>
            </w:pPr>
            <w:r w:rsidRPr="00723BA8">
              <w:rPr>
                <w:rFonts w:eastAsia="Calibri"/>
                <w:sz w:val="20"/>
              </w:rPr>
              <w:t>Criminal law — Sentencing — Whether the trial judge erred in sentencing for refusing to give credit for twenty</w:t>
            </w:r>
            <w:r w:rsidRPr="00723BA8">
              <w:rPr>
                <w:rFonts w:eastAsia="Calibri"/>
                <w:sz w:val="20"/>
              </w:rPr>
              <w:noBreakHyphen/>
              <w:t xml:space="preserve">six </w:t>
            </w:r>
            <w:proofErr w:type="gramStart"/>
            <w:r w:rsidRPr="00723BA8">
              <w:rPr>
                <w:rFonts w:eastAsia="Calibri"/>
                <w:sz w:val="20"/>
              </w:rPr>
              <w:t>days</w:t>
            </w:r>
            <w:proofErr w:type="gramEnd"/>
            <w:r w:rsidRPr="00723BA8">
              <w:rPr>
                <w:rFonts w:eastAsia="Calibri"/>
                <w:sz w:val="20"/>
              </w:rPr>
              <w:t xml:space="preserve"> pre</w:t>
            </w:r>
            <w:r w:rsidRPr="00723BA8">
              <w:rPr>
                <w:rFonts w:eastAsia="Calibri"/>
                <w:sz w:val="20"/>
              </w:rPr>
              <w:noBreakHyphen/>
              <w:t>sentencing custody? — Whether s. 9 of the Criminal Code always overrules other sections of the Code even when s. 787(1) clearly describes those affected as “everyone” — Whether the case law submissions by the Crown which resulted in acute social humiliation and loss of reputation and human dignity transgress the Applicant’s right to a fair hearing at the British Columbia Court of Appeal and to a fair hearing before the Supreme Court of Canada?</w:t>
            </w:r>
          </w:p>
          <w:p w:rsidR="004967AD" w:rsidRPr="00723BA8" w:rsidRDefault="004967AD" w:rsidP="00A5373E">
            <w:pPr>
              <w:jc w:val="both"/>
              <w:rPr>
                <w:rFonts w:eastAsia="Calibri"/>
                <w:smallCaps/>
                <w:sz w:val="20"/>
              </w:rPr>
            </w:pPr>
          </w:p>
        </w:tc>
      </w:tr>
      <w:tr w:rsidR="004967AD" w:rsidRPr="00723BA8" w:rsidTr="00A5373E">
        <w:tc>
          <w:tcPr>
            <w:tcW w:w="5000" w:type="pct"/>
            <w:gridSpan w:val="3"/>
          </w:tcPr>
          <w:p w:rsidR="004967AD" w:rsidRPr="00723BA8" w:rsidRDefault="004967AD" w:rsidP="00A5373E">
            <w:pPr>
              <w:jc w:val="both"/>
              <w:rPr>
                <w:rFonts w:eastAsia="Calibri"/>
                <w:sz w:val="20"/>
              </w:rPr>
            </w:pPr>
            <w:r w:rsidRPr="00723BA8">
              <w:rPr>
                <w:rFonts w:eastAsia="Calibri"/>
                <w:sz w:val="20"/>
              </w:rPr>
              <w:t>The Applicant was part of a group of protesters who were demonstrating against the re</w:t>
            </w:r>
            <w:r w:rsidRPr="00723BA8">
              <w:rPr>
                <w:rFonts w:eastAsia="Calibri"/>
                <w:sz w:val="20"/>
              </w:rPr>
              <w:noBreakHyphen/>
              <w:t>routing of the Sea</w:t>
            </w:r>
            <w:r w:rsidRPr="00723BA8">
              <w:rPr>
                <w:rFonts w:eastAsia="Calibri"/>
                <w:sz w:val="20"/>
              </w:rPr>
              <w:noBreakHyphen/>
              <w:t>to</w:t>
            </w:r>
            <w:r w:rsidRPr="00723BA8">
              <w:rPr>
                <w:rFonts w:eastAsia="Calibri"/>
                <w:sz w:val="20"/>
              </w:rPr>
              <w:noBreakHyphen/>
              <w:t>Sky Highway near Vancouver. An injunction was granted restraining interference with the construction and prohibiting protesters from being in certain areas.  The Applicant was arrested on three occasions for violating the area restriction contained in the injunction. She was released after each of these three arrests upon giving an undertaking to abide by the injunction. On July 7, 2006 she was incarcerated when she withdrew her undertaking.  She was released 26 days later when her undertaking was renewed.  The Applicant was found guilty of having committed criminal contempt on each of the three aforementioned dates.  She was sentenced to 10 months imprisonment.  Her appeal of conviction was dismissed in 2009, application for leave to appeal to this Court dismissed in May 2010.  Her appeal of sentence was dismissed by the Court of Appeal and is now before this Court.</w:t>
            </w:r>
          </w:p>
          <w:p w:rsidR="004967AD" w:rsidRPr="00723BA8" w:rsidRDefault="004967AD" w:rsidP="00A5373E">
            <w:pPr>
              <w:jc w:val="both"/>
              <w:rPr>
                <w:rFonts w:eastAsia="Calibri"/>
                <w:sz w:val="20"/>
              </w:rPr>
            </w:pPr>
          </w:p>
        </w:tc>
      </w:tr>
      <w:tr w:rsidR="004967AD" w:rsidRPr="00723BA8" w:rsidTr="00A5373E">
        <w:tc>
          <w:tcPr>
            <w:tcW w:w="2427" w:type="pct"/>
          </w:tcPr>
          <w:p w:rsidR="004967AD" w:rsidRPr="00723BA8" w:rsidRDefault="004967AD" w:rsidP="00A5373E">
            <w:pPr>
              <w:jc w:val="both"/>
              <w:rPr>
                <w:rFonts w:eastAsia="Calibri"/>
                <w:sz w:val="20"/>
              </w:rPr>
            </w:pPr>
            <w:r w:rsidRPr="00723BA8">
              <w:rPr>
                <w:rFonts w:eastAsia="Calibri"/>
                <w:sz w:val="20"/>
              </w:rPr>
              <w:t>March 5, 2007</w:t>
            </w:r>
          </w:p>
          <w:p w:rsidR="004967AD" w:rsidRPr="00723BA8" w:rsidRDefault="004967AD" w:rsidP="00A5373E">
            <w:pPr>
              <w:jc w:val="both"/>
              <w:rPr>
                <w:rFonts w:eastAsia="Calibri"/>
                <w:sz w:val="20"/>
              </w:rPr>
            </w:pPr>
            <w:r w:rsidRPr="00723BA8">
              <w:rPr>
                <w:rFonts w:eastAsia="Calibri"/>
                <w:sz w:val="20"/>
              </w:rPr>
              <w:t>Supreme Court of British Columbia</w:t>
            </w:r>
          </w:p>
          <w:p w:rsidR="004967AD" w:rsidRPr="00723BA8" w:rsidRDefault="004967AD" w:rsidP="00A5373E">
            <w:pPr>
              <w:jc w:val="both"/>
              <w:rPr>
                <w:rFonts w:eastAsia="Calibri"/>
                <w:sz w:val="20"/>
              </w:rPr>
            </w:pPr>
            <w:r w:rsidRPr="00723BA8">
              <w:rPr>
                <w:rFonts w:eastAsia="Calibri"/>
                <w:sz w:val="20"/>
              </w:rPr>
              <w:t>(Brown J.)</w:t>
            </w:r>
          </w:p>
          <w:p w:rsidR="004967AD" w:rsidRPr="00723BA8" w:rsidRDefault="004967AD" w:rsidP="00A5373E">
            <w:pPr>
              <w:jc w:val="both"/>
              <w:rPr>
                <w:rFonts w:eastAsia="Calibri"/>
                <w:sz w:val="20"/>
              </w:rPr>
            </w:pP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Applicant sentenced to 10 months imprisonment for criminal contempt of court</w:t>
            </w:r>
          </w:p>
          <w:p w:rsidR="004967AD" w:rsidRPr="00723BA8" w:rsidRDefault="004967AD" w:rsidP="00A5373E">
            <w:pPr>
              <w:jc w:val="both"/>
              <w:rPr>
                <w:rFonts w:eastAsia="Calibri"/>
                <w:sz w:val="20"/>
              </w:rPr>
            </w:pPr>
          </w:p>
        </w:tc>
      </w:tr>
      <w:tr w:rsidR="004967AD" w:rsidRPr="00723BA8" w:rsidTr="00A25BB5">
        <w:trPr>
          <w:cantSplit/>
        </w:trPr>
        <w:tc>
          <w:tcPr>
            <w:tcW w:w="2427" w:type="pct"/>
          </w:tcPr>
          <w:p w:rsidR="004967AD" w:rsidRPr="00723BA8" w:rsidRDefault="004967AD" w:rsidP="00A5373E">
            <w:pPr>
              <w:jc w:val="both"/>
              <w:rPr>
                <w:rFonts w:eastAsia="Calibri"/>
                <w:sz w:val="20"/>
              </w:rPr>
            </w:pPr>
            <w:r w:rsidRPr="00723BA8">
              <w:rPr>
                <w:rFonts w:eastAsia="Calibri"/>
                <w:sz w:val="20"/>
              </w:rPr>
              <w:lastRenderedPageBreak/>
              <w:t>December 2, 2010</w:t>
            </w:r>
          </w:p>
          <w:p w:rsidR="004967AD" w:rsidRPr="00723BA8" w:rsidRDefault="004967AD" w:rsidP="00A5373E">
            <w:pPr>
              <w:jc w:val="both"/>
              <w:rPr>
                <w:rFonts w:eastAsia="Calibri"/>
                <w:sz w:val="20"/>
              </w:rPr>
            </w:pPr>
            <w:r w:rsidRPr="00723BA8">
              <w:rPr>
                <w:rFonts w:eastAsia="Calibri"/>
                <w:sz w:val="20"/>
              </w:rPr>
              <w:t xml:space="preserve">Court of Appeal for British Columbia </w:t>
            </w:r>
          </w:p>
          <w:p w:rsidR="004967AD" w:rsidRPr="00723BA8" w:rsidRDefault="004967AD" w:rsidP="00A5373E">
            <w:pPr>
              <w:jc w:val="both"/>
              <w:rPr>
                <w:rFonts w:eastAsia="Calibri"/>
                <w:sz w:val="20"/>
              </w:rPr>
            </w:pPr>
            <w:r w:rsidRPr="00723BA8">
              <w:rPr>
                <w:rFonts w:eastAsia="Calibri"/>
                <w:sz w:val="20"/>
              </w:rPr>
              <w:t>(Vancouver)</w:t>
            </w:r>
          </w:p>
          <w:p w:rsidR="004967AD" w:rsidRPr="00723BA8" w:rsidRDefault="004967AD" w:rsidP="00A5373E">
            <w:pPr>
              <w:jc w:val="both"/>
              <w:rPr>
                <w:rFonts w:eastAsia="Calibri"/>
                <w:sz w:val="20"/>
              </w:rPr>
            </w:pPr>
            <w:r w:rsidRPr="00723BA8">
              <w:rPr>
                <w:rFonts w:eastAsia="Calibri"/>
                <w:sz w:val="20"/>
              </w:rPr>
              <w:t>(Tysoe, Rowles and Bennett JJ.A.)</w:t>
            </w:r>
          </w:p>
          <w:p w:rsidR="004967AD" w:rsidRPr="00723BA8" w:rsidRDefault="004967AD" w:rsidP="00A5373E">
            <w:pPr>
              <w:jc w:val="both"/>
              <w:rPr>
                <w:rFonts w:eastAsia="Calibri"/>
                <w:sz w:val="20"/>
              </w:rPr>
            </w:pP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Appeal of sentence dismissed</w:t>
            </w:r>
          </w:p>
          <w:p w:rsidR="004967AD" w:rsidRPr="00723BA8" w:rsidRDefault="004967AD" w:rsidP="00A5373E">
            <w:pPr>
              <w:jc w:val="both"/>
              <w:rPr>
                <w:rFonts w:eastAsia="Calibri"/>
                <w:sz w:val="20"/>
              </w:rPr>
            </w:pPr>
          </w:p>
        </w:tc>
      </w:tr>
      <w:tr w:rsidR="004967AD" w:rsidRPr="00723BA8" w:rsidTr="00A25BB5">
        <w:trPr>
          <w:cantSplit/>
        </w:trPr>
        <w:tc>
          <w:tcPr>
            <w:tcW w:w="2427" w:type="pct"/>
          </w:tcPr>
          <w:p w:rsidR="004967AD" w:rsidRPr="00723BA8" w:rsidRDefault="004967AD" w:rsidP="00A5373E">
            <w:pPr>
              <w:jc w:val="both"/>
              <w:rPr>
                <w:rFonts w:eastAsia="Calibri"/>
                <w:sz w:val="20"/>
              </w:rPr>
            </w:pPr>
            <w:r w:rsidRPr="00723BA8">
              <w:rPr>
                <w:rFonts w:eastAsia="Calibri"/>
                <w:sz w:val="20"/>
              </w:rPr>
              <w:t>January 14, 2011</w:t>
            </w:r>
          </w:p>
          <w:p w:rsidR="004967AD" w:rsidRPr="00723BA8" w:rsidRDefault="004967AD" w:rsidP="00A5373E">
            <w:pPr>
              <w:jc w:val="both"/>
              <w:rPr>
                <w:rFonts w:eastAsia="Calibri"/>
                <w:sz w:val="20"/>
              </w:rPr>
            </w:pPr>
            <w:r w:rsidRPr="00723BA8">
              <w:rPr>
                <w:rFonts w:eastAsia="Calibri"/>
                <w:sz w:val="20"/>
              </w:rPr>
              <w:t>Supreme Court of Canada</w:t>
            </w:r>
          </w:p>
        </w:tc>
        <w:tc>
          <w:tcPr>
            <w:tcW w:w="243" w:type="pct"/>
          </w:tcPr>
          <w:p w:rsidR="004967AD" w:rsidRPr="00723BA8" w:rsidRDefault="004967AD" w:rsidP="00A5373E">
            <w:pPr>
              <w:jc w:val="both"/>
              <w:rPr>
                <w:rFonts w:eastAsia="Calibri"/>
                <w:sz w:val="20"/>
              </w:rPr>
            </w:pPr>
          </w:p>
        </w:tc>
        <w:tc>
          <w:tcPr>
            <w:tcW w:w="2330" w:type="pct"/>
          </w:tcPr>
          <w:p w:rsidR="004967AD" w:rsidRPr="00723BA8" w:rsidRDefault="004967AD" w:rsidP="00A5373E">
            <w:pPr>
              <w:jc w:val="both"/>
              <w:rPr>
                <w:rFonts w:eastAsia="Calibri"/>
                <w:sz w:val="20"/>
              </w:rPr>
            </w:pPr>
            <w:r w:rsidRPr="00723BA8">
              <w:rPr>
                <w:rFonts w:eastAsia="Calibri"/>
                <w:sz w:val="20"/>
              </w:rPr>
              <w:t>Application for leave to appeal filed</w:t>
            </w:r>
          </w:p>
          <w:p w:rsidR="004967AD" w:rsidRPr="00723BA8" w:rsidRDefault="004967AD" w:rsidP="00A5373E">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2"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EC149F" w:rsidRPr="00E62A55" w:rsidTr="00A5373E">
        <w:tc>
          <w:tcPr>
            <w:tcW w:w="5000" w:type="pct"/>
            <w:gridSpan w:val="3"/>
          </w:tcPr>
          <w:p w:rsidR="00EC149F" w:rsidRPr="00723BA8" w:rsidRDefault="00EC149F" w:rsidP="00A5373E">
            <w:pPr>
              <w:jc w:val="both"/>
              <w:rPr>
                <w:rFonts w:eastAsia="Calibri"/>
                <w:sz w:val="20"/>
                <w:lang w:val="fr-CA"/>
              </w:rPr>
            </w:pPr>
            <w:r w:rsidRPr="00723BA8">
              <w:rPr>
                <w:rFonts w:eastAsia="Calibri"/>
                <w:sz w:val="20"/>
                <w:lang w:val="fr-CA"/>
              </w:rPr>
              <w:t>Droit criminel — Détermination de la peine — La juge du procès a</w:t>
            </w:r>
            <w:r w:rsidRPr="00723BA8">
              <w:rPr>
                <w:rFonts w:eastAsia="Calibri"/>
                <w:sz w:val="20"/>
                <w:lang w:val="fr-CA"/>
              </w:rPr>
              <w:noBreakHyphen/>
              <w:t>t</w:t>
            </w:r>
            <w:r w:rsidRPr="00723BA8">
              <w:rPr>
                <w:rFonts w:eastAsia="Calibri"/>
                <w:sz w:val="20"/>
                <w:lang w:val="fr-CA"/>
              </w:rPr>
              <w:noBreakHyphen/>
              <w:t>elle commis une erreur dans la détermination de la peine en refusant de déduire les vingt</w:t>
            </w:r>
            <w:r w:rsidRPr="00723BA8">
              <w:rPr>
                <w:rFonts w:eastAsia="Calibri"/>
                <w:sz w:val="20"/>
                <w:lang w:val="fr-CA"/>
              </w:rPr>
              <w:noBreakHyphen/>
              <w:t xml:space="preserve">six jours de détention présentencielle? — L'art. 9 du </w:t>
            </w:r>
            <w:r w:rsidRPr="00723BA8">
              <w:rPr>
                <w:rFonts w:eastAsia="Calibri"/>
                <w:i/>
                <w:iCs/>
                <w:sz w:val="20"/>
                <w:lang w:val="fr-CA"/>
              </w:rPr>
              <w:t>Code criminel</w:t>
            </w:r>
            <w:r w:rsidRPr="00723BA8">
              <w:rPr>
                <w:rFonts w:eastAsia="Calibri"/>
                <w:sz w:val="20"/>
                <w:lang w:val="fr-CA"/>
              </w:rPr>
              <w:t xml:space="preserve"> l'emporte</w:t>
            </w:r>
            <w:r w:rsidRPr="00723BA8">
              <w:rPr>
                <w:rFonts w:eastAsia="Calibri"/>
                <w:sz w:val="20"/>
                <w:lang w:val="fr-CA"/>
              </w:rPr>
              <w:noBreakHyphen/>
              <w:t>t</w:t>
            </w:r>
            <w:r w:rsidRPr="00723BA8">
              <w:rPr>
                <w:rFonts w:eastAsia="Calibri"/>
                <w:sz w:val="20"/>
                <w:lang w:val="fr-CA"/>
              </w:rPr>
              <w:noBreakHyphen/>
              <w:t xml:space="preserve">il toujours sur les autres articles du </w:t>
            </w:r>
            <w:r w:rsidRPr="00723BA8">
              <w:rPr>
                <w:rFonts w:eastAsia="Calibri"/>
                <w:i/>
                <w:iCs/>
                <w:sz w:val="20"/>
                <w:lang w:val="fr-CA"/>
              </w:rPr>
              <w:t>Code</w:t>
            </w:r>
            <w:r w:rsidRPr="00723BA8">
              <w:rPr>
                <w:rFonts w:eastAsia="Calibri"/>
                <w:sz w:val="20"/>
                <w:lang w:val="fr-CA"/>
              </w:rPr>
              <w:t xml:space="preserve"> même si le par. 787(1) prévoit clairement que « toute personne » est visée par cette disposition? — Les observations jurisprudentielles du ministère public qui y ont causé une humiliation sociale aiguë et une perte de réputation et de dignité humaine transgressent</w:t>
            </w:r>
            <w:r w:rsidRPr="00723BA8">
              <w:rPr>
                <w:rFonts w:eastAsia="Calibri"/>
                <w:sz w:val="20"/>
                <w:lang w:val="fr-CA"/>
              </w:rPr>
              <w:noBreakHyphen/>
              <w:t>elles le droit de la demanderesse a une audition équitable à la Cour d'appel de la Colombie</w:t>
            </w:r>
            <w:r w:rsidRPr="00723BA8">
              <w:rPr>
                <w:rFonts w:eastAsia="Calibri"/>
                <w:sz w:val="20"/>
                <w:lang w:val="fr-CA"/>
              </w:rPr>
              <w:noBreakHyphen/>
              <w:t>Britannique et à une audition équitable à la Cour suprême du Canada?</w:t>
            </w:r>
          </w:p>
          <w:p w:rsidR="00EC149F" w:rsidRPr="00723BA8" w:rsidRDefault="00EC149F" w:rsidP="00A5373E">
            <w:pPr>
              <w:jc w:val="both"/>
              <w:rPr>
                <w:rFonts w:eastAsia="Calibri"/>
                <w:smallCaps/>
                <w:sz w:val="20"/>
                <w:lang w:val="fr-CA"/>
              </w:rPr>
            </w:pPr>
          </w:p>
        </w:tc>
      </w:tr>
      <w:tr w:rsidR="00EC149F" w:rsidRPr="00E62A55" w:rsidTr="00A5373E">
        <w:tc>
          <w:tcPr>
            <w:tcW w:w="5000" w:type="pct"/>
            <w:gridSpan w:val="3"/>
          </w:tcPr>
          <w:p w:rsidR="00EC149F" w:rsidRPr="00723BA8" w:rsidRDefault="00EC149F" w:rsidP="00A5373E">
            <w:pPr>
              <w:jc w:val="both"/>
              <w:rPr>
                <w:rFonts w:eastAsia="Calibri"/>
                <w:sz w:val="20"/>
                <w:lang w:val="fr-CA"/>
              </w:rPr>
            </w:pPr>
            <w:r w:rsidRPr="00723BA8">
              <w:rPr>
                <w:rFonts w:eastAsia="Calibri"/>
                <w:sz w:val="20"/>
                <w:lang w:val="fr-CA"/>
              </w:rPr>
              <w:t>La demanderesse faisait partie d'un groupe de contestataires qui manifestaient contre le nouveau tracé du Sea</w:t>
            </w:r>
            <w:r w:rsidRPr="00723BA8">
              <w:rPr>
                <w:rFonts w:eastAsia="Calibri"/>
                <w:sz w:val="20"/>
                <w:lang w:val="fr-CA"/>
              </w:rPr>
              <w:noBreakHyphen/>
              <w:t>to</w:t>
            </w:r>
            <w:r w:rsidRPr="00723BA8">
              <w:rPr>
                <w:rFonts w:eastAsia="Calibri"/>
                <w:sz w:val="20"/>
                <w:lang w:val="fr-CA"/>
              </w:rPr>
              <w:noBreakHyphen/>
              <w:t>Sky Highway près de Vancouver.  Une injonction a été accordée pour empêcher toute entrave à la construction et interdire aux contestataires de se trouver à certains endroits.  La demanderesse a été arrêtée à trois reprises pour avoir violé les interdictions de se trouver à certains endroits prévues dans l'injonction.  Elle a été libérée après chacune de ces trois arrestations après s'être engagée à respecter l'injonction.  Le 7 juillet 2006, elle a été incarcérée lorsqu'elle a retiré son engagement.  Elle a été libérée 26 jours plus tard lorsque son engagement a été renouvelé.  La demanderesse a été déclarée coupable d'avoir commis un outrage criminel à chacune des dates susmentionnées.  Elle a été condamnée à une peine d'emprisonnement de 10 mois.  Son appel de la condamnation a été rejeté en 2009, et sa demande d'autorisation d'appel à cette Cour a été rejetée en mai 2010.  Son appel de la peine a été rejeté par la Cour d'appel, et la demanderesse demande l'autorisation d'en appeler à cette Cour.</w:t>
            </w:r>
          </w:p>
          <w:p w:rsidR="00EC149F" w:rsidRPr="00723BA8" w:rsidRDefault="00EC149F" w:rsidP="00A5373E">
            <w:pPr>
              <w:jc w:val="both"/>
              <w:rPr>
                <w:rFonts w:eastAsia="Calibri"/>
                <w:sz w:val="20"/>
                <w:lang w:val="fr-CA"/>
              </w:rPr>
            </w:pPr>
          </w:p>
        </w:tc>
      </w:tr>
      <w:tr w:rsidR="00EC149F" w:rsidRPr="00E62A55" w:rsidTr="00A5373E">
        <w:tc>
          <w:tcPr>
            <w:tcW w:w="2427" w:type="pct"/>
          </w:tcPr>
          <w:p w:rsidR="00EC149F" w:rsidRPr="00723BA8" w:rsidRDefault="00EC149F" w:rsidP="00A5373E">
            <w:pPr>
              <w:jc w:val="both"/>
              <w:rPr>
                <w:rFonts w:eastAsia="Calibri"/>
                <w:sz w:val="20"/>
                <w:lang w:val="fr-CA"/>
              </w:rPr>
            </w:pPr>
            <w:r w:rsidRPr="00723BA8">
              <w:rPr>
                <w:rFonts w:eastAsia="Calibri"/>
                <w:sz w:val="20"/>
                <w:lang w:val="fr-CA"/>
              </w:rPr>
              <w:t>5 mars 2007</w:t>
            </w:r>
          </w:p>
          <w:p w:rsidR="00EC149F" w:rsidRPr="00723BA8" w:rsidRDefault="00EC149F" w:rsidP="00A5373E">
            <w:pPr>
              <w:jc w:val="both"/>
              <w:rPr>
                <w:rFonts w:eastAsia="Calibri"/>
                <w:sz w:val="20"/>
                <w:lang w:val="fr-CA"/>
              </w:rPr>
            </w:pPr>
            <w:r w:rsidRPr="00723BA8">
              <w:rPr>
                <w:rFonts w:eastAsia="Calibri"/>
                <w:sz w:val="20"/>
                <w:lang w:val="fr-CA"/>
              </w:rPr>
              <w:t xml:space="preserve">Cour suprême de la Colombie Britannique </w:t>
            </w:r>
          </w:p>
          <w:p w:rsidR="00EC149F" w:rsidRPr="00723BA8" w:rsidRDefault="00EC149F" w:rsidP="00A5373E">
            <w:pPr>
              <w:jc w:val="both"/>
              <w:rPr>
                <w:rFonts w:eastAsia="Calibri"/>
                <w:sz w:val="20"/>
                <w:lang w:val="fr-CA"/>
              </w:rPr>
            </w:pPr>
            <w:r w:rsidRPr="00723BA8">
              <w:rPr>
                <w:rFonts w:eastAsia="Calibri"/>
                <w:sz w:val="20"/>
                <w:lang w:val="fr-CA"/>
              </w:rPr>
              <w:t>(Juge Brown)</w:t>
            </w:r>
          </w:p>
          <w:p w:rsidR="00EC149F" w:rsidRPr="00723BA8" w:rsidRDefault="00EC149F" w:rsidP="00A5373E">
            <w:pPr>
              <w:jc w:val="both"/>
              <w:rPr>
                <w:rFonts w:eastAsia="Calibri"/>
                <w:sz w:val="20"/>
                <w:lang w:val="fr-CA"/>
              </w:rPr>
            </w:pPr>
          </w:p>
        </w:tc>
        <w:tc>
          <w:tcPr>
            <w:tcW w:w="243" w:type="pct"/>
          </w:tcPr>
          <w:p w:rsidR="00EC149F" w:rsidRPr="00723BA8" w:rsidRDefault="00EC149F" w:rsidP="00A5373E">
            <w:pPr>
              <w:jc w:val="both"/>
              <w:rPr>
                <w:rFonts w:eastAsia="Calibri"/>
                <w:sz w:val="20"/>
                <w:lang w:val="fr-CA"/>
              </w:rPr>
            </w:pPr>
          </w:p>
        </w:tc>
        <w:tc>
          <w:tcPr>
            <w:tcW w:w="2330" w:type="pct"/>
          </w:tcPr>
          <w:p w:rsidR="00EC149F" w:rsidRPr="00723BA8" w:rsidRDefault="00EC149F" w:rsidP="00A5373E">
            <w:pPr>
              <w:jc w:val="both"/>
              <w:rPr>
                <w:rFonts w:eastAsia="Calibri"/>
                <w:sz w:val="20"/>
                <w:lang w:val="fr-CA"/>
              </w:rPr>
            </w:pPr>
            <w:r w:rsidRPr="00723BA8">
              <w:rPr>
                <w:rFonts w:eastAsia="Calibri"/>
                <w:sz w:val="20"/>
                <w:lang w:val="fr-CA"/>
              </w:rPr>
              <w:t>Demanderesse condamnée à une peine d'emprisonnement de 10 mois pour outrage criminel au tribunal</w:t>
            </w:r>
          </w:p>
          <w:p w:rsidR="00EC149F" w:rsidRPr="00723BA8" w:rsidRDefault="00EC149F" w:rsidP="00A5373E">
            <w:pPr>
              <w:jc w:val="both"/>
              <w:rPr>
                <w:rFonts w:eastAsia="Calibri"/>
                <w:sz w:val="20"/>
                <w:lang w:val="fr-CA"/>
              </w:rPr>
            </w:pPr>
          </w:p>
        </w:tc>
      </w:tr>
      <w:tr w:rsidR="00EC149F" w:rsidRPr="0068140C" w:rsidTr="00A5373E">
        <w:tc>
          <w:tcPr>
            <w:tcW w:w="2427" w:type="pct"/>
          </w:tcPr>
          <w:p w:rsidR="00EC149F" w:rsidRPr="00723BA8" w:rsidRDefault="00EC149F" w:rsidP="00A5373E">
            <w:pPr>
              <w:jc w:val="both"/>
              <w:rPr>
                <w:rFonts w:eastAsia="Calibri"/>
                <w:sz w:val="20"/>
                <w:lang w:val="fr-CA"/>
              </w:rPr>
            </w:pPr>
            <w:r w:rsidRPr="00723BA8">
              <w:rPr>
                <w:rFonts w:eastAsia="Calibri"/>
                <w:sz w:val="20"/>
                <w:lang w:val="fr-CA"/>
              </w:rPr>
              <w:t>2 décembre 2010</w:t>
            </w:r>
          </w:p>
          <w:p w:rsidR="00EC149F" w:rsidRPr="00723BA8" w:rsidRDefault="00EC149F" w:rsidP="00A5373E">
            <w:pPr>
              <w:jc w:val="both"/>
              <w:rPr>
                <w:rFonts w:eastAsia="Calibri"/>
                <w:sz w:val="20"/>
                <w:lang w:val="fr-CA"/>
              </w:rPr>
            </w:pPr>
            <w:r w:rsidRPr="00723BA8">
              <w:rPr>
                <w:rFonts w:eastAsia="Calibri"/>
                <w:sz w:val="20"/>
                <w:lang w:val="fr-CA"/>
              </w:rPr>
              <w:t xml:space="preserve">Cour d'appel de la Colombie Britannique </w:t>
            </w:r>
          </w:p>
          <w:p w:rsidR="00EC149F" w:rsidRPr="00723BA8" w:rsidRDefault="00EC149F" w:rsidP="00A5373E">
            <w:pPr>
              <w:jc w:val="both"/>
              <w:rPr>
                <w:rFonts w:eastAsia="Calibri"/>
                <w:sz w:val="20"/>
                <w:lang w:val="fr-CA"/>
              </w:rPr>
            </w:pPr>
            <w:r w:rsidRPr="00723BA8">
              <w:rPr>
                <w:rFonts w:eastAsia="Calibri"/>
                <w:sz w:val="20"/>
                <w:lang w:val="fr-CA"/>
              </w:rPr>
              <w:t>(Vancouver)</w:t>
            </w:r>
          </w:p>
          <w:p w:rsidR="00EC149F" w:rsidRPr="00723BA8" w:rsidRDefault="00EC149F" w:rsidP="00A5373E">
            <w:pPr>
              <w:jc w:val="both"/>
              <w:rPr>
                <w:rFonts w:eastAsia="Calibri"/>
                <w:sz w:val="20"/>
                <w:lang w:val="fr-CA"/>
              </w:rPr>
            </w:pPr>
            <w:r w:rsidRPr="00723BA8">
              <w:rPr>
                <w:rFonts w:eastAsia="Calibri"/>
                <w:sz w:val="20"/>
                <w:lang w:val="fr-CA"/>
              </w:rPr>
              <w:t>(Juges Tysoe, Rowles et Bennett)</w:t>
            </w:r>
          </w:p>
          <w:p w:rsidR="00EC149F" w:rsidRPr="00723BA8" w:rsidRDefault="00EC149F" w:rsidP="00A5373E">
            <w:pPr>
              <w:jc w:val="both"/>
              <w:rPr>
                <w:rFonts w:eastAsia="Calibri"/>
                <w:sz w:val="20"/>
                <w:lang w:val="fr-CA"/>
              </w:rPr>
            </w:pPr>
          </w:p>
        </w:tc>
        <w:tc>
          <w:tcPr>
            <w:tcW w:w="243" w:type="pct"/>
          </w:tcPr>
          <w:p w:rsidR="00EC149F" w:rsidRPr="00723BA8" w:rsidRDefault="00EC149F" w:rsidP="00A5373E">
            <w:pPr>
              <w:jc w:val="both"/>
              <w:rPr>
                <w:rFonts w:eastAsia="Calibri"/>
                <w:sz w:val="20"/>
                <w:lang w:val="fr-CA"/>
              </w:rPr>
            </w:pPr>
          </w:p>
        </w:tc>
        <w:tc>
          <w:tcPr>
            <w:tcW w:w="2330" w:type="pct"/>
          </w:tcPr>
          <w:p w:rsidR="00EC149F" w:rsidRPr="00723BA8" w:rsidRDefault="00EC149F" w:rsidP="00A5373E">
            <w:pPr>
              <w:jc w:val="both"/>
              <w:rPr>
                <w:rFonts w:eastAsia="Calibri"/>
                <w:sz w:val="20"/>
                <w:lang w:val="fr-CA"/>
              </w:rPr>
            </w:pPr>
            <w:r w:rsidRPr="00723BA8">
              <w:rPr>
                <w:rFonts w:eastAsia="Calibri"/>
                <w:sz w:val="20"/>
                <w:lang w:val="fr-CA"/>
              </w:rPr>
              <w:t>Appel de la peine, rejetée</w:t>
            </w:r>
          </w:p>
          <w:p w:rsidR="00EC149F" w:rsidRPr="00723BA8" w:rsidRDefault="00EC149F" w:rsidP="00A5373E">
            <w:pPr>
              <w:jc w:val="both"/>
              <w:rPr>
                <w:rFonts w:eastAsia="Calibri"/>
                <w:sz w:val="20"/>
                <w:lang w:val="fr-CA"/>
              </w:rPr>
            </w:pPr>
          </w:p>
        </w:tc>
      </w:tr>
      <w:tr w:rsidR="00EC149F" w:rsidRPr="00723BA8" w:rsidTr="00A5373E">
        <w:tc>
          <w:tcPr>
            <w:tcW w:w="2427" w:type="pct"/>
          </w:tcPr>
          <w:p w:rsidR="00EC149F" w:rsidRPr="00723BA8" w:rsidRDefault="00EC149F" w:rsidP="00A5373E">
            <w:pPr>
              <w:jc w:val="both"/>
              <w:rPr>
                <w:rFonts w:eastAsia="Calibri"/>
                <w:sz w:val="20"/>
                <w:lang w:val="fr-CA"/>
              </w:rPr>
            </w:pPr>
            <w:r w:rsidRPr="00723BA8">
              <w:rPr>
                <w:rFonts w:eastAsia="Calibri"/>
                <w:sz w:val="20"/>
                <w:lang w:val="fr-CA"/>
              </w:rPr>
              <w:t>14 janvier 2011</w:t>
            </w:r>
          </w:p>
          <w:p w:rsidR="00EC149F" w:rsidRPr="00723BA8" w:rsidRDefault="00EC149F" w:rsidP="00A5373E">
            <w:pPr>
              <w:jc w:val="both"/>
              <w:rPr>
                <w:rFonts w:eastAsia="Calibri"/>
                <w:sz w:val="20"/>
                <w:lang w:val="fr-CA"/>
              </w:rPr>
            </w:pPr>
            <w:r w:rsidRPr="00723BA8">
              <w:rPr>
                <w:rFonts w:eastAsia="Calibri"/>
                <w:sz w:val="20"/>
                <w:lang w:val="fr-CA"/>
              </w:rPr>
              <w:t>Cour suprême du Canada</w:t>
            </w:r>
          </w:p>
        </w:tc>
        <w:tc>
          <w:tcPr>
            <w:tcW w:w="243" w:type="pct"/>
          </w:tcPr>
          <w:p w:rsidR="00EC149F" w:rsidRPr="00723BA8" w:rsidRDefault="00EC149F" w:rsidP="00A5373E">
            <w:pPr>
              <w:jc w:val="both"/>
              <w:rPr>
                <w:rFonts w:eastAsia="Calibri"/>
                <w:sz w:val="20"/>
                <w:lang w:val="fr-CA"/>
              </w:rPr>
            </w:pPr>
          </w:p>
        </w:tc>
        <w:tc>
          <w:tcPr>
            <w:tcW w:w="2330" w:type="pct"/>
          </w:tcPr>
          <w:p w:rsidR="00EC149F" w:rsidRPr="00723BA8" w:rsidRDefault="00EC149F" w:rsidP="00A5373E">
            <w:pPr>
              <w:jc w:val="both"/>
              <w:rPr>
                <w:rFonts w:eastAsia="Calibri"/>
                <w:sz w:val="20"/>
                <w:lang w:val="fr-CA"/>
              </w:rPr>
            </w:pPr>
            <w:r w:rsidRPr="00723BA8">
              <w:rPr>
                <w:rFonts w:eastAsia="Calibri"/>
                <w:sz w:val="20"/>
                <w:lang w:val="fr-CA"/>
              </w:rPr>
              <w:t>Demande d'autorisation d'appel, déposée</w:t>
            </w:r>
          </w:p>
          <w:p w:rsidR="00EC149F" w:rsidRPr="00723BA8" w:rsidRDefault="00EC149F" w:rsidP="00A5373E">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3"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Style w:val="SCCFileNumberChar"/>
                <w:sz w:val="20"/>
                <w:szCs w:val="20"/>
              </w:rPr>
              <w:t>34069</w:t>
            </w:r>
          </w:p>
          <w:p w:rsidR="00A25BB5" w:rsidRPr="000F5BBC" w:rsidRDefault="00A25BB5" w:rsidP="00A25BB5">
            <w:pPr>
              <w:rPr>
                <w:rFonts w:cs="Times New Roman"/>
                <w:b/>
                <w:sz w:val="20"/>
                <w:szCs w:val="20"/>
                <w:lang w:val="fr-CA"/>
              </w:rPr>
            </w:pPr>
          </w:p>
        </w:tc>
        <w:tc>
          <w:tcPr>
            <w:tcW w:w="8118" w:type="dxa"/>
          </w:tcPr>
          <w:p w:rsidR="00A25BB5" w:rsidRPr="000F5BBC" w:rsidRDefault="00A25BB5" w:rsidP="00A25BB5">
            <w:pPr>
              <w:jc w:val="both"/>
              <w:rPr>
                <w:rFonts w:cs="Times New Roman"/>
                <w:sz w:val="20"/>
                <w:szCs w:val="20"/>
                <w:lang w:val="fr-CA"/>
              </w:rPr>
            </w:pPr>
            <w:r w:rsidRPr="000F5BBC">
              <w:rPr>
                <w:rStyle w:val="SCCLsocChar"/>
                <w:rFonts w:cs="Times New Roman"/>
                <w:sz w:val="20"/>
                <w:szCs w:val="20"/>
              </w:rPr>
              <w:t>Smadar Dahan v. David Delderfield AND BETWEEN Smadar Dahan v. Claude Pelletier, TCRI - Table de concertation des organismes au service des personnes réfugiées et immigrantes</w:t>
            </w:r>
            <w:r>
              <w:rPr>
                <w:rStyle w:val="SCCLsocChar"/>
                <w:rFonts w:cs="Times New Roman"/>
                <w:szCs w:val="20"/>
              </w:rPr>
              <w:t xml:space="preserve"> et</w:t>
            </w:r>
            <w:r w:rsidRPr="000F5BBC">
              <w:rPr>
                <w:rStyle w:val="SCCLsocChar"/>
                <w:rFonts w:cs="Times New Roman"/>
                <w:sz w:val="20"/>
                <w:szCs w:val="20"/>
              </w:rPr>
              <w:t xml:space="preserve"> Barreau du Québec AND BETWEEN Smadar Dahan v. Harvey Toulch AND BETWEEN Smadar Dahan v. David Delderfield, Harvey Toulch</w:t>
            </w:r>
            <w:r w:rsidRPr="000F5BBC">
              <w:rPr>
                <w:rFonts w:cs="Times New Roman"/>
                <w:sz w:val="20"/>
                <w:szCs w:val="20"/>
                <w:lang w:val="fr-CA"/>
              </w:rPr>
              <w:t xml:space="preserve"> (Que.) (Civil) (By Leave)</w:t>
            </w:r>
          </w:p>
          <w:p w:rsidR="00A25BB5" w:rsidRPr="000F5BBC" w:rsidRDefault="00A25BB5" w:rsidP="00A25BB5">
            <w:pPr>
              <w:rPr>
                <w:rFonts w:cs="Times New Roman"/>
                <w:sz w:val="20"/>
                <w:szCs w:val="20"/>
                <w:lang w:val="fr-CA"/>
              </w:rPr>
            </w:pPr>
          </w:p>
        </w:tc>
      </w:tr>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Fonts w:cs="Times New Roman"/>
                <w:sz w:val="20"/>
                <w:szCs w:val="20"/>
              </w:rPr>
              <w:lastRenderedPageBreak/>
              <w:t>Coram :</w:t>
            </w:r>
          </w:p>
        </w:tc>
        <w:tc>
          <w:tcPr>
            <w:tcW w:w="8118" w:type="dxa"/>
          </w:tcPr>
          <w:p w:rsidR="00A25BB5" w:rsidRPr="000F5BBC" w:rsidRDefault="00A25BB5" w:rsidP="00A25BB5">
            <w:pPr>
              <w:rPr>
                <w:rFonts w:cs="Times New Roman"/>
                <w:sz w:val="20"/>
                <w:szCs w:val="20"/>
              </w:rPr>
            </w:pPr>
            <w:r w:rsidRPr="00A25BB5">
              <w:rPr>
                <w:rStyle w:val="SCCCoramChar"/>
                <w:rFonts w:cs="Times New Roman"/>
                <w:sz w:val="20"/>
                <w:szCs w:val="20"/>
                <w:lang w:val="en-CA"/>
              </w:rPr>
              <w:t>LeBel, Deschamps and Charron JJ.</w:t>
            </w:r>
          </w:p>
          <w:p w:rsidR="00A25BB5" w:rsidRPr="000F5BBC" w:rsidRDefault="00A25BB5" w:rsidP="00A25BB5">
            <w:pPr>
              <w:rPr>
                <w:rFonts w:cs="Times New Roman"/>
                <w:sz w:val="20"/>
                <w:szCs w:val="20"/>
                <w:u w:val="single"/>
              </w:rPr>
            </w:pPr>
          </w:p>
        </w:tc>
      </w:tr>
      <w:tr w:rsidR="00A25BB5" w:rsidRPr="00E62A55" w:rsidTr="00A25BB5">
        <w:trPr>
          <w:cantSplit/>
        </w:trPr>
        <w:tc>
          <w:tcPr>
            <w:tcW w:w="9576" w:type="dxa"/>
            <w:gridSpan w:val="2"/>
          </w:tcPr>
          <w:p w:rsidR="00A25BB5" w:rsidRPr="000F5BBC" w:rsidRDefault="00A25BB5" w:rsidP="00A25BB5">
            <w:pPr>
              <w:pStyle w:val="SCCShortJudgment"/>
              <w:rPr>
                <w:rFonts w:cs="Times New Roman"/>
                <w:szCs w:val="20"/>
              </w:rPr>
            </w:pPr>
            <w:r w:rsidRPr="000F5BBC">
              <w:rPr>
                <w:rFonts w:cs="Times New Roman"/>
                <w:szCs w:val="20"/>
              </w:rPr>
              <w:t xml:space="preserve">The motion for an extension of time to serve the application for leave to appeal is granted in respect to the judgment of the Court of Appeal of Quebec (Montréal), Numbers 500-09-019394-097 and 500-09-019661-099, 2010 QCCA 1982, </w:t>
            </w:r>
            <w:proofErr w:type="gramStart"/>
            <w:r w:rsidRPr="000F5BBC">
              <w:rPr>
                <w:rFonts w:cs="Times New Roman"/>
                <w:szCs w:val="20"/>
              </w:rPr>
              <w:t>dated</w:t>
            </w:r>
            <w:proofErr w:type="gramEnd"/>
            <w:r w:rsidRPr="000F5BBC">
              <w:rPr>
                <w:rFonts w:cs="Times New Roman"/>
                <w:szCs w:val="20"/>
              </w:rPr>
              <w:t xml:space="preserve"> November 3, 2010. The motion to serve and file is dismissed in respect of the judgments of the Court of Appeal of Quebec (Montréal), Numbers 500-09-018331-082 and 500-09-020160-099, 2008 QCCA 1905 and 2009 QCCA 2454, dated October 6, 2008, and December 14, 2009. The motion to appoint counsel is dismissed. All other ancillary motions are granted. The application for leave to appeal from the judgment of the Court of Appeal of Quebec dated November 3, 2010, is dismissed with costs to the respondent Barreau du Québec.</w:t>
            </w:r>
          </w:p>
          <w:p w:rsidR="00A25BB5" w:rsidRPr="000F5BBC" w:rsidRDefault="00A25BB5" w:rsidP="00A25BB5">
            <w:pPr>
              <w:pStyle w:val="SCCShortJudgment"/>
              <w:ind w:firstLine="0"/>
              <w:rPr>
                <w:rFonts w:cs="Times New Roman"/>
                <w:szCs w:val="20"/>
              </w:rPr>
            </w:pPr>
          </w:p>
          <w:p w:rsidR="00A25BB5" w:rsidRPr="000F5BBC" w:rsidRDefault="00A25BB5" w:rsidP="00A25BB5">
            <w:pPr>
              <w:pStyle w:val="SCCShortJudgment"/>
              <w:rPr>
                <w:rFonts w:cs="Times New Roman"/>
                <w:szCs w:val="20"/>
                <w:lang w:val="fr-CA"/>
              </w:rPr>
            </w:pPr>
            <w:r w:rsidRPr="000F5BBC">
              <w:rPr>
                <w:rFonts w:cs="Times New Roman"/>
                <w:szCs w:val="20"/>
                <w:lang w:val="fr-CA"/>
              </w:rPr>
              <w:t>La requête en prorogation du délai de signification de la demande d’autorisation d’appel est accueillie en ce  qui concerne l’arrêt de la Cour d’appel du Québec (Montréal), numéros 500-09-019394-097 et 500-09-019661-099, 2010 QCCA 1982, daté du 3 novembre 2010. La requête pour signifier et déposer est rejetée en ce qui concerne les arrêts de la Cour d’appel du Québec (Montréal), numéros 500-09-018331-082 et 500-09-020160-099, 2008 QCCA 1905 et 2009 QCCA 2454, datés du 6 octobre 2008 et 14 décembre 2009. La requête pour nomination d’un avocat est rejetée. Toutes les autres requêtes accessoires sont accueillies. La demande d’autorisation d’appel de l’arrêt de la Cour d’appel du Québec daté du 3 novembre 2010 est rejetée avec dépens en faveur de l’intimé Barreau du Québec.</w:t>
            </w:r>
          </w:p>
        </w:tc>
      </w:tr>
    </w:tbl>
    <w:p w:rsidR="000A73A5" w:rsidRPr="00A25BB5" w:rsidRDefault="000A73A5"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73A5" w:rsidRPr="00723BA8" w:rsidTr="00A5373E">
        <w:tc>
          <w:tcPr>
            <w:tcW w:w="5000" w:type="pct"/>
            <w:gridSpan w:val="3"/>
          </w:tcPr>
          <w:p w:rsidR="000A73A5" w:rsidRPr="00723BA8" w:rsidRDefault="000A73A5" w:rsidP="00A5373E">
            <w:pPr>
              <w:jc w:val="both"/>
              <w:rPr>
                <w:rFonts w:eastAsia="Calibri"/>
                <w:sz w:val="20"/>
              </w:rPr>
            </w:pPr>
            <w:r w:rsidRPr="00723BA8">
              <w:rPr>
                <w:rFonts w:eastAsia="Calibri"/>
                <w:sz w:val="20"/>
              </w:rPr>
              <w:t>Civil procedure — Motions to dismiss appeal allowed — Appeals dismissed — Motion for permission to inscribe in appeal dismissed — Whether decisions below incorrect.</w:t>
            </w:r>
          </w:p>
          <w:p w:rsidR="000A73A5" w:rsidRPr="00723BA8" w:rsidRDefault="000A73A5" w:rsidP="00A5373E">
            <w:pPr>
              <w:jc w:val="both"/>
              <w:rPr>
                <w:rFonts w:eastAsia="Calibri"/>
                <w:sz w:val="20"/>
              </w:rPr>
            </w:pP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December 7, 2007</w:t>
            </w:r>
          </w:p>
          <w:p w:rsidR="000A73A5" w:rsidRPr="00723BA8" w:rsidRDefault="000A73A5" w:rsidP="00A5373E">
            <w:pPr>
              <w:jc w:val="both"/>
              <w:rPr>
                <w:rFonts w:eastAsia="Calibri"/>
                <w:sz w:val="20"/>
              </w:rPr>
            </w:pPr>
            <w:r w:rsidRPr="00723BA8">
              <w:rPr>
                <w:rFonts w:eastAsia="Calibri"/>
                <w:sz w:val="20"/>
              </w:rPr>
              <w:t>Quebec Superior Court</w:t>
            </w:r>
          </w:p>
          <w:p w:rsidR="000A73A5" w:rsidRPr="00723BA8" w:rsidRDefault="000A73A5" w:rsidP="00A5373E">
            <w:pPr>
              <w:jc w:val="both"/>
              <w:rPr>
                <w:rFonts w:eastAsia="Calibri"/>
                <w:sz w:val="20"/>
              </w:rPr>
            </w:pPr>
            <w:r w:rsidRPr="00723BA8">
              <w:rPr>
                <w:rFonts w:eastAsia="Calibri"/>
                <w:sz w:val="20"/>
              </w:rPr>
              <w:t>(Nadeau J.)</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Motion for extension of time dismissed; action declared abandoned and dismissed</w:t>
            </w: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October 6, 2008</w:t>
            </w:r>
          </w:p>
          <w:p w:rsidR="000A73A5" w:rsidRPr="00723BA8" w:rsidRDefault="000A73A5" w:rsidP="00A5373E">
            <w:pPr>
              <w:jc w:val="both"/>
              <w:rPr>
                <w:rFonts w:eastAsia="Calibri"/>
                <w:sz w:val="20"/>
              </w:rPr>
            </w:pPr>
            <w:r w:rsidRPr="00723BA8">
              <w:rPr>
                <w:rFonts w:eastAsia="Calibri"/>
                <w:sz w:val="20"/>
              </w:rPr>
              <w:t>Quebec Court of Appeal (Montréal)</w:t>
            </w:r>
          </w:p>
          <w:p w:rsidR="000A73A5" w:rsidRPr="00723BA8" w:rsidRDefault="000A73A5" w:rsidP="00A5373E">
            <w:pPr>
              <w:jc w:val="both"/>
              <w:rPr>
                <w:rFonts w:eastAsia="Calibri"/>
                <w:sz w:val="20"/>
              </w:rPr>
            </w:pPr>
            <w:r w:rsidRPr="00723BA8">
              <w:rPr>
                <w:rFonts w:eastAsia="Calibri"/>
                <w:sz w:val="20"/>
              </w:rPr>
              <w:t>(Gendreau, Doyon and Bich JJ.A.)</w:t>
            </w:r>
          </w:p>
          <w:p w:rsidR="000A73A5" w:rsidRPr="00723BA8" w:rsidRDefault="000A73A5" w:rsidP="00A5373E">
            <w:pPr>
              <w:jc w:val="both"/>
              <w:rPr>
                <w:rFonts w:eastAsia="Calibri"/>
                <w:sz w:val="20"/>
              </w:rPr>
            </w:pPr>
            <w:r w:rsidRPr="00723BA8">
              <w:rPr>
                <w:rFonts w:eastAsia="Calibri"/>
                <w:sz w:val="20"/>
              </w:rPr>
              <w:t>2008 QCCA 1905</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Motion to dismiss appeal allowed; appeal dismissed</w:t>
            </w: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April 7, 2009</w:t>
            </w:r>
          </w:p>
          <w:p w:rsidR="000A73A5" w:rsidRPr="00723BA8" w:rsidRDefault="000A73A5" w:rsidP="00A5373E">
            <w:pPr>
              <w:jc w:val="both"/>
              <w:rPr>
                <w:rFonts w:eastAsia="Calibri"/>
                <w:sz w:val="20"/>
              </w:rPr>
            </w:pPr>
            <w:r w:rsidRPr="00723BA8">
              <w:rPr>
                <w:rFonts w:eastAsia="Calibri"/>
                <w:sz w:val="20"/>
              </w:rPr>
              <w:t>Quebec Superior Court</w:t>
            </w:r>
          </w:p>
          <w:p w:rsidR="000A73A5" w:rsidRPr="00723BA8" w:rsidRDefault="000A73A5" w:rsidP="00A5373E">
            <w:pPr>
              <w:jc w:val="both"/>
              <w:rPr>
                <w:rFonts w:eastAsia="Calibri"/>
                <w:sz w:val="20"/>
              </w:rPr>
            </w:pPr>
            <w:r w:rsidRPr="00723BA8">
              <w:rPr>
                <w:rFonts w:eastAsia="Calibri"/>
                <w:sz w:val="20"/>
              </w:rPr>
              <w:t>(Nadeau J.)</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Discontinuance of proceeding against certain respondents confirmed; action dismissed</w:t>
            </w:r>
          </w:p>
          <w:p w:rsidR="000A73A5" w:rsidRPr="00723BA8" w:rsidRDefault="000A73A5" w:rsidP="00A5373E">
            <w:pPr>
              <w:jc w:val="both"/>
              <w:rPr>
                <w:rFonts w:eastAsia="Calibri"/>
                <w:sz w:val="20"/>
              </w:rPr>
            </w:pP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February 17, 2009</w:t>
            </w:r>
          </w:p>
          <w:p w:rsidR="000A73A5" w:rsidRPr="00723BA8" w:rsidRDefault="000A73A5" w:rsidP="00A5373E">
            <w:pPr>
              <w:jc w:val="both"/>
              <w:rPr>
                <w:rFonts w:eastAsia="Calibri"/>
                <w:sz w:val="20"/>
              </w:rPr>
            </w:pPr>
            <w:r w:rsidRPr="00723BA8">
              <w:rPr>
                <w:rFonts w:eastAsia="Calibri"/>
                <w:sz w:val="20"/>
              </w:rPr>
              <w:t>Quebec Superior Court</w:t>
            </w:r>
          </w:p>
          <w:p w:rsidR="000A73A5" w:rsidRPr="00723BA8" w:rsidRDefault="000A73A5" w:rsidP="00A5373E">
            <w:pPr>
              <w:jc w:val="both"/>
              <w:rPr>
                <w:rFonts w:eastAsia="Calibri"/>
                <w:sz w:val="20"/>
              </w:rPr>
            </w:pPr>
            <w:r w:rsidRPr="00723BA8">
              <w:rPr>
                <w:rFonts w:eastAsia="Calibri"/>
                <w:sz w:val="20"/>
              </w:rPr>
              <w:t>(Baker J.)</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Applicant's motion dismissed</w:t>
            </w: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November 3, 2010</w:t>
            </w:r>
          </w:p>
          <w:p w:rsidR="000A73A5" w:rsidRPr="00723BA8" w:rsidRDefault="000A73A5" w:rsidP="00A5373E">
            <w:pPr>
              <w:jc w:val="both"/>
              <w:rPr>
                <w:rFonts w:eastAsia="Calibri"/>
                <w:sz w:val="20"/>
              </w:rPr>
            </w:pPr>
            <w:r w:rsidRPr="00723BA8">
              <w:rPr>
                <w:rFonts w:eastAsia="Calibri"/>
                <w:sz w:val="20"/>
              </w:rPr>
              <w:t>Quebec Court of Appeal (Montréal)</w:t>
            </w:r>
          </w:p>
          <w:p w:rsidR="000A73A5" w:rsidRPr="00723BA8" w:rsidRDefault="000A73A5" w:rsidP="00A5373E">
            <w:pPr>
              <w:jc w:val="both"/>
              <w:rPr>
                <w:rFonts w:eastAsia="Calibri"/>
                <w:sz w:val="20"/>
              </w:rPr>
            </w:pPr>
            <w:r w:rsidRPr="00723BA8">
              <w:rPr>
                <w:rFonts w:eastAsia="Calibri"/>
                <w:sz w:val="20"/>
              </w:rPr>
              <w:t>(Pelletier, Rochon and Godbout JJ.A.)</w:t>
            </w:r>
          </w:p>
          <w:p w:rsidR="000A73A5" w:rsidRPr="00723BA8" w:rsidRDefault="000A73A5" w:rsidP="00A5373E">
            <w:pPr>
              <w:jc w:val="both"/>
              <w:rPr>
                <w:rFonts w:eastAsia="Calibri"/>
                <w:sz w:val="20"/>
              </w:rPr>
            </w:pPr>
            <w:r w:rsidRPr="00723BA8">
              <w:rPr>
                <w:rFonts w:eastAsia="Calibri"/>
                <w:sz w:val="20"/>
              </w:rPr>
              <w:t>2010 QCCA 1982</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Appeals dismissed</w:t>
            </w: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December 17, 2009</w:t>
            </w:r>
          </w:p>
          <w:p w:rsidR="000A73A5" w:rsidRPr="00723BA8" w:rsidRDefault="000A73A5" w:rsidP="00A5373E">
            <w:pPr>
              <w:jc w:val="both"/>
              <w:rPr>
                <w:rFonts w:eastAsia="Calibri"/>
                <w:sz w:val="20"/>
              </w:rPr>
            </w:pPr>
            <w:r w:rsidRPr="00723BA8">
              <w:rPr>
                <w:rFonts w:eastAsia="Calibri"/>
                <w:sz w:val="20"/>
              </w:rPr>
              <w:t>Quebec Superior Court</w:t>
            </w:r>
          </w:p>
          <w:p w:rsidR="000A73A5" w:rsidRPr="00723BA8" w:rsidRDefault="000A73A5" w:rsidP="00A5373E">
            <w:pPr>
              <w:jc w:val="both"/>
              <w:rPr>
                <w:rFonts w:eastAsia="Calibri"/>
                <w:sz w:val="20"/>
              </w:rPr>
            </w:pPr>
            <w:r w:rsidRPr="00723BA8">
              <w:rPr>
                <w:rFonts w:eastAsia="Calibri"/>
                <w:sz w:val="20"/>
              </w:rPr>
              <w:t>(Marcelin J.)</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Motion to have applicant declared quarrelsome litigant allowed</w:t>
            </w:r>
          </w:p>
          <w:p w:rsidR="000A73A5" w:rsidRPr="00723BA8" w:rsidRDefault="000A73A5" w:rsidP="00A5373E">
            <w:pPr>
              <w:jc w:val="both"/>
              <w:rPr>
                <w:rFonts w:eastAsia="Calibri"/>
                <w:sz w:val="20"/>
              </w:rPr>
            </w:pPr>
          </w:p>
        </w:tc>
      </w:tr>
      <w:tr w:rsidR="000A73A5" w:rsidRPr="00723BA8" w:rsidTr="00A25BB5">
        <w:trPr>
          <w:cantSplit/>
        </w:trPr>
        <w:tc>
          <w:tcPr>
            <w:tcW w:w="2427" w:type="pct"/>
          </w:tcPr>
          <w:p w:rsidR="000A73A5" w:rsidRPr="00723BA8" w:rsidRDefault="000A73A5" w:rsidP="00A5373E">
            <w:pPr>
              <w:jc w:val="both"/>
              <w:rPr>
                <w:rFonts w:eastAsia="Calibri"/>
                <w:sz w:val="20"/>
              </w:rPr>
            </w:pPr>
            <w:r w:rsidRPr="00723BA8">
              <w:rPr>
                <w:rFonts w:eastAsia="Calibri"/>
                <w:sz w:val="20"/>
              </w:rPr>
              <w:lastRenderedPageBreak/>
              <w:t>December 14, 2009</w:t>
            </w:r>
          </w:p>
          <w:p w:rsidR="000A73A5" w:rsidRPr="00723BA8" w:rsidRDefault="000A73A5" w:rsidP="00A5373E">
            <w:pPr>
              <w:jc w:val="both"/>
              <w:rPr>
                <w:rFonts w:eastAsia="Calibri"/>
                <w:sz w:val="20"/>
              </w:rPr>
            </w:pPr>
            <w:r w:rsidRPr="00723BA8">
              <w:rPr>
                <w:rFonts w:eastAsia="Calibri"/>
                <w:sz w:val="20"/>
              </w:rPr>
              <w:t>Quebec Court of Appeal (Montréal)</w:t>
            </w:r>
          </w:p>
          <w:p w:rsidR="000A73A5" w:rsidRPr="00723BA8" w:rsidRDefault="000A73A5" w:rsidP="00A5373E">
            <w:pPr>
              <w:jc w:val="both"/>
              <w:rPr>
                <w:rFonts w:eastAsia="Calibri"/>
                <w:sz w:val="20"/>
              </w:rPr>
            </w:pPr>
            <w:r w:rsidRPr="00723BA8">
              <w:rPr>
                <w:rFonts w:eastAsia="Calibri"/>
                <w:sz w:val="20"/>
              </w:rPr>
              <w:t>(Chamberland, Forget and Morissette JJ.A.)</w:t>
            </w:r>
          </w:p>
          <w:p w:rsidR="000A73A5" w:rsidRPr="00723BA8" w:rsidRDefault="000A73A5" w:rsidP="00A5373E">
            <w:pPr>
              <w:jc w:val="both"/>
              <w:rPr>
                <w:rFonts w:eastAsia="Calibri"/>
                <w:sz w:val="20"/>
              </w:rPr>
            </w:pPr>
            <w:r w:rsidRPr="00723BA8">
              <w:rPr>
                <w:rFonts w:eastAsia="Calibri"/>
                <w:sz w:val="20"/>
              </w:rPr>
              <w:t>2009 QCCA 2454</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Motion for permission to inscribe in appeal dismissed</w:t>
            </w:r>
          </w:p>
        </w:tc>
      </w:tr>
      <w:tr w:rsidR="000A73A5" w:rsidRPr="00723BA8" w:rsidTr="00A25BB5">
        <w:trPr>
          <w:cantSplit/>
        </w:trPr>
        <w:tc>
          <w:tcPr>
            <w:tcW w:w="2427" w:type="pct"/>
          </w:tcPr>
          <w:p w:rsidR="000A73A5" w:rsidRPr="00723BA8" w:rsidRDefault="000A73A5" w:rsidP="00A5373E">
            <w:pPr>
              <w:jc w:val="both"/>
              <w:rPr>
                <w:rFonts w:eastAsia="Calibri"/>
                <w:sz w:val="20"/>
              </w:rPr>
            </w:pPr>
            <w:r w:rsidRPr="00723BA8">
              <w:rPr>
                <w:rFonts w:eastAsia="Calibri"/>
                <w:sz w:val="20"/>
              </w:rPr>
              <w:t>January 4, 2011</w:t>
            </w:r>
          </w:p>
          <w:p w:rsidR="000A73A5" w:rsidRPr="00723BA8" w:rsidRDefault="000A73A5" w:rsidP="00A5373E">
            <w:pPr>
              <w:jc w:val="both"/>
              <w:rPr>
                <w:rFonts w:eastAsia="Calibri"/>
                <w:sz w:val="20"/>
              </w:rPr>
            </w:pPr>
            <w:r w:rsidRPr="00723BA8">
              <w:rPr>
                <w:rFonts w:eastAsia="Calibri"/>
                <w:sz w:val="20"/>
              </w:rPr>
              <w:t>Supreme Court of Canada</w:t>
            </w: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Motion to extend time to serve and file application for leave to appeal and application for leave to appeal filed</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4"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73A5" w:rsidRPr="00E62A55" w:rsidTr="00A5373E">
        <w:tc>
          <w:tcPr>
            <w:tcW w:w="5000" w:type="pct"/>
            <w:gridSpan w:val="3"/>
          </w:tcPr>
          <w:p w:rsidR="000A73A5" w:rsidRPr="00723BA8" w:rsidRDefault="000A73A5" w:rsidP="00A5373E">
            <w:pPr>
              <w:jc w:val="both"/>
              <w:rPr>
                <w:rFonts w:eastAsia="Calibri"/>
                <w:sz w:val="20"/>
                <w:lang w:val="fr-CA"/>
              </w:rPr>
            </w:pPr>
            <w:r w:rsidRPr="00723BA8">
              <w:rPr>
                <w:rFonts w:eastAsia="Calibri"/>
                <w:sz w:val="20"/>
                <w:lang w:val="fr-CA"/>
              </w:rPr>
              <w:t>Procédure civile — Requêtes en rejet d’appel accueillies — Appels rejetés — Requête pour permission d’inscrire un appel rejetée — Les décisions des instances inférieures sont</w:t>
            </w:r>
            <w:r w:rsidRPr="00723BA8">
              <w:rPr>
                <w:rFonts w:eastAsia="Calibri"/>
                <w:sz w:val="20"/>
                <w:lang w:val="fr-CA"/>
              </w:rPr>
              <w:noBreakHyphen/>
              <w:t>elles erronées?</w:t>
            </w:r>
          </w:p>
          <w:p w:rsidR="000A73A5" w:rsidRPr="00723BA8" w:rsidRDefault="000A73A5" w:rsidP="00A5373E">
            <w:pPr>
              <w:jc w:val="both"/>
              <w:rPr>
                <w:rFonts w:eastAsia="Calibri"/>
                <w:sz w:val="20"/>
                <w:lang w:val="fr-CA"/>
              </w:rPr>
            </w:pP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7 décembre 2007</w:t>
            </w:r>
          </w:p>
          <w:p w:rsidR="000A73A5" w:rsidRPr="00723BA8" w:rsidRDefault="000A73A5" w:rsidP="00A5373E">
            <w:pPr>
              <w:jc w:val="both"/>
              <w:rPr>
                <w:rFonts w:eastAsia="Calibri"/>
                <w:sz w:val="20"/>
                <w:lang w:val="fr-CA"/>
              </w:rPr>
            </w:pPr>
            <w:r w:rsidRPr="00723BA8">
              <w:rPr>
                <w:rFonts w:eastAsia="Calibri"/>
                <w:sz w:val="20"/>
                <w:lang w:val="fr-CA"/>
              </w:rPr>
              <w:t>Cour supérieure du Québec</w:t>
            </w:r>
          </w:p>
          <w:p w:rsidR="000A73A5" w:rsidRPr="00723BA8" w:rsidRDefault="000A73A5" w:rsidP="00A5373E">
            <w:pPr>
              <w:jc w:val="both"/>
              <w:rPr>
                <w:rFonts w:eastAsia="Calibri"/>
                <w:sz w:val="20"/>
                <w:lang w:val="fr-CA"/>
              </w:rPr>
            </w:pPr>
            <w:r w:rsidRPr="00723BA8">
              <w:rPr>
                <w:rFonts w:eastAsia="Calibri"/>
                <w:sz w:val="20"/>
                <w:lang w:val="fr-CA"/>
              </w:rPr>
              <w:t>(Le juge Nadeau)</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Requête en prorogation de délai rejetée; action déclarée abandonnée et rejetée</w:t>
            </w: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6 octobre 2008</w:t>
            </w:r>
          </w:p>
          <w:p w:rsidR="000A73A5" w:rsidRPr="00723BA8" w:rsidRDefault="000A73A5" w:rsidP="00A5373E">
            <w:pPr>
              <w:jc w:val="both"/>
              <w:rPr>
                <w:rFonts w:eastAsia="Calibri"/>
                <w:sz w:val="20"/>
                <w:lang w:val="fr-CA"/>
              </w:rPr>
            </w:pPr>
            <w:r w:rsidRPr="00723BA8">
              <w:rPr>
                <w:rFonts w:eastAsia="Calibri"/>
                <w:sz w:val="20"/>
                <w:lang w:val="fr-CA"/>
              </w:rPr>
              <w:t>Cour d’appel du Québec (Montréal)</w:t>
            </w:r>
          </w:p>
          <w:p w:rsidR="000A73A5" w:rsidRPr="00723BA8" w:rsidRDefault="000A73A5" w:rsidP="00A5373E">
            <w:pPr>
              <w:jc w:val="both"/>
              <w:rPr>
                <w:rFonts w:eastAsia="Calibri"/>
                <w:sz w:val="20"/>
                <w:lang w:val="fr-CA"/>
              </w:rPr>
            </w:pPr>
            <w:r w:rsidRPr="00723BA8">
              <w:rPr>
                <w:rFonts w:eastAsia="Calibri"/>
                <w:sz w:val="20"/>
                <w:lang w:val="fr-CA"/>
              </w:rPr>
              <w:t>(Les juges Gendreau, Doyon et Bich)</w:t>
            </w:r>
          </w:p>
          <w:p w:rsidR="000A73A5" w:rsidRPr="00723BA8" w:rsidRDefault="000A73A5" w:rsidP="00A5373E">
            <w:pPr>
              <w:jc w:val="both"/>
              <w:rPr>
                <w:rFonts w:eastAsia="Calibri"/>
                <w:sz w:val="20"/>
                <w:lang w:val="fr-CA"/>
              </w:rPr>
            </w:pPr>
            <w:r w:rsidRPr="00723BA8">
              <w:rPr>
                <w:rFonts w:eastAsia="Calibri"/>
                <w:sz w:val="20"/>
                <w:lang w:val="fr-CA"/>
              </w:rPr>
              <w:t>2008 QCCA 1905</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Requête en rejet d’appel accueillie; appel rejeté</w:t>
            </w: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7 avril 2009</w:t>
            </w:r>
          </w:p>
          <w:p w:rsidR="000A73A5" w:rsidRPr="00723BA8" w:rsidRDefault="000A73A5" w:rsidP="00A5373E">
            <w:pPr>
              <w:jc w:val="both"/>
              <w:rPr>
                <w:rFonts w:eastAsia="Calibri"/>
                <w:sz w:val="20"/>
                <w:lang w:val="fr-CA"/>
              </w:rPr>
            </w:pPr>
            <w:r w:rsidRPr="00723BA8">
              <w:rPr>
                <w:rFonts w:eastAsia="Calibri"/>
                <w:sz w:val="20"/>
                <w:lang w:val="fr-CA"/>
              </w:rPr>
              <w:t>Cour supérieure du Québec</w:t>
            </w:r>
          </w:p>
          <w:p w:rsidR="000A73A5" w:rsidRPr="00723BA8" w:rsidRDefault="000A73A5" w:rsidP="00A5373E">
            <w:pPr>
              <w:jc w:val="both"/>
              <w:rPr>
                <w:rFonts w:eastAsia="Calibri"/>
                <w:sz w:val="20"/>
                <w:lang w:val="fr-CA"/>
              </w:rPr>
            </w:pPr>
            <w:r w:rsidRPr="00723BA8">
              <w:rPr>
                <w:rFonts w:eastAsia="Calibri"/>
                <w:sz w:val="20"/>
                <w:lang w:val="fr-CA"/>
              </w:rPr>
              <w:t>(Le juge Nadeau)</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Désistement de la procédure contre certains intimés confirmé; action rejetée</w:t>
            </w:r>
          </w:p>
          <w:p w:rsidR="000A73A5" w:rsidRPr="00723BA8" w:rsidRDefault="000A73A5" w:rsidP="00A5373E">
            <w:pPr>
              <w:jc w:val="both"/>
              <w:rPr>
                <w:rFonts w:eastAsia="Calibri"/>
                <w:sz w:val="20"/>
                <w:lang w:val="fr-CA"/>
              </w:rPr>
            </w:pP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17 février 2009</w:t>
            </w:r>
          </w:p>
          <w:p w:rsidR="000A73A5" w:rsidRPr="00723BA8" w:rsidRDefault="000A73A5" w:rsidP="00A5373E">
            <w:pPr>
              <w:jc w:val="both"/>
              <w:rPr>
                <w:rFonts w:eastAsia="Calibri"/>
                <w:sz w:val="20"/>
                <w:lang w:val="fr-CA"/>
              </w:rPr>
            </w:pPr>
            <w:r w:rsidRPr="00723BA8">
              <w:rPr>
                <w:rFonts w:eastAsia="Calibri"/>
                <w:sz w:val="20"/>
                <w:lang w:val="fr-CA"/>
              </w:rPr>
              <w:t>Cour supérieure du Québec</w:t>
            </w:r>
          </w:p>
          <w:p w:rsidR="000A73A5" w:rsidRPr="00723BA8" w:rsidRDefault="000A73A5" w:rsidP="00A5373E">
            <w:pPr>
              <w:jc w:val="both"/>
              <w:rPr>
                <w:rFonts w:eastAsia="Calibri"/>
                <w:sz w:val="20"/>
                <w:lang w:val="fr-CA"/>
              </w:rPr>
            </w:pPr>
            <w:r w:rsidRPr="00723BA8">
              <w:rPr>
                <w:rFonts w:eastAsia="Calibri"/>
                <w:sz w:val="20"/>
                <w:lang w:val="fr-CA"/>
              </w:rPr>
              <w:t>(Le juge Baker)</w:t>
            </w:r>
          </w:p>
          <w:p w:rsidR="000A73A5" w:rsidRPr="000A73A5" w:rsidRDefault="000A73A5" w:rsidP="00A5373E">
            <w:pPr>
              <w:jc w:val="both"/>
              <w:rPr>
                <w:rFonts w:eastAsia="Calibri"/>
                <w:sz w:val="20"/>
                <w:lang w:val="fr-CA"/>
              </w:rPr>
            </w:pPr>
          </w:p>
        </w:tc>
        <w:tc>
          <w:tcPr>
            <w:tcW w:w="243" w:type="pct"/>
          </w:tcPr>
          <w:p w:rsidR="000A73A5" w:rsidRPr="000A73A5" w:rsidRDefault="000A73A5" w:rsidP="00A5373E">
            <w:pPr>
              <w:jc w:val="both"/>
              <w:rPr>
                <w:rFonts w:eastAsia="Calibri"/>
                <w:sz w:val="20"/>
                <w:lang w:val="fr-CA"/>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Requête de la demanderesse rejetée</w:t>
            </w:r>
          </w:p>
        </w:tc>
      </w:tr>
      <w:tr w:rsidR="000A73A5" w:rsidRPr="00723BA8"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3 novembre 2010</w:t>
            </w:r>
          </w:p>
          <w:p w:rsidR="000A73A5" w:rsidRPr="00723BA8" w:rsidRDefault="000A73A5" w:rsidP="00A5373E">
            <w:pPr>
              <w:jc w:val="both"/>
              <w:rPr>
                <w:rFonts w:eastAsia="Calibri"/>
                <w:sz w:val="20"/>
                <w:lang w:val="fr-CA"/>
              </w:rPr>
            </w:pPr>
            <w:r w:rsidRPr="00723BA8">
              <w:rPr>
                <w:rFonts w:eastAsia="Calibri"/>
                <w:sz w:val="20"/>
                <w:lang w:val="fr-CA"/>
              </w:rPr>
              <w:t>Cour d’appel du Québec (Montréal)</w:t>
            </w:r>
          </w:p>
          <w:p w:rsidR="000A73A5" w:rsidRPr="00723BA8" w:rsidRDefault="000A73A5" w:rsidP="00A5373E">
            <w:pPr>
              <w:jc w:val="both"/>
              <w:rPr>
                <w:rFonts w:eastAsia="Calibri"/>
                <w:sz w:val="20"/>
                <w:lang w:val="fr-CA"/>
              </w:rPr>
            </w:pPr>
            <w:r w:rsidRPr="00723BA8">
              <w:rPr>
                <w:rFonts w:eastAsia="Calibri"/>
                <w:sz w:val="20"/>
                <w:lang w:val="fr-CA"/>
              </w:rPr>
              <w:t>(Les juges Pelletier, Rochon et Godbout)</w:t>
            </w:r>
          </w:p>
          <w:p w:rsidR="000A73A5" w:rsidRPr="00723BA8" w:rsidRDefault="000A73A5" w:rsidP="00A5373E">
            <w:pPr>
              <w:jc w:val="both"/>
              <w:rPr>
                <w:rFonts w:eastAsia="Calibri"/>
                <w:sz w:val="20"/>
                <w:lang w:val="fr-CA"/>
              </w:rPr>
            </w:pPr>
            <w:r w:rsidRPr="00723BA8">
              <w:rPr>
                <w:rFonts w:eastAsia="Calibri"/>
                <w:sz w:val="20"/>
                <w:lang w:val="fr-CA"/>
              </w:rPr>
              <w:t>2010 QCCA 1982</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Appels rejetés</w:t>
            </w: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17 décembre 2009</w:t>
            </w:r>
          </w:p>
          <w:p w:rsidR="000A73A5" w:rsidRPr="00723BA8" w:rsidRDefault="000A73A5" w:rsidP="00A5373E">
            <w:pPr>
              <w:jc w:val="both"/>
              <w:rPr>
                <w:rFonts w:eastAsia="Calibri"/>
                <w:sz w:val="20"/>
                <w:lang w:val="fr-CA"/>
              </w:rPr>
            </w:pPr>
            <w:r w:rsidRPr="00723BA8">
              <w:rPr>
                <w:rFonts w:eastAsia="Calibri"/>
                <w:sz w:val="20"/>
                <w:lang w:val="fr-CA"/>
              </w:rPr>
              <w:t>Cour supérieure du Québec</w:t>
            </w:r>
          </w:p>
          <w:p w:rsidR="000A73A5" w:rsidRPr="00723BA8" w:rsidRDefault="000A73A5" w:rsidP="00A5373E">
            <w:pPr>
              <w:jc w:val="both"/>
              <w:rPr>
                <w:rFonts w:eastAsia="Calibri"/>
                <w:sz w:val="20"/>
                <w:lang w:val="fr-CA"/>
              </w:rPr>
            </w:pPr>
            <w:r w:rsidRPr="00723BA8">
              <w:rPr>
                <w:rFonts w:eastAsia="Calibri"/>
                <w:sz w:val="20"/>
                <w:lang w:val="fr-CA"/>
              </w:rPr>
              <w:t>(La juge Marcelin)</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Requête visant à faire déclarer la demanderesse plaideur quérulent accueillie</w:t>
            </w:r>
          </w:p>
          <w:p w:rsidR="000A73A5" w:rsidRPr="00723BA8" w:rsidRDefault="000A73A5" w:rsidP="00A5373E">
            <w:pPr>
              <w:jc w:val="both"/>
              <w:rPr>
                <w:rFonts w:eastAsia="Calibri"/>
                <w:sz w:val="20"/>
                <w:lang w:val="fr-CA"/>
              </w:rPr>
            </w:pP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Le 14 décembre 2009</w:t>
            </w:r>
          </w:p>
          <w:p w:rsidR="000A73A5" w:rsidRPr="00723BA8" w:rsidRDefault="000A73A5" w:rsidP="00A5373E">
            <w:pPr>
              <w:jc w:val="both"/>
              <w:rPr>
                <w:rFonts w:eastAsia="Calibri"/>
                <w:sz w:val="20"/>
                <w:lang w:val="fr-CA"/>
              </w:rPr>
            </w:pPr>
            <w:r w:rsidRPr="00723BA8">
              <w:rPr>
                <w:rFonts w:eastAsia="Calibri"/>
                <w:sz w:val="20"/>
                <w:lang w:val="fr-CA"/>
              </w:rPr>
              <w:t>Cour d’appel du Québec (Montréal)</w:t>
            </w:r>
          </w:p>
          <w:p w:rsidR="000A73A5" w:rsidRPr="00723BA8" w:rsidRDefault="000A73A5" w:rsidP="00A5373E">
            <w:pPr>
              <w:jc w:val="both"/>
              <w:rPr>
                <w:rFonts w:eastAsia="Calibri"/>
                <w:sz w:val="20"/>
                <w:lang w:val="fr-CA"/>
              </w:rPr>
            </w:pPr>
            <w:r w:rsidRPr="00723BA8">
              <w:rPr>
                <w:rFonts w:eastAsia="Calibri"/>
                <w:sz w:val="20"/>
                <w:lang w:val="fr-CA"/>
              </w:rPr>
              <w:t>(Les juges Chamberland, Forget et Morissette)</w:t>
            </w:r>
          </w:p>
          <w:p w:rsidR="000A73A5" w:rsidRPr="00723BA8" w:rsidRDefault="000A73A5" w:rsidP="00A5373E">
            <w:pPr>
              <w:jc w:val="both"/>
              <w:rPr>
                <w:rFonts w:eastAsia="Calibri"/>
                <w:sz w:val="20"/>
                <w:lang w:val="fr-CA"/>
              </w:rPr>
            </w:pPr>
            <w:r w:rsidRPr="00723BA8">
              <w:rPr>
                <w:rFonts w:eastAsia="Calibri"/>
                <w:sz w:val="20"/>
                <w:lang w:val="fr-CA"/>
              </w:rPr>
              <w:t>2009 QCCA 2454</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Requête pour permission d’inscrire un appel rejetée</w:t>
            </w:r>
          </w:p>
        </w:tc>
      </w:tr>
    </w:tbl>
    <w:p w:rsidR="00A25BB5" w:rsidRPr="0068140C" w:rsidRDefault="00A25BB5">
      <w:pPr>
        <w:rPr>
          <w:lang w:val="fr-CA"/>
        </w:rPr>
      </w:pPr>
      <w:r w:rsidRPr="0068140C">
        <w:rPr>
          <w:lang w:val="fr-CA"/>
        </w:rPr>
        <w:br w:type="page"/>
      </w:r>
    </w:p>
    <w:tbl>
      <w:tblPr>
        <w:tblW w:w="4952" w:type="pct"/>
        <w:tblLayout w:type="fixed"/>
        <w:tblCellMar>
          <w:left w:w="0" w:type="dxa"/>
          <w:bottom w:w="99" w:type="dxa"/>
          <w:right w:w="0" w:type="dxa"/>
        </w:tblCellMar>
        <w:tblLook w:val="04A0"/>
      </w:tblPr>
      <w:tblGrid>
        <w:gridCol w:w="4624"/>
        <w:gridCol w:w="463"/>
        <w:gridCol w:w="4440"/>
      </w:tblGrid>
      <w:tr w:rsidR="000A73A5" w:rsidRPr="00155C13" w:rsidTr="00A25BB5">
        <w:trPr>
          <w:cantSplit/>
        </w:trPr>
        <w:tc>
          <w:tcPr>
            <w:tcW w:w="2427" w:type="pct"/>
          </w:tcPr>
          <w:p w:rsidR="000A73A5" w:rsidRPr="00723BA8" w:rsidRDefault="000A73A5" w:rsidP="00A5373E">
            <w:pPr>
              <w:jc w:val="both"/>
              <w:rPr>
                <w:rFonts w:eastAsia="Calibri"/>
                <w:sz w:val="20"/>
                <w:lang w:val="fr-CA"/>
              </w:rPr>
            </w:pPr>
            <w:r w:rsidRPr="00723BA8">
              <w:rPr>
                <w:rFonts w:eastAsia="Calibri"/>
                <w:sz w:val="20"/>
                <w:lang w:val="fr-CA"/>
              </w:rPr>
              <w:lastRenderedPageBreak/>
              <w:t>Le 4 janvier 2011</w:t>
            </w:r>
          </w:p>
          <w:p w:rsidR="000A73A5" w:rsidRPr="00723BA8" w:rsidRDefault="000A73A5" w:rsidP="00A5373E">
            <w:pPr>
              <w:jc w:val="both"/>
              <w:rPr>
                <w:rFonts w:eastAsia="Calibri"/>
                <w:sz w:val="20"/>
                <w:lang w:val="fr-CA"/>
              </w:rPr>
            </w:pPr>
            <w:r w:rsidRPr="00723BA8">
              <w:rPr>
                <w:rFonts w:eastAsia="Calibri"/>
                <w:sz w:val="20"/>
                <w:lang w:val="fr-CA"/>
              </w:rPr>
              <w:t>Cour suprême du Canada</w:t>
            </w:r>
          </w:p>
        </w:tc>
        <w:tc>
          <w:tcPr>
            <w:tcW w:w="243" w:type="pct"/>
          </w:tcPr>
          <w:p w:rsidR="000A73A5" w:rsidRPr="00723BA8" w:rsidRDefault="000A73A5" w:rsidP="00A5373E">
            <w:pPr>
              <w:jc w:val="both"/>
              <w:rPr>
                <w:rFonts w:eastAsia="Calibri"/>
                <w:sz w:val="20"/>
                <w:lang w:val="fr-CA"/>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 xml:space="preserve">Requête en prorogation du délai de signification et de dépôt d’une demande d’autorisation d’appel et demande d'autorisation </w:t>
            </w:r>
            <w:proofErr w:type="gramStart"/>
            <w:r w:rsidRPr="00723BA8">
              <w:rPr>
                <w:rFonts w:eastAsia="Calibri"/>
                <w:sz w:val="20"/>
                <w:lang w:val="fr-CA"/>
              </w:rPr>
              <w:t>d'appel déposées</w:t>
            </w:r>
            <w:proofErr w:type="gramEnd"/>
          </w:p>
        </w:tc>
      </w:tr>
    </w:tbl>
    <w:p w:rsidR="004E6FA2" w:rsidRPr="000A73A5" w:rsidRDefault="004E6FA2" w:rsidP="004E6FA2">
      <w:pPr>
        <w:rPr>
          <w:sz w:val="20"/>
          <w:szCs w:val="20"/>
          <w:lang w:val="fr-CA"/>
        </w:rPr>
      </w:pPr>
    </w:p>
    <w:p w:rsidR="004E6FA2" w:rsidRDefault="00CF05D4" w:rsidP="004E6FA2">
      <w:pPr>
        <w:rPr>
          <w:sz w:val="20"/>
          <w:szCs w:val="20"/>
        </w:rPr>
      </w:pPr>
      <w:r w:rsidRPr="00CF05D4">
        <w:rPr>
          <w:sz w:val="20"/>
          <w:szCs w:val="20"/>
          <w:lang w:val="fr-CA"/>
        </w:rPr>
        <w:pict>
          <v:rect id="_x0000_i1075"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5BB5" w:rsidRPr="00A25BB5" w:rsidTr="00A25BB5">
        <w:trPr>
          <w:cantSplit/>
        </w:trPr>
        <w:tc>
          <w:tcPr>
            <w:tcW w:w="1458" w:type="dxa"/>
          </w:tcPr>
          <w:p w:rsidR="00A25BB5" w:rsidRPr="00A25BB5" w:rsidRDefault="00A25BB5" w:rsidP="00A25BB5">
            <w:pPr>
              <w:rPr>
                <w:rFonts w:cs="Times New Roman"/>
                <w:sz w:val="20"/>
                <w:szCs w:val="20"/>
              </w:rPr>
            </w:pPr>
            <w:r w:rsidRPr="00A25BB5">
              <w:rPr>
                <w:rStyle w:val="SCCFileNumberChar"/>
                <w:sz w:val="20"/>
                <w:szCs w:val="20"/>
              </w:rPr>
              <w:t>34097</w:t>
            </w:r>
          </w:p>
          <w:p w:rsidR="00A25BB5" w:rsidRPr="00A25BB5" w:rsidRDefault="00A25BB5" w:rsidP="00A25BB5">
            <w:pPr>
              <w:rPr>
                <w:rFonts w:cs="Times New Roman"/>
                <w:b/>
                <w:sz w:val="20"/>
                <w:szCs w:val="20"/>
                <w:lang w:val="fr-CA"/>
              </w:rPr>
            </w:pPr>
          </w:p>
        </w:tc>
        <w:tc>
          <w:tcPr>
            <w:tcW w:w="8118" w:type="dxa"/>
          </w:tcPr>
          <w:p w:rsidR="00A25BB5" w:rsidRPr="00A25BB5" w:rsidRDefault="00A25BB5" w:rsidP="00A25BB5">
            <w:pPr>
              <w:rPr>
                <w:rFonts w:cs="Times New Roman"/>
                <w:sz w:val="20"/>
                <w:szCs w:val="20"/>
              </w:rPr>
            </w:pPr>
            <w:r w:rsidRPr="00A25BB5">
              <w:rPr>
                <w:rStyle w:val="SCCLsocChar"/>
                <w:rFonts w:cs="Times New Roman"/>
                <w:sz w:val="20"/>
                <w:szCs w:val="20"/>
                <w:lang w:val="en-CA"/>
              </w:rPr>
              <w:t>Conservative Fund Canada v. Chief Electoral Officer of Canada</w:t>
            </w:r>
            <w:r w:rsidRPr="00A25BB5">
              <w:rPr>
                <w:rFonts w:cs="Times New Roman"/>
                <w:sz w:val="20"/>
                <w:szCs w:val="20"/>
              </w:rPr>
              <w:t xml:space="preserve"> (Ont.) (Civil) (By Leave)</w:t>
            </w:r>
          </w:p>
          <w:p w:rsidR="00A25BB5" w:rsidRPr="00A25BB5" w:rsidRDefault="00A25BB5" w:rsidP="00A25BB5">
            <w:pPr>
              <w:rPr>
                <w:rFonts w:cs="Times New Roman"/>
                <w:sz w:val="20"/>
                <w:szCs w:val="20"/>
              </w:rPr>
            </w:pPr>
          </w:p>
        </w:tc>
      </w:tr>
      <w:tr w:rsidR="00A25BB5" w:rsidRPr="00A25BB5" w:rsidTr="00A25BB5">
        <w:trPr>
          <w:cantSplit/>
        </w:trPr>
        <w:tc>
          <w:tcPr>
            <w:tcW w:w="1458" w:type="dxa"/>
          </w:tcPr>
          <w:p w:rsidR="00A25BB5" w:rsidRPr="00A25BB5" w:rsidRDefault="00A25BB5" w:rsidP="00A25BB5">
            <w:pPr>
              <w:rPr>
                <w:rFonts w:cs="Times New Roman"/>
                <w:sz w:val="20"/>
                <w:szCs w:val="20"/>
              </w:rPr>
            </w:pPr>
            <w:r w:rsidRPr="00A25BB5">
              <w:rPr>
                <w:rFonts w:cs="Times New Roman"/>
                <w:sz w:val="20"/>
                <w:szCs w:val="20"/>
              </w:rPr>
              <w:t>Coram :</w:t>
            </w:r>
          </w:p>
        </w:tc>
        <w:tc>
          <w:tcPr>
            <w:tcW w:w="8118" w:type="dxa"/>
          </w:tcPr>
          <w:p w:rsidR="00A25BB5" w:rsidRPr="00A25BB5" w:rsidRDefault="00A25BB5" w:rsidP="00A25BB5">
            <w:pPr>
              <w:rPr>
                <w:rFonts w:cs="Times New Roman"/>
                <w:sz w:val="20"/>
                <w:szCs w:val="20"/>
              </w:rPr>
            </w:pPr>
            <w:r w:rsidRPr="00A25BB5">
              <w:rPr>
                <w:rStyle w:val="SCCCoramChar"/>
                <w:rFonts w:cs="Times New Roman"/>
                <w:sz w:val="20"/>
                <w:szCs w:val="20"/>
                <w:lang w:val="en-CA"/>
              </w:rPr>
              <w:t>Binnie, Fish and Rothstein JJ.</w:t>
            </w:r>
          </w:p>
          <w:p w:rsidR="00A25BB5" w:rsidRPr="00A25BB5" w:rsidRDefault="00A25BB5" w:rsidP="00A25BB5">
            <w:pPr>
              <w:rPr>
                <w:rFonts w:cs="Times New Roman"/>
                <w:sz w:val="20"/>
                <w:szCs w:val="20"/>
                <w:u w:val="single"/>
              </w:rPr>
            </w:pPr>
          </w:p>
        </w:tc>
      </w:tr>
      <w:tr w:rsidR="00A25BB5" w:rsidRPr="00E62A55" w:rsidTr="00A25BB5">
        <w:trPr>
          <w:cantSplit/>
        </w:trPr>
        <w:tc>
          <w:tcPr>
            <w:tcW w:w="9576" w:type="dxa"/>
            <w:gridSpan w:val="2"/>
          </w:tcPr>
          <w:p w:rsidR="00A25BB5" w:rsidRPr="00A25BB5" w:rsidRDefault="00A25BB5" w:rsidP="00A25BB5">
            <w:pPr>
              <w:pStyle w:val="SCCShortJudgment"/>
              <w:rPr>
                <w:rFonts w:cs="Times New Roman"/>
                <w:szCs w:val="20"/>
              </w:rPr>
            </w:pPr>
            <w:r w:rsidRPr="00A25BB5">
              <w:rPr>
                <w:rFonts w:cs="Times New Roman"/>
                <w:szCs w:val="20"/>
              </w:rPr>
              <w:t>The motion to expedite the application for leave to appeal is granted.  The application for leave to appeal from the judgment of the Court of Appeal for Ontario, Number C51593, 2010 ONCA 882, dated December 21, 2010, is dismissed with costs.</w:t>
            </w:r>
          </w:p>
          <w:p w:rsidR="00A25BB5" w:rsidRPr="00A25BB5" w:rsidRDefault="00A25BB5" w:rsidP="00A25BB5">
            <w:pPr>
              <w:pStyle w:val="SCCShortJudgment"/>
              <w:ind w:firstLine="0"/>
              <w:rPr>
                <w:rFonts w:cs="Times New Roman"/>
                <w:szCs w:val="20"/>
              </w:rPr>
            </w:pPr>
          </w:p>
          <w:p w:rsidR="00A25BB5" w:rsidRPr="00A25BB5" w:rsidRDefault="00A25BB5" w:rsidP="00A25BB5">
            <w:pPr>
              <w:pStyle w:val="SCCShortJudgment"/>
              <w:rPr>
                <w:rFonts w:cs="Times New Roman"/>
                <w:szCs w:val="20"/>
                <w:lang w:val="fr-CA"/>
              </w:rPr>
            </w:pPr>
            <w:r w:rsidRPr="00A25BB5">
              <w:rPr>
                <w:rFonts w:cs="Times New Roman"/>
                <w:szCs w:val="20"/>
                <w:lang w:val="fr-CA"/>
              </w:rPr>
              <w:t>La requête visant le traitement accéléré de la demande d’autorisation d’appel est accordée.  La demande d’autorisation d’appel de l’arrêt de la Cour d’appel de l’Ontario, numéro C51593, 2010 ONCA 882, daté du 21 décembre 2010, est rejetée avec dépens.</w:t>
            </w:r>
          </w:p>
        </w:tc>
      </w:tr>
    </w:tbl>
    <w:p w:rsidR="000A73A5" w:rsidRPr="00A25BB5" w:rsidRDefault="000A73A5"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73A5" w:rsidRPr="00723BA8" w:rsidTr="00A5373E">
        <w:tc>
          <w:tcPr>
            <w:tcW w:w="5000" w:type="pct"/>
            <w:gridSpan w:val="3"/>
          </w:tcPr>
          <w:p w:rsidR="000A73A5" w:rsidRPr="00723BA8" w:rsidRDefault="000A73A5" w:rsidP="00A5373E">
            <w:pPr>
              <w:jc w:val="both"/>
              <w:rPr>
                <w:rFonts w:eastAsia="Calibri"/>
                <w:sz w:val="20"/>
              </w:rPr>
            </w:pPr>
            <w:r w:rsidRPr="00723BA8">
              <w:rPr>
                <w:rFonts w:eastAsia="Calibri"/>
                <w:sz w:val="20"/>
              </w:rPr>
              <w:t xml:space="preserve">Elections — Taxation </w:t>
            </w:r>
            <w:r w:rsidRPr="00723BA8">
              <w:rPr>
                <w:rFonts w:eastAsia="Calibri"/>
                <w:sz w:val="20"/>
              </w:rPr>
              <w:noBreakHyphen/>
              <w:t xml:space="preserve"> Statutory Interpretation </w:t>
            </w:r>
            <w:r w:rsidRPr="00723BA8">
              <w:rPr>
                <w:rFonts w:eastAsia="Calibri"/>
                <w:sz w:val="20"/>
              </w:rPr>
              <w:noBreakHyphen/>
              <w:t xml:space="preserve"> Election financing — Reimbursement of election expenses — Whether Chief Electoral Officer is obligated to authorize the amendment of two election expenses returns filed on behalf of the applicant Fund — Is ensuring formal equality in election spending limits more important than preserving the integrity of the election financing regime? — Should Canadian political parties be allowed to double</w:t>
            </w:r>
            <w:r w:rsidRPr="00723BA8">
              <w:rPr>
                <w:rFonts w:eastAsia="Calibri"/>
                <w:sz w:val="20"/>
              </w:rPr>
              <w:noBreakHyphen/>
              <w:t xml:space="preserve">dip at the expense of Canadian taxpayers? — How are registered parties to report their monetary expenses in an election expenses form — Specifically, are monetary expenses to be reported in accordance with GAAP? — If not, then on what objective basis are they to be reported? — </w:t>
            </w:r>
            <w:r w:rsidRPr="00723BA8">
              <w:rPr>
                <w:rFonts w:eastAsia="Calibri"/>
                <w:i/>
                <w:sz w:val="20"/>
              </w:rPr>
              <w:t>Canada Elections Act</w:t>
            </w:r>
            <w:r w:rsidRPr="00723BA8">
              <w:rPr>
                <w:rFonts w:eastAsia="Calibri"/>
                <w:sz w:val="20"/>
              </w:rPr>
              <w:t>, S.C. 2000, c. 9.</w:t>
            </w:r>
          </w:p>
          <w:p w:rsidR="000A73A5" w:rsidRPr="00723BA8" w:rsidRDefault="000A73A5" w:rsidP="00A5373E">
            <w:pPr>
              <w:jc w:val="both"/>
              <w:rPr>
                <w:rFonts w:eastAsia="Calibri"/>
                <w:sz w:val="20"/>
              </w:rPr>
            </w:pPr>
          </w:p>
        </w:tc>
      </w:tr>
      <w:tr w:rsidR="000A73A5" w:rsidRPr="00723BA8" w:rsidTr="00A5373E">
        <w:tc>
          <w:tcPr>
            <w:tcW w:w="5000" w:type="pct"/>
            <w:gridSpan w:val="3"/>
          </w:tcPr>
          <w:p w:rsidR="000A73A5" w:rsidRPr="00723BA8" w:rsidRDefault="000A73A5" w:rsidP="00A5373E">
            <w:pPr>
              <w:jc w:val="both"/>
              <w:rPr>
                <w:rFonts w:eastAsia="Calibri"/>
                <w:sz w:val="20"/>
              </w:rPr>
            </w:pPr>
            <w:r w:rsidRPr="00723BA8">
              <w:rPr>
                <w:rFonts w:eastAsia="Calibri"/>
                <w:sz w:val="20"/>
              </w:rPr>
              <w:t xml:space="preserve">The Conservative Party, like all political parties, was subject to a legislated limit in the amount it could spend on campaigning during elections pursuant to the </w:t>
            </w:r>
            <w:r w:rsidRPr="00723BA8">
              <w:rPr>
                <w:rFonts w:eastAsia="Calibri"/>
                <w:i/>
                <w:sz w:val="20"/>
              </w:rPr>
              <w:t>Elections Act</w:t>
            </w:r>
            <w:r w:rsidRPr="00723BA8">
              <w:rPr>
                <w:rFonts w:eastAsia="Calibri"/>
                <w:sz w:val="20"/>
              </w:rPr>
              <w:t xml:space="preserve">.  It filed election expense returns for the 2004 and 2006 general elections before it discovered it was entitled to, and did receive, GST rebates for taxable supplies purchased during the elections pursuant to the </w:t>
            </w:r>
            <w:r w:rsidRPr="00723BA8">
              <w:rPr>
                <w:rFonts w:eastAsia="Calibri"/>
                <w:i/>
                <w:sz w:val="20"/>
              </w:rPr>
              <w:t>Excise Tax Act</w:t>
            </w:r>
            <w:r w:rsidRPr="00723BA8">
              <w:rPr>
                <w:rFonts w:eastAsia="Calibri"/>
                <w:sz w:val="20"/>
              </w:rPr>
              <w:t xml:space="preserve">.  In order to receive the rebate under the </w:t>
            </w:r>
            <w:r w:rsidRPr="00723BA8">
              <w:rPr>
                <w:rFonts w:eastAsia="Calibri"/>
                <w:i/>
                <w:sz w:val="20"/>
              </w:rPr>
              <w:t>Excise Act</w:t>
            </w:r>
            <w:r w:rsidRPr="00723BA8">
              <w:rPr>
                <w:rFonts w:eastAsia="Calibri"/>
                <w:sz w:val="20"/>
              </w:rPr>
              <w:t>, an organization must be a Qualifying Non</w:t>
            </w:r>
            <w:r w:rsidRPr="00723BA8">
              <w:rPr>
                <w:rFonts w:eastAsia="Calibri"/>
                <w:sz w:val="20"/>
              </w:rPr>
              <w:noBreakHyphen/>
              <w:t xml:space="preserve">Profit Organization (“QNPO”).  The applicant Fund applied to the respondent Chief Electoral Officer (CEO) to amend its two returns accordingly using the reporting methodology mandated by GAAP.  The CEO refused to permit the amendments, taking the position that the GST had no effect on the reporting of election expenses.  The applicant Fund appealed to the Superior Court </w:t>
            </w:r>
          </w:p>
          <w:p w:rsidR="000A73A5" w:rsidRPr="00723BA8" w:rsidRDefault="000A73A5" w:rsidP="00A5373E">
            <w:pPr>
              <w:jc w:val="both"/>
              <w:rPr>
                <w:rFonts w:eastAsia="Calibri"/>
                <w:sz w:val="20"/>
              </w:rPr>
            </w:pP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December 31, 2009</w:t>
            </w:r>
          </w:p>
          <w:p w:rsidR="000A73A5" w:rsidRPr="00723BA8" w:rsidRDefault="000A73A5" w:rsidP="00A5373E">
            <w:pPr>
              <w:jc w:val="both"/>
              <w:rPr>
                <w:rFonts w:eastAsia="Calibri"/>
                <w:sz w:val="20"/>
              </w:rPr>
            </w:pPr>
            <w:r w:rsidRPr="00723BA8">
              <w:rPr>
                <w:rFonts w:eastAsia="Calibri"/>
                <w:sz w:val="20"/>
              </w:rPr>
              <w:t>Ontario Superior Court of Justice</w:t>
            </w:r>
          </w:p>
          <w:p w:rsidR="000A73A5" w:rsidRPr="00723BA8" w:rsidRDefault="000A73A5" w:rsidP="00A5373E">
            <w:pPr>
              <w:jc w:val="both"/>
              <w:rPr>
                <w:rFonts w:eastAsia="Calibri"/>
                <w:sz w:val="20"/>
              </w:rPr>
            </w:pPr>
            <w:r w:rsidRPr="00723BA8">
              <w:rPr>
                <w:rFonts w:eastAsia="Calibri"/>
                <w:sz w:val="20"/>
              </w:rPr>
              <w:t>(Wilton</w:t>
            </w:r>
            <w:r w:rsidRPr="00723BA8">
              <w:rPr>
                <w:rFonts w:eastAsia="Calibri"/>
                <w:sz w:val="20"/>
              </w:rPr>
              <w:noBreakHyphen/>
              <w:t>Siegel J.)</w:t>
            </w:r>
          </w:p>
          <w:p w:rsidR="000A73A5" w:rsidRPr="00723BA8" w:rsidRDefault="000A73A5" w:rsidP="00A5373E">
            <w:pPr>
              <w:jc w:val="both"/>
              <w:rPr>
                <w:rFonts w:eastAsia="Calibri"/>
                <w:sz w:val="20"/>
              </w:rPr>
            </w:pPr>
            <w:r w:rsidRPr="00723BA8">
              <w:rPr>
                <w:rFonts w:eastAsia="Calibri"/>
                <w:sz w:val="20"/>
              </w:rPr>
              <w:t>2010 G.T.C. 1045</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 xml:space="preserve">Applicant Fund entitled to an order under s. 434(1)(b) of the </w:t>
            </w:r>
            <w:r w:rsidRPr="00723BA8">
              <w:rPr>
                <w:rFonts w:eastAsia="Calibri"/>
                <w:i/>
                <w:sz w:val="20"/>
              </w:rPr>
              <w:t>Elections Act</w:t>
            </w:r>
            <w:r w:rsidRPr="00723BA8">
              <w:rPr>
                <w:rFonts w:eastAsia="Calibri"/>
                <w:sz w:val="20"/>
              </w:rPr>
              <w:t xml:space="preserve"> allowing  amendment of election expenses returns to reflect reduction in expenses by amount of GST rebate in accordance with GAAP</w:t>
            </w:r>
          </w:p>
          <w:p w:rsidR="000A73A5" w:rsidRPr="00723BA8" w:rsidRDefault="000A73A5" w:rsidP="00A5373E">
            <w:pPr>
              <w:jc w:val="both"/>
              <w:rPr>
                <w:rFonts w:eastAsia="Calibri"/>
                <w:sz w:val="20"/>
              </w:rPr>
            </w:pP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December 21, 2010</w:t>
            </w:r>
          </w:p>
          <w:p w:rsidR="000A73A5" w:rsidRPr="00723BA8" w:rsidRDefault="000A73A5" w:rsidP="00A5373E">
            <w:pPr>
              <w:jc w:val="both"/>
              <w:rPr>
                <w:rFonts w:eastAsia="Calibri"/>
                <w:sz w:val="20"/>
              </w:rPr>
            </w:pPr>
            <w:r w:rsidRPr="00723BA8">
              <w:rPr>
                <w:rFonts w:eastAsia="Calibri"/>
                <w:sz w:val="20"/>
              </w:rPr>
              <w:t>Court of Appeal for Ontario</w:t>
            </w:r>
          </w:p>
          <w:p w:rsidR="000A73A5" w:rsidRPr="00723BA8" w:rsidRDefault="000A73A5" w:rsidP="00A5373E">
            <w:pPr>
              <w:jc w:val="both"/>
              <w:rPr>
                <w:rFonts w:eastAsia="Calibri"/>
                <w:sz w:val="20"/>
                <w:lang w:val="fr-FR"/>
              </w:rPr>
            </w:pPr>
            <w:r w:rsidRPr="00723BA8">
              <w:rPr>
                <w:rFonts w:eastAsia="Calibri"/>
                <w:sz w:val="20"/>
                <w:lang w:val="fr-FR"/>
              </w:rPr>
              <w:t xml:space="preserve">(Simmons, LaForme </w:t>
            </w:r>
            <w:proofErr w:type="gramStart"/>
            <w:r w:rsidRPr="00723BA8">
              <w:rPr>
                <w:rFonts w:eastAsia="Calibri"/>
                <w:sz w:val="20"/>
                <w:lang w:val="fr-FR"/>
              </w:rPr>
              <w:t>and.,</w:t>
            </w:r>
            <w:proofErr w:type="gramEnd"/>
            <w:r w:rsidRPr="00723BA8">
              <w:rPr>
                <w:rFonts w:eastAsia="Calibri"/>
                <w:sz w:val="20"/>
                <w:lang w:val="fr-FR"/>
              </w:rPr>
              <w:t xml:space="preserve"> Epstein JJ.A..)</w:t>
            </w:r>
          </w:p>
          <w:p w:rsidR="000A73A5" w:rsidRPr="00723BA8" w:rsidRDefault="000A73A5" w:rsidP="00A5373E">
            <w:pPr>
              <w:jc w:val="both"/>
              <w:rPr>
                <w:rFonts w:eastAsia="Calibri"/>
                <w:sz w:val="20"/>
                <w:lang w:val="fr-FR"/>
              </w:rPr>
            </w:pPr>
            <w:r w:rsidRPr="00723BA8">
              <w:rPr>
                <w:rFonts w:eastAsia="Calibri"/>
                <w:sz w:val="20"/>
                <w:lang w:val="fr-FR"/>
              </w:rPr>
              <w:t>2010 ONCA 882</w:t>
            </w:r>
          </w:p>
          <w:p w:rsidR="000A73A5" w:rsidRPr="00723BA8" w:rsidRDefault="000A73A5" w:rsidP="00A5373E">
            <w:pPr>
              <w:jc w:val="both"/>
              <w:rPr>
                <w:rFonts w:eastAsia="Calibri"/>
                <w:sz w:val="20"/>
                <w:lang w:val="fr-FR"/>
              </w:rPr>
            </w:pPr>
          </w:p>
        </w:tc>
        <w:tc>
          <w:tcPr>
            <w:tcW w:w="243" w:type="pct"/>
          </w:tcPr>
          <w:p w:rsidR="000A73A5" w:rsidRPr="00723BA8" w:rsidRDefault="000A73A5" w:rsidP="00A5373E">
            <w:pPr>
              <w:jc w:val="both"/>
              <w:rPr>
                <w:rFonts w:eastAsia="Calibri"/>
                <w:sz w:val="20"/>
                <w:lang w:val="fr-FR"/>
              </w:rPr>
            </w:pPr>
          </w:p>
        </w:tc>
        <w:tc>
          <w:tcPr>
            <w:tcW w:w="2330" w:type="pct"/>
          </w:tcPr>
          <w:p w:rsidR="000A73A5" w:rsidRPr="00723BA8" w:rsidRDefault="000A73A5" w:rsidP="00A5373E">
            <w:pPr>
              <w:jc w:val="both"/>
              <w:rPr>
                <w:rFonts w:eastAsia="Calibri"/>
                <w:sz w:val="20"/>
              </w:rPr>
            </w:pPr>
            <w:r w:rsidRPr="00723BA8">
              <w:rPr>
                <w:rFonts w:eastAsia="Calibri"/>
                <w:sz w:val="20"/>
              </w:rPr>
              <w:t>Appeal allowed</w:t>
            </w:r>
          </w:p>
          <w:p w:rsidR="000A73A5" w:rsidRPr="00723BA8" w:rsidRDefault="000A73A5" w:rsidP="00A5373E">
            <w:pPr>
              <w:jc w:val="both"/>
              <w:rPr>
                <w:rFonts w:eastAsia="Calibri"/>
                <w:sz w:val="20"/>
              </w:rPr>
            </w:pPr>
          </w:p>
        </w:tc>
      </w:tr>
      <w:tr w:rsidR="000A73A5" w:rsidRPr="00723BA8" w:rsidTr="00A5373E">
        <w:tc>
          <w:tcPr>
            <w:tcW w:w="2427" w:type="pct"/>
          </w:tcPr>
          <w:p w:rsidR="000A73A5" w:rsidRPr="00723BA8" w:rsidRDefault="000A73A5" w:rsidP="00A5373E">
            <w:pPr>
              <w:jc w:val="both"/>
              <w:rPr>
                <w:rFonts w:eastAsia="Calibri"/>
                <w:sz w:val="20"/>
              </w:rPr>
            </w:pPr>
            <w:r w:rsidRPr="00723BA8">
              <w:rPr>
                <w:rFonts w:eastAsia="Calibri"/>
                <w:sz w:val="20"/>
              </w:rPr>
              <w:t>February 15, 2011</w:t>
            </w:r>
          </w:p>
          <w:p w:rsidR="000A73A5" w:rsidRPr="00723BA8" w:rsidRDefault="000A73A5" w:rsidP="00A5373E">
            <w:pPr>
              <w:jc w:val="both"/>
              <w:rPr>
                <w:rFonts w:eastAsia="Calibri"/>
                <w:sz w:val="20"/>
              </w:rPr>
            </w:pPr>
            <w:r w:rsidRPr="00723BA8">
              <w:rPr>
                <w:rFonts w:eastAsia="Calibri"/>
                <w:sz w:val="20"/>
              </w:rPr>
              <w:t>Supreme Court of Canada</w:t>
            </w: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rPr>
            </w:pPr>
            <w:r w:rsidRPr="00723BA8">
              <w:rPr>
                <w:rFonts w:eastAsia="Calibri"/>
                <w:sz w:val="20"/>
              </w:rPr>
              <w:t>Application for leave to appeal filed</w:t>
            </w:r>
          </w:p>
          <w:p w:rsidR="000A73A5" w:rsidRPr="00723BA8" w:rsidRDefault="000A73A5" w:rsidP="00A5373E">
            <w:pPr>
              <w:jc w:val="both"/>
              <w:rPr>
                <w:rFonts w:eastAsia="Calibri"/>
                <w:sz w:val="20"/>
              </w:rPr>
            </w:pPr>
          </w:p>
        </w:tc>
      </w:tr>
    </w:tbl>
    <w:p w:rsidR="004E6FA2" w:rsidRDefault="00CF05D4" w:rsidP="004E6FA2">
      <w:pPr>
        <w:rPr>
          <w:sz w:val="20"/>
          <w:szCs w:val="20"/>
        </w:rPr>
      </w:pPr>
      <w:r w:rsidRPr="00CF05D4">
        <w:rPr>
          <w:sz w:val="20"/>
          <w:szCs w:val="20"/>
          <w:lang w:val="fr-CA"/>
        </w:rPr>
        <w:pict>
          <v:rect id="_x0000_i1076" style="width:2in;height:1pt" o:hrpct="0" o:hralign="center" o:hrstd="t" o:hrnoshade="t" o:hr="t" fillcolor="black [3213]" stroked="f"/>
        </w:pict>
      </w:r>
    </w:p>
    <w:p w:rsidR="004E6FA2" w:rsidRDefault="004E6FA2" w:rsidP="004E6FA2">
      <w:pPr>
        <w:rPr>
          <w:sz w:val="20"/>
          <w:szCs w:val="20"/>
        </w:rPr>
      </w:pPr>
      <w:r>
        <w:rPr>
          <w:sz w:val="20"/>
          <w:szCs w:val="20"/>
          <w:u w:val="single"/>
        </w:rPr>
        <w:lastRenderedPageBreak/>
        <w:t>RÉSUMÉ DE L’AFFAIRE</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A73A5" w:rsidRPr="00E62A55" w:rsidTr="00A5373E">
        <w:tc>
          <w:tcPr>
            <w:tcW w:w="5000" w:type="pct"/>
            <w:gridSpan w:val="3"/>
          </w:tcPr>
          <w:p w:rsidR="000A73A5" w:rsidRPr="00723BA8" w:rsidRDefault="000A73A5" w:rsidP="00A5373E">
            <w:pPr>
              <w:jc w:val="both"/>
              <w:rPr>
                <w:rFonts w:eastAsia="Calibri"/>
                <w:sz w:val="20"/>
                <w:lang w:val="fr-CA"/>
              </w:rPr>
            </w:pPr>
            <w:r w:rsidRPr="00723BA8">
              <w:rPr>
                <w:rFonts w:eastAsia="Calibri"/>
                <w:sz w:val="20"/>
                <w:lang w:val="fr-CA"/>
              </w:rPr>
              <w:t>Élections — Fiscalité — Interprétation des lois — Financement des élections — Remboursement des dépenses électorales — Le directeur général des élections est</w:t>
            </w:r>
            <w:r w:rsidRPr="00723BA8">
              <w:rPr>
                <w:rFonts w:eastAsia="Calibri"/>
                <w:sz w:val="20"/>
                <w:lang w:val="fr-CA"/>
              </w:rPr>
              <w:noBreakHyphen/>
              <w:t>il obligé d’autoriser la modification de deux déclarations de dépenses électorales déposées pour le compte du fonds demandeur? — Est</w:t>
            </w:r>
            <w:r w:rsidRPr="00723BA8">
              <w:rPr>
                <w:rFonts w:eastAsia="Calibri"/>
                <w:sz w:val="20"/>
                <w:lang w:val="fr-CA"/>
              </w:rPr>
              <w:noBreakHyphen/>
              <w:t>il plus important de garantir l’égalité formelle dans les limites applicables aux dépenses électorales que de préserver l’intégrité du régime de financement des élections? — Les partis politiques canadiens devraient</w:t>
            </w:r>
            <w:r w:rsidRPr="00723BA8">
              <w:rPr>
                <w:rFonts w:eastAsia="Calibri"/>
                <w:sz w:val="20"/>
                <w:lang w:val="fr-CA"/>
              </w:rPr>
              <w:noBreakHyphen/>
              <w:t>ils être autorisés à cumuler les avantages aux dépens des contribuables canadiens? — Comment les partis enregistrés doivent</w:t>
            </w:r>
            <w:r w:rsidRPr="00723BA8">
              <w:rPr>
                <w:rFonts w:eastAsia="Calibri"/>
                <w:sz w:val="20"/>
                <w:lang w:val="fr-CA"/>
              </w:rPr>
              <w:noBreakHyphen/>
              <w:t>ils déclarer leurs dépenses dans les formulaires de dépenses électorales? — Plus particulièrement, les dépenses doivent</w:t>
            </w:r>
            <w:r w:rsidRPr="00723BA8">
              <w:rPr>
                <w:rFonts w:eastAsia="Calibri"/>
                <w:sz w:val="20"/>
                <w:lang w:val="fr-CA"/>
              </w:rPr>
              <w:noBreakHyphen/>
              <w:t>elles être déclarées en conformité avec les principes comptables généralement reconnus (PCGR)? — Si ce n’est pas le cas, alors sur quel fondement objectif doivent</w:t>
            </w:r>
            <w:r w:rsidRPr="00723BA8">
              <w:rPr>
                <w:rFonts w:eastAsia="Calibri"/>
                <w:sz w:val="20"/>
                <w:lang w:val="fr-CA"/>
              </w:rPr>
              <w:noBreakHyphen/>
              <w:t xml:space="preserve">elles être déclarées? — </w:t>
            </w:r>
            <w:r w:rsidRPr="00723BA8">
              <w:rPr>
                <w:rFonts w:eastAsia="Calibri"/>
                <w:i/>
                <w:sz w:val="20"/>
                <w:lang w:val="fr-CA"/>
              </w:rPr>
              <w:t>Loi électorale du Canada</w:t>
            </w:r>
            <w:r w:rsidRPr="00723BA8">
              <w:rPr>
                <w:rFonts w:eastAsia="Calibri"/>
                <w:sz w:val="20"/>
                <w:lang w:val="fr-CA"/>
              </w:rPr>
              <w:t>, L.C. 2000, ch. 9.</w:t>
            </w:r>
          </w:p>
          <w:p w:rsidR="000A73A5" w:rsidRPr="00723BA8" w:rsidRDefault="000A73A5" w:rsidP="00A5373E">
            <w:pPr>
              <w:jc w:val="both"/>
              <w:rPr>
                <w:rFonts w:eastAsia="Calibri"/>
                <w:sz w:val="20"/>
                <w:lang w:val="fr-CA"/>
              </w:rPr>
            </w:pPr>
          </w:p>
        </w:tc>
      </w:tr>
      <w:tr w:rsidR="000A73A5" w:rsidRPr="00723BA8" w:rsidTr="00A5373E">
        <w:tc>
          <w:tcPr>
            <w:tcW w:w="5000" w:type="pct"/>
            <w:gridSpan w:val="3"/>
          </w:tcPr>
          <w:p w:rsidR="000A73A5" w:rsidRPr="00723BA8" w:rsidRDefault="000A73A5" w:rsidP="00A5373E">
            <w:pPr>
              <w:jc w:val="both"/>
              <w:rPr>
                <w:rFonts w:eastAsia="Calibri"/>
                <w:sz w:val="20"/>
                <w:lang w:val="fr-CA"/>
              </w:rPr>
            </w:pPr>
            <w:r w:rsidRPr="00723BA8">
              <w:rPr>
                <w:rFonts w:eastAsia="Calibri"/>
                <w:sz w:val="20"/>
                <w:lang w:val="fr-CA"/>
              </w:rPr>
              <w:t xml:space="preserve">Le parti conservateur, comme tous les partis politiques, était soumis à une limite imposée par la </w:t>
            </w:r>
            <w:r w:rsidRPr="00723BA8">
              <w:rPr>
                <w:rFonts w:eastAsia="Calibri"/>
                <w:i/>
                <w:sz w:val="20"/>
                <w:lang w:val="fr-CA"/>
              </w:rPr>
              <w:t>Loi électorale du Canada</w:t>
            </w:r>
            <w:r w:rsidRPr="00723BA8">
              <w:rPr>
                <w:rFonts w:eastAsia="Calibri"/>
                <w:sz w:val="20"/>
                <w:lang w:val="fr-CA"/>
              </w:rPr>
              <w:t xml:space="preserve"> quant aux montants d’argent qu’il pouvait dépenser au cours de campagnes électorales.  Il a produit des déclarations de dépenses électorales au titre des élections générales de 2004 et de 2006 avant de découvrir qu’il avait droit, et qu’il avait reçu, en application de la </w:t>
            </w:r>
            <w:r w:rsidRPr="00723BA8">
              <w:rPr>
                <w:rFonts w:eastAsia="Calibri"/>
                <w:i/>
                <w:sz w:val="20"/>
                <w:lang w:val="fr-CA"/>
              </w:rPr>
              <w:t>Loi sur la taxe d’accise</w:t>
            </w:r>
            <w:r w:rsidRPr="00723BA8">
              <w:rPr>
                <w:rFonts w:eastAsia="Calibri"/>
                <w:sz w:val="20"/>
                <w:lang w:val="fr-CA"/>
              </w:rPr>
              <w:t xml:space="preserve">, des remboursements de TPS relativement à des fournitures taxables achetées au cours des élections.  Pour recevoir les remboursements prévus dans la </w:t>
            </w:r>
            <w:r w:rsidRPr="00723BA8">
              <w:rPr>
                <w:rFonts w:eastAsia="Calibri"/>
                <w:i/>
                <w:sz w:val="20"/>
                <w:lang w:val="fr-CA"/>
              </w:rPr>
              <w:t>Loi sur la taxe d’accise</w:t>
            </w:r>
            <w:r w:rsidRPr="00723BA8">
              <w:rPr>
                <w:rFonts w:eastAsia="Calibri"/>
                <w:sz w:val="20"/>
                <w:lang w:val="fr-CA"/>
              </w:rPr>
              <w:t xml:space="preserve">, un organisme doit être un </w:t>
            </w:r>
            <w:r w:rsidRPr="00723BA8">
              <w:rPr>
                <w:rFonts w:eastAsia="Calibri"/>
                <w:sz w:val="20"/>
                <w:lang w:val="fr-FR"/>
              </w:rPr>
              <w:t xml:space="preserve">organisme à but non lucratif admissible. </w:t>
            </w:r>
            <w:r w:rsidRPr="00723BA8">
              <w:rPr>
                <w:rFonts w:eastAsia="Calibri"/>
                <w:sz w:val="20"/>
                <w:lang w:val="fr-CA"/>
              </w:rPr>
              <w:t xml:space="preserve"> Le demandeur a demandé à l’intimé, le directeur général des élections, l’autorisation de modifier ses deux déclarations en conséquence en utilisant la méthode de déclaration prescrite par les PCGR. Le directeur général des élections a refusé d’autoriser les modifications en affirmant que la TPS n’avait aucune incidence sur les déclarations de dépenses électorales. Le fonds demandeur a interjeté appel à la Cour supérieure </w:t>
            </w:r>
          </w:p>
          <w:p w:rsidR="000A73A5" w:rsidRPr="00723BA8" w:rsidRDefault="000A73A5" w:rsidP="00A5373E">
            <w:pPr>
              <w:jc w:val="both"/>
              <w:rPr>
                <w:rFonts w:eastAsia="Calibri"/>
                <w:sz w:val="20"/>
                <w:lang w:val="fr-CA"/>
              </w:rPr>
            </w:pPr>
          </w:p>
        </w:tc>
      </w:tr>
      <w:tr w:rsidR="000A73A5" w:rsidRPr="00E62A55"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31 décembre 2009</w:t>
            </w:r>
          </w:p>
          <w:p w:rsidR="000A73A5" w:rsidRPr="00723BA8" w:rsidRDefault="000A73A5" w:rsidP="00A5373E">
            <w:pPr>
              <w:jc w:val="both"/>
              <w:rPr>
                <w:rFonts w:eastAsia="Calibri"/>
                <w:sz w:val="20"/>
                <w:lang w:val="fr-CA"/>
              </w:rPr>
            </w:pPr>
            <w:r w:rsidRPr="00723BA8">
              <w:rPr>
                <w:rFonts w:eastAsia="Calibri"/>
                <w:sz w:val="20"/>
                <w:lang w:val="fr-CA"/>
              </w:rPr>
              <w:t>Cour supérieure de justice de l’Ontario</w:t>
            </w:r>
          </w:p>
          <w:p w:rsidR="000A73A5" w:rsidRPr="00723BA8" w:rsidRDefault="000A73A5" w:rsidP="00A5373E">
            <w:pPr>
              <w:jc w:val="both"/>
              <w:rPr>
                <w:rFonts w:eastAsia="Calibri"/>
                <w:sz w:val="20"/>
              </w:rPr>
            </w:pPr>
            <w:r w:rsidRPr="00723BA8">
              <w:rPr>
                <w:rFonts w:eastAsia="Calibri"/>
                <w:sz w:val="20"/>
              </w:rPr>
              <w:t>(Juge Wilton</w:t>
            </w:r>
            <w:r w:rsidRPr="00723BA8">
              <w:rPr>
                <w:rFonts w:eastAsia="Calibri"/>
                <w:sz w:val="20"/>
              </w:rPr>
              <w:noBreakHyphen/>
              <w:t>Siegel)</w:t>
            </w:r>
          </w:p>
          <w:p w:rsidR="000A73A5" w:rsidRPr="00723BA8" w:rsidRDefault="000A73A5" w:rsidP="00A5373E">
            <w:pPr>
              <w:jc w:val="both"/>
              <w:rPr>
                <w:rFonts w:eastAsia="Calibri"/>
                <w:sz w:val="20"/>
              </w:rPr>
            </w:pPr>
            <w:r w:rsidRPr="00723BA8">
              <w:rPr>
                <w:rFonts w:eastAsia="Calibri"/>
                <w:sz w:val="20"/>
              </w:rPr>
              <w:t>2010 G.T.C. 1045</w:t>
            </w:r>
          </w:p>
          <w:p w:rsidR="000A73A5" w:rsidRPr="00723BA8" w:rsidRDefault="000A73A5" w:rsidP="00A5373E">
            <w:pPr>
              <w:jc w:val="both"/>
              <w:rPr>
                <w:rFonts w:eastAsia="Calibri"/>
                <w:sz w:val="20"/>
              </w:rPr>
            </w:pPr>
          </w:p>
        </w:tc>
        <w:tc>
          <w:tcPr>
            <w:tcW w:w="243" w:type="pct"/>
          </w:tcPr>
          <w:p w:rsidR="000A73A5" w:rsidRPr="00723BA8" w:rsidRDefault="000A73A5" w:rsidP="00A5373E">
            <w:pPr>
              <w:jc w:val="both"/>
              <w:rPr>
                <w:rFonts w:eastAsia="Calibri"/>
                <w:sz w:val="20"/>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Le fonds demandeur a droit, en application de l’alinéa 434(1)</w:t>
            </w:r>
            <w:r w:rsidRPr="00723BA8">
              <w:rPr>
                <w:rFonts w:eastAsia="Calibri"/>
                <w:i/>
                <w:sz w:val="20"/>
                <w:lang w:val="fr-CA"/>
              </w:rPr>
              <w:t>b</w:t>
            </w:r>
            <w:r w:rsidRPr="00723BA8">
              <w:rPr>
                <w:rFonts w:eastAsia="Calibri"/>
                <w:sz w:val="20"/>
                <w:lang w:val="fr-CA"/>
              </w:rPr>
              <w:t xml:space="preserve">) de la </w:t>
            </w:r>
            <w:r w:rsidRPr="00723BA8">
              <w:rPr>
                <w:rFonts w:eastAsia="Calibri"/>
                <w:i/>
                <w:sz w:val="20"/>
                <w:lang w:val="fr-CA"/>
              </w:rPr>
              <w:t>Loi électorale du Canada</w:t>
            </w:r>
            <w:r w:rsidRPr="00723BA8">
              <w:rPr>
                <w:rFonts w:eastAsia="Calibri"/>
                <w:sz w:val="20"/>
                <w:lang w:val="fr-CA"/>
              </w:rPr>
              <w:t>, à une ordonnance autorisant la  modification de déclarations de dépenses électorales en vue de diminuer les montants des dépenses des montants de remboursement de TPS, et ce, en conformité avec les PCGR</w:t>
            </w:r>
          </w:p>
          <w:p w:rsidR="000A73A5" w:rsidRPr="00723BA8" w:rsidRDefault="000A73A5" w:rsidP="00A5373E">
            <w:pPr>
              <w:jc w:val="both"/>
              <w:rPr>
                <w:rFonts w:eastAsia="Calibri"/>
                <w:sz w:val="20"/>
                <w:lang w:val="fr-CA"/>
              </w:rPr>
            </w:pPr>
          </w:p>
        </w:tc>
      </w:tr>
      <w:tr w:rsidR="000A73A5" w:rsidRPr="00723BA8"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21 décembre 2010</w:t>
            </w:r>
          </w:p>
          <w:p w:rsidR="000A73A5" w:rsidRPr="00723BA8" w:rsidRDefault="000A73A5" w:rsidP="00A5373E">
            <w:pPr>
              <w:jc w:val="both"/>
              <w:rPr>
                <w:rFonts w:eastAsia="Calibri"/>
                <w:sz w:val="20"/>
                <w:lang w:val="fr-CA"/>
              </w:rPr>
            </w:pPr>
            <w:r w:rsidRPr="00723BA8">
              <w:rPr>
                <w:rFonts w:eastAsia="Calibri"/>
                <w:sz w:val="20"/>
                <w:lang w:val="fr-CA"/>
              </w:rPr>
              <w:t>Cour d’appel de l’Ontario</w:t>
            </w:r>
          </w:p>
          <w:p w:rsidR="000A73A5" w:rsidRPr="00723BA8" w:rsidRDefault="000A73A5" w:rsidP="00A5373E">
            <w:pPr>
              <w:jc w:val="both"/>
              <w:rPr>
                <w:rFonts w:eastAsia="Calibri"/>
                <w:sz w:val="20"/>
                <w:lang w:val="fr-CA"/>
              </w:rPr>
            </w:pPr>
            <w:r w:rsidRPr="00723BA8">
              <w:rPr>
                <w:rFonts w:eastAsia="Calibri"/>
                <w:sz w:val="20"/>
                <w:lang w:val="fr-CA"/>
              </w:rPr>
              <w:t>(Juges Simmons, LaForme et Epstein)</w:t>
            </w:r>
          </w:p>
          <w:p w:rsidR="000A73A5" w:rsidRPr="00723BA8" w:rsidRDefault="000A73A5" w:rsidP="00A5373E">
            <w:pPr>
              <w:jc w:val="both"/>
              <w:rPr>
                <w:rFonts w:eastAsia="Calibri"/>
                <w:sz w:val="20"/>
                <w:lang w:val="fr-CA"/>
              </w:rPr>
            </w:pPr>
            <w:r w:rsidRPr="00723BA8">
              <w:rPr>
                <w:rFonts w:eastAsia="Calibri"/>
                <w:sz w:val="20"/>
                <w:lang w:val="fr-CA"/>
              </w:rPr>
              <w:t>2010 ONCA 882</w:t>
            </w:r>
          </w:p>
          <w:p w:rsidR="000A73A5" w:rsidRPr="00723BA8" w:rsidRDefault="000A73A5" w:rsidP="00A5373E">
            <w:pPr>
              <w:jc w:val="both"/>
              <w:rPr>
                <w:rFonts w:eastAsia="Calibri"/>
                <w:sz w:val="20"/>
                <w:lang w:val="fr-CA"/>
              </w:rPr>
            </w:pPr>
          </w:p>
        </w:tc>
        <w:tc>
          <w:tcPr>
            <w:tcW w:w="243" w:type="pct"/>
          </w:tcPr>
          <w:p w:rsidR="000A73A5" w:rsidRPr="00723BA8" w:rsidRDefault="000A73A5" w:rsidP="00A5373E">
            <w:pPr>
              <w:jc w:val="both"/>
              <w:rPr>
                <w:rFonts w:eastAsia="Calibri"/>
                <w:sz w:val="20"/>
                <w:lang w:val="fr-CA"/>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Appel accueilli</w:t>
            </w:r>
          </w:p>
          <w:p w:rsidR="000A73A5" w:rsidRPr="00723BA8" w:rsidRDefault="000A73A5" w:rsidP="00A5373E">
            <w:pPr>
              <w:jc w:val="both"/>
              <w:rPr>
                <w:rFonts w:eastAsia="Calibri"/>
                <w:sz w:val="20"/>
                <w:lang w:val="fr-CA"/>
              </w:rPr>
            </w:pPr>
          </w:p>
        </w:tc>
      </w:tr>
      <w:tr w:rsidR="000A73A5" w:rsidRPr="00723BA8" w:rsidTr="00A5373E">
        <w:tc>
          <w:tcPr>
            <w:tcW w:w="2427" w:type="pct"/>
          </w:tcPr>
          <w:p w:rsidR="000A73A5" w:rsidRPr="00723BA8" w:rsidRDefault="000A73A5" w:rsidP="00A5373E">
            <w:pPr>
              <w:jc w:val="both"/>
              <w:rPr>
                <w:rFonts w:eastAsia="Calibri"/>
                <w:sz w:val="20"/>
                <w:lang w:val="fr-CA"/>
              </w:rPr>
            </w:pPr>
            <w:r w:rsidRPr="00723BA8">
              <w:rPr>
                <w:rFonts w:eastAsia="Calibri"/>
                <w:sz w:val="20"/>
                <w:lang w:val="fr-CA"/>
              </w:rPr>
              <w:t>15 février 2011</w:t>
            </w:r>
          </w:p>
          <w:p w:rsidR="000A73A5" w:rsidRPr="00723BA8" w:rsidRDefault="000A73A5" w:rsidP="00A5373E">
            <w:pPr>
              <w:jc w:val="both"/>
              <w:rPr>
                <w:rFonts w:eastAsia="Calibri"/>
                <w:sz w:val="20"/>
                <w:lang w:val="fr-CA"/>
              </w:rPr>
            </w:pPr>
            <w:r w:rsidRPr="00723BA8">
              <w:rPr>
                <w:rFonts w:eastAsia="Calibri"/>
                <w:sz w:val="20"/>
                <w:lang w:val="fr-CA"/>
              </w:rPr>
              <w:t>Cour suprême du Canada</w:t>
            </w:r>
          </w:p>
          <w:p w:rsidR="000A73A5" w:rsidRPr="00723BA8" w:rsidRDefault="000A73A5" w:rsidP="00A5373E">
            <w:pPr>
              <w:jc w:val="both"/>
              <w:rPr>
                <w:rFonts w:eastAsia="Calibri"/>
                <w:sz w:val="20"/>
                <w:lang w:val="fr-CA"/>
              </w:rPr>
            </w:pPr>
          </w:p>
        </w:tc>
        <w:tc>
          <w:tcPr>
            <w:tcW w:w="243" w:type="pct"/>
          </w:tcPr>
          <w:p w:rsidR="000A73A5" w:rsidRPr="00723BA8" w:rsidRDefault="000A73A5" w:rsidP="00A5373E">
            <w:pPr>
              <w:jc w:val="both"/>
              <w:rPr>
                <w:rFonts w:eastAsia="Calibri"/>
                <w:sz w:val="20"/>
                <w:lang w:val="fr-CA"/>
              </w:rPr>
            </w:pPr>
          </w:p>
        </w:tc>
        <w:tc>
          <w:tcPr>
            <w:tcW w:w="2330" w:type="pct"/>
          </w:tcPr>
          <w:p w:rsidR="000A73A5" w:rsidRPr="00723BA8" w:rsidRDefault="000A73A5" w:rsidP="00A5373E">
            <w:pPr>
              <w:jc w:val="both"/>
              <w:rPr>
                <w:rFonts w:eastAsia="Calibri"/>
                <w:sz w:val="20"/>
                <w:lang w:val="fr-CA"/>
              </w:rPr>
            </w:pPr>
            <w:r w:rsidRPr="00723BA8">
              <w:rPr>
                <w:rFonts w:eastAsia="Calibri"/>
                <w:sz w:val="20"/>
                <w:lang w:val="fr-CA"/>
              </w:rPr>
              <w:t>Demande d’autorisation d’appel déposée</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7"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Style w:val="SCCFileNumberChar"/>
                <w:sz w:val="20"/>
                <w:szCs w:val="20"/>
              </w:rPr>
              <w:t>34102</w:t>
            </w:r>
          </w:p>
          <w:p w:rsidR="00A25BB5" w:rsidRPr="000F5BBC" w:rsidRDefault="00A25BB5" w:rsidP="00A25BB5">
            <w:pPr>
              <w:rPr>
                <w:rFonts w:cs="Times New Roman"/>
                <w:b/>
                <w:sz w:val="20"/>
                <w:szCs w:val="20"/>
                <w:lang w:val="fr-CA"/>
              </w:rPr>
            </w:pPr>
          </w:p>
        </w:tc>
        <w:tc>
          <w:tcPr>
            <w:tcW w:w="8118" w:type="dxa"/>
          </w:tcPr>
          <w:p w:rsidR="00A25BB5" w:rsidRPr="000F5BBC" w:rsidRDefault="00A25BB5" w:rsidP="00A25BB5">
            <w:pPr>
              <w:rPr>
                <w:rFonts w:cs="Times New Roman"/>
                <w:sz w:val="20"/>
                <w:szCs w:val="20"/>
              </w:rPr>
            </w:pPr>
            <w:r w:rsidRPr="00A25BB5">
              <w:rPr>
                <w:rStyle w:val="SCCLsocChar"/>
                <w:rFonts w:cs="Times New Roman"/>
                <w:sz w:val="20"/>
                <w:szCs w:val="20"/>
                <w:lang w:val="en-CA"/>
              </w:rPr>
              <w:t>Larry Peter Klippenstein v. Edison Rental Agency</w:t>
            </w:r>
            <w:r w:rsidRPr="000F5BBC">
              <w:rPr>
                <w:rFonts w:cs="Times New Roman"/>
                <w:sz w:val="20"/>
                <w:szCs w:val="20"/>
              </w:rPr>
              <w:t xml:space="preserve"> (Man.) (Civil) (By Leave)</w:t>
            </w:r>
          </w:p>
          <w:p w:rsidR="00A25BB5" w:rsidRPr="000F5BBC" w:rsidRDefault="00A25BB5" w:rsidP="00A25BB5">
            <w:pPr>
              <w:rPr>
                <w:rFonts w:cs="Times New Roman"/>
                <w:sz w:val="20"/>
                <w:szCs w:val="20"/>
              </w:rPr>
            </w:pPr>
          </w:p>
        </w:tc>
      </w:tr>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Fonts w:cs="Times New Roman"/>
                <w:sz w:val="20"/>
                <w:szCs w:val="20"/>
              </w:rPr>
              <w:t>Coram :</w:t>
            </w:r>
          </w:p>
        </w:tc>
        <w:tc>
          <w:tcPr>
            <w:tcW w:w="8118" w:type="dxa"/>
          </w:tcPr>
          <w:p w:rsidR="00A25BB5" w:rsidRPr="000F5BBC" w:rsidRDefault="00A25BB5" w:rsidP="00A25BB5">
            <w:pPr>
              <w:rPr>
                <w:rFonts w:cs="Times New Roman"/>
                <w:sz w:val="20"/>
                <w:szCs w:val="20"/>
              </w:rPr>
            </w:pPr>
            <w:r w:rsidRPr="00A25BB5">
              <w:rPr>
                <w:rStyle w:val="SCCCoramChar"/>
                <w:rFonts w:cs="Times New Roman"/>
                <w:sz w:val="20"/>
                <w:szCs w:val="20"/>
                <w:lang w:val="en-CA"/>
              </w:rPr>
              <w:t>LeBel, Deschamps and Charron JJ.</w:t>
            </w:r>
          </w:p>
          <w:p w:rsidR="00A25BB5" w:rsidRPr="000F5BBC" w:rsidRDefault="00A25BB5" w:rsidP="00A25BB5">
            <w:pPr>
              <w:rPr>
                <w:rFonts w:cs="Times New Roman"/>
                <w:sz w:val="20"/>
                <w:szCs w:val="20"/>
                <w:u w:val="single"/>
              </w:rPr>
            </w:pPr>
          </w:p>
        </w:tc>
      </w:tr>
      <w:tr w:rsidR="00A25BB5" w:rsidRPr="00E62A55" w:rsidTr="00A25BB5">
        <w:trPr>
          <w:cantSplit/>
        </w:trPr>
        <w:tc>
          <w:tcPr>
            <w:tcW w:w="9576" w:type="dxa"/>
            <w:gridSpan w:val="2"/>
          </w:tcPr>
          <w:p w:rsidR="00A25BB5" w:rsidRPr="000F5BBC" w:rsidRDefault="00A25BB5" w:rsidP="00A25BB5">
            <w:pPr>
              <w:pStyle w:val="SCCShortJudgment"/>
              <w:rPr>
                <w:rFonts w:cs="Times New Roman"/>
                <w:szCs w:val="20"/>
              </w:rPr>
            </w:pPr>
            <w:r w:rsidRPr="000F5BBC">
              <w:rPr>
                <w:rFonts w:cs="Times New Roman"/>
                <w:szCs w:val="20"/>
              </w:rPr>
              <w:lastRenderedPageBreak/>
              <w:t>The motion to appoint counsel is dismissed. The application for leave to appeal from the judgment of the Court of Appeal of Manitoba, Numbers AI 10-30-07481 and AI 10-30-07487, 2011 MBCA 3, dated January 10, 2011, is dismissed with costs to the respondent Edison Rental Agency.</w:t>
            </w:r>
          </w:p>
          <w:p w:rsidR="00A25BB5" w:rsidRPr="000F5BBC" w:rsidRDefault="00A25BB5" w:rsidP="00A25BB5">
            <w:pPr>
              <w:pStyle w:val="SCCShortJudgment"/>
              <w:ind w:firstLine="0"/>
              <w:rPr>
                <w:rFonts w:cs="Times New Roman"/>
                <w:szCs w:val="20"/>
              </w:rPr>
            </w:pPr>
          </w:p>
          <w:p w:rsidR="00A25BB5" w:rsidRPr="000F5BBC" w:rsidRDefault="00A25BB5" w:rsidP="00A25BB5">
            <w:pPr>
              <w:pStyle w:val="SCCShortJudgment"/>
              <w:rPr>
                <w:rFonts w:cs="Times New Roman"/>
                <w:szCs w:val="20"/>
                <w:lang w:val="fr-CA"/>
              </w:rPr>
            </w:pPr>
            <w:r w:rsidRPr="000F5BBC">
              <w:rPr>
                <w:rFonts w:cs="Times New Roman"/>
                <w:szCs w:val="20"/>
                <w:lang w:val="fr-CA"/>
              </w:rPr>
              <w:t>La requête pour nomination d’un avocat est rejetée. La demande d’autorisation d’appel de l’arrêt de la Cour d’appel du Manitoba, numéros AI 10-30-07481 et AI 10-30-07487, 2011 MBCA 3, daté du 10 janvier 2011, est rejetée avec dépens en faveur de l’intimée Edison Rental Agency.</w:t>
            </w:r>
          </w:p>
        </w:tc>
      </w:tr>
    </w:tbl>
    <w:p w:rsidR="00364339" w:rsidRPr="00A25BB5" w:rsidRDefault="00364339"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339" w:rsidRPr="00723BA8" w:rsidTr="00A5373E">
        <w:tc>
          <w:tcPr>
            <w:tcW w:w="5000" w:type="pct"/>
            <w:gridSpan w:val="3"/>
          </w:tcPr>
          <w:p w:rsidR="00364339" w:rsidRPr="00723BA8" w:rsidRDefault="00364339" w:rsidP="00A5373E">
            <w:pPr>
              <w:jc w:val="both"/>
              <w:rPr>
                <w:rFonts w:eastAsia="Calibri"/>
                <w:sz w:val="20"/>
              </w:rPr>
            </w:pPr>
            <w:r w:rsidRPr="00723BA8">
              <w:rPr>
                <w:rFonts w:eastAsia="Calibri"/>
                <w:i/>
                <w:sz w:val="20"/>
              </w:rPr>
              <w:t>Charter of Rights</w:t>
            </w:r>
            <w:r w:rsidRPr="00723BA8">
              <w:rPr>
                <w:rFonts w:eastAsia="Calibri"/>
                <w:sz w:val="20"/>
              </w:rPr>
              <w:t xml:space="preserve"> — Equality rights</w:t>
            </w:r>
            <w:r w:rsidRPr="00723BA8">
              <w:rPr>
                <w:rFonts w:eastAsia="Calibri"/>
                <w:sz w:val="20"/>
              </w:rPr>
              <w:noBreakHyphen/>
              <w:t xml:space="preserve"> Leases — Landlord and tenant —Landlord obtaining order for possession of rental unit after tenant refusing to sign rental agreement —Whether tenant’s </w:t>
            </w:r>
            <w:r w:rsidRPr="00723BA8">
              <w:rPr>
                <w:rFonts w:eastAsia="Calibri"/>
                <w:i/>
                <w:sz w:val="20"/>
              </w:rPr>
              <w:t>Charter</w:t>
            </w:r>
            <w:r w:rsidRPr="00723BA8">
              <w:rPr>
                <w:rFonts w:eastAsia="Calibri"/>
                <w:sz w:val="20"/>
              </w:rPr>
              <w:t xml:space="preserve"> rights violated — Whether Court of Appeal decision contradicts previous ruling — Whether tenant’s oath disregarded — Whether Court of Appeal failed to grant an adjournment.</w:t>
            </w:r>
          </w:p>
          <w:p w:rsidR="00364339" w:rsidRPr="00723BA8" w:rsidRDefault="00364339" w:rsidP="00A5373E">
            <w:pPr>
              <w:jc w:val="both"/>
              <w:rPr>
                <w:rFonts w:eastAsia="Calibri"/>
                <w:sz w:val="20"/>
              </w:rPr>
            </w:pPr>
          </w:p>
        </w:tc>
      </w:tr>
      <w:tr w:rsidR="00364339" w:rsidRPr="00723BA8" w:rsidTr="00A5373E">
        <w:tc>
          <w:tcPr>
            <w:tcW w:w="5000" w:type="pct"/>
            <w:gridSpan w:val="3"/>
          </w:tcPr>
          <w:p w:rsidR="00364339" w:rsidRPr="00723BA8" w:rsidRDefault="00364339" w:rsidP="00A5373E">
            <w:pPr>
              <w:jc w:val="both"/>
              <w:rPr>
                <w:rFonts w:eastAsia="Calibri"/>
                <w:sz w:val="20"/>
              </w:rPr>
            </w:pPr>
            <w:r w:rsidRPr="00723BA8">
              <w:rPr>
                <w:rFonts w:eastAsia="Calibri"/>
                <w:sz w:val="20"/>
              </w:rPr>
              <w:t>Mr. Klippenstein was a tenant in a building located in Winnipeg, Manitoba and Edison Rental Agency (“Edison”) was his landlord.  In 2007, Edison changed the locking system in the building from a manual lock and key system to an electronic “Prox Card” system.  Mr. Klippenstein filed a complaint with the Residential Tenancies Branch (the “Branch”) as he did not want to use the electronic system.  The Branch held that it was reasonable for the landlord to change to the electronic system.  His appeal to the Residential Tenancies Commission and subsequent application for leave to appeal to the Manitoba Court of Appeal were both dismissed.  Mr. Klippenstein then filed a complaint with the Branch seeking compensation as a result of the installation of the electronic system which was dismissed.  His appeal to the Commission was dismissed and leave to appeal was denied by the Court of Appeal.  Edison sent Mr. Klippenstein a new tenancy agreement for the term October 1, 2010 to September 20, 2011 on June 23, 2010 and also slid a copy under his door.  Mr. Klippenstein did not sign the agreement and his lease was terminated on October 1, 2010.  Edison obtained an order of possession from the Branch on October 22, 2010.  Mr. Klippenstein appealed.</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t>December 6, 2010</w:t>
            </w:r>
          </w:p>
          <w:p w:rsidR="00364339" w:rsidRPr="00723BA8" w:rsidRDefault="00364339" w:rsidP="00A5373E">
            <w:pPr>
              <w:jc w:val="both"/>
              <w:rPr>
                <w:rFonts w:eastAsia="Calibri"/>
                <w:sz w:val="20"/>
              </w:rPr>
            </w:pPr>
            <w:r w:rsidRPr="00723BA8">
              <w:rPr>
                <w:rFonts w:eastAsia="Calibri"/>
                <w:sz w:val="20"/>
              </w:rPr>
              <w:t>Residential Tenancies Commission</w:t>
            </w:r>
          </w:p>
          <w:p w:rsidR="00364339" w:rsidRPr="00723BA8" w:rsidRDefault="00364339" w:rsidP="00A5373E">
            <w:pPr>
              <w:jc w:val="both"/>
              <w:rPr>
                <w:rFonts w:eastAsia="Calibri"/>
                <w:sz w:val="20"/>
              </w:rPr>
            </w:pP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Order of possession in favour of landlord confirmed; award of costs and compensation</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t>January 10, 2011</w:t>
            </w:r>
          </w:p>
          <w:p w:rsidR="00364339" w:rsidRPr="00723BA8" w:rsidRDefault="00364339" w:rsidP="00A5373E">
            <w:pPr>
              <w:jc w:val="both"/>
              <w:rPr>
                <w:rFonts w:eastAsia="Calibri"/>
                <w:sz w:val="20"/>
              </w:rPr>
            </w:pPr>
            <w:r w:rsidRPr="00723BA8">
              <w:rPr>
                <w:rFonts w:eastAsia="Calibri"/>
                <w:sz w:val="20"/>
              </w:rPr>
              <w:t>Court of Appeal of Manitoba</w:t>
            </w:r>
          </w:p>
          <w:p w:rsidR="00364339" w:rsidRPr="00723BA8" w:rsidRDefault="00364339" w:rsidP="00A5373E">
            <w:pPr>
              <w:jc w:val="both"/>
              <w:rPr>
                <w:rFonts w:eastAsia="Calibri"/>
                <w:sz w:val="20"/>
              </w:rPr>
            </w:pPr>
            <w:r w:rsidRPr="00723BA8">
              <w:rPr>
                <w:rFonts w:eastAsia="Calibri"/>
                <w:sz w:val="20"/>
              </w:rPr>
              <w:t>(Monnin J.A.)</w:t>
            </w:r>
          </w:p>
          <w:p w:rsidR="00364339" w:rsidRPr="00723BA8" w:rsidRDefault="00364339" w:rsidP="00A5373E">
            <w:pPr>
              <w:jc w:val="both"/>
              <w:rPr>
                <w:rFonts w:eastAsia="Calibri"/>
                <w:sz w:val="20"/>
              </w:rPr>
            </w:pPr>
            <w:r w:rsidRPr="00723BA8">
              <w:rPr>
                <w:rFonts w:eastAsia="Calibri"/>
                <w:sz w:val="20"/>
              </w:rPr>
              <w:t>2011 MBCA 3</w:t>
            </w:r>
          </w:p>
          <w:p w:rsidR="00364339" w:rsidRPr="00723BA8" w:rsidRDefault="00364339" w:rsidP="00A5373E">
            <w:pPr>
              <w:jc w:val="both"/>
              <w:rPr>
                <w:rFonts w:eastAsia="Calibri"/>
                <w:sz w:val="20"/>
              </w:rPr>
            </w:pP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Applications for leave to appeal denied.</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t>January 20, 2011</w:t>
            </w:r>
          </w:p>
          <w:p w:rsidR="00364339" w:rsidRPr="00723BA8" w:rsidRDefault="00364339" w:rsidP="00A5373E">
            <w:pPr>
              <w:jc w:val="both"/>
              <w:rPr>
                <w:rFonts w:eastAsia="Calibri"/>
                <w:sz w:val="20"/>
              </w:rPr>
            </w:pPr>
            <w:r w:rsidRPr="00723BA8">
              <w:rPr>
                <w:rFonts w:eastAsia="Calibri"/>
                <w:sz w:val="20"/>
              </w:rPr>
              <w:t>Supreme Court of Canada</w:t>
            </w: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Application for leave to appeal filed</w:t>
            </w:r>
          </w:p>
          <w:p w:rsidR="00364339" w:rsidRPr="00723BA8" w:rsidRDefault="00364339" w:rsidP="00A5373E">
            <w:pPr>
              <w:jc w:val="both"/>
              <w:rPr>
                <w:rFonts w:eastAsia="Calibri"/>
                <w:sz w:val="20"/>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8"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64339" w:rsidRPr="00E62A55" w:rsidTr="00A5373E">
        <w:tc>
          <w:tcPr>
            <w:tcW w:w="5000" w:type="pct"/>
            <w:gridSpan w:val="3"/>
          </w:tcPr>
          <w:p w:rsidR="00364339" w:rsidRPr="00723BA8" w:rsidRDefault="00364339" w:rsidP="00A5373E">
            <w:pPr>
              <w:jc w:val="both"/>
              <w:rPr>
                <w:rFonts w:eastAsia="Calibri"/>
                <w:sz w:val="20"/>
                <w:lang w:val="fr-CA"/>
              </w:rPr>
            </w:pPr>
            <w:r w:rsidRPr="00723BA8">
              <w:rPr>
                <w:rFonts w:eastAsia="Calibri"/>
                <w:i/>
                <w:iCs/>
                <w:sz w:val="20"/>
                <w:lang w:val="fr-CA"/>
              </w:rPr>
              <w:t xml:space="preserve">Charte des droits </w:t>
            </w:r>
            <w:r w:rsidRPr="00723BA8">
              <w:rPr>
                <w:rFonts w:eastAsia="Calibri"/>
                <w:sz w:val="20"/>
                <w:lang w:val="fr-CA"/>
              </w:rPr>
              <w:t xml:space="preserve">– Droits à l'égalité - Baux – Locateur et locataire – Le locateur a obtenu une ordonnance de mise en possession d'une unité locative après que le locataire a refusé de signer le contrat de location – Les droits du locataire garantis par la </w:t>
            </w:r>
            <w:r w:rsidRPr="00723BA8">
              <w:rPr>
                <w:rFonts w:eastAsia="Calibri"/>
                <w:i/>
                <w:iCs/>
                <w:sz w:val="20"/>
                <w:lang w:val="fr-CA"/>
              </w:rPr>
              <w:t>Charte</w:t>
            </w:r>
            <w:r w:rsidRPr="00723BA8">
              <w:rPr>
                <w:rFonts w:eastAsia="Calibri"/>
                <w:sz w:val="20"/>
                <w:lang w:val="fr-CA"/>
              </w:rPr>
              <w:t xml:space="preserve"> ont-ils été violés? – L'arrêt de la Cour d'appel contredit-il un arrêt précédent</w:t>
            </w:r>
            <w:proofErr w:type="gramStart"/>
            <w:r w:rsidRPr="00723BA8">
              <w:rPr>
                <w:rFonts w:eastAsia="Calibri"/>
                <w:sz w:val="20"/>
                <w:lang w:val="fr-CA"/>
              </w:rPr>
              <w:t>?–</w:t>
            </w:r>
            <w:proofErr w:type="gramEnd"/>
            <w:r w:rsidRPr="00723BA8">
              <w:rPr>
                <w:rFonts w:eastAsia="Calibri"/>
                <w:sz w:val="20"/>
                <w:lang w:val="fr-CA"/>
              </w:rPr>
              <w:t xml:space="preserve"> A-t-on fait fi du serment du locataire? – La Cour d'appel a-t-elle omis d'accorder un ajournement?</w:t>
            </w:r>
          </w:p>
          <w:p w:rsidR="00364339" w:rsidRPr="00723BA8" w:rsidRDefault="00364339" w:rsidP="00A5373E">
            <w:pPr>
              <w:jc w:val="both"/>
              <w:rPr>
                <w:rFonts w:eastAsia="Calibri"/>
                <w:sz w:val="20"/>
                <w:lang w:val="fr-CA"/>
              </w:rPr>
            </w:pPr>
          </w:p>
        </w:tc>
      </w:tr>
      <w:tr w:rsidR="00364339" w:rsidRPr="00723BA8" w:rsidTr="00A5373E">
        <w:tc>
          <w:tcPr>
            <w:tcW w:w="5000" w:type="pct"/>
            <w:gridSpan w:val="3"/>
          </w:tcPr>
          <w:p w:rsidR="00364339" w:rsidRPr="00723BA8" w:rsidRDefault="00364339" w:rsidP="00A5373E">
            <w:pPr>
              <w:jc w:val="both"/>
              <w:rPr>
                <w:rFonts w:eastAsia="Calibri"/>
                <w:sz w:val="20"/>
                <w:lang w:val="fr-CA"/>
              </w:rPr>
            </w:pPr>
            <w:r w:rsidRPr="00723BA8">
              <w:rPr>
                <w:rFonts w:eastAsia="Calibri"/>
                <w:sz w:val="20"/>
                <w:lang w:val="fr-CA"/>
              </w:rPr>
              <w:t xml:space="preserve">Monsieur Klippenstein était locataire dans un édifice situé à Winnipeg (Manitoba) et Edison Rental Agency (« Edison ») était son locateur. En 2007, Edison a modifié le système de serrures dans l'édifice, passant d’un système manuel de serrures à clé à un système électronique « Prox Card ». Monsieur Klippenstein a déposé une plainte à la </w:t>
            </w:r>
            <w:r w:rsidRPr="00723BA8">
              <w:rPr>
                <w:rFonts w:eastAsia="Calibri"/>
                <w:sz w:val="20"/>
                <w:lang w:val="fr-CA"/>
              </w:rPr>
              <w:lastRenderedPageBreak/>
              <w:t>Direction de la location à usage d'habitation (la « Direction ») parce qu'il ne voulait pas utiliser le système électronique. La Direction a statué qu'il était raisonnable que le locateur passe à un système électronique. Son appel à la Commission de la location à usage d'habitation et sa demande subséquente d'autorisation d'appel à la Cour d'appel du Manitoba ont tous les deux étés rejetés.  Monsieur Klippenstein a alors déposé une plainte à la Direction, sollicitant une indemnisation pour l’installation du système électronique; cette plainte a été rejetée. Son appel à la Commission a été rejeté et la Cour d'appel a refusé l'autorisation d'appel. Le 23 juin 2010, Edison a envoyé à M. Klippenstein un nouveau contrat de location pour la période du 1</w:t>
            </w:r>
            <w:r w:rsidRPr="00723BA8">
              <w:rPr>
                <w:rFonts w:eastAsia="Calibri"/>
                <w:sz w:val="20"/>
                <w:vertAlign w:val="superscript"/>
                <w:lang w:val="fr-CA"/>
              </w:rPr>
              <w:t>er</w:t>
            </w:r>
            <w:r w:rsidRPr="00723BA8">
              <w:rPr>
                <w:rFonts w:eastAsia="Calibri"/>
                <w:sz w:val="20"/>
                <w:lang w:val="fr-CA"/>
              </w:rPr>
              <w:t xml:space="preserve"> octobre 2010 au 20 septembre 2011 et en a également glissé une copie sous sa porte. Monsieur Klippenstein n'a pas signé le contrat et son bail a été résilié le 1</w:t>
            </w:r>
            <w:r w:rsidRPr="00723BA8">
              <w:rPr>
                <w:rFonts w:eastAsia="Calibri"/>
                <w:sz w:val="20"/>
                <w:vertAlign w:val="superscript"/>
                <w:lang w:val="fr-CA"/>
              </w:rPr>
              <w:t>er</w:t>
            </w:r>
            <w:r w:rsidRPr="00723BA8">
              <w:rPr>
                <w:rFonts w:eastAsia="Calibri"/>
                <w:sz w:val="20"/>
                <w:lang w:val="fr-CA"/>
              </w:rPr>
              <w:t xml:space="preserve"> octobre 2010.  Edison a obtenu de la Direction une ordonnance de mise en possession le 22 octobre 2010. Monsieur Klippenstein a interjeté appel.</w:t>
            </w:r>
          </w:p>
          <w:p w:rsidR="00364339" w:rsidRPr="00723BA8" w:rsidRDefault="00364339" w:rsidP="00A5373E">
            <w:pPr>
              <w:jc w:val="both"/>
              <w:rPr>
                <w:rFonts w:eastAsia="Calibri"/>
                <w:sz w:val="20"/>
                <w:lang w:val="fr-CA"/>
              </w:rPr>
            </w:pPr>
          </w:p>
        </w:tc>
      </w:tr>
      <w:tr w:rsidR="00364339" w:rsidRPr="00E62A55"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lastRenderedPageBreak/>
              <w:t>6 décembre 2010</w:t>
            </w:r>
          </w:p>
          <w:p w:rsidR="00364339" w:rsidRPr="00723BA8" w:rsidRDefault="00364339" w:rsidP="00A5373E">
            <w:pPr>
              <w:jc w:val="both"/>
              <w:rPr>
                <w:rFonts w:eastAsia="Calibri"/>
                <w:sz w:val="20"/>
                <w:lang w:val="fr-CA"/>
              </w:rPr>
            </w:pPr>
            <w:r w:rsidRPr="00723BA8">
              <w:rPr>
                <w:rFonts w:eastAsia="Calibri"/>
                <w:sz w:val="20"/>
                <w:lang w:val="fr-CA"/>
              </w:rPr>
              <w:t>Commission de la location à usage d'habitation</w:t>
            </w:r>
          </w:p>
          <w:p w:rsidR="00364339" w:rsidRPr="00723BA8" w:rsidRDefault="00364339" w:rsidP="00A5373E">
            <w:pPr>
              <w:jc w:val="both"/>
              <w:rPr>
                <w:rFonts w:eastAsia="Calibri"/>
                <w:sz w:val="20"/>
                <w:lang w:val="fr-CA"/>
              </w:rPr>
            </w:pP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Ordonnance de mise en possession en faveur du locateur, confirmée; dépens et indemnisation accordés</w:t>
            </w:r>
          </w:p>
          <w:p w:rsidR="00364339" w:rsidRPr="00723BA8" w:rsidRDefault="00364339" w:rsidP="00A5373E">
            <w:pPr>
              <w:jc w:val="both"/>
              <w:rPr>
                <w:rFonts w:eastAsia="Calibri"/>
                <w:sz w:val="20"/>
                <w:lang w:val="fr-CA"/>
              </w:rPr>
            </w:pPr>
          </w:p>
        </w:tc>
      </w:tr>
      <w:tr w:rsidR="00364339" w:rsidRPr="00723BA8"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t>10 janvier 2011</w:t>
            </w:r>
          </w:p>
          <w:p w:rsidR="00364339" w:rsidRPr="00723BA8" w:rsidRDefault="00364339" w:rsidP="00A5373E">
            <w:pPr>
              <w:jc w:val="both"/>
              <w:rPr>
                <w:rFonts w:eastAsia="Calibri"/>
                <w:sz w:val="20"/>
                <w:lang w:val="fr-CA"/>
              </w:rPr>
            </w:pPr>
            <w:r w:rsidRPr="00723BA8">
              <w:rPr>
                <w:rFonts w:eastAsia="Calibri"/>
                <w:sz w:val="20"/>
                <w:lang w:val="fr-CA"/>
              </w:rPr>
              <w:t>Cour d'appel du Manitoba</w:t>
            </w:r>
          </w:p>
          <w:p w:rsidR="00364339" w:rsidRPr="00723BA8" w:rsidRDefault="00364339" w:rsidP="00A5373E">
            <w:pPr>
              <w:jc w:val="both"/>
              <w:rPr>
                <w:rFonts w:eastAsia="Calibri"/>
                <w:sz w:val="20"/>
                <w:lang w:val="fr-CA"/>
              </w:rPr>
            </w:pPr>
            <w:r w:rsidRPr="00723BA8">
              <w:rPr>
                <w:rFonts w:eastAsia="Calibri"/>
                <w:sz w:val="20"/>
                <w:lang w:val="fr-CA"/>
              </w:rPr>
              <w:t>(Juge Monnin)</w:t>
            </w:r>
          </w:p>
          <w:p w:rsidR="00364339" w:rsidRPr="00723BA8" w:rsidRDefault="00364339" w:rsidP="00A5373E">
            <w:pPr>
              <w:jc w:val="both"/>
              <w:rPr>
                <w:rFonts w:eastAsia="Calibri"/>
                <w:sz w:val="20"/>
                <w:lang w:val="fr-CA"/>
              </w:rPr>
            </w:pPr>
            <w:r w:rsidRPr="00723BA8">
              <w:rPr>
                <w:rFonts w:eastAsia="Calibri"/>
                <w:sz w:val="20"/>
                <w:lang w:val="fr-CA"/>
              </w:rPr>
              <w:t>2011 MBCA 3</w:t>
            </w:r>
          </w:p>
          <w:p w:rsidR="00364339" w:rsidRPr="00723BA8" w:rsidRDefault="00364339" w:rsidP="00A5373E">
            <w:pPr>
              <w:jc w:val="both"/>
              <w:rPr>
                <w:rFonts w:eastAsia="Calibri"/>
                <w:sz w:val="20"/>
                <w:lang w:val="fr-CA"/>
              </w:rPr>
            </w:pP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Demandes d'autorisation d'appel, rejetées</w:t>
            </w:r>
          </w:p>
          <w:p w:rsidR="00364339" w:rsidRPr="00723BA8" w:rsidRDefault="00364339" w:rsidP="00A5373E">
            <w:pPr>
              <w:jc w:val="both"/>
              <w:rPr>
                <w:rFonts w:eastAsia="Calibri"/>
                <w:sz w:val="20"/>
                <w:lang w:val="fr-CA"/>
              </w:rPr>
            </w:pPr>
          </w:p>
        </w:tc>
      </w:tr>
      <w:tr w:rsidR="00364339" w:rsidRPr="00723BA8"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t>20 janvier 2011</w:t>
            </w:r>
          </w:p>
          <w:p w:rsidR="00364339" w:rsidRPr="00723BA8" w:rsidRDefault="00364339" w:rsidP="00A5373E">
            <w:pPr>
              <w:jc w:val="both"/>
              <w:rPr>
                <w:rFonts w:eastAsia="Calibri"/>
                <w:sz w:val="20"/>
                <w:lang w:val="fr-CA"/>
              </w:rPr>
            </w:pPr>
            <w:r w:rsidRPr="00723BA8">
              <w:rPr>
                <w:rFonts w:eastAsia="Calibri"/>
                <w:sz w:val="20"/>
                <w:lang w:val="fr-CA"/>
              </w:rPr>
              <w:t>Cour suprême du Canada</w:t>
            </w: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Demande d'autorisation d'appel, déposée</w:t>
            </w:r>
          </w:p>
          <w:p w:rsidR="00364339" w:rsidRPr="00723BA8" w:rsidRDefault="00364339" w:rsidP="00A5373E">
            <w:pPr>
              <w:jc w:val="both"/>
              <w:rPr>
                <w:rFonts w:eastAsia="Calibri"/>
                <w:sz w:val="20"/>
                <w:lang w:val="fr-CA"/>
              </w:rPr>
            </w:pP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79" style="width:2in;height:1pt" o:hrpct="0" o:hralign="center" o:hrstd="t" o:hrnoshade="t" o:hr="t" fillcolor="black [3213]" stroked="f"/>
        </w:pict>
      </w:r>
    </w:p>
    <w:p w:rsidR="004E6FA2" w:rsidRPr="00741F3F" w:rsidRDefault="004E6FA2" w:rsidP="004E6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Style w:val="SCCFileNumberChar"/>
                <w:sz w:val="20"/>
                <w:szCs w:val="20"/>
              </w:rPr>
              <w:t>34119</w:t>
            </w:r>
          </w:p>
          <w:p w:rsidR="00A25BB5" w:rsidRPr="000F5BBC" w:rsidRDefault="00A25BB5" w:rsidP="00A25BB5">
            <w:pPr>
              <w:rPr>
                <w:rFonts w:cs="Times New Roman"/>
                <w:b/>
                <w:sz w:val="20"/>
                <w:szCs w:val="20"/>
                <w:lang w:val="fr-CA"/>
              </w:rPr>
            </w:pPr>
          </w:p>
        </w:tc>
        <w:tc>
          <w:tcPr>
            <w:tcW w:w="8118" w:type="dxa"/>
          </w:tcPr>
          <w:p w:rsidR="00A25BB5" w:rsidRPr="000F5BBC" w:rsidRDefault="00A25BB5" w:rsidP="00A25BB5">
            <w:pPr>
              <w:jc w:val="both"/>
              <w:rPr>
                <w:rFonts w:cs="Times New Roman"/>
                <w:sz w:val="20"/>
                <w:szCs w:val="20"/>
              </w:rPr>
            </w:pPr>
            <w:r w:rsidRPr="00A25BB5">
              <w:rPr>
                <w:rStyle w:val="SCCLsocChar"/>
                <w:rFonts w:cs="Times New Roman"/>
                <w:sz w:val="20"/>
                <w:szCs w:val="20"/>
                <w:lang w:val="en-CA"/>
              </w:rPr>
              <w:t>Davoud Tohidy v. Algonquin College, Russell Mills, Helen Pearce, Tanya Hawley, Steve Griffith, Charles Carss, Patrick Denny, Raphael Gera, Susan Ramsay and Jill Wood</w:t>
            </w:r>
            <w:r w:rsidRPr="000F5BBC">
              <w:rPr>
                <w:rFonts w:cs="Times New Roman"/>
                <w:sz w:val="20"/>
                <w:szCs w:val="20"/>
              </w:rPr>
              <w:t xml:space="preserve"> (Ont.) (Civil) (By Leave)</w:t>
            </w:r>
          </w:p>
          <w:p w:rsidR="00A25BB5" w:rsidRPr="000F5BBC" w:rsidRDefault="00A25BB5" w:rsidP="00A25BB5">
            <w:pPr>
              <w:rPr>
                <w:rFonts w:cs="Times New Roman"/>
                <w:sz w:val="20"/>
                <w:szCs w:val="20"/>
              </w:rPr>
            </w:pPr>
          </w:p>
        </w:tc>
      </w:tr>
      <w:tr w:rsidR="00A25BB5" w:rsidRPr="000F5BBC" w:rsidTr="00A25BB5">
        <w:trPr>
          <w:cantSplit/>
        </w:trPr>
        <w:tc>
          <w:tcPr>
            <w:tcW w:w="1458" w:type="dxa"/>
          </w:tcPr>
          <w:p w:rsidR="00A25BB5" w:rsidRPr="000F5BBC" w:rsidRDefault="00A25BB5" w:rsidP="00A25BB5">
            <w:pPr>
              <w:rPr>
                <w:rFonts w:cs="Times New Roman"/>
                <w:sz w:val="20"/>
                <w:szCs w:val="20"/>
              </w:rPr>
            </w:pPr>
            <w:r w:rsidRPr="000F5BBC">
              <w:rPr>
                <w:rFonts w:cs="Times New Roman"/>
                <w:sz w:val="20"/>
                <w:szCs w:val="20"/>
              </w:rPr>
              <w:t>Coram :</w:t>
            </w:r>
          </w:p>
        </w:tc>
        <w:tc>
          <w:tcPr>
            <w:tcW w:w="8118" w:type="dxa"/>
          </w:tcPr>
          <w:p w:rsidR="00A25BB5" w:rsidRPr="000F5BBC" w:rsidRDefault="00A25BB5" w:rsidP="00A25BB5">
            <w:pPr>
              <w:rPr>
                <w:rFonts w:cs="Times New Roman"/>
                <w:sz w:val="20"/>
                <w:szCs w:val="20"/>
              </w:rPr>
            </w:pPr>
            <w:r w:rsidRPr="00A25BB5">
              <w:rPr>
                <w:rStyle w:val="SCCCoramChar"/>
                <w:rFonts w:cs="Times New Roman"/>
                <w:sz w:val="20"/>
                <w:szCs w:val="20"/>
                <w:lang w:val="en-CA"/>
              </w:rPr>
              <w:t>LeBel, Deschamps and Charron JJ.</w:t>
            </w:r>
          </w:p>
          <w:p w:rsidR="00A25BB5" w:rsidRPr="000F5BBC" w:rsidRDefault="00A25BB5" w:rsidP="00A25BB5">
            <w:pPr>
              <w:rPr>
                <w:rFonts w:cs="Times New Roman"/>
                <w:sz w:val="20"/>
                <w:szCs w:val="20"/>
                <w:u w:val="single"/>
              </w:rPr>
            </w:pPr>
          </w:p>
        </w:tc>
      </w:tr>
      <w:tr w:rsidR="00A25BB5" w:rsidRPr="00E62A55" w:rsidTr="00A25BB5">
        <w:trPr>
          <w:cantSplit/>
        </w:trPr>
        <w:tc>
          <w:tcPr>
            <w:tcW w:w="9576" w:type="dxa"/>
            <w:gridSpan w:val="2"/>
          </w:tcPr>
          <w:p w:rsidR="00A25BB5" w:rsidRPr="000F5BBC" w:rsidRDefault="00A25BB5" w:rsidP="00A25BB5">
            <w:pPr>
              <w:pStyle w:val="SCCShortJudgment"/>
              <w:rPr>
                <w:rFonts w:cs="Times New Roman"/>
                <w:szCs w:val="20"/>
              </w:rPr>
            </w:pPr>
            <w:r w:rsidRPr="000F5BBC">
              <w:rPr>
                <w:rFonts w:cs="Times New Roman"/>
                <w:szCs w:val="20"/>
              </w:rPr>
              <w:t>The motion for a stay and all other ancillary motions are dismissed. The application for leave to appeal from the judgment of the Court of Appeal for Ontario, Number C52328, 2010 ONCA 877, dated December 15, 2010, is dismissed without costs.</w:t>
            </w:r>
          </w:p>
          <w:p w:rsidR="00A25BB5" w:rsidRPr="000F5BBC" w:rsidRDefault="00A25BB5" w:rsidP="00A25BB5">
            <w:pPr>
              <w:pStyle w:val="SCCShortJudgment"/>
              <w:ind w:firstLine="0"/>
              <w:rPr>
                <w:rFonts w:cs="Times New Roman"/>
                <w:szCs w:val="20"/>
              </w:rPr>
            </w:pPr>
          </w:p>
          <w:p w:rsidR="00A25BB5" w:rsidRPr="000F5BBC" w:rsidRDefault="00A25BB5" w:rsidP="00A25BB5">
            <w:pPr>
              <w:pStyle w:val="SCCShortJudgment"/>
              <w:rPr>
                <w:rFonts w:cs="Times New Roman"/>
                <w:szCs w:val="20"/>
                <w:lang w:val="fr-CA"/>
              </w:rPr>
            </w:pPr>
            <w:r w:rsidRPr="000F5BBC">
              <w:rPr>
                <w:rFonts w:cs="Times New Roman"/>
                <w:szCs w:val="20"/>
                <w:lang w:val="fr-CA"/>
              </w:rPr>
              <w:t>La requête visant à obtenir un sursis d’exécution et toutes les autres requêtes accessoires sont rejetées. La demande d’autorisation d’appel de l’arrêt de la Cour d’appel de l’Ontario, numéro C52328, 2010 ONCA 877, daté du 15 décembre 2010, est rejetée sans dépens.</w:t>
            </w:r>
          </w:p>
        </w:tc>
      </w:tr>
    </w:tbl>
    <w:p w:rsidR="00364339" w:rsidRPr="00A25BB5" w:rsidRDefault="00364339" w:rsidP="004E6FA2">
      <w:pPr>
        <w:rPr>
          <w:sz w:val="20"/>
          <w:szCs w:val="20"/>
          <w:lang w:val="fr-CA"/>
        </w:rPr>
      </w:pPr>
    </w:p>
    <w:p w:rsidR="004E6FA2" w:rsidRDefault="004E6FA2" w:rsidP="004E6FA2">
      <w:pPr>
        <w:rPr>
          <w:sz w:val="20"/>
          <w:szCs w:val="20"/>
        </w:rPr>
      </w:pPr>
      <w:r>
        <w:rPr>
          <w:sz w:val="20"/>
          <w:szCs w:val="20"/>
          <w:u w:val="single"/>
        </w:rPr>
        <w:t>CASE SUMMARY</w:t>
      </w:r>
    </w:p>
    <w:p w:rsidR="004E6FA2" w:rsidRDefault="004E6FA2" w:rsidP="004E6FA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364339" w:rsidRPr="00723BA8" w:rsidTr="00A5373E">
        <w:tc>
          <w:tcPr>
            <w:tcW w:w="5000" w:type="pct"/>
            <w:gridSpan w:val="3"/>
          </w:tcPr>
          <w:p w:rsidR="00364339" w:rsidRPr="00723BA8" w:rsidRDefault="00364339" w:rsidP="00A5373E">
            <w:pPr>
              <w:jc w:val="both"/>
              <w:rPr>
                <w:rFonts w:eastAsia="Calibri"/>
                <w:sz w:val="20"/>
                <w:lang w:eastAsia="en-CA"/>
              </w:rPr>
            </w:pPr>
            <w:r w:rsidRPr="00723BA8">
              <w:rPr>
                <w:rFonts w:eastAsia="Calibri"/>
                <w:sz w:val="20"/>
              </w:rPr>
              <w:t>Civil procedure — Settlement agreement — Enforcement of agreements — Duress — Whether the Notice Prohibiting Entry was a proper exercise of Algonquin College’s discretion under the Trespass to Property Act — Whether the Notice Prohibiting Entry was released by the express terms of the full and final settlement — Whether the full and final settlement was defeated by Algonquin’s bad faith actions — Whether the Court of Appeal erred in applying laws of duress in the Applicant’s case and did the Court of Appeal err in rejecting the Applicant’s requests to add fresh evidence — Whether the Court of Appeal erred in not removing the Notice Prohibiting Entry</w:t>
            </w:r>
          </w:p>
          <w:p w:rsidR="00364339" w:rsidRPr="00723BA8" w:rsidRDefault="00364339" w:rsidP="00A5373E">
            <w:pPr>
              <w:jc w:val="both"/>
              <w:rPr>
                <w:rFonts w:eastAsia="Calibri"/>
                <w:sz w:val="20"/>
              </w:rPr>
            </w:pPr>
          </w:p>
        </w:tc>
      </w:tr>
      <w:tr w:rsidR="00364339" w:rsidRPr="00723BA8" w:rsidTr="00A5373E">
        <w:tc>
          <w:tcPr>
            <w:tcW w:w="5000" w:type="pct"/>
            <w:gridSpan w:val="3"/>
          </w:tcPr>
          <w:p w:rsidR="00364339" w:rsidRPr="00723BA8" w:rsidRDefault="00364339" w:rsidP="00A5373E">
            <w:pPr>
              <w:jc w:val="both"/>
              <w:rPr>
                <w:rFonts w:eastAsia="Calibri"/>
                <w:sz w:val="20"/>
              </w:rPr>
            </w:pPr>
            <w:r w:rsidRPr="00723BA8">
              <w:rPr>
                <w:rFonts w:eastAsia="Calibri"/>
                <w:sz w:val="20"/>
              </w:rPr>
              <w:t xml:space="preserve">Tohidy filed a Human Rights Complaint and commenced a claim against Algonquin College and a number of named individuals who were either other students or professors at the College.  The parties reached an agreement whereby in return for discontinuing both proceedings, Tohidy was released from any claims that could be held against him.  </w:t>
            </w:r>
            <w:r w:rsidRPr="00723BA8">
              <w:rPr>
                <w:rFonts w:eastAsia="Calibri"/>
                <w:sz w:val="20"/>
              </w:rPr>
              <w:lastRenderedPageBreak/>
              <w:t>Tohidy later refused to discontinue the court action.  The Respondents sought a motion to enforce the settlement agreement and to discontinue the action.  The motion was granted and the appeal was dismissed.</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lastRenderedPageBreak/>
              <w:t>April 16, 2010</w:t>
            </w:r>
          </w:p>
          <w:p w:rsidR="00364339" w:rsidRPr="00723BA8" w:rsidRDefault="00364339" w:rsidP="00A5373E">
            <w:pPr>
              <w:jc w:val="both"/>
              <w:rPr>
                <w:rFonts w:eastAsia="Calibri"/>
                <w:sz w:val="20"/>
              </w:rPr>
            </w:pPr>
            <w:r w:rsidRPr="00723BA8">
              <w:rPr>
                <w:rFonts w:eastAsia="Calibri"/>
                <w:sz w:val="20"/>
              </w:rPr>
              <w:t>Ontario Superior Court of Justice</w:t>
            </w:r>
          </w:p>
          <w:p w:rsidR="00364339" w:rsidRPr="00723BA8" w:rsidRDefault="00364339" w:rsidP="00A5373E">
            <w:pPr>
              <w:jc w:val="both"/>
              <w:rPr>
                <w:rFonts w:eastAsia="Calibri"/>
                <w:sz w:val="20"/>
              </w:rPr>
            </w:pPr>
            <w:r w:rsidRPr="00723BA8">
              <w:rPr>
                <w:rFonts w:eastAsia="Calibri"/>
                <w:sz w:val="20"/>
              </w:rPr>
              <w:t>(Maranger J.)</w:t>
            </w:r>
          </w:p>
          <w:p w:rsidR="00364339" w:rsidRPr="00723BA8" w:rsidRDefault="00364339" w:rsidP="00A5373E">
            <w:pPr>
              <w:jc w:val="both"/>
              <w:rPr>
                <w:rFonts w:eastAsia="Calibri"/>
                <w:sz w:val="20"/>
              </w:rPr>
            </w:pP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Respondents’ motion to enforce settlement granted; Applicant’s action discontinued</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t>December 15, 2010</w:t>
            </w:r>
          </w:p>
          <w:p w:rsidR="00364339" w:rsidRPr="00723BA8" w:rsidRDefault="00364339" w:rsidP="00A5373E">
            <w:pPr>
              <w:jc w:val="both"/>
              <w:rPr>
                <w:rFonts w:eastAsia="Calibri"/>
                <w:sz w:val="20"/>
              </w:rPr>
            </w:pPr>
            <w:r w:rsidRPr="00723BA8">
              <w:rPr>
                <w:rFonts w:eastAsia="Calibri"/>
                <w:sz w:val="20"/>
              </w:rPr>
              <w:t>Court of Appeal for Ontario</w:t>
            </w:r>
          </w:p>
          <w:p w:rsidR="00364339" w:rsidRPr="00723BA8" w:rsidRDefault="00364339" w:rsidP="00A5373E">
            <w:pPr>
              <w:jc w:val="both"/>
              <w:rPr>
                <w:rFonts w:eastAsia="Calibri"/>
                <w:sz w:val="20"/>
              </w:rPr>
            </w:pPr>
            <w:r w:rsidRPr="00723BA8">
              <w:rPr>
                <w:rFonts w:eastAsia="Calibri"/>
                <w:sz w:val="20"/>
              </w:rPr>
              <w:t>(Weiler, Watt and Karakatsanis JJ.A.)</w:t>
            </w:r>
          </w:p>
          <w:p w:rsidR="00364339" w:rsidRPr="00723BA8" w:rsidRDefault="00364339" w:rsidP="00A5373E">
            <w:pPr>
              <w:jc w:val="both"/>
              <w:rPr>
                <w:rFonts w:eastAsia="Calibri"/>
                <w:sz w:val="20"/>
              </w:rPr>
            </w:pPr>
            <w:r w:rsidRPr="00723BA8">
              <w:rPr>
                <w:rFonts w:eastAsia="Calibri"/>
                <w:sz w:val="20"/>
              </w:rPr>
              <w:t>Neutral citation: 2010 ONCA 877</w:t>
            </w:r>
          </w:p>
          <w:p w:rsidR="00364339" w:rsidRPr="00723BA8" w:rsidRDefault="00364339" w:rsidP="00A5373E">
            <w:pPr>
              <w:jc w:val="both"/>
              <w:rPr>
                <w:rFonts w:eastAsia="Calibri"/>
                <w:sz w:val="20"/>
              </w:rPr>
            </w:pP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Appeal dismissed</w:t>
            </w:r>
          </w:p>
          <w:p w:rsidR="00364339" w:rsidRPr="00723BA8" w:rsidRDefault="00364339" w:rsidP="00A5373E">
            <w:pPr>
              <w:jc w:val="both"/>
              <w:rPr>
                <w:rFonts w:eastAsia="Calibri"/>
                <w:sz w:val="20"/>
              </w:rPr>
            </w:pPr>
          </w:p>
        </w:tc>
      </w:tr>
      <w:tr w:rsidR="00364339" w:rsidRPr="00723BA8" w:rsidTr="00A5373E">
        <w:tc>
          <w:tcPr>
            <w:tcW w:w="2427" w:type="pct"/>
          </w:tcPr>
          <w:p w:rsidR="00364339" w:rsidRPr="00723BA8" w:rsidRDefault="00364339" w:rsidP="00A5373E">
            <w:pPr>
              <w:jc w:val="both"/>
              <w:rPr>
                <w:rFonts w:eastAsia="Calibri"/>
                <w:sz w:val="20"/>
              </w:rPr>
            </w:pPr>
            <w:r w:rsidRPr="00723BA8">
              <w:rPr>
                <w:rFonts w:eastAsia="Calibri"/>
                <w:sz w:val="20"/>
              </w:rPr>
              <w:t>February 3, 2011</w:t>
            </w:r>
          </w:p>
          <w:p w:rsidR="00364339" w:rsidRPr="00723BA8" w:rsidRDefault="00364339" w:rsidP="00A5373E">
            <w:pPr>
              <w:jc w:val="both"/>
              <w:rPr>
                <w:rFonts w:eastAsia="Calibri"/>
                <w:sz w:val="20"/>
              </w:rPr>
            </w:pPr>
            <w:r w:rsidRPr="00723BA8">
              <w:rPr>
                <w:rFonts w:eastAsia="Calibri"/>
                <w:sz w:val="20"/>
              </w:rPr>
              <w:t>Supreme Court of Canada</w:t>
            </w:r>
          </w:p>
          <w:p w:rsidR="00364339" w:rsidRPr="00723BA8" w:rsidRDefault="00364339" w:rsidP="00A25BB5">
            <w:pPr>
              <w:jc w:val="both"/>
              <w:rPr>
                <w:rFonts w:eastAsia="Calibri"/>
                <w:sz w:val="20"/>
              </w:rPr>
            </w:pPr>
          </w:p>
        </w:tc>
        <w:tc>
          <w:tcPr>
            <w:tcW w:w="243" w:type="pct"/>
          </w:tcPr>
          <w:p w:rsidR="00364339" w:rsidRPr="00723BA8" w:rsidRDefault="00364339" w:rsidP="00A5373E">
            <w:pPr>
              <w:jc w:val="both"/>
              <w:rPr>
                <w:rFonts w:eastAsia="Calibri"/>
                <w:sz w:val="20"/>
              </w:rPr>
            </w:pPr>
          </w:p>
        </w:tc>
        <w:tc>
          <w:tcPr>
            <w:tcW w:w="2330" w:type="pct"/>
          </w:tcPr>
          <w:p w:rsidR="00364339" w:rsidRPr="00723BA8" w:rsidRDefault="00364339" w:rsidP="00A5373E">
            <w:pPr>
              <w:jc w:val="both"/>
              <w:rPr>
                <w:rFonts w:eastAsia="Calibri"/>
                <w:sz w:val="20"/>
              </w:rPr>
            </w:pPr>
            <w:r w:rsidRPr="00723BA8">
              <w:rPr>
                <w:rFonts w:eastAsia="Calibri"/>
                <w:sz w:val="20"/>
              </w:rPr>
              <w:t>Application for leave to appeal and miscellaneous motions  filed</w:t>
            </w:r>
          </w:p>
          <w:p w:rsidR="00364339" w:rsidRPr="00723BA8" w:rsidRDefault="00364339" w:rsidP="00A5373E">
            <w:pPr>
              <w:jc w:val="both"/>
              <w:rPr>
                <w:rFonts w:eastAsia="Calibri"/>
                <w:sz w:val="20"/>
              </w:rPr>
            </w:pPr>
          </w:p>
        </w:tc>
      </w:tr>
      <w:tr w:rsidR="00A25BB5" w:rsidRPr="00723BA8" w:rsidTr="00A5373E">
        <w:tc>
          <w:tcPr>
            <w:tcW w:w="2427" w:type="pct"/>
          </w:tcPr>
          <w:p w:rsidR="00A25BB5" w:rsidRPr="00723BA8" w:rsidRDefault="00A25BB5" w:rsidP="00A25BB5">
            <w:pPr>
              <w:jc w:val="both"/>
              <w:rPr>
                <w:rFonts w:eastAsia="Calibri"/>
                <w:sz w:val="20"/>
              </w:rPr>
            </w:pPr>
            <w:r w:rsidRPr="00723BA8">
              <w:rPr>
                <w:rFonts w:eastAsia="Calibri"/>
                <w:sz w:val="20"/>
              </w:rPr>
              <w:t>March 25, 2011</w:t>
            </w:r>
          </w:p>
          <w:p w:rsidR="00A25BB5" w:rsidRPr="00723BA8" w:rsidRDefault="00A25BB5" w:rsidP="00A25BB5">
            <w:pPr>
              <w:jc w:val="both"/>
              <w:rPr>
                <w:rFonts w:eastAsia="Calibri"/>
                <w:sz w:val="20"/>
              </w:rPr>
            </w:pPr>
            <w:r w:rsidRPr="00723BA8">
              <w:rPr>
                <w:rFonts w:eastAsia="Calibri"/>
                <w:sz w:val="20"/>
              </w:rPr>
              <w:t>Supreme Court of Canada</w:t>
            </w:r>
          </w:p>
        </w:tc>
        <w:tc>
          <w:tcPr>
            <w:tcW w:w="243" w:type="pct"/>
          </w:tcPr>
          <w:p w:rsidR="00A25BB5" w:rsidRPr="00723BA8" w:rsidRDefault="00A25BB5" w:rsidP="00A5373E">
            <w:pPr>
              <w:jc w:val="both"/>
              <w:rPr>
                <w:rFonts w:eastAsia="Calibri"/>
                <w:sz w:val="20"/>
              </w:rPr>
            </w:pPr>
          </w:p>
        </w:tc>
        <w:tc>
          <w:tcPr>
            <w:tcW w:w="2330" w:type="pct"/>
          </w:tcPr>
          <w:p w:rsidR="00A25BB5" w:rsidRPr="00723BA8" w:rsidRDefault="00A25BB5" w:rsidP="00A5373E">
            <w:pPr>
              <w:jc w:val="both"/>
              <w:rPr>
                <w:rFonts w:eastAsia="Calibri"/>
                <w:sz w:val="20"/>
              </w:rPr>
            </w:pPr>
            <w:r w:rsidRPr="00723BA8">
              <w:rPr>
                <w:rFonts w:eastAsia="Calibri"/>
                <w:sz w:val="20"/>
              </w:rPr>
              <w:t>Miscellaneous motions filed</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80" style="width:2in;height:1pt" o:hrpct="0" o:hralign="center" o:hrstd="t" o:hrnoshade="t" o:hr="t" fillcolor="black [3213]" stroked="f"/>
        </w:pict>
      </w:r>
    </w:p>
    <w:p w:rsidR="004E6FA2" w:rsidRDefault="004E6FA2" w:rsidP="004E6FA2">
      <w:pPr>
        <w:rPr>
          <w:sz w:val="20"/>
          <w:szCs w:val="20"/>
        </w:rPr>
      </w:pPr>
    </w:p>
    <w:p w:rsidR="004E6FA2" w:rsidRDefault="004E6FA2" w:rsidP="004E6FA2">
      <w:pPr>
        <w:rPr>
          <w:sz w:val="20"/>
          <w:szCs w:val="20"/>
        </w:rPr>
      </w:pPr>
      <w:r>
        <w:rPr>
          <w:sz w:val="20"/>
          <w:szCs w:val="20"/>
          <w:u w:val="single"/>
        </w:rPr>
        <w:t>RÉSUMÉ DE L’AFFAIRE</w:t>
      </w:r>
    </w:p>
    <w:p w:rsidR="004E6FA2" w:rsidRDefault="004E6FA2" w:rsidP="004E6FA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364339" w:rsidRPr="00E62A55" w:rsidTr="00A5373E">
        <w:tc>
          <w:tcPr>
            <w:tcW w:w="5000" w:type="pct"/>
            <w:gridSpan w:val="3"/>
          </w:tcPr>
          <w:p w:rsidR="00364339" w:rsidRPr="00723BA8" w:rsidRDefault="00364339" w:rsidP="00A5373E">
            <w:pPr>
              <w:jc w:val="both"/>
              <w:rPr>
                <w:rFonts w:eastAsia="Calibri"/>
                <w:sz w:val="20"/>
                <w:lang w:val="fr-CA" w:eastAsia="en-CA"/>
              </w:rPr>
            </w:pPr>
            <w:r w:rsidRPr="00723BA8">
              <w:rPr>
                <w:rFonts w:eastAsia="Calibri"/>
                <w:sz w:val="20"/>
                <w:lang w:val="fr-CA"/>
              </w:rPr>
              <w:t>Procédure civile — Règlement amiable — Exécution du règlement — Contrainte — L’avis d’interdiction d’entrée représentait</w:t>
            </w:r>
            <w:r w:rsidRPr="00723BA8">
              <w:rPr>
                <w:rFonts w:eastAsia="Calibri"/>
                <w:sz w:val="20"/>
                <w:lang w:val="fr-CA"/>
              </w:rPr>
              <w:noBreakHyphen/>
              <w:t xml:space="preserve">il un exercice légitime du pouvoir discrétionnaire du Collège algonquin en application de la </w:t>
            </w:r>
            <w:r w:rsidRPr="00723BA8">
              <w:rPr>
                <w:rFonts w:eastAsia="Calibri"/>
                <w:i/>
                <w:iCs/>
                <w:sz w:val="20"/>
                <w:lang w:val="fr-CA"/>
              </w:rPr>
              <w:t>Loi sur l’entrée sans autorisation</w:t>
            </w:r>
            <w:r w:rsidRPr="00723BA8">
              <w:rPr>
                <w:rFonts w:eastAsia="Calibri"/>
                <w:sz w:val="20"/>
                <w:lang w:val="fr-CA"/>
              </w:rPr>
              <w:t>? — L’avis d’interdiction d’entrée était</w:t>
            </w:r>
            <w:r w:rsidRPr="00723BA8">
              <w:rPr>
                <w:rFonts w:eastAsia="Calibri"/>
                <w:sz w:val="20"/>
                <w:lang w:val="fr-CA"/>
              </w:rPr>
              <w:noBreakHyphen/>
              <w:t>il levé par les dispositions expresses du règlement amiable complet et définitif? — Le règlement amiable complet et définitif a</w:t>
            </w:r>
            <w:r w:rsidRPr="00723BA8">
              <w:rPr>
                <w:rFonts w:eastAsia="Calibri"/>
                <w:sz w:val="20"/>
                <w:lang w:val="fr-CA"/>
              </w:rPr>
              <w:noBreakHyphen/>
              <w:t>t</w:t>
            </w:r>
            <w:r w:rsidRPr="00723BA8">
              <w:rPr>
                <w:rFonts w:eastAsia="Calibri"/>
                <w:sz w:val="20"/>
                <w:lang w:val="fr-CA"/>
              </w:rPr>
              <w:noBreakHyphen/>
              <w:t>il été mis en échec par les gestes posés de mauvaise foi par le Collège algonquin? — La Cour d’appel a</w:t>
            </w:r>
            <w:r w:rsidRPr="00723BA8">
              <w:rPr>
                <w:rFonts w:eastAsia="Calibri"/>
                <w:sz w:val="20"/>
                <w:lang w:val="fr-CA"/>
              </w:rPr>
              <w:noBreakHyphen/>
              <w:t>t</w:t>
            </w:r>
            <w:r w:rsidRPr="00723BA8">
              <w:rPr>
                <w:rFonts w:eastAsia="Calibri"/>
                <w:sz w:val="20"/>
                <w:lang w:val="fr-CA"/>
              </w:rPr>
              <w:noBreakHyphen/>
              <w:t>elle eu tort d’appliquer les règles de droit en matière de contrainte dans le cas du demandeur et a</w:t>
            </w:r>
            <w:r w:rsidRPr="00723BA8">
              <w:rPr>
                <w:rFonts w:eastAsia="Calibri"/>
                <w:sz w:val="20"/>
                <w:lang w:val="fr-CA"/>
              </w:rPr>
              <w:noBreakHyphen/>
              <w:t>t</w:t>
            </w:r>
            <w:r w:rsidRPr="00723BA8">
              <w:rPr>
                <w:rFonts w:eastAsia="Calibri"/>
                <w:sz w:val="20"/>
                <w:lang w:val="fr-CA"/>
              </w:rPr>
              <w:noBreakHyphen/>
              <w:t>elle eu tort de rejeter les requêtes du demandeur en vue de présenter de nouveaux éléments de preuve? — La Cour d’appel a</w:t>
            </w:r>
            <w:r w:rsidRPr="00723BA8">
              <w:rPr>
                <w:rFonts w:eastAsia="Calibri"/>
                <w:sz w:val="20"/>
                <w:lang w:val="fr-CA"/>
              </w:rPr>
              <w:noBreakHyphen/>
              <w:t>t</w:t>
            </w:r>
            <w:r w:rsidRPr="00723BA8">
              <w:rPr>
                <w:rFonts w:eastAsia="Calibri"/>
                <w:sz w:val="20"/>
                <w:lang w:val="fr-CA"/>
              </w:rPr>
              <w:noBreakHyphen/>
              <w:t>elle eu tort de ne pas annuler l’avis d’interdiction d’entrée?</w:t>
            </w:r>
          </w:p>
          <w:p w:rsidR="00364339" w:rsidRPr="00723BA8" w:rsidRDefault="00364339" w:rsidP="00A5373E">
            <w:pPr>
              <w:jc w:val="both"/>
              <w:rPr>
                <w:rFonts w:eastAsia="Calibri"/>
                <w:sz w:val="20"/>
                <w:lang w:val="fr-CA"/>
              </w:rPr>
            </w:pPr>
          </w:p>
        </w:tc>
      </w:tr>
      <w:tr w:rsidR="00364339" w:rsidRPr="00E62A55" w:rsidTr="00A5373E">
        <w:tc>
          <w:tcPr>
            <w:tcW w:w="5000" w:type="pct"/>
            <w:gridSpan w:val="3"/>
          </w:tcPr>
          <w:p w:rsidR="00364339" w:rsidRPr="00723BA8" w:rsidRDefault="00364339" w:rsidP="00A5373E">
            <w:pPr>
              <w:jc w:val="both"/>
              <w:rPr>
                <w:rFonts w:eastAsia="Calibri"/>
                <w:sz w:val="20"/>
                <w:lang w:val="fr-CA"/>
              </w:rPr>
            </w:pPr>
            <w:r w:rsidRPr="00723BA8">
              <w:rPr>
                <w:rFonts w:eastAsia="Calibri"/>
                <w:sz w:val="20"/>
                <w:lang w:val="fr-CA"/>
              </w:rPr>
              <w:t>Monsieur Tohidy a présenté une plainte relative aux droits de la personne et a introduit une demande contre le Collège algonquin et un certain nombre de personnes désignées, c’est</w:t>
            </w:r>
            <w:r w:rsidRPr="00723BA8">
              <w:rPr>
                <w:rFonts w:eastAsia="Calibri"/>
                <w:sz w:val="20"/>
                <w:lang w:val="fr-CA"/>
              </w:rPr>
              <w:noBreakHyphen/>
              <w:t>à</w:t>
            </w:r>
            <w:r w:rsidRPr="00723BA8">
              <w:rPr>
                <w:rFonts w:eastAsia="Calibri"/>
                <w:sz w:val="20"/>
                <w:lang w:val="fr-CA"/>
              </w:rPr>
              <w:noBreakHyphen/>
              <w:t>dire d’autres étudiants et des professeurs au Collège.  Les parties ont conclu un règlement en vertu duquel M. Tohidy était déchargé de toute réclamation qui pouvait être portée contre lui s’il abandonnait les deux instances.  Par la suite, M. Tohidy a refusé d’abandonner l’action en justice. Les intimés ont présenté une motion en exécution du règlement amiable et en abandon de l’action. La motion a été accueillie et l’appel a été rejeté.</w:t>
            </w:r>
          </w:p>
          <w:p w:rsidR="00364339" w:rsidRPr="00723BA8" w:rsidRDefault="00364339" w:rsidP="00A5373E">
            <w:pPr>
              <w:jc w:val="both"/>
              <w:rPr>
                <w:rFonts w:eastAsia="Calibri"/>
                <w:sz w:val="20"/>
                <w:lang w:val="fr-CA"/>
              </w:rPr>
            </w:pPr>
          </w:p>
        </w:tc>
      </w:tr>
      <w:tr w:rsidR="00364339" w:rsidRPr="00E62A55"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t>16 avril 2010</w:t>
            </w:r>
          </w:p>
          <w:p w:rsidR="00364339" w:rsidRPr="00723BA8" w:rsidRDefault="00364339" w:rsidP="00A5373E">
            <w:pPr>
              <w:jc w:val="both"/>
              <w:rPr>
                <w:rFonts w:eastAsia="Calibri"/>
                <w:sz w:val="20"/>
                <w:lang w:val="fr-CA"/>
              </w:rPr>
            </w:pPr>
            <w:r w:rsidRPr="00723BA8">
              <w:rPr>
                <w:rFonts w:eastAsia="Calibri"/>
                <w:sz w:val="20"/>
                <w:lang w:val="fr-CA"/>
              </w:rPr>
              <w:t xml:space="preserve">Cour supérieure de justice de l’Ontario </w:t>
            </w:r>
          </w:p>
          <w:p w:rsidR="00364339" w:rsidRPr="00723BA8" w:rsidRDefault="00364339" w:rsidP="00A5373E">
            <w:pPr>
              <w:jc w:val="both"/>
              <w:rPr>
                <w:rFonts w:eastAsia="Calibri"/>
                <w:sz w:val="20"/>
                <w:lang w:val="fr-CA"/>
              </w:rPr>
            </w:pPr>
            <w:r w:rsidRPr="00723BA8">
              <w:rPr>
                <w:rFonts w:eastAsia="Calibri"/>
                <w:sz w:val="20"/>
                <w:lang w:val="fr-CA"/>
              </w:rPr>
              <w:t>(Juge Maranger)</w:t>
            </w:r>
          </w:p>
          <w:p w:rsidR="00364339" w:rsidRPr="00723BA8" w:rsidRDefault="00364339" w:rsidP="00A5373E">
            <w:pPr>
              <w:jc w:val="both"/>
              <w:rPr>
                <w:rFonts w:eastAsia="Calibri"/>
                <w:sz w:val="20"/>
                <w:lang w:val="fr-CA"/>
              </w:rPr>
            </w:pP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Motion des intimés en exécution du règlement amiable, accueillie; action du demandeur abandonnée</w:t>
            </w:r>
          </w:p>
          <w:p w:rsidR="00364339" w:rsidRPr="00723BA8" w:rsidRDefault="00364339" w:rsidP="00A5373E">
            <w:pPr>
              <w:jc w:val="both"/>
              <w:rPr>
                <w:rFonts w:eastAsia="Calibri"/>
                <w:sz w:val="20"/>
                <w:lang w:val="fr-CA"/>
              </w:rPr>
            </w:pPr>
          </w:p>
        </w:tc>
      </w:tr>
      <w:tr w:rsidR="00364339" w:rsidRPr="00723BA8"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t>15 décembre 2010</w:t>
            </w:r>
          </w:p>
          <w:p w:rsidR="00364339" w:rsidRPr="00723BA8" w:rsidRDefault="00364339" w:rsidP="00A5373E">
            <w:pPr>
              <w:jc w:val="both"/>
              <w:rPr>
                <w:rFonts w:eastAsia="Calibri"/>
                <w:sz w:val="20"/>
                <w:lang w:val="fr-CA"/>
              </w:rPr>
            </w:pPr>
            <w:r w:rsidRPr="00723BA8">
              <w:rPr>
                <w:rFonts w:eastAsia="Calibri"/>
                <w:sz w:val="20"/>
                <w:lang w:val="fr-CA"/>
              </w:rPr>
              <w:t>Cour d’appel de l’Ontario</w:t>
            </w:r>
          </w:p>
          <w:p w:rsidR="00364339" w:rsidRPr="00723BA8" w:rsidRDefault="00364339" w:rsidP="00A5373E">
            <w:pPr>
              <w:jc w:val="both"/>
              <w:rPr>
                <w:rFonts w:eastAsia="Calibri"/>
                <w:sz w:val="20"/>
                <w:lang w:val="fr-CA"/>
              </w:rPr>
            </w:pPr>
            <w:r w:rsidRPr="00723BA8">
              <w:rPr>
                <w:rFonts w:eastAsia="Calibri"/>
                <w:sz w:val="20"/>
                <w:lang w:val="fr-CA"/>
              </w:rPr>
              <w:t>(Juges Weiler, Watt et Karakatsanis)</w:t>
            </w:r>
          </w:p>
          <w:p w:rsidR="00364339" w:rsidRPr="00723BA8" w:rsidRDefault="00364339" w:rsidP="00A5373E">
            <w:pPr>
              <w:jc w:val="both"/>
              <w:rPr>
                <w:rFonts w:eastAsia="Calibri"/>
                <w:sz w:val="20"/>
                <w:lang w:val="fr-CA"/>
              </w:rPr>
            </w:pPr>
            <w:r w:rsidRPr="00723BA8">
              <w:rPr>
                <w:rFonts w:eastAsia="Calibri"/>
                <w:sz w:val="20"/>
                <w:lang w:val="fr-CA"/>
              </w:rPr>
              <w:t>Référence neutre : 2010 ONCA 877</w:t>
            </w:r>
          </w:p>
          <w:p w:rsidR="00364339" w:rsidRPr="00723BA8" w:rsidRDefault="00364339" w:rsidP="00A5373E">
            <w:pPr>
              <w:jc w:val="both"/>
              <w:rPr>
                <w:rFonts w:eastAsia="Calibri"/>
                <w:sz w:val="20"/>
                <w:lang w:val="fr-CA"/>
              </w:rPr>
            </w:pP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Appel rejeté</w:t>
            </w:r>
          </w:p>
          <w:p w:rsidR="00364339" w:rsidRPr="00723BA8" w:rsidRDefault="00364339" w:rsidP="00A5373E">
            <w:pPr>
              <w:jc w:val="both"/>
              <w:rPr>
                <w:rFonts w:eastAsia="Calibri"/>
                <w:sz w:val="20"/>
                <w:lang w:val="fr-CA"/>
              </w:rPr>
            </w:pPr>
          </w:p>
        </w:tc>
      </w:tr>
      <w:tr w:rsidR="00364339" w:rsidRPr="00E62A55" w:rsidTr="00A5373E">
        <w:tc>
          <w:tcPr>
            <w:tcW w:w="2427" w:type="pct"/>
          </w:tcPr>
          <w:p w:rsidR="00364339" w:rsidRPr="00723BA8" w:rsidRDefault="00364339" w:rsidP="00A5373E">
            <w:pPr>
              <w:jc w:val="both"/>
              <w:rPr>
                <w:rFonts w:eastAsia="Calibri"/>
                <w:sz w:val="20"/>
                <w:lang w:val="fr-CA"/>
              </w:rPr>
            </w:pPr>
            <w:r w:rsidRPr="00723BA8">
              <w:rPr>
                <w:rFonts w:eastAsia="Calibri"/>
                <w:sz w:val="20"/>
                <w:lang w:val="fr-CA"/>
              </w:rPr>
              <w:t>3 février 2011</w:t>
            </w:r>
          </w:p>
          <w:p w:rsidR="00364339" w:rsidRPr="00723BA8" w:rsidRDefault="00364339" w:rsidP="00A5373E">
            <w:pPr>
              <w:jc w:val="both"/>
              <w:rPr>
                <w:rFonts w:eastAsia="Calibri"/>
                <w:sz w:val="20"/>
                <w:lang w:val="fr-CA"/>
              </w:rPr>
            </w:pPr>
            <w:r w:rsidRPr="00723BA8">
              <w:rPr>
                <w:rFonts w:eastAsia="Calibri"/>
                <w:sz w:val="20"/>
                <w:lang w:val="fr-CA"/>
              </w:rPr>
              <w:t>Cour suprême du Canada</w:t>
            </w:r>
          </w:p>
          <w:p w:rsidR="00364339" w:rsidRPr="00723BA8" w:rsidRDefault="00364339" w:rsidP="00A25BB5">
            <w:pPr>
              <w:jc w:val="both"/>
              <w:rPr>
                <w:rFonts w:eastAsia="Calibri"/>
                <w:sz w:val="20"/>
                <w:lang w:val="fr-CA"/>
              </w:rPr>
            </w:pPr>
          </w:p>
        </w:tc>
        <w:tc>
          <w:tcPr>
            <w:tcW w:w="243" w:type="pct"/>
          </w:tcPr>
          <w:p w:rsidR="00364339" w:rsidRPr="00723BA8" w:rsidRDefault="00364339" w:rsidP="00A5373E">
            <w:pPr>
              <w:jc w:val="both"/>
              <w:rPr>
                <w:rFonts w:eastAsia="Calibri"/>
                <w:sz w:val="20"/>
                <w:lang w:val="fr-CA"/>
              </w:rPr>
            </w:pPr>
          </w:p>
        </w:tc>
        <w:tc>
          <w:tcPr>
            <w:tcW w:w="2330" w:type="pct"/>
          </w:tcPr>
          <w:p w:rsidR="00364339" w:rsidRPr="00723BA8" w:rsidRDefault="00364339" w:rsidP="00A5373E">
            <w:pPr>
              <w:jc w:val="both"/>
              <w:rPr>
                <w:rFonts w:eastAsia="Calibri"/>
                <w:sz w:val="20"/>
                <w:lang w:val="fr-CA"/>
              </w:rPr>
            </w:pPr>
            <w:r w:rsidRPr="00723BA8">
              <w:rPr>
                <w:rFonts w:eastAsia="Calibri"/>
                <w:sz w:val="20"/>
                <w:lang w:val="fr-CA"/>
              </w:rPr>
              <w:t>Demande d’autorisation d’appel et requêtes diverses, déposées</w:t>
            </w:r>
          </w:p>
          <w:p w:rsidR="00364339" w:rsidRPr="00723BA8" w:rsidRDefault="00364339" w:rsidP="00A5373E">
            <w:pPr>
              <w:jc w:val="both"/>
              <w:rPr>
                <w:rFonts w:eastAsia="Calibri"/>
                <w:sz w:val="20"/>
                <w:lang w:val="fr-CA"/>
              </w:rPr>
            </w:pPr>
          </w:p>
        </w:tc>
      </w:tr>
      <w:tr w:rsidR="00A25BB5" w:rsidRPr="00723BA8" w:rsidTr="00A25BB5">
        <w:trPr>
          <w:cantSplit/>
        </w:trPr>
        <w:tc>
          <w:tcPr>
            <w:tcW w:w="2427" w:type="pct"/>
          </w:tcPr>
          <w:p w:rsidR="00A25BB5" w:rsidRPr="00723BA8" w:rsidRDefault="00A25BB5" w:rsidP="00A25BB5">
            <w:pPr>
              <w:jc w:val="both"/>
              <w:rPr>
                <w:rFonts w:eastAsia="Calibri"/>
                <w:sz w:val="20"/>
                <w:lang w:val="fr-CA"/>
              </w:rPr>
            </w:pPr>
            <w:r w:rsidRPr="00723BA8">
              <w:rPr>
                <w:rFonts w:eastAsia="Calibri"/>
                <w:sz w:val="20"/>
                <w:lang w:val="fr-CA"/>
              </w:rPr>
              <w:lastRenderedPageBreak/>
              <w:t>25 mars 2011</w:t>
            </w:r>
          </w:p>
          <w:p w:rsidR="00A25BB5" w:rsidRPr="00723BA8" w:rsidRDefault="00A25BB5" w:rsidP="00A25BB5">
            <w:pPr>
              <w:jc w:val="both"/>
              <w:rPr>
                <w:rFonts w:eastAsia="Calibri"/>
                <w:sz w:val="20"/>
                <w:lang w:val="fr-CA"/>
              </w:rPr>
            </w:pPr>
            <w:r w:rsidRPr="00723BA8">
              <w:rPr>
                <w:rFonts w:eastAsia="Calibri"/>
                <w:sz w:val="20"/>
                <w:lang w:val="fr-CA"/>
              </w:rPr>
              <w:t>Cour suprême du Canada</w:t>
            </w:r>
          </w:p>
          <w:p w:rsidR="00A25BB5" w:rsidRPr="00723BA8" w:rsidRDefault="00A25BB5" w:rsidP="00A5373E">
            <w:pPr>
              <w:jc w:val="both"/>
              <w:rPr>
                <w:rFonts w:eastAsia="Calibri"/>
                <w:sz w:val="20"/>
                <w:lang w:val="fr-CA"/>
              </w:rPr>
            </w:pPr>
          </w:p>
        </w:tc>
        <w:tc>
          <w:tcPr>
            <w:tcW w:w="243" w:type="pct"/>
          </w:tcPr>
          <w:p w:rsidR="00A25BB5" w:rsidRPr="00723BA8" w:rsidRDefault="00A25BB5" w:rsidP="00A5373E">
            <w:pPr>
              <w:jc w:val="both"/>
              <w:rPr>
                <w:rFonts w:eastAsia="Calibri"/>
                <w:sz w:val="20"/>
                <w:lang w:val="fr-CA"/>
              </w:rPr>
            </w:pPr>
          </w:p>
        </w:tc>
        <w:tc>
          <w:tcPr>
            <w:tcW w:w="2330" w:type="pct"/>
          </w:tcPr>
          <w:p w:rsidR="00A25BB5" w:rsidRPr="00723BA8" w:rsidRDefault="00A25BB5" w:rsidP="00A5373E">
            <w:pPr>
              <w:jc w:val="both"/>
              <w:rPr>
                <w:rFonts w:eastAsia="Calibri"/>
                <w:sz w:val="20"/>
                <w:lang w:val="fr-CA"/>
              </w:rPr>
            </w:pPr>
            <w:r w:rsidRPr="00723BA8">
              <w:rPr>
                <w:rFonts w:eastAsia="Calibri"/>
                <w:sz w:val="20"/>
                <w:lang w:val="fr-CA"/>
              </w:rPr>
              <w:t>Requêtes diverses déposées</w:t>
            </w:r>
          </w:p>
        </w:tc>
      </w:tr>
    </w:tbl>
    <w:p w:rsidR="004E6FA2" w:rsidRDefault="004E6FA2" w:rsidP="004E6FA2">
      <w:pPr>
        <w:rPr>
          <w:sz w:val="20"/>
          <w:szCs w:val="20"/>
        </w:rPr>
      </w:pPr>
    </w:p>
    <w:p w:rsidR="004E6FA2" w:rsidRDefault="00CF05D4" w:rsidP="004E6FA2">
      <w:pPr>
        <w:rPr>
          <w:sz w:val="20"/>
          <w:szCs w:val="20"/>
        </w:rPr>
      </w:pPr>
      <w:r w:rsidRPr="00CF05D4">
        <w:rPr>
          <w:sz w:val="20"/>
          <w:szCs w:val="20"/>
          <w:lang w:val="fr-CA"/>
        </w:rPr>
        <w:pict>
          <v:rect id="_x0000_i1081" style="width:2in;height:1pt" o:hrpct="0" o:hralign="center" o:hrstd="t" o:hrnoshade="t" o:hr="t" fillcolor="black [3213]" stroked="f"/>
        </w:pict>
      </w:r>
    </w:p>
    <w:p w:rsidR="004E6FA2" w:rsidRPr="00741F3F" w:rsidRDefault="004E6FA2" w:rsidP="004E6FA2">
      <w:pPr>
        <w:rPr>
          <w:sz w:val="20"/>
          <w:szCs w:val="20"/>
        </w:rPr>
      </w:pPr>
    </w:p>
    <w:p w:rsidR="00364339" w:rsidRPr="00C50A5C" w:rsidRDefault="00364339"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AC2806" w:rsidRPr="00AC2806" w:rsidRDefault="00AC2806" w:rsidP="00AC2806">
      <w:pPr>
        <w:tabs>
          <w:tab w:val="left" w:pos="-1440"/>
          <w:tab w:val="left" w:pos="-720"/>
        </w:tabs>
        <w:jc w:val="both"/>
        <w:rPr>
          <w:sz w:val="20"/>
          <w:szCs w:val="20"/>
        </w:rPr>
      </w:pPr>
      <w:r w:rsidRPr="00AC2806">
        <w:rPr>
          <w:sz w:val="20"/>
          <w:szCs w:val="20"/>
        </w:rPr>
        <w:t>28.04.2011</w:t>
      </w:r>
    </w:p>
    <w:p w:rsidR="00AC2806" w:rsidRPr="00AC2806" w:rsidRDefault="00AC2806" w:rsidP="00AC2806">
      <w:pPr>
        <w:tabs>
          <w:tab w:val="left" w:pos="-1440"/>
          <w:tab w:val="left" w:pos="-720"/>
        </w:tabs>
        <w:jc w:val="both"/>
        <w:rPr>
          <w:sz w:val="20"/>
          <w:szCs w:val="20"/>
        </w:rPr>
      </w:pPr>
    </w:p>
    <w:p w:rsidR="00AC2806" w:rsidRPr="00AC2806" w:rsidRDefault="00AC2806" w:rsidP="00AC2806">
      <w:pPr>
        <w:jc w:val="both"/>
        <w:rPr>
          <w:sz w:val="20"/>
          <w:szCs w:val="20"/>
          <w:lang w:val="fr-CA"/>
        </w:rPr>
      </w:pPr>
      <w:r w:rsidRPr="00AC2806">
        <w:rPr>
          <w:sz w:val="20"/>
          <w:szCs w:val="20"/>
          <w:lang w:val="fr-CA"/>
        </w:rPr>
        <w:t>Before / Devant:   THE REGISTRAR / LE REGISTRAIRE</w:t>
      </w:r>
    </w:p>
    <w:p w:rsidR="00AC2806" w:rsidRPr="00AC2806" w:rsidRDefault="00AC2806" w:rsidP="00AC28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2806" w:rsidRPr="00E62A55" w:rsidTr="00BB3ED4">
        <w:trPr>
          <w:trHeight w:val="151"/>
        </w:trPr>
        <w:tc>
          <w:tcPr>
            <w:tcW w:w="4338" w:type="dxa"/>
          </w:tcPr>
          <w:p w:rsidR="00AC2806" w:rsidRPr="00AC2806" w:rsidRDefault="00AC2806" w:rsidP="00BB3ED4">
            <w:pPr>
              <w:tabs>
                <w:tab w:val="left" w:pos="-1440"/>
                <w:tab w:val="left" w:pos="-720"/>
              </w:tabs>
              <w:jc w:val="both"/>
              <w:rPr>
                <w:sz w:val="20"/>
                <w:szCs w:val="20"/>
              </w:rPr>
            </w:pPr>
            <w:r w:rsidRPr="00AC2806">
              <w:rPr>
                <w:b/>
                <w:sz w:val="20"/>
                <w:szCs w:val="20"/>
              </w:rPr>
              <w:t>Motion to accept the book of authorities of the appellant as filed, without pages consecutively numbered</w:t>
            </w:r>
          </w:p>
        </w:tc>
        <w:tc>
          <w:tcPr>
            <w:tcW w:w="1170" w:type="dxa"/>
          </w:tcPr>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tc>
        <w:tc>
          <w:tcPr>
            <w:tcW w:w="4327" w:type="dxa"/>
          </w:tcPr>
          <w:p w:rsidR="00AC2806" w:rsidRPr="00AC2806" w:rsidRDefault="00AC2806" w:rsidP="00BB3ED4">
            <w:pPr>
              <w:jc w:val="both"/>
              <w:rPr>
                <w:b/>
                <w:sz w:val="20"/>
                <w:szCs w:val="20"/>
                <w:lang w:val="fr-CA"/>
              </w:rPr>
            </w:pPr>
            <w:r w:rsidRPr="00AC2806">
              <w:rPr>
                <w:b/>
                <w:bCs/>
                <w:sz w:val="20"/>
                <w:szCs w:val="20"/>
                <w:lang w:val="fr-CA"/>
              </w:rPr>
              <w:t xml:space="preserve">Requête visant l’acceptation du recueil de sources de l’appelant tel qu’il a été déposé, sans pagination consécutive </w:t>
            </w:r>
            <w:r w:rsidR="00CF05D4" w:rsidRPr="00AC2806">
              <w:rPr>
                <w:b/>
                <w:sz w:val="20"/>
                <w:szCs w:val="20"/>
              </w:rPr>
              <w:fldChar w:fldCharType="begin"/>
            </w:r>
            <w:r w:rsidRPr="00AC2806">
              <w:rPr>
                <w:b/>
                <w:sz w:val="20"/>
                <w:szCs w:val="20"/>
                <w:lang w:val="fr-CA"/>
              </w:rPr>
              <w:instrText xml:space="preserve"> SEQ CHAPTER \h \r 1</w:instrText>
            </w:r>
            <w:r w:rsidR="00CF05D4" w:rsidRPr="00AC2806">
              <w:rPr>
                <w:b/>
                <w:sz w:val="20"/>
                <w:szCs w:val="20"/>
              </w:rPr>
              <w:fldChar w:fldCharType="end"/>
            </w:r>
          </w:p>
        </w:tc>
      </w:tr>
      <w:tr w:rsidR="00AC2806" w:rsidRPr="00AC2806" w:rsidTr="00BB3ED4">
        <w:trPr>
          <w:trHeight w:val="150"/>
        </w:trPr>
        <w:tc>
          <w:tcPr>
            <w:tcW w:w="4338" w:type="dxa"/>
          </w:tcPr>
          <w:p w:rsidR="00AC2806" w:rsidRPr="00AC2806" w:rsidRDefault="00AC2806" w:rsidP="00BB3ED4">
            <w:pPr>
              <w:tabs>
                <w:tab w:val="left" w:pos="-1440"/>
                <w:tab w:val="left" w:pos="-720"/>
              </w:tabs>
              <w:jc w:val="both"/>
              <w:rPr>
                <w:sz w:val="20"/>
                <w:szCs w:val="20"/>
                <w:lang w:val="fr-CA"/>
              </w:rPr>
            </w:pPr>
            <w:r w:rsidRPr="00AC2806">
              <w:rPr>
                <w:sz w:val="20"/>
                <w:szCs w:val="20"/>
                <w:lang w:val="fr-CA"/>
              </w:rPr>
              <w:t>Tommy Bouchard-Lebrun</w:t>
            </w:r>
          </w:p>
          <w:p w:rsidR="00AC2806" w:rsidRPr="00AC2806" w:rsidRDefault="00AC2806" w:rsidP="00BB3ED4">
            <w:pPr>
              <w:tabs>
                <w:tab w:val="left" w:pos="-1440"/>
                <w:tab w:val="left" w:pos="-720"/>
              </w:tabs>
              <w:jc w:val="both"/>
              <w:rPr>
                <w:sz w:val="20"/>
                <w:szCs w:val="20"/>
                <w:lang w:val="fr-CA"/>
              </w:rPr>
            </w:pPr>
          </w:p>
          <w:p w:rsidR="00AC2806" w:rsidRPr="00AC2806" w:rsidRDefault="00AC2806" w:rsidP="00BB3ED4">
            <w:pPr>
              <w:tabs>
                <w:tab w:val="left" w:pos="-1440"/>
                <w:tab w:val="left" w:pos="-720"/>
              </w:tabs>
              <w:jc w:val="both"/>
              <w:rPr>
                <w:sz w:val="20"/>
                <w:szCs w:val="20"/>
                <w:lang w:val="fr-CA"/>
              </w:rPr>
            </w:pPr>
            <w:r w:rsidRPr="00AC2806">
              <w:rPr>
                <w:sz w:val="20"/>
                <w:szCs w:val="20"/>
                <w:lang w:val="fr-CA"/>
              </w:rPr>
              <w:tab/>
              <w:t>c. (33687)</w:t>
            </w:r>
          </w:p>
          <w:p w:rsidR="00AC2806" w:rsidRPr="00AC2806" w:rsidRDefault="00AC2806" w:rsidP="00BB3ED4">
            <w:pPr>
              <w:tabs>
                <w:tab w:val="left" w:pos="-1440"/>
                <w:tab w:val="left" w:pos="-720"/>
              </w:tabs>
              <w:jc w:val="both"/>
              <w:rPr>
                <w:sz w:val="20"/>
                <w:szCs w:val="20"/>
                <w:lang w:val="fr-CA"/>
              </w:rPr>
            </w:pPr>
          </w:p>
          <w:p w:rsidR="00AC2806" w:rsidRPr="00AC2806" w:rsidRDefault="00AC2806" w:rsidP="00BB3ED4">
            <w:pPr>
              <w:tabs>
                <w:tab w:val="left" w:pos="-1440"/>
                <w:tab w:val="left" w:pos="-720"/>
              </w:tabs>
              <w:jc w:val="both"/>
              <w:rPr>
                <w:sz w:val="20"/>
                <w:szCs w:val="20"/>
                <w:lang w:val="fr-CA"/>
              </w:rPr>
            </w:pPr>
            <w:r w:rsidRPr="00AC2806">
              <w:rPr>
                <w:sz w:val="20"/>
                <w:szCs w:val="20"/>
                <w:lang w:val="fr-CA"/>
              </w:rPr>
              <w:t>Sa Majesté la Reine (Crim.) (Qc)</w:t>
            </w:r>
          </w:p>
        </w:tc>
        <w:tc>
          <w:tcPr>
            <w:tcW w:w="1170" w:type="dxa"/>
          </w:tcPr>
          <w:p w:rsidR="00AC2806" w:rsidRPr="00AC2806" w:rsidRDefault="00AC2806" w:rsidP="00BB3ED4">
            <w:pPr>
              <w:jc w:val="both"/>
              <w:rPr>
                <w:sz w:val="20"/>
                <w:szCs w:val="20"/>
                <w:lang w:val="fr-CA"/>
              </w:rPr>
            </w:pPr>
          </w:p>
        </w:tc>
        <w:tc>
          <w:tcPr>
            <w:tcW w:w="4327" w:type="dxa"/>
          </w:tcPr>
          <w:p w:rsidR="00AC2806" w:rsidRPr="00AC2806" w:rsidRDefault="00AC2806" w:rsidP="00BB3ED4">
            <w:pPr>
              <w:jc w:val="both"/>
              <w:rPr>
                <w:sz w:val="20"/>
                <w:szCs w:val="20"/>
                <w:lang w:val="fr-CA"/>
              </w:rPr>
            </w:pPr>
          </w:p>
        </w:tc>
      </w:tr>
    </w:tbl>
    <w:p w:rsidR="00AC2806" w:rsidRPr="00AC2806" w:rsidRDefault="00AC2806" w:rsidP="00AC2806">
      <w:pPr>
        <w:tabs>
          <w:tab w:val="left" w:pos="-1440"/>
          <w:tab w:val="left" w:pos="-720"/>
        </w:tabs>
        <w:jc w:val="both"/>
        <w:rPr>
          <w:sz w:val="20"/>
          <w:szCs w:val="20"/>
          <w:lang w:val="fr-CA"/>
        </w:rPr>
      </w:pPr>
    </w:p>
    <w:p w:rsidR="00AC2806" w:rsidRPr="00AC2806" w:rsidRDefault="00AC2806" w:rsidP="00AC2806">
      <w:pPr>
        <w:tabs>
          <w:tab w:val="left" w:pos="-1440"/>
          <w:tab w:val="left" w:pos="-720"/>
        </w:tabs>
        <w:jc w:val="both"/>
        <w:rPr>
          <w:sz w:val="20"/>
          <w:szCs w:val="20"/>
          <w:lang w:val="fr-CA"/>
        </w:rPr>
      </w:pPr>
      <w:r w:rsidRPr="00AC2806">
        <w:rPr>
          <w:b/>
          <w:sz w:val="20"/>
          <w:szCs w:val="20"/>
          <w:lang w:val="fr-CA"/>
        </w:rPr>
        <w:t>GRANTED / ACCORDÉE</w:t>
      </w:r>
    </w:p>
    <w:p w:rsidR="00AC2806" w:rsidRPr="00AC2806" w:rsidRDefault="00AC2806" w:rsidP="00AC2806">
      <w:pPr>
        <w:tabs>
          <w:tab w:val="left" w:pos="-1440"/>
          <w:tab w:val="left" w:pos="-720"/>
        </w:tabs>
        <w:jc w:val="both"/>
        <w:rPr>
          <w:sz w:val="20"/>
          <w:szCs w:val="20"/>
          <w:lang w:val="fr-CA"/>
        </w:rPr>
      </w:pPr>
    </w:p>
    <w:p w:rsidR="00AC2806" w:rsidRPr="00AC2806" w:rsidRDefault="00AC2806" w:rsidP="00AC2806">
      <w:pPr>
        <w:tabs>
          <w:tab w:val="left" w:pos="-1440"/>
          <w:tab w:val="left" w:pos="-720"/>
        </w:tabs>
        <w:spacing w:line="-19" w:lineRule="auto"/>
        <w:jc w:val="both"/>
        <w:rPr>
          <w:sz w:val="20"/>
          <w:szCs w:val="20"/>
          <w:lang w:val="fr-CA"/>
        </w:rPr>
      </w:pPr>
    </w:p>
    <w:p w:rsidR="00AC2806" w:rsidRPr="00AC2806" w:rsidRDefault="00CF05D4" w:rsidP="00AC2806">
      <w:pPr>
        <w:tabs>
          <w:tab w:val="left" w:pos="-1440"/>
          <w:tab w:val="left" w:pos="-720"/>
        </w:tabs>
        <w:jc w:val="both"/>
        <w:rPr>
          <w:sz w:val="20"/>
          <w:szCs w:val="20"/>
          <w:lang w:val="fr-CA"/>
        </w:rPr>
      </w:pPr>
      <w:r w:rsidRPr="00CF05D4">
        <w:rPr>
          <w:sz w:val="20"/>
          <w:szCs w:val="20"/>
          <w:lang w:val="fr-CA"/>
        </w:rPr>
        <w:pict>
          <v:rect id="_x0000_i1084" style="width:2in;height:1pt" o:hrpct="0" o:hralign="center" o:hrstd="t" o:hrnoshade="t" o:hr="t" fillcolor="black [3213]" stroked="f"/>
        </w:pict>
      </w:r>
    </w:p>
    <w:p w:rsidR="00AC2806" w:rsidRPr="00AC2806" w:rsidRDefault="00AC2806" w:rsidP="00AC2806">
      <w:pPr>
        <w:rPr>
          <w:sz w:val="20"/>
          <w:szCs w:val="20"/>
          <w:lang w:val="fr-CA"/>
        </w:rPr>
      </w:pPr>
    </w:p>
    <w:p w:rsidR="00AC2806" w:rsidRPr="00AC2806" w:rsidRDefault="00AC2806" w:rsidP="00AC2806">
      <w:pPr>
        <w:tabs>
          <w:tab w:val="left" w:pos="-1440"/>
          <w:tab w:val="left" w:pos="-720"/>
        </w:tabs>
        <w:jc w:val="both"/>
        <w:rPr>
          <w:sz w:val="20"/>
          <w:szCs w:val="20"/>
        </w:rPr>
      </w:pPr>
      <w:r w:rsidRPr="00AC2806">
        <w:rPr>
          <w:sz w:val="20"/>
          <w:szCs w:val="20"/>
        </w:rPr>
        <w:t>28.04.2011</w:t>
      </w:r>
    </w:p>
    <w:p w:rsidR="00AC2806" w:rsidRPr="00AC2806" w:rsidRDefault="00AC2806" w:rsidP="00AC2806">
      <w:pPr>
        <w:tabs>
          <w:tab w:val="left" w:pos="-1440"/>
          <w:tab w:val="left" w:pos="-720"/>
        </w:tabs>
        <w:jc w:val="both"/>
        <w:rPr>
          <w:sz w:val="20"/>
          <w:szCs w:val="20"/>
        </w:rPr>
      </w:pPr>
    </w:p>
    <w:p w:rsidR="00AC2806" w:rsidRPr="00AC2806" w:rsidRDefault="00AC2806" w:rsidP="00AC2806">
      <w:pPr>
        <w:jc w:val="both"/>
        <w:rPr>
          <w:sz w:val="20"/>
          <w:szCs w:val="20"/>
          <w:lang w:val="fr-CA"/>
        </w:rPr>
      </w:pPr>
      <w:r w:rsidRPr="00AC2806">
        <w:rPr>
          <w:sz w:val="20"/>
          <w:szCs w:val="20"/>
          <w:lang w:val="fr-CA"/>
        </w:rPr>
        <w:t>Before / Devant:   THE REGISTRAR / LE REGISTRAIRE</w:t>
      </w:r>
    </w:p>
    <w:p w:rsidR="00AC2806" w:rsidRPr="00AC2806" w:rsidRDefault="00AC2806" w:rsidP="00AC28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2806" w:rsidRPr="00E62A55" w:rsidTr="00BB3ED4">
        <w:trPr>
          <w:trHeight w:val="151"/>
        </w:trPr>
        <w:tc>
          <w:tcPr>
            <w:tcW w:w="4338" w:type="dxa"/>
          </w:tcPr>
          <w:p w:rsidR="00AC2806" w:rsidRPr="00AC2806" w:rsidRDefault="00AC2806" w:rsidP="00BB3ED4">
            <w:pPr>
              <w:tabs>
                <w:tab w:val="left" w:pos="-1440"/>
                <w:tab w:val="left" w:pos="-720"/>
              </w:tabs>
              <w:jc w:val="both"/>
              <w:rPr>
                <w:sz w:val="20"/>
                <w:szCs w:val="20"/>
              </w:rPr>
            </w:pPr>
            <w:r w:rsidRPr="00AC2806">
              <w:rPr>
                <w:b/>
                <w:sz w:val="20"/>
                <w:szCs w:val="20"/>
              </w:rPr>
              <w:t>Motion to accept the book of authorities of the appellant as filed, without pages consecutively numbered</w:t>
            </w:r>
          </w:p>
        </w:tc>
        <w:tc>
          <w:tcPr>
            <w:tcW w:w="1170" w:type="dxa"/>
          </w:tcPr>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tc>
        <w:tc>
          <w:tcPr>
            <w:tcW w:w="4327" w:type="dxa"/>
          </w:tcPr>
          <w:p w:rsidR="00AC2806" w:rsidRPr="00AC2806" w:rsidRDefault="00AC2806" w:rsidP="00BB3ED4">
            <w:pPr>
              <w:jc w:val="both"/>
              <w:rPr>
                <w:b/>
                <w:sz w:val="20"/>
                <w:szCs w:val="20"/>
                <w:lang w:val="fr-CA"/>
              </w:rPr>
            </w:pPr>
            <w:r w:rsidRPr="00AC2806">
              <w:rPr>
                <w:b/>
                <w:bCs/>
                <w:sz w:val="20"/>
                <w:szCs w:val="20"/>
                <w:lang w:val="fr-CA"/>
              </w:rPr>
              <w:t xml:space="preserve">Requête visant l’acceptation du recueil de sources de l’appelante tel qu’il a été déposé, sans pagination consécutive </w:t>
            </w:r>
            <w:r w:rsidR="00CF05D4" w:rsidRPr="00AC2806">
              <w:rPr>
                <w:b/>
                <w:sz w:val="20"/>
                <w:szCs w:val="20"/>
              </w:rPr>
              <w:fldChar w:fldCharType="begin"/>
            </w:r>
            <w:r w:rsidRPr="00AC2806">
              <w:rPr>
                <w:b/>
                <w:sz w:val="20"/>
                <w:szCs w:val="20"/>
                <w:lang w:val="fr-CA"/>
              </w:rPr>
              <w:instrText xml:space="preserve"> SEQ CHAPTER \h \r 1</w:instrText>
            </w:r>
            <w:r w:rsidR="00CF05D4" w:rsidRPr="00AC2806">
              <w:rPr>
                <w:b/>
                <w:sz w:val="20"/>
                <w:szCs w:val="20"/>
              </w:rPr>
              <w:fldChar w:fldCharType="end"/>
            </w:r>
          </w:p>
        </w:tc>
      </w:tr>
      <w:tr w:rsidR="00AC2806" w:rsidRPr="00AC2806" w:rsidTr="00BB3ED4">
        <w:trPr>
          <w:trHeight w:val="150"/>
        </w:trPr>
        <w:tc>
          <w:tcPr>
            <w:tcW w:w="4338" w:type="dxa"/>
          </w:tcPr>
          <w:p w:rsidR="00AC2806" w:rsidRPr="00AC2806" w:rsidRDefault="00AC2806" w:rsidP="00BB3ED4">
            <w:pPr>
              <w:tabs>
                <w:tab w:val="left" w:pos="-1440"/>
                <w:tab w:val="left" w:pos="-720"/>
              </w:tabs>
              <w:jc w:val="both"/>
              <w:rPr>
                <w:sz w:val="20"/>
                <w:szCs w:val="20"/>
              </w:rPr>
            </w:pPr>
            <w:r w:rsidRPr="00AC2806">
              <w:rPr>
                <w:sz w:val="20"/>
                <w:szCs w:val="20"/>
              </w:rPr>
              <w:t>Catalyst Paper Corporation</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ab/>
              <w:t>v. (33744)</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Corporation of the District of North Cowichan (B.C.)</w:t>
            </w:r>
          </w:p>
        </w:tc>
        <w:tc>
          <w:tcPr>
            <w:tcW w:w="1170" w:type="dxa"/>
          </w:tcPr>
          <w:p w:rsidR="00AC2806" w:rsidRPr="00AC2806" w:rsidRDefault="00AC2806" w:rsidP="00BB3ED4">
            <w:pPr>
              <w:jc w:val="both"/>
              <w:rPr>
                <w:sz w:val="20"/>
                <w:szCs w:val="20"/>
              </w:rPr>
            </w:pPr>
          </w:p>
        </w:tc>
        <w:tc>
          <w:tcPr>
            <w:tcW w:w="4327" w:type="dxa"/>
          </w:tcPr>
          <w:p w:rsidR="00AC2806" w:rsidRPr="00AC2806" w:rsidRDefault="00AC2806" w:rsidP="00BB3ED4">
            <w:pPr>
              <w:jc w:val="both"/>
              <w:rPr>
                <w:sz w:val="20"/>
                <w:szCs w:val="20"/>
              </w:rPr>
            </w:pPr>
          </w:p>
        </w:tc>
      </w:tr>
    </w:tbl>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jc w:val="both"/>
        <w:rPr>
          <w:sz w:val="20"/>
          <w:szCs w:val="20"/>
        </w:rPr>
      </w:pPr>
      <w:r w:rsidRPr="00AC2806">
        <w:rPr>
          <w:b/>
          <w:sz w:val="20"/>
          <w:szCs w:val="20"/>
        </w:rPr>
        <w:t>GRANTED / ACCORDÉE</w:t>
      </w:r>
    </w:p>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spacing w:line="-19" w:lineRule="auto"/>
        <w:jc w:val="both"/>
        <w:rPr>
          <w:sz w:val="20"/>
          <w:szCs w:val="20"/>
        </w:rPr>
      </w:pPr>
    </w:p>
    <w:p w:rsidR="00AC2806" w:rsidRPr="00AC2806" w:rsidRDefault="00CF05D4" w:rsidP="00AC2806">
      <w:pPr>
        <w:tabs>
          <w:tab w:val="left" w:pos="-1440"/>
          <w:tab w:val="left" w:pos="-720"/>
        </w:tabs>
        <w:jc w:val="both"/>
        <w:rPr>
          <w:sz w:val="20"/>
          <w:szCs w:val="20"/>
        </w:rPr>
      </w:pPr>
      <w:r w:rsidRPr="00CF05D4">
        <w:rPr>
          <w:sz w:val="20"/>
          <w:szCs w:val="20"/>
          <w:lang w:val="fr-CA"/>
        </w:rPr>
        <w:pict>
          <v:rect id="_x0000_i1085" style="width:2in;height:1pt" o:hrpct="0" o:hralign="center" o:hrstd="t" o:hrnoshade="t" o:hr="t" fillcolor="black [3213]" stroked="f"/>
        </w:pict>
      </w:r>
    </w:p>
    <w:p w:rsidR="00AC2806" w:rsidRPr="00AC2806" w:rsidRDefault="00AC2806" w:rsidP="00AC2806">
      <w:pPr>
        <w:rPr>
          <w:sz w:val="20"/>
          <w:szCs w:val="20"/>
        </w:rPr>
      </w:pPr>
    </w:p>
    <w:p w:rsidR="00AC2806" w:rsidRPr="00AC2806" w:rsidRDefault="00AC2806" w:rsidP="00AC2806">
      <w:pPr>
        <w:tabs>
          <w:tab w:val="left" w:pos="-1440"/>
          <w:tab w:val="left" w:pos="-720"/>
        </w:tabs>
        <w:jc w:val="both"/>
        <w:rPr>
          <w:sz w:val="20"/>
          <w:szCs w:val="20"/>
        </w:rPr>
      </w:pPr>
      <w:r w:rsidRPr="00AC2806">
        <w:rPr>
          <w:sz w:val="20"/>
          <w:szCs w:val="20"/>
        </w:rPr>
        <w:t>28.04.2011</w:t>
      </w:r>
    </w:p>
    <w:p w:rsidR="00AC2806" w:rsidRPr="00AC2806" w:rsidRDefault="00AC2806" w:rsidP="00AC2806">
      <w:pPr>
        <w:tabs>
          <w:tab w:val="left" w:pos="-1440"/>
          <w:tab w:val="left" w:pos="-720"/>
        </w:tabs>
        <w:jc w:val="both"/>
        <w:rPr>
          <w:sz w:val="20"/>
          <w:szCs w:val="20"/>
        </w:rPr>
      </w:pPr>
    </w:p>
    <w:p w:rsidR="00AC2806" w:rsidRPr="00AC2806" w:rsidRDefault="00AC2806" w:rsidP="00AC2806">
      <w:pPr>
        <w:jc w:val="both"/>
        <w:rPr>
          <w:sz w:val="20"/>
          <w:szCs w:val="20"/>
          <w:lang w:val="fr-CA"/>
        </w:rPr>
      </w:pPr>
      <w:r w:rsidRPr="00AC2806">
        <w:rPr>
          <w:sz w:val="20"/>
          <w:szCs w:val="20"/>
          <w:lang w:val="fr-CA"/>
        </w:rPr>
        <w:t>Before / Devant:   THE REGISTRAR / LE REGISTRAIRE</w:t>
      </w:r>
    </w:p>
    <w:p w:rsidR="00AC2806" w:rsidRPr="00AC2806" w:rsidRDefault="00AC2806" w:rsidP="00AC28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2806" w:rsidRPr="00E62A55" w:rsidTr="00BB3ED4">
        <w:trPr>
          <w:trHeight w:val="151"/>
        </w:trPr>
        <w:tc>
          <w:tcPr>
            <w:tcW w:w="4338" w:type="dxa"/>
          </w:tcPr>
          <w:p w:rsidR="00AC2806" w:rsidRPr="00AC2806" w:rsidRDefault="00AC2806" w:rsidP="00BB3ED4">
            <w:pPr>
              <w:tabs>
                <w:tab w:val="left" w:pos="-1440"/>
                <w:tab w:val="left" w:pos="-720"/>
              </w:tabs>
              <w:jc w:val="both"/>
              <w:rPr>
                <w:sz w:val="20"/>
                <w:szCs w:val="20"/>
              </w:rPr>
            </w:pPr>
            <w:r w:rsidRPr="00AC2806">
              <w:rPr>
                <w:b/>
                <w:bCs/>
                <w:sz w:val="20"/>
                <w:szCs w:val="20"/>
              </w:rPr>
              <w:t>Motion to extend the time to serve and file the applicant’s reply</w:t>
            </w:r>
          </w:p>
        </w:tc>
        <w:tc>
          <w:tcPr>
            <w:tcW w:w="1170" w:type="dxa"/>
          </w:tcPr>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tc>
        <w:tc>
          <w:tcPr>
            <w:tcW w:w="4327" w:type="dxa"/>
          </w:tcPr>
          <w:p w:rsidR="00AC2806" w:rsidRPr="00AC2806" w:rsidRDefault="00AC2806" w:rsidP="00BB3ED4">
            <w:pPr>
              <w:jc w:val="both"/>
              <w:rPr>
                <w:b/>
                <w:sz w:val="20"/>
                <w:szCs w:val="20"/>
                <w:lang w:val="fr-CA"/>
              </w:rPr>
            </w:pPr>
            <w:r w:rsidRPr="00AC2806">
              <w:rPr>
                <w:b/>
                <w:bCs/>
                <w:sz w:val="20"/>
                <w:szCs w:val="20"/>
                <w:lang w:val="fr-CA"/>
              </w:rPr>
              <w:t xml:space="preserve">Requête en prorogation du délai de signification et de dépôt de la réplique du demandeur </w:t>
            </w:r>
            <w:r w:rsidR="00CF05D4" w:rsidRPr="00AC2806">
              <w:rPr>
                <w:b/>
                <w:sz w:val="20"/>
                <w:szCs w:val="20"/>
              </w:rPr>
              <w:fldChar w:fldCharType="begin"/>
            </w:r>
            <w:r w:rsidRPr="00AC2806">
              <w:rPr>
                <w:b/>
                <w:sz w:val="20"/>
                <w:szCs w:val="20"/>
                <w:lang w:val="fr-CA"/>
              </w:rPr>
              <w:instrText xml:space="preserve"> SEQ CHAPTER \h \r 1</w:instrText>
            </w:r>
            <w:r w:rsidR="00CF05D4" w:rsidRPr="00AC2806">
              <w:rPr>
                <w:b/>
                <w:sz w:val="20"/>
                <w:szCs w:val="20"/>
              </w:rPr>
              <w:fldChar w:fldCharType="end"/>
            </w:r>
          </w:p>
        </w:tc>
      </w:tr>
      <w:tr w:rsidR="00AC2806" w:rsidRPr="00AC2806" w:rsidTr="00BB3ED4">
        <w:trPr>
          <w:trHeight w:val="150"/>
        </w:trPr>
        <w:tc>
          <w:tcPr>
            <w:tcW w:w="4338" w:type="dxa"/>
          </w:tcPr>
          <w:p w:rsidR="00AC2806" w:rsidRPr="00AC2806" w:rsidRDefault="00AC2806" w:rsidP="00BB3ED4">
            <w:pPr>
              <w:tabs>
                <w:tab w:val="left" w:pos="-1440"/>
                <w:tab w:val="left" w:pos="-720"/>
              </w:tabs>
              <w:jc w:val="both"/>
              <w:rPr>
                <w:sz w:val="20"/>
                <w:szCs w:val="20"/>
              </w:rPr>
            </w:pPr>
            <w:r w:rsidRPr="00AC2806">
              <w:rPr>
                <w:sz w:val="20"/>
                <w:szCs w:val="20"/>
              </w:rPr>
              <w:t>Prabjot Singh</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ab/>
              <w:t>v. (34076)</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Her Majesty the Queen (Crim.) (Ont.)</w:t>
            </w:r>
          </w:p>
        </w:tc>
        <w:tc>
          <w:tcPr>
            <w:tcW w:w="1170" w:type="dxa"/>
          </w:tcPr>
          <w:p w:rsidR="00AC2806" w:rsidRPr="00AC2806" w:rsidRDefault="00AC2806" w:rsidP="00BB3ED4">
            <w:pPr>
              <w:jc w:val="both"/>
              <w:rPr>
                <w:sz w:val="20"/>
                <w:szCs w:val="20"/>
              </w:rPr>
            </w:pPr>
          </w:p>
        </w:tc>
        <w:tc>
          <w:tcPr>
            <w:tcW w:w="4327" w:type="dxa"/>
          </w:tcPr>
          <w:p w:rsidR="00AC2806" w:rsidRPr="00AC2806" w:rsidRDefault="00AC2806" w:rsidP="00BB3ED4">
            <w:pPr>
              <w:jc w:val="both"/>
              <w:rPr>
                <w:sz w:val="20"/>
                <w:szCs w:val="20"/>
              </w:rPr>
            </w:pPr>
          </w:p>
        </w:tc>
      </w:tr>
    </w:tbl>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jc w:val="both"/>
        <w:rPr>
          <w:sz w:val="20"/>
          <w:szCs w:val="20"/>
        </w:rPr>
      </w:pPr>
      <w:r w:rsidRPr="00AC2806">
        <w:rPr>
          <w:b/>
          <w:sz w:val="20"/>
          <w:szCs w:val="20"/>
        </w:rPr>
        <w:t>GRANTED / ACCORDÉE</w:t>
      </w:r>
    </w:p>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spacing w:line="-19" w:lineRule="auto"/>
        <w:jc w:val="both"/>
        <w:rPr>
          <w:sz w:val="20"/>
          <w:szCs w:val="20"/>
        </w:rPr>
      </w:pPr>
    </w:p>
    <w:p w:rsidR="00AC2806" w:rsidRPr="00AC2806" w:rsidRDefault="00CF05D4" w:rsidP="00AC2806">
      <w:pPr>
        <w:tabs>
          <w:tab w:val="left" w:pos="-1440"/>
          <w:tab w:val="left" w:pos="-720"/>
        </w:tabs>
        <w:jc w:val="both"/>
        <w:rPr>
          <w:sz w:val="20"/>
          <w:szCs w:val="20"/>
        </w:rPr>
      </w:pPr>
      <w:r w:rsidRPr="00CF05D4">
        <w:rPr>
          <w:sz w:val="20"/>
          <w:szCs w:val="20"/>
          <w:lang w:val="fr-CA"/>
        </w:rPr>
        <w:pict>
          <v:rect id="_x0000_i1086" style="width:2in;height:1pt" o:hrpct="0" o:hralign="center" o:hrstd="t" o:hrnoshade="t" o:hr="t" fillcolor="black [3213]" stroked="f"/>
        </w:pict>
      </w:r>
    </w:p>
    <w:p w:rsidR="00AC2806" w:rsidRPr="00AC2806" w:rsidRDefault="00AC2806" w:rsidP="00AC2806">
      <w:pPr>
        <w:rPr>
          <w:sz w:val="20"/>
          <w:szCs w:val="20"/>
        </w:rPr>
      </w:pPr>
      <w:r w:rsidRPr="00AC2806">
        <w:rPr>
          <w:sz w:val="20"/>
          <w:szCs w:val="20"/>
        </w:rPr>
        <w:br w:type="page"/>
      </w:r>
    </w:p>
    <w:p w:rsidR="00AC2806" w:rsidRPr="00AC2806" w:rsidRDefault="00AC2806" w:rsidP="00AC2806">
      <w:pPr>
        <w:tabs>
          <w:tab w:val="left" w:pos="-1440"/>
          <w:tab w:val="left" w:pos="-720"/>
        </w:tabs>
        <w:jc w:val="both"/>
        <w:rPr>
          <w:sz w:val="20"/>
          <w:szCs w:val="20"/>
        </w:rPr>
      </w:pPr>
      <w:r w:rsidRPr="00AC2806">
        <w:rPr>
          <w:sz w:val="20"/>
          <w:szCs w:val="20"/>
        </w:rPr>
        <w:lastRenderedPageBreak/>
        <w:t>28.04.2011</w:t>
      </w:r>
    </w:p>
    <w:p w:rsidR="00AC2806" w:rsidRPr="00AC2806" w:rsidRDefault="00AC2806" w:rsidP="00AC2806">
      <w:pPr>
        <w:tabs>
          <w:tab w:val="left" w:pos="-1440"/>
          <w:tab w:val="left" w:pos="-720"/>
        </w:tabs>
        <w:jc w:val="both"/>
        <w:rPr>
          <w:sz w:val="20"/>
          <w:szCs w:val="20"/>
        </w:rPr>
      </w:pPr>
    </w:p>
    <w:p w:rsidR="00AC2806" w:rsidRPr="00AC2806" w:rsidRDefault="00AC2806" w:rsidP="00AC2806">
      <w:pPr>
        <w:jc w:val="both"/>
        <w:rPr>
          <w:sz w:val="20"/>
          <w:szCs w:val="20"/>
          <w:lang w:val="fr-CA"/>
        </w:rPr>
      </w:pPr>
      <w:r w:rsidRPr="00AC2806">
        <w:rPr>
          <w:sz w:val="20"/>
          <w:szCs w:val="20"/>
          <w:lang w:val="fr-CA"/>
        </w:rPr>
        <w:t>Before / Devant:   THE REGISTRAR / LE REGISTRAIRE</w:t>
      </w:r>
    </w:p>
    <w:p w:rsidR="00AC2806" w:rsidRPr="00AC2806" w:rsidRDefault="00AC2806" w:rsidP="00AC2806">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AC2806" w:rsidRPr="00E62A55" w:rsidTr="00BB3ED4">
        <w:trPr>
          <w:trHeight w:val="151"/>
        </w:trPr>
        <w:tc>
          <w:tcPr>
            <w:tcW w:w="4338" w:type="dxa"/>
          </w:tcPr>
          <w:p w:rsidR="00AC2806" w:rsidRPr="00AC2806" w:rsidRDefault="00AC2806" w:rsidP="00BB3ED4">
            <w:pPr>
              <w:tabs>
                <w:tab w:val="left" w:pos="-1440"/>
                <w:tab w:val="left" w:pos="-720"/>
              </w:tabs>
              <w:jc w:val="both"/>
              <w:rPr>
                <w:sz w:val="20"/>
                <w:szCs w:val="20"/>
              </w:rPr>
            </w:pPr>
            <w:r w:rsidRPr="00AC2806">
              <w:rPr>
                <w:b/>
                <w:sz w:val="20"/>
                <w:szCs w:val="20"/>
              </w:rPr>
              <w:t>Motion to accept the book of authorities of the appellant as filed, without pages consecutively numbered</w:t>
            </w:r>
          </w:p>
        </w:tc>
        <w:tc>
          <w:tcPr>
            <w:tcW w:w="1170" w:type="dxa"/>
          </w:tcPr>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p w:rsidR="00AC2806" w:rsidRPr="00AC2806" w:rsidRDefault="00AC2806" w:rsidP="00BB3ED4">
            <w:pPr>
              <w:jc w:val="both"/>
              <w:rPr>
                <w:sz w:val="20"/>
                <w:szCs w:val="20"/>
              </w:rPr>
            </w:pPr>
          </w:p>
        </w:tc>
        <w:tc>
          <w:tcPr>
            <w:tcW w:w="4327" w:type="dxa"/>
          </w:tcPr>
          <w:p w:rsidR="00AC2806" w:rsidRPr="00AC2806" w:rsidRDefault="00AC2806" w:rsidP="00BB3ED4">
            <w:pPr>
              <w:jc w:val="both"/>
              <w:rPr>
                <w:b/>
                <w:sz w:val="20"/>
                <w:szCs w:val="20"/>
                <w:lang w:val="fr-CA"/>
              </w:rPr>
            </w:pPr>
            <w:r w:rsidRPr="00AC2806">
              <w:rPr>
                <w:b/>
                <w:bCs/>
                <w:sz w:val="20"/>
                <w:szCs w:val="20"/>
                <w:lang w:val="fr-CA"/>
              </w:rPr>
              <w:t xml:space="preserve">Requête visant l’acceptation du recueil de sources de l’appelante tel qu’il a été déposé, sans pagination consécutive </w:t>
            </w:r>
            <w:r w:rsidR="00CF05D4" w:rsidRPr="00AC2806">
              <w:rPr>
                <w:b/>
                <w:sz w:val="20"/>
                <w:szCs w:val="20"/>
              </w:rPr>
              <w:fldChar w:fldCharType="begin"/>
            </w:r>
            <w:r w:rsidRPr="00AC2806">
              <w:rPr>
                <w:b/>
                <w:sz w:val="20"/>
                <w:szCs w:val="20"/>
                <w:lang w:val="fr-CA"/>
              </w:rPr>
              <w:instrText xml:space="preserve"> SEQ CHAPTER \h \r 1</w:instrText>
            </w:r>
            <w:r w:rsidR="00CF05D4" w:rsidRPr="00AC2806">
              <w:rPr>
                <w:b/>
                <w:sz w:val="20"/>
                <w:szCs w:val="20"/>
              </w:rPr>
              <w:fldChar w:fldCharType="end"/>
            </w:r>
          </w:p>
        </w:tc>
      </w:tr>
      <w:tr w:rsidR="00AC2806" w:rsidRPr="00AC2806" w:rsidTr="00BB3ED4">
        <w:trPr>
          <w:trHeight w:val="150"/>
        </w:trPr>
        <w:tc>
          <w:tcPr>
            <w:tcW w:w="4338" w:type="dxa"/>
          </w:tcPr>
          <w:p w:rsidR="00AC2806" w:rsidRPr="00AC2806" w:rsidRDefault="00AC2806" w:rsidP="00BB3ED4">
            <w:pPr>
              <w:tabs>
                <w:tab w:val="left" w:pos="-1440"/>
                <w:tab w:val="left" w:pos="-720"/>
              </w:tabs>
              <w:jc w:val="both"/>
              <w:rPr>
                <w:sz w:val="20"/>
                <w:szCs w:val="20"/>
              </w:rPr>
            </w:pPr>
            <w:r w:rsidRPr="00AC2806">
              <w:rPr>
                <w:sz w:val="20"/>
                <w:szCs w:val="20"/>
              </w:rPr>
              <w:t>Halifax Regional Municipality, a body corporate duly incorporated pursuant to the laws of Nova Scotia</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ab/>
              <w:t>v. (33651)</w:t>
            </w:r>
          </w:p>
          <w:p w:rsidR="00AC2806" w:rsidRPr="00AC2806" w:rsidRDefault="00AC2806" w:rsidP="00BB3ED4">
            <w:pPr>
              <w:tabs>
                <w:tab w:val="left" w:pos="-1440"/>
                <w:tab w:val="left" w:pos="-720"/>
              </w:tabs>
              <w:jc w:val="both"/>
              <w:rPr>
                <w:sz w:val="20"/>
                <w:szCs w:val="20"/>
              </w:rPr>
            </w:pPr>
          </w:p>
          <w:p w:rsidR="00AC2806" w:rsidRPr="00AC2806" w:rsidRDefault="00AC2806" w:rsidP="00BB3ED4">
            <w:pPr>
              <w:tabs>
                <w:tab w:val="left" w:pos="-1440"/>
                <w:tab w:val="left" w:pos="-720"/>
              </w:tabs>
              <w:jc w:val="both"/>
              <w:rPr>
                <w:sz w:val="20"/>
                <w:szCs w:val="20"/>
              </w:rPr>
            </w:pPr>
            <w:r w:rsidRPr="00AC2806">
              <w:rPr>
                <w:sz w:val="20"/>
                <w:szCs w:val="20"/>
              </w:rPr>
              <w:t>Nova Scotia Human Rights Commission et al. (N.S.)</w:t>
            </w:r>
          </w:p>
        </w:tc>
        <w:tc>
          <w:tcPr>
            <w:tcW w:w="1170" w:type="dxa"/>
          </w:tcPr>
          <w:p w:rsidR="00AC2806" w:rsidRPr="00AC2806" w:rsidRDefault="00AC2806" w:rsidP="00BB3ED4">
            <w:pPr>
              <w:jc w:val="both"/>
              <w:rPr>
                <w:sz w:val="20"/>
                <w:szCs w:val="20"/>
              </w:rPr>
            </w:pPr>
          </w:p>
        </w:tc>
        <w:tc>
          <w:tcPr>
            <w:tcW w:w="4327" w:type="dxa"/>
          </w:tcPr>
          <w:p w:rsidR="00AC2806" w:rsidRPr="00AC2806" w:rsidRDefault="00AC2806" w:rsidP="00BB3ED4">
            <w:pPr>
              <w:jc w:val="both"/>
              <w:rPr>
                <w:sz w:val="20"/>
                <w:szCs w:val="20"/>
              </w:rPr>
            </w:pPr>
          </w:p>
        </w:tc>
      </w:tr>
    </w:tbl>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jc w:val="both"/>
        <w:rPr>
          <w:sz w:val="20"/>
          <w:szCs w:val="20"/>
        </w:rPr>
      </w:pPr>
      <w:r w:rsidRPr="00AC2806">
        <w:rPr>
          <w:b/>
          <w:sz w:val="20"/>
          <w:szCs w:val="20"/>
        </w:rPr>
        <w:t>GRANTED / ACCORDÉE</w:t>
      </w:r>
    </w:p>
    <w:p w:rsidR="00AC2806" w:rsidRPr="00AC2806" w:rsidRDefault="00AC2806" w:rsidP="00AC2806">
      <w:pPr>
        <w:tabs>
          <w:tab w:val="left" w:pos="-1440"/>
          <w:tab w:val="left" w:pos="-720"/>
        </w:tabs>
        <w:jc w:val="both"/>
        <w:rPr>
          <w:sz w:val="20"/>
          <w:szCs w:val="20"/>
        </w:rPr>
      </w:pPr>
    </w:p>
    <w:p w:rsidR="00AC2806" w:rsidRPr="00AC2806" w:rsidRDefault="00AC2806" w:rsidP="00AC2806">
      <w:pPr>
        <w:tabs>
          <w:tab w:val="left" w:pos="-1440"/>
          <w:tab w:val="left" w:pos="-720"/>
        </w:tabs>
        <w:spacing w:line="-19" w:lineRule="auto"/>
        <w:jc w:val="both"/>
        <w:rPr>
          <w:sz w:val="20"/>
          <w:szCs w:val="20"/>
        </w:rPr>
      </w:pPr>
    </w:p>
    <w:p w:rsidR="00AC2806" w:rsidRPr="00AC2806" w:rsidRDefault="00CF05D4" w:rsidP="00AC2806">
      <w:pPr>
        <w:tabs>
          <w:tab w:val="left" w:pos="-1440"/>
          <w:tab w:val="left" w:pos="-720"/>
        </w:tabs>
        <w:jc w:val="both"/>
        <w:rPr>
          <w:sz w:val="20"/>
          <w:szCs w:val="20"/>
        </w:rPr>
      </w:pPr>
      <w:r w:rsidRPr="00CF05D4">
        <w:rPr>
          <w:sz w:val="20"/>
          <w:szCs w:val="20"/>
          <w:lang w:val="fr-CA"/>
        </w:rPr>
        <w:pict>
          <v:rect id="_x0000_i1087" style="width:2in;height:1pt" o:hrpct="0" o:hralign="center" o:hrstd="t" o:hrnoshade="t" o:hr="t" fillcolor="black [3213]" stroked="f"/>
        </w:pict>
      </w:r>
    </w:p>
    <w:p w:rsidR="00AC2806" w:rsidRPr="00AC2806" w:rsidRDefault="00AC2806" w:rsidP="00AC2806">
      <w:pPr>
        <w:rPr>
          <w:sz w:val="20"/>
          <w:szCs w:val="20"/>
        </w:rPr>
      </w:pPr>
    </w:p>
    <w:p w:rsidR="00AC2806" w:rsidRDefault="00AC2806" w:rsidP="0010587F">
      <w:pPr>
        <w:tabs>
          <w:tab w:val="left" w:pos="-1440"/>
          <w:tab w:val="left" w:pos="-720"/>
        </w:tabs>
        <w:jc w:val="both"/>
        <w:rPr>
          <w:sz w:val="20"/>
          <w:szCs w:val="20"/>
        </w:rPr>
      </w:pPr>
    </w:p>
    <w:p w:rsidR="00AC2806" w:rsidRDefault="00AC2806"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E62A55"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2203C0" w:rsidRDefault="00F22853" w:rsidP="003B3977">
            <w:pPr>
              <w:rPr>
                <w:sz w:val="20"/>
                <w:szCs w:val="20"/>
                <w:lang w:val="fr-CA"/>
              </w:rPr>
            </w:pPr>
            <w:r w:rsidRPr="002203C0">
              <w:rPr>
                <w:sz w:val="20"/>
                <w:szCs w:val="20"/>
                <w:lang w:val="fr-CA"/>
              </w:rPr>
              <w:t>21</w:t>
            </w:r>
            <w:r w:rsidR="0010587F" w:rsidRPr="002203C0">
              <w:rPr>
                <w:sz w:val="20"/>
                <w:szCs w:val="20"/>
                <w:lang w:val="fr-CA"/>
              </w:rPr>
              <w:t>.0</w:t>
            </w:r>
            <w:r w:rsidRPr="002203C0">
              <w:rPr>
                <w:sz w:val="20"/>
                <w:szCs w:val="20"/>
                <w:lang w:val="fr-CA"/>
              </w:rPr>
              <w:t>4</w:t>
            </w:r>
            <w:r w:rsidR="0010587F" w:rsidRPr="002203C0">
              <w:rPr>
                <w:sz w:val="20"/>
                <w:szCs w:val="20"/>
                <w:lang w:val="fr-CA"/>
              </w:rPr>
              <w:t>.201</w:t>
            </w:r>
            <w:r w:rsidRPr="002203C0">
              <w:rPr>
                <w:sz w:val="20"/>
                <w:szCs w:val="20"/>
                <w:lang w:val="fr-CA"/>
              </w:rPr>
              <w:t>1</w:t>
            </w:r>
          </w:p>
          <w:p w:rsidR="00430C47" w:rsidRPr="00430C47" w:rsidRDefault="00430C47" w:rsidP="003B3977">
            <w:pPr>
              <w:rPr>
                <w:sz w:val="20"/>
                <w:szCs w:val="20"/>
                <w:lang w:val="fr-CA"/>
              </w:rPr>
            </w:pPr>
          </w:p>
          <w:p w:rsidR="0010587F" w:rsidRPr="00430C47" w:rsidRDefault="00430C47" w:rsidP="003B3977">
            <w:pPr>
              <w:rPr>
                <w:b/>
                <w:sz w:val="20"/>
                <w:szCs w:val="20"/>
                <w:lang w:val="fr-CA"/>
              </w:rPr>
            </w:pPr>
            <w:r w:rsidRPr="00430C47">
              <w:rPr>
                <w:b/>
                <w:sz w:val="20"/>
                <w:szCs w:val="20"/>
                <w:lang w:val="fr-CA"/>
              </w:rPr>
              <w:t>Procureur g</w:t>
            </w:r>
            <w:r>
              <w:rPr>
                <w:b/>
                <w:sz w:val="20"/>
                <w:szCs w:val="20"/>
                <w:lang w:val="fr-CA"/>
              </w:rPr>
              <w:t>é</w:t>
            </w:r>
            <w:r w:rsidRPr="00430C47">
              <w:rPr>
                <w:b/>
                <w:sz w:val="20"/>
                <w:szCs w:val="20"/>
                <w:lang w:val="fr-CA"/>
              </w:rPr>
              <w:t>n</w:t>
            </w:r>
            <w:r>
              <w:rPr>
                <w:b/>
                <w:sz w:val="20"/>
                <w:szCs w:val="20"/>
                <w:lang w:val="fr-CA"/>
              </w:rPr>
              <w:t>é</w:t>
            </w:r>
            <w:r w:rsidRPr="00430C47">
              <w:rPr>
                <w:b/>
                <w:sz w:val="20"/>
                <w:szCs w:val="20"/>
                <w:lang w:val="fr-CA"/>
              </w:rPr>
              <w:t>ral du Québec et autres</w:t>
            </w:r>
          </w:p>
          <w:p w:rsidR="0010587F" w:rsidRPr="00430C47" w:rsidRDefault="0010587F" w:rsidP="003B3977">
            <w:pPr>
              <w:rPr>
                <w:b/>
                <w:sz w:val="20"/>
                <w:szCs w:val="20"/>
                <w:lang w:val="fr-CA"/>
              </w:rPr>
            </w:pPr>
          </w:p>
          <w:p w:rsidR="0010587F" w:rsidRPr="00430C47" w:rsidRDefault="0010587F" w:rsidP="003B3977">
            <w:pPr>
              <w:rPr>
                <w:b/>
                <w:sz w:val="20"/>
                <w:szCs w:val="20"/>
                <w:lang w:val="fr-CA"/>
              </w:rPr>
            </w:pPr>
            <w:r w:rsidRPr="00430C47">
              <w:rPr>
                <w:b/>
                <w:sz w:val="20"/>
                <w:szCs w:val="20"/>
                <w:lang w:val="fr-CA"/>
              </w:rPr>
              <w:tab/>
            </w:r>
            <w:r w:rsidR="00430C47">
              <w:rPr>
                <w:b/>
                <w:sz w:val="20"/>
                <w:szCs w:val="20"/>
                <w:lang w:val="fr-CA"/>
              </w:rPr>
              <w:t>c</w:t>
            </w:r>
            <w:r w:rsidRPr="00430C47">
              <w:rPr>
                <w:b/>
                <w:sz w:val="20"/>
                <w:szCs w:val="20"/>
                <w:lang w:val="fr-CA"/>
              </w:rPr>
              <w:t>. (339</w:t>
            </w:r>
            <w:r w:rsidR="00430C47" w:rsidRPr="00430C47">
              <w:rPr>
                <w:b/>
                <w:sz w:val="20"/>
                <w:szCs w:val="20"/>
                <w:lang w:val="fr-CA"/>
              </w:rPr>
              <w:t>90</w:t>
            </w:r>
            <w:r w:rsidRPr="00430C47">
              <w:rPr>
                <w:b/>
                <w:sz w:val="20"/>
                <w:szCs w:val="20"/>
                <w:lang w:val="fr-CA"/>
              </w:rPr>
              <w:t>)</w:t>
            </w:r>
          </w:p>
          <w:p w:rsidR="0010587F" w:rsidRPr="00430C47" w:rsidRDefault="0010587F" w:rsidP="003B3977">
            <w:pPr>
              <w:rPr>
                <w:b/>
                <w:sz w:val="20"/>
                <w:szCs w:val="20"/>
                <w:lang w:val="fr-CA"/>
              </w:rPr>
            </w:pPr>
          </w:p>
          <w:p w:rsidR="0010587F" w:rsidRPr="00430C47" w:rsidRDefault="00430C47" w:rsidP="003B3977">
            <w:pPr>
              <w:rPr>
                <w:b/>
                <w:sz w:val="20"/>
                <w:szCs w:val="20"/>
                <w:lang w:val="fr-CA"/>
              </w:rPr>
            </w:pPr>
            <w:r w:rsidRPr="00430C47">
              <w:rPr>
                <w:b/>
                <w:sz w:val="20"/>
                <w:szCs w:val="20"/>
                <w:lang w:val="fr-CA"/>
              </w:rPr>
              <w:t>A et autres</w:t>
            </w:r>
            <w:r w:rsidR="0010587F" w:rsidRPr="00430C47">
              <w:rPr>
                <w:b/>
                <w:sz w:val="20"/>
                <w:szCs w:val="20"/>
                <w:lang w:val="fr-CA"/>
              </w:rPr>
              <w:t xml:space="preserve"> (</w:t>
            </w:r>
            <w:r w:rsidRPr="00430C47">
              <w:rPr>
                <w:b/>
                <w:sz w:val="20"/>
                <w:szCs w:val="20"/>
                <w:lang w:val="fr-CA"/>
              </w:rPr>
              <w:t>Qc</w:t>
            </w:r>
            <w:r w:rsidR="0010587F" w:rsidRPr="00430C47">
              <w:rPr>
                <w:b/>
                <w:sz w:val="20"/>
                <w:szCs w:val="20"/>
                <w:lang w:val="fr-CA"/>
              </w:rPr>
              <w:t>)</w:t>
            </w:r>
          </w:p>
          <w:p w:rsidR="0010587F" w:rsidRPr="00430C47" w:rsidRDefault="0010587F" w:rsidP="003B3977">
            <w:pPr>
              <w:rPr>
                <w:sz w:val="20"/>
                <w:szCs w:val="20"/>
                <w:lang w:val="fr-CA"/>
              </w:rPr>
            </w:pPr>
          </w:p>
          <w:p w:rsidR="0010587F" w:rsidRPr="003B3977" w:rsidRDefault="0010587F" w:rsidP="003B3977">
            <w:pPr>
              <w:rPr>
                <w:sz w:val="20"/>
                <w:szCs w:val="20"/>
              </w:rPr>
            </w:pPr>
            <w:r w:rsidRPr="003B3977">
              <w:rPr>
                <w:sz w:val="20"/>
                <w:szCs w:val="20"/>
              </w:rPr>
              <w:t>(A</w:t>
            </w:r>
            <w:r w:rsidR="00430C47">
              <w:rPr>
                <w:sz w:val="20"/>
                <w:szCs w:val="20"/>
              </w:rPr>
              <w:t>utorisation</w:t>
            </w:r>
            <w:r w:rsidRPr="003B3977">
              <w:rPr>
                <w:sz w:val="20"/>
                <w:szCs w:val="20"/>
              </w:rPr>
              <w:t>)</w:t>
            </w:r>
          </w:p>
          <w:p w:rsidR="0010587F" w:rsidRPr="003B3977" w:rsidRDefault="0010587F" w:rsidP="003B3977">
            <w:pPr>
              <w:rPr>
                <w:sz w:val="20"/>
                <w:szCs w:val="20"/>
              </w:rPr>
            </w:pPr>
          </w:p>
          <w:p w:rsidR="0010587F" w:rsidRPr="003B3977" w:rsidRDefault="00CF05D4" w:rsidP="003B3977">
            <w:pPr>
              <w:rPr>
                <w:sz w:val="20"/>
                <w:szCs w:val="20"/>
                <w:lang w:val="fr-CA"/>
              </w:rPr>
            </w:pPr>
            <w:r w:rsidRPr="00CF05D4">
              <w:rPr>
                <w:sz w:val="20"/>
                <w:szCs w:val="20"/>
                <w:lang w:val="fr-CA"/>
              </w:rPr>
              <w:pict>
                <v:rect id="_x0000_i1090"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430C47" w:rsidRPr="003B3977" w:rsidRDefault="00430C47" w:rsidP="0010587F">
            <w:pPr>
              <w:jc w:val="center"/>
              <w:rPr>
                <w:sz w:val="20"/>
                <w:szCs w:val="20"/>
              </w:rPr>
            </w:pPr>
          </w:p>
        </w:tc>
        <w:tc>
          <w:tcPr>
            <w:tcW w:w="2206" w:type="pct"/>
          </w:tcPr>
          <w:p w:rsidR="00430C47" w:rsidRPr="00430C47" w:rsidRDefault="00430C47" w:rsidP="00430C47">
            <w:pPr>
              <w:rPr>
                <w:sz w:val="20"/>
                <w:szCs w:val="20"/>
                <w:lang w:val="fr-CA"/>
              </w:rPr>
            </w:pPr>
            <w:r w:rsidRPr="00430C47">
              <w:rPr>
                <w:sz w:val="20"/>
                <w:szCs w:val="20"/>
                <w:lang w:val="fr-CA"/>
              </w:rPr>
              <w:t>21.04.2011</w:t>
            </w:r>
          </w:p>
          <w:p w:rsidR="00430C47" w:rsidRPr="00430C47" w:rsidRDefault="00430C47" w:rsidP="00430C47">
            <w:pPr>
              <w:rPr>
                <w:sz w:val="20"/>
                <w:szCs w:val="20"/>
                <w:lang w:val="fr-CA"/>
              </w:rPr>
            </w:pPr>
          </w:p>
          <w:p w:rsidR="00BA26C3" w:rsidRPr="00025C0A" w:rsidRDefault="00BA26C3" w:rsidP="00BA26C3">
            <w:pPr>
              <w:rPr>
                <w:b/>
                <w:sz w:val="20"/>
                <w:szCs w:val="20"/>
                <w:lang w:val="fr-CA"/>
              </w:rPr>
            </w:pPr>
            <w:r>
              <w:rPr>
                <w:b/>
                <w:sz w:val="20"/>
                <w:szCs w:val="20"/>
                <w:lang w:val="fr-CA"/>
              </w:rPr>
              <w:t>Tessier Ltée</w:t>
            </w:r>
            <w:r w:rsidRPr="00025C0A">
              <w:rPr>
                <w:b/>
                <w:sz w:val="20"/>
                <w:szCs w:val="20"/>
                <w:lang w:val="fr-CA"/>
              </w:rPr>
              <w:t xml:space="preserve"> </w:t>
            </w:r>
          </w:p>
          <w:p w:rsidR="00BA26C3" w:rsidRPr="00025C0A" w:rsidRDefault="00BA26C3" w:rsidP="00BA26C3">
            <w:pPr>
              <w:rPr>
                <w:b/>
                <w:sz w:val="20"/>
                <w:szCs w:val="20"/>
                <w:lang w:val="fr-CA"/>
              </w:rPr>
            </w:pPr>
          </w:p>
          <w:p w:rsidR="00BA26C3" w:rsidRPr="00025C0A" w:rsidRDefault="00BA26C3" w:rsidP="00BA26C3">
            <w:pPr>
              <w:rPr>
                <w:b/>
                <w:sz w:val="20"/>
                <w:szCs w:val="20"/>
                <w:lang w:val="fr-CA"/>
              </w:rPr>
            </w:pPr>
            <w:r w:rsidRPr="00025C0A">
              <w:rPr>
                <w:b/>
                <w:sz w:val="20"/>
                <w:szCs w:val="20"/>
                <w:lang w:val="fr-CA"/>
              </w:rPr>
              <w:tab/>
            </w:r>
            <w:r>
              <w:rPr>
                <w:b/>
                <w:sz w:val="20"/>
                <w:szCs w:val="20"/>
                <w:lang w:val="fr-CA"/>
              </w:rPr>
              <w:t>c</w:t>
            </w:r>
            <w:r w:rsidRPr="00025C0A">
              <w:rPr>
                <w:b/>
                <w:sz w:val="20"/>
                <w:szCs w:val="20"/>
                <w:lang w:val="fr-CA"/>
              </w:rPr>
              <w:t>. (33935)</w:t>
            </w:r>
          </w:p>
          <w:p w:rsidR="00BA26C3" w:rsidRPr="00025C0A" w:rsidRDefault="00BA26C3" w:rsidP="00BA26C3">
            <w:pPr>
              <w:rPr>
                <w:b/>
                <w:sz w:val="20"/>
                <w:szCs w:val="20"/>
                <w:lang w:val="fr-CA"/>
              </w:rPr>
            </w:pPr>
          </w:p>
          <w:p w:rsidR="00BA26C3" w:rsidRPr="00025C0A" w:rsidRDefault="00BA26C3" w:rsidP="00BA26C3">
            <w:pPr>
              <w:rPr>
                <w:b/>
                <w:sz w:val="20"/>
                <w:szCs w:val="20"/>
                <w:lang w:val="fr-CA"/>
              </w:rPr>
            </w:pPr>
            <w:r w:rsidRPr="00025C0A">
              <w:rPr>
                <w:b/>
                <w:sz w:val="20"/>
                <w:szCs w:val="20"/>
                <w:lang w:val="fr-CA"/>
              </w:rPr>
              <w:t>Commission de</w:t>
            </w:r>
            <w:r>
              <w:rPr>
                <w:b/>
                <w:sz w:val="20"/>
                <w:szCs w:val="20"/>
                <w:lang w:val="fr-CA"/>
              </w:rPr>
              <w:t xml:space="preserve"> la </w:t>
            </w:r>
            <w:r w:rsidRPr="00025C0A">
              <w:rPr>
                <w:b/>
                <w:sz w:val="20"/>
                <w:szCs w:val="20"/>
                <w:lang w:val="fr-CA"/>
              </w:rPr>
              <w:t>s</w:t>
            </w:r>
            <w:r>
              <w:rPr>
                <w:b/>
                <w:sz w:val="20"/>
                <w:szCs w:val="20"/>
                <w:lang w:val="fr-CA"/>
              </w:rPr>
              <w:t>a</w:t>
            </w:r>
            <w:r w:rsidRPr="00025C0A">
              <w:rPr>
                <w:b/>
                <w:sz w:val="20"/>
                <w:szCs w:val="20"/>
                <w:lang w:val="fr-CA"/>
              </w:rPr>
              <w:t>n</w:t>
            </w:r>
            <w:r>
              <w:rPr>
                <w:b/>
                <w:sz w:val="20"/>
                <w:szCs w:val="20"/>
                <w:lang w:val="fr-CA"/>
              </w:rPr>
              <w:t>té et de la sécurité du travail</w:t>
            </w:r>
            <w:r w:rsidRPr="00025C0A">
              <w:rPr>
                <w:b/>
                <w:sz w:val="20"/>
                <w:szCs w:val="20"/>
                <w:lang w:val="fr-CA"/>
              </w:rPr>
              <w:t xml:space="preserve"> (Qc)</w:t>
            </w:r>
          </w:p>
          <w:p w:rsidR="00430C47" w:rsidRPr="00430C47" w:rsidRDefault="00430C47" w:rsidP="00430C47">
            <w:pPr>
              <w:rPr>
                <w:sz w:val="20"/>
                <w:szCs w:val="20"/>
                <w:lang w:val="fr-CA"/>
              </w:rPr>
            </w:pPr>
          </w:p>
          <w:p w:rsidR="00430C47" w:rsidRPr="003B3977" w:rsidRDefault="00430C47" w:rsidP="00430C47">
            <w:pPr>
              <w:rPr>
                <w:sz w:val="20"/>
                <w:szCs w:val="20"/>
              </w:rPr>
            </w:pPr>
            <w:r w:rsidRPr="003B3977">
              <w:rPr>
                <w:sz w:val="20"/>
                <w:szCs w:val="20"/>
              </w:rPr>
              <w:t>(A</w:t>
            </w:r>
            <w:r>
              <w:rPr>
                <w:sz w:val="20"/>
                <w:szCs w:val="20"/>
              </w:rPr>
              <w:t>utorisation</w:t>
            </w:r>
            <w:r w:rsidRPr="003B3977">
              <w:rPr>
                <w:sz w:val="20"/>
                <w:szCs w:val="20"/>
              </w:rPr>
              <w:t>)</w:t>
            </w:r>
          </w:p>
          <w:p w:rsidR="0010587F" w:rsidRPr="003B3977" w:rsidRDefault="0010587F" w:rsidP="003B3977">
            <w:pPr>
              <w:rPr>
                <w:sz w:val="20"/>
                <w:szCs w:val="20"/>
              </w:rPr>
            </w:pPr>
          </w:p>
          <w:p w:rsidR="0010587F" w:rsidRPr="003B3977" w:rsidRDefault="00CF05D4" w:rsidP="003B3977">
            <w:pPr>
              <w:rPr>
                <w:sz w:val="20"/>
                <w:szCs w:val="20"/>
              </w:rPr>
            </w:pPr>
            <w:r w:rsidRPr="00CF05D4">
              <w:rPr>
                <w:sz w:val="20"/>
                <w:szCs w:val="20"/>
                <w:lang w:val="fr-CA"/>
              </w:rPr>
              <w:pict>
                <v:rect id="_x0000_i1091"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BA26C3" w:rsidRPr="003B3977" w:rsidRDefault="00BA26C3" w:rsidP="00BA26C3">
            <w:pPr>
              <w:rPr>
                <w:sz w:val="20"/>
                <w:szCs w:val="20"/>
              </w:rPr>
            </w:pPr>
            <w:r>
              <w:rPr>
                <w:sz w:val="20"/>
                <w:szCs w:val="20"/>
              </w:rPr>
              <w:t>2</w:t>
            </w:r>
            <w:r w:rsidRPr="003B3977">
              <w:rPr>
                <w:sz w:val="20"/>
                <w:szCs w:val="20"/>
              </w:rPr>
              <w:t>6.0</w:t>
            </w:r>
            <w:r>
              <w:rPr>
                <w:sz w:val="20"/>
                <w:szCs w:val="20"/>
              </w:rPr>
              <w:t>4</w:t>
            </w:r>
            <w:r w:rsidRPr="003B3977">
              <w:rPr>
                <w:sz w:val="20"/>
                <w:szCs w:val="20"/>
              </w:rPr>
              <w:t>.201</w:t>
            </w:r>
            <w:r>
              <w:rPr>
                <w:sz w:val="20"/>
                <w:szCs w:val="20"/>
              </w:rPr>
              <w:t>1</w:t>
            </w:r>
          </w:p>
          <w:p w:rsidR="00BA26C3" w:rsidRPr="003B3977" w:rsidRDefault="00BA26C3" w:rsidP="00BA26C3">
            <w:pPr>
              <w:rPr>
                <w:sz w:val="20"/>
                <w:szCs w:val="20"/>
              </w:rPr>
            </w:pPr>
          </w:p>
          <w:p w:rsidR="00BA26C3" w:rsidRPr="003B3977" w:rsidRDefault="00BA26C3" w:rsidP="00BA26C3">
            <w:pPr>
              <w:rPr>
                <w:b/>
                <w:sz w:val="20"/>
                <w:szCs w:val="20"/>
              </w:rPr>
            </w:pPr>
            <w:r>
              <w:rPr>
                <w:b/>
                <w:sz w:val="20"/>
                <w:szCs w:val="20"/>
              </w:rPr>
              <w:t>Entertainment Software Association et al.</w:t>
            </w:r>
          </w:p>
          <w:p w:rsidR="00BA26C3" w:rsidRPr="003B3977" w:rsidRDefault="00BA26C3" w:rsidP="00BA26C3">
            <w:pPr>
              <w:rPr>
                <w:b/>
                <w:sz w:val="20"/>
                <w:szCs w:val="20"/>
              </w:rPr>
            </w:pPr>
          </w:p>
          <w:p w:rsidR="00BA26C3" w:rsidRPr="003B3977" w:rsidRDefault="00BA26C3" w:rsidP="00BA26C3">
            <w:pPr>
              <w:rPr>
                <w:b/>
                <w:sz w:val="20"/>
                <w:szCs w:val="20"/>
              </w:rPr>
            </w:pPr>
            <w:r w:rsidRPr="003B3977">
              <w:rPr>
                <w:b/>
                <w:sz w:val="20"/>
                <w:szCs w:val="20"/>
              </w:rPr>
              <w:tab/>
              <w:t>v. (339</w:t>
            </w:r>
            <w:r>
              <w:rPr>
                <w:b/>
                <w:sz w:val="20"/>
                <w:szCs w:val="20"/>
              </w:rPr>
              <w:t>2</w:t>
            </w:r>
            <w:r w:rsidRPr="003B3977">
              <w:rPr>
                <w:b/>
                <w:sz w:val="20"/>
                <w:szCs w:val="20"/>
              </w:rPr>
              <w:t>1)</w:t>
            </w:r>
          </w:p>
          <w:p w:rsidR="00BA26C3" w:rsidRPr="003B3977" w:rsidRDefault="00BA26C3" w:rsidP="00BA26C3">
            <w:pPr>
              <w:rPr>
                <w:b/>
                <w:sz w:val="20"/>
                <w:szCs w:val="20"/>
              </w:rPr>
            </w:pPr>
          </w:p>
          <w:p w:rsidR="00BA26C3" w:rsidRPr="003B3977" w:rsidRDefault="00BA26C3" w:rsidP="00BA26C3">
            <w:pPr>
              <w:rPr>
                <w:b/>
                <w:sz w:val="20"/>
                <w:szCs w:val="20"/>
              </w:rPr>
            </w:pPr>
            <w:r>
              <w:rPr>
                <w:b/>
                <w:sz w:val="20"/>
                <w:szCs w:val="20"/>
              </w:rPr>
              <w:t>Society of Composers, Authors and Music Publishers of Canada</w:t>
            </w:r>
            <w:r w:rsidRPr="003B3977">
              <w:rPr>
                <w:b/>
                <w:sz w:val="20"/>
                <w:szCs w:val="20"/>
              </w:rPr>
              <w:t xml:space="preserve"> (</w:t>
            </w:r>
            <w:r>
              <w:rPr>
                <w:b/>
                <w:sz w:val="20"/>
                <w:szCs w:val="20"/>
              </w:rPr>
              <w:t>F.C.</w:t>
            </w:r>
            <w:r w:rsidRPr="003B3977">
              <w:rPr>
                <w:b/>
                <w:sz w:val="20"/>
                <w:szCs w:val="20"/>
              </w:rPr>
              <w:t>)</w:t>
            </w:r>
          </w:p>
          <w:p w:rsidR="00BA26C3" w:rsidRPr="003B3977" w:rsidRDefault="00BA26C3" w:rsidP="00BA26C3">
            <w:pPr>
              <w:rPr>
                <w:sz w:val="20"/>
                <w:szCs w:val="20"/>
              </w:rPr>
            </w:pPr>
          </w:p>
          <w:p w:rsidR="00BA26C3" w:rsidRPr="003B3977" w:rsidRDefault="00BA26C3" w:rsidP="00BA26C3">
            <w:pPr>
              <w:rPr>
                <w:sz w:val="20"/>
                <w:szCs w:val="20"/>
              </w:rPr>
            </w:pPr>
            <w:r w:rsidRPr="003B3977">
              <w:rPr>
                <w:sz w:val="20"/>
                <w:szCs w:val="20"/>
              </w:rPr>
              <w:t>(</w:t>
            </w:r>
            <w:r>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F05D4" w:rsidP="003B3977">
            <w:pPr>
              <w:rPr>
                <w:sz w:val="20"/>
                <w:szCs w:val="20"/>
              </w:rPr>
            </w:pPr>
            <w:r w:rsidRPr="00CF05D4">
              <w:rPr>
                <w:sz w:val="20"/>
                <w:szCs w:val="20"/>
                <w:lang w:val="fr-CA"/>
              </w:rPr>
              <w:pict>
                <v:rect id="_x0000_i1092"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BA26C3" w:rsidRPr="003B3977" w:rsidRDefault="00BA26C3" w:rsidP="0010587F">
            <w:pPr>
              <w:jc w:val="center"/>
              <w:rPr>
                <w:sz w:val="20"/>
                <w:szCs w:val="20"/>
              </w:rPr>
            </w:pPr>
          </w:p>
          <w:p w:rsidR="0010587F" w:rsidRPr="003B3977" w:rsidRDefault="0010587F" w:rsidP="0010587F">
            <w:pPr>
              <w:jc w:val="center"/>
              <w:rPr>
                <w:sz w:val="20"/>
                <w:szCs w:val="20"/>
              </w:rPr>
            </w:pPr>
          </w:p>
        </w:tc>
        <w:tc>
          <w:tcPr>
            <w:tcW w:w="2206" w:type="pct"/>
          </w:tcPr>
          <w:p w:rsidR="00BA26C3" w:rsidRDefault="00BA26C3" w:rsidP="001F6E11">
            <w:pPr>
              <w:rPr>
                <w:sz w:val="20"/>
                <w:szCs w:val="20"/>
              </w:rPr>
            </w:pPr>
          </w:p>
          <w:p w:rsidR="001F6E11" w:rsidRPr="003B3977" w:rsidRDefault="001F6E11" w:rsidP="001F6E11">
            <w:pPr>
              <w:rPr>
                <w:sz w:val="20"/>
                <w:szCs w:val="20"/>
              </w:rPr>
            </w:pPr>
            <w:r>
              <w:rPr>
                <w:sz w:val="20"/>
                <w:szCs w:val="20"/>
              </w:rPr>
              <w:t>2</w:t>
            </w:r>
            <w:r w:rsidRPr="003B3977">
              <w:rPr>
                <w:sz w:val="20"/>
                <w:szCs w:val="20"/>
              </w:rPr>
              <w:t>6.0</w:t>
            </w:r>
            <w:r>
              <w:rPr>
                <w:sz w:val="20"/>
                <w:szCs w:val="20"/>
              </w:rPr>
              <w:t>4</w:t>
            </w:r>
            <w:r w:rsidRPr="003B3977">
              <w:rPr>
                <w:sz w:val="20"/>
                <w:szCs w:val="20"/>
              </w:rPr>
              <w:t>.201</w:t>
            </w:r>
            <w:r>
              <w:rPr>
                <w:sz w:val="20"/>
                <w:szCs w:val="20"/>
              </w:rPr>
              <w:t>1</w:t>
            </w:r>
          </w:p>
          <w:p w:rsidR="001F6E11" w:rsidRPr="003B3977" w:rsidRDefault="001F6E11" w:rsidP="001F6E11">
            <w:pPr>
              <w:rPr>
                <w:sz w:val="20"/>
                <w:szCs w:val="20"/>
              </w:rPr>
            </w:pPr>
          </w:p>
          <w:p w:rsidR="001F6E11" w:rsidRPr="003B3977" w:rsidRDefault="001F6E11" w:rsidP="001F6E11">
            <w:pPr>
              <w:rPr>
                <w:b/>
                <w:sz w:val="20"/>
                <w:szCs w:val="20"/>
              </w:rPr>
            </w:pPr>
            <w:r>
              <w:rPr>
                <w:b/>
                <w:sz w:val="20"/>
                <w:szCs w:val="20"/>
              </w:rPr>
              <w:t>Her Majesty the Queen</w:t>
            </w:r>
          </w:p>
          <w:p w:rsidR="001F6E11" w:rsidRPr="003B3977" w:rsidRDefault="001F6E11" w:rsidP="001F6E11">
            <w:pPr>
              <w:rPr>
                <w:b/>
                <w:sz w:val="20"/>
                <w:szCs w:val="20"/>
              </w:rPr>
            </w:pPr>
          </w:p>
          <w:p w:rsidR="001F6E11" w:rsidRPr="003B3977" w:rsidRDefault="001F6E11" w:rsidP="001F6E11">
            <w:pPr>
              <w:rPr>
                <w:b/>
                <w:sz w:val="20"/>
                <w:szCs w:val="20"/>
              </w:rPr>
            </w:pPr>
            <w:r w:rsidRPr="003B3977">
              <w:rPr>
                <w:b/>
                <w:sz w:val="20"/>
                <w:szCs w:val="20"/>
              </w:rPr>
              <w:tab/>
              <w:t>v. (338</w:t>
            </w:r>
            <w:r>
              <w:rPr>
                <w:b/>
                <w:sz w:val="20"/>
                <w:szCs w:val="20"/>
              </w:rPr>
              <w:t>74</w:t>
            </w:r>
            <w:r w:rsidRPr="003B3977">
              <w:rPr>
                <w:b/>
                <w:sz w:val="20"/>
                <w:szCs w:val="20"/>
              </w:rPr>
              <w:t>)</w:t>
            </w:r>
          </w:p>
          <w:p w:rsidR="001F6E11" w:rsidRPr="003B3977" w:rsidRDefault="001F6E11" w:rsidP="001F6E11">
            <w:pPr>
              <w:rPr>
                <w:b/>
                <w:sz w:val="20"/>
                <w:szCs w:val="20"/>
              </w:rPr>
            </w:pPr>
          </w:p>
          <w:p w:rsidR="001F6E11" w:rsidRPr="003B3977" w:rsidRDefault="001F6E11" w:rsidP="001F6E11">
            <w:pPr>
              <w:rPr>
                <w:b/>
                <w:sz w:val="20"/>
                <w:szCs w:val="20"/>
              </w:rPr>
            </w:pPr>
            <w:r>
              <w:rPr>
                <w:b/>
                <w:sz w:val="20"/>
                <w:szCs w:val="20"/>
              </w:rPr>
              <w:t>GlaxoSmithKline Inc.</w:t>
            </w:r>
            <w:r w:rsidRPr="003B3977">
              <w:rPr>
                <w:b/>
                <w:sz w:val="20"/>
                <w:szCs w:val="20"/>
              </w:rPr>
              <w:t xml:space="preserve"> (</w:t>
            </w:r>
            <w:r>
              <w:rPr>
                <w:b/>
                <w:sz w:val="20"/>
                <w:szCs w:val="20"/>
              </w:rPr>
              <w:t>F</w:t>
            </w:r>
            <w:r w:rsidRPr="003B3977">
              <w:rPr>
                <w:b/>
                <w:sz w:val="20"/>
                <w:szCs w:val="20"/>
              </w:rPr>
              <w:t>.</w:t>
            </w:r>
            <w:r>
              <w:rPr>
                <w:b/>
                <w:sz w:val="20"/>
                <w:szCs w:val="20"/>
              </w:rPr>
              <w:t>C.</w:t>
            </w:r>
            <w:r w:rsidRPr="003B3977">
              <w:rPr>
                <w:b/>
                <w:sz w:val="20"/>
                <w:szCs w:val="20"/>
              </w:rPr>
              <w:t>)</w:t>
            </w:r>
          </w:p>
          <w:p w:rsidR="001F6E11" w:rsidRPr="003B3977" w:rsidRDefault="001F6E11" w:rsidP="001F6E11">
            <w:pPr>
              <w:rPr>
                <w:sz w:val="20"/>
                <w:szCs w:val="20"/>
              </w:rPr>
            </w:pPr>
          </w:p>
          <w:p w:rsidR="001F6E11" w:rsidRPr="003B3977" w:rsidRDefault="001F6E11" w:rsidP="001F6E11">
            <w:pPr>
              <w:rPr>
                <w:sz w:val="20"/>
                <w:szCs w:val="20"/>
              </w:rPr>
            </w:pPr>
            <w:r w:rsidRPr="003B3977">
              <w:rPr>
                <w:sz w:val="20"/>
                <w:szCs w:val="20"/>
              </w:rPr>
              <w:t>(By Leave)</w:t>
            </w:r>
          </w:p>
          <w:p w:rsidR="001F6E11" w:rsidRPr="001F6E11" w:rsidRDefault="001F6E11" w:rsidP="003B3977">
            <w:pPr>
              <w:rPr>
                <w:sz w:val="20"/>
                <w:szCs w:val="20"/>
              </w:rPr>
            </w:pPr>
          </w:p>
          <w:p w:rsidR="0010587F" w:rsidRPr="003B3977" w:rsidRDefault="00CF05D4" w:rsidP="003B3977">
            <w:pPr>
              <w:rPr>
                <w:sz w:val="20"/>
                <w:szCs w:val="20"/>
              </w:rPr>
            </w:pPr>
            <w:r w:rsidRPr="00CF05D4">
              <w:rPr>
                <w:sz w:val="20"/>
                <w:szCs w:val="20"/>
                <w:lang w:val="fr-CA"/>
              </w:rPr>
              <w:pict>
                <v:rect id="_x0000_i1093"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BA26C3" w:rsidRDefault="00025C0A" w:rsidP="003B3977">
            <w:pPr>
              <w:rPr>
                <w:sz w:val="20"/>
                <w:szCs w:val="20"/>
                <w:lang w:val="fr-CA"/>
              </w:rPr>
            </w:pPr>
            <w:r w:rsidRPr="00BA26C3">
              <w:rPr>
                <w:sz w:val="20"/>
                <w:szCs w:val="20"/>
                <w:lang w:val="fr-CA"/>
              </w:rPr>
              <w:t>2</w:t>
            </w:r>
            <w:r w:rsidR="0010587F" w:rsidRPr="00BA26C3">
              <w:rPr>
                <w:sz w:val="20"/>
                <w:szCs w:val="20"/>
                <w:lang w:val="fr-CA"/>
              </w:rPr>
              <w:t>6.0</w:t>
            </w:r>
            <w:r w:rsidRPr="00BA26C3">
              <w:rPr>
                <w:sz w:val="20"/>
                <w:szCs w:val="20"/>
                <w:lang w:val="fr-CA"/>
              </w:rPr>
              <w:t>4</w:t>
            </w:r>
            <w:r w:rsidR="0010587F" w:rsidRPr="00BA26C3">
              <w:rPr>
                <w:sz w:val="20"/>
                <w:szCs w:val="20"/>
                <w:lang w:val="fr-CA"/>
              </w:rPr>
              <w:t>.201</w:t>
            </w:r>
            <w:r w:rsidRPr="00BA26C3">
              <w:rPr>
                <w:sz w:val="20"/>
                <w:szCs w:val="20"/>
                <w:lang w:val="fr-CA"/>
              </w:rPr>
              <w:t>1</w:t>
            </w:r>
          </w:p>
          <w:p w:rsidR="0010587F" w:rsidRPr="00BA26C3" w:rsidRDefault="0010587F" w:rsidP="003B3977">
            <w:pPr>
              <w:rPr>
                <w:sz w:val="20"/>
                <w:szCs w:val="20"/>
                <w:lang w:val="fr-CA"/>
              </w:rPr>
            </w:pPr>
          </w:p>
          <w:p w:rsidR="00BA26C3" w:rsidRPr="00025C0A" w:rsidRDefault="00BA26C3" w:rsidP="00BA26C3">
            <w:pPr>
              <w:rPr>
                <w:b/>
                <w:sz w:val="20"/>
                <w:szCs w:val="20"/>
                <w:lang w:val="fr-CA"/>
              </w:rPr>
            </w:pPr>
            <w:r w:rsidRPr="00025C0A">
              <w:rPr>
                <w:b/>
                <w:sz w:val="20"/>
                <w:szCs w:val="20"/>
                <w:lang w:val="fr-CA"/>
              </w:rPr>
              <w:t>Rogers Communications Inc. et al.</w:t>
            </w:r>
          </w:p>
          <w:p w:rsidR="00BA26C3" w:rsidRPr="00025C0A" w:rsidRDefault="00BA26C3" w:rsidP="00BA26C3">
            <w:pPr>
              <w:rPr>
                <w:b/>
                <w:sz w:val="20"/>
                <w:szCs w:val="20"/>
                <w:lang w:val="fr-CA"/>
              </w:rPr>
            </w:pPr>
          </w:p>
          <w:p w:rsidR="00BA26C3" w:rsidRPr="003B3977" w:rsidRDefault="00BA26C3" w:rsidP="00BA26C3">
            <w:pPr>
              <w:rPr>
                <w:b/>
                <w:sz w:val="20"/>
                <w:szCs w:val="20"/>
              </w:rPr>
            </w:pPr>
            <w:r w:rsidRPr="00025C0A">
              <w:rPr>
                <w:b/>
                <w:sz w:val="20"/>
                <w:szCs w:val="20"/>
                <w:lang w:val="fr-CA"/>
              </w:rPr>
              <w:tab/>
            </w:r>
            <w:r w:rsidRPr="003B3977">
              <w:rPr>
                <w:b/>
                <w:sz w:val="20"/>
                <w:szCs w:val="20"/>
              </w:rPr>
              <w:t>v. (339</w:t>
            </w:r>
            <w:r w:rsidR="00983F38">
              <w:rPr>
                <w:b/>
                <w:sz w:val="20"/>
                <w:szCs w:val="20"/>
              </w:rPr>
              <w:t>22</w:t>
            </w:r>
            <w:r w:rsidRPr="003B3977">
              <w:rPr>
                <w:b/>
                <w:sz w:val="20"/>
                <w:szCs w:val="20"/>
              </w:rPr>
              <w:t>)</w:t>
            </w:r>
          </w:p>
          <w:p w:rsidR="0010587F" w:rsidRPr="003B3977" w:rsidRDefault="0010587F" w:rsidP="003B3977">
            <w:pPr>
              <w:rPr>
                <w:b/>
                <w:sz w:val="20"/>
                <w:szCs w:val="20"/>
              </w:rPr>
            </w:pPr>
          </w:p>
          <w:p w:rsidR="0010587F" w:rsidRPr="003B3977" w:rsidRDefault="00025C0A" w:rsidP="003B3977">
            <w:pPr>
              <w:rPr>
                <w:b/>
                <w:sz w:val="20"/>
                <w:szCs w:val="20"/>
              </w:rPr>
            </w:pPr>
            <w:r>
              <w:rPr>
                <w:b/>
                <w:sz w:val="20"/>
                <w:szCs w:val="20"/>
              </w:rPr>
              <w:t>Society of Composers, Authors and Music Publishers of Canada</w:t>
            </w:r>
            <w:r w:rsidR="0010587F" w:rsidRPr="003B3977">
              <w:rPr>
                <w:b/>
                <w:sz w:val="20"/>
                <w:szCs w:val="20"/>
              </w:rPr>
              <w:t xml:space="preserve"> (</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025C0A">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CF05D4" w:rsidP="003B3977">
            <w:pPr>
              <w:rPr>
                <w:sz w:val="20"/>
                <w:szCs w:val="20"/>
              </w:rPr>
            </w:pPr>
            <w:r w:rsidRPr="00CF05D4">
              <w:rPr>
                <w:sz w:val="20"/>
                <w:szCs w:val="20"/>
                <w:lang w:val="fr-CA"/>
              </w:rPr>
              <w:pict>
                <v:rect id="_x0000_i109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10587F" w:rsidP="0010587F">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B4740D" w:rsidRPr="00E62A55" w:rsidTr="00BA6468">
        <w:tc>
          <w:tcPr>
            <w:tcW w:w="4200" w:type="dxa"/>
            <w:shd w:val="clear" w:color="auto" w:fill="auto"/>
            <w:tcMar>
              <w:left w:w="0" w:type="dxa"/>
              <w:right w:w="0" w:type="dxa"/>
            </w:tcMar>
          </w:tcPr>
          <w:p w:rsidR="00B4740D" w:rsidRPr="00C1697B" w:rsidRDefault="00B4740D" w:rsidP="00096BD9">
            <w:pPr>
              <w:rPr>
                <w:b/>
                <w:szCs w:val="24"/>
              </w:rPr>
            </w:pPr>
            <w:r w:rsidRPr="00C1697B">
              <w:rPr>
                <w:b/>
                <w:szCs w:val="24"/>
              </w:rPr>
              <w:lastRenderedPageBreak/>
              <w:t>NOTICES OF INTERVENTION FILED SINCE LAST ISSUE</w:t>
            </w:r>
          </w:p>
        </w:tc>
        <w:tc>
          <w:tcPr>
            <w:tcW w:w="1200" w:type="dxa"/>
            <w:shd w:val="clear" w:color="auto" w:fill="auto"/>
            <w:tcMar>
              <w:left w:w="0" w:type="dxa"/>
              <w:right w:w="0" w:type="dxa"/>
            </w:tcMar>
          </w:tcPr>
          <w:p w:rsidR="00B4740D" w:rsidRPr="00C1697B" w:rsidRDefault="00B4740D" w:rsidP="00B4740D">
            <w:pPr>
              <w:jc w:val="center"/>
              <w:rPr>
                <w:b/>
                <w:szCs w:val="24"/>
              </w:rPr>
            </w:pPr>
          </w:p>
          <w:p w:rsidR="00B4740D" w:rsidRPr="00C1697B" w:rsidRDefault="00B4740D" w:rsidP="00B4740D">
            <w:pPr>
              <w:jc w:val="center"/>
              <w:rPr>
                <w:b/>
                <w:szCs w:val="24"/>
              </w:rPr>
            </w:pPr>
          </w:p>
          <w:p w:rsidR="00B4740D" w:rsidRPr="00C1697B" w:rsidRDefault="00B4740D" w:rsidP="00B4740D">
            <w:pPr>
              <w:jc w:val="center"/>
              <w:rPr>
                <w:b/>
                <w:szCs w:val="24"/>
              </w:rPr>
            </w:pPr>
          </w:p>
        </w:tc>
        <w:tc>
          <w:tcPr>
            <w:tcW w:w="4080" w:type="dxa"/>
            <w:shd w:val="clear" w:color="auto" w:fill="auto"/>
            <w:tcMar>
              <w:left w:w="0" w:type="dxa"/>
              <w:right w:w="0" w:type="dxa"/>
            </w:tcMar>
          </w:tcPr>
          <w:p w:rsidR="00B4740D" w:rsidRPr="00C1697B" w:rsidRDefault="00B4740D" w:rsidP="00096BD9">
            <w:pPr>
              <w:rPr>
                <w:b/>
                <w:szCs w:val="24"/>
                <w:lang w:val="fr-CA"/>
              </w:rPr>
            </w:pPr>
            <w:r w:rsidRPr="00C1697B">
              <w:rPr>
                <w:b/>
                <w:szCs w:val="24"/>
                <w:lang w:val="fr-CA"/>
              </w:rPr>
              <w:t>AVIS D’INTERVENTION DÉPOSÉS DEPUIS LA DERNIÈRE PARUTION</w:t>
            </w:r>
          </w:p>
        </w:tc>
      </w:tr>
    </w:tbl>
    <w:p w:rsidR="00B4740D" w:rsidRPr="00C50A5C" w:rsidRDefault="00B4740D" w:rsidP="00B4740D">
      <w:pPr>
        <w:rPr>
          <w:sz w:val="20"/>
          <w:szCs w:val="20"/>
          <w:u w:val="single"/>
          <w:lang w:val="fr-CA"/>
        </w:rPr>
      </w:pPr>
    </w:p>
    <w:p w:rsidR="00B4740D" w:rsidRPr="00C96B64" w:rsidRDefault="00C96B64" w:rsidP="00B4740D">
      <w:pPr>
        <w:rPr>
          <w:sz w:val="20"/>
          <w:szCs w:val="20"/>
        </w:rPr>
      </w:pPr>
      <w:r w:rsidRPr="00C96B64">
        <w:rPr>
          <w:sz w:val="20"/>
          <w:szCs w:val="20"/>
        </w:rPr>
        <w:t>2</w:t>
      </w:r>
      <w:r w:rsidR="00B4740D" w:rsidRPr="00C96B64">
        <w:rPr>
          <w:sz w:val="20"/>
          <w:szCs w:val="20"/>
        </w:rPr>
        <w:t>6.0</w:t>
      </w:r>
      <w:r w:rsidRPr="00C96B64">
        <w:rPr>
          <w:sz w:val="20"/>
          <w:szCs w:val="20"/>
        </w:rPr>
        <w:t>4</w:t>
      </w:r>
      <w:r w:rsidR="00B4740D" w:rsidRPr="00C96B64">
        <w:rPr>
          <w:sz w:val="20"/>
          <w:szCs w:val="20"/>
        </w:rPr>
        <w:t>.20</w:t>
      </w:r>
      <w:r w:rsidRPr="00C96B64">
        <w:rPr>
          <w:sz w:val="20"/>
          <w:szCs w:val="20"/>
        </w:rPr>
        <w:t>11</w:t>
      </w:r>
    </w:p>
    <w:p w:rsidR="00B4740D" w:rsidRPr="00C96B64" w:rsidRDefault="00B4740D" w:rsidP="00B4740D">
      <w:pPr>
        <w:rPr>
          <w:sz w:val="20"/>
          <w:szCs w:val="20"/>
        </w:rPr>
      </w:pPr>
    </w:p>
    <w:p w:rsidR="00B4740D" w:rsidRPr="00C96B64" w:rsidRDefault="00B4740D" w:rsidP="00B4740D">
      <w:pPr>
        <w:rPr>
          <w:sz w:val="20"/>
          <w:szCs w:val="20"/>
        </w:rPr>
      </w:pPr>
      <w:r w:rsidRPr="00C96B64">
        <w:rPr>
          <w:sz w:val="20"/>
          <w:szCs w:val="20"/>
        </w:rPr>
        <w:t>BY / PAR:</w:t>
      </w:r>
      <w:r w:rsidRPr="00C96B64">
        <w:rPr>
          <w:sz w:val="20"/>
          <w:szCs w:val="20"/>
        </w:rPr>
        <w:tab/>
      </w:r>
      <w:r w:rsidR="00C96B64" w:rsidRPr="00C96B64">
        <w:rPr>
          <w:sz w:val="20"/>
          <w:szCs w:val="20"/>
        </w:rPr>
        <w:t>Attorney General of Canada</w:t>
      </w:r>
    </w:p>
    <w:p w:rsidR="00B4740D" w:rsidRPr="00C96B64" w:rsidRDefault="00B4740D" w:rsidP="00B4740D">
      <w:pPr>
        <w:rPr>
          <w:sz w:val="20"/>
          <w:szCs w:val="20"/>
        </w:rPr>
      </w:pPr>
    </w:p>
    <w:p w:rsidR="00B4740D" w:rsidRPr="00C96B64" w:rsidRDefault="00B4740D" w:rsidP="00B4740D">
      <w:pPr>
        <w:rPr>
          <w:sz w:val="20"/>
          <w:szCs w:val="20"/>
        </w:rPr>
      </w:pPr>
    </w:p>
    <w:p w:rsidR="00B4740D" w:rsidRDefault="00B4740D" w:rsidP="00B4740D">
      <w:pPr>
        <w:rPr>
          <w:b/>
          <w:sz w:val="20"/>
          <w:szCs w:val="20"/>
        </w:rPr>
      </w:pPr>
      <w:r w:rsidRPr="00C50A5C">
        <w:rPr>
          <w:sz w:val="20"/>
          <w:szCs w:val="20"/>
        </w:rPr>
        <w:t>IN / DANS:</w:t>
      </w:r>
      <w:r w:rsidRPr="00C50A5C">
        <w:rPr>
          <w:sz w:val="20"/>
          <w:szCs w:val="20"/>
        </w:rPr>
        <w:tab/>
      </w:r>
      <w:r w:rsidR="00C96B64">
        <w:rPr>
          <w:b/>
          <w:sz w:val="20"/>
          <w:szCs w:val="20"/>
        </w:rPr>
        <w:t>Her Majesty the Queen</w:t>
      </w:r>
    </w:p>
    <w:p w:rsidR="00C96B64" w:rsidRPr="00C50A5C" w:rsidRDefault="00C96B64" w:rsidP="00B4740D">
      <w:pPr>
        <w:rPr>
          <w:b/>
          <w:sz w:val="20"/>
          <w:szCs w:val="20"/>
        </w:rPr>
      </w:pPr>
    </w:p>
    <w:p w:rsidR="00B4740D" w:rsidRPr="002203C0" w:rsidRDefault="00B4740D" w:rsidP="00B4740D">
      <w:pPr>
        <w:rPr>
          <w:b/>
          <w:sz w:val="20"/>
          <w:szCs w:val="20"/>
        </w:rPr>
      </w:pPr>
      <w:r w:rsidRPr="00C50A5C">
        <w:rPr>
          <w:b/>
          <w:sz w:val="20"/>
          <w:szCs w:val="20"/>
        </w:rPr>
        <w:tab/>
      </w:r>
      <w:r w:rsidRPr="00C50A5C">
        <w:rPr>
          <w:b/>
          <w:sz w:val="20"/>
          <w:szCs w:val="20"/>
        </w:rPr>
        <w:tab/>
      </w:r>
      <w:r w:rsidRPr="00C50A5C">
        <w:rPr>
          <w:b/>
          <w:sz w:val="20"/>
          <w:szCs w:val="20"/>
        </w:rPr>
        <w:tab/>
      </w:r>
      <w:r w:rsidR="00C96B64" w:rsidRPr="002203C0">
        <w:rPr>
          <w:b/>
          <w:sz w:val="20"/>
          <w:szCs w:val="20"/>
        </w:rPr>
        <w:t>v</w:t>
      </w:r>
      <w:r w:rsidRPr="002203C0">
        <w:rPr>
          <w:b/>
          <w:sz w:val="20"/>
          <w:szCs w:val="20"/>
        </w:rPr>
        <w:t>. (3</w:t>
      </w:r>
      <w:r w:rsidR="00C96B64" w:rsidRPr="002203C0">
        <w:rPr>
          <w:b/>
          <w:sz w:val="20"/>
          <w:szCs w:val="20"/>
        </w:rPr>
        <w:t>3751</w:t>
      </w:r>
      <w:r w:rsidRPr="002203C0">
        <w:rPr>
          <w:b/>
          <w:sz w:val="20"/>
          <w:szCs w:val="20"/>
        </w:rPr>
        <w:t>)</w:t>
      </w:r>
    </w:p>
    <w:p w:rsidR="00B4740D" w:rsidRPr="002203C0" w:rsidRDefault="00B4740D" w:rsidP="00B4740D">
      <w:pPr>
        <w:rPr>
          <w:b/>
          <w:sz w:val="20"/>
          <w:szCs w:val="20"/>
        </w:rPr>
      </w:pPr>
    </w:p>
    <w:p w:rsidR="00B4740D" w:rsidRPr="00C50A5C" w:rsidRDefault="00B4740D" w:rsidP="00B4740D">
      <w:pPr>
        <w:rPr>
          <w:b/>
          <w:sz w:val="20"/>
          <w:szCs w:val="20"/>
          <w:lang w:val="fr-CA"/>
        </w:rPr>
      </w:pPr>
      <w:r w:rsidRPr="002203C0">
        <w:rPr>
          <w:b/>
          <w:sz w:val="20"/>
          <w:szCs w:val="20"/>
        </w:rPr>
        <w:tab/>
      </w:r>
      <w:r w:rsidRPr="002203C0">
        <w:rPr>
          <w:b/>
          <w:sz w:val="20"/>
          <w:szCs w:val="20"/>
        </w:rPr>
        <w:tab/>
      </w:r>
      <w:r w:rsidR="00C96B64" w:rsidRPr="00C96B64">
        <w:rPr>
          <w:b/>
          <w:sz w:val="20"/>
          <w:szCs w:val="20"/>
        </w:rPr>
        <w:t>Y</w:t>
      </w:r>
      <w:r w:rsidRPr="00C96B64">
        <w:rPr>
          <w:b/>
          <w:sz w:val="20"/>
          <w:szCs w:val="20"/>
        </w:rPr>
        <w:t>a</w:t>
      </w:r>
      <w:r w:rsidR="00C96B64" w:rsidRPr="00C96B64">
        <w:rPr>
          <w:b/>
          <w:sz w:val="20"/>
          <w:szCs w:val="20"/>
        </w:rPr>
        <w:t>t Fung Albert Tse et al.</w:t>
      </w:r>
      <w:r w:rsidRPr="00C96B64">
        <w:rPr>
          <w:b/>
          <w:sz w:val="20"/>
          <w:szCs w:val="20"/>
        </w:rPr>
        <w:t xml:space="preserve"> </w:t>
      </w:r>
      <w:r w:rsidRPr="00C50A5C">
        <w:rPr>
          <w:b/>
          <w:sz w:val="20"/>
          <w:szCs w:val="20"/>
          <w:lang w:val="fr-CA"/>
        </w:rPr>
        <w:t>(</w:t>
      </w:r>
      <w:r w:rsidR="00C96B64">
        <w:rPr>
          <w:b/>
          <w:sz w:val="20"/>
          <w:szCs w:val="20"/>
          <w:lang w:val="fr-CA"/>
        </w:rPr>
        <w:t>B.C.</w:t>
      </w:r>
      <w:r w:rsidRPr="00C50A5C">
        <w:rPr>
          <w:b/>
          <w:sz w:val="20"/>
          <w:szCs w:val="20"/>
          <w:lang w:val="fr-CA"/>
        </w:rPr>
        <w:t>)</w:t>
      </w:r>
    </w:p>
    <w:p w:rsidR="00B4740D" w:rsidRPr="00C50A5C" w:rsidRDefault="00B4740D" w:rsidP="00B4740D">
      <w:pPr>
        <w:rPr>
          <w:sz w:val="20"/>
          <w:szCs w:val="20"/>
          <w:lang w:val="fr-CA"/>
        </w:rPr>
      </w:pPr>
    </w:p>
    <w:p w:rsidR="00B4740D" w:rsidRPr="00C50A5C" w:rsidRDefault="00CF05D4" w:rsidP="00B4740D">
      <w:pPr>
        <w:rPr>
          <w:sz w:val="20"/>
          <w:szCs w:val="20"/>
          <w:lang w:val="fr-CA"/>
        </w:rPr>
      </w:pPr>
      <w:r w:rsidRPr="00CF05D4">
        <w:rPr>
          <w:sz w:val="20"/>
          <w:szCs w:val="20"/>
          <w:lang w:val="fr-CA"/>
        </w:rPr>
        <w:pict>
          <v:rect id="_x0000_i1097" style="width:2in;height:1pt" o:hrpct="0" o:hralign="center" o:hrstd="t" o:hrnoshade="t" o:hr="t" fillcolor="black [3213]" stroked="f"/>
        </w:pict>
      </w:r>
    </w:p>
    <w:p w:rsidR="00C96B64" w:rsidRDefault="00C96B64" w:rsidP="00B4740D">
      <w:pPr>
        <w:rPr>
          <w:sz w:val="20"/>
          <w:szCs w:val="20"/>
          <w:lang w:val="fr-CA"/>
        </w:rPr>
      </w:pPr>
    </w:p>
    <w:p w:rsidR="00C96B64" w:rsidRPr="00C96B64" w:rsidRDefault="00C96B64" w:rsidP="00C96B64">
      <w:pPr>
        <w:rPr>
          <w:sz w:val="20"/>
          <w:szCs w:val="20"/>
        </w:rPr>
      </w:pPr>
      <w:r w:rsidRPr="00C96B64">
        <w:rPr>
          <w:sz w:val="20"/>
          <w:szCs w:val="20"/>
        </w:rPr>
        <w:t>2</w:t>
      </w:r>
      <w:r>
        <w:rPr>
          <w:sz w:val="20"/>
          <w:szCs w:val="20"/>
        </w:rPr>
        <w:t>7</w:t>
      </w:r>
      <w:r w:rsidRPr="00C96B64">
        <w:rPr>
          <w:sz w:val="20"/>
          <w:szCs w:val="20"/>
        </w:rPr>
        <w:t>.04.2011</w:t>
      </w:r>
    </w:p>
    <w:p w:rsidR="00C96B64" w:rsidRPr="00C96B64" w:rsidRDefault="00C96B64" w:rsidP="00C96B64">
      <w:pPr>
        <w:rPr>
          <w:sz w:val="20"/>
          <w:szCs w:val="20"/>
        </w:rPr>
      </w:pPr>
    </w:p>
    <w:p w:rsidR="00C96B64" w:rsidRPr="00C96B64" w:rsidRDefault="00C96B64" w:rsidP="00C96B64">
      <w:pPr>
        <w:rPr>
          <w:sz w:val="20"/>
          <w:szCs w:val="20"/>
        </w:rPr>
      </w:pPr>
      <w:r w:rsidRPr="00C96B64">
        <w:rPr>
          <w:sz w:val="20"/>
          <w:szCs w:val="20"/>
        </w:rPr>
        <w:t>BY / PAR:</w:t>
      </w:r>
      <w:r w:rsidRPr="00C96B64">
        <w:rPr>
          <w:sz w:val="20"/>
          <w:szCs w:val="20"/>
        </w:rPr>
        <w:tab/>
        <w:t xml:space="preserve">Attorney General of </w:t>
      </w:r>
      <w:r>
        <w:rPr>
          <w:sz w:val="20"/>
          <w:szCs w:val="20"/>
        </w:rPr>
        <w:t>Ontario</w:t>
      </w:r>
    </w:p>
    <w:p w:rsidR="00C96B64" w:rsidRPr="00C96B64" w:rsidRDefault="00C96B64" w:rsidP="00C96B64">
      <w:pPr>
        <w:rPr>
          <w:sz w:val="20"/>
          <w:szCs w:val="20"/>
        </w:rPr>
      </w:pPr>
    </w:p>
    <w:p w:rsidR="00C96B64" w:rsidRPr="00C96B64" w:rsidRDefault="00C96B64" w:rsidP="00C96B64">
      <w:pPr>
        <w:rPr>
          <w:sz w:val="20"/>
          <w:szCs w:val="20"/>
        </w:rPr>
      </w:pPr>
    </w:p>
    <w:p w:rsidR="00C96B64" w:rsidRDefault="00C96B64" w:rsidP="00C96B64">
      <w:pPr>
        <w:rPr>
          <w:b/>
          <w:sz w:val="20"/>
          <w:szCs w:val="20"/>
        </w:rPr>
      </w:pPr>
      <w:r w:rsidRPr="00C50A5C">
        <w:rPr>
          <w:sz w:val="20"/>
          <w:szCs w:val="20"/>
        </w:rPr>
        <w:t>IN / DANS:</w:t>
      </w:r>
      <w:r w:rsidRPr="00C50A5C">
        <w:rPr>
          <w:sz w:val="20"/>
          <w:szCs w:val="20"/>
        </w:rPr>
        <w:tab/>
      </w:r>
      <w:r>
        <w:rPr>
          <w:b/>
          <w:sz w:val="20"/>
          <w:szCs w:val="20"/>
        </w:rPr>
        <w:t>Her Majesty the Queen</w:t>
      </w:r>
    </w:p>
    <w:p w:rsidR="00C96B64" w:rsidRPr="00C50A5C" w:rsidRDefault="00C96B64" w:rsidP="00C96B64">
      <w:pPr>
        <w:rPr>
          <w:b/>
          <w:sz w:val="20"/>
          <w:szCs w:val="20"/>
        </w:rPr>
      </w:pPr>
    </w:p>
    <w:p w:rsidR="00C96B64" w:rsidRPr="00C96B64" w:rsidRDefault="00C96B64" w:rsidP="00C96B64">
      <w:pPr>
        <w:rPr>
          <w:b/>
          <w:sz w:val="20"/>
          <w:szCs w:val="20"/>
        </w:rPr>
      </w:pPr>
      <w:r w:rsidRPr="00C50A5C">
        <w:rPr>
          <w:b/>
          <w:sz w:val="20"/>
          <w:szCs w:val="20"/>
        </w:rPr>
        <w:tab/>
      </w:r>
      <w:r w:rsidRPr="00C50A5C">
        <w:rPr>
          <w:b/>
          <w:sz w:val="20"/>
          <w:szCs w:val="20"/>
        </w:rPr>
        <w:tab/>
      </w:r>
      <w:r w:rsidRPr="00C50A5C">
        <w:rPr>
          <w:b/>
          <w:sz w:val="20"/>
          <w:szCs w:val="20"/>
        </w:rPr>
        <w:tab/>
      </w:r>
      <w:r w:rsidRPr="00C96B64">
        <w:rPr>
          <w:b/>
          <w:sz w:val="20"/>
          <w:szCs w:val="20"/>
        </w:rPr>
        <w:t>v. (33751)</w:t>
      </w:r>
    </w:p>
    <w:p w:rsidR="00C96B64" w:rsidRPr="00C96B64" w:rsidRDefault="00C96B64" w:rsidP="00C96B64">
      <w:pPr>
        <w:rPr>
          <w:b/>
          <w:sz w:val="20"/>
          <w:szCs w:val="20"/>
        </w:rPr>
      </w:pPr>
    </w:p>
    <w:p w:rsidR="00C96B64" w:rsidRPr="00C50A5C" w:rsidRDefault="00C96B64" w:rsidP="00C96B64">
      <w:pPr>
        <w:rPr>
          <w:b/>
          <w:sz w:val="20"/>
          <w:szCs w:val="20"/>
          <w:lang w:val="fr-CA"/>
        </w:rPr>
      </w:pPr>
      <w:r w:rsidRPr="00C96B64">
        <w:rPr>
          <w:b/>
          <w:sz w:val="20"/>
          <w:szCs w:val="20"/>
        </w:rPr>
        <w:tab/>
      </w:r>
      <w:r w:rsidRPr="00C96B64">
        <w:rPr>
          <w:b/>
          <w:sz w:val="20"/>
          <w:szCs w:val="20"/>
        </w:rPr>
        <w:tab/>
        <w:t xml:space="preserve">Yat Fung Albert Tse et al. </w:t>
      </w:r>
      <w:r w:rsidRPr="00C50A5C">
        <w:rPr>
          <w:b/>
          <w:sz w:val="20"/>
          <w:szCs w:val="20"/>
          <w:lang w:val="fr-CA"/>
        </w:rPr>
        <w:t>(</w:t>
      </w:r>
      <w:r>
        <w:rPr>
          <w:b/>
          <w:sz w:val="20"/>
          <w:szCs w:val="20"/>
          <w:lang w:val="fr-CA"/>
        </w:rPr>
        <w:t>B.C.</w:t>
      </w:r>
      <w:r w:rsidRPr="00C50A5C">
        <w:rPr>
          <w:b/>
          <w:sz w:val="20"/>
          <w:szCs w:val="20"/>
          <w:lang w:val="fr-CA"/>
        </w:rPr>
        <w:t>)</w:t>
      </w:r>
    </w:p>
    <w:p w:rsidR="00C96B64" w:rsidRPr="00C50A5C" w:rsidRDefault="00C96B64" w:rsidP="00C96B64">
      <w:pPr>
        <w:rPr>
          <w:sz w:val="20"/>
          <w:szCs w:val="20"/>
          <w:lang w:val="fr-CA"/>
        </w:rPr>
      </w:pPr>
    </w:p>
    <w:p w:rsidR="00C96B64" w:rsidRPr="00C50A5C" w:rsidRDefault="00CF05D4" w:rsidP="00C96B64">
      <w:pPr>
        <w:rPr>
          <w:sz w:val="20"/>
          <w:szCs w:val="20"/>
          <w:lang w:val="fr-CA"/>
        </w:rPr>
      </w:pPr>
      <w:r w:rsidRPr="00CF05D4">
        <w:rPr>
          <w:sz w:val="20"/>
          <w:szCs w:val="20"/>
          <w:lang w:val="fr-CA"/>
        </w:rPr>
        <w:pict>
          <v:rect id="_x0000_i1098" style="width:2in;height:1pt" o:hrpct="0" o:hralign="center" o:hrstd="t" o:hrnoshade="t" o:hr="t" fillcolor="black [3213]" stroked="f"/>
        </w:pict>
      </w:r>
    </w:p>
    <w:p w:rsidR="00C96B64" w:rsidRDefault="00C96B64" w:rsidP="00C96B64">
      <w:pPr>
        <w:rPr>
          <w:sz w:val="20"/>
          <w:szCs w:val="20"/>
          <w:lang w:val="fr-CA"/>
        </w:rPr>
      </w:pPr>
    </w:p>
    <w:p w:rsidR="00C96B64" w:rsidRPr="00C96B64" w:rsidRDefault="00C96B64" w:rsidP="00C96B64">
      <w:pPr>
        <w:rPr>
          <w:sz w:val="20"/>
          <w:szCs w:val="20"/>
          <w:lang w:val="fr-CA"/>
        </w:rPr>
      </w:pPr>
      <w:r w:rsidRPr="00C96B64">
        <w:rPr>
          <w:sz w:val="20"/>
          <w:szCs w:val="20"/>
          <w:lang w:val="fr-CA"/>
        </w:rPr>
        <w:t>27.04.2011</w:t>
      </w:r>
    </w:p>
    <w:p w:rsidR="00C96B64" w:rsidRPr="00C96B64" w:rsidRDefault="00C96B64" w:rsidP="00C96B64">
      <w:pPr>
        <w:rPr>
          <w:sz w:val="20"/>
          <w:szCs w:val="20"/>
          <w:lang w:val="fr-CA"/>
        </w:rPr>
      </w:pPr>
    </w:p>
    <w:p w:rsidR="00C96B64" w:rsidRPr="00C96B64" w:rsidRDefault="00C96B64" w:rsidP="00C96B64">
      <w:pPr>
        <w:rPr>
          <w:sz w:val="20"/>
          <w:szCs w:val="20"/>
          <w:lang w:val="fr-CA"/>
        </w:rPr>
      </w:pPr>
      <w:r w:rsidRPr="00C96B64">
        <w:rPr>
          <w:sz w:val="20"/>
          <w:szCs w:val="20"/>
          <w:lang w:val="fr-CA"/>
        </w:rPr>
        <w:t>BY / PAR:</w:t>
      </w:r>
      <w:r w:rsidRPr="00C96B64">
        <w:rPr>
          <w:sz w:val="20"/>
          <w:szCs w:val="20"/>
          <w:lang w:val="fr-CA"/>
        </w:rPr>
        <w:tab/>
        <w:t>Procureur général du Québec</w:t>
      </w:r>
    </w:p>
    <w:p w:rsidR="00C96B64" w:rsidRPr="00C96B64" w:rsidRDefault="00C96B64" w:rsidP="00C96B64">
      <w:pPr>
        <w:rPr>
          <w:sz w:val="20"/>
          <w:szCs w:val="20"/>
          <w:lang w:val="fr-CA"/>
        </w:rPr>
      </w:pPr>
    </w:p>
    <w:p w:rsidR="00C96B64" w:rsidRPr="00C96B64" w:rsidRDefault="00C96B64" w:rsidP="00C96B64">
      <w:pPr>
        <w:rPr>
          <w:sz w:val="20"/>
          <w:szCs w:val="20"/>
          <w:lang w:val="fr-CA"/>
        </w:rPr>
      </w:pPr>
    </w:p>
    <w:p w:rsidR="00C96B64" w:rsidRPr="00C96B64" w:rsidRDefault="00C96B64" w:rsidP="00C96B64">
      <w:pPr>
        <w:rPr>
          <w:b/>
          <w:sz w:val="20"/>
          <w:szCs w:val="20"/>
          <w:lang w:val="fr-CA"/>
        </w:rPr>
      </w:pPr>
      <w:r w:rsidRPr="00C96B64">
        <w:rPr>
          <w:sz w:val="20"/>
          <w:szCs w:val="20"/>
          <w:lang w:val="fr-CA"/>
        </w:rPr>
        <w:t>IN / DANS:</w:t>
      </w:r>
      <w:r w:rsidRPr="00C96B64">
        <w:rPr>
          <w:sz w:val="20"/>
          <w:szCs w:val="20"/>
          <w:lang w:val="fr-CA"/>
        </w:rPr>
        <w:tab/>
      </w:r>
      <w:r w:rsidRPr="00C96B64">
        <w:rPr>
          <w:b/>
          <w:sz w:val="20"/>
          <w:szCs w:val="20"/>
          <w:lang w:val="fr-CA"/>
        </w:rPr>
        <w:t>Sa Majesté la Reine</w:t>
      </w:r>
    </w:p>
    <w:p w:rsidR="00C96B64" w:rsidRPr="00C96B64" w:rsidRDefault="00C96B64" w:rsidP="00C96B64">
      <w:pPr>
        <w:rPr>
          <w:b/>
          <w:sz w:val="20"/>
          <w:szCs w:val="20"/>
          <w:lang w:val="fr-CA"/>
        </w:rPr>
      </w:pPr>
    </w:p>
    <w:p w:rsidR="00C96B64" w:rsidRPr="002203C0" w:rsidRDefault="00C96B64" w:rsidP="00C96B64">
      <w:pPr>
        <w:rPr>
          <w:b/>
          <w:sz w:val="20"/>
          <w:szCs w:val="20"/>
          <w:lang w:val="fr-CA"/>
        </w:rPr>
      </w:pPr>
      <w:r w:rsidRPr="00C96B64">
        <w:rPr>
          <w:b/>
          <w:sz w:val="20"/>
          <w:szCs w:val="20"/>
          <w:lang w:val="fr-CA"/>
        </w:rPr>
        <w:tab/>
      </w:r>
      <w:r w:rsidRPr="00C96B64">
        <w:rPr>
          <w:b/>
          <w:sz w:val="20"/>
          <w:szCs w:val="20"/>
          <w:lang w:val="fr-CA"/>
        </w:rPr>
        <w:tab/>
      </w:r>
      <w:r w:rsidRPr="00C96B64">
        <w:rPr>
          <w:b/>
          <w:sz w:val="20"/>
          <w:szCs w:val="20"/>
          <w:lang w:val="fr-CA"/>
        </w:rPr>
        <w:tab/>
      </w:r>
      <w:r w:rsidRPr="002203C0">
        <w:rPr>
          <w:b/>
          <w:sz w:val="20"/>
          <w:szCs w:val="20"/>
          <w:lang w:val="fr-CA"/>
        </w:rPr>
        <w:t>v. (33751)</w:t>
      </w:r>
    </w:p>
    <w:p w:rsidR="00C96B64" w:rsidRPr="002203C0" w:rsidRDefault="00C96B64" w:rsidP="00C96B64">
      <w:pPr>
        <w:rPr>
          <w:b/>
          <w:sz w:val="20"/>
          <w:szCs w:val="20"/>
          <w:lang w:val="fr-CA"/>
        </w:rPr>
      </w:pPr>
    </w:p>
    <w:p w:rsidR="00C96B64" w:rsidRPr="00C50A5C" w:rsidRDefault="00C96B64" w:rsidP="00C96B64">
      <w:pPr>
        <w:rPr>
          <w:b/>
          <w:sz w:val="20"/>
          <w:szCs w:val="20"/>
          <w:lang w:val="fr-CA"/>
        </w:rPr>
      </w:pPr>
      <w:r w:rsidRPr="002203C0">
        <w:rPr>
          <w:b/>
          <w:sz w:val="20"/>
          <w:szCs w:val="20"/>
          <w:lang w:val="fr-CA"/>
        </w:rPr>
        <w:tab/>
      </w:r>
      <w:r w:rsidRPr="002203C0">
        <w:rPr>
          <w:b/>
          <w:sz w:val="20"/>
          <w:szCs w:val="20"/>
          <w:lang w:val="fr-CA"/>
        </w:rPr>
        <w:tab/>
      </w:r>
      <w:r w:rsidRPr="00C96B64">
        <w:rPr>
          <w:b/>
          <w:sz w:val="20"/>
          <w:szCs w:val="20"/>
          <w:lang w:val="fr-CA"/>
        </w:rPr>
        <w:t xml:space="preserve">Yat Fung Albert Tse et autres </w:t>
      </w:r>
      <w:r w:rsidRPr="00C50A5C">
        <w:rPr>
          <w:b/>
          <w:sz w:val="20"/>
          <w:szCs w:val="20"/>
          <w:lang w:val="fr-CA"/>
        </w:rPr>
        <w:t>(</w:t>
      </w:r>
      <w:r>
        <w:rPr>
          <w:b/>
          <w:sz w:val="20"/>
          <w:szCs w:val="20"/>
          <w:lang w:val="fr-CA"/>
        </w:rPr>
        <w:t>B.C.</w:t>
      </w:r>
      <w:r w:rsidRPr="00C50A5C">
        <w:rPr>
          <w:b/>
          <w:sz w:val="20"/>
          <w:szCs w:val="20"/>
          <w:lang w:val="fr-CA"/>
        </w:rPr>
        <w:t>)</w:t>
      </w:r>
    </w:p>
    <w:p w:rsidR="00C96B64" w:rsidRPr="00C50A5C" w:rsidRDefault="00C96B64" w:rsidP="00C96B64">
      <w:pPr>
        <w:rPr>
          <w:sz w:val="20"/>
          <w:szCs w:val="20"/>
          <w:lang w:val="fr-CA"/>
        </w:rPr>
      </w:pPr>
    </w:p>
    <w:p w:rsidR="00C96B64" w:rsidRPr="00C50A5C" w:rsidRDefault="00CF05D4" w:rsidP="00C96B64">
      <w:pPr>
        <w:rPr>
          <w:sz w:val="20"/>
          <w:szCs w:val="20"/>
          <w:lang w:val="fr-CA"/>
        </w:rPr>
      </w:pPr>
      <w:r w:rsidRPr="00CF05D4">
        <w:rPr>
          <w:sz w:val="20"/>
          <w:szCs w:val="20"/>
          <w:lang w:val="fr-CA"/>
        </w:rPr>
        <w:pict>
          <v:rect id="_x0000_i1099" style="width:2in;height:1pt" o:hrpct="0" o:hralign="center" o:hrstd="t" o:hrnoshade="t" o:hr="t" fillcolor="black [3213]" stroked="f"/>
        </w:pict>
      </w:r>
    </w:p>
    <w:p w:rsidR="00C96B64" w:rsidRDefault="00C96B64" w:rsidP="00C96B64">
      <w:pPr>
        <w:rPr>
          <w:sz w:val="20"/>
          <w:szCs w:val="20"/>
          <w:lang w:val="fr-CA"/>
        </w:rPr>
      </w:pPr>
    </w:p>
    <w:p w:rsidR="00B4740D" w:rsidRPr="00C96B64" w:rsidRDefault="00C96B64" w:rsidP="00B4740D">
      <w:pPr>
        <w:rPr>
          <w:sz w:val="20"/>
          <w:szCs w:val="20"/>
        </w:rPr>
      </w:pPr>
      <w:r w:rsidRPr="00C96B64">
        <w:rPr>
          <w:sz w:val="20"/>
          <w:szCs w:val="20"/>
        </w:rPr>
        <w:t>2</w:t>
      </w:r>
      <w:r w:rsidR="00B4740D" w:rsidRPr="00C96B64">
        <w:rPr>
          <w:sz w:val="20"/>
          <w:szCs w:val="20"/>
        </w:rPr>
        <w:t>6.0</w:t>
      </w:r>
      <w:r w:rsidRPr="00C96B64">
        <w:rPr>
          <w:sz w:val="20"/>
          <w:szCs w:val="20"/>
        </w:rPr>
        <w:t>4</w:t>
      </w:r>
      <w:r w:rsidR="00B4740D" w:rsidRPr="00C96B64">
        <w:rPr>
          <w:sz w:val="20"/>
          <w:szCs w:val="20"/>
        </w:rPr>
        <w:t>.20</w:t>
      </w:r>
      <w:r w:rsidRPr="00C96B64">
        <w:rPr>
          <w:sz w:val="20"/>
          <w:szCs w:val="20"/>
        </w:rPr>
        <w:t>11</w:t>
      </w:r>
    </w:p>
    <w:p w:rsidR="00B4740D" w:rsidRPr="00C96B64" w:rsidRDefault="00B4740D" w:rsidP="00B4740D">
      <w:pPr>
        <w:rPr>
          <w:sz w:val="20"/>
          <w:szCs w:val="20"/>
        </w:rPr>
      </w:pPr>
    </w:p>
    <w:p w:rsidR="00B4740D" w:rsidRPr="00C96B64" w:rsidRDefault="00B4740D" w:rsidP="00B4740D">
      <w:pPr>
        <w:rPr>
          <w:sz w:val="20"/>
          <w:szCs w:val="20"/>
        </w:rPr>
      </w:pPr>
      <w:r w:rsidRPr="00C96B64">
        <w:rPr>
          <w:sz w:val="20"/>
          <w:szCs w:val="20"/>
        </w:rPr>
        <w:t>BY / PAR:</w:t>
      </w:r>
      <w:r w:rsidRPr="00C96B64">
        <w:rPr>
          <w:sz w:val="20"/>
          <w:szCs w:val="20"/>
        </w:rPr>
        <w:tab/>
      </w:r>
      <w:r w:rsidR="00C96B64" w:rsidRPr="00C96B64">
        <w:rPr>
          <w:sz w:val="20"/>
          <w:szCs w:val="20"/>
        </w:rPr>
        <w:t>Attorney General of Canada</w:t>
      </w:r>
    </w:p>
    <w:p w:rsidR="00B4740D" w:rsidRPr="00C96B64" w:rsidRDefault="00B4740D" w:rsidP="00B4740D">
      <w:pPr>
        <w:rPr>
          <w:sz w:val="20"/>
          <w:szCs w:val="20"/>
        </w:rPr>
      </w:pPr>
    </w:p>
    <w:p w:rsidR="00B4740D" w:rsidRPr="00C96B64" w:rsidRDefault="00B4740D" w:rsidP="00B4740D">
      <w:pPr>
        <w:rPr>
          <w:sz w:val="20"/>
          <w:szCs w:val="20"/>
        </w:rPr>
      </w:pPr>
    </w:p>
    <w:p w:rsidR="00B4740D" w:rsidRPr="00C50A5C" w:rsidRDefault="00B4740D" w:rsidP="00B4740D">
      <w:pPr>
        <w:rPr>
          <w:b/>
          <w:sz w:val="20"/>
          <w:szCs w:val="20"/>
        </w:rPr>
      </w:pPr>
      <w:r w:rsidRPr="00C96B64">
        <w:rPr>
          <w:sz w:val="20"/>
          <w:szCs w:val="20"/>
        </w:rPr>
        <w:t>IN / DANS:</w:t>
      </w:r>
      <w:r w:rsidRPr="00C96B64">
        <w:rPr>
          <w:sz w:val="20"/>
          <w:szCs w:val="20"/>
        </w:rPr>
        <w:tab/>
      </w:r>
      <w:r w:rsidR="00C96B64">
        <w:rPr>
          <w:b/>
          <w:sz w:val="20"/>
          <w:szCs w:val="20"/>
        </w:rPr>
        <w:t>Her Majesty the Queen in Right of the Province of Newfoundland and Labrador</w:t>
      </w:r>
    </w:p>
    <w:p w:rsidR="00B4740D" w:rsidRPr="00C50A5C" w:rsidRDefault="00B4740D" w:rsidP="00B4740D">
      <w:pPr>
        <w:rPr>
          <w:b/>
          <w:sz w:val="20"/>
          <w:szCs w:val="20"/>
        </w:rPr>
      </w:pPr>
    </w:p>
    <w:p w:rsidR="00B4740D" w:rsidRPr="00C50A5C" w:rsidRDefault="00B4740D" w:rsidP="00B4740D">
      <w:pPr>
        <w:rPr>
          <w:b/>
          <w:sz w:val="20"/>
          <w:szCs w:val="20"/>
          <w:lang w:val="fr-CA"/>
        </w:rPr>
      </w:pPr>
      <w:r w:rsidRPr="00C50A5C">
        <w:rPr>
          <w:b/>
          <w:sz w:val="20"/>
          <w:szCs w:val="20"/>
        </w:rPr>
        <w:tab/>
      </w:r>
      <w:r w:rsidRPr="00C50A5C">
        <w:rPr>
          <w:b/>
          <w:sz w:val="20"/>
          <w:szCs w:val="20"/>
        </w:rPr>
        <w:tab/>
      </w:r>
      <w:r w:rsidRPr="00C50A5C">
        <w:rPr>
          <w:b/>
          <w:sz w:val="20"/>
          <w:szCs w:val="20"/>
        </w:rPr>
        <w:tab/>
      </w:r>
      <w:r w:rsidR="00C96B64" w:rsidRPr="00C96B64">
        <w:rPr>
          <w:b/>
          <w:sz w:val="20"/>
          <w:szCs w:val="20"/>
          <w:lang w:val="fr-CA"/>
        </w:rPr>
        <w:t>v</w:t>
      </w:r>
      <w:r w:rsidRPr="00C50A5C">
        <w:rPr>
          <w:b/>
          <w:sz w:val="20"/>
          <w:szCs w:val="20"/>
          <w:lang w:val="fr-CA"/>
        </w:rPr>
        <w:t>. (3</w:t>
      </w:r>
      <w:r w:rsidR="00C96B64">
        <w:rPr>
          <w:b/>
          <w:sz w:val="20"/>
          <w:szCs w:val="20"/>
          <w:lang w:val="fr-CA"/>
        </w:rPr>
        <w:t>37</w:t>
      </w:r>
      <w:r w:rsidRPr="00C50A5C">
        <w:rPr>
          <w:b/>
          <w:sz w:val="20"/>
          <w:szCs w:val="20"/>
          <w:lang w:val="fr-CA"/>
        </w:rPr>
        <w:t>97)</w:t>
      </w:r>
    </w:p>
    <w:p w:rsidR="00B4740D" w:rsidRPr="00C50A5C" w:rsidRDefault="00B4740D" w:rsidP="00B4740D">
      <w:pPr>
        <w:rPr>
          <w:b/>
          <w:sz w:val="20"/>
          <w:szCs w:val="20"/>
          <w:lang w:val="fr-CA"/>
        </w:rPr>
      </w:pPr>
    </w:p>
    <w:p w:rsidR="00B4740D" w:rsidRPr="00C50A5C" w:rsidRDefault="00B4740D" w:rsidP="00B4740D">
      <w:pPr>
        <w:rPr>
          <w:b/>
          <w:sz w:val="20"/>
          <w:szCs w:val="20"/>
          <w:lang w:val="fr-CA"/>
        </w:rPr>
      </w:pPr>
      <w:r w:rsidRPr="00C50A5C">
        <w:rPr>
          <w:b/>
          <w:sz w:val="20"/>
          <w:szCs w:val="20"/>
          <w:lang w:val="fr-CA"/>
        </w:rPr>
        <w:tab/>
      </w:r>
      <w:r w:rsidRPr="00C50A5C">
        <w:rPr>
          <w:b/>
          <w:sz w:val="20"/>
          <w:szCs w:val="20"/>
          <w:lang w:val="fr-CA"/>
        </w:rPr>
        <w:tab/>
      </w:r>
      <w:r w:rsidR="00C96B64">
        <w:rPr>
          <w:b/>
          <w:sz w:val="20"/>
          <w:szCs w:val="20"/>
          <w:lang w:val="fr-CA"/>
        </w:rPr>
        <w:t>Abitibibow</w:t>
      </w:r>
      <w:r w:rsidRPr="00C50A5C">
        <w:rPr>
          <w:b/>
          <w:sz w:val="20"/>
          <w:szCs w:val="20"/>
          <w:lang w:val="fr-CA"/>
        </w:rPr>
        <w:t>ate</w:t>
      </w:r>
      <w:r w:rsidR="00C96B64">
        <w:rPr>
          <w:b/>
          <w:sz w:val="20"/>
          <w:szCs w:val="20"/>
          <w:lang w:val="fr-CA"/>
        </w:rPr>
        <w:t>r</w:t>
      </w:r>
      <w:r w:rsidRPr="00C50A5C">
        <w:rPr>
          <w:b/>
          <w:sz w:val="20"/>
          <w:szCs w:val="20"/>
          <w:lang w:val="fr-CA"/>
        </w:rPr>
        <w:t xml:space="preserve"> </w:t>
      </w:r>
      <w:r w:rsidR="00C96B64">
        <w:rPr>
          <w:b/>
          <w:sz w:val="20"/>
          <w:szCs w:val="20"/>
          <w:lang w:val="fr-CA"/>
        </w:rPr>
        <w:t xml:space="preserve">Inc. et al. </w:t>
      </w:r>
      <w:r w:rsidRPr="00C50A5C">
        <w:rPr>
          <w:b/>
          <w:sz w:val="20"/>
          <w:szCs w:val="20"/>
          <w:lang w:val="fr-CA"/>
        </w:rPr>
        <w:t>(Q</w:t>
      </w:r>
      <w:r w:rsidR="00C96B64">
        <w:rPr>
          <w:b/>
          <w:sz w:val="20"/>
          <w:szCs w:val="20"/>
          <w:lang w:val="fr-CA"/>
        </w:rPr>
        <w:t>ue.</w:t>
      </w:r>
      <w:r w:rsidRPr="00C50A5C">
        <w:rPr>
          <w:b/>
          <w:sz w:val="20"/>
          <w:szCs w:val="20"/>
          <w:lang w:val="fr-CA"/>
        </w:rPr>
        <w:t>)</w:t>
      </w:r>
    </w:p>
    <w:p w:rsidR="00B4740D" w:rsidRPr="00C50A5C" w:rsidRDefault="00B4740D" w:rsidP="00B4740D">
      <w:pPr>
        <w:rPr>
          <w:sz w:val="20"/>
          <w:szCs w:val="20"/>
          <w:lang w:val="fr-CA"/>
        </w:rPr>
      </w:pPr>
    </w:p>
    <w:p w:rsidR="00B4740D" w:rsidRPr="00C50A5C" w:rsidRDefault="00CF05D4" w:rsidP="00B4740D">
      <w:pPr>
        <w:rPr>
          <w:sz w:val="20"/>
          <w:szCs w:val="20"/>
          <w:lang w:val="fr-CA"/>
        </w:rPr>
      </w:pPr>
      <w:r w:rsidRPr="00CF05D4">
        <w:rPr>
          <w:sz w:val="20"/>
          <w:szCs w:val="20"/>
          <w:lang w:val="fr-CA"/>
        </w:rPr>
        <w:pict>
          <v:rect id="_x0000_i1100" style="width:2in;height:1pt" o:hrpct="0" o:hralign="center" o:hrstd="t" o:hrnoshade="t" o:hr="t" fillcolor="black [3213]" stroked="f"/>
        </w:pict>
      </w:r>
    </w:p>
    <w:p w:rsidR="00B4740D" w:rsidRDefault="00B4740D" w:rsidP="00B4740D">
      <w:pPr>
        <w:rPr>
          <w:sz w:val="20"/>
          <w:szCs w:val="20"/>
          <w:lang w:val="fr-CA"/>
        </w:rPr>
      </w:pPr>
    </w:p>
    <w:p w:rsidR="00C96B64" w:rsidRPr="00C50A5C" w:rsidRDefault="00C96B64" w:rsidP="00B4740D">
      <w:pPr>
        <w:rPr>
          <w:sz w:val="20"/>
          <w:szCs w:val="20"/>
          <w:lang w:val="fr-CA"/>
        </w:rPr>
      </w:pPr>
    </w:p>
    <w:p w:rsidR="00C96B64" w:rsidRPr="00C96B64" w:rsidRDefault="00C96B64" w:rsidP="00C96B64">
      <w:pPr>
        <w:rPr>
          <w:sz w:val="20"/>
          <w:szCs w:val="20"/>
        </w:rPr>
      </w:pPr>
      <w:r w:rsidRPr="00C96B64">
        <w:rPr>
          <w:sz w:val="20"/>
          <w:szCs w:val="20"/>
        </w:rPr>
        <w:lastRenderedPageBreak/>
        <w:t>2</w:t>
      </w:r>
      <w:r>
        <w:rPr>
          <w:sz w:val="20"/>
          <w:szCs w:val="20"/>
        </w:rPr>
        <w:t>7</w:t>
      </w:r>
      <w:r w:rsidRPr="00C96B64">
        <w:rPr>
          <w:sz w:val="20"/>
          <w:szCs w:val="20"/>
        </w:rPr>
        <w:t>.04.2011</w:t>
      </w:r>
    </w:p>
    <w:p w:rsidR="00C96B64" w:rsidRPr="00C96B64" w:rsidRDefault="00C96B64" w:rsidP="00C96B64">
      <w:pPr>
        <w:rPr>
          <w:sz w:val="20"/>
          <w:szCs w:val="20"/>
        </w:rPr>
      </w:pPr>
    </w:p>
    <w:p w:rsidR="00C96B64" w:rsidRPr="00C96B64" w:rsidRDefault="00C96B64" w:rsidP="00C96B64">
      <w:pPr>
        <w:rPr>
          <w:sz w:val="20"/>
          <w:szCs w:val="20"/>
        </w:rPr>
      </w:pPr>
      <w:r w:rsidRPr="00C96B64">
        <w:rPr>
          <w:sz w:val="20"/>
          <w:szCs w:val="20"/>
        </w:rPr>
        <w:t>BY / PAR:</w:t>
      </w:r>
      <w:r w:rsidRPr="00C96B64">
        <w:rPr>
          <w:sz w:val="20"/>
          <w:szCs w:val="20"/>
        </w:rPr>
        <w:tab/>
        <w:t xml:space="preserve">Attorney General of </w:t>
      </w:r>
      <w:r>
        <w:rPr>
          <w:sz w:val="20"/>
          <w:szCs w:val="20"/>
        </w:rPr>
        <w:t>Albert</w:t>
      </w:r>
      <w:r w:rsidRPr="00C96B64">
        <w:rPr>
          <w:sz w:val="20"/>
          <w:szCs w:val="20"/>
        </w:rPr>
        <w:t>a</w:t>
      </w:r>
    </w:p>
    <w:p w:rsidR="00C96B64" w:rsidRPr="00C96B64" w:rsidRDefault="00C96B64" w:rsidP="00C96B64">
      <w:pPr>
        <w:rPr>
          <w:sz w:val="20"/>
          <w:szCs w:val="20"/>
        </w:rPr>
      </w:pPr>
    </w:p>
    <w:p w:rsidR="00C96B64" w:rsidRPr="00C96B64" w:rsidRDefault="00C96B64" w:rsidP="00C96B64">
      <w:pPr>
        <w:rPr>
          <w:sz w:val="20"/>
          <w:szCs w:val="20"/>
        </w:rPr>
      </w:pPr>
    </w:p>
    <w:p w:rsidR="00C96B64" w:rsidRPr="00C50A5C" w:rsidRDefault="00C96B64" w:rsidP="00C96B64">
      <w:pPr>
        <w:rPr>
          <w:b/>
          <w:sz w:val="20"/>
          <w:szCs w:val="20"/>
        </w:rPr>
      </w:pPr>
      <w:r w:rsidRPr="00C96B64">
        <w:rPr>
          <w:sz w:val="20"/>
          <w:szCs w:val="20"/>
        </w:rPr>
        <w:t>IN / DANS:</w:t>
      </w:r>
      <w:r w:rsidRPr="00C96B64">
        <w:rPr>
          <w:sz w:val="20"/>
          <w:szCs w:val="20"/>
        </w:rPr>
        <w:tab/>
      </w:r>
      <w:r>
        <w:rPr>
          <w:b/>
          <w:sz w:val="20"/>
          <w:szCs w:val="20"/>
        </w:rPr>
        <w:t>Her Majesty the Queen in Right of the Province of Newfoundland and Labrador</w:t>
      </w:r>
    </w:p>
    <w:p w:rsidR="00C96B64" w:rsidRPr="00C50A5C" w:rsidRDefault="00C96B64" w:rsidP="00C96B64">
      <w:pPr>
        <w:rPr>
          <w:b/>
          <w:sz w:val="20"/>
          <w:szCs w:val="20"/>
        </w:rPr>
      </w:pPr>
    </w:p>
    <w:p w:rsidR="00C96B64" w:rsidRPr="00C50A5C" w:rsidRDefault="00C96B64" w:rsidP="00C96B64">
      <w:pPr>
        <w:rPr>
          <w:b/>
          <w:sz w:val="20"/>
          <w:szCs w:val="20"/>
          <w:lang w:val="fr-CA"/>
        </w:rPr>
      </w:pPr>
      <w:r w:rsidRPr="00C50A5C">
        <w:rPr>
          <w:b/>
          <w:sz w:val="20"/>
          <w:szCs w:val="20"/>
        </w:rPr>
        <w:tab/>
      </w:r>
      <w:r w:rsidRPr="00C50A5C">
        <w:rPr>
          <w:b/>
          <w:sz w:val="20"/>
          <w:szCs w:val="20"/>
        </w:rPr>
        <w:tab/>
      </w:r>
      <w:r w:rsidRPr="00C50A5C">
        <w:rPr>
          <w:b/>
          <w:sz w:val="20"/>
          <w:szCs w:val="20"/>
        </w:rPr>
        <w:tab/>
      </w:r>
      <w:r w:rsidRPr="00C96B64">
        <w:rPr>
          <w:b/>
          <w:sz w:val="20"/>
          <w:szCs w:val="20"/>
          <w:lang w:val="fr-CA"/>
        </w:rPr>
        <w:t>v</w:t>
      </w:r>
      <w:r w:rsidRPr="00C50A5C">
        <w:rPr>
          <w:b/>
          <w:sz w:val="20"/>
          <w:szCs w:val="20"/>
          <w:lang w:val="fr-CA"/>
        </w:rPr>
        <w:t>. (3</w:t>
      </w:r>
      <w:r>
        <w:rPr>
          <w:b/>
          <w:sz w:val="20"/>
          <w:szCs w:val="20"/>
          <w:lang w:val="fr-CA"/>
        </w:rPr>
        <w:t>37</w:t>
      </w:r>
      <w:r w:rsidRPr="00C50A5C">
        <w:rPr>
          <w:b/>
          <w:sz w:val="20"/>
          <w:szCs w:val="20"/>
          <w:lang w:val="fr-CA"/>
        </w:rPr>
        <w:t>97)</w:t>
      </w:r>
    </w:p>
    <w:p w:rsidR="00C96B64" w:rsidRPr="00C50A5C" w:rsidRDefault="00C96B64" w:rsidP="00C96B64">
      <w:pPr>
        <w:rPr>
          <w:b/>
          <w:sz w:val="20"/>
          <w:szCs w:val="20"/>
          <w:lang w:val="fr-CA"/>
        </w:rPr>
      </w:pPr>
    </w:p>
    <w:p w:rsidR="00C96B64" w:rsidRPr="00C50A5C" w:rsidRDefault="00C96B64" w:rsidP="00C96B64">
      <w:pPr>
        <w:rPr>
          <w:b/>
          <w:sz w:val="20"/>
          <w:szCs w:val="20"/>
          <w:lang w:val="fr-CA"/>
        </w:rPr>
      </w:pPr>
      <w:r w:rsidRPr="00C50A5C">
        <w:rPr>
          <w:b/>
          <w:sz w:val="20"/>
          <w:szCs w:val="20"/>
          <w:lang w:val="fr-CA"/>
        </w:rPr>
        <w:tab/>
      </w:r>
      <w:r w:rsidRPr="00C50A5C">
        <w:rPr>
          <w:b/>
          <w:sz w:val="20"/>
          <w:szCs w:val="20"/>
          <w:lang w:val="fr-CA"/>
        </w:rPr>
        <w:tab/>
      </w:r>
      <w:r>
        <w:rPr>
          <w:b/>
          <w:sz w:val="20"/>
          <w:szCs w:val="20"/>
          <w:lang w:val="fr-CA"/>
        </w:rPr>
        <w:t>Abitibibow</w:t>
      </w:r>
      <w:r w:rsidRPr="00C50A5C">
        <w:rPr>
          <w:b/>
          <w:sz w:val="20"/>
          <w:szCs w:val="20"/>
          <w:lang w:val="fr-CA"/>
        </w:rPr>
        <w:t>ate</w:t>
      </w:r>
      <w:r>
        <w:rPr>
          <w:b/>
          <w:sz w:val="20"/>
          <w:szCs w:val="20"/>
          <w:lang w:val="fr-CA"/>
        </w:rPr>
        <w:t>r</w:t>
      </w:r>
      <w:r w:rsidRPr="00C50A5C">
        <w:rPr>
          <w:b/>
          <w:sz w:val="20"/>
          <w:szCs w:val="20"/>
          <w:lang w:val="fr-CA"/>
        </w:rPr>
        <w:t xml:space="preserve"> </w:t>
      </w:r>
      <w:r>
        <w:rPr>
          <w:b/>
          <w:sz w:val="20"/>
          <w:szCs w:val="20"/>
          <w:lang w:val="fr-CA"/>
        </w:rPr>
        <w:t xml:space="preserve">Inc. et al. </w:t>
      </w:r>
      <w:r w:rsidRPr="00C50A5C">
        <w:rPr>
          <w:b/>
          <w:sz w:val="20"/>
          <w:szCs w:val="20"/>
          <w:lang w:val="fr-CA"/>
        </w:rPr>
        <w:t>(Q</w:t>
      </w:r>
      <w:r>
        <w:rPr>
          <w:b/>
          <w:sz w:val="20"/>
          <w:szCs w:val="20"/>
          <w:lang w:val="fr-CA"/>
        </w:rPr>
        <w:t>ue.</w:t>
      </w:r>
      <w:r w:rsidRPr="00C50A5C">
        <w:rPr>
          <w:b/>
          <w:sz w:val="20"/>
          <w:szCs w:val="20"/>
          <w:lang w:val="fr-CA"/>
        </w:rPr>
        <w:t>)</w:t>
      </w:r>
    </w:p>
    <w:p w:rsidR="00C96B64" w:rsidRPr="00C50A5C" w:rsidRDefault="00C96B64" w:rsidP="00C96B64">
      <w:pPr>
        <w:rPr>
          <w:sz w:val="20"/>
          <w:szCs w:val="20"/>
          <w:lang w:val="fr-CA"/>
        </w:rPr>
      </w:pPr>
    </w:p>
    <w:p w:rsidR="00C96B64" w:rsidRDefault="00CF05D4" w:rsidP="00C96B64">
      <w:pPr>
        <w:rPr>
          <w:sz w:val="20"/>
          <w:szCs w:val="20"/>
          <w:lang w:val="fr-CA"/>
        </w:rPr>
      </w:pPr>
      <w:r w:rsidRPr="00CF05D4">
        <w:rPr>
          <w:sz w:val="20"/>
          <w:szCs w:val="20"/>
          <w:lang w:val="fr-CA"/>
        </w:rPr>
        <w:pict>
          <v:rect id="_x0000_i1101" style="width:2in;height:1pt" o:hrpct="0" o:hralign="center" o:hrstd="t" o:hrnoshade="t" o:hr="t" fillcolor="black [3213]" stroked="f"/>
        </w:pict>
      </w:r>
    </w:p>
    <w:p w:rsidR="00C96B64" w:rsidRDefault="00C96B64" w:rsidP="00B4740D">
      <w:pPr>
        <w:rPr>
          <w:sz w:val="20"/>
          <w:szCs w:val="20"/>
          <w:lang w:val="fr-CA"/>
        </w:rPr>
      </w:pPr>
    </w:p>
    <w:p w:rsidR="00C96B64" w:rsidRPr="00C96B64" w:rsidRDefault="00C96B64" w:rsidP="00C96B64">
      <w:pPr>
        <w:rPr>
          <w:sz w:val="20"/>
          <w:szCs w:val="20"/>
        </w:rPr>
      </w:pPr>
      <w:r w:rsidRPr="00C96B64">
        <w:rPr>
          <w:sz w:val="20"/>
          <w:szCs w:val="20"/>
        </w:rPr>
        <w:t>2</w:t>
      </w:r>
      <w:r>
        <w:rPr>
          <w:sz w:val="20"/>
          <w:szCs w:val="20"/>
        </w:rPr>
        <w:t>7</w:t>
      </w:r>
      <w:r w:rsidRPr="00C96B64">
        <w:rPr>
          <w:sz w:val="20"/>
          <w:szCs w:val="20"/>
        </w:rPr>
        <w:t>.04.2011</w:t>
      </w:r>
    </w:p>
    <w:p w:rsidR="00C96B64" w:rsidRPr="00C96B64" w:rsidRDefault="00C96B64" w:rsidP="00C96B64">
      <w:pPr>
        <w:rPr>
          <w:sz w:val="20"/>
          <w:szCs w:val="20"/>
        </w:rPr>
      </w:pPr>
    </w:p>
    <w:p w:rsidR="00C96B64" w:rsidRPr="00C96B64" w:rsidRDefault="00C96B64" w:rsidP="00C96B64">
      <w:pPr>
        <w:rPr>
          <w:sz w:val="20"/>
          <w:szCs w:val="20"/>
        </w:rPr>
      </w:pPr>
      <w:r w:rsidRPr="00C96B64">
        <w:rPr>
          <w:sz w:val="20"/>
          <w:szCs w:val="20"/>
        </w:rPr>
        <w:t>BY / PAR:</w:t>
      </w:r>
      <w:r w:rsidRPr="00C96B64">
        <w:rPr>
          <w:sz w:val="20"/>
          <w:szCs w:val="20"/>
        </w:rPr>
        <w:tab/>
        <w:t xml:space="preserve">Attorney General of </w:t>
      </w:r>
      <w:r>
        <w:rPr>
          <w:sz w:val="20"/>
          <w:szCs w:val="20"/>
        </w:rPr>
        <w:t>Ont</w:t>
      </w:r>
      <w:r w:rsidRPr="00C96B64">
        <w:rPr>
          <w:sz w:val="20"/>
          <w:szCs w:val="20"/>
        </w:rPr>
        <w:t>a</w:t>
      </w:r>
      <w:r>
        <w:rPr>
          <w:sz w:val="20"/>
          <w:szCs w:val="20"/>
        </w:rPr>
        <w:t>rio</w:t>
      </w:r>
    </w:p>
    <w:p w:rsidR="00C96B64" w:rsidRPr="00C96B64" w:rsidRDefault="00C96B64" w:rsidP="00C96B64">
      <w:pPr>
        <w:rPr>
          <w:sz w:val="20"/>
          <w:szCs w:val="20"/>
        </w:rPr>
      </w:pPr>
    </w:p>
    <w:p w:rsidR="00C96B64" w:rsidRPr="00C96B64" w:rsidRDefault="00C96B64" w:rsidP="00C96B64">
      <w:pPr>
        <w:rPr>
          <w:sz w:val="20"/>
          <w:szCs w:val="20"/>
        </w:rPr>
      </w:pPr>
    </w:p>
    <w:p w:rsidR="00C96B64" w:rsidRPr="00C50A5C" w:rsidRDefault="00C96B64" w:rsidP="00C96B64">
      <w:pPr>
        <w:rPr>
          <w:b/>
          <w:sz w:val="20"/>
          <w:szCs w:val="20"/>
        </w:rPr>
      </w:pPr>
      <w:r w:rsidRPr="00C96B64">
        <w:rPr>
          <w:sz w:val="20"/>
          <w:szCs w:val="20"/>
        </w:rPr>
        <w:t>IN / DANS:</w:t>
      </w:r>
      <w:r w:rsidRPr="00C96B64">
        <w:rPr>
          <w:sz w:val="20"/>
          <w:szCs w:val="20"/>
        </w:rPr>
        <w:tab/>
      </w:r>
      <w:r>
        <w:rPr>
          <w:b/>
          <w:sz w:val="20"/>
          <w:szCs w:val="20"/>
        </w:rPr>
        <w:t>Her Majesty the Queen in Right of the Province of Newfoundland and Labrador</w:t>
      </w:r>
    </w:p>
    <w:p w:rsidR="00C96B64" w:rsidRPr="00C50A5C" w:rsidRDefault="00C96B64" w:rsidP="00C96B64">
      <w:pPr>
        <w:rPr>
          <w:b/>
          <w:sz w:val="20"/>
          <w:szCs w:val="20"/>
        </w:rPr>
      </w:pPr>
    </w:p>
    <w:p w:rsidR="00C96B64" w:rsidRPr="00C50A5C" w:rsidRDefault="00C96B64" w:rsidP="00C96B64">
      <w:pPr>
        <w:rPr>
          <w:b/>
          <w:sz w:val="20"/>
          <w:szCs w:val="20"/>
          <w:lang w:val="fr-CA"/>
        </w:rPr>
      </w:pPr>
      <w:r w:rsidRPr="00C50A5C">
        <w:rPr>
          <w:b/>
          <w:sz w:val="20"/>
          <w:szCs w:val="20"/>
        </w:rPr>
        <w:tab/>
      </w:r>
      <w:r w:rsidRPr="00C50A5C">
        <w:rPr>
          <w:b/>
          <w:sz w:val="20"/>
          <w:szCs w:val="20"/>
        </w:rPr>
        <w:tab/>
      </w:r>
      <w:r w:rsidRPr="00C50A5C">
        <w:rPr>
          <w:b/>
          <w:sz w:val="20"/>
          <w:szCs w:val="20"/>
        </w:rPr>
        <w:tab/>
      </w:r>
      <w:r w:rsidRPr="00C96B64">
        <w:rPr>
          <w:b/>
          <w:sz w:val="20"/>
          <w:szCs w:val="20"/>
          <w:lang w:val="fr-CA"/>
        </w:rPr>
        <w:t>v</w:t>
      </w:r>
      <w:r w:rsidRPr="00C50A5C">
        <w:rPr>
          <w:b/>
          <w:sz w:val="20"/>
          <w:szCs w:val="20"/>
          <w:lang w:val="fr-CA"/>
        </w:rPr>
        <w:t>. (3</w:t>
      </w:r>
      <w:r>
        <w:rPr>
          <w:b/>
          <w:sz w:val="20"/>
          <w:szCs w:val="20"/>
          <w:lang w:val="fr-CA"/>
        </w:rPr>
        <w:t>37</w:t>
      </w:r>
      <w:r w:rsidRPr="00C50A5C">
        <w:rPr>
          <w:b/>
          <w:sz w:val="20"/>
          <w:szCs w:val="20"/>
          <w:lang w:val="fr-CA"/>
        </w:rPr>
        <w:t>97)</w:t>
      </w:r>
    </w:p>
    <w:p w:rsidR="00C96B64" w:rsidRPr="00C50A5C" w:rsidRDefault="00C96B64" w:rsidP="00C96B64">
      <w:pPr>
        <w:rPr>
          <w:b/>
          <w:sz w:val="20"/>
          <w:szCs w:val="20"/>
          <w:lang w:val="fr-CA"/>
        </w:rPr>
      </w:pPr>
    </w:p>
    <w:p w:rsidR="00C96B64" w:rsidRPr="00C50A5C" w:rsidRDefault="00C96B64" w:rsidP="00C96B64">
      <w:pPr>
        <w:rPr>
          <w:b/>
          <w:sz w:val="20"/>
          <w:szCs w:val="20"/>
          <w:lang w:val="fr-CA"/>
        </w:rPr>
      </w:pPr>
      <w:r w:rsidRPr="00C50A5C">
        <w:rPr>
          <w:b/>
          <w:sz w:val="20"/>
          <w:szCs w:val="20"/>
          <w:lang w:val="fr-CA"/>
        </w:rPr>
        <w:tab/>
      </w:r>
      <w:r w:rsidRPr="00C50A5C">
        <w:rPr>
          <w:b/>
          <w:sz w:val="20"/>
          <w:szCs w:val="20"/>
          <w:lang w:val="fr-CA"/>
        </w:rPr>
        <w:tab/>
      </w:r>
      <w:r>
        <w:rPr>
          <w:b/>
          <w:sz w:val="20"/>
          <w:szCs w:val="20"/>
          <w:lang w:val="fr-CA"/>
        </w:rPr>
        <w:t>Abitibibow</w:t>
      </w:r>
      <w:r w:rsidRPr="00C50A5C">
        <w:rPr>
          <w:b/>
          <w:sz w:val="20"/>
          <w:szCs w:val="20"/>
          <w:lang w:val="fr-CA"/>
        </w:rPr>
        <w:t>ate</w:t>
      </w:r>
      <w:r>
        <w:rPr>
          <w:b/>
          <w:sz w:val="20"/>
          <w:szCs w:val="20"/>
          <w:lang w:val="fr-CA"/>
        </w:rPr>
        <w:t>r</w:t>
      </w:r>
      <w:r w:rsidRPr="00C50A5C">
        <w:rPr>
          <w:b/>
          <w:sz w:val="20"/>
          <w:szCs w:val="20"/>
          <w:lang w:val="fr-CA"/>
        </w:rPr>
        <w:t xml:space="preserve"> </w:t>
      </w:r>
      <w:r>
        <w:rPr>
          <w:b/>
          <w:sz w:val="20"/>
          <w:szCs w:val="20"/>
          <w:lang w:val="fr-CA"/>
        </w:rPr>
        <w:t xml:space="preserve">Inc. et al. </w:t>
      </w:r>
      <w:r w:rsidRPr="00C50A5C">
        <w:rPr>
          <w:b/>
          <w:sz w:val="20"/>
          <w:szCs w:val="20"/>
          <w:lang w:val="fr-CA"/>
        </w:rPr>
        <w:t>(Q</w:t>
      </w:r>
      <w:r>
        <w:rPr>
          <w:b/>
          <w:sz w:val="20"/>
          <w:szCs w:val="20"/>
          <w:lang w:val="fr-CA"/>
        </w:rPr>
        <w:t>ue.</w:t>
      </w:r>
      <w:r w:rsidRPr="00C50A5C">
        <w:rPr>
          <w:b/>
          <w:sz w:val="20"/>
          <w:szCs w:val="20"/>
          <w:lang w:val="fr-CA"/>
        </w:rPr>
        <w:t>)</w:t>
      </w:r>
    </w:p>
    <w:p w:rsidR="00C96B64" w:rsidRPr="00C50A5C" w:rsidRDefault="00C96B64" w:rsidP="00C96B64">
      <w:pPr>
        <w:rPr>
          <w:sz w:val="20"/>
          <w:szCs w:val="20"/>
          <w:lang w:val="fr-CA"/>
        </w:rPr>
      </w:pPr>
    </w:p>
    <w:p w:rsidR="00C96B64" w:rsidRDefault="00CF05D4" w:rsidP="00C96B64">
      <w:pPr>
        <w:rPr>
          <w:sz w:val="20"/>
          <w:szCs w:val="20"/>
          <w:lang w:val="fr-CA"/>
        </w:rPr>
      </w:pPr>
      <w:r w:rsidRPr="00CF05D4">
        <w:rPr>
          <w:sz w:val="20"/>
          <w:szCs w:val="20"/>
          <w:lang w:val="fr-CA"/>
        </w:rPr>
        <w:pict>
          <v:rect id="_x0000_i1102" style="width:2in;height:1pt" o:hrpct="0" o:hralign="center" o:hrstd="t" o:hrnoshade="t" o:hr="t" fillcolor="black [3213]" stroked="f"/>
        </w:pict>
      </w: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B4740D">
      <w:pPr>
        <w:rPr>
          <w:sz w:val="20"/>
          <w:szCs w:val="20"/>
          <w:lang w:val="fr-CA"/>
        </w:rPr>
      </w:pPr>
    </w:p>
    <w:p w:rsidR="00B4740D" w:rsidRPr="00C50A5C" w:rsidRDefault="00B4740D" w:rsidP="00831CA9">
      <w:pPr>
        <w:jc w:val="both"/>
        <w:rPr>
          <w:sz w:val="20"/>
          <w:szCs w:val="20"/>
        </w:rPr>
        <w:sectPr w:rsidR="00B4740D" w:rsidRPr="00C50A5C" w:rsidSect="00B4740D">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E62A55"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A5373E" w:rsidRDefault="00FF6EEC" w:rsidP="00FF6EEC">
      <w:pPr>
        <w:rPr>
          <w:sz w:val="20"/>
          <w:szCs w:val="20"/>
          <w:lang w:val="fr-CA"/>
        </w:rPr>
      </w:pPr>
    </w:p>
    <w:p w:rsidR="00A5373E" w:rsidRPr="00A5373E" w:rsidRDefault="00A5373E" w:rsidP="00FF6EEC">
      <w:pPr>
        <w:rPr>
          <w:b/>
          <w:sz w:val="20"/>
          <w:szCs w:val="20"/>
          <w:lang w:val="fr-CA"/>
        </w:rPr>
      </w:pPr>
      <w:r>
        <w:rPr>
          <w:b/>
          <w:sz w:val="20"/>
          <w:szCs w:val="20"/>
          <w:lang w:val="fr-CA"/>
        </w:rPr>
        <w:t>MAY 5, 2011 / LE 5 MAI 2011</w:t>
      </w:r>
    </w:p>
    <w:p w:rsidR="00A5373E" w:rsidRDefault="00A5373E" w:rsidP="00FF6EEC">
      <w:pPr>
        <w:rPr>
          <w:sz w:val="20"/>
          <w:szCs w:val="20"/>
          <w:lang w:val="fr-CA"/>
        </w:rPr>
      </w:pPr>
    </w:p>
    <w:p w:rsidR="003D1E2F" w:rsidRDefault="003D1E2F" w:rsidP="00FF6EEC">
      <w:pPr>
        <w:rPr>
          <w:sz w:val="20"/>
          <w:szCs w:val="20"/>
        </w:rPr>
      </w:pPr>
      <w:proofErr w:type="gramStart"/>
      <w:r w:rsidRPr="003D1E2F">
        <w:rPr>
          <w:b/>
          <w:sz w:val="20"/>
          <w:szCs w:val="20"/>
        </w:rPr>
        <w:t>33914</w:t>
      </w:r>
      <w:r w:rsidRPr="003D1E2F">
        <w:rPr>
          <w:b/>
          <w:sz w:val="20"/>
          <w:szCs w:val="20"/>
        </w:rPr>
        <w:tab/>
      </w:r>
      <w:r w:rsidRPr="003D1E2F">
        <w:rPr>
          <w:b/>
          <w:sz w:val="20"/>
          <w:szCs w:val="20"/>
        </w:rPr>
        <w:tab/>
      </w:r>
      <w:r w:rsidRPr="003D1E2F">
        <w:rPr>
          <w:b/>
          <w:iCs/>
          <w:sz w:val="20"/>
          <w:szCs w:val="20"/>
          <w:u w:val="single"/>
        </w:rPr>
        <w:t>Derek James Loewen v.</w:t>
      </w:r>
      <w:proofErr w:type="gramEnd"/>
      <w:r w:rsidRPr="003D1E2F">
        <w:rPr>
          <w:b/>
          <w:iCs/>
          <w:sz w:val="20"/>
          <w:szCs w:val="20"/>
          <w:u w:val="single"/>
        </w:rPr>
        <w:t xml:space="preserve"> Her Majesty the Queen</w:t>
      </w:r>
      <w:r w:rsidRPr="003D1E2F">
        <w:rPr>
          <w:sz w:val="20"/>
          <w:szCs w:val="20"/>
        </w:rPr>
        <w:t xml:space="preserve"> (Alta</w:t>
      </w:r>
      <w:r>
        <w:rPr>
          <w:sz w:val="20"/>
          <w:szCs w:val="20"/>
        </w:rPr>
        <w:t>)</w:t>
      </w:r>
    </w:p>
    <w:p w:rsidR="00A5373E" w:rsidRPr="003D1E2F" w:rsidRDefault="003D1E2F" w:rsidP="00FF6EEC">
      <w:pPr>
        <w:rPr>
          <w:b/>
          <w:sz w:val="20"/>
          <w:szCs w:val="20"/>
        </w:rPr>
      </w:pPr>
      <w:r>
        <w:rPr>
          <w:sz w:val="20"/>
          <w:szCs w:val="20"/>
        </w:rPr>
        <w:tab/>
      </w:r>
      <w:r>
        <w:rPr>
          <w:sz w:val="20"/>
          <w:szCs w:val="20"/>
        </w:rPr>
        <w:tab/>
      </w:r>
      <w:r w:rsidRPr="003D1E2F">
        <w:rPr>
          <w:b/>
          <w:sz w:val="20"/>
          <w:szCs w:val="20"/>
        </w:rPr>
        <w:t>2011 SCC 21 / 2011 CSC 21</w:t>
      </w:r>
    </w:p>
    <w:p w:rsidR="003D1E2F" w:rsidRDefault="003D1E2F" w:rsidP="00FF6EEC">
      <w:pPr>
        <w:rPr>
          <w:sz w:val="20"/>
          <w:szCs w:val="20"/>
        </w:rPr>
      </w:pPr>
    </w:p>
    <w:p w:rsidR="003D1E2F" w:rsidRDefault="003D1E2F" w:rsidP="00FF6EEC">
      <w:pPr>
        <w:rPr>
          <w:sz w:val="20"/>
          <w:szCs w:val="20"/>
        </w:rPr>
      </w:pPr>
      <w:r>
        <w:rPr>
          <w:b/>
          <w:sz w:val="20"/>
          <w:szCs w:val="20"/>
        </w:rPr>
        <w:t>REASONS RELEASED / MOTIFS DÉPOSÉS</w:t>
      </w:r>
    </w:p>
    <w:p w:rsidR="003D1E2F" w:rsidRPr="003D1E2F" w:rsidRDefault="003D1E2F" w:rsidP="00FF6EEC">
      <w:pPr>
        <w:rPr>
          <w:sz w:val="20"/>
          <w:szCs w:val="20"/>
        </w:rPr>
      </w:pPr>
    </w:p>
    <w:p w:rsidR="00A5373E" w:rsidRDefault="00CF05D4" w:rsidP="00FF6EEC">
      <w:pPr>
        <w:rPr>
          <w:b/>
          <w:sz w:val="20"/>
          <w:szCs w:val="20"/>
        </w:rPr>
      </w:pPr>
      <w:r w:rsidRPr="00CF05D4">
        <w:rPr>
          <w:b/>
          <w:sz w:val="20"/>
          <w:szCs w:val="20"/>
        </w:rPr>
        <w:pict>
          <v:rect id="_x0000_i1105" style="width:144.3pt;height:1pt" o:hrpct="300" o:hralign="center" o:hrstd="t" o:hrnoshade="t" o:hr="t" fillcolor="black [3213]" stroked="f"/>
        </w:pict>
      </w:r>
    </w:p>
    <w:p w:rsidR="00A5373E" w:rsidRPr="00A5373E" w:rsidRDefault="00A5373E" w:rsidP="00FF6EEC">
      <w:pPr>
        <w:rPr>
          <w:sz w:val="20"/>
          <w:szCs w:val="20"/>
        </w:rPr>
      </w:pPr>
    </w:p>
    <w:p w:rsidR="00A5373E" w:rsidRPr="007B1BA8" w:rsidRDefault="00A5373E" w:rsidP="00FF6EEC">
      <w:pPr>
        <w:rPr>
          <w:sz w:val="20"/>
          <w:szCs w:val="20"/>
        </w:rPr>
      </w:pPr>
      <w:r w:rsidRPr="007B1BA8">
        <w:rPr>
          <w:b/>
          <w:sz w:val="20"/>
          <w:szCs w:val="20"/>
        </w:rPr>
        <w:t>MAY 6, 2011 / LE 6 MAI 2011</w:t>
      </w:r>
    </w:p>
    <w:p w:rsidR="00A5373E" w:rsidRPr="007B1BA8" w:rsidRDefault="00A5373E" w:rsidP="00FF6EEC">
      <w:pPr>
        <w:rPr>
          <w:sz w:val="20"/>
          <w:szCs w:val="20"/>
        </w:rPr>
      </w:pPr>
    </w:p>
    <w:p w:rsidR="007B1BA8" w:rsidRPr="00BB112A" w:rsidRDefault="007B1BA8" w:rsidP="007B1BA8">
      <w:pPr>
        <w:ind w:left="1440" w:hanging="1440"/>
        <w:jc w:val="both"/>
        <w:rPr>
          <w:b/>
          <w:sz w:val="20"/>
          <w:szCs w:val="20"/>
        </w:rPr>
      </w:pPr>
      <w:r w:rsidRPr="00BB112A">
        <w:rPr>
          <w:b/>
          <w:sz w:val="20"/>
          <w:szCs w:val="20"/>
        </w:rPr>
        <w:t>33841</w:t>
      </w:r>
      <w:r w:rsidRPr="00BB112A">
        <w:rPr>
          <w:b/>
          <w:sz w:val="20"/>
          <w:szCs w:val="20"/>
        </w:rPr>
        <w:tab/>
      </w:r>
      <w:r w:rsidRPr="00BB112A">
        <w:rPr>
          <w:b/>
          <w:sz w:val="20"/>
          <w:szCs w:val="20"/>
          <w:u w:val="single"/>
        </w:rPr>
        <w:t xml:space="preserve">Her Majesty the Queen v. V.Y. – and – Association in Defence of the Wrongly Convicted </w:t>
      </w:r>
      <w:r w:rsidRPr="00BB112A">
        <w:rPr>
          <w:bCs/>
          <w:iCs/>
          <w:sz w:val="20"/>
          <w:szCs w:val="20"/>
          <w:lang w:val="en-GB"/>
        </w:rPr>
        <w:t>(Ont.)</w:t>
      </w:r>
    </w:p>
    <w:p w:rsidR="007B1BA8" w:rsidRPr="00BB112A" w:rsidRDefault="007B1BA8" w:rsidP="007B1BA8">
      <w:pPr>
        <w:ind w:left="1440"/>
        <w:jc w:val="both"/>
        <w:rPr>
          <w:sz w:val="20"/>
          <w:szCs w:val="20"/>
        </w:rPr>
      </w:pPr>
      <w:r w:rsidRPr="00BB112A">
        <w:rPr>
          <w:b/>
          <w:sz w:val="20"/>
          <w:szCs w:val="20"/>
        </w:rPr>
        <w:t>2011 SCC 22 / 2011 CSC 22</w:t>
      </w:r>
    </w:p>
    <w:p w:rsidR="007B1BA8" w:rsidRPr="00BB112A" w:rsidRDefault="007B1BA8" w:rsidP="007B1BA8">
      <w:pPr>
        <w:jc w:val="both"/>
        <w:rPr>
          <w:sz w:val="20"/>
          <w:szCs w:val="20"/>
        </w:rPr>
      </w:pPr>
    </w:p>
    <w:p w:rsidR="007B1BA8" w:rsidRPr="007B1BA8" w:rsidRDefault="007B1BA8" w:rsidP="007B1BA8">
      <w:pPr>
        <w:ind w:left="720" w:hanging="720"/>
        <w:jc w:val="both"/>
        <w:rPr>
          <w:sz w:val="20"/>
          <w:szCs w:val="20"/>
        </w:rPr>
      </w:pPr>
      <w:r w:rsidRPr="00BB112A">
        <w:rPr>
          <w:sz w:val="20"/>
          <w:szCs w:val="20"/>
        </w:rPr>
        <w:t xml:space="preserve">Coram: </w:t>
      </w:r>
      <w:r>
        <w:rPr>
          <w:sz w:val="20"/>
          <w:szCs w:val="20"/>
        </w:rPr>
        <w:tab/>
      </w:r>
      <w:r w:rsidRPr="007B1BA8">
        <w:rPr>
          <w:sz w:val="20"/>
          <w:szCs w:val="20"/>
        </w:rPr>
        <w:t xml:space="preserve"> </w:t>
      </w:r>
      <w:r w:rsidRPr="007B1BA8">
        <w:rPr>
          <w:sz w:val="20"/>
          <w:szCs w:val="20"/>
        </w:rPr>
        <w:tab/>
      </w:r>
      <w:r w:rsidRPr="007B1BA8">
        <w:rPr>
          <w:sz w:val="20"/>
          <w:szCs w:val="20"/>
          <w:u w:val="single"/>
        </w:rPr>
        <w:t>McLachlin C.J. and Binnie, LeBel, Deschamps, Fish, Abella, Charron, Rothstein and Cromwell JJ.</w:t>
      </w:r>
      <w:r w:rsidR="00CF05D4" w:rsidRPr="007B1BA8">
        <w:rPr>
          <w:sz w:val="20"/>
          <w:szCs w:val="20"/>
        </w:rPr>
        <w:fldChar w:fldCharType="begin"/>
      </w:r>
      <w:r w:rsidRPr="007B1BA8">
        <w:rPr>
          <w:sz w:val="20"/>
          <w:szCs w:val="20"/>
        </w:rPr>
        <w:instrText xml:space="preserve"> SEQ CHAPTER \h \r 1</w:instrText>
      </w:r>
      <w:r w:rsidR="00CF05D4" w:rsidRPr="007B1BA8">
        <w:rPr>
          <w:sz w:val="20"/>
          <w:szCs w:val="20"/>
        </w:rPr>
        <w:fldChar w:fldCharType="end"/>
      </w:r>
    </w:p>
    <w:p w:rsidR="007B1BA8" w:rsidRPr="00BB112A" w:rsidRDefault="007B1BA8" w:rsidP="007B1BA8">
      <w:pPr>
        <w:ind w:left="1440" w:hanging="1440"/>
        <w:jc w:val="both"/>
        <w:rPr>
          <w:sz w:val="20"/>
          <w:szCs w:val="20"/>
        </w:rPr>
      </w:pPr>
    </w:p>
    <w:p w:rsidR="007B1BA8" w:rsidRPr="00BB112A" w:rsidRDefault="007B1BA8" w:rsidP="007B1BA8">
      <w:pPr>
        <w:jc w:val="both"/>
        <w:rPr>
          <w:rFonts w:eastAsia="Calibri"/>
          <w:sz w:val="20"/>
          <w:szCs w:val="20"/>
        </w:rPr>
      </w:pPr>
      <w:r w:rsidRPr="00BB112A">
        <w:rPr>
          <w:rFonts w:eastAsia="Calibri"/>
          <w:sz w:val="20"/>
          <w:szCs w:val="20"/>
        </w:rPr>
        <w:t xml:space="preserve">The appeal from the judgment </w:t>
      </w:r>
      <w:bookmarkStart w:id="2" w:name="BM_1_"/>
      <w:bookmarkEnd w:id="2"/>
      <w:r w:rsidRPr="00BB112A">
        <w:rPr>
          <w:rFonts w:eastAsia="Calibri"/>
          <w:sz w:val="20"/>
          <w:szCs w:val="20"/>
        </w:rPr>
        <w:t>of the Court of Appeal for Ontario, Number C48645, 2010 ONCA 544, dated August 5, 2010, heard on April 21, 2011, is dismissed.</w:t>
      </w:r>
    </w:p>
    <w:p w:rsidR="007B1BA8" w:rsidRPr="00BB112A" w:rsidRDefault="007B1BA8" w:rsidP="007B1BA8">
      <w:pPr>
        <w:jc w:val="both"/>
        <w:rPr>
          <w:rFonts w:eastAsia="Calibri"/>
          <w:sz w:val="20"/>
          <w:szCs w:val="20"/>
        </w:rPr>
      </w:pPr>
    </w:p>
    <w:p w:rsidR="007B1BA8" w:rsidRPr="00BB112A" w:rsidRDefault="007B1BA8" w:rsidP="007B1BA8">
      <w:pPr>
        <w:jc w:val="both"/>
        <w:rPr>
          <w:rFonts w:eastAsia="Calibri"/>
          <w:sz w:val="20"/>
          <w:szCs w:val="20"/>
          <w:lang w:val="fr-CA"/>
        </w:rPr>
      </w:pPr>
      <w:r w:rsidRPr="00BB112A">
        <w:rPr>
          <w:rFonts w:eastAsia="Calibri"/>
          <w:sz w:val="20"/>
          <w:szCs w:val="20"/>
          <w:lang w:val="fr-CA"/>
        </w:rPr>
        <w:t>L’appel interjeté contre l’arrêt de la Cour d’appel de l’Ontario, numéro C48645, 2010 ONCA 544, en date du 5 août 2010, entendu le 21 avril 2011, est rejeté.</w:t>
      </w:r>
    </w:p>
    <w:p w:rsidR="00A5373E" w:rsidRDefault="00A5373E" w:rsidP="00FF6EEC">
      <w:pPr>
        <w:rPr>
          <w:sz w:val="20"/>
          <w:szCs w:val="20"/>
          <w:lang w:val="fr-CA"/>
        </w:rPr>
      </w:pPr>
    </w:p>
    <w:p w:rsidR="00AF1715" w:rsidRDefault="00CF05D4" w:rsidP="00AF1715">
      <w:pPr>
        <w:spacing w:line="0" w:lineRule="atLeast"/>
        <w:rPr>
          <w:rFonts w:cs="Times New Roman"/>
          <w:b/>
          <w:sz w:val="20"/>
          <w:szCs w:val="20"/>
        </w:rPr>
      </w:pPr>
      <w:r w:rsidRPr="00CF05D4">
        <w:rPr>
          <w:rFonts w:cs="Times New Roman"/>
          <w:b/>
          <w:sz w:val="20"/>
          <w:szCs w:val="20"/>
        </w:rPr>
        <w:pict>
          <v:rect id="_x0000_i1106" style="width:144.3pt;height:1pt" o:hrpct="300" o:hralign="center" o:hrstd="t" o:hrnoshade="t" o:hr="t" fillcolor="black [3213]" stroked="f"/>
        </w:pict>
      </w:r>
    </w:p>
    <w:p w:rsidR="007B1BA8" w:rsidRDefault="007B1BA8" w:rsidP="00AF1715">
      <w:pPr>
        <w:spacing w:line="0" w:lineRule="atLeast"/>
        <w:rPr>
          <w:rFonts w:cs="Times New Roman"/>
          <w:b/>
          <w:sz w:val="20"/>
          <w:szCs w:val="20"/>
        </w:rPr>
      </w:pPr>
    </w:p>
    <w:p w:rsidR="007B1BA8" w:rsidRPr="006C5F7A" w:rsidRDefault="007B1BA8" w:rsidP="00AF1715">
      <w:pPr>
        <w:spacing w:line="0" w:lineRule="atLeast"/>
        <w:rPr>
          <w:rFonts w:cs="Times New Roman"/>
          <w:b/>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7"/>
          <w:headerReference w:type="default" r:id="rId48"/>
          <w:footerReference w:type="even" r:id="rId49"/>
          <w:footerReference w:type="default" r:id="rId50"/>
          <w:headerReference w:type="first" r:id="rId51"/>
          <w:footerReference w:type="first" r:id="rId5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195CA4" w:rsidRPr="001B4C07" w:rsidRDefault="00195CA4" w:rsidP="00195CA4">
      <w:pPr>
        <w:rPr>
          <w:rFonts w:eastAsia="Calibri" w:cs="Times New Roman"/>
          <w:sz w:val="20"/>
          <w:szCs w:val="20"/>
        </w:rPr>
      </w:pPr>
      <w:proofErr w:type="gramStart"/>
      <w:r w:rsidRPr="001B4C07">
        <w:rPr>
          <w:rFonts w:eastAsia="Calibri" w:cs="Times New Roman"/>
          <w:i/>
          <w:sz w:val="20"/>
          <w:szCs w:val="20"/>
        </w:rPr>
        <w:t>Derek James Loewen v.</w:t>
      </w:r>
      <w:proofErr w:type="gramEnd"/>
      <w:r w:rsidRPr="001B4C07">
        <w:rPr>
          <w:rFonts w:eastAsia="Calibri" w:cs="Times New Roman"/>
          <w:i/>
          <w:sz w:val="20"/>
          <w:szCs w:val="20"/>
        </w:rPr>
        <w:t xml:space="preserve"> Her Majesty the Queen </w:t>
      </w:r>
      <w:r w:rsidRPr="001B4C07">
        <w:rPr>
          <w:rFonts w:eastAsia="Calibri" w:cs="Times New Roman"/>
          <w:sz w:val="20"/>
          <w:szCs w:val="20"/>
        </w:rPr>
        <w:t>(Alta.) (33914)</w:t>
      </w:r>
    </w:p>
    <w:p w:rsidR="00B414FE" w:rsidRPr="00FE64A8" w:rsidRDefault="00B414FE" w:rsidP="00B414FE">
      <w:pPr>
        <w:jc w:val="both"/>
        <w:rPr>
          <w:b/>
          <w:sz w:val="20"/>
          <w:szCs w:val="20"/>
        </w:rPr>
      </w:pPr>
      <w:r w:rsidRPr="00B638E8">
        <w:rPr>
          <w:b/>
          <w:sz w:val="20"/>
          <w:szCs w:val="20"/>
        </w:rPr>
        <w:t xml:space="preserve">Indexed as:  R. </w:t>
      </w:r>
      <w:r w:rsidRPr="00B638E8">
        <w:rPr>
          <w:b/>
          <w:i/>
          <w:sz w:val="20"/>
          <w:szCs w:val="20"/>
        </w:rPr>
        <w:t>v.</w:t>
      </w:r>
      <w:r w:rsidRPr="00B638E8">
        <w:rPr>
          <w:b/>
          <w:sz w:val="20"/>
          <w:szCs w:val="20"/>
        </w:rPr>
        <w:t xml:space="preserve"> Loewen</w:t>
      </w:r>
      <w:r>
        <w:rPr>
          <w:b/>
          <w:sz w:val="20"/>
          <w:szCs w:val="20"/>
        </w:rPr>
        <w:t xml:space="preserve"> / </w:t>
      </w:r>
      <w:proofErr w:type="gramStart"/>
      <w:r w:rsidRPr="00FE64A8">
        <w:rPr>
          <w:b/>
          <w:sz w:val="20"/>
          <w:szCs w:val="20"/>
        </w:rPr>
        <w:t>Répertorié :</w:t>
      </w:r>
      <w:proofErr w:type="gramEnd"/>
      <w:r w:rsidRPr="00FE64A8">
        <w:rPr>
          <w:b/>
          <w:sz w:val="20"/>
          <w:szCs w:val="20"/>
        </w:rPr>
        <w:t> </w:t>
      </w:r>
      <w:r w:rsidRPr="00FE64A8">
        <w:rPr>
          <w:rStyle w:val="SCCRespondentForIndexChar"/>
          <w:rFonts w:eastAsia="Calibri"/>
          <w:sz w:val="20"/>
        </w:rPr>
        <w:t xml:space="preserve">R. </w:t>
      </w:r>
      <w:r w:rsidRPr="00FE64A8">
        <w:rPr>
          <w:b/>
          <w:i/>
          <w:sz w:val="20"/>
          <w:szCs w:val="20"/>
        </w:rPr>
        <w:t>c.</w:t>
      </w:r>
      <w:r w:rsidRPr="00FE64A8">
        <w:rPr>
          <w:b/>
          <w:sz w:val="20"/>
          <w:szCs w:val="20"/>
        </w:rPr>
        <w:t xml:space="preserve"> </w:t>
      </w:r>
      <w:r w:rsidRPr="00B414FE">
        <w:rPr>
          <w:rStyle w:val="SCCAppellantForIndexChar"/>
          <w:rFonts w:eastAsia="Calibri"/>
          <w:sz w:val="20"/>
          <w:lang w:val="en-CA"/>
        </w:rPr>
        <w:t>Loewen</w:t>
      </w:r>
    </w:p>
    <w:p w:rsidR="005C6840" w:rsidRPr="003B3977" w:rsidRDefault="005C6840" w:rsidP="005C6840">
      <w:pPr>
        <w:pStyle w:val="SCCSystemYear"/>
        <w:jc w:val="both"/>
        <w:rPr>
          <w:sz w:val="20"/>
        </w:rPr>
      </w:pPr>
      <w:r w:rsidRPr="003B3977">
        <w:rPr>
          <w:sz w:val="20"/>
        </w:rPr>
        <w:t>Neutral citation</w:t>
      </w:r>
      <w:proofErr w:type="gramStart"/>
      <w:r w:rsidRPr="003B3977">
        <w:rPr>
          <w:sz w:val="20"/>
        </w:rPr>
        <w:t>:  201</w:t>
      </w:r>
      <w:r w:rsidR="007F387B">
        <w:rPr>
          <w:sz w:val="20"/>
        </w:rPr>
        <w:t>1</w:t>
      </w:r>
      <w:proofErr w:type="gramEnd"/>
      <w:r w:rsidRPr="003B3977">
        <w:rPr>
          <w:sz w:val="20"/>
        </w:rPr>
        <w:t xml:space="preserve"> SCC </w:t>
      </w:r>
      <w:r w:rsidR="00A5373E">
        <w:rPr>
          <w:sz w:val="20"/>
        </w:rPr>
        <w:t>2</w:t>
      </w:r>
      <w:r w:rsidR="007F387B">
        <w:rPr>
          <w:sz w:val="20"/>
        </w:rPr>
        <w:t>1</w:t>
      </w:r>
      <w:r w:rsidRPr="003B3977">
        <w:rPr>
          <w:sz w:val="20"/>
        </w:rPr>
        <w:t xml:space="preserve"> / Référence neutre : 201</w:t>
      </w:r>
      <w:r w:rsidR="007F387B">
        <w:rPr>
          <w:sz w:val="20"/>
        </w:rPr>
        <w:t>1</w:t>
      </w:r>
      <w:r w:rsidRPr="003B3977">
        <w:rPr>
          <w:sz w:val="20"/>
        </w:rPr>
        <w:t xml:space="preserve"> CSC </w:t>
      </w:r>
      <w:r w:rsidR="00A5373E">
        <w:rPr>
          <w:sz w:val="20"/>
        </w:rPr>
        <w:t>2</w:t>
      </w:r>
      <w:r w:rsidR="007F387B">
        <w:rPr>
          <w:sz w:val="20"/>
        </w:rPr>
        <w:t>1</w:t>
      </w:r>
    </w:p>
    <w:p w:rsidR="005C6840" w:rsidRPr="003B3977" w:rsidRDefault="005C6840" w:rsidP="005C6840">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sidR="00B414FE">
        <w:rPr>
          <w:rFonts w:cs="Times New Roman"/>
          <w:sz w:val="20"/>
          <w:szCs w:val="20"/>
          <w:lang w:val="fr-CA"/>
        </w:rPr>
        <w:t>April</w:t>
      </w:r>
      <w:proofErr w:type="gramEnd"/>
      <w:r w:rsidR="00B414FE">
        <w:rPr>
          <w:rFonts w:cs="Times New Roman"/>
          <w:sz w:val="20"/>
          <w:szCs w:val="20"/>
          <w:lang w:val="fr-CA"/>
        </w:rPr>
        <w:t xml:space="preserve"> 12,</w:t>
      </w:r>
      <w:r w:rsidRPr="003B3977">
        <w:rPr>
          <w:rFonts w:cs="Times New Roman"/>
          <w:sz w:val="20"/>
          <w:szCs w:val="20"/>
          <w:lang w:val="fr-CA"/>
        </w:rPr>
        <w:t xml:space="preserve"> 201</w:t>
      </w:r>
      <w:r w:rsidR="00B414FE">
        <w:rPr>
          <w:rFonts w:cs="Times New Roman"/>
          <w:sz w:val="20"/>
          <w:szCs w:val="20"/>
          <w:lang w:val="fr-CA"/>
        </w:rPr>
        <w:t>1</w:t>
      </w:r>
      <w:r w:rsidRPr="003B3977">
        <w:rPr>
          <w:rFonts w:cs="Times New Roman"/>
          <w:sz w:val="20"/>
          <w:szCs w:val="20"/>
          <w:lang w:val="fr-CA"/>
        </w:rPr>
        <w:t xml:space="preserve"> / Judgment:  </w:t>
      </w:r>
      <w:r w:rsidR="00A5373E">
        <w:rPr>
          <w:rFonts w:cs="Times New Roman"/>
          <w:sz w:val="20"/>
          <w:szCs w:val="20"/>
          <w:lang w:val="fr-CA"/>
        </w:rPr>
        <w:t>May 5</w:t>
      </w:r>
      <w:r w:rsidRPr="003B3977">
        <w:rPr>
          <w:rFonts w:cs="Times New Roman"/>
          <w:sz w:val="20"/>
          <w:szCs w:val="20"/>
          <w:lang w:val="fr-CA"/>
        </w:rPr>
        <w:t>, 201</w:t>
      </w:r>
      <w:r w:rsidR="00A5373E">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B414FE">
        <w:rPr>
          <w:rFonts w:cs="Times New Roman"/>
          <w:sz w:val="20"/>
          <w:szCs w:val="20"/>
          <w:lang w:val="fr-CA"/>
        </w:rPr>
        <w:t>12 avril</w:t>
      </w:r>
      <w:r w:rsidRPr="003B3977">
        <w:rPr>
          <w:rFonts w:cs="Times New Roman"/>
          <w:sz w:val="20"/>
          <w:szCs w:val="20"/>
          <w:lang w:val="fr-CA"/>
        </w:rPr>
        <w:t xml:space="preserve"> 201</w:t>
      </w:r>
      <w:r w:rsidR="00B414FE">
        <w:rPr>
          <w:rFonts w:cs="Times New Roman"/>
          <w:sz w:val="20"/>
          <w:szCs w:val="20"/>
          <w:lang w:val="fr-CA"/>
        </w:rPr>
        <w:t>1</w:t>
      </w:r>
      <w:r w:rsidRPr="003B3977">
        <w:rPr>
          <w:rFonts w:cs="Times New Roman"/>
          <w:sz w:val="20"/>
          <w:szCs w:val="20"/>
          <w:lang w:val="fr-CA"/>
        </w:rPr>
        <w:t xml:space="preserve"> / Jugement : Le </w:t>
      </w:r>
      <w:r w:rsidR="00A5373E">
        <w:rPr>
          <w:rFonts w:cs="Times New Roman"/>
          <w:sz w:val="20"/>
          <w:szCs w:val="20"/>
          <w:lang w:val="fr-CA"/>
        </w:rPr>
        <w:t>5 mai</w:t>
      </w:r>
      <w:r w:rsidRPr="003B3977">
        <w:rPr>
          <w:rFonts w:cs="Times New Roman"/>
          <w:sz w:val="20"/>
          <w:szCs w:val="20"/>
          <w:lang w:val="fr-CA"/>
        </w:rPr>
        <w:t xml:space="preserve"> 201</w:t>
      </w:r>
      <w:r w:rsidR="00A5373E">
        <w:rPr>
          <w:rFonts w:cs="Times New Roman"/>
          <w:sz w:val="20"/>
          <w:szCs w:val="20"/>
          <w:lang w:val="fr-CA"/>
        </w:rPr>
        <w:t>1</w:t>
      </w:r>
    </w:p>
    <w:p w:rsidR="005C6840" w:rsidRPr="003B3977" w:rsidRDefault="00CF05D4" w:rsidP="005C6840">
      <w:pPr>
        <w:rPr>
          <w:rFonts w:cs="Times New Roman"/>
          <w:sz w:val="20"/>
          <w:szCs w:val="20"/>
          <w:lang w:val="fr-CA"/>
        </w:rPr>
      </w:pPr>
      <w:r w:rsidRPr="00CF05D4">
        <w:rPr>
          <w:rFonts w:cs="Times New Roman"/>
          <w:i/>
          <w:sz w:val="20"/>
          <w:szCs w:val="20"/>
        </w:rPr>
        <w:pict>
          <v:rect id="_x0000_i1109" style="width:480.95pt;height:1pt" o:hralign="center" o:hrstd="t" o:hrnoshade="t" o:hr="t" fillcolor="black [3213]" stroked="f"/>
        </w:pict>
      </w:r>
    </w:p>
    <w:p w:rsidR="005C6840" w:rsidRDefault="005C6840" w:rsidP="005C6840">
      <w:pPr>
        <w:rPr>
          <w:rFonts w:cs="Times New Roman"/>
          <w:sz w:val="20"/>
          <w:szCs w:val="20"/>
          <w:lang w:val="fr-CA"/>
        </w:rPr>
      </w:pPr>
    </w:p>
    <w:p w:rsidR="00B414FE" w:rsidRPr="00B638E8" w:rsidRDefault="00B414FE" w:rsidP="00B414FE">
      <w:pPr>
        <w:jc w:val="both"/>
        <w:rPr>
          <w:sz w:val="20"/>
          <w:szCs w:val="20"/>
        </w:rPr>
      </w:pPr>
      <w:r w:rsidRPr="00B638E8">
        <w:rPr>
          <w:sz w:val="20"/>
          <w:szCs w:val="20"/>
        </w:rPr>
        <w:t>Present:  McLachlin C.J. and Binnie, LeBel, Fish, Abella, Charron and Rothstein JJ.</w:t>
      </w:r>
    </w:p>
    <w:p w:rsidR="00B414FE" w:rsidRPr="00B414FE" w:rsidRDefault="00B414FE" w:rsidP="005C6840">
      <w:pPr>
        <w:rPr>
          <w:rFonts w:cs="Times New Roman"/>
          <w:sz w:val="20"/>
          <w:szCs w:val="20"/>
        </w:rPr>
      </w:pPr>
    </w:p>
    <w:p w:rsidR="00B414FE" w:rsidRDefault="00B414FE" w:rsidP="00B414FE">
      <w:pPr>
        <w:pStyle w:val="SCCNormalDoubleSpacing"/>
        <w:spacing w:line="240" w:lineRule="auto"/>
        <w:rPr>
          <w:i/>
          <w:sz w:val="20"/>
        </w:rPr>
      </w:pPr>
      <w:r w:rsidRPr="00B638E8">
        <w:rPr>
          <w:i/>
          <w:sz w:val="20"/>
        </w:rPr>
        <w:tab/>
        <w:t xml:space="preserve">Constitutional Law — </w:t>
      </w:r>
      <w:r w:rsidR="00CF05D4" w:rsidRPr="00B638E8">
        <w:rPr>
          <w:i/>
          <w:sz w:val="20"/>
        </w:rPr>
        <w:fldChar w:fldCharType="begin"/>
      </w:r>
      <w:r w:rsidRPr="00B638E8">
        <w:rPr>
          <w:i/>
          <w:sz w:val="20"/>
        </w:rPr>
        <w:instrText xml:space="preserve"> SEQ CHAPTER \h \r 1</w:instrText>
      </w:r>
      <w:r w:rsidR="00CF05D4" w:rsidRPr="00B638E8">
        <w:rPr>
          <w:i/>
          <w:sz w:val="20"/>
        </w:rPr>
        <w:fldChar w:fldCharType="end"/>
      </w:r>
      <w:r w:rsidRPr="00B638E8">
        <w:rPr>
          <w:i/>
          <w:sz w:val="20"/>
        </w:rPr>
        <w:t>Charter of Rights — S</w:t>
      </w:r>
      <w:r w:rsidR="00CF05D4" w:rsidRPr="00B638E8">
        <w:rPr>
          <w:i/>
          <w:sz w:val="20"/>
        </w:rPr>
        <w:fldChar w:fldCharType="begin"/>
      </w:r>
      <w:r w:rsidRPr="00B638E8">
        <w:rPr>
          <w:i/>
          <w:sz w:val="20"/>
        </w:rPr>
        <w:instrText xml:space="preserve"> SEQ CHAPTER \h \r 1</w:instrText>
      </w:r>
      <w:r w:rsidR="00CF05D4" w:rsidRPr="00B638E8">
        <w:rPr>
          <w:i/>
          <w:sz w:val="20"/>
        </w:rPr>
        <w:fldChar w:fldCharType="end"/>
      </w:r>
      <w:r w:rsidRPr="00B638E8">
        <w:rPr>
          <w:i/>
          <w:sz w:val="20"/>
        </w:rPr>
        <w:t>earch and seizure — Arbitrary detention — Whether arrest of accused and search of his vehicle was lawful and reasonable — Whether evidence of cocaine seized during search was admissible — Canadian Charter of Rights and Freedoms, ss. 8, 9, 24(2) — Criminal Code, R.S.C. 1985, c. C</w:t>
      </w:r>
      <w:r w:rsidRPr="00B638E8">
        <w:rPr>
          <w:i/>
          <w:sz w:val="20"/>
        </w:rPr>
        <w:noBreakHyphen/>
        <w:t>46, s. 495(1)(a).</w:t>
      </w:r>
    </w:p>
    <w:p w:rsidR="00B414FE" w:rsidRPr="00B638E8" w:rsidRDefault="00B414FE" w:rsidP="00B414FE">
      <w:pPr>
        <w:pStyle w:val="SCCNormalDoubleSpacing"/>
        <w:spacing w:line="240" w:lineRule="auto"/>
        <w:rPr>
          <w:i/>
          <w:sz w:val="20"/>
        </w:rPr>
      </w:pPr>
    </w:p>
    <w:p w:rsidR="00B414FE" w:rsidRDefault="00B414FE" w:rsidP="00B414FE">
      <w:pPr>
        <w:pStyle w:val="SCCNormalDoubleSpacing"/>
        <w:spacing w:line="240" w:lineRule="auto"/>
        <w:rPr>
          <w:sz w:val="20"/>
        </w:rPr>
      </w:pPr>
      <w:r w:rsidRPr="00B638E8">
        <w:rPr>
          <w:sz w:val="20"/>
        </w:rPr>
        <w:tab/>
        <w:t xml:space="preserve">After stopping the accused for speeding, a police officer smelled freshly burnt marijuana coming from the vehicle and found $5,410 in the accused’s pocket.  He arrested the accused for possession of a controlled substance, searched the vehicle, and found 100 grams of crack cocaine.  The trial judge admitted the evidence of cocaine.  The accused was convicted of </w:t>
      </w:r>
      <w:r w:rsidRPr="00B638E8">
        <w:rPr>
          <w:color w:val="000000"/>
          <w:sz w:val="20"/>
        </w:rPr>
        <w:t xml:space="preserve">possession </w:t>
      </w:r>
      <w:r w:rsidRPr="00B638E8">
        <w:rPr>
          <w:sz w:val="20"/>
        </w:rPr>
        <w:t xml:space="preserve">of </w:t>
      </w:r>
      <w:bookmarkStart w:id="3" w:name="HIT_5"/>
      <w:bookmarkStart w:id="4" w:name="ORIGHIT_5"/>
      <w:bookmarkEnd w:id="3"/>
      <w:bookmarkEnd w:id="4"/>
      <w:r w:rsidRPr="00B638E8">
        <w:rPr>
          <w:sz w:val="20"/>
        </w:rPr>
        <w:t>cocaine for the purpose of trafficking.  A majority of the Court of Appeal upheld the conviction.</w:t>
      </w:r>
    </w:p>
    <w:p w:rsidR="00B414FE" w:rsidRPr="00B638E8" w:rsidRDefault="00B414FE" w:rsidP="00B414FE">
      <w:pPr>
        <w:pStyle w:val="SCCNormalDoubleSpacing"/>
        <w:spacing w:line="240" w:lineRule="auto"/>
        <w:rPr>
          <w:sz w:val="20"/>
        </w:rPr>
      </w:pPr>
    </w:p>
    <w:p w:rsidR="00B414FE" w:rsidRDefault="00B414FE" w:rsidP="00B414FE">
      <w:pPr>
        <w:pStyle w:val="SCCNormalDoubleSpacing"/>
        <w:spacing w:line="240" w:lineRule="auto"/>
        <w:rPr>
          <w:sz w:val="20"/>
        </w:rPr>
      </w:pPr>
      <w:r w:rsidRPr="00B638E8">
        <w:rPr>
          <w:i/>
          <w:sz w:val="20"/>
        </w:rPr>
        <w:tab/>
        <w:t>Held</w:t>
      </w:r>
      <w:r w:rsidRPr="00B638E8">
        <w:rPr>
          <w:sz w:val="20"/>
        </w:rPr>
        <w:t>:  The appeal should be dismissed.</w:t>
      </w:r>
    </w:p>
    <w:p w:rsidR="00B414FE" w:rsidRPr="00B638E8" w:rsidRDefault="00B414FE" w:rsidP="00B414FE">
      <w:pPr>
        <w:pStyle w:val="SCCNormalDoubleSpacing"/>
        <w:spacing w:line="240" w:lineRule="auto"/>
        <w:rPr>
          <w:sz w:val="20"/>
        </w:rPr>
      </w:pPr>
    </w:p>
    <w:p w:rsidR="00B414FE" w:rsidRDefault="00B414FE" w:rsidP="00B414FE">
      <w:pPr>
        <w:pStyle w:val="SCCNormalDoubleSpacing"/>
        <w:spacing w:line="240" w:lineRule="auto"/>
        <w:rPr>
          <w:sz w:val="20"/>
        </w:rPr>
      </w:pPr>
      <w:r w:rsidRPr="00B638E8">
        <w:rPr>
          <w:sz w:val="20"/>
        </w:rPr>
        <w:tab/>
        <w:t xml:space="preserve">The arrest and the search of the vehicle did not violate the </w:t>
      </w:r>
      <w:r w:rsidRPr="00B638E8">
        <w:rPr>
          <w:i/>
          <w:sz w:val="20"/>
        </w:rPr>
        <w:t>Canadian Charter of Rights and Freedoms</w:t>
      </w:r>
      <w:r w:rsidRPr="00B638E8">
        <w:rPr>
          <w:sz w:val="20"/>
        </w:rPr>
        <w:t xml:space="preserve"> and the evidence of cocaine was admissible.  The police officer had reasonable grounds to believe that the accused was in possession of sufficient marijuana to constitute an indictable offence.  The accused was not wrongfully detained.  The arrest was lawful and the search was properly incidental to the arrest.  Even if a breach of the </w:t>
      </w:r>
      <w:r w:rsidRPr="00B638E8">
        <w:rPr>
          <w:i/>
          <w:sz w:val="20"/>
        </w:rPr>
        <w:t xml:space="preserve">Charter </w:t>
      </w:r>
      <w:r w:rsidRPr="00B638E8">
        <w:rPr>
          <w:sz w:val="20"/>
        </w:rPr>
        <w:t xml:space="preserve">had been found, the evidence would be admissible under s. 24(2) of the </w:t>
      </w:r>
      <w:r w:rsidRPr="00B638E8">
        <w:rPr>
          <w:i/>
          <w:sz w:val="20"/>
        </w:rPr>
        <w:t>Charter</w:t>
      </w:r>
      <w:r w:rsidRPr="00B638E8">
        <w:rPr>
          <w:sz w:val="20"/>
        </w:rPr>
        <w:t>.</w:t>
      </w:r>
    </w:p>
    <w:p w:rsidR="00B414FE" w:rsidRPr="00B638E8" w:rsidRDefault="00B414FE" w:rsidP="00B414FE">
      <w:pPr>
        <w:pStyle w:val="SCCNormalDoubleSpacing"/>
        <w:spacing w:line="240" w:lineRule="auto"/>
        <w:rPr>
          <w:sz w:val="20"/>
        </w:rPr>
      </w:pPr>
    </w:p>
    <w:p w:rsidR="00B414FE" w:rsidRDefault="00B414FE" w:rsidP="00B414FE">
      <w:pPr>
        <w:pStyle w:val="SCCNormalDoubleSpacing"/>
        <w:spacing w:line="240" w:lineRule="auto"/>
        <w:rPr>
          <w:sz w:val="20"/>
        </w:rPr>
      </w:pPr>
      <w:r w:rsidRPr="00B414FE">
        <w:rPr>
          <w:sz w:val="20"/>
        </w:rPr>
        <w:tab/>
      </w:r>
      <w:r w:rsidRPr="00B638E8">
        <w:rPr>
          <w:sz w:val="20"/>
        </w:rPr>
        <w:t>APPEAL from a judgment of the Alberta Court of Appeal (Hunt, Berger and Slatter JJ.A.), 2010 ABCA 255, 32 Alta. L.R. (5th) 203, 260 C.C.C. (3d) 296, 490 A.R. 72, [2011] 2 W.W.R. 15, [2010] A.J. No. 980 (QL), 2010 CarswellAlta 1721, affirming a decision of Ross J., 2008 ABQB 660, 461 A.R. 193, [2008] A.J. No. 1187 (QL), 2008 CarswellAlta 1637.  Appeal dismissed.</w:t>
      </w:r>
    </w:p>
    <w:p w:rsidR="00B414FE" w:rsidRDefault="00B414FE" w:rsidP="00B414FE">
      <w:pPr>
        <w:pStyle w:val="SCCNormalDoubleSpacing"/>
        <w:spacing w:line="240" w:lineRule="auto"/>
        <w:rPr>
          <w:sz w:val="20"/>
        </w:rPr>
      </w:pPr>
    </w:p>
    <w:p w:rsidR="00B414FE" w:rsidRDefault="00B414FE" w:rsidP="00B414FE">
      <w:pPr>
        <w:pStyle w:val="SCCNormalDoubleSpacing"/>
        <w:spacing w:line="240" w:lineRule="auto"/>
        <w:rPr>
          <w:rStyle w:val="SCCCounselPartyRoleChar"/>
          <w:sz w:val="20"/>
        </w:rPr>
      </w:pPr>
      <w:r w:rsidRPr="00B638E8">
        <w:rPr>
          <w:rStyle w:val="SCCCounselNameChar"/>
          <w:sz w:val="20"/>
        </w:rPr>
        <w:tab/>
      </w:r>
      <w:proofErr w:type="gramStart"/>
      <w:r w:rsidRPr="00B638E8">
        <w:rPr>
          <w:rStyle w:val="SCCCounselNameChar"/>
          <w:sz w:val="20"/>
        </w:rPr>
        <w:t>Paul L. Moreau</w:t>
      </w:r>
      <w:r w:rsidRPr="00B414FE">
        <w:rPr>
          <w:rStyle w:val="SCCCounselSeparatorChar"/>
          <w:sz w:val="20"/>
          <w:lang w:val="en-CA"/>
        </w:rPr>
        <w:t xml:space="preserve"> and </w:t>
      </w:r>
      <w:r w:rsidRPr="00B638E8">
        <w:rPr>
          <w:rStyle w:val="SCCCounselNameChar"/>
          <w:sz w:val="20"/>
        </w:rPr>
        <w:t>Darin Slaferek</w:t>
      </w:r>
      <w:r w:rsidRPr="00B638E8">
        <w:rPr>
          <w:rStyle w:val="SCCCounselPartyRoleChar"/>
          <w:sz w:val="20"/>
        </w:rPr>
        <w:t>, for the appellant.</w:t>
      </w:r>
      <w:proofErr w:type="gramEnd"/>
    </w:p>
    <w:p w:rsidR="00B414FE" w:rsidRPr="00B638E8" w:rsidRDefault="00B414FE" w:rsidP="00B414FE">
      <w:pPr>
        <w:pStyle w:val="SCCNormalDoubleSpacing"/>
        <w:spacing w:line="240" w:lineRule="auto"/>
        <w:rPr>
          <w:sz w:val="20"/>
        </w:rPr>
      </w:pPr>
    </w:p>
    <w:p w:rsidR="00B414FE" w:rsidRDefault="00B414FE" w:rsidP="00B414FE">
      <w:pPr>
        <w:pStyle w:val="SCCNormalDoubleSpacing"/>
        <w:spacing w:line="240" w:lineRule="auto"/>
        <w:rPr>
          <w:rStyle w:val="SCCCounselPartyRoleChar"/>
          <w:sz w:val="20"/>
        </w:rPr>
      </w:pPr>
      <w:r w:rsidRPr="00B638E8">
        <w:rPr>
          <w:rStyle w:val="SCCCounselNameChar"/>
          <w:sz w:val="20"/>
        </w:rPr>
        <w:tab/>
      </w:r>
      <w:proofErr w:type="gramStart"/>
      <w:r w:rsidRPr="00B638E8">
        <w:rPr>
          <w:rStyle w:val="SCCCounselNameChar"/>
          <w:sz w:val="20"/>
        </w:rPr>
        <w:t xml:space="preserve">Monique Dion </w:t>
      </w:r>
      <w:r w:rsidRPr="00B414FE">
        <w:rPr>
          <w:rStyle w:val="SCCCounselSeparatorChar"/>
          <w:sz w:val="20"/>
          <w:lang w:val="en-CA"/>
        </w:rPr>
        <w:t>and</w:t>
      </w:r>
      <w:r w:rsidRPr="00B638E8">
        <w:rPr>
          <w:rStyle w:val="SCCCounselNameChar"/>
          <w:sz w:val="20"/>
        </w:rPr>
        <w:t xml:space="preserve"> Ronald C. Reimer</w:t>
      </w:r>
      <w:r w:rsidRPr="00B638E8">
        <w:rPr>
          <w:rStyle w:val="SCCCounselPartyRoleChar"/>
          <w:sz w:val="20"/>
        </w:rPr>
        <w:t>, for the respondent.</w:t>
      </w:r>
      <w:proofErr w:type="gramEnd"/>
    </w:p>
    <w:p w:rsidR="00B414FE" w:rsidRPr="00B638E8" w:rsidRDefault="00B414FE" w:rsidP="00B414FE">
      <w:pPr>
        <w:pStyle w:val="SCCNormalDoubleSpacing"/>
        <w:spacing w:line="240" w:lineRule="auto"/>
        <w:rPr>
          <w:sz w:val="20"/>
        </w:rPr>
      </w:pPr>
    </w:p>
    <w:p w:rsidR="00B414FE" w:rsidRDefault="00B414FE" w:rsidP="00B414FE">
      <w:pPr>
        <w:pStyle w:val="SCCLawFirm"/>
        <w:spacing w:line="240" w:lineRule="auto"/>
        <w:rPr>
          <w:sz w:val="20"/>
        </w:rPr>
      </w:pPr>
      <w:r w:rsidRPr="00B638E8">
        <w:rPr>
          <w:sz w:val="20"/>
        </w:rPr>
        <w:tab/>
        <w:t>Solicitors for the appellant:</w:t>
      </w:r>
      <w:proofErr w:type="gramStart"/>
      <w:r w:rsidRPr="00B638E8">
        <w:rPr>
          <w:sz w:val="20"/>
        </w:rPr>
        <w:t>  Moreau</w:t>
      </w:r>
      <w:proofErr w:type="gramEnd"/>
      <w:r w:rsidRPr="00B638E8">
        <w:rPr>
          <w:sz w:val="20"/>
        </w:rPr>
        <w:t xml:space="preserve"> &amp; Company, Edmonton.</w:t>
      </w:r>
    </w:p>
    <w:p w:rsidR="00B414FE" w:rsidRPr="00B638E8" w:rsidRDefault="00B414FE" w:rsidP="00B414FE">
      <w:pPr>
        <w:pStyle w:val="SCCNormalDoubleSpacing"/>
        <w:spacing w:line="240" w:lineRule="auto"/>
      </w:pPr>
    </w:p>
    <w:p w:rsidR="00B414FE" w:rsidRDefault="00B414FE" w:rsidP="00B414FE">
      <w:pPr>
        <w:pStyle w:val="SCCLawFirm"/>
        <w:spacing w:line="240" w:lineRule="auto"/>
        <w:rPr>
          <w:sz w:val="20"/>
        </w:rPr>
      </w:pPr>
      <w:r w:rsidRPr="00B638E8">
        <w:rPr>
          <w:sz w:val="20"/>
        </w:rPr>
        <w:tab/>
        <w:t>Solicitor for the respondent:  Public Prosecution Service of Canada, Edmonton.</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Default="00DD0B49" w:rsidP="00DD0B49">
      <w:pPr>
        <w:rPr>
          <w:rFonts w:cs="Times New Roman"/>
          <w:sz w:val="20"/>
          <w:szCs w:val="20"/>
          <w:lang w:val="fr-CA"/>
        </w:rPr>
      </w:pPr>
    </w:p>
    <w:p w:rsidR="00B414FE" w:rsidRPr="00B414FE" w:rsidRDefault="00B414FE" w:rsidP="00B414FE">
      <w:pPr>
        <w:jc w:val="both"/>
        <w:rPr>
          <w:sz w:val="20"/>
          <w:szCs w:val="20"/>
          <w:lang w:val="fr-CA"/>
        </w:rPr>
      </w:pPr>
      <w:r w:rsidRPr="00B414FE">
        <w:rPr>
          <w:sz w:val="20"/>
          <w:szCs w:val="20"/>
          <w:lang w:val="fr-CA"/>
        </w:rPr>
        <w:t>Présents : La juge en chef McLachlin et les juges Binnie, LeBel, Fish, Abella, Charron et Rothstein.</w:t>
      </w:r>
    </w:p>
    <w:p w:rsidR="00B414FE" w:rsidRDefault="00B414FE" w:rsidP="00DD0B49">
      <w:pPr>
        <w:rPr>
          <w:rFonts w:cs="Times New Roman"/>
          <w:sz w:val="20"/>
          <w:szCs w:val="20"/>
          <w:lang w:val="fr-CA"/>
        </w:rPr>
      </w:pPr>
    </w:p>
    <w:p w:rsidR="00B414FE" w:rsidRPr="00746292" w:rsidRDefault="00B414FE" w:rsidP="00B414FE">
      <w:pPr>
        <w:pStyle w:val="SCCNormalDoubleSpacing"/>
        <w:spacing w:line="240" w:lineRule="auto"/>
        <w:rPr>
          <w:sz w:val="20"/>
          <w:lang w:val="fr-CA"/>
        </w:rPr>
      </w:pPr>
      <w:r w:rsidRPr="00746292">
        <w:rPr>
          <w:sz w:val="20"/>
          <w:lang w:val="fr-CA"/>
        </w:rPr>
        <w:tab/>
      </w:r>
      <w:r w:rsidRPr="00B414FE">
        <w:rPr>
          <w:i/>
          <w:sz w:val="20"/>
          <w:lang w:val="fr-CA"/>
        </w:rPr>
        <w:t xml:space="preserve">Droit constitutionnel — </w:t>
      </w:r>
      <w:r w:rsidR="00CF05D4" w:rsidRPr="00FE64A8">
        <w:rPr>
          <w:i/>
          <w:sz w:val="20"/>
        </w:rPr>
        <w:fldChar w:fldCharType="begin"/>
      </w:r>
      <w:r w:rsidRPr="00B414FE">
        <w:rPr>
          <w:i/>
          <w:sz w:val="20"/>
          <w:lang w:val="fr-CA"/>
        </w:rPr>
        <w:instrText xml:space="preserve"> SEQ CHAPTER \h \r 1</w:instrText>
      </w:r>
      <w:r w:rsidR="00CF05D4" w:rsidRPr="00FE64A8">
        <w:rPr>
          <w:i/>
          <w:sz w:val="20"/>
        </w:rPr>
        <w:fldChar w:fldCharType="end"/>
      </w:r>
      <w:r w:rsidRPr="00B414FE">
        <w:rPr>
          <w:i/>
          <w:sz w:val="20"/>
          <w:lang w:val="fr-CA"/>
        </w:rPr>
        <w:t>Charte des droits — Fouilles, perquisitions et saisies</w:t>
      </w:r>
      <w:r w:rsidR="00CF05D4" w:rsidRPr="00FE64A8">
        <w:rPr>
          <w:i/>
          <w:sz w:val="20"/>
        </w:rPr>
        <w:fldChar w:fldCharType="begin"/>
      </w:r>
      <w:r w:rsidRPr="00B414FE">
        <w:rPr>
          <w:i/>
          <w:sz w:val="20"/>
          <w:lang w:val="fr-CA"/>
        </w:rPr>
        <w:instrText xml:space="preserve"> SEQ CHAPTER \h \r 1</w:instrText>
      </w:r>
      <w:r w:rsidR="00CF05D4" w:rsidRPr="00FE64A8">
        <w:rPr>
          <w:i/>
          <w:sz w:val="20"/>
        </w:rPr>
        <w:fldChar w:fldCharType="end"/>
      </w:r>
      <w:r w:rsidRPr="00B414FE">
        <w:rPr>
          <w:i/>
          <w:sz w:val="20"/>
          <w:lang w:val="fr-CA"/>
        </w:rPr>
        <w:t xml:space="preserve"> — Détention arbitraire — L’arrestation de l’accusé et la fouille de son véhicule étaient</w:t>
      </w:r>
      <w:r w:rsidRPr="00B414FE">
        <w:rPr>
          <w:i/>
          <w:sz w:val="20"/>
          <w:lang w:val="fr-CA"/>
        </w:rPr>
        <w:noBreakHyphen/>
        <w:t>elles légales et raisonnables?</w:t>
      </w:r>
      <w:r w:rsidRPr="00FE64A8">
        <w:rPr>
          <w:i/>
          <w:sz w:val="20"/>
          <w:lang w:val="fr-FR"/>
        </w:rPr>
        <w:t xml:space="preserve"> — La cocaïne saisie pendant la fouille était</w:t>
      </w:r>
      <w:r w:rsidRPr="00FE64A8">
        <w:rPr>
          <w:i/>
          <w:sz w:val="20"/>
          <w:lang w:val="fr-FR"/>
        </w:rPr>
        <w:noBreakHyphen/>
        <w:t>elle admissible en preuve? — Charte canadienne des droits et libertés, art. 8, 9, 24(2) — Code criminel, L.R.C. 1985, ch. </w:t>
      </w:r>
      <w:r w:rsidRPr="00746292">
        <w:rPr>
          <w:i/>
          <w:sz w:val="20"/>
          <w:lang w:val="fr-CA"/>
        </w:rPr>
        <w:t>C</w:t>
      </w:r>
      <w:r w:rsidRPr="00746292">
        <w:rPr>
          <w:i/>
          <w:sz w:val="20"/>
          <w:lang w:val="fr-CA"/>
        </w:rPr>
        <w:noBreakHyphen/>
        <w:t>46, art. 495(1)a).</w:t>
      </w:r>
      <w:r w:rsidRPr="00746292">
        <w:rPr>
          <w:sz w:val="20"/>
          <w:lang w:val="fr-CA"/>
        </w:rPr>
        <w:t xml:space="preserve"> </w:t>
      </w:r>
    </w:p>
    <w:p w:rsidR="00B414FE" w:rsidRPr="00746292" w:rsidRDefault="00B414FE" w:rsidP="00B414FE">
      <w:pPr>
        <w:pStyle w:val="SCCNormalDoubleSpacing"/>
        <w:spacing w:line="240" w:lineRule="auto"/>
        <w:rPr>
          <w:sz w:val="20"/>
          <w:lang w:val="fr-CA"/>
        </w:rPr>
      </w:pPr>
    </w:p>
    <w:p w:rsidR="00B414FE" w:rsidRDefault="00B414FE" w:rsidP="00B414FE">
      <w:pPr>
        <w:pStyle w:val="SCCNormalDoubleSpacing"/>
        <w:spacing w:line="240" w:lineRule="auto"/>
        <w:rPr>
          <w:sz w:val="20"/>
          <w:lang w:val="fr-FR"/>
        </w:rPr>
      </w:pPr>
      <w:r w:rsidRPr="00746292">
        <w:rPr>
          <w:sz w:val="20"/>
          <w:lang w:val="fr-CA"/>
        </w:rPr>
        <w:tab/>
      </w:r>
      <w:r w:rsidRPr="00B414FE">
        <w:rPr>
          <w:sz w:val="20"/>
          <w:lang w:val="fr-CA"/>
        </w:rPr>
        <w:t xml:space="preserve">Après avoir intercepté l’accusé pour excès de vitesse, un policier a senti une odeur de marijuana récemment brûlée émanant du véhicule et il a trouvé 5 410 $ dans la poche de l’accusé.  Il a arrêté ce dernier pour possession d’une substance réglementée, a fouillé le véhicule et y a trouvé 100 grammes de crack.  La juge du procès a admis la cocaïne </w:t>
      </w:r>
      <w:r w:rsidRPr="00B414FE">
        <w:rPr>
          <w:sz w:val="20"/>
          <w:lang w:val="fr-CA"/>
        </w:rPr>
        <w:lastRenderedPageBreak/>
        <w:t>en preuve</w:t>
      </w:r>
      <w:r w:rsidRPr="00FE64A8">
        <w:rPr>
          <w:sz w:val="20"/>
          <w:lang w:val="fr-FR"/>
        </w:rPr>
        <w:t xml:space="preserve">.  L’accusé a été déclaré coupable de possession de cocaïne en vue d’en faire le trafic.  La Cour d’appel a, à la majorité, confirmé la déclaration de culpabilité. </w:t>
      </w:r>
    </w:p>
    <w:p w:rsidR="00B414FE" w:rsidRPr="00FE64A8" w:rsidRDefault="00B414FE" w:rsidP="00B414FE">
      <w:pPr>
        <w:pStyle w:val="SCCNormalDoubleSpacing"/>
        <w:spacing w:line="240" w:lineRule="auto"/>
        <w:rPr>
          <w:sz w:val="20"/>
          <w:lang w:val="fr-FR"/>
        </w:rPr>
      </w:pPr>
    </w:p>
    <w:p w:rsidR="00B414FE" w:rsidRPr="00B414FE" w:rsidRDefault="00B414FE" w:rsidP="00B414FE">
      <w:pPr>
        <w:pStyle w:val="SCCNormalDoubleSpacing"/>
        <w:spacing w:line="240" w:lineRule="auto"/>
        <w:rPr>
          <w:sz w:val="20"/>
          <w:lang w:val="fr-CA"/>
        </w:rPr>
      </w:pPr>
      <w:r w:rsidRPr="00B414FE">
        <w:rPr>
          <w:i/>
          <w:sz w:val="20"/>
          <w:lang w:val="fr-CA"/>
        </w:rPr>
        <w:tab/>
        <w:t>Arrêt</w:t>
      </w:r>
      <w:r w:rsidRPr="00B414FE">
        <w:rPr>
          <w:sz w:val="20"/>
          <w:lang w:val="fr-CA"/>
        </w:rPr>
        <w:t> : Le pourvoi est rejeté.</w:t>
      </w:r>
    </w:p>
    <w:p w:rsidR="00B414FE" w:rsidRPr="00B414FE" w:rsidRDefault="00B414FE" w:rsidP="00B414FE">
      <w:pPr>
        <w:pStyle w:val="SCCNormalDoubleSpacing"/>
        <w:spacing w:line="240" w:lineRule="auto"/>
        <w:rPr>
          <w:sz w:val="20"/>
          <w:lang w:val="fr-CA"/>
        </w:rPr>
      </w:pPr>
    </w:p>
    <w:p w:rsidR="00B414FE" w:rsidRDefault="00B414FE" w:rsidP="00B414FE">
      <w:pPr>
        <w:pStyle w:val="SCCNormalDoubleSpacing"/>
        <w:spacing w:line="240" w:lineRule="auto"/>
        <w:rPr>
          <w:sz w:val="20"/>
          <w:lang w:val="fr-FR"/>
        </w:rPr>
      </w:pPr>
      <w:r w:rsidRPr="00B414FE">
        <w:rPr>
          <w:sz w:val="20"/>
          <w:lang w:val="fr-CA"/>
        </w:rPr>
        <w:tab/>
        <w:t xml:space="preserve">L’arrestation et la fouille du véhicule n’ont pas été effectuées en violation de la </w:t>
      </w:r>
      <w:r w:rsidRPr="00B414FE">
        <w:rPr>
          <w:i/>
          <w:sz w:val="20"/>
          <w:lang w:val="fr-CA"/>
        </w:rPr>
        <w:t xml:space="preserve">Charte canadienne des droits et libertés </w:t>
      </w:r>
      <w:r w:rsidRPr="00B414FE">
        <w:rPr>
          <w:sz w:val="20"/>
          <w:lang w:val="fr-CA"/>
        </w:rPr>
        <w:t xml:space="preserve">et la </w:t>
      </w:r>
      <w:r w:rsidRPr="00FE64A8">
        <w:rPr>
          <w:sz w:val="20"/>
          <w:lang w:val="fr-FR"/>
        </w:rPr>
        <w:t xml:space="preserve">cocaïne recueillie en preuve était admissible.  Le policier avait des motifs raisonnables de croire que l’accusé était en possession d’une quantité suffisante de marijuana pour que cet acte constitue un acte criminel.  </w:t>
      </w:r>
      <w:r w:rsidRPr="00B414FE">
        <w:rPr>
          <w:sz w:val="20"/>
          <w:lang w:val="fr-CA"/>
        </w:rPr>
        <w:t xml:space="preserve">L’accusé n’a pas été détenu illégalement.  </w:t>
      </w:r>
      <w:r w:rsidRPr="00FE64A8">
        <w:rPr>
          <w:sz w:val="20"/>
          <w:lang w:val="fr-FR"/>
        </w:rPr>
        <w:t xml:space="preserve">L’arrestation était légale et la fouille  y était légitimement accessoire.  Même si la juge du procès avait conclu à une violation de la </w:t>
      </w:r>
      <w:r w:rsidRPr="00FE64A8">
        <w:rPr>
          <w:i/>
          <w:sz w:val="20"/>
          <w:lang w:val="fr-FR"/>
        </w:rPr>
        <w:t>Charte</w:t>
      </w:r>
      <w:r w:rsidRPr="00FE64A8">
        <w:rPr>
          <w:sz w:val="20"/>
          <w:lang w:val="fr-FR"/>
        </w:rPr>
        <w:t xml:space="preserve">, la preuve aurait été admissible en application du par. 24(2) de la </w:t>
      </w:r>
      <w:r w:rsidRPr="00FE64A8">
        <w:rPr>
          <w:i/>
          <w:sz w:val="20"/>
          <w:lang w:val="fr-FR"/>
        </w:rPr>
        <w:t>Charte</w:t>
      </w:r>
      <w:r w:rsidRPr="00FE64A8">
        <w:rPr>
          <w:sz w:val="20"/>
          <w:lang w:val="fr-FR"/>
        </w:rPr>
        <w:t>.</w:t>
      </w:r>
    </w:p>
    <w:p w:rsidR="00B414FE" w:rsidRPr="00FE64A8" w:rsidRDefault="00B414FE" w:rsidP="00B414FE">
      <w:pPr>
        <w:pStyle w:val="SCCNormalDoubleSpacing"/>
        <w:spacing w:line="240" w:lineRule="auto"/>
        <w:rPr>
          <w:sz w:val="20"/>
          <w:lang w:val="fr-FR"/>
        </w:rPr>
      </w:pPr>
    </w:p>
    <w:p w:rsidR="00B414FE" w:rsidRPr="00B414FE" w:rsidRDefault="00B414FE" w:rsidP="00B414FE">
      <w:pPr>
        <w:pStyle w:val="SCCNormalDoubleSpacing"/>
        <w:spacing w:line="240" w:lineRule="auto"/>
        <w:rPr>
          <w:sz w:val="20"/>
          <w:lang w:val="fr-CA"/>
        </w:rPr>
      </w:pPr>
      <w:r w:rsidRPr="00B414FE">
        <w:rPr>
          <w:sz w:val="20"/>
          <w:lang w:val="fr-CA"/>
        </w:rPr>
        <w:tab/>
        <w:t>POURVOI contre un arrêt de la Cour d’appel de l’Alberta (les juges Hunt, Berger et Slatter), 2010 ABCA 255, 32 Alta. L.R. (5th) 203, 260 C.C.C. (3d) 296, 490 A.R. 72, [2011] 2 W.W.R. 15, [2010] A.J. No. 980 (QL), 2010 CarswellAlta 1721, qui a confirmé une décision de la juge Ross, 2008 ABQB 660, 461 A.R. 193, [2008] A.J. No. 1187 (QL), 2008 CarswellAlta 1637.  Pourvoi rejeté.</w:t>
      </w:r>
    </w:p>
    <w:p w:rsidR="00B414FE" w:rsidRPr="00B414FE" w:rsidRDefault="00B414FE" w:rsidP="00B414FE">
      <w:pPr>
        <w:pStyle w:val="SCCNormalDoubleSpacing"/>
        <w:spacing w:line="240" w:lineRule="auto"/>
        <w:rPr>
          <w:sz w:val="20"/>
          <w:lang w:val="fr-CA"/>
        </w:rPr>
      </w:pPr>
    </w:p>
    <w:p w:rsidR="00B414FE" w:rsidRPr="00B414FE" w:rsidRDefault="00B414FE" w:rsidP="00B414FE">
      <w:pPr>
        <w:pStyle w:val="SCCNormalDoubleSpacing"/>
        <w:spacing w:line="240" w:lineRule="auto"/>
        <w:rPr>
          <w:rStyle w:val="SCCCounselPartyRoleChar"/>
          <w:sz w:val="20"/>
          <w:lang w:val="fr-CA"/>
        </w:rPr>
      </w:pPr>
      <w:r w:rsidRPr="00B414FE">
        <w:rPr>
          <w:rStyle w:val="SCCCounselNameChar"/>
          <w:sz w:val="20"/>
          <w:lang w:val="fr-CA"/>
        </w:rPr>
        <w:tab/>
        <w:t>Paul L. Moreau</w:t>
      </w:r>
      <w:r w:rsidRPr="00FE64A8">
        <w:rPr>
          <w:rStyle w:val="SCCCounselSeparatorChar"/>
          <w:sz w:val="20"/>
        </w:rPr>
        <w:t xml:space="preserve"> et </w:t>
      </w:r>
      <w:r w:rsidRPr="00B414FE">
        <w:rPr>
          <w:rStyle w:val="SCCCounselNameChar"/>
          <w:sz w:val="20"/>
          <w:lang w:val="fr-CA"/>
        </w:rPr>
        <w:t>Darin Slaferek</w:t>
      </w:r>
      <w:r w:rsidRPr="00B414FE">
        <w:rPr>
          <w:rStyle w:val="SCCCounselPartyRoleChar"/>
          <w:sz w:val="20"/>
          <w:lang w:val="fr-CA"/>
        </w:rPr>
        <w:t>, pour l’appelant.</w:t>
      </w:r>
    </w:p>
    <w:p w:rsidR="00B414FE" w:rsidRPr="00B414FE" w:rsidRDefault="00B414FE" w:rsidP="00B414FE">
      <w:pPr>
        <w:pStyle w:val="SCCNormalDoubleSpacing"/>
        <w:spacing w:line="240" w:lineRule="auto"/>
        <w:rPr>
          <w:sz w:val="20"/>
          <w:lang w:val="fr-CA"/>
        </w:rPr>
      </w:pPr>
    </w:p>
    <w:p w:rsidR="00B414FE" w:rsidRPr="00B414FE" w:rsidRDefault="00B414FE" w:rsidP="00B414FE">
      <w:pPr>
        <w:pStyle w:val="SCCNormalDoubleSpacing"/>
        <w:spacing w:line="240" w:lineRule="auto"/>
        <w:rPr>
          <w:rStyle w:val="SCCCounselPartyRoleChar"/>
          <w:sz w:val="20"/>
          <w:lang w:val="fr-CA"/>
        </w:rPr>
      </w:pPr>
      <w:r w:rsidRPr="00B414FE">
        <w:rPr>
          <w:rStyle w:val="SCCCounselNameChar"/>
          <w:sz w:val="20"/>
          <w:lang w:val="fr-CA"/>
        </w:rPr>
        <w:tab/>
        <w:t xml:space="preserve">Monique Dion </w:t>
      </w:r>
      <w:r w:rsidRPr="00FE64A8">
        <w:rPr>
          <w:rStyle w:val="SCCCounselSeparatorChar"/>
          <w:sz w:val="20"/>
        </w:rPr>
        <w:t>et</w:t>
      </w:r>
      <w:r w:rsidRPr="00B414FE">
        <w:rPr>
          <w:rStyle w:val="SCCCounselNameChar"/>
          <w:sz w:val="20"/>
          <w:lang w:val="fr-CA"/>
        </w:rPr>
        <w:t xml:space="preserve"> Ronald C. Reimer</w:t>
      </w:r>
      <w:r w:rsidRPr="00B414FE">
        <w:rPr>
          <w:rStyle w:val="SCCCounselPartyRoleChar"/>
          <w:sz w:val="20"/>
          <w:lang w:val="fr-CA"/>
        </w:rPr>
        <w:t>, pour l’intimée.</w:t>
      </w:r>
    </w:p>
    <w:p w:rsidR="00B414FE" w:rsidRPr="00B414FE" w:rsidRDefault="00B414FE" w:rsidP="00B414FE">
      <w:pPr>
        <w:pStyle w:val="SCCNormalDoubleSpacing"/>
        <w:spacing w:line="240" w:lineRule="auto"/>
        <w:rPr>
          <w:sz w:val="20"/>
          <w:lang w:val="fr-CA"/>
        </w:rPr>
      </w:pPr>
    </w:p>
    <w:p w:rsidR="00B414FE" w:rsidRPr="00B414FE" w:rsidRDefault="00B414FE" w:rsidP="00B414FE">
      <w:pPr>
        <w:pStyle w:val="SCCLawFirm"/>
        <w:spacing w:line="240" w:lineRule="auto"/>
        <w:rPr>
          <w:sz w:val="20"/>
          <w:lang w:val="fr-CA"/>
        </w:rPr>
      </w:pPr>
      <w:r w:rsidRPr="00B414FE">
        <w:rPr>
          <w:sz w:val="20"/>
          <w:lang w:val="fr-CA"/>
        </w:rPr>
        <w:tab/>
        <w:t>Procureurs de l’appelant : Moreau &amp; Company, Edmonton.</w:t>
      </w:r>
    </w:p>
    <w:p w:rsidR="00B414FE" w:rsidRPr="00B414FE" w:rsidRDefault="00B414FE" w:rsidP="00B414FE">
      <w:pPr>
        <w:pStyle w:val="SCCNormalDoubleSpacing"/>
        <w:spacing w:line="240" w:lineRule="auto"/>
        <w:rPr>
          <w:lang w:val="fr-CA"/>
        </w:rPr>
      </w:pPr>
    </w:p>
    <w:p w:rsidR="00B414FE" w:rsidRDefault="00B414FE" w:rsidP="00B414FE">
      <w:pPr>
        <w:pStyle w:val="SCCLawFirm"/>
        <w:spacing w:line="240" w:lineRule="auto"/>
        <w:rPr>
          <w:sz w:val="20"/>
          <w:lang w:val="fr-CA"/>
        </w:rPr>
      </w:pPr>
      <w:r w:rsidRPr="00B414FE">
        <w:rPr>
          <w:sz w:val="20"/>
          <w:lang w:val="fr-CA"/>
        </w:rPr>
        <w:tab/>
        <w:t>Procureur de l’intimée : Service des poursuites pénales du Canada, Edmonton.</w:t>
      </w:r>
    </w:p>
    <w:p w:rsidR="00D61602" w:rsidRPr="00D61602" w:rsidRDefault="00D61602" w:rsidP="00D61602">
      <w:pPr>
        <w:pStyle w:val="SCCNormalDoubleSpacing"/>
        <w:spacing w:line="240" w:lineRule="auto"/>
        <w:rPr>
          <w:lang w:val="fr-CA"/>
        </w:rPr>
      </w:pPr>
    </w:p>
    <w:p w:rsidR="0071780A" w:rsidRDefault="00CF05D4" w:rsidP="005C6840">
      <w:pPr>
        <w:rPr>
          <w:rFonts w:cs="Times New Roman"/>
          <w:sz w:val="20"/>
          <w:szCs w:val="20"/>
          <w:lang w:val="fr-CA"/>
        </w:rPr>
      </w:pPr>
      <w:r w:rsidRPr="00CF05D4">
        <w:rPr>
          <w:rFonts w:cs="Times New Roman"/>
          <w:sz w:val="20"/>
          <w:szCs w:val="20"/>
          <w:lang w:val="fr-CA"/>
        </w:rPr>
        <w:pict>
          <v:rect id="_x0000_i1110" style="width:144.3pt;height:1pt" o:hrpct="300" o:hralign="center" o:hrstd="t" o:hrnoshade="t" o:hr="t" fillcolor="black [3213]" stroked="f"/>
        </w:pict>
      </w:r>
    </w:p>
    <w:p w:rsidR="0071780A" w:rsidRDefault="0071780A" w:rsidP="005C6840">
      <w:pPr>
        <w:rPr>
          <w:rFonts w:cs="Times New Roman"/>
          <w:sz w:val="20"/>
          <w:szCs w:val="20"/>
          <w:lang w:val="fr-CA"/>
        </w:rPr>
      </w:pPr>
    </w:p>
    <w:p w:rsidR="0071780A" w:rsidRDefault="0071780A" w:rsidP="005C6840">
      <w:pPr>
        <w:rPr>
          <w:rFonts w:cs="Times New Roman"/>
          <w:sz w:val="20"/>
          <w:szCs w:val="20"/>
          <w:lang w:val="fr-CA"/>
        </w:rPr>
      </w:pPr>
    </w:p>
    <w:p w:rsidR="005C6840" w:rsidRDefault="005C6840" w:rsidP="005C6840">
      <w:pPr>
        <w:rPr>
          <w:lang w:val="fr-CA"/>
        </w:rPr>
      </w:pPr>
      <w:r>
        <w:rPr>
          <w:lang w:val="fr-CA"/>
        </w:rPr>
        <w:br w:type="page"/>
      </w:r>
    </w:p>
    <w:p w:rsidR="00195CA4" w:rsidRPr="001B4C07" w:rsidRDefault="00195CA4" w:rsidP="00195CA4">
      <w:pPr>
        <w:jc w:val="both"/>
        <w:rPr>
          <w:rFonts w:eastAsia="Calibri" w:cs="Times New Roman"/>
          <w:sz w:val="20"/>
          <w:szCs w:val="20"/>
          <w:lang w:val="en-GB"/>
        </w:rPr>
      </w:pPr>
      <w:r w:rsidRPr="001B4C07">
        <w:rPr>
          <w:rFonts w:eastAsia="Calibri" w:cs="Times New Roman"/>
          <w:i/>
          <w:sz w:val="20"/>
          <w:szCs w:val="20"/>
        </w:rPr>
        <w:lastRenderedPageBreak/>
        <w:t>Her Majesty the Queen v. V.Y.</w:t>
      </w:r>
      <w:r w:rsidRPr="001B4C07">
        <w:rPr>
          <w:rFonts w:eastAsia="Calibri" w:cs="Times New Roman"/>
          <w:sz w:val="20"/>
          <w:szCs w:val="20"/>
        </w:rPr>
        <w:t xml:space="preserve"> (Ont.) (33841)</w:t>
      </w:r>
    </w:p>
    <w:p w:rsidR="0071780A" w:rsidRPr="005F5B51" w:rsidRDefault="0071780A" w:rsidP="0071780A">
      <w:pPr>
        <w:jc w:val="both"/>
        <w:rPr>
          <w:b/>
          <w:sz w:val="20"/>
          <w:szCs w:val="20"/>
        </w:rPr>
      </w:pPr>
      <w:r w:rsidRPr="00CC76AC">
        <w:rPr>
          <w:b/>
          <w:sz w:val="20"/>
          <w:szCs w:val="20"/>
        </w:rPr>
        <w:t xml:space="preserve">Indexed as:  </w:t>
      </w:r>
      <w:r w:rsidRPr="0071780A">
        <w:rPr>
          <w:rStyle w:val="SCCAppellantForIndexChar"/>
          <w:rFonts w:eastAsia="Calibri"/>
          <w:sz w:val="20"/>
          <w:lang w:val="en-CA"/>
        </w:rPr>
        <w:t>R.</w:t>
      </w:r>
      <w:r w:rsidRPr="00CC76AC">
        <w:rPr>
          <w:b/>
          <w:sz w:val="20"/>
          <w:szCs w:val="20"/>
        </w:rPr>
        <w:t xml:space="preserve"> </w:t>
      </w:r>
      <w:r w:rsidRPr="00CC76AC">
        <w:rPr>
          <w:b/>
          <w:i/>
          <w:sz w:val="20"/>
          <w:szCs w:val="20"/>
        </w:rPr>
        <w:t>v.</w:t>
      </w:r>
      <w:r w:rsidRPr="00CC76AC">
        <w:rPr>
          <w:b/>
          <w:sz w:val="20"/>
          <w:szCs w:val="20"/>
        </w:rPr>
        <w:t xml:space="preserve"> </w:t>
      </w:r>
      <w:r w:rsidRPr="00CC76AC">
        <w:rPr>
          <w:rStyle w:val="SCCRespondentForIndexChar"/>
          <w:rFonts w:eastAsia="Calibri"/>
          <w:sz w:val="20"/>
        </w:rPr>
        <w:t>V.Y.</w:t>
      </w:r>
      <w:r>
        <w:rPr>
          <w:rStyle w:val="SCCRespondentForIndexChar"/>
          <w:rFonts w:eastAsia="Calibri"/>
          <w:sz w:val="20"/>
        </w:rPr>
        <w:t xml:space="preserve"> / </w:t>
      </w:r>
      <w:proofErr w:type="gramStart"/>
      <w:r w:rsidRPr="005F5B51">
        <w:rPr>
          <w:b/>
          <w:sz w:val="20"/>
          <w:szCs w:val="20"/>
        </w:rPr>
        <w:t>Répertorié :</w:t>
      </w:r>
      <w:proofErr w:type="gramEnd"/>
      <w:r w:rsidRPr="005F5B51">
        <w:rPr>
          <w:b/>
          <w:sz w:val="20"/>
          <w:szCs w:val="20"/>
        </w:rPr>
        <w:t> </w:t>
      </w:r>
      <w:r w:rsidRPr="0071780A">
        <w:rPr>
          <w:rStyle w:val="SCCAppellantForIndexChar"/>
          <w:rFonts w:eastAsia="Calibri"/>
          <w:sz w:val="20"/>
          <w:lang w:val="en-CA"/>
        </w:rPr>
        <w:t>R.</w:t>
      </w:r>
      <w:r w:rsidRPr="005F5B51">
        <w:rPr>
          <w:b/>
          <w:sz w:val="20"/>
          <w:szCs w:val="20"/>
        </w:rPr>
        <w:t xml:space="preserve"> </w:t>
      </w:r>
      <w:r w:rsidRPr="005F5B51">
        <w:rPr>
          <w:b/>
          <w:i/>
          <w:sz w:val="20"/>
          <w:szCs w:val="20"/>
        </w:rPr>
        <w:t>c.</w:t>
      </w:r>
      <w:r w:rsidRPr="005F5B51">
        <w:rPr>
          <w:b/>
          <w:sz w:val="20"/>
          <w:szCs w:val="20"/>
        </w:rPr>
        <w:t xml:space="preserve"> </w:t>
      </w:r>
      <w:r w:rsidRPr="005F5B51">
        <w:rPr>
          <w:rStyle w:val="SCCRespondentForIndexChar"/>
          <w:rFonts w:eastAsia="Calibri"/>
          <w:sz w:val="20"/>
        </w:rPr>
        <w:t>V.Y.</w:t>
      </w:r>
    </w:p>
    <w:p w:rsidR="005C6840" w:rsidRPr="00A5373E" w:rsidRDefault="005C6840" w:rsidP="005C6840">
      <w:pPr>
        <w:pStyle w:val="SCCSystemYear"/>
        <w:jc w:val="both"/>
        <w:rPr>
          <w:sz w:val="20"/>
        </w:rPr>
      </w:pPr>
      <w:r w:rsidRPr="00A5373E">
        <w:rPr>
          <w:sz w:val="20"/>
        </w:rPr>
        <w:t>Neutral citation</w:t>
      </w:r>
      <w:proofErr w:type="gramStart"/>
      <w:r w:rsidRPr="00A5373E">
        <w:rPr>
          <w:sz w:val="20"/>
        </w:rPr>
        <w:t>:  201</w:t>
      </w:r>
      <w:r w:rsidR="007F387B" w:rsidRPr="00A5373E">
        <w:rPr>
          <w:sz w:val="20"/>
        </w:rPr>
        <w:t>1</w:t>
      </w:r>
      <w:proofErr w:type="gramEnd"/>
      <w:r w:rsidRPr="00A5373E">
        <w:rPr>
          <w:sz w:val="20"/>
        </w:rPr>
        <w:t xml:space="preserve"> SCC </w:t>
      </w:r>
      <w:r w:rsidR="007F387B" w:rsidRPr="00A5373E">
        <w:rPr>
          <w:sz w:val="20"/>
        </w:rPr>
        <w:t>2</w:t>
      </w:r>
      <w:r w:rsidR="00A5373E" w:rsidRPr="00A5373E">
        <w:rPr>
          <w:sz w:val="20"/>
        </w:rPr>
        <w:t>2</w:t>
      </w:r>
      <w:r w:rsidRPr="00A5373E">
        <w:rPr>
          <w:sz w:val="20"/>
        </w:rPr>
        <w:t xml:space="preserve"> / Référence neutre : 201</w:t>
      </w:r>
      <w:r w:rsidR="007F387B" w:rsidRPr="00A5373E">
        <w:rPr>
          <w:sz w:val="20"/>
        </w:rPr>
        <w:t>1</w:t>
      </w:r>
      <w:r w:rsidRPr="00A5373E">
        <w:rPr>
          <w:sz w:val="20"/>
        </w:rPr>
        <w:t xml:space="preserve"> CSC </w:t>
      </w:r>
      <w:r w:rsidR="007F387B" w:rsidRPr="00A5373E">
        <w:rPr>
          <w:sz w:val="20"/>
        </w:rPr>
        <w:t>2</w:t>
      </w:r>
      <w:r w:rsidR="00A5373E" w:rsidRPr="00A5373E">
        <w:rPr>
          <w:sz w:val="20"/>
        </w:rPr>
        <w:t>2</w:t>
      </w:r>
    </w:p>
    <w:p w:rsidR="005C6840" w:rsidRPr="00A5373E" w:rsidRDefault="005C6840" w:rsidP="005C6840">
      <w:pPr>
        <w:rPr>
          <w:sz w:val="20"/>
          <w:szCs w:val="20"/>
          <w:lang w:val="fr-CA"/>
        </w:rPr>
      </w:pPr>
      <w:r w:rsidRPr="00A5373E">
        <w:rPr>
          <w:sz w:val="20"/>
          <w:szCs w:val="20"/>
          <w:lang w:val="fr-CA"/>
        </w:rPr>
        <w:t>Hearing</w:t>
      </w:r>
      <w:proofErr w:type="gramStart"/>
      <w:r w:rsidRPr="00A5373E">
        <w:rPr>
          <w:sz w:val="20"/>
          <w:szCs w:val="20"/>
          <w:lang w:val="fr-CA"/>
        </w:rPr>
        <w:t xml:space="preserve">:  </w:t>
      </w:r>
      <w:r w:rsidR="0071780A">
        <w:rPr>
          <w:sz w:val="20"/>
          <w:szCs w:val="20"/>
          <w:lang w:val="fr-CA"/>
        </w:rPr>
        <w:t>April</w:t>
      </w:r>
      <w:proofErr w:type="gramEnd"/>
      <w:r w:rsidRPr="00A5373E">
        <w:rPr>
          <w:sz w:val="20"/>
          <w:szCs w:val="20"/>
          <w:lang w:val="fr-CA"/>
        </w:rPr>
        <w:t xml:space="preserve"> 21, 201</w:t>
      </w:r>
      <w:r w:rsidR="0071780A">
        <w:rPr>
          <w:sz w:val="20"/>
          <w:szCs w:val="20"/>
          <w:lang w:val="fr-CA"/>
        </w:rPr>
        <w:t>1</w:t>
      </w:r>
      <w:r w:rsidRPr="00A5373E">
        <w:rPr>
          <w:sz w:val="20"/>
          <w:szCs w:val="20"/>
          <w:lang w:val="fr-CA"/>
        </w:rPr>
        <w:t xml:space="preserve"> / Judgment:  </w:t>
      </w:r>
      <w:r w:rsidR="00A5373E" w:rsidRPr="00A5373E">
        <w:rPr>
          <w:sz w:val="20"/>
          <w:szCs w:val="20"/>
          <w:lang w:val="fr-CA"/>
        </w:rPr>
        <w:t>May 6</w:t>
      </w:r>
      <w:r w:rsidRPr="00A5373E">
        <w:rPr>
          <w:sz w:val="20"/>
          <w:szCs w:val="20"/>
          <w:lang w:val="fr-CA"/>
        </w:rPr>
        <w:t>, 201</w:t>
      </w:r>
      <w:r w:rsidR="00A5373E" w:rsidRPr="00A5373E">
        <w:rPr>
          <w:sz w:val="20"/>
          <w:szCs w:val="20"/>
          <w:lang w:val="fr-CA"/>
        </w:rPr>
        <w:t>1</w:t>
      </w:r>
    </w:p>
    <w:p w:rsidR="005C6840" w:rsidRPr="003B3977" w:rsidRDefault="005C6840" w:rsidP="005C6840">
      <w:pPr>
        <w:rPr>
          <w:sz w:val="20"/>
          <w:szCs w:val="20"/>
          <w:lang w:val="fr-CA"/>
        </w:rPr>
      </w:pPr>
      <w:r w:rsidRPr="003B3977">
        <w:rPr>
          <w:sz w:val="20"/>
          <w:szCs w:val="20"/>
          <w:lang w:val="fr-CA"/>
        </w:rPr>
        <w:t>Audition : Le 21 a</w:t>
      </w:r>
      <w:r w:rsidR="0071780A">
        <w:rPr>
          <w:sz w:val="20"/>
          <w:szCs w:val="20"/>
          <w:lang w:val="fr-CA"/>
        </w:rPr>
        <w:t>vr</w:t>
      </w:r>
      <w:r w:rsidRPr="003B3977">
        <w:rPr>
          <w:sz w:val="20"/>
          <w:szCs w:val="20"/>
          <w:lang w:val="fr-CA"/>
        </w:rPr>
        <w:t>i</w:t>
      </w:r>
      <w:r w:rsidR="0071780A">
        <w:rPr>
          <w:sz w:val="20"/>
          <w:szCs w:val="20"/>
          <w:lang w:val="fr-CA"/>
        </w:rPr>
        <w:t>l</w:t>
      </w:r>
      <w:r w:rsidRPr="003B3977">
        <w:rPr>
          <w:sz w:val="20"/>
          <w:szCs w:val="20"/>
          <w:lang w:val="fr-CA"/>
        </w:rPr>
        <w:t xml:space="preserve"> 201</w:t>
      </w:r>
      <w:r w:rsidR="0071780A">
        <w:rPr>
          <w:sz w:val="20"/>
          <w:szCs w:val="20"/>
          <w:lang w:val="fr-CA"/>
        </w:rPr>
        <w:t>1</w:t>
      </w:r>
      <w:r w:rsidRPr="003B3977">
        <w:rPr>
          <w:sz w:val="20"/>
          <w:szCs w:val="20"/>
          <w:lang w:val="fr-CA"/>
        </w:rPr>
        <w:t xml:space="preserve"> / Jugement : Le </w:t>
      </w:r>
      <w:r w:rsidR="00A5373E">
        <w:rPr>
          <w:sz w:val="20"/>
          <w:szCs w:val="20"/>
          <w:lang w:val="fr-CA"/>
        </w:rPr>
        <w:t>6</w:t>
      </w:r>
      <w:r w:rsidRPr="003B3977">
        <w:rPr>
          <w:sz w:val="20"/>
          <w:szCs w:val="20"/>
          <w:lang w:val="fr-CA"/>
        </w:rPr>
        <w:t xml:space="preserve"> </w:t>
      </w:r>
      <w:r w:rsidR="00A5373E">
        <w:rPr>
          <w:sz w:val="20"/>
          <w:szCs w:val="20"/>
          <w:lang w:val="fr-CA"/>
        </w:rPr>
        <w:t>mai</w:t>
      </w:r>
      <w:r w:rsidRPr="003B3977">
        <w:rPr>
          <w:sz w:val="20"/>
          <w:szCs w:val="20"/>
          <w:lang w:val="fr-CA"/>
        </w:rPr>
        <w:t xml:space="preserve"> 201</w:t>
      </w:r>
      <w:r w:rsidR="00A5373E">
        <w:rPr>
          <w:sz w:val="20"/>
          <w:szCs w:val="20"/>
          <w:lang w:val="fr-CA"/>
        </w:rPr>
        <w:t>1</w:t>
      </w:r>
    </w:p>
    <w:p w:rsidR="005C6840" w:rsidRPr="003B3977" w:rsidRDefault="00CF05D4" w:rsidP="005C6840">
      <w:pPr>
        <w:rPr>
          <w:sz w:val="20"/>
          <w:szCs w:val="20"/>
          <w:lang w:val="fr-CA"/>
        </w:rPr>
      </w:pPr>
      <w:r w:rsidRPr="00CF05D4">
        <w:rPr>
          <w:i/>
          <w:sz w:val="20"/>
          <w:szCs w:val="20"/>
        </w:rPr>
        <w:pict>
          <v:rect id="_x0000_i1111" style="width:480.95pt;height:1pt" o:hralign="center" o:hrstd="t" o:hrnoshade="t" o:hr="t" fillcolor="black [3213]" stroked="f"/>
        </w:pict>
      </w:r>
    </w:p>
    <w:p w:rsidR="005C6840" w:rsidRDefault="005C6840" w:rsidP="005C6840">
      <w:pPr>
        <w:spacing w:line="0" w:lineRule="atLeast"/>
        <w:rPr>
          <w:sz w:val="20"/>
          <w:szCs w:val="20"/>
          <w:lang w:val="fr-CA"/>
        </w:rPr>
      </w:pPr>
    </w:p>
    <w:p w:rsidR="0071780A" w:rsidRPr="00CC76AC" w:rsidRDefault="0071780A" w:rsidP="0071780A">
      <w:pPr>
        <w:jc w:val="both"/>
        <w:rPr>
          <w:sz w:val="20"/>
          <w:szCs w:val="20"/>
        </w:rPr>
      </w:pPr>
      <w:r w:rsidRPr="00CC76AC">
        <w:rPr>
          <w:sz w:val="20"/>
          <w:szCs w:val="20"/>
        </w:rPr>
        <w:t>Present:  McLachlin C.J. and Binnie, LeBel, Deschamps, Fish, Abella, Charron, Rothstein and Cromwell JJ.</w:t>
      </w:r>
    </w:p>
    <w:p w:rsidR="00B414FE" w:rsidRPr="0071780A" w:rsidRDefault="00B414FE" w:rsidP="005C6840">
      <w:pPr>
        <w:spacing w:line="0" w:lineRule="atLeast"/>
        <w:rPr>
          <w:sz w:val="20"/>
          <w:szCs w:val="20"/>
        </w:rPr>
      </w:pPr>
    </w:p>
    <w:p w:rsidR="0071780A" w:rsidRDefault="0071780A" w:rsidP="0071780A">
      <w:pPr>
        <w:pStyle w:val="SCCNormalDoubleSpacing"/>
        <w:spacing w:line="240" w:lineRule="auto"/>
        <w:rPr>
          <w:i/>
          <w:sz w:val="20"/>
        </w:rPr>
      </w:pPr>
      <w:r w:rsidRPr="00CC76AC">
        <w:rPr>
          <w:i/>
          <w:sz w:val="20"/>
        </w:rPr>
        <w:tab/>
        <w:t>Criminal law — Evidence — Burden of proof — Accused convicted at trial of sexual assault and unlawful confinement — Whether trial judge failed to give adequate consideration to question of whether evidence raised reasonable doubt — Whether majority of court of appeal erred in setting aside convictions and ordering new trial.</w:t>
      </w:r>
    </w:p>
    <w:p w:rsidR="0071780A" w:rsidRPr="00CC76AC" w:rsidRDefault="0071780A" w:rsidP="0071780A">
      <w:pPr>
        <w:pStyle w:val="SCCNormalDoubleSpacing"/>
        <w:spacing w:line="240" w:lineRule="auto"/>
        <w:rPr>
          <w:i/>
          <w:sz w:val="20"/>
        </w:rPr>
      </w:pPr>
    </w:p>
    <w:p w:rsidR="0071780A" w:rsidRDefault="0071780A" w:rsidP="0071780A">
      <w:pPr>
        <w:pStyle w:val="SCCNormalDoubleSpacing"/>
        <w:spacing w:line="240" w:lineRule="auto"/>
        <w:rPr>
          <w:sz w:val="20"/>
        </w:rPr>
      </w:pPr>
      <w:r w:rsidRPr="00CC76AC">
        <w:rPr>
          <w:sz w:val="20"/>
        </w:rPr>
        <w:tab/>
      </w:r>
      <w:r w:rsidRPr="00CC76AC">
        <w:rPr>
          <w:rStyle w:val="QuoteChar"/>
          <w:sz w:val="20"/>
        </w:rPr>
        <w:t>Held:</w:t>
      </w:r>
      <w:r w:rsidRPr="00CC76AC">
        <w:rPr>
          <w:sz w:val="20"/>
        </w:rPr>
        <w:t xml:space="preserve">  The appeal should be dismissed.</w:t>
      </w:r>
    </w:p>
    <w:p w:rsidR="0071780A" w:rsidRPr="00CC76AC" w:rsidRDefault="0071780A" w:rsidP="0071780A">
      <w:pPr>
        <w:pStyle w:val="SCCNormalDoubleSpacing"/>
        <w:spacing w:line="240" w:lineRule="auto"/>
        <w:rPr>
          <w:sz w:val="20"/>
        </w:rPr>
      </w:pPr>
    </w:p>
    <w:p w:rsidR="0071780A" w:rsidRPr="00CC76AC" w:rsidRDefault="0071780A" w:rsidP="0071780A">
      <w:pPr>
        <w:pStyle w:val="SCCNormalDoubleSpacing"/>
        <w:spacing w:line="240" w:lineRule="auto"/>
        <w:rPr>
          <w:sz w:val="20"/>
        </w:rPr>
      </w:pPr>
      <w:r w:rsidRPr="00CC76AC">
        <w:rPr>
          <w:sz w:val="20"/>
        </w:rPr>
        <w:tab/>
        <w:t>APPEAL from a judgment of the Ontario Court of Appeal (Laskin and LaForme JJ.A. and Moldaver J.A. dissenting), 2010 ONCA 544, 266 O.A.C. 27, 258 C.C.C. (3d) 281, 79 C.R. (6th) 327, [2010] O.J. No. 3336 (QL), 2010 CarswellOnt 5671, setting aside the accused’s convictions and ordering a new trial. Appeal dismissed.</w:t>
      </w:r>
    </w:p>
    <w:p w:rsidR="0071780A" w:rsidRDefault="0071780A" w:rsidP="0071780A">
      <w:pPr>
        <w:pStyle w:val="SCCNormalDoubleSpacing"/>
        <w:spacing w:line="240" w:lineRule="auto"/>
        <w:rPr>
          <w:rStyle w:val="SCCCounselPartyRoleChar"/>
          <w:sz w:val="20"/>
        </w:rPr>
      </w:pPr>
      <w:r w:rsidRPr="00CC76AC">
        <w:rPr>
          <w:rStyle w:val="SCCCounselNameChar"/>
          <w:sz w:val="20"/>
        </w:rPr>
        <w:tab/>
      </w:r>
      <w:proofErr w:type="gramStart"/>
      <w:r w:rsidRPr="00CC76AC">
        <w:rPr>
          <w:rStyle w:val="SCCCounselNameChar"/>
          <w:sz w:val="20"/>
        </w:rPr>
        <w:t>Lisa Joyal</w:t>
      </w:r>
      <w:r w:rsidRPr="00CC76AC">
        <w:rPr>
          <w:rStyle w:val="SCCCounselPartyRoleChar"/>
          <w:sz w:val="20"/>
        </w:rPr>
        <w:t>, for the appellant.</w:t>
      </w:r>
      <w:proofErr w:type="gramEnd"/>
    </w:p>
    <w:p w:rsidR="0071780A" w:rsidRPr="00CC76AC" w:rsidRDefault="0071780A" w:rsidP="0071780A">
      <w:pPr>
        <w:pStyle w:val="SCCNormalDoubleSpacing"/>
        <w:spacing w:line="240" w:lineRule="auto"/>
        <w:rPr>
          <w:sz w:val="20"/>
        </w:rPr>
      </w:pPr>
    </w:p>
    <w:p w:rsidR="0071780A" w:rsidRDefault="0071780A" w:rsidP="0071780A">
      <w:pPr>
        <w:pStyle w:val="SCCNormalDoubleSpacing"/>
        <w:spacing w:line="240" w:lineRule="auto"/>
        <w:rPr>
          <w:rStyle w:val="SCCCounselPartyRoleChar"/>
          <w:sz w:val="20"/>
        </w:rPr>
      </w:pPr>
      <w:r w:rsidRPr="00CC76AC">
        <w:rPr>
          <w:rStyle w:val="SCCCounselNameChar"/>
          <w:sz w:val="20"/>
        </w:rPr>
        <w:tab/>
      </w:r>
      <w:proofErr w:type="gramStart"/>
      <w:r w:rsidRPr="00CC76AC">
        <w:rPr>
          <w:rStyle w:val="SCCCounselNameChar"/>
          <w:sz w:val="20"/>
        </w:rPr>
        <w:t>Michael G. Engel</w:t>
      </w:r>
      <w:r w:rsidRPr="0071780A">
        <w:rPr>
          <w:rStyle w:val="SCCCounselSeparatorChar"/>
          <w:sz w:val="20"/>
          <w:lang w:val="en-CA"/>
        </w:rPr>
        <w:t xml:space="preserve">, </w:t>
      </w:r>
      <w:r w:rsidRPr="00CC76AC">
        <w:rPr>
          <w:rStyle w:val="SCCCounselNameChar"/>
          <w:sz w:val="20"/>
        </w:rPr>
        <w:t>Russell Silverstein</w:t>
      </w:r>
      <w:r w:rsidRPr="0071780A">
        <w:rPr>
          <w:rStyle w:val="SCCCounselSeparatorChar"/>
          <w:sz w:val="20"/>
          <w:lang w:val="en-CA"/>
        </w:rPr>
        <w:t xml:space="preserve"> and </w:t>
      </w:r>
      <w:r w:rsidRPr="00CC76AC">
        <w:rPr>
          <w:rStyle w:val="SCCCounselNameChar"/>
          <w:sz w:val="20"/>
        </w:rPr>
        <w:t>Ingrid Grant</w:t>
      </w:r>
      <w:r w:rsidRPr="00CC76AC">
        <w:rPr>
          <w:rStyle w:val="SCCCounselPartyRoleChar"/>
          <w:sz w:val="20"/>
        </w:rPr>
        <w:t>, for the respondent.</w:t>
      </w:r>
      <w:proofErr w:type="gramEnd"/>
    </w:p>
    <w:p w:rsidR="0071780A" w:rsidRPr="00CC76AC" w:rsidRDefault="0071780A" w:rsidP="0071780A">
      <w:pPr>
        <w:pStyle w:val="SCCNormalDoubleSpacing"/>
        <w:spacing w:line="240" w:lineRule="auto"/>
        <w:rPr>
          <w:sz w:val="20"/>
        </w:rPr>
      </w:pPr>
    </w:p>
    <w:p w:rsidR="0071780A" w:rsidRDefault="0071780A" w:rsidP="0071780A">
      <w:pPr>
        <w:pStyle w:val="SCCNormalDoubleSpacing"/>
        <w:spacing w:line="240" w:lineRule="auto"/>
        <w:rPr>
          <w:rStyle w:val="SCCCounselPartyRoleChar"/>
          <w:sz w:val="20"/>
        </w:rPr>
      </w:pPr>
      <w:r w:rsidRPr="00CC76AC">
        <w:rPr>
          <w:rStyle w:val="SCCCounselNameChar"/>
          <w:sz w:val="20"/>
        </w:rPr>
        <w:tab/>
      </w:r>
      <w:proofErr w:type="gramStart"/>
      <w:r w:rsidRPr="00CC76AC">
        <w:rPr>
          <w:rStyle w:val="SCCCounselNameChar"/>
          <w:sz w:val="20"/>
        </w:rPr>
        <w:t>Brian Snell</w:t>
      </w:r>
      <w:r w:rsidRPr="00CC76AC">
        <w:rPr>
          <w:rStyle w:val="SCCCounselPartyRoleChar"/>
          <w:sz w:val="20"/>
        </w:rPr>
        <w:t>, for the intervener.</w:t>
      </w:r>
      <w:proofErr w:type="gramEnd"/>
    </w:p>
    <w:p w:rsidR="0071780A" w:rsidRPr="00CC76AC" w:rsidRDefault="0071780A" w:rsidP="0071780A">
      <w:pPr>
        <w:pStyle w:val="SCCNormalDoubleSpacing"/>
        <w:spacing w:line="240" w:lineRule="auto"/>
        <w:rPr>
          <w:sz w:val="20"/>
        </w:rPr>
      </w:pPr>
    </w:p>
    <w:p w:rsidR="0071780A" w:rsidRDefault="0071780A" w:rsidP="0071780A">
      <w:pPr>
        <w:pStyle w:val="SCCNormalDoubleSpacing"/>
        <w:spacing w:line="240" w:lineRule="auto"/>
        <w:rPr>
          <w:i/>
          <w:sz w:val="20"/>
        </w:rPr>
      </w:pPr>
      <w:r w:rsidRPr="00CC76AC">
        <w:rPr>
          <w:sz w:val="20"/>
        </w:rPr>
        <w:tab/>
      </w:r>
      <w:r w:rsidRPr="00CC76AC">
        <w:rPr>
          <w:i/>
          <w:sz w:val="20"/>
        </w:rPr>
        <w:t>Solicitor for the appellant:  Attorney General of Ontario, Toronto.</w:t>
      </w:r>
    </w:p>
    <w:p w:rsidR="0071780A" w:rsidRPr="00CC76AC" w:rsidRDefault="0071780A" w:rsidP="0071780A">
      <w:pPr>
        <w:pStyle w:val="SCCNormalDoubleSpacing"/>
        <w:spacing w:line="240" w:lineRule="auto"/>
        <w:rPr>
          <w:i/>
          <w:sz w:val="20"/>
        </w:rPr>
      </w:pPr>
    </w:p>
    <w:p w:rsidR="0071780A" w:rsidRDefault="0071780A" w:rsidP="0071780A">
      <w:pPr>
        <w:pStyle w:val="SCCNormalDoubleSpacing"/>
        <w:spacing w:line="240" w:lineRule="auto"/>
        <w:rPr>
          <w:i/>
          <w:sz w:val="20"/>
        </w:rPr>
      </w:pPr>
      <w:r w:rsidRPr="00CC76AC">
        <w:rPr>
          <w:sz w:val="20"/>
        </w:rPr>
        <w:tab/>
      </w:r>
      <w:r w:rsidRPr="00CC76AC">
        <w:rPr>
          <w:i/>
          <w:sz w:val="20"/>
        </w:rPr>
        <w:t>Solicitor for the respondent:  Michael G. Engel, Toronto.</w:t>
      </w:r>
    </w:p>
    <w:p w:rsidR="0071780A" w:rsidRPr="00CC76AC" w:rsidRDefault="0071780A" w:rsidP="0071780A">
      <w:pPr>
        <w:pStyle w:val="SCCNormalDoubleSpacing"/>
        <w:spacing w:line="240" w:lineRule="auto"/>
        <w:rPr>
          <w:i/>
          <w:sz w:val="20"/>
        </w:rPr>
      </w:pPr>
    </w:p>
    <w:p w:rsidR="0071780A" w:rsidRDefault="0071780A" w:rsidP="0071780A">
      <w:pPr>
        <w:pStyle w:val="SCCNormalDoubleSpacing"/>
        <w:spacing w:line="240" w:lineRule="auto"/>
        <w:rPr>
          <w:i/>
          <w:sz w:val="20"/>
        </w:rPr>
      </w:pPr>
      <w:r w:rsidRPr="00CC76AC">
        <w:rPr>
          <w:sz w:val="20"/>
        </w:rPr>
        <w:tab/>
      </w:r>
      <w:r w:rsidRPr="00CC76AC">
        <w:rPr>
          <w:i/>
          <w:sz w:val="20"/>
        </w:rPr>
        <w:t>Solicitor for the intervener:  Association in Defence of the Wrongly Convicted, Toronto.</w:t>
      </w:r>
    </w:p>
    <w:p w:rsidR="003B3977" w:rsidRPr="00543C86" w:rsidRDefault="003B3977" w:rsidP="003B3977">
      <w:pPr>
        <w:rPr>
          <w:sz w:val="20"/>
          <w:szCs w:val="20"/>
          <w:lang w:val="fr-CA"/>
        </w:rPr>
      </w:pPr>
      <w:r w:rsidRPr="00543C86">
        <w:rPr>
          <w:sz w:val="20"/>
          <w:szCs w:val="20"/>
          <w:lang w:val="fr-CA"/>
        </w:rPr>
        <w:t>________________________</w:t>
      </w:r>
    </w:p>
    <w:p w:rsidR="003B3977" w:rsidRPr="00543C86" w:rsidRDefault="003B3977" w:rsidP="003B3977">
      <w:pPr>
        <w:rPr>
          <w:sz w:val="20"/>
          <w:szCs w:val="20"/>
          <w:lang w:val="fr-CA"/>
        </w:rPr>
      </w:pPr>
    </w:p>
    <w:p w:rsidR="004B19FC" w:rsidRPr="004B19FC" w:rsidRDefault="004B19FC" w:rsidP="004B19FC">
      <w:pPr>
        <w:jc w:val="both"/>
        <w:rPr>
          <w:sz w:val="20"/>
          <w:lang w:val="fr-CA"/>
        </w:rPr>
      </w:pPr>
      <w:r w:rsidRPr="004B19FC">
        <w:rPr>
          <w:sz w:val="20"/>
          <w:lang w:val="fr-CA"/>
        </w:rPr>
        <w:t>Présents : La juge en chef McLachlin et les juges Binnie, LeBel, Deschamps, Fish, Abella, Charron, Rothstein et Cromwell.</w:t>
      </w:r>
    </w:p>
    <w:p w:rsidR="004B19FC" w:rsidRPr="004B19FC" w:rsidRDefault="004B19FC" w:rsidP="003B3977">
      <w:pPr>
        <w:rPr>
          <w:sz w:val="20"/>
          <w:szCs w:val="20"/>
          <w:lang w:val="fr-CA"/>
        </w:rPr>
      </w:pPr>
    </w:p>
    <w:p w:rsidR="004B19FC" w:rsidRPr="004B19FC" w:rsidRDefault="004B19FC" w:rsidP="004B19FC">
      <w:pPr>
        <w:pStyle w:val="SCCNormalDoubleSpacing"/>
        <w:spacing w:line="240" w:lineRule="auto"/>
        <w:rPr>
          <w:i/>
          <w:sz w:val="20"/>
          <w:lang w:val="fr-CA"/>
        </w:rPr>
      </w:pPr>
      <w:r w:rsidRPr="004B19FC">
        <w:rPr>
          <w:sz w:val="20"/>
          <w:lang w:val="fr-CA"/>
        </w:rPr>
        <w:tab/>
      </w:r>
      <w:r w:rsidRPr="004B19FC">
        <w:rPr>
          <w:i/>
          <w:sz w:val="20"/>
          <w:lang w:val="fr-CA"/>
        </w:rPr>
        <w:t>Droit criminel — Preuve — Fardeau de la preuve — Accusé déclaré coupable d’agression sexuelle et de séquestration — Le juge du procès a</w:t>
      </w:r>
      <w:r w:rsidRPr="004B19FC">
        <w:rPr>
          <w:i/>
          <w:sz w:val="20"/>
          <w:lang w:val="fr-CA"/>
        </w:rPr>
        <w:noBreakHyphen/>
        <w:t>t</w:t>
      </w:r>
      <w:r w:rsidRPr="004B19FC">
        <w:rPr>
          <w:i/>
          <w:sz w:val="20"/>
          <w:lang w:val="fr-CA"/>
        </w:rPr>
        <w:noBreakHyphen/>
        <w:t>il omis de dûment considérer la question de savoir si la preuve soulevait un doute raisonnable? — Les juges majoritaires de la Cour d’appel ont</w:t>
      </w:r>
      <w:r w:rsidRPr="004B19FC">
        <w:rPr>
          <w:i/>
          <w:sz w:val="20"/>
          <w:lang w:val="fr-CA"/>
        </w:rPr>
        <w:noBreakHyphen/>
        <w:t>ils eu tort d’annuler les déclarations de culpabilité et d’ordonner un nouveau procès?</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sz w:val="20"/>
          <w:lang w:val="fr-CA"/>
        </w:rPr>
      </w:pPr>
      <w:r w:rsidRPr="004B19FC">
        <w:rPr>
          <w:sz w:val="20"/>
          <w:lang w:val="fr-CA"/>
        </w:rPr>
        <w:tab/>
      </w:r>
      <w:r w:rsidRPr="005F5B51">
        <w:rPr>
          <w:rStyle w:val="QuoteChar"/>
          <w:lang w:val="fr-FR"/>
        </w:rPr>
        <w:t>Arrêt</w:t>
      </w:r>
      <w:r w:rsidRPr="004B19FC">
        <w:rPr>
          <w:sz w:val="20"/>
          <w:lang w:val="fr-CA"/>
        </w:rPr>
        <w:t> :</w:t>
      </w:r>
      <w:r w:rsidRPr="005F5B51">
        <w:rPr>
          <w:rStyle w:val="QuoteChar"/>
          <w:i w:val="0"/>
          <w:lang w:val="fr-CA"/>
        </w:rPr>
        <w:t> </w:t>
      </w:r>
      <w:r w:rsidRPr="004B19FC">
        <w:rPr>
          <w:sz w:val="20"/>
          <w:lang w:val="fr-CA"/>
        </w:rPr>
        <w:t>Le pourvoi est rejeté.</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sz w:val="20"/>
          <w:lang w:val="fr-CA"/>
        </w:rPr>
      </w:pPr>
      <w:r w:rsidRPr="004B19FC">
        <w:rPr>
          <w:sz w:val="20"/>
          <w:lang w:val="fr-CA"/>
        </w:rPr>
        <w:tab/>
        <w:t>POURVOI contre un arrêt de la Cour d’appel de l’Ontario (les juges Laskin et LaForme, et le juge Moldaver, dissident), 2010 ONCA 544, 266 O.A.C. 27, 258 C.C.C. (3d) 281, 79 C.R. (6th) 327, [2010] O.J. No. 3336 (QL), 2010 CarswellOnt 5671, qui a annulé les déclarations de culpabilité de l’accusé et ordonné la tenue d’un nouveau procès.  Pourvoi rejeté.</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rStyle w:val="SCCCounselPartyRoleChar"/>
          <w:sz w:val="20"/>
          <w:lang w:val="fr-CA"/>
        </w:rPr>
      </w:pPr>
      <w:r w:rsidRPr="004B19FC">
        <w:rPr>
          <w:rStyle w:val="SCCCounselNameChar"/>
          <w:sz w:val="20"/>
          <w:lang w:val="fr-CA"/>
        </w:rPr>
        <w:tab/>
        <w:t>Lisa Joyal</w:t>
      </w:r>
      <w:r w:rsidRPr="004B19FC">
        <w:rPr>
          <w:rStyle w:val="SCCCounselPartyRoleChar"/>
          <w:sz w:val="20"/>
          <w:lang w:val="fr-CA"/>
        </w:rPr>
        <w:t>, pour l’appelante.</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rStyle w:val="SCCCounselPartyRoleChar"/>
          <w:sz w:val="20"/>
          <w:lang w:val="fr-CA"/>
        </w:rPr>
      </w:pPr>
      <w:r w:rsidRPr="004B19FC">
        <w:rPr>
          <w:rStyle w:val="SCCCounselNameChar"/>
          <w:sz w:val="20"/>
          <w:lang w:val="fr-CA"/>
        </w:rPr>
        <w:tab/>
        <w:t>Michael G. Engel</w:t>
      </w:r>
      <w:r w:rsidRPr="005F5B51">
        <w:rPr>
          <w:rStyle w:val="SCCCounselSeparatorChar"/>
          <w:sz w:val="20"/>
        </w:rPr>
        <w:t xml:space="preserve">, </w:t>
      </w:r>
      <w:r w:rsidRPr="004B19FC">
        <w:rPr>
          <w:rStyle w:val="SCCCounselNameChar"/>
          <w:sz w:val="20"/>
          <w:lang w:val="fr-CA"/>
        </w:rPr>
        <w:t>Russell Silverstein</w:t>
      </w:r>
      <w:r w:rsidRPr="005F5B51">
        <w:rPr>
          <w:rStyle w:val="SCCCounselSeparatorChar"/>
          <w:sz w:val="20"/>
        </w:rPr>
        <w:t xml:space="preserve"> et </w:t>
      </w:r>
      <w:r w:rsidRPr="004B19FC">
        <w:rPr>
          <w:rStyle w:val="SCCCounselNameChar"/>
          <w:sz w:val="20"/>
          <w:lang w:val="fr-CA"/>
        </w:rPr>
        <w:t>Ingrid Grant</w:t>
      </w:r>
      <w:r w:rsidRPr="004B19FC">
        <w:rPr>
          <w:rStyle w:val="SCCCounselPartyRoleChar"/>
          <w:sz w:val="20"/>
          <w:lang w:val="fr-CA"/>
        </w:rPr>
        <w:t>, pour l’intimé.</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rStyle w:val="SCCCounselPartyRoleChar"/>
          <w:sz w:val="20"/>
          <w:lang w:val="fr-CA"/>
        </w:rPr>
      </w:pPr>
      <w:r w:rsidRPr="004B19FC">
        <w:rPr>
          <w:rStyle w:val="SCCCounselNameChar"/>
          <w:sz w:val="20"/>
          <w:lang w:val="fr-CA"/>
        </w:rPr>
        <w:tab/>
        <w:t>Brian Snell</w:t>
      </w:r>
      <w:r w:rsidRPr="004B19FC">
        <w:rPr>
          <w:rStyle w:val="SCCCounselPartyRoleChar"/>
          <w:sz w:val="20"/>
          <w:lang w:val="fr-CA"/>
        </w:rPr>
        <w:t>, pour l’intervenante.</w:t>
      </w:r>
    </w:p>
    <w:p w:rsidR="004B19FC" w:rsidRPr="004B19FC" w:rsidRDefault="004B19FC" w:rsidP="004B19FC">
      <w:pPr>
        <w:pStyle w:val="SCCNormalDoubleSpacing"/>
        <w:spacing w:line="240" w:lineRule="auto"/>
        <w:rPr>
          <w:sz w:val="20"/>
          <w:lang w:val="fr-CA"/>
        </w:rPr>
      </w:pPr>
    </w:p>
    <w:p w:rsidR="004B19FC" w:rsidRPr="004B19FC" w:rsidRDefault="004B19FC" w:rsidP="004B19FC">
      <w:pPr>
        <w:pStyle w:val="SCCNormalDoubleSpacing"/>
        <w:spacing w:line="240" w:lineRule="auto"/>
        <w:rPr>
          <w:i/>
          <w:sz w:val="20"/>
          <w:lang w:val="fr-CA"/>
        </w:rPr>
      </w:pPr>
      <w:r w:rsidRPr="004B19FC">
        <w:rPr>
          <w:sz w:val="20"/>
          <w:lang w:val="fr-CA"/>
        </w:rPr>
        <w:tab/>
      </w:r>
      <w:r w:rsidRPr="004B19FC">
        <w:rPr>
          <w:rStyle w:val="SCCCounselNameChar"/>
          <w:sz w:val="20"/>
          <w:lang w:val="fr-CA"/>
        </w:rPr>
        <w:t>Procureur</w:t>
      </w:r>
      <w:r w:rsidRPr="004B19FC">
        <w:rPr>
          <w:sz w:val="20"/>
          <w:lang w:val="fr-CA"/>
        </w:rPr>
        <w:t xml:space="preserve"> </w:t>
      </w:r>
      <w:r w:rsidRPr="004B19FC">
        <w:rPr>
          <w:i/>
          <w:sz w:val="20"/>
          <w:lang w:val="fr-CA"/>
        </w:rPr>
        <w:t>de l’appelante : Procureur général de l’Ontario, Toronto.</w:t>
      </w:r>
    </w:p>
    <w:p w:rsidR="007B1BA8" w:rsidRDefault="007B1BA8">
      <w:pPr>
        <w:rPr>
          <w:rFonts w:eastAsia="Times New Roman" w:cs="Times New Roman"/>
          <w:i/>
          <w:sz w:val="20"/>
          <w:szCs w:val="20"/>
          <w:lang w:val="fr-CA" w:eastAsia="en-CA"/>
        </w:rPr>
      </w:pPr>
      <w:r>
        <w:rPr>
          <w:i/>
          <w:sz w:val="20"/>
          <w:lang w:val="fr-CA"/>
        </w:rPr>
        <w:br w:type="page"/>
      </w:r>
    </w:p>
    <w:p w:rsidR="004B19FC" w:rsidRPr="004B19FC" w:rsidRDefault="004B19FC" w:rsidP="004B19FC">
      <w:pPr>
        <w:pStyle w:val="SCCNormalDoubleSpacing"/>
        <w:spacing w:line="240" w:lineRule="auto"/>
        <w:rPr>
          <w:i/>
          <w:sz w:val="20"/>
          <w:lang w:val="fr-CA"/>
        </w:rPr>
      </w:pPr>
      <w:r w:rsidRPr="004B19FC">
        <w:rPr>
          <w:sz w:val="20"/>
          <w:lang w:val="fr-CA"/>
        </w:rPr>
        <w:lastRenderedPageBreak/>
        <w:tab/>
      </w:r>
      <w:r w:rsidRPr="004B19FC">
        <w:rPr>
          <w:rStyle w:val="SCCCounselNameChar"/>
          <w:sz w:val="20"/>
          <w:lang w:val="fr-CA"/>
        </w:rPr>
        <w:t>Procureur</w:t>
      </w:r>
      <w:r w:rsidRPr="004B19FC">
        <w:rPr>
          <w:sz w:val="20"/>
          <w:lang w:val="fr-CA"/>
        </w:rPr>
        <w:t xml:space="preserve"> </w:t>
      </w:r>
      <w:r w:rsidRPr="004B19FC">
        <w:rPr>
          <w:i/>
          <w:sz w:val="20"/>
          <w:lang w:val="fr-CA"/>
        </w:rPr>
        <w:t>de l’intimé : Michael G. Engel, Toronto.</w:t>
      </w:r>
    </w:p>
    <w:p w:rsidR="004B19FC" w:rsidRPr="004B19FC" w:rsidRDefault="004B19FC" w:rsidP="004B19FC">
      <w:pPr>
        <w:pStyle w:val="SCCNormalDoubleSpacing"/>
        <w:spacing w:line="240" w:lineRule="auto"/>
        <w:rPr>
          <w:sz w:val="20"/>
          <w:lang w:val="fr-CA"/>
        </w:rPr>
      </w:pPr>
    </w:p>
    <w:p w:rsidR="0071780A" w:rsidRDefault="004B19FC" w:rsidP="004B19FC">
      <w:pPr>
        <w:rPr>
          <w:i/>
          <w:sz w:val="20"/>
          <w:lang w:val="en-US"/>
        </w:rPr>
      </w:pPr>
      <w:r w:rsidRPr="004B19FC">
        <w:rPr>
          <w:sz w:val="20"/>
          <w:lang w:val="fr-CA"/>
        </w:rPr>
        <w:tab/>
      </w:r>
      <w:r w:rsidRPr="005F5B51">
        <w:rPr>
          <w:i/>
          <w:sz w:val="20"/>
        </w:rPr>
        <w:t>Procureur</w:t>
      </w:r>
      <w:r w:rsidRPr="005F5B51">
        <w:rPr>
          <w:i/>
          <w:sz w:val="20"/>
          <w:lang w:val="en-US"/>
        </w:rPr>
        <w:t xml:space="preserve"> de </w:t>
      </w:r>
      <w:proofErr w:type="gramStart"/>
      <w:r w:rsidRPr="005F5B51">
        <w:rPr>
          <w:i/>
          <w:sz w:val="20"/>
          <w:lang w:val="en-US"/>
        </w:rPr>
        <w:t>l’intervenante :</w:t>
      </w:r>
      <w:proofErr w:type="gramEnd"/>
      <w:r w:rsidRPr="005F5B51">
        <w:rPr>
          <w:i/>
          <w:sz w:val="20"/>
          <w:lang w:val="en-US"/>
        </w:rPr>
        <w:t> Association in Defence of the Wrongly Convicted, Toronto.</w:t>
      </w:r>
    </w:p>
    <w:p w:rsidR="004B19FC" w:rsidRDefault="004B19FC" w:rsidP="004B19FC">
      <w:pPr>
        <w:rPr>
          <w:sz w:val="20"/>
          <w:szCs w:val="20"/>
        </w:rPr>
      </w:pPr>
    </w:p>
    <w:p w:rsidR="00D61602" w:rsidRDefault="00CF05D4" w:rsidP="004B19FC">
      <w:pPr>
        <w:rPr>
          <w:sz w:val="20"/>
          <w:szCs w:val="20"/>
        </w:rPr>
      </w:pPr>
      <w:r w:rsidRPr="00CF05D4">
        <w:rPr>
          <w:rFonts w:cs="Times New Roman"/>
          <w:sz w:val="20"/>
          <w:szCs w:val="20"/>
          <w:lang w:val="fr-CA"/>
        </w:rPr>
        <w:pict>
          <v:rect id="_x0000_i1112" style="width:144.3pt;height:1pt" o:hrpct="300" o:hralign="center" o:hrstd="t" o:hrnoshade="t" o:hr="t" fillcolor="black [3213]" stroked="f"/>
        </w:pict>
      </w:r>
    </w:p>
    <w:p w:rsidR="00D61602" w:rsidRPr="003F4721" w:rsidRDefault="00D61602" w:rsidP="004B19FC">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3"/>
          <w:headerReference w:type="default" r:id="rId54"/>
          <w:footerReference w:type="even" r:id="rId55"/>
          <w:footerReference w:type="default" r:id="rId56"/>
          <w:headerReference w:type="first" r:id="rId57"/>
          <w:footerReference w:type="first" r:id="rId58"/>
          <w:pgSz w:w="12240" w:h="15840"/>
          <w:pgMar w:top="720" w:right="965" w:bottom="1080" w:left="1656" w:header="576" w:footer="960" w:gutter="0"/>
          <w:cols w:space="720"/>
          <w:titlePg/>
          <w:docGrid w:linePitch="272"/>
        </w:sectPr>
      </w:pPr>
    </w:p>
    <w:p w:rsidR="00924065" w:rsidRPr="00DE5525" w:rsidRDefault="00CF05D4"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9"/>
      <w:footerReference w:type="default" r:id="rId60"/>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FC" w:rsidRDefault="004B19FC" w:rsidP="00A87207">
      <w:r>
        <w:separator/>
      </w:r>
    </w:p>
  </w:endnote>
  <w:endnote w:type="continuationSeparator" w:id="0">
    <w:p w:rsidR="004B19FC" w:rsidRDefault="004B19FC"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pStyle w:val="Footer"/>
      <w:rPr>
        <w:lang w:val="fr-CA"/>
      </w:rPr>
    </w:pPr>
    <w:r w:rsidRPr="00CF05D4">
      <w:rPr>
        <w:lang w:val="fr-CA"/>
      </w:rPr>
      <w:pict>
        <v:rect id="_x0000_i1083" style="width:480.95pt;height:1pt" o:hralign="center" o:hrstd="t" o:hrnoshade="t" o:hr="t" fillcolor="black [3213]" stroked="f"/>
      </w:pict>
    </w:r>
  </w:p>
  <w:p w:rsidR="004B19FC" w:rsidRDefault="004B19FC" w:rsidP="00245129">
    <w:pPr>
      <w:tabs>
        <w:tab w:val="center" w:pos="4680"/>
      </w:tabs>
    </w:pPr>
    <w:r>
      <w:tab/>
    </w:r>
    <w:r w:rsidRPr="0009648D">
      <w:t xml:space="preserve">- </w:t>
    </w:r>
    <w:fldSimple w:instr=" PAGE   \* MERGEFORMAT ">
      <w:r w:rsidR="00155C13">
        <w:rPr>
          <w:noProof/>
        </w:rPr>
        <w:t>688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755F22">
    <w:pPr>
      <w:tabs>
        <w:tab w:val="left" w:pos="-1440"/>
        <w:tab w:val="left" w:pos="-720"/>
      </w:tabs>
    </w:pPr>
    <w:r>
      <w:pict>
        <v:rect id="_x0000_i1088" style="width:480.95pt;height:1pt" o:hralign="center" o:hrstd="t" o:hrnoshade="t" o:hr="t" fillcolor="black [3213]" stroked="f"/>
      </w:pict>
    </w:r>
  </w:p>
  <w:p w:rsidR="004B19FC" w:rsidRDefault="004B19FC" w:rsidP="00EB2B90">
    <w:pPr>
      <w:tabs>
        <w:tab w:val="center" w:pos="4680"/>
      </w:tabs>
    </w:pPr>
    <w:r>
      <w:tab/>
      <w:t xml:space="preserve">- </w:t>
    </w:r>
    <w:fldSimple w:instr=" PAGE   \* MERGEFORMAT ">
      <w:r w:rsidR="00155C13">
        <w:rPr>
          <w:noProof/>
        </w:rPr>
        <w:t>730</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EB2B90">
    <w:pPr>
      <w:tabs>
        <w:tab w:val="center" w:pos="4680"/>
      </w:tabs>
    </w:pPr>
    <w:r>
      <w:pict>
        <v:rect id="_x0000_i1089" style="width:480.95pt;height:1pt" o:hralign="center" o:hrstd="t" o:hrnoshade="t" o:hr="t" fillcolor="black [3213]" stroked="f"/>
      </w:pict>
    </w:r>
  </w:p>
  <w:p w:rsidR="004B19FC" w:rsidRPr="0031432F" w:rsidRDefault="004B19FC" w:rsidP="00EB2B90">
    <w:pPr>
      <w:tabs>
        <w:tab w:val="center" w:pos="4680"/>
      </w:tabs>
    </w:pPr>
    <w:r>
      <w:tab/>
      <w:t xml:space="preserve">- </w:t>
    </w:r>
    <w:fldSimple w:instr=" PAGE   \* MERGEFORMAT ">
      <w:r w:rsidR="00155C13">
        <w:rPr>
          <w:noProof/>
        </w:rPr>
        <w:t>729</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5D4">
      <w:rPr>
        <w:lang w:val="fr-CA"/>
      </w:rPr>
      <w:pict>
        <v:rect id="_x0000_i1095" style="width:480.95pt;height:1pt" o:hralign="center" o:hrstd="t" o:hrnoshade="t" o:hr="t" fillcolor="black [3213]" stroked="f"/>
      </w:pict>
    </w:r>
  </w:p>
  <w:p w:rsidR="004B19FC" w:rsidRDefault="004B19FC"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pStyle w:val="Footer"/>
      <w:rPr>
        <w:lang w:val="fr-CA"/>
      </w:rPr>
    </w:pPr>
    <w:r w:rsidRPr="00CF05D4">
      <w:rPr>
        <w:lang w:val="fr-CA"/>
      </w:rPr>
      <w:pict>
        <v:rect id="_x0000_i1096" style="width:480.95pt;height:1pt" o:hralign="center" o:hrstd="t" o:hrnoshade="t" o:hr="t" fillcolor="black [3213]" stroked="f"/>
      </w:pict>
    </w:r>
  </w:p>
  <w:p w:rsidR="004B19FC" w:rsidRDefault="004B19FC" w:rsidP="00EB2B90">
    <w:pPr>
      <w:tabs>
        <w:tab w:val="center" w:pos="4680"/>
      </w:tabs>
    </w:pPr>
    <w:r>
      <w:tab/>
      <w:t xml:space="preserve">- </w:t>
    </w:r>
    <w:fldSimple w:instr=" PAGE   \* MERGEFORMAT ">
      <w:r w:rsidR="00155C13">
        <w:rPr>
          <w:noProof/>
        </w:rPr>
        <w:t>731</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245129">
    <w:pPr>
      <w:tabs>
        <w:tab w:val="center" w:pos="4740"/>
      </w:tabs>
    </w:pPr>
    <w:r w:rsidRPr="00CF05D4">
      <w:rPr>
        <w:lang w:val="fr-CA"/>
      </w:rPr>
      <w:pict>
        <v:rect id="_x0000_i1103" style="width:480.95pt;height:1pt" o:hralign="center" o:hrstd="t" o:hrnoshade="t" o:hr="t" fillcolor="black [3213]" stroked="f"/>
      </w:pict>
    </w:r>
  </w:p>
  <w:p w:rsidR="004B19FC" w:rsidRDefault="004B19FC" w:rsidP="00096BD9">
    <w:pPr>
      <w:tabs>
        <w:tab w:val="center" w:pos="4680"/>
      </w:tabs>
    </w:pPr>
    <w:r>
      <w:tab/>
      <w:t xml:space="preserve">- </w:t>
    </w:r>
    <w:fldSimple w:instr=" PAGE   \* MERGEFORMAT ">
      <w:r w:rsidR="00155C13">
        <w:rPr>
          <w:noProof/>
        </w:rPr>
        <w:t>733</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pStyle w:val="Footer"/>
      <w:rPr>
        <w:lang w:val="fr-CA"/>
      </w:rPr>
    </w:pPr>
    <w:r w:rsidRPr="00CF05D4">
      <w:rPr>
        <w:lang w:val="fr-CA"/>
      </w:rPr>
      <w:pict>
        <v:rect id="_x0000_i1104" style="width:480.95pt;height:1pt" o:hralign="center" o:hrstd="t" o:hrnoshade="t" o:hr="t" fillcolor="black [3213]" stroked="f"/>
      </w:pict>
    </w:r>
  </w:p>
  <w:p w:rsidR="004B19FC" w:rsidRDefault="004B19FC" w:rsidP="00096BD9">
    <w:pPr>
      <w:tabs>
        <w:tab w:val="center" w:pos="4680"/>
      </w:tabs>
    </w:pPr>
    <w:r>
      <w:tab/>
      <w:t xml:space="preserve">- </w:t>
    </w:r>
    <w:fldSimple w:instr=" PAGE   \* MERGEFORMAT ">
      <w:r w:rsidR="00155C13">
        <w:rPr>
          <w:noProof/>
        </w:rPr>
        <w:t>732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732DB7">
    <w:r>
      <w:pict>
        <v:rect id="_x0000_i1107" style="width:480.95pt;height:1pt" o:hralign="center" o:hrstd="t" o:hrnoshade="t" o:hr="t" fillcolor="black" stroked="f"/>
      </w:pict>
    </w:r>
  </w:p>
  <w:p w:rsidR="004B19FC" w:rsidRDefault="004B19FC">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pStyle w:val="Footer"/>
    </w:pPr>
    <w:r>
      <w:pict>
        <v:rect id="_x0000_i1108" style="width:480.95pt;height:1pt" o:hralign="center" o:hrstd="t" o:hrnoshade="t" o:hr="t" fillcolor="black [3213]" stroked="f"/>
      </w:pict>
    </w:r>
  </w:p>
  <w:p w:rsidR="004B19FC" w:rsidRPr="003C2C0F" w:rsidRDefault="004B19FC" w:rsidP="00697C62">
    <w:pPr>
      <w:tabs>
        <w:tab w:val="center" w:pos="4680"/>
      </w:tabs>
    </w:pPr>
    <w:r>
      <w:tab/>
      <w:t xml:space="preserve">- </w:t>
    </w:r>
    <w:fldSimple w:instr=" PAGE   \* MERGEFORMAT ">
      <w:r w:rsidR="00155C13">
        <w:rPr>
          <w:noProof/>
        </w:rPr>
        <w:t>734</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4B19FC" w:rsidRDefault="00CF0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13" style="width:480.95pt;height:1pt" o:hralign="center" o:hrstd="t" o:hrnoshade="t" o:hr="t" fillcolor="black [3213]" stroked="f"/>
      </w:pict>
    </w:r>
  </w:p>
  <w:p w:rsidR="004B19FC" w:rsidRDefault="004B19FC" w:rsidP="00782AE4">
    <w:pPr>
      <w:tabs>
        <w:tab w:val="center" w:pos="4680"/>
      </w:tabs>
    </w:pPr>
    <w:r>
      <w:tab/>
      <w:t xml:space="preserve">- </w:t>
    </w:r>
    <w:r w:rsidR="00CF05D4" w:rsidRPr="001775C1">
      <w:rPr>
        <w:szCs w:val="24"/>
      </w:rPr>
      <w:fldChar w:fldCharType="begin"/>
    </w:r>
    <w:r w:rsidRPr="001775C1">
      <w:rPr>
        <w:szCs w:val="24"/>
      </w:rPr>
      <w:instrText xml:space="preserve"> PAGE   \* MERGEFORMAT </w:instrText>
    </w:r>
    <w:r w:rsidR="00CF05D4" w:rsidRPr="001775C1">
      <w:rPr>
        <w:szCs w:val="24"/>
      </w:rPr>
      <w:fldChar w:fldCharType="separate"/>
    </w:r>
    <w:r w:rsidR="00155C13">
      <w:rPr>
        <w:noProof/>
        <w:szCs w:val="24"/>
      </w:rPr>
      <w:t>738</w:t>
    </w:r>
    <w:r w:rsidR="00CF05D4"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782AE4">
    <w:pPr>
      <w:tabs>
        <w:tab w:val="center" w:pos="4680"/>
      </w:tabs>
    </w:pPr>
    <w:r>
      <w:pict>
        <v:rect id="_x0000_i1114" style="width:480.95pt;height:1pt" o:hralign="center" o:hrstd="t" o:hrnoshade="t" o:hr="t" fillcolor="black [3213]" stroked="f"/>
      </w:pict>
    </w:r>
  </w:p>
  <w:p w:rsidR="004B19FC" w:rsidRDefault="004B19FC" w:rsidP="00782AE4">
    <w:pPr>
      <w:tabs>
        <w:tab w:val="center" w:pos="4680"/>
      </w:tabs>
    </w:pPr>
    <w:r>
      <w:tab/>
      <w:t xml:space="preserve">- </w:t>
    </w:r>
    <w:r w:rsidR="00CF05D4" w:rsidRPr="001775C1">
      <w:rPr>
        <w:szCs w:val="24"/>
      </w:rPr>
      <w:fldChar w:fldCharType="begin"/>
    </w:r>
    <w:r w:rsidRPr="001775C1">
      <w:rPr>
        <w:szCs w:val="24"/>
      </w:rPr>
      <w:instrText xml:space="preserve"> PAGE   \* MERGEFORMAT </w:instrText>
    </w:r>
    <w:r w:rsidR="00CF05D4" w:rsidRPr="001775C1">
      <w:rPr>
        <w:szCs w:val="24"/>
      </w:rPr>
      <w:fldChar w:fldCharType="separate"/>
    </w:r>
    <w:r w:rsidR="00155C13">
      <w:rPr>
        <w:noProof/>
        <w:szCs w:val="24"/>
      </w:rPr>
      <w:t>735</w:t>
    </w:r>
    <w:r w:rsidR="00CF05D4"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Pr="00924065" w:rsidRDefault="004B19FC"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A87207">
    <w:pPr>
      <w:pStyle w:val="Footer"/>
    </w:pPr>
    <w:r>
      <w:pict>
        <v:rect id="_x0000_i1035" style="width:480.95pt;height:1pt" o:hralign="center" o:hrstd="t" o:hrnoshade="t" o:hr="t" fillcolor="black [3213]" stroked="f"/>
      </w:pict>
    </w:r>
  </w:p>
  <w:p w:rsidR="004B19FC" w:rsidRPr="00B7374B" w:rsidRDefault="004B19FC" w:rsidP="00B7374B">
    <w:pPr>
      <w:tabs>
        <w:tab w:val="center" w:pos="4680"/>
      </w:tabs>
      <w:rPr>
        <w:szCs w:val="24"/>
      </w:rPr>
    </w:pPr>
    <w:r w:rsidRPr="00954D22">
      <w:rPr>
        <w:szCs w:val="24"/>
      </w:rPr>
      <w:tab/>
      <w:t xml:space="preserve">- </w:t>
    </w:r>
    <w:r w:rsidR="00CF05D4" w:rsidRPr="00954D22">
      <w:rPr>
        <w:szCs w:val="24"/>
      </w:rPr>
      <w:fldChar w:fldCharType="begin"/>
    </w:r>
    <w:r w:rsidRPr="00954D22">
      <w:rPr>
        <w:szCs w:val="24"/>
      </w:rPr>
      <w:instrText xml:space="preserve"> PAGE   \* MERGEFORMAT </w:instrText>
    </w:r>
    <w:r w:rsidR="00CF05D4" w:rsidRPr="00954D22">
      <w:rPr>
        <w:szCs w:val="24"/>
      </w:rPr>
      <w:fldChar w:fldCharType="separate"/>
    </w:r>
    <w:r w:rsidR="00155C13">
      <w:rPr>
        <w:noProof/>
        <w:szCs w:val="24"/>
      </w:rPr>
      <w:t>686</w:t>
    </w:r>
    <w:r w:rsidR="00CF05D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755F22">
    <w:pPr>
      <w:tabs>
        <w:tab w:val="left" w:pos="-1440"/>
        <w:tab w:val="left" w:pos="-720"/>
      </w:tabs>
    </w:pPr>
    <w:r>
      <w:pict>
        <v:rect id="_x0000_i1036" style="width:480.95pt;height:1pt" o:hralign="center" o:hrstd="t" o:hrnoshade="t" o:hr="t" fillcolor="black [3213]" stroked="f"/>
      </w:pict>
    </w:r>
  </w:p>
  <w:p w:rsidR="004B19FC" w:rsidRPr="00954D22" w:rsidRDefault="004B19FC" w:rsidP="00B7374B">
    <w:pPr>
      <w:tabs>
        <w:tab w:val="center" w:pos="4680"/>
      </w:tabs>
      <w:rPr>
        <w:szCs w:val="24"/>
      </w:rPr>
    </w:pPr>
    <w:r w:rsidRPr="00954D22">
      <w:rPr>
        <w:szCs w:val="24"/>
      </w:rPr>
      <w:tab/>
      <w:t xml:space="preserve">- </w:t>
    </w:r>
    <w:r w:rsidR="00CF05D4">
      <w:rPr>
        <w:szCs w:val="24"/>
      </w:rPr>
      <w:fldChar w:fldCharType="begin"/>
    </w:r>
    <w:r>
      <w:rPr>
        <w:szCs w:val="24"/>
      </w:rPr>
      <w:instrText xml:space="preserve"> PAGE   \* MERGEFORMAT </w:instrText>
    </w:r>
    <w:r w:rsidR="00CF05D4">
      <w:rPr>
        <w:szCs w:val="24"/>
      </w:rPr>
      <w:fldChar w:fldCharType="separate"/>
    </w:r>
    <w:r w:rsidR="00155C13">
      <w:rPr>
        <w:noProof/>
        <w:szCs w:val="24"/>
      </w:rPr>
      <w:t>685</w:t>
    </w:r>
    <w:r w:rsidR="00CF05D4">
      <w:rPr>
        <w:szCs w:val="24"/>
      </w:rPr>
      <w:fldChar w:fldCharType="end"/>
    </w:r>
    <w:r w:rsidRPr="00954D22">
      <w:rPr>
        <w:szCs w:val="24"/>
      </w:rPr>
      <w:t xml:space="preserve"> -</w:t>
    </w:r>
  </w:p>
  <w:p w:rsidR="004B19FC" w:rsidRDefault="004B19F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A87207">
    <w:pPr>
      <w:pStyle w:val="Footer"/>
    </w:pPr>
    <w:r>
      <w:pict>
        <v:rect id="_x0000_i1038" style="width:480.95pt;height:1pt" o:hralign="center" o:hrstd="t" o:hrnoshade="t" o:hr="t" fillcolor="black [3213]" stroked="f"/>
      </w:pict>
    </w:r>
  </w:p>
  <w:p w:rsidR="004B19FC" w:rsidRPr="00B7374B" w:rsidRDefault="004B19FC" w:rsidP="00B7374B">
    <w:pPr>
      <w:tabs>
        <w:tab w:val="center" w:pos="4680"/>
      </w:tabs>
      <w:rPr>
        <w:szCs w:val="24"/>
      </w:rPr>
    </w:pPr>
    <w:r w:rsidRPr="00954D22">
      <w:rPr>
        <w:szCs w:val="24"/>
      </w:rPr>
      <w:tab/>
      <w:t xml:space="preserve">- </w:t>
    </w:r>
    <w:r w:rsidR="00CF05D4" w:rsidRPr="00954D22">
      <w:rPr>
        <w:szCs w:val="24"/>
      </w:rPr>
      <w:fldChar w:fldCharType="begin"/>
    </w:r>
    <w:r w:rsidRPr="00954D22">
      <w:rPr>
        <w:szCs w:val="24"/>
      </w:rPr>
      <w:instrText xml:space="preserve"> PAGE   \* MERGEFORMAT </w:instrText>
    </w:r>
    <w:r w:rsidR="00CF05D4" w:rsidRPr="00954D22">
      <w:rPr>
        <w:szCs w:val="24"/>
      </w:rPr>
      <w:fldChar w:fldCharType="separate"/>
    </w:r>
    <w:r>
      <w:rPr>
        <w:noProof/>
        <w:szCs w:val="24"/>
      </w:rPr>
      <w:t>502</w:t>
    </w:r>
    <w:r w:rsidR="00CF05D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9" style="width:480.95pt;height:1pt" o:hralign="center" o:hrstd="t" o:hrnoshade="t" o:hr="t" fillcolor="black [3213]" stroked="f"/>
      </w:pict>
    </w:r>
  </w:p>
  <w:p w:rsidR="004B19FC" w:rsidRPr="00954D22" w:rsidRDefault="004B19FC" w:rsidP="00B7374B">
    <w:pPr>
      <w:tabs>
        <w:tab w:val="center" w:pos="4680"/>
      </w:tabs>
      <w:rPr>
        <w:szCs w:val="24"/>
      </w:rPr>
    </w:pPr>
    <w:r w:rsidRPr="00954D22">
      <w:rPr>
        <w:szCs w:val="24"/>
      </w:rPr>
      <w:tab/>
      <w:t xml:space="preserve">- </w:t>
    </w:r>
    <w:r w:rsidR="00CF05D4" w:rsidRPr="00954D22">
      <w:rPr>
        <w:szCs w:val="24"/>
      </w:rPr>
      <w:fldChar w:fldCharType="begin"/>
    </w:r>
    <w:r w:rsidRPr="00954D22">
      <w:rPr>
        <w:szCs w:val="24"/>
      </w:rPr>
      <w:instrText xml:space="preserve"> PAGE   \* MERGEFORMAT </w:instrText>
    </w:r>
    <w:r w:rsidR="00CF05D4" w:rsidRPr="00954D22">
      <w:rPr>
        <w:szCs w:val="24"/>
      </w:rPr>
      <w:fldChar w:fldCharType="separate"/>
    </w:r>
    <w:r w:rsidR="00155C13">
      <w:rPr>
        <w:noProof/>
        <w:szCs w:val="24"/>
      </w:rPr>
      <w:t>687</w:t>
    </w:r>
    <w:r w:rsidR="00CF05D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4B19FC" w:rsidRDefault="004B19FC">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CF05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F05D4">
      <w:rPr>
        <w:lang w:val="fr-CA"/>
      </w:rPr>
      <w:pict>
        <v:rect id="_x0000_i1082" style="width:480.95pt;height:1pt" o:hralign="center" o:hrstd="t" o:hrnoshade="t" o:hr="t" fillcolor="black [3213]" stroked="f"/>
      </w:pict>
    </w:r>
  </w:p>
  <w:p w:rsidR="004B19FC" w:rsidRPr="0009648D" w:rsidRDefault="004B19FC" w:rsidP="00ED7E83">
    <w:pPr>
      <w:tabs>
        <w:tab w:val="center" w:pos="4680"/>
      </w:tabs>
    </w:pPr>
    <w:r>
      <w:tab/>
    </w:r>
    <w:r w:rsidRPr="0009648D">
      <w:t xml:space="preserve">- </w:t>
    </w:r>
    <w:fldSimple w:instr=" PAGE   \* MERGEFORMAT ">
      <w:r w:rsidR="00155C13">
        <w:rPr>
          <w:noProof/>
        </w:rPr>
        <w:t>728</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FC" w:rsidRDefault="004B19FC" w:rsidP="00A87207">
      <w:r>
        <w:separator/>
      </w:r>
    </w:p>
  </w:footnote>
  <w:footnote w:type="continuationSeparator" w:id="0">
    <w:p w:rsidR="004B19FC" w:rsidRDefault="004B19FC"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19FC">
      <w:tc>
        <w:tcPr>
          <w:tcW w:w="423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4B19FC"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19FC"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4B19FC">
      <w:trPr>
        <w:gridAfter w:val="2"/>
        <w:wAfter w:w="5250" w:type="dxa"/>
      </w:trPr>
      <w:tc>
        <w:tcPr>
          <w:tcW w:w="4230" w:type="dxa"/>
          <w:tcMar>
            <w:left w:w="0" w:type="dxa"/>
            <w:right w:w="0" w:type="dxa"/>
          </w:tcMar>
        </w:tcPr>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19FC" w:rsidRPr="00755F22" w:rsidTr="00245129">
      <w:tc>
        <w:tcPr>
          <w:tcW w:w="4230" w:type="dxa"/>
          <w:tcMar>
            <w:left w:w="0" w:type="dxa"/>
            <w:right w:w="0" w:type="dxa"/>
          </w:tcMar>
        </w:tcPr>
        <w:p w:rsidR="004B19FC" w:rsidRPr="00755F22" w:rsidRDefault="004B19FC" w:rsidP="00831CA9">
          <w:pPr>
            <w:keepNext/>
            <w:keepLines/>
            <w:rPr>
              <w:sz w:val="20"/>
              <w:szCs w:val="20"/>
            </w:rPr>
          </w:pPr>
          <w:r w:rsidRPr="00755F22">
            <w:rPr>
              <w:sz w:val="20"/>
              <w:szCs w:val="20"/>
            </w:rPr>
            <w:t>MOTIONS</w:t>
          </w:r>
        </w:p>
      </w:tc>
      <w:tc>
        <w:tcPr>
          <w:tcW w:w="1170" w:type="dxa"/>
          <w:tcMar>
            <w:left w:w="0" w:type="dxa"/>
            <w:right w:w="0" w:type="dxa"/>
          </w:tcMar>
        </w:tcPr>
        <w:p w:rsidR="004B19FC" w:rsidRPr="00755F22" w:rsidRDefault="004B19FC" w:rsidP="00831CA9">
          <w:pPr>
            <w:keepLines/>
            <w:jc w:val="center"/>
            <w:rPr>
              <w:sz w:val="20"/>
              <w:szCs w:val="20"/>
            </w:rPr>
          </w:pPr>
        </w:p>
        <w:p w:rsidR="004B19FC" w:rsidRPr="00755F22" w:rsidRDefault="004B19FC" w:rsidP="00831CA9">
          <w:pPr>
            <w:keepLines/>
            <w:tabs>
              <w:tab w:val="left" w:pos="-1440"/>
              <w:tab w:val="left" w:pos="-720"/>
            </w:tabs>
            <w:jc w:val="center"/>
            <w:rPr>
              <w:sz w:val="20"/>
              <w:szCs w:val="20"/>
            </w:rPr>
          </w:pPr>
        </w:p>
      </w:tc>
      <w:tc>
        <w:tcPr>
          <w:tcW w:w="4080" w:type="dxa"/>
          <w:tcMar>
            <w:left w:w="0" w:type="dxa"/>
            <w:right w:w="0" w:type="dxa"/>
          </w:tcMar>
        </w:tcPr>
        <w:p w:rsidR="004B19FC" w:rsidRPr="00BA6468" w:rsidRDefault="004B19FC" w:rsidP="00BA6468">
          <w:pPr>
            <w:keepLines/>
            <w:rPr>
              <w:sz w:val="20"/>
              <w:szCs w:val="20"/>
              <w:lang w:val="fr-CA"/>
            </w:rPr>
          </w:pPr>
          <w:r w:rsidRPr="00BA6468">
            <w:rPr>
              <w:sz w:val="20"/>
              <w:szCs w:val="20"/>
              <w:lang w:val="fr-CA"/>
            </w:rPr>
            <w:t>REQUÊTES</w:t>
          </w:r>
        </w:p>
      </w:tc>
    </w:tr>
  </w:tbl>
  <w:p w:rsidR="004B19FC" w:rsidRDefault="004B19FC"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19FC" w:rsidRPr="00FD412A">
      <w:tc>
        <w:tcPr>
          <w:tcW w:w="4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19FC" w:rsidRPr="00B01A03"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4B19FC" w:rsidRPr="00B01A03"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19FC" w:rsidRPr="00B01A03"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4B19FC" w:rsidRPr="00FD412A" w:rsidTr="00245129">
      <w:tc>
        <w:tcPr>
          <w:tcW w:w="4200" w:type="dxa"/>
          <w:tcMar>
            <w:left w:w="0" w:type="dxa"/>
            <w:right w:w="0" w:type="dxa"/>
          </w:tcMar>
        </w:tcPr>
        <w:p w:rsidR="004B19FC" w:rsidRPr="00F40249" w:rsidRDefault="004B19F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4B19FC" w:rsidRDefault="004B19FC" w:rsidP="00102926">
          <w:pPr>
            <w:keepNext/>
            <w:keepLines/>
            <w:tabs>
              <w:tab w:val="left" w:pos="-1440"/>
              <w:tab w:val="left" w:pos="-720"/>
            </w:tabs>
            <w:jc w:val="center"/>
            <w:rPr>
              <w:sz w:val="20"/>
              <w:szCs w:val="20"/>
            </w:rPr>
          </w:pPr>
        </w:p>
        <w:p w:rsidR="004B19FC" w:rsidRDefault="004B19FC" w:rsidP="00102926">
          <w:pPr>
            <w:keepNext/>
            <w:keepLines/>
            <w:tabs>
              <w:tab w:val="left" w:pos="-1440"/>
              <w:tab w:val="left" w:pos="-720"/>
            </w:tabs>
            <w:jc w:val="center"/>
            <w:rPr>
              <w:sz w:val="20"/>
              <w:szCs w:val="20"/>
            </w:rPr>
          </w:pPr>
        </w:p>
        <w:p w:rsidR="004B19FC" w:rsidRPr="00F40249" w:rsidRDefault="004B19FC" w:rsidP="00102926">
          <w:pPr>
            <w:keepNext/>
            <w:keepLines/>
            <w:tabs>
              <w:tab w:val="left" w:pos="-1440"/>
              <w:tab w:val="left" w:pos="-720"/>
            </w:tabs>
            <w:jc w:val="center"/>
            <w:rPr>
              <w:sz w:val="20"/>
              <w:szCs w:val="20"/>
            </w:rPr>
          </w:pPr>
        </w:p>
      </w:tc>
      <w:tc>
        <w:tcPr>
          <w:tcW w:w="4230" w:type="dxa"/>
          <w:tcMar>
            <w:left w:w="0" w:type="dxa"/>
            <w:right w:w="0" w:type="dxa"/>
          </w:tcMar>
        </w:tcPr>
        <w:p w:rsidR="004B19FC" w:rsidRPr="00F40249" w:rsidRDefault="004B19F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4B19FC" w:rsidRPr="00B01A03" w:rsidRDefault="004B19F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19FC" w:rsidRPr="00FD412A">
      <w:tc>
        <w:tcPr>
          <w:tcW w:w="4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4B19FC" w:rsidRPr="004D47AC"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4D47AC">
            <w:rPr>
              <w:b/>
              <w:lang w:val="fr-CA"/>
            </w:rPr>
            <w:t>AVIS DE RETRAIT DE L’INTERVENTION  DÉPOSÉ DEPUIS LA DERNIÈRE PARUTION</w:t>
          </w:r>
        </w:p>
        <w:p w:rsidR="004B19FC" w:rsidRPr="004D47A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4B19FC" w:rsidRPr="004D47A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19FC" w:rsidRPr="00FD412A" w:rsidTr="00245129">
      <w:tc>
        <w:tcPr>
          <w:tcW w:w="4200" w:type="dxa"/>
          <w:tcMar>
            <w:left w:w="0" w:type="dxa"/>
            <w:right w:w="0" w:type="dxa"/>
          </w:tcMar>
        </w:tcPr>
        <w:p w:rsidR="004B19FC" w:rsidRPr="00B4740D" w:rsidRDefault="004B19FC" w:rsidP="00096BD9">
          <w:pPr>
            <w:rPr>
              <w:sz w:val="20"/>
              <w:szCs w:val="20"/>
            </w:rPr>
          </w:pPr>
          <w:r w:rsidRPr="00B4740D">
            <w:rPr>
              <w:sz w:val="20"/>
              <w:szCs w:val="20"/>
            </w:rPr>
            <w:t>NOTICES OF INTERVENTION FILED SINCE LAST ISSUE</w:t>
          </w:r>
        </w:p>
      </w:tc>
      <w:tc>
        <w:tcPr>
          <w:tcW w:w="1200" w:type="dxa"/>
          <w:tcMar>
            <w:left w:w="0" w:type="dxa"/>
            <w:right w:w="0" w:type="dxa"/>
          </w:tcMar>
        </w:tcPr>
        <w:p w:rsidR="004B19FC" w:rsidRPr="00B4740D" w:rsidRDefault="004B19FC" w:rsidP="00096BD9">
          <w:pPr>
            <w:jc w:val="center"/>
            <w:rPr>
              <w:sz w:val="20"/>
              <w:szCs w:val="20"/>
            </w:rPr>
          </w:pPr>
        </w:p>
        <w:p w:rsidR="004B19FC" w:rsidRPr="00B4740D" w:rsidRDefault="004B19FC" w:rsidP="00096BD9">
          <w:pPr>
            <w:jc w:val="center"/>
            <w:rPr>
              <w:sz w:val="20"/>
              <w:szCs w:val="20"/>
            </w:rPr>
          </w:pPr>
        </w:p>
        <w:p w:rsidR="004B19FC" w:rsidRPr="00B4740D" w:rsidRDefault="004B19FC" w:rsidP="00096BD9">
          <w:pPr>
            <w:jc w:val="center"/>
            <w:rPr>
              <w:sz w:val="20"/>
              <w:szCs w:val="20"/>
            </w:rPr>
          </w:pPr>
        </w:p>
      </w:tc>
      <w:tc>
        <w:tcPr>
          <w:tcW w:w="4080" w:type="dxa"/>
          <w:tcMar>
            <w:left w:w="0" w:type="dxa"/>
            <w:right w:w="0" w:type="dxa"/>
          </w:tcMar>
        </w:tcPr>
        <w:p w:rsidR="004B19FC" w:rsidRPr="00B4740D" w:rsidRDefault="004B19FC" w:rsidP="00096BD9">
          <w:pPr>
            <w:rPr>
              <w:sz w:val="20"/>
              <w:szCs w:val="20"/>
              <w:lang w:val="fr-CA"/>
            </w:rPr>
          </w:pPr>
          <w:r w:rsidRPr="00B4740D">
            <w:rPr>
              <w:sz w:val="20"/>
              <w:szCs w:val="20"/>
              <w:lang w:val="fr-CA"/>
            </w:rPr>
            <w:t>AVIS D’INTERVENTION DÉPOSÉS DEPUIS LA DERNIÈRE PARUTION</w:t>
          </w:r>
        </w:p>
      </w:tc>
    </w:tr>
  </w:tbl>
  <w:p w:rsidR="004B19FC" w:rsidRPr="004D47AC" w:rsidRDefault="004B19FC" w:rsidP="00096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19FC" w:rsidRPr="00FD412A">
      <w:tc>
        <w:tcPr>
          <w:tcW w:w="4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4B19FC" w:rsidRPr="003C2C0F"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4B19FC" w:rsidRPr="003C2C0F"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4B19FC" w:rsidRPr="003C2C0F"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19FC" w:rsidRPr="00FD412A" w:rsidTr="00245129">
      <w:tc>
        <w:tcPr>
          <w:tcW w:w="4200" w:type="dxa"/>
          <w:tcMar>
            <w:left w:w="0" w:type="dxa"/>
            <w:right w:w="0" w:type="dxa"/>
          </w:tcMar>
        </w:tcPr>
        <w:p w:rsidR="004B19FC" w:rsidRPr="00FF6EEC" w:rsidRDefault="004B19FC" w:rsidP="00FF6EEC">
          <w:pPr>
            <w:rPr>
              <w:sz w:val="20"/>
              <w:szCs w:val="20"/>
            </w:rPr>
          </w:pPr>
          <w:r w:rsidRPr="00FF6EEC">
            <w:rPr>
              <w:sz w:val="20"/>
              <w:szCs w:val="20"/>
            </w:rPr>
            <w:t>PRONOUNCEMENTS OF APPEALS RESERVED</w:t>
          </w:r>
        </w:p>
      </w:tc>
      <w:tc>
        <w:tcPr>
          <w:tcW w:w="1200" w:type="dxa"/>
          <w:tcMar>
            <w:left w:w="0" w:type="dxa"/>
            <w:right w:w="0" w:type="dxa"/>
          </w:tcMar>
        </w:tcPr>
        <w:p w:rsidR="004B19FC" w:rsidRPr="00FF6EEC" w:rsidRDefault="004B19FC" w:rsidP="00FF6EEC">
          <w:pPr>
            <w:jc w:val="center"/>
            <w:rPr>
              <w:sz w:val="20"/>
              <w:szCs w:val="20"/>
            </w:rPr>
          </w:pPr>
        </w:p>
        <w:p w:rsidR="004B19FC" w:rsidRPr="00FF6EEC" w:rsidRDefault="004B19FC" w:rsidP="00FF6EEC">
          <w:pPr>
            <w:jc w:val="center"/>
            <w:rPr>
              <w:sz w:val="20"/>
              <w:szCs w:val="20"/>
            </w:rPr>
          </w:pPr>
        </w:p>
        <w:p w:rsidR="004B19FC" w:rsidRPr="00FF6EEC" w:rsidRDefault="004B19FC" w:rsidP="00FF6EEC">
          <w:pPr>
            <w:jc w:val="center"/>
            <w:rPr>
              <w:sz w:val="20"/>
              <w:szCs w:val="20"/>
            </w:rPr>
          </w:pPr>
        </w:p>
      </w:tc>
      <w:tc>
        <w:tcPr>
          <w:tcW w:w="4080" w:type="dxa"/>
          <w:tcMar>
            <w:left w:w="0" w:type="dxa"/>
            <w:right w:w="0" w:type="dxa"/>
          </w:tcMar>
        </w:tcPr>
        <w:p w:rsidR="004B19FC" w:rsidRPr="00FF6EEC" w:rsidRDefault="004B19FC" w:rsidP="00FF6EEC">
          <w:pPr>
            <w:rPr>
              <w:sz w:val="20"/>
              <w:szCs w:val="20"/>
              <w:lang w:val="fr-CA"/>
            </w:rPr>
          </w:pPr>
          <w:r w:rsidRPr="00FF6EEC">
            <w:rPr>
              <w:sz w:val="20"/>
              <w:szCs w:val="20"/>
              <w:lang w:val="fr-CA"/>
            </w:rPr>
            <w:t>JUGEMENTS RENDUS SUR LES APPELS EN DÉLIBÉRÉ</w:t>
          </w:r>
        </w:p>
      </w:tc>
    </w:tr>
  </w:tbl>
  <w:p w:rsidR="004B19FC" w:rsidRPr="003C2C0F" w:rsidRDefault="004B19FC"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4B19FC">
      <w:tc>
        <w:tcPr>
          <w:tcW w:w="423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4B19FC"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4B19FC"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4B19FC" w:rsidRPr="00782AE4" w:rsidTr="00245129">
      <w:tc>
        <w:tcPr>
          <w:tcW w:w="4230" w:type="dxa"/>
          <w:tcMar>
            <w:left w:w="0" w:type="dxa"/>
            <w:right w:w="0" w:type="dxa"/>
          </w:tcMar>
        </w:tcPr>
        <w:p w:rsidR="004B19FC" w:rsidRPr="00782AE4" w:rsidRDefault="004B19FC" w:rsidP="00102926">
          <w:pPr>
            <w:keepNext/>
            <w:keepLines/>
            <w:tabs>
              <w:tab w:val="left" w:pos="-1440"/>
              <w:tab w:val="left" w:pos="-720"/>
            </w:tabs>
            <w:rPr>
              <w:sz w:val="20"/>
              <w:szCs w:val="20"/>
            </w:rPr>
          </w:pPr>
          <w:r w:rsidRPr="00782AE4">
            <w:rPr>
              <w:sz w:val="20"/>
              <w:szCs w:val="20"/>
            </w:rPr>
            <w:t xml:space="preserve">HEADNOTES OF RECENT </w:t>
          </w:r>
        </w:p>
        <w:p w:rsidR="004B19FC" w:rsidRPr="00782AE4"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4B19FC" w:rsidRDefault="004B19FC" w:rsidP="00102926">
          <w:pPr>
            <w:keepNext/>
            <w:keepLines/>
            <w:tabs>
              <w:tab w:val="left" w:pos="-1440"/>
              <w:tab w:val="left" w:pos="-720"/>
            </w:tabs>
            <w:jc w:val="center"/>
            <w:rPr>
              <w:sz w:val="20"/>
              <w:szCs w:val="20"/>
            </w:rPr>
          </w:pPr>
        </w:p>
        <w:p w:rsidR="004B19FC" w:rsidRDefault="004B19FC" w:rsidP="00102926">
          <w:pPr>
            <w:keepNext/>
            <w:keepLines/>
            <w:tabs>
              <w:tab w:val="left" w:pos="-1440"/>
              <w:tab w:val="left" w:pos="-720"/>
            </w:tabs>
            <w:jc w:val="center"/>
            <w:rPr>
              <w:sz w:val="20"/>
              <w:szCs w:val="20"/>
            </w:rPr>
          </w:pPr>
        </w:p>
        <w:p w:rsidR="004B19FC" w:rsidRPr="00782AE4" w:rsidRDefault="004B19FC" w:rsidP="00102926">
          <w:pPr>
            <w:keepNext/>
            <w:keepLines/>
            <w:tabs>
              <w:tab w:val="left" w:pos="-1440"/>
              <w:tab w:val="left" w:pos="-720"/>
            </w:tabs>
            <w:jc w:val="center"/>
            <w:rPr>
              <w:sz w:val="20"/>
              <w:szCs w:val="20"/>
            </w:rPr>
          </w:pPr>
        </w:p>
      </w:tc>
      <w:tc>
        <w:tcPr>
          <w:tcW w:w="4080" w:type="dxa"/>
          <w:tcMar>
            <w:left w:w="0" w:type="dxa"/>
            <w:right w:w="0" w:type="dxa"/>
          </w:tcMar>
        </w:tcPr>
        <w:p w:rsidR="004B19FC" w:rsidRPr="00102926"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4B19FC" w:rsidRPr="00782AE4" w:rsidRDefault="004B19FC" w:rsidP="00102926">
          <w:pPr>
            <w:keepLines/>
            <w:tabs>
              <w:tab w:val="left" w:pos="-1440"/>
              <w:tab w:val="left" w:pos="-720"/>
            </w:tabs>
            <w:rPr>
              <w:sz w:val="20"/>
              <w:szCs w:val="20"/>
            </w:rPr>
          </w:pPr>
          <w:r w:rsidRPr="00102926">
            <w:rPr>
              <w:sz w:val="20"/>
              <w:szCs w:val="20"/>
              <w:lang w:val="fr-CA"/>
            </w:rPr>
            <w:t>RÉCENTS</w:t>
          </w:r>
        </w:p>
      </w:tc>
    </w:tr>
  </w:tbl>
  <w:p w:rsidR="004B19FC" w:rsidRDefault="004B19F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4B19FC" w:rsidRPr="0044776A" w:rsidTr="00245129">
      <w:tc>
        <w:tcPr>
          <w:tcW w:w="4290" w:type="dxa"/>
          <w:tcMar>
            <w:left w:w="0" w:type="dxa"/>
            <w:right w:w="0" w:type="dxa"/>
          </w:tcMar>
        </w:tcPr>
        <w:p w:rsidR="004B19FC" w:rsidRPr="0044776A" w:rsidRDefault="004B19FC"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4B19FC" w:rsidRPr="0044776A" w:rsidRDefault="004B19FC" w:rsidP="002E2327">
          <w:pPr>
            <w:keepNext/>
            <w:keepLines/>
            <w:tabs>
              <w:tab w:val="left" w:pos="-1440"/>
              <w:tab w:val="left" w:pos="-720"/>
            </w:tabs>
            <w:jc w:val="center"/>
            <w:rPr>
              <w:sz w:val="20"/>
              <w:szCs w:val="20"/>
            </w:rPr>
          </w:pPr>
        </w:p>
        <w:p w:rsidR="004B19FC" w:rsidRPr="0044776A" w:rsidRDefault="004B19FC" w:rsidP="002E2327">
          <w:pPr>
            <w:keepNext/>
            <w:keepLines/>
            <w:tabs>
              <w:tab w:val="left" w:pos="-1440"/>
              <w:tab w:val="left" w:pos="-720"/>
            </w:tabs>
            <w:jc w:val="center"/>
            <w:rPr>
              <w:sz w:val="20"/>
              <w:szCs w:val="20"/>
            </w:rPr>
          </w:pPr>
        </w:p>
        <w:p w:rsidR="004B19FC" w:rsidRPr="0044776A" w:rsidRDefault="004B19FC" w:rsidP="002E2327">
          <w:pPr>
            <w:keepNext/>
            <w:keepLines/>
            <w:tabs>
              <w:tab w:val="left" w:pos="-1440"/>
              <w:tab w:val="left" w:pos="-720"/>
            </w:tabs>
            <w:jc w:val="center"/>
            <w:rPr>
              <w:sz w:val="20"/>
              <w:szCs w:val="20"/>
            </w:rPr>
          </w:pPr>
        </w:p>
      </w:tc>
      <w:tc>
        <w:tcPr>
          <w:tcW w:w="4320" w:type="dxa"/>
          <w:tcMar>
            <w:left w:w="0" w:type="dxa"/>
            <w:right w:w="0" w:type="dxa"/>
          </w:tcMar>
        </w:tcPr>
        <w:p w:rsidR="004B19FC" w:rsidRPr="0044776A" w:rsidRDefault="004B19FC" w:rsidP="002E2327">
          <w:pPr>
            <w:keepLines/>
            <w:rPr>
              <w:sz w:val="20"/>
              <w:szCs w:val="20"/>
              <w:lang w:val="fr-CA"/>
            </w:rPr>
          </w:pPr>
          <w:r w:rsidRPr="0044776A">
            <w:rPr>
              <w:sz w:val="20"/>
              <w:szCs w:val="20"/>
              <w:lang w:val="fr-CA"/>
            </w:rPr>
            <w:t>DEMANDES D'AUTORISATION D'APPEL DÉPOSÉES</w:t>
          </w:r>
        </w:p>
      </w:tc>
    </w:tr>
  </w:tbl>
  <w:p w:rsidR="004B19FC" w:rsidRDefault="004B19F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19FC" w:rsidRPr="00FD412A" w:rsidTr="00245129">
      <w:tc>
        <w:tcPr>
          <w:tcW w:w="4200" w:type="dxa"/>
          <w:tcMar>
            <w:left w:w="0" w:type="dxa"/>
            <w:right w:w="0" w:type="dxa"/>
          </w:tcMar>
        </w:tcPr>
        <w:p w:rsidR="004B19FC" w:rsidRPr="0044776A" w:rsidRDefault="004B19FC" w:rsidP="0044776A">
          <w:pPr>
            <w:keepNext/>
            <w:keepLines/>
            <w:widowControl w:val="0"/>
            <w:rPr>
              <w:sz w:val="20"/>
              <w:szCs w:val="20"/>
            </w:rPr>
          </w:pPr>
          <w:r>
            <w:rPr>
              <w:sz w:val="20"/>
              <w:szCs w:val="20"/>
            </w:rPr>
            <w:t>APPLICATIONS FOR LEAVE</w:t>
          </w:r>
        </w:p>
        <w:p w:rsidR="004B19FC" w:rsidRPr="0044776A" w:rsidRDefault="004B19FC"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4B19FC" w:rsidRPr="0044776A" w:rsidRDefault="004B19FC" w:rsidP="0044776A">
          <w:pPr>
            <w:keepNext/>
            <w:keepLines/>
            <w:widowControl w:val="0"/>
            <w:jc w:val="center"/>
            <w:rPr>
              <w:sz w:val="20"/>
              <w:szCs w:val="20"/>
            </w:rPr>
          </w:pPr>
        </w:p>
        <w:p w:rsidR="004B19FC" w:rsidRPr="0044776A" w:rsidRDefault="004B19FC" w:rsidP="0044776A">
          <w:pPr>
            <w:keepNext/>
            <w:keepLines/>
            <w:widowControl w:val="0"/>
            <w:jc w:val="center"/>
            <w:rPr>
              <w:sz w:val="20"/>
              <w:szCs w:val="20"/>
            </w:rPr>
          </w:pPr>
        </w:p>
        <w:p w:rsidR="004B19FC" w:rsidRPr="0044776A" w:rsidRDefault="004B19FC" w:rsidP="0044776A">
          <w:pPr>
            <w:keepNext/>
            <w:keepLines/>
            <w:widowControl w:val="0"/>
            <w:jc w:val="center"/>
            <w:rPr>
              <w:sz w:val="20"/>
              <w:szCs w:val="20"/>
            </w:rPr>
          </w:pPr>
        </w:p>
      </w:tc>
      <w:tc>
        <w:tcPr>
          <w:tcW w:w="4080" w:type="dxa"/>
          <w:tcMar>
            <w:left w:w="0" w:type="dxa"/>
            <w:right w:w="0" w:type="dxa"/>
          </w:tcMar>
        </w:tcPr>
        <w:p w:rsidR="004B19FC" w:rsidRPr="0044776A" w:rsidRDefault="004B19FC" w:rsidP="0044776A">
          <w:pPr>
            <w:keepLines/>
            <w:widowControl w:val="0"/>
            <w:rPr>
              <w:sz w:val="20"/>
              <w:szCs w:val="20"/>
              <w:lang w:val="fr-CA"/>
            </w:rPr>
          </w:pPr>
          <w:r w:rsidRPr="0044776A">
            <w:rPr>
              <w:sz w:val="20"/>
              <w:szCs w:val="20"/>
              <w:lang w:val="fr-CA"/>
            </w:rPr>
            <w:t>DEMANDES SOUMISES À LA COUR DEPUIS LA DERNIÈRE PARUTION</w:t>
          </w:r>
        </w:p>
        <w:p w:rsidR="004B19FC" w:rsidRPr="0044776A" w:rsidRDefault="004B19FC" w:rsidP="0044776A">
          <w:pPr>
            <w:widowControl w:val="0"/>
            <w:rPr>
              <w:sz w:val="20"/>
              <w:szCs w:val="20"/>
              <w:lang w:val="fr-CA"/>
            </w:rPr>
          </w:pPr>
        </w:p>
      </w:tc>
    </w:tr>
  </w:tbl>
  <w:p w:rsidR="004B19FC" w:rsidRPr="002E2327" w:rsidRDefault="004B19FC">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FC" w:rsidRDefault="004B19F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4B19FC" w:rsidRPr="00FD412A">
      <w:tc>
        <w:tcPr>
          <w:tcW w:w="4200" w:type="dxa"/>
          <w:tcMar>
            <w:left w:w="0" w:type="dxa"/>
            <w:right w:w="0" w:type="dxa"/>
          </w:tcMar>
        </w:tcPr>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4B19FC"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4B19FC"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4B19FC" w:rsidRPr="00FF6BA5"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4B19FC" w:rsidRPr="00FF6BA5"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4B19FC" w:rsidRPr="00FF6BA5"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4B19FC" w:rsidRPr="00FF6BA5" w:rsidRDefault="004B19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B19FC" w:rsidRPr="00FD412A" w:rsidTr="00245129">
      <w:tc>
        <w:tcPr>
          <w:tcW w:w="4200" w:type="dxa"/>
          <w:tcMar>
            <w:left w:w="0" w:type="dxa"/>
            <w:right w:w="0" w:type="dxa"/>
          </w:tcMar>
        </w:tcPr>
        <w:p w:rsidR="004B19FC" w:rsidRPr="00755F22"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4B19FC" w:rsidRPr="00755F22" w:rsidRDefault="004B19F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4B19FC" w:rsidRPr="00755F22" w:rsidRDefault="004B19F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19FC" w:rsidRPr="00755F22" w:rsidRDefault="004B19F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4B19FC" w:rsidRPr="00755F22" w:rsidRDefault="004B19F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4B19FC" w:rsidRPr="00755F22" w:rsidRDefault="004B19F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4B19FC" w:rsidRPr="00FF6BA5" w:rsidRDefault="004B19FC"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658"/>
    <w:multiLevelType w:val="hybridMultilevel"/>
    <w:tmpl w:val="26504134"/>
    <w:lvl w:ilvl="0" w:tplc="0A9A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EE0857"/>
    <w:multiLevelType w:val="hybridMultilevel"/>
    <w:tmpl w:val="26504134"/>
    <w:lvl w:ilvl="0" w:tplc="0A9A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grammar="clean"/>
  <w:defaultTabStop w:val="720"/>
  <w:drawingGridHorizontalSpacing w:val="120"/>
  <w:displayHorizontalDrawingGridEvery w:val="2"/>
  <w:characterSpacingControl w:val="doNotCompress"/>
  <w:hdrShapeDefaults>
    <o:shapedefaults v:ext="edit" spidmax="31761"/>
  </w:hdrShapeDefaults>
  <w:footnotePr>
    <w:footnote w:id="-1"/>
    <w:footnote w:id="0"/>
  </w:footnotePr>
  <w:endnotePr>
    <w:endnote w:id="-1"/>
    <w:endnote w:id="0"/>
  </w:endnotePr>
  <w:compat/>
  <w:rsids>
    <w:rsidRoot w:val="00A21C70"/>
    <w:rsid w:val="00025C0A"/>
    <w:rsid w:val="000327B2"/>
    <w:rsid w:val="00040317"/>
    <w:rsid w:val="00096BD9"/>
    <w:rsid w:val="000A73A5"/>
    <w:rsid w:val="000B3C9A"/>
    <w:rsid w:val="000B40A2"/>
    <w:rsid w:val="000B543C"/>
    <w:rsid w:val="000C0ACD"/>
    <w:rsid w:val="000E324E"/>
    <w:rsid w:val="00102926"/>
    <w:rsid w:val="001041BF"/>
    <w:rsid w:val="0010587F"/>
    <w:rsid w:val="00111C6B"/>
    <w:rsid w:val="0013369E"/>
    <w:rsid w:val="0015239F"/>
    <w:rsid w:val="00155C13"/>
    <w:rsid w:val="00164E6D"/>
    <w:rsid w:val="00195CA4"/>
    <w:rsid w:val="001B5C23"/>
    <w:rsid w:val="001D0D5F"/>
    <w:rsid w:val="001D0E65"/>
    <w:rsid w:val="001D6B8C"/>
    <w:rsid w:val="001F1F83"/>
    <w:rsid w:val="001F6E11"/>
    <w:rsid w:val="002021A9"/>
    <w:rsid w:val="002139A7"/>
    <w:rsid w:val="00215F7C"/>
    <w:rsid w:val="002203C0"/>
    <w:rsid w:val="0022323B"/>
    <w:rsid w:val="002410B8"/>
    <w:rsid w:val="00242AEE"/>
    <w:rsid w:val="00245129"/>
    <w:rsid w:val="00245879"/>
    <w:rsid w:val="00262621"/>
    <w:rsid w:val="00267FD5"/>
    <w:rsid w:val="002736DD"/>
    <w:rsid w:val="002868D0"/>
    <w:rsid w:val="002B516C"/>
    <w:rsid w:val="002B7BFF"/>
    <w:rsid w:val="002D0257"/>
    <w:rsid w:val="002D3FC1"/>
    <w:rsid w:val="002D72EB"/>
    <w:rsid w:val="002E2327"/>
    <w:rsid w:val="002E3583"/>
    <w:rsid w:val="002E5576"/>
    <w:rsid w:val="00331B52"/>
    <w:rsid w:val="003354BE"/>
    <w:rsid w:val="003524C5"/>
    <w:rsid w:val="00355967"/>
    <w:rsid w:val="00364339"/>
    <w:rsid w:val="00382C47"/>
    <w:rsid w:val="00384384"/>
    <w:rsid w:val="003A63D9"/>
    <w:rsid w:val="003B3977"/>
    <w:rsid w:val="003D19F3"/>
    <w:rsid w:val="003D1E2F"/>
    <w:rsid w:val="00430C47"/>
    <w:rsid w:val="00432989"/>
    <w:rsid w:val="00440E24"/>
    <w:rsid w:val="0044776A"/>
    <w:rsid w:val="00460AFC"/>
    <w:rsid w:val="00462749"/>
    <w:rsid w:val="00465AE6"/>
    <w:rsid w:val="0047471F"/>
    <w:rsid w:val="004967AD"/>
    <w:rsid w:val="004B19FC"/>
    <w:rsid w:val="004B66B4"/>
    <w:rsid w:val="004C1AAC"/>
    <w:rsid w:val="004E6FA2"/>
    <w:rsid w:val="004F090E"/>
    <w:rsid w:val="00525E26"/>
    <w:rsid w:val="00527CC7"/>
    <w:rsid w:val="00533D0A"/>
    <w:rsid w:val="00543C86"/>
    <w:rsid w:val="0055174B"/>
    <w:rsid w:val="0055378B"/>
    <w:rsid w:val="00571CA4"/>
    <w:rsid w:val="00582136"/>
    <w:rsid w:val="005836A6"/>
    <w:rsid w:val="005C1D4B"/>
    <w:rsid w:val="005C6840"/>
    <w:rsid w:val="005E3C63"/>
    <w:rsid w:val="005F263E"/>
    <w:rsid w:val="005F4A2D"/>
    <w:rsid w:val="00600252"/>
    <w:rsid w:val="00612A40"/>
    <w:rsid w:val="00615512"/>
    <w:rsid w:val="006525D0"/>
    <w:rsid w:val="00657917"/>
    <w:rsid w:val="00675479"/>
    <w:rsid w:val="0068140C"/>
    <w:rsid w:val="006826AE"/>
    <w:rsid w:val="00697C62"/>
    <w:rsid w:val="006A329B"/>
    <w:rsid w:val="006A5BAB"/>
    <w:rsid w:val="006A7EB8"/>
    <w:rsid w:val="006B42DA"/>
    <w:rsid w:val="006B6926"/>
    <w:rsid w:val="006C3F47"/>
    <w:rsid w:val="006C5F7A"/>
    <w:rsid w:val="006E2557"/>
    <w:rsid w:val="006F350F"/>
    <w:rsid w:val="0071780A"/>
    <w:rsid w:val="00732DB7"/>
    <w:rsid w:val="00741F3F"/>
    <w:rsid w:val="00746292"/>
    <w:rsid w:val="00755F22"/>
    <w:rsid w:val="00761FCA"/>
    <w:rsid w:val="00766E4A"/>
    <w:rsid w:val="007757E5"/>
    <w:rsid w:val="007820CE"/>
    <w:rsid w:val="00782AE4"/>
    <w:rsid w:val="00783E74"/>
    <w:rsid w:val="0079219B"/>
    <w:rsid w:val="0079724F"/>
    <w:rsid w:val="007A3EAE"/>
    <w:rsid w:val="007B1BA8"/>
    <w:rsid w:val="007C04FC"/>
    <w:rsid w:val="007C523E"/>
    <w:rsid w:val="007D3E0F"/>
    <w:rsid w:val="007E4FA4"/>
    <w:rsid w:val="007F387B"/>
    <w:rsid w:val="007F684D"/>
    <w:rsid w:val="00802863"/>
    <w:rsid w:val="008112F7"/>
    <w:rsid w:val="00815B3C"/>
    <w:rsid w:val="0082783A"/>
    <w:rsid w:val="00831CA9"/>
    <w:rsid w:val="00850E1F"/>
    <w:rsid w:val="0085476B"/>
    <w:rsid w:val="00890FEB"/>
    <w:rsid w:val="00897914"/>
    <w:rsid w:val="008A3101"/>
    <w:rsid w:val="008B42EF"/>
    <w:rsid w:val="008D2360"/>
    <w:rsid w:val="008D292F"/>
    <w:rsid w:val="008E03DC"/>
    <w:rsid w:val="00924065"/>
    <w:rsid w:val="00930D68"/>
    <w:rsid w:val="00932DB4"/>
    <w:rsid w:val="00946242"/>
    <w:rsid w:val="0095096B"/>
    <w:rsid w:val="00967ED0"/>
    <w:rsid w:val="00970CD3"/>
    <w:rsid w:val="009723FA"/>
    <w:rsid w:val="00983F38"/>
    <w:rsid w:val="00984546"/>
    <w:rsid w:val="0099400B"/>
    <w:rsid w:val="00996510"/>
    <w:rsid w:val="009D1F15"/>
    <w:rsid w:val="009D555E"/>
    <w:rsid w:val="00A02F2D"/>
    <w:rsid w:val="00A0355E"/>
    <w:rsid w:val="00A21C70"/>
    <w:rsid w:val="00A25BB5"/>
    <w:rsid w:val="00A375D1"/>
    <w:rsid w:val="00A51D10"/>
    <w:rsid w:val="00A52A83"/>
    <w:rsid w:val="00A5373E"/>
    <w:rsid w:val="00A64DE6"/>
    <w:rsid w:val="00A87207"/>
    <w:rsid w:val="00A935AA"/>
    <w:rsid w:val="00AB2201"/>
    <w:rsid w:val="00AC2806"/>
    <w:rsid w:val="00AF1715"/>
    <w:rsid w:val="00AF3904"/>
    <w:rsid w:val="00B010C0"/>
    <w:rsid w:val="00B414FE"/>
    <w:rsid w:val="00B4740D"/>
    <w:rsid w:val="00B47D18"/>
    <w:rsid w:val="00B61629"/>
    <w:rsid w:val="00B66BAD"/>
    <w:rsid w:val="00B7374B"/>
    <w:rsid w:val="00B7603B"/>
    <w:rsid w:val="00B871B6"/>
    <w:rsid w:val="00B90DC0"/>
    <w:rsid w:val="00B92821"/>
    <w:rsid w:val="00BA116A"/>
    <w:rsid w:val="00BA26C3"/>
    <w:rsid w:val="00BA5582"/>
    <w:rsid w:val="00BA6468"/>
    <w:rsid w:val="00BB3ED4"/>
    <w:rsid w:val="00BD06DA"/>
    <w:rsid w:val="00BD4217"/>
    <w:rsid w:val="00BF25F3"/>
    <w:rsid w:val="00BF5F28"/>
    <w:rsid w:val="00C1697B"/>
    <w:rsid w:val="00C32CF2"/>
    <w:rsid w:val="00C50A5C"/>
    <w:rsid w:val="00C50FDF"/>
    <w:rsid w:val="00C73E1B"/>
    <w:rsid w:val="00C77713"/>
    <w:rsid w:val="00C82EBC"/>
    <w:rsid w:val="00C96B64"/>
    <w:rsid w:val="00CB43D5"/>
    <w:rsid w:val="00CC4D84"/>
    <w:rsid w:val="00CF05D4"/>
    <w:rsid w:val="00D03C96"/>
    <w:rsid w:val="00D61602"/>
    <w:rsid w:val="00D64901"/>
    <w:rsid w:val="00D76BDF"/>
    <w:rsid w:val="00D8204E"/>
    <w:rsid w:val="00D862C1"/>
    <w:rsid w:val="00D904BA"/>
    <w:rsid w:val="00D93B50"/>
    <w:rsid w:val="00D94670"/>
    <w:rsid w:val="00DB0DE3"/>
    <w:rsid w:val="00DD0B49"/>
    <w:rsid w:val="00DD30CB"/>
    <w:rsid w:val="00E06DFA"/>
    <w:rsid w:val="00E12487"/>
    <w:rsid w:val="00E245CC"/>
    <w:rsid w:val="00E273AD"/>
    <w:rsid w:val="00E356C7"/>
    <w:rsid w:val="00E62A55"/>
    <w:rsid w:val="00E64FA7"/>
    <w:rsid w:val="00E770CB"/>
    <w:rsid w:val="00E816E1"/>
    <w:rsid w:val="00E940EB"/>
    <w:rsid w:val="00EB2B90"/>
    <w:rsid w:val="00EC149F"/>
    <w:rsid w:val="00ED7E83"/>
    <w:rsid w:val="00EF4B63"/>
    <w:rsid w:val="00F0068D"/>
    <w:rsid w:val="00F0576D"/>
    <w:rsid w:val="00F15EA8"/>
    <w:rsid w:val="00F16C8D"/>
    <w:rsid w:val="00F22853"/>
    <w:rsid w:val="00F26C61"/>
    <w:rsid w:val="00F3210C"/>
    <w:rsid w:val="00F33CCE"/>
    <w:rsid w:val="00F3586C"/>
    <w:rsid w:val="00F40249"/>
    <w:rsid w:val="00F526C8"/>
    <w:rsid w:val="00F76D09"/>
    <w:rsid w:val="00F9518C"/>
    <w:rsid w:val="00F97156"/>
    <w:rsid w:val="00FA111A"/>
    <w:rsid w:val="00FA316E"/>
    <w:rsid w:val="00FA59EF"/>
    <w:rsid w:val="00FB19A2"/>
    <w:rsid w:val="00FB60C3"/>
    <w:rsid w:val="00FD412A"/>
    <w:rsid w:val="00FE36E0"/>
    <w:rsid w:val="00FE6697"/>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BanSummary">
    <w:name w:val="SCC.BanSummary"/>
    <w:basedOn w:val="Normal"/>
    <w:next w:val="Normal"/>
    <w:link w:val="SCCBanSummaryChar"/>
    <w:rsid w:val="00783E74"/>
    <w:pPr>
      <w:jc w:val="both"/>
    </w:pPr>
    <w:rPr>
      <w:rFonts w:eastAsia="Calibri" w:cs="Times New Roman"/>
      <w:smallCaps/>
    </w:rPr>
  </w:style>
  <w:style w:type="character" w:customStyle="1" w:styleId="SCCBanSummaryChar">
    <w:name w:val="SCC.BanSummary Char"/>
    <w:basedOn w:val="DefaultParagraphFont"/>
    <w:link w:val="SCCBanSummary"/>
    <w:rsid w:val="00783E74"/>
    <w:rPr>
      <w:rFonts w:eastAsia="Calibri" w:cs="Times New Roman"/>
      <w:smallCaps/>
      <w:lang w:val="en-CA"/>
    </w:rPr>
  </w:style>
  <w:style w:type="paragraph" w:customStyle="1" w:styleId="SCCLsocParty">
    <w:name w:val="SCC.Lsoc.Party"/>
    <w:basedOn w:val="Normal"/>
    <w:next w:val="Normal"/>
    <w:link w:val="SCCLsocPartyChar"/>
    <w:rsid w:val="008A3101"/>
    <w:pPr>
      <w:jc w:val="center"/>
    </w:pPr>
    <w:rPr>
      <w:rFonts w:eastAsia="Calibri" w:cs="Times New Roman"/>
      <w:lang w:val="fr-CA"/>
    </w:rPr>
  </w:style>
  <w:style w:type="character" w:customStyle="1" w:styleId="SCCLsocPartyChar">
    <w:name w:val="SCC.Lsoc.Party Char"/>
    <w:basedOn w:val="DefaultParagraphFont"/>
    <w:link w:val="SCCLsocParty"/>
    <w:rsid w:val="008A3101"/>
    <w:rPr>
      <w:rFonts w:eastAsia="Calibri" w:cs="Times New Roman"/>
      <w:lang w:val="fr-CA"/>
    </w:rPr>
  </w:style>
  <w:style w:type="paragraph" w:customStyle="1" w:styleId="SCCFileNumber">
    <w:name w:val="SCC.FileNumber"/>
    <w:basedOn w:val="Normal"/>
    <w:next w:val="Normal"/>
    <w:link w:val="SCCFileNumberChar"/>
    <w:rsid w:val="008A3101"/>
    <w:pPr>
      <w:jc w:val="both"/>
    </w:pPr>
    <w:rPr>
      <w:rFonts w:eastAsia="Calibri" w:cs="Times New Roman"/>
      <w:b/>
    </w:rPr>
  </w:style>
  <w:style w:type="character" w:customStyle="1" w:styleId="SCCFileNumberChar">
    <w:name w:val="SCC.FileNumber Char"/>
    <w:basedOn w:val="DefaultParagraphFont"/>
    <w:link w:val="SCCFileNumber"/>
    <w:rsid w:val="008A3101"/>
    <w:rPr>
      <w:rFonts w:eastAsia="Calibri" w:cs="Times New Roman"/>
      <w:b/>
      <w:lang w:val="en-CA"/>
    </w:rPr>
  </w:style>
  <w:style w:type="paragraph" w:customStyle="1" w:styleId="SCCLsoc">
    <w:name w:val="SCC.Lsoc"/>
    <w:basedOn w:val="Normal"/>
    <w:next w:val="Normal"/>
    <w:link w:val="SCCLsocChar"/>
    <w:rsid w:val="00746292"/>
    <w:pPr>
      <w:jc w:val="center"/>
    </w:pPr>
    <w:rPr>
      <w:b/>
      <w:szCs w:val="24"/>
      <w:u w:val="single"/>
      <w:lang w:val="fr-CA"/>
    </w:rPr>
  </w:style>
  <w:style w:type="character" w:customStyle="1" w:styleId="SCCLsocChar">
    <w:name w:val="SCC.Lsoc Char"/>
    <w:basedOn w:val="DefaultParagraphFont"/>
    <w:link w:val="SCCLsoc"/>
    <w:rsid w:val="00746292"/>
    <w:rPr>
      <w:b/>
      <w:szCs w:val="24"/>
      <w:u w:val="single"/>
      <w:lang w:val="fr-CA"/>
    </w:rPr>
  </w:style>
  <w:style w:type="paragraph" w:customStyle="1" w:styleId="SCCCoram">
    <w:name w:val="SCC.Coram"/>
    <w:basedOn w:val="Normal"/>
    <w:next w:val="Normal"/>
    <w:link w:val="SCCCoramChar"/>
    <w:rsid w:val="00746292"/>
    <w:pPr>
      <w:jc w:val="center"/>
    </w:pPr>
    <w:rPr>
      <w:szCs w:val="24"/>
      <w:u w:val="single"/>
      <w:lang w:val="fr-CA"/>
    </w:rPr>
  </w:style>
  <w:style w:type="character" w:customStyle="1" w:styleId="SCCCoramChar">
    <w:name w:val="SCC.Coram Char"/>
    <w:basedOn w:val="DefaultParagraphFont"/>
    <w:link w:val="SCCCoram"/>
    <w:rsid w:val="00746292"/>
    <w:rPr>
      <w:szCs w:val="24"/>
      <w:u w:val="single"/>
      <w:lang w:val="fr-CA"/>
    </w:rPr>
  </w:style>
  <w:style w:type="paragraph" w:customStyle="1" w:styleId="SCCShortJudgment">
    <w:name w:val="SCC.ShortJudgment"/>
    <w:basedOn w:val="Normal"/>
    <w:qFormat/>
    <w:rsid w:val="00746292"/>
    <w:pPr>
      <w:ind w:firstLine="720"/>
      <w:jc w:val="both"/>
    </w:pPr>
    <w:rPr>
      <w:sz w:val="20"/>
      <w:szCs w:val="24"/>
    </w:rPr>
  </w:style>
  <w:style w:type="paragraph" w:styleId="Quote">
    <w:name w:val="Quote"/>
    <w:basedOn w:val="Normal"/>
    <w:next w:val="Normal"/>
    <w:link w:val="QuoteChar"/>
    <w:uiPriority w:val="29"/>
    <w:qFormat/>
    <w:rsid w:val="0071780A"/>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71780A"/>
    <w:rPr>
      <w:rFonts w:eastAsia="Times New Roman" w:cs="Times New Roman"/>
      <w:i/>
      <w:iCs/>
      <w:color w:val="000000" w:themeColor="text1"/>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0.xml"/><Relationship Id="rId57" Type="http://schemas.openxmlformats.org/officeDocument/2006/relationships/header" Target="header25.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image" Target="media/image1.wm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0106-8484-497D-A666-DBD510B9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21199</Words>
  <Characters>120840</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2011-05-06T18:58:00Z</dcterms:created>
  <dcterms:modified xsi:type="dcterms:W3CDTF">2011-05-06T18:58:00Z</dcterms:modified>
</cp:coreProperties>
</file>